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60C" w:rsidRPr="003303F8" w:rsidRDefault="00AC560C" w:rsidP="00931FD3">
      <w:pPr>
        <w:pStyle w:val="BlockText"/>
        <w:spacing w:before="0"/>
        <w:rPr>
          <w:rFonts w:ascii="Times New Roman" w:hAnsi="Times New Roman"/>
          <w:b w:val="0"/>
          <w:szCs w:val="24"/>
        </w:rPr>
      </w:pPr>
      <w:r w:rsidRPr="003303F8">
        <w:rPr>
          <w:rFonts w:ascii="Times New Roman" w:hAnsi="Times New Roman"/>
          <w:b w:val="0"/>
          <w:szCs w:val="24"/>
        </w:rPr>
        <w:t>UNIVERSITY OF OKLAHOMA</w:t>
      </w:r>
    </w:p>
    <w:p w:rsidR="00AC560C" w:rsidRPr="003303F8" w:rsidRDefault="00AC560C" w:rsidP="00931FD3">
      <w:pPr>
        <w:pStyle w:val="BlockText"/>
        <w:spacing w:before="0"/>
        <w:rPr>
          <w:rFonts w:ascii="Times New Roman" w:hAnsi="Times New Roman"/>
          <w:b w:val="0"/>
          <w:szCs w:val="24"/>
        </w:rPr>
      </w:pPr>
      <w:r w:rsidRPr="003303F8">
        <w:rPr>
          <w:rFonts w:ascii="Times New Roman" w:hAnsi="Times New Roman"/>
          <w:b w:val="0"/>
          <w:szCs w:val="24"/>
        </w:rPr>
        <w:t>GRADUATE COLLEGE</w:t>
      </w:r>
    </w:p>
    <w:p w:rsidR="00AC560C" w:rsidRPr="003303F8" w:rsidRDefault="00AC560C" w:rsidP="00931FD3">
      <w:pPr>
        <w:pStyle w:val="BlockText"/>
        <w:spacing w:before="0"/>
        <w:rPr>
          <w:rFonts w:ascii="Times New Roman" w:hAnsi="Times New Roman"/>
          <w:b w:val="0"/>
          <w:szCs w:val="24"/>
        </w:rPr>
      </w:pPr>
    </w:p>
    <w:p w:rsidR="00AC560C" w:rsidRPr="003303F8" w:rsidRDefault="00AC560C" w:rsidP="00931FD3">
      <w:pPr>
        <w:pStyle w:val="BlockText"/>
        <w:spacing w:before="0"/>
        <w:rPr>
          <w:rFonts w:ascii="Times New Roman" w:hAnsi="Times New Roman"/>
          <w:b w:val="0"/>
          <w:szCs w:val="24"/>
        </w:rPr>
      </w:pPr>
    </w:p>
    <w:p w:rsidR="00931FD3" w:rsidRPr="003303F8" w:rsidRDefault="00931FD3" w:rsidP="00931FD3">
      <w:pPr>
        <w:pStyle w:val="BlockText"/>
        <w:spacing w:before="0"/>
        <w:rPr>
          <w:rFonts w:ascii="Times New Roman" w:hAnsi="Times New Roman"/>
          <w:b w:val="0"/>
          <w:szCs w:val="24"/>
        </w:rPr>
      </w:pPr>
    </w:p>
    <w:p w:rsidR="00AC560C" w:rsidRPr="003303F8" w:rsidRDefault="00AC560C" w:rsidP="00931FD3">
      <w:pPr>
        <w:pStyle w:val="BlockText"/>
        <w:spacing w:before="0"/>
        <w:rPr>
          <w:rFonts w:ascii="Times New Roman" w:hAnsi="Times New Roman"/>
          <w:b w:val="0"/>
          <w:szCs w:val="24"/>
        </w:rPr>
      </w:pPr>
    </w:p>
    <w:p w:rsidR="00AC560C" w:rsidRPr="003303F8" w:rsidRDefault="00AC560C" w:rsidP="003E0C29">
      <w:pPr>
        <w:pStyle w:val="BlockText"/>
        <w:spacing w:before="0"/>
        <w:ind w:hanging="720"/>
        <w:jc w:val="right"/>
        <w:rPr>
          <w:rFonts w:ascii="Times New Roman" w:hAnsi="Times New Roman"/>
          <w:b w:val="0"/>
          <w:szCs w:val="24"/>
        </w:rPr>
      </w:pPr>
      <w:r w:rsidRPr="003303F8">
        <w:rPr>
          <w:rFonts w:ascii="Times New Roman" w:hAnsi="Times New Roman"/>
          <w:b w:val="0"/>
          <w:szCs w:val="24"/>
        </w:rPr>
        <w:t>PEER FIRM EARNINGS QUALITY</w:t>
      </w:r>
      <w:r w:rsidR="00BF08E6" w:rsidRPr="003303F8">
        <w:rPr>
          <w:rFonts w:ascii="Times New Roman" w:hAnsi="Times New Roman"/>
          <w:b w:val="0"/>
          <w:szCs w:val="24"/>
        </w:rPr>
        <w:t xml:space="preserve"> </w:t>
      </w:r>
      <w:r w:rsidRPr="003303F8">
        <w:rPr>
          <w:rFonts w:ascii="Times New Roman" w:hAnsi="Times New Roman"/>
          <w:b w:val="0"/>
          <w:szCs w:val="24"/>
        </w:rPr>
        <w:t>AND THE COST OF EQUITY</w:t>
      </w:r>
    </w:p>
    <w:p w:rsidR="00AC560C" w:rsidRPr="003303F8" w:rsidRDefault="00AC560C" w:rsidP="00931FD3">
      <w:pPr>
        <w:pStyle w:val="BlockText"/>
        <w:spacing w:before="0"/>
        <w:rPr>
          <w:rFonts w:ascii="Times New Roman" w:hAnsi="Times New Roman"/>
          <w:b w:val="0"/>
          <w:szCs w:val="24"/>
        </w:rPr>
      </w:pPr>
    </w:p>
    <w:p w:rsidR="00AC560C" w:rsidRPr="003303F8" w:rsidRDefault="00AC560C" w:rsidP="00931FD3">
      <w:pPr>
        <w:pStyle w:val="BlockText"/>
        <w:spacing w:before="0"/>
        <w:rPr>
          <w:rFonts w:ascii="Times New Roman" w:hAnsi="Times New Roman"/>
          <w:b w:val="0"/>
          <w:szCs w:val="24"/>
        </w:rPr>
      </w:pPr>
    </w:p>
    <w:p w:rsidR="00AC560C" w:rsidRPr="003303F8" w:rsidRDefault="00AC560C" w:rsidP="00931FD3">
      <w:pPr>
        <w:pStyle w:val="BlockText"/>
        <w:spacing w:before="0"/>
        <w:rPr>
          <w:rFonts w:ascii="Times New Roman" w:hAnsi="Times New Roman"/>
          <w:b w:val="0"/>
          <w:szCs w:val="24"/>
        </w:rPr>
      </w:pPr>
    </w:p>
    <w:p w:rsidR="00AC560C" w:rsidRPr="003303F8" w:rsidRDefault="00AC560C" w:rsidP="00931FD3">
      <w:pPr>
        <w:pStyle w:val="BlockText"/>
        <w:spacing w:before="0"/>
        <w:rPr>
          <w:rFonts w:ascii="Times New Roman" w:hAnsi="Times New Roman"/>
          <w:b w:val="0"/>
          <w:szCs w:val="24"/>
        </w:rPr>
      </w:pPr>
    </w:p>
    <w:p w:rsidR="00AC560C" w:rsidRPr="003303F8" w:rsidRDefault="00AC560C" w:rsidP="00931FD3">
      <w:pPr>
        <w:pStyle w:val="BlockText"/>
        <w:spacing w:before="0"/>
        <w:rPr>
          <w:rFonts w:ascii="Times New Roman" w:hAnsi="Times New Roman"/>
          <w:b w:val="0"/>
          <w:szCs w:val="24"/>
        </w:rPr>
      </w:pPr>
      <w:r w:rsidRPr="003303F8">
        <w:rPr>
          <w:rFonts w:ascii="Times New Roman" w:hAnsi="Times New Roman"/>
          <w:b w:val="0"/>
          <w:szCs w:val="24"/>
        </w:rPr>
        <w:t>A DISSERTATION</w:t>
      </w:r>
    </w:p>
    <w:p w:rsidR="00AC560C" w:rsidRPr="003303F8" w:rsidRDefault="00AC560C" w:rsidP="00931FD3">
      <w:pPr>
        <w:pStyle w:val="BlockText"/>
        <w:spacing w:before="0"/>
        <w:rPr>
          <w:rFonts w:ascii="Times New Roman" w:hAnsi="Times New Roman"/>
          <w:b w:val="0"/>
          <w:szCs w:val="24"/>
        </w:rPr>
      </w:pPr>
      <w:r w:rsidRPr="003303F8">
        <w:rPr>
          <w:rFonts w:ascii="Times New Roman" w:hAnsi="Times New Roman"/>
          <w:b w:val="0"/>
          <w:szCs w:val="24"/>
        </w:rPr>
        <w:t>SUBMITTED TO THE GRADUATE FACULTY</w:t>
      </w:r>
    </w:p>
    <w:p w:rsidR="003303F8" w:rsidRPr="003303F8" w:rsidRDefault="00AC560C" w:rsidP="00931FD3">
      <w:pPr>
        <w:pStyle w:val="BlockText"/>
        <w:spacing w:before="0"/>
        <w:rPr>
          <w:rFonts w:ascii="Times New Roman" w:hAnsi="Times New Roman"/>
          <w:b w:val="0"/>
          <w:szCs w:val="24"/>
        </w:rPr>
      </w:pPr>
      <w:proofErr w:type="gramStart"/>
      <w:r w:rsidRPr="003303F8">
        <w:rPr>
          <w:rFonts w:ascii="Times New Roman" w:hAnsi="Times New Roman"/>
          <w:b w:val="0"/>
          <w:szCs w:val="24"/>
        </w:rPr>
        <w:t>in</w:t>
      </w:r>
      <w:proofErr w:type="gramEnd"/>
      <w:r w:rsidRPr="003303F8">
        <w:rPr>
          <w:rFonts w:ascii="Times New Roman" w:hAnsi="Times New Roman"/>
          <w:b w:val="0"/>
          <w:szCs w:val="24"/>
        </w:rPr>
        <w:t xml:space="preserve"> partial fulfillment of the requirement for the </w:t>
      </w:r>
    </w:p>
    <w:p w:rsidR="00AC560C" w:rsidRPr="003303F8" w:rsidRDefault="003303F8" w:rsidP="00931FD3">
      <w:pPr>
        <w:pStyle w:val="BlockText"/>
        <w:spacing w:before="0"/>
        <w:rPr>
          <w:rFonts w:ascii="Times New Roman" w:hAnsi="Times New Roman"/>
          <w:b w:val="0"/>
          <w:szCs w:val="24"/>
        </w:rPr>
      </w:pPr>
      <w:r w:rsidRPr="003303F8">
        <w:rPr>
          <w:rFonts w:ascii="Times New Roman" w:hAnsi="Times New Roman"/>
          <w:b w:val="0"/>
          <w:szCs w:val="24"/>
        </w:rPr>
        <w:t>D</w:t>
      </w:r>
      <w:r w:rsidR="00AC560C" w:rsidRPr="003303F8">
        <w:rPr>
          <w:rFonts w:ascii="Times New Roman" w:hAnsi="Times New Roman"/>
          <w:b w:val="0"/>
          <w:szCs w:val="24"/>
        </w:rPr>
        <w:t>egree of</w:t>
      </w:r>
    </w:p>
    <w:p w:rsidR="00AC560C" w:rsidRPr="003303F8" w:rsidRDefault="00AC560C" w:rsidP="00931FD3">
      <w:pPr>
        <w:pStyle w:val="BlockText"/>
        <w:spacing w:before="0"/>
        <w:rPr>
          <w:rFonts w:ascii="Times New Roman" w:hAnsi="Times New Roman"/>
          <w:b w:val="0"/>
          <w:szCs w:val="24"/>
        </w:rPr>
      </w:pPr>
      <w:r w:rsidRPr="003303F8">
        <w:rPr>
          <w:rFonts w:ascii="Times New Roman" w:hAnsi="Times New Roman"/>
          <w:b w:val="0"/>
          <w:szCs w:val="24"/>
        </w:rPr>
        <w:t>DOCTOR OF PHILOSOPHY</w:t>
      </w:r>
    </w:p>
    <w:p w:rsidR="00AC560C" w:rsidRPr="003303F8" w:rsidRDefault="00AC560C" w:rsidP="00AC560C">
      <w:pPr>
        <w:pStyle w:val="BlockText"/>
        <w:spacing w:after="200" w:line="360" w:lineRule="auto"/>
        <w:rPr>
          <w:rFonts w:ascii="Times New Roman" w:hAnsi="Times New Roman"/>
          <w:b w:val="0"/>
          <w:szCs w:val="24"/>
        </w:rPr>
      </w:pPr>
    </w:p>
    <w:p w:rsidR="00AC560C" w:rsidRPr="003303F8" w:rsidRDefault="00AC560C" w:rsidP="00AC560C">
      <w:pPr>
        <w:pStyle w:val="BlockText"/>
        <w:spacing w:after="200" w:line="360" w:lineRule="auto"/>
        <w:rPr>
          <w:rFonts w:ascii="Times New Roman" w:hAnsi="Times New Roman"/>
          <w:b w:val="0"/>
          <w:szCs w:val="24"/>
        </w:rPr>
      </w:pPr>
    </w:p>
    <w:p w:rsidR="00AC560C" w:rsidRPr="003303F8" w:rsidRDefault="00AC560C" w:rsidP="00AC560C">
      <w:pPr>
        <w:pStyle w:val="BlockText"/>
        <w:spacing w:after="200" w:line="360" w:lineRule="auto"/>
        <w:rPr>
          <w:rFonts w:ascii="Times New Roman" w:hAnsi="Times New Roman"/>
          <w:b w:val="0"/>
          <w:szCs w:val="24"/>
        </w:rPr>
      </w:pPr>
    </w:p>
    <w:p w:rsidR="00AC560C" w:rsidRDefault="00AC560C" w:rsidP="00931FD3">
      <w:pPr>
        <w:pStyle w:val="BlockText"/>
        <w:spacing w:before="0" w:line="240" w:lineRule="auto"/>
        <w:rPr>
          <w:rFonts w:ascii="Times New Roman" w:hAnsi="Times New Roman"/>
          <w:b w:val="0"/>
          <w:szCs w:val="24"/>
        </w:rPr>
      </w:pPr>
      <w:r w:rsidRPr="003303F8">
        <w:rPr>
          <w:rFonts w:ascii="Times New Roman" w:hAnsi="Times New Roman"/>
          <w:b w:val="0"/>
          <w:szCs w:val="24"/>
        </w:rPr>
        <w:t>By</w:t>
      </w:r>
    </w:p>
    <w:p w:rsidR="003303F8" w:rsidRPr="003303F8" w:rsidRDefault="003303F8" w:rsidP="00931FD3">
      <w:pPr>
        <w:pStyle w:val="BlockText"/>
        <w:spacing w:before="0" w:line="240" w:lineRule="auto"/>
        <w:rPr>
          <w:rFonts w:ascii="Times New Roman" w:hAnsi="Times New Roman"/>
          <w:b w:val="0"/>
          <w:szCs w:val="24"/>
        </w:rPr>
      </w:pPr>
    </w:p>
    <w:p w:rsidR="00AC560C" w:rsidRPr="003303F8" w:rsidRDefault="003B4570" w:rsidP="00931FD3">
      <w:pPr>
        <w:pStyle w:val="BlockText"/>
        <w:spacing w:before="0" w:line="240" w:lineRule="auto"/>
        <w:rPr>
          <w:rFonts w:ascii="Times New Roman" w:hAnsi="Times New Roman"/>
          <w:b w:val="0"/>
          <w:szCs w:val="24"/>
        </w:rPr>
      </w:pPr>
      <w:r w:rsidRPr="003303F8">
        <w:rPr>
          <w:rFonts w:ascii="Times New Roman" w:hAnsi="Times New Roman"/>
          <w:b w:val="0"/>
          <w:szCs w:val="24"/>
        </w:rPr>
        <w:t>SHUAI MA</w:t>
      </w:r>
    </w:p>
    <w:p w:rsidR="00AC560C" w:rsidRPr="003303F8" w:rsidRDefault="00AC560C" w:rsidP="00931FD3">
      <w:pPr>
        <w:pStyle w:val="BlockText"/>
        <w:spacing w:before="0" w:line="240" w:lineRule="auto"/>
        <w:rPr>
          <w:rFonts w:ascii="Times New Roman" w:hAnsi="Times New Roman"/>
          <w:b w:val="0"/>
          <w:szCs w:val="24"/>
        </w:rPr>
      </w:pPr>
      <w:r w:rsidRPr="003303F8">
        <w:rPr>
          <w:rFonts w:ascii="Times New Roman" w:hAnsi="Times New Roman"/>
          <w:b w:val="0"/>
          <w:szCs w:val="24"/>
        </w:rPr>
        <w:t>Norman, Oklahoma</w:t>
      </w:r>
    </w:p>
    <w:p w:rsidR="00C174EA" w:rsidRPr="003303F8" w:rsidRDefault="00AC560C" w:rsidP="00931FD3">
      <w:pPr>
        <w:pStyle w:val="BlockText"/>
        <w:spacing w:before="0" w:line="240" w:lineRule="auto"/>
        <w:ind w:left="0" w:right="0"/>
        <w:rPr>
          <w:rFonts w:ascii="Times New Roman" w:hAnsi="Times New Roman"/>
          <w:b w:val="0"/>
          <w:szCs w:val="24"/>
        </w:rPr>
      </w:pPr>
      <w:r w:rsidRPr="003303F8">
        <w:rPr>
          <w:rFonts w:ascii="Times New Roman" w:hAnsi="Times New Roman"/>
          <w:b w:val="0"/>
          <w:szCs w:val="24"/>
        </w:rPr>
        <w:t>2014</w:t>
      </w:r>
    </w:p>
    <w:p w:rsidR="008176E7" w:rsidRPr="003303F8" w:rsidRDefault="008176E7" w:rsidP="00C174EA">
      <w:pPr>
        <w:pStyle w:val="BlockText"/>
        <w:spacing w:before="0" w:after="200" w:line="360" w:lineRule="auto"/>
        <w:ind w:left="0" w:right="0"/>
        <w:rPr>
          <w:rFonts w:ascii="Times New Roman" w:hAnsi="Times New Roman"/>
          <w:szCs w:val="24"/>
        </w:rPr>
      </w:pPr>
    </w:p>
    <w:p w:rsidR="00BF08E6" w:rsidRPr="003303F8" w:rsidRDefault="00BF08E6" w:rsidP="008E1213">
      <w:pPr>
        <w:pStyle w:val="BlockText"/>
        <w:spacing w:before="0"/>
        <w:ind w:hanging="720"/>
        <w:rPr>
          <w:rFonts w:ascii="Times New Roman" w:hAnsi="Times New Roman"/>
          <w:b w:val="0"/>
          <w:szCs w:val="24"/>
        </w:rPr>
      </w:pPr>
      <w:r w:rsidRPr="003303F8">
        <w:rPr>
          <w:rFonts w:ascii="Times New Roman" w:hAnsi="Times New Roman"/>
          <w:b w:val="0"/>
          <w:szCs w:val="24"/>
        </w:rPr>
        <w:lastRenderedPageBreak/>
        <w:t>PEER FIRM EARNINGS QUALITY AND THE COST OF EQUITY</w:t>
      </w:r>
    </w:p>
    <w:p w:rsidR="008176E7" w:rsidRPr="003303F8" w:rsidRDefault="008176E7" w:rsidP="008E1213">
      <w:pPr>
        <w:pStyle w:val="BlockText"/>
        <w:spacing w:before="0" w:line="240" w:lineRule="auto"/>
        <w:rPr>
          <w:rFonts w:ascii="Times New Roman" w:hAnsi="Times New Roman"/>
          <w:b w:val="0"/>
          <w:szCs w:val="24"/>
        </w:rPr>
      </w:pPr>
    </w:p>
    <w:p w:rsidR="008176E7" w:rsidRPr="003303F8" w:rsidRDefault="008176E7" w:rsidP="008E1213">
      <w:pPr>
        <w:widowControl/>
        <w:overflowPunct/>
        <w:jc w:val="center"/>
        <w:rPr>
          <w:kern w:val="0"/>
          <w:sz w:val="24"/>
          <w:szCs w:val="24"/>
        </w:rPr>
      </w:pPr>
      <w:bookmarkStart w:id="0" w:name="_GoBack"/>
      <w:bookmarkEnd w:id="0"/>
    </w:p>
    <w:p w:rsidR="008176E7" w:rsidRPr="003303F8" w:rsidRDefault="008176E7" w:rsidP="008E1213">
      <w:pPr>
        <w:widowControl/>
        <w:overflowPunct/>
        <w:jc w:val="center"/>
        <w:rPr>
          <w:kern w:val="0"/>
          <w:sz w:val="24"/>
          <w:szCs w:val="24"/>
        </w:rPr>
      </w:pPr>
      <w:r w:rsidRPr="003303F8">
        <w:rPr>
          <w:kern w:val="0"/>
          <w:sz w:val="24"/>
          <w:szCs w:val="24"/>
        </w:rPr>
        <w:t>A DISSERTATION APPROVED FOR THE</w:t>
      </w:r>
    </w:p>
    <w:p w:rsidR="008176E7" w:rsidRPr="003303F8" w:rsidRDefault="008176E7" w:rsidP="008E1213">
      <w:pPr>
        <w:widowControl/>
        <w:overflowPunct/>
        <w:jc w:val="center"/>
        <w:rPr>
          <w:kern w:val="0"/>
          <w:sz w:val="24"/>
          <w:szCs w:val="24"/>
        </w:rPr>
      </w:pPr>
      <w:r w:rsidRPr="003303F8">
        <w:rPr>
          <w:kern w:val="0"/>
          <w:sz w:val="24"/>
          <w:szCs w:val="24"/>
        </w:rPr>
        <w:t>MICHAEL F. PRICE COLLEGE OF BUSINESS</w:t>
      </w: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8176E7" w:rsidRPr="003303F8" w:rsidRDefault="008176E7" w:rsidP="008E1213">
      <w:pPr>
        <w:widowControl/>
        <w:overflowPunct/>
        <w:jc w:val="center"/>
        <w:rPr>
          <w:kern w:val="0"/>
          <w:sz w:val="24"/>
          <w:szCs w:val="24"/>
        </w:rPr>
      </w:pPr>
    </w:p>
    <w:p w:rsidR="001F01F7" w:rsidRPr="003303F8" w:rsidRDefault="003303F8" w:rsidP="00634836">
      <w:pPr>
        <w:widowControl/>
        <w:overflowPunct/>
        <w:jc w:val="center"/>
        <w:rPr>
          <w:kern w:val="0"/>
          <w:sz w:val="24"/>
          <w:szCs w:val="24"/>
        </w:rPr>
      </w:pPr>
      <w:r>
        <w:rPr>
          <w:kern w:val="0"/>
          <w:sz w:val="24"/>
          <w:szCs w:val="24"/>
        </w:rPr>
        <w:t>BY</w:t>
      </w:r>
    </w:p>
    <w:p w:rsidR="008176E7" w:rsidRPr="003303F8" w:rsidRDefault="008176E7" w:rsidP="008E1213">
      <w:pPr>
        <w:widowControl/>
        <w:overflowPunct/>
        <w:jc w:val="center"/>
        <w:rPr>
          <w:b/>
          <w:kern w:val="0"/>
          <w:sz w:val="24"/>
          <w:szCs w:val="24"/>
        </w:rPr>
      </w:pPr>
    </w:p>
    <w:p w:rsidR="008176E7" w:rsidRPr="003303F8" w:rsidRDefault="008176E7" w:rsidP="008176E7">
      <w:pPr>
        <w:widowControl/>
        <w:overflowPunct/>
        <w:rPr>
          <w:kern w:val="0"/>
          <w:sz w:val="24"/>
          <w:szCs w:val="24"/>
        </w:rPr>
      </w:pPr>
    </w:p>
    <w:p w:rsidR="008176E7" w:rsidRPr="003303F8" w:rsidRDefault="008176E7" w:rsidP="008176E7">
      <w:pPr>
        <w:widowControl/>
        <w:overflowPunct/>
        <w:rPr>
          <w:kern w:val="0"/>
          <w:sz w:val="24"/>
          <w:szCs w:val="24"/>
        </w:rPr>
      </w:pPr>
    </w:p>
    <w:p w:rsidR="008176E7" w:rsidRPr="003303F8" w:rsidRDefault="008176E7" w:rsidP="008176E7">
      <w:pPr>
        <w:widowControl/>
        <w:overflowPunct/>
        <w:rPr>
          <w:kern w:val="0"/>
          <w:sz w:val="24"/>
          <w:szCs w:val="24"/>
        </w:rPr>
      </w:pPr>
    </w:p>
    <w:p w:rsidR="008176E7" w:rsidRPr="003303F8" w:rsidRDefault="008176E7" w:rsidP="008176E7">
      <w:pPr>
        <w:widowControl/>
        <w:overflowPunct/>
        <w:rPr>
          <w:kern w:val="0"/>
          <w:sz w:val="24"/>
          <w:szCs w:val="24"/>
        </w:rPr>
      </w:pPr>
    </w:p>
    <w:p w:rsidR="008176E7" w:rsidRPr="003303F8" w:rsidRDefault="008176E7" w:rsidP="00931FD3">
      <w:pPr>
        <w:widowControl/>
        <w:overflowPunct/>
        <w:jc w:val="center"/>
        <w:rPr>
          <w:kern w:val="0"/>
          <w:sz w:val="24"/>
          <w:szCs w:val="24"/>
        </w:rPr>
      </w:pPr>
    </w:p>
    <w:p w:rsidR="008176E7" w:rsidRPr="003303F8" w:rsidRDefault="008176E7" w:rsidP="00931FD3">
      <w:pPr>
        <w:widowControl/>
        <w:overflowPunct/>
        <w:jc w:val="right"/>
        <w:rPr>
          <w:kern w:val="0"/>
          <w:sz w:val="24"/>
          <w:szCs w:val="24"/>
        </w:rPr>
      </w:pPr>
      <w:r w:rsidRPr="003303F8">
        <w:rPr>
          <w:kern w:val="0"/>
          <w:sz w:val="24"/>
          <w:szCs w:val="24"/>
        </w:rPr>
        <w:t>___________________________________</w:t>
      </w:r>
    </w:p>
    <w:p w:rsidR="008176E7" w:rsidRPr="003303F8" w:rsidRDefault="008176E7" w:rsidP="00931FD3">
      <w:pPr>
        <w:widowControl/>
        <w:overflowPunct/>
        <w:jc w:val="right"/>
        <w:rPr>
          <w:kern w:val="0"/>
          <w:sz w:val="24"/>
          <w:szCs w:val="24"/>
        </w:rPr>
      </w:pPr>
      <w:r w:rsidRPr="003303F8">
        <w:rPr>
          <w:kern w:val="0"/>
          <w:sz w:val="24"/>
          <w:szCs w:val="24"/>
        </w:rPr>
        <w:t>Dr. Wayne B. Thomas, Chair</w:t>
      </w: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r w:rsidRPr="003303F8">
        <w:rPr>
          <w:kern w:val="0"/>
          <w:sz w:val="24"/>
          <w:szCs w:val="24"/>
        </w:rPr>
        <w:t>___________________________________</w:t>
      </w:r>
    </w:p>
    <w:p w:rsidR="008176E7" w:rsidRPr="003303F8" w:rsidRDefault="008176E7" w:rsidP="00931FD3">
      <w:pPr>
        <w:widowControl/>
        <w:overflowPunct/>
        <w:jc w:val="right"/>
        <w:rPr>
          <w:kern w:val="0"/>
          <w:sz w:val="24"/>
          <w:szCs w:val="24"/>
        </w:rPr>
      </w:pPr>
      <w:r w:rsidRPr="003303F8">
        <w:rPr>
          <w:kern w:val="0"/>
          <w:sz w:val="24"/>
          <w:szCs w:val="24"/>
        </w:rPr>
        <w:t>Dr. Frances L. Ayres</w:t>
      </w: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r w:rsidRPr="003303F8">
        <w:rPr>
          <w:kern w:val="0"/>
          <w:sz w:val="24"/>
          <w:szCs w:val="24"/>
        </w:rPr>
        <w:t>___________________________________</w:t>
      </w:r>
    </w:p>
    <w:p w:rsidR="008176E7" w:rsidRPr="003303F8" w:rsidRDefault="008176E7" w:rsidP="00931FD3">
      <w:pPr>
        <w:widowControl/>
        <w:overflowPunct/>
        <w:jc w:val="right"/>
        <w:rPr>
          <w:kern w:val="0"/>
          <w:sz w:val="24"/>
          <w:szCs w:val="24"/>
        </w:rPr>
      </w:pPr>
      <w:r w:rsidRPr="003303F8">
        <w:rPr>
          <w:kern w:val="0"/>
          <w:sz w:val="24"/>
          <w:szCs w:val="24"/>
        </w:rPr>
        <w:t>Dr. Louis H. Ederington</w:t>
      </w: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r w:rsidRPr="003303F8">
        <w:rPr>
          <w:kern w:val="0"/>
          <w:sz w:val="24"/>
          <w:szCs w:val="24"/>
        </w:rPr>
        <w:t>___________________________________</w:t>
      </w:r>
    </w:p>
    <w:p w:rsidR="008176E7" w:rsidRPr="003303F8" w:rsidRDefault="007F68FC" w:rsidP="00931FD3">
      <w:pPr>
        <w:widowControl/>
        <w:overflowPunct/>
        <w:jc w:val="right"/>
        <w:rPr>
          <w:kern w:val="0"/>
          <w:sz w:val="24"/>
          <w:szCs w:val="24"/>
        </w:rPr>
      </w:pPr>
      <w:r w:rsidRPr="003303F8">
        <w:rPr>
          <w:kern w:val="0"/>
          <w:sz w:val="24"/>
          <w:szCs w:val="24"/>
        </w:rPr>
        <w:t>Dr. Karen M. Hennes</w:t>
      </w:r>
      <w:r w:rsidRPr="003303F8" w:rsidDel="007F68FC">
        <w:rPr>
          <w:kern w:val="0"/>
          <w:sz w:val="24"/>
          <w:szCs w:val="24"/>
        </w:rPr>
        <w:t xml:space="preserve"> </w:t>
      </w:r>
    </w:p>
    <w:p w:rsidR="008176E7" w:rsidRPr="003303F8" w:rsidRDefault="008176E7"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p>
    <w:p w:rsidR="007F68FC" w:rsidRPr="003303F8" w:rsidRDefault="007F68FC" w:rsidP="00931FD3">
      <w:pPr>
        <w:widowControl/>
        <w:overflowPunct/>
        <w:jc w:val="right"/>
        <w:rPr>
          <w:kern w:val="0"/>
          <w:sz w:val="24"/>
          <w:szCs w:val="24"/>
        </w:rPr>
      </w:pPr>
    </w:p>
    <w:p w:rsidR="008176E7" w:rsidRPr="003303F8" w:rsidRDefault="008176E7" w:rsidP="00931FD3">
      <w:pPr>
        <w:widowControl/>
        <w:overflowPunct/>
        <w:jc w:val="right"/>
        <w:rPr>
          <w:kern w:val="0"/>
          <w:sz w:val="24"/>
          <w:szCs w:val="24"/>
        </w:rPr>
      </w:pPr>
      <w:r w:rsidRPr="003303F8">
        <w:rPr>
          <w:kern w:val="0"/>
          <w:sz w:val="24"/>
          <w:szCs w:val="24"/>
        </w:rPr>
        <w:t>___________________________________</w:t>
      </w:r>
    </w:p>
    <w:p w:rsidR="007F68FC" w:rsidRPr="003303F8" w:rsidRDefault="007F68FC" w:rsidP="007F68FC">
      <w:pPr>
        <w:widowControl/>
        <w:overflowPunct/>
        <w:jc w:val="right"/>
        <w:rPr>
          <w:kern w:val="0"/>
          <w:sz w:val="24"/>
          <w:szCs w:val="24"/>
        </w:rPr>
      </w:pPr>
      <w:r w:rsidRPr="003303F8">
        <w:rPr>
          <w:kern w:val="0"/>
          <w:sz w:val="24"/>
          <w:szCs w:val="24"/>
        </w:rPr>
        <w:t>Dr. Robert C. Lipe</w:t>
      </w:r>
    </w:p>
    <w:p w:rsidR="00931FD3" w:rsidRDefault="00931FD3" w:rsidP="00C174EA">
      <w:pPr>
        <w:pStyle w:val="BlockText"/>
        <w:spacing w:before="0" w:after="200" w:line="360" w:lineRule="auto"/>
        <w:ind w:left="0" w:right="0"/>
        <w:rPr>
          <w:rFonts w:ascii="Times New Roman" w:hAnsi="Times New Roman"/>
          <w:szCs w:val="24"/>
        </w:rPr>
      </w:pPr>
    </w:p>
    <w:p w:rsidR="00D86B5F" w:rsidRDefault="00D86B5F" w:rsidP="00C174EA">
      <w:pPr>
        <w:pStyle w:val="BlockText"/>
        <w:spacing w:before="0" w:after="200" w:line="360" w:lineRule="auto"/>
        <w:ind w:left="0" w:right="0"/>
        <w:rPr>
          <w:rFonts w:ascii="Times New Roman" w:hAnsi="Times New Roman"/>
          <w:szCs w:val="24"/>
        </w:rPr>
      </w:pPr>
    </w:p>
    <w:p w:rsidR="00D86B5F" w:rsidRDefault="00D86B5F" w:rsidP="00C174EA">
      <w:pPr>
        <w:pStyle w:val="BlockText"/>
        <w:spacing w:before="0" w:after="200" w:line="360" w:lineRule="auto"/>
        <w:ind w:left="0" w:right="0"/>
        <w:rPr>
          <w:rFonts w:ascii="Times New Roman" w:hAnsi="Times New Roman"/>
          <w:szCs w:val="24"/>
        </w:rPr>
      </w:pPr>
    </w:p>
    <w:p w:rsidR="00D86B5F" w:rsidRDefault="00D86B5F" w:rsidP="00C174EA">
      <w:pPr>
        <w:pStyle w:val="BlockText"/>
        <w:spacing w:before="0" w:after="200" w:line="360" w:lineRule="auto"/>
        <w:ind w:left="0" w:right="0"/>
        <w:rPr>
          <w:rFonts w:ascii="Times New Roman" w:hAnsi="Times New Roman"/>
          <w:szCs w:val="24"/>
        </w:rPr>
      </w:pPr>
    </w:p>
    <w:p w:rsidR="00B310E0" w:rsidRDefault="00B310E0" w:rsidP="00C174EA">
      <w:pPr>
        <w:pStyle w:val="BlockText"/>
        <w:spacing w:before="0" w:after="200" w:line="360" w:lineRule="auto"/>
        <w:ind w:left="0" w:right="0"/>
        <w:rPr>
          <w:rFonts w:ascii="Times New Roman" w:hAnsi="Times New Roman"/>
          <w:szCs w:val="24"/>
        </w:rPr>
      </w:pPr>
    </w:p>
    <w:p w:rsidR="00B310E0" w:rsidRDefault="00B310E0" w:rsidP="00C174EA">
      <w:pPr>
        <w:pStyle w:val="BlockText"/>
        <w:spacing w:before="0" w:after="200" w:line="360" w:lineRule="auto"/>
        <w:ind w:left="0" w:right="0"/>
        <w:rPr>
          <w:rFonts w:ascii="Times New Roman" w:hAnsi="Times New Roman"/>
          <w:szCs w:val="24"/>
        </w:rPr>
      </w:pPr>
    </w:p>
    <w:p w:rsidR="00B310E0" w:rsidRDefault="00B310E0" w:rsidP="00C174EA">
      <w:pPr>
        <w:pStyle w:val="BlockText"/>
        <w:spacing w:before="0" w:after="200" w:line="360" w:lineRule="auto"/>
        <w:ind w:left="0" w:right="0"/>
        <w:rPr>
          <w:rFonts w:ascii="Times New Roman" w:hAnsi="Times New Roman"/>
          <w:szCs w:val="24"/>
        </w:rPr>
      </w:pPr>
    </w:p>
    <w:p w:rsidR="00D86B5F" w:rsidRPr="003303F8" w:rsidRDefault="00D86B5F"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0D33D5" w:rsidRPr="003303F8" w:rsidRDefault="000D33D5"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8176E7" w:rsidRPr="003303F8" w:rsidRDefault="008176E7" w:rsidP="00C174EA">
      <w:pPr>
        <w:pStyle w:val="BlockText"/>
        <w:spacing w:before="0" w:after="200" w:line="360" w:lineRule="auto"/>
        <w:ind w:left="0" w:right="0"/>
        <w:rPr>
          <w:rFonts w:ascii="Times New Roman" w:hAnsi="Times New Roman"/>
          <w:szCs w:val="24"/>
        </w:rPr>
      </w:pPr>
    </w:p>
    <w:p w:rsidR="008176E7" w:rsidRPr="003303F8" w:rsidRDefault="008176E7" w:rsidP="00931FD3">
      <w:pPr>
        <w:widowControl/>
        <w:overflowPunct/>
        <w:jc w:val="center"/>
        <w:rPr>
          <w:kern w:val="0"/>
          <w:sz w:val="24"/>
          <w:szCs w:val="24"/>
        </w:rPr>
      </w:pPr>
      <w:r w:rsidRPr="003303F8">
        <w:rPr>
          <w:kern w:val="0"/>
          <w:sz w:val="24"/>
          <w:szCs w:val="24"/>
        </w:rPr>
        <w:t>© Copyright by SHUAI MA 2014</w:t>
      </w:r>
    </w:p>
    <w:p w:rsidR="008176E7" w:rsidRPr="003303F8" w:rsidRDefault="008176E7" w:rsidP="00931FD3">
      <w:pPr>
        <w:widowControl/>
        <w:overflowPunct/>
        <w:autoSpaceDE/>
        <w:autoSpaceDN/>
        <w:adjustRightInd/>
        <w:jc w:val="center"/>
        <w:rPr>
          <w:rFonts w:eastAsia="Times"/>
          <w:b/>
          <w:kern w:val="0"/>
          <w:sz w:val="24"/>
          <w:szCs w:val="24"/>
          <w:lang w:eastAsia="en-US"/>
        </w:rPr>
      </w:pPr>
      <w:r w:rsidRPr="003303F8">
        <w:rPr>
          <w:kern w:val="0"/>
          <w:sz w:val="24"/>
          <w:szCs w:val="24"/>
        </w:rPr>
        <w:t>All Rights Reserved.</w:t>
      </w:r>
    </w:p>
    <w:p w:rsidR="00EF1D3F" w:rsidRPr="003303F8" w:rsidRDefault="00EF1D3F">
      <w:pPr>
        <w:pStyle w:val="BlockText"/>
        <w:spacing w:before="0" w:after="200" w:line="360" w:lineRule="auto"/>
        <w:ind w:left="0" w:right="0"/>
        <w:rPr>
          <w:rFonts w:ascii="Times New Roman" w:hAnsi="Times New Roman"/>
          <w:szCs w:val="24"/>
        </w:rPr>
      </w:pPr>
    </w:p>
    <w:p w:rsidR="00EF1D3F" w:rsidRDefault="00EF1D3F" w:rsidP="00C174EA">
      <w:pPr>
        <w:pStyle w:val="BlockText"/>
        <w:spacing w:before="0" w:after="200" w:line="360" w:lineRule="auto"/>
        <w:ind w:left="0" w:right="0"/>
        <w:rPr>
          <w:rFonts w:ascii="Times New Roman" w:hAnsi="Times New Roman"/>
          <w:szCs w:val="24"/>
        </w:rPr>
      </w:pPr>
    </w:p>
    <w:p w:rsidR="002F063F" w:rsidRPr="003303F8" w:rsidRDefault="002F063F" w:rsidP="001F01F7">
      <w:pPr>
        <w:pStyle w:val="BlockText"/>
        <w:spacing w:before="0" w:after="200"/>
        <w:ind w:left="0" w:right="0"/>
        <w:rPr>
          <w:rFonts w:ascii="Times New Roman" w:hAnsi="Times New Roman"/>
          <w:szCs w:val="24"/>
        </w:rPr>
      </w:pPr>
      <w:r w:rsidRPr="003303F8">
        <w:rPr>
          <w:rFonts w:ascii="Times New Roman" w:hAnsi="Times New Roman"/>
          <w:szCs w:val="24"/>
        </w:rPr>
        <w:t>DEDICATION</w:t>
      </w:r>
    </w:p>
    <w:p w:rsidR="00931FD3" w:rsidRPr="003303F8" w:rsidRDefault="00FC5498">
      <w:pPr>
        <w:pStyle w:val="BlockText"/>
        <w:spacing w:before="0" w:after="200" w:line="360" w:lineRule="auto"/>
        <w:ind w:left="0" w:right="0"/>
        <w:rPr>
          <w:rFonts w:ascii="Times New Roman" w:hAnsi="Times New Roman"/>
          <w:b w:val="0"/>
          <w:szCs w:val="24"/>
        </w:rPr>
        <w:sectPr w:rsidR="00931FD3" w:rsidRPr="003303F8" w:rsidSect="008010EB">
          <w:footerReference w:type="default" r:id="rId9"/>
          <w:pgSz w:w="12240" w:h="15840" w:code="1"/>
          <w:pgMar w:top="1440" w:right="1440" w:bottom="1440" w:left="2304" w:header="0" w:footer="720" w:gutter="0"/>
          <w:pgNumType w:start="0"/>
          <w:cols w:space="720"/>
          <w:noEndnote/>
          <w:titlePg/>
          <w:docGrid w:linePitch="360"/>
        </w:sectPr>
      </w:pPr>
      <w:proofErr w:type="gramStart"/>
      <w:r w:rsidRPr="003303F8">
        <w:rPr>
          <w:rFonts w:ascii="Times New Roman" w:hAnsi="Times New Roman"/>
          <w:b w:val="0"/>
          <w:szCs w:val="24"/>
        </w:rPr>
        <w:t>To my parents</w:t>
      </w:r>
      <w:r w:rsidR="00931FD3" w:rsidRPr="003303F8">
        <w:rPr>
          <w:rFonts w:ascii="Times New Roman" w:hAnsi="Times New Roman"/>
          <w:b w:val="0"/>
          <w:szCs w:val="24"/>
        </w:rPr>
        <w:t xml:space="preserve">, </w:t>
      </w:r>
      <w:proofErr w:type="spellStart"/>
      <w:r w:rsidR="00931FD3" w:rsidRPr="003303F8">
        <w:rPr>
          <w:rFonts w:ascii="Times New Roman" w:hAnsi="Times New Roman"/>
          <w:b w:val="0"/>
          <w:szCs w:val="24"/>
        </w:rPr>
        <w:t>Jingsheng</w:t>
      </w:r>
      <w:proofErr w:type="spellEnd"/>
      <w:r w:rsidR="00931FD3" w:rsidRPr="003303F8">
        <w:rPr>
          <w:rFonts w:ascii="Times New Roman" w:hAnsi="Times New Roman"/>
          <w:b w:val="0"/>
          <w:szCs w:val="24"/>
        </w:rPr>
        <w:t xml:space="preserve"> Ma and Li Fang</w:t>
      </w:r>
      <w:r w:rsidR="00B55AD1" w:rsidRPr="003303F8">
        <w:rPr>
          <w:rFonts w:ascii="Times New Roman" w:hAnsi="Times New Roman"/>
          <w:b w:val="0"/>
          <w:szCs w:val="24"/>
        </w:rPr>
        <w:t>.</w:t>
      </w:r>
      <w:proofErr w:type="gramEnd"/>
      <w:r w:rsidR="00931FD3" w:rsidRPr="003303F8">
        <w:rPr>
          <w:rFonts w:ascii="Times New Roman" w:hAnsi="Times New Roman"/>
          <w:b w:val="0"/>
          <w:szCs w:val="24"/>
        </w:rPr>
        <w:t xml:space="preserve"> </w:t>
      </w:r>
    </w:p>
    <w:p w:rsidR="008176E7" w:rsidRPr="003303F8" w:rsidRDefault="008176E7" w:rsidP="001F01F7">
      <w:pPr>
        <w:pStyle w:val="BlockText"/>
        <w:spacing w:before="0" w:after="200"/>
        <w:ind w:left="0" w:right="0"/>
        <w:rPr>
          <w:rFonts w:ascii="Times New Roman" w:hAnsi="Times New Roman"/>
          <w:szCs w:val="24"/>
        </w:rPr>
      </w:pPr>
      <w:r w:rsidRPr="003303F8">
        <w:rPr>
          <w:rFonts w:ascii="Times New Roman" w:hAnsi="Times New Roman"/>
          <w:szCs w:val="24"/>
        </w:rPr>
        <w:lastRenderedPageBreak/>
        <w:t>ACKNOWLEDGEMENTS</w:t>
      </w:r>
    </w:p>
    <w:p w:rsidR="00931FD3" w:rsidRPr="003303F8" w:rsidRDefault="00693417" w:rsidP="00C73543">
      <w:pPr>
        <w:pStyle w:val="BodyText2"/>
        <w:tabs>
          <w:tab w:val="left" w:pos="720"/>
        </w:tabs>
        <w:ind w:firstLine="720"/>
        <w:jc w:val="left"/>
        <w:rPr>
          <w:rFonts w:ascii="Times New Roman" w:eastAsiaTheme="minorEastAsia" w:hAnsi="Times New Roman"/>
          <w:color w:val="000000"/>
          <w:szCs w:val="24"/>
          <w:lang w:eastAsia="zh-CN"/>
        </w:rPr>
      </w:pPr>
      <w:r w:rsidRPr="003303F8">
        <w:rPr>
          <w:rFonts w:ascii="Times New Roman" w:eastAsiaTheme="minorEastAsia" w:hAnsi="Times New Roman"/>
          <w:color w:val="000000"/>
          <w:szCs w:val="24"/>
          <w:lang w:eastAsia="zh-CN"/>
        </w:rPr>
        <w:t xml:space="preserve">I cannot express </w:t>
      </w:r>
      <w:r w:rsidR="007F68FC" w:rsidRPr="003303F8">
        <w:rPr>
          <w:rFonts w:ascii="Times New Roman" w:eastAsiaTheme="minorEastAsia" w:hAnsi="Times New Roman"/>
          <w:color w:val="000000"/>
          <w:szCs w:val="24"/>
          <w:lang w:eastAsia="zh-CN"/>
        </w:rPr>
        <w:t>enough appreciation</w:t>
      </w:r>
      <w:r w:rsidRPr="003303F8">
        <w:rPr>
          <w:rFonts w:ascii="Times New Roman" w:eastAsiaTheme="minorEastAsia" w:hAnsi="Times New Roman"/>
          <w:color w:val="000000"/>
          <w:szCs w:val="24"/>
          <w:lang w:eastAsia="zh-CN"/>
        </w:rPr>
        <w:t xml:space="preserve"> to</w:t>
      </w:r>
      <w:r w:rsidR="008176E7" w:rsidRPr="003303F8">
        <w:rPr>
          <w:rFonts w:ascii="Times New Roman" w:eastAsiaTheme="minorEastAsia" w:hAnsi="Times New Roman"/>
          <w:color w:val="000000"/>
          <w:szCs w:val="24"/>
          <w:lang w:eastAsia="zh-CN"/>
        </w:rPr>
        <w:t xml:space="preserve"> my dissertation committee</w:t>
      </w:r>
      <w:r w:rsidR="00931FD3" w:rsidRPr="003303F8">
        <w:rPr>
          <w:rFonts w:ascii="Times New Roman" w:eastAsiaTheme="minorEastAsia" w:hAnsi="Times New Roman"/>
          <w:color w:val="000000"/>
          <w:szCs w:val="24"/>
          <w:lang w:eastAsia="zh-CN"/>
        </w:rPr>
        <w:t xml:space="preserve"> members</w:t>
      </w:r>
      <w:r w:rsidR="008176E7" w:rsidRPr="003303F8">
        <w:rPr>
          <w:rFonts w:ascii="Times New Roman" w:eastAsiaTheme="minorEastAsia" w:hAnsi="Times New Roman"/>
          <w:color w:val="000000"/>
          <w:szCs w:val="24"/>
          <w:lang w:eastAsia="zh-CN"/>
        </w:rPr>
        <w:t xml:space="preserve">, Wayne Thomas (Chair), Frances Ayres, </w:t>
      </w:r>
      <w:r w:rsidR="00350147" w:rsidRPr="003303F8">
        <w:rPr>
          <w:rFonts w:ascii="Times New Roman" w:eastAsiaTheme="minorEastAsia" w:hAnsi="Times New Roman"/>
          <w:color w:val="000000"/>
          <w:szCs w:val="24"/>
          <w:lang w:eastAsia="zh-CN"/>
        </w:rPr>
        <w:t xml:space="preserve">Louis Ederington, </w:t>
      </w:r>
      <w:r w:rsidR="008176E7" w:rsidRPr="003303F8">
        <w:rPr>
          <w:rFonts w:ascii="Times New Roman" w:eastAsiaTheme="minorEastAsia" w:hAnsi="Times New Roman"/>
          <w:color w:val="000000"/>
          <w:szCs w:val="24"/>
          <w:lang w:eastAsia="zh-CN"/>
        </w:rPr>
        <w:t xml:space="preserve">Karen Hennes and </w:t>
      </w:r>
      <w:r w:rsidR="00350147" w:rsidRPr="003303F8">
        <w:rPr>
          <w:rFonts w:ascii="Times New Roman" w:eastAsiaTheme="minorEastAsia" w:hAnsi="Times New Roman"/>
          <w:color w:val="000000"/>
          <w:szCs w:val="24"/>
          <w:lang w:eastAsia="zh-CN"/>
        </w:rPr>
        <w:t>Robert Lipe, who did a great job as the past Ph.D. director at the University of Oklahoma</w:t>
      </w:r>
      <w:r w:rsidR="008176E7" w:rsidRPr="003303F8">
        <w:rPr>
          <w:rFonts w:ascii="Times New Roman" w:eastAsiaTheme="minorEastAsia" w:hAnsi="Times New Roman"/>
          <w:color w:val="000000"/>
          <w:szCs w:val="24"/>
          <w:lang w:eastAsia="zh-CN"/>
        </w:rPr>
        <w:t xml:space="preserve">. </w:t>
      </w:r>
      <w:r w:rsidR="00931FD3" w:rsidRPr="003303F8">
        <w:rPr>
          <w:rFonts w:ascii="Times New Roman" w:eastAsiaTheme="minorEastAsia" w:hAnsi="Times New Roman"/>
          <w:color w:val="000000"/>
          <w:szCs w:val="24"/>
          <w:lang w:eastAsia="zh-CN"/>
        </w:rPr>
        <w:t xml:space="preserve"> </w:t>
      </w:r>
    </w:p>
    <w:p w:rsidR="00931FD3" w:rsidRPr="003303F8" w:rsidRDefault="00931FD3" w:rsidP="00C73543">
      <w:pPr>
        <w:pStyle w:val="BodyText2"/>
        <w:tabs>
          <w:tab w:val="left" w:pos="720"/>
        </w:tabs>
        <w:ind w:firstLine="720"/>
        <w:jc w:val="left"/>
        <w:rPr>
          <w:rFonts w:ascii="Times New Roman" w:eastAsiaTheme="minorEastAsia" w:hAnsi="Times New Roman"/>
          <w:color w:val="000000"/>
          <w:szCs w:val="24"/>
          <w:lang w:eastAsia="zh-CN"/>
        </w:rPr>
      </w:pPr>
    </w:p>
    <w:p w:rsidR="008176E7" w:rsidRPr="003303F8" w:rsidRDefault="00931FD3" w:rsidP="00C73543">
      <w:pPr>
        <w:pStyle w:val="BodyText2"/>
        <w:tabs>
          <w:tab w:val="left" w:pos="720"/>
        </w:tabs>
        <w:ind w:firstLine="720"/>
        <w:jc w:val="left"/>
        <w:rPr>
          <w:rFonts w:ascii="Times New Roman" w:eastAsiaTheme="minorEastAsia" w:hAnsi="Times New Roman"/>
          <w:color w:val="000000"/>
          <w:szCs w:val="24"/>
          <w:lang w:eastAsia="zh-CN"/>
        </w:rPr>
      </w:pPr>
      <w:r w:rsidRPr="003303F8">
        <w:rPr>
          <w:rFonts w:ascii="Times New Roman" w:eastAsiaTheme="minorEastAsia" w:hAnsi="Times New Roman"/>
          <w:color w:val="000000"/>
          <w:szCs w:val="24"/>
          <w:lang w:eastAsia="zh-CN"/>
        </w:rPr>
        <w:t xml:space="preserve">I am especially </w:t>
      </w:r>
      <w:r w:rsidR="00693417" w:rsidRPr="003303F8">
        <w:rPr>
          <w:rFonts w:ascii="Times New Roman" w:eastAsiaTheme="minorEastAsia" w:hAnsi="Times New Roman"/>
          <w:color w:val="000000"/>
          <w:szCs w:val="24"/>
          <w:lang w:eastAsia="zh-CN"/>
        </w:rPr>
        <w:t>in</w:t>
      </w:r>
      <w:r w:rsidRPr="003303F8">
        <w:rPr>
          <w:rFonts w:ascii="Times New Roman" w:eastAsiaTheme="minorEastAsia" w:hAnsi="Times New Roman"/>
          <w:color w:val="000000"/>
          <w:szCs w:val="24"/>
          <w:lang w:eastAsia="zh-CN"/>
        </w:rPr>
        <w:t>debt</w:t>
      </w:r>
      <w:r w:rsidR="00693417" w:rsidRPr="003303F8">
        <w:rPr>
          <w:rFonts w:ascii="Times New Roman" w:eastAsiaTheme="minorEastAsia" w:hAnsi="Times New Roman"/>
          <w:color w:val="000000"/>
          <w:szCs w:val="24"/>
          <w:lang w:eastAsia="zh-CN"/>
        </w:rPr>
        <w:t>ed</w:t>
      </w:r>
      <w:r w:rsidRPr="003303F8">
        <w:rPr>
          <w:rFonts w:ascii="Times New Roman" w:eastAsiaTheme="minorEastAsia" w:hAnsi="Times New Roman"/>
          <w:color w:val="000000"/>
          <w:szCs w:val="24"/>
          <w:lang w:eastAsia="zh-CN"/>
        </w:rPr>
        <w:t xml:space="preserve"> to Professor Wayne Thomas, who guided me throughout the five years at the University of Oklahoma, read countless drafts of my dissertation from the first year of my Ph.D. program, and never spare</w:t>
      </w:r>
      <w:r w:rsidR="00C73543" w:rsidRPr="003303F8">
        <w:rPr>
          <w:rFonts w:ascii="Times New Roman" w:eastAsiaTheme="minorEastAsia" w:hAnsi="Times New Roman"/>
          <w:color w:val="000000"/>
          <w:szCs w:val="24"/>
          <w:lang w:eastAsia="zh-CN"/>
        </w:rPr>
        <w:t>s</w:t>
      </w:r>
      <w:r w:rsidRPr="003303F8">
        <w:rPr>
          <w:rFonts w:ascii="Times New Roman" w:eastAsiaTheme="minorEastAsia" w:hAnsi="Times New Roman"/>
          <w:color w:val="000000"/>
          <w:szCs w:val="24"/>
          <w:lang w:eastAsia="zh-CN"/>
        </w:rPr>
        <w:t xml:space="preserve"> any effort to help me.</w:t>
      </w:r>
    </w:p>
    <w:p w:rsidR="00931FD3" w:rsidRPr="003303F8" w:rsidRDefault="00931FD3" w:rsidP="00C73543">
      <w:pPr>
        <w:pStyle w:val="BodyText2"/>
        <w:tabs>
          <w:tab w:val="left" w:pos="720"/>
        </w:tabs>
        <w:ind w:firstLine="720"/>
        <w:jc w:val="left"/>
        <w:rPr>
          <w:rFonts w:ascii="Times New Roman" w:eastAsiaTheme="minorEastAsia" w:hAnsi="Times New Roman"/>
          <w:color w:val="000000"/>
          <w:szCs w:val="24"/>
          <w:lang w:eastAsia="zh-CN"/>
        </w:rPr>
      </w:pPr>
    </w:p>
    <w:p w:rsidR="00C73543" w:rsidRPr="003303F8" w:rsidRDefault="00931FD3" w:rsidP="00C73543">
      <w:pPr>
        <w:pStyle w:val="BodyText2"/>
        <w:tabs>
          <w:tab w:val="left" w:pos="720"/>
        </w:tabs>
        <w:ind w:firstLine="720"/>
        <w:jc w:val="left"/>
        <w:rPr>
          <w:rFonts w:ascii="Times New Roman" w:eastAsiaTheme="minorEastAsia" w:hAnsi="Times New Roman"/>
          <w:color w:val="000000"/>
          <w:szCs w:val="24"/>
          <w:lang w:eastAsia="zh-CN"/>
        </w:rPr>
      </w:pPr>
      <w:r w:rsidRPr="003303F8">
        <w:rPr>
          <w:rFonts w:ascii="Times New Roman" w:eastAsiaTheme="minorEastAsia" w:hAnsi="Times New Roman"/>
          <w:color w:val="000000"/>
          <w:szCs w:val="24"/>
          <w:lang w:eastAsia="zh-CN"/>
        </w:rPr>
        <w:t>I am also thankful to</w:t>
      </w:r>
      <w:r w:rsidR="00C73543" w:rsidRPr="003303F8">
        <w:rPr>
          <w:rFonts w:ascii="Times New Roman" w:eastAsiaTheme="minorEastAsia" w:hAnsi="Times New Roman"/>
          <w:color w:val="000000"/>
          <w:szCs w:val="24"/>
          <w:lang w:eastAsia="zh-CN"/>
        </w:rPr>
        <w:t xml:space="preserve"> Professor Ole-Kristian Hope </w:t>
      </w:r>
      <w:r w:rsidR="00693417" w:rsidRPr="003303F8">
        <w:rPr>
          <w:rFonts w:ascii="Times New Roman" w:eastAsiaTheme="minorEastAsia" w:hAnsi="Times New Roman"/>
          <w:color w:val="000000"/>
          <w:szCs w:val="24"/>
          <w:lang w:eastAsia="zh-CN"/>
        </w:rPr>
        <w:t xml:space="preserve">at the University of Toronto </w:t>
      </w:r>
      <w:r w:rsidR="00C73543" w:rsidRPr="003303F8">
        <w:rPr>
          <w:rFonts w:ascii="Times New Roman" w:eastAsiaTheme="minorEastAsia" w:hAnsi="Times New Roman"/>
          <w:color w:val="000000"/>
          <w:szCs w:val="24"/>
          <w:lang w:eastAsia="zh-CN"/>
        </w:rPr>
        <w:t xml:space="preserve">for everything he </w:t>
      </w:r>
      <w:r w:rsidR="00B03CDA" w:rsidRPr="003303F8">
        <w:rPr>
          <w:rFonts w:ascii="Times New Roman" w:eastAsiaTheme="minorEastAsia" w:hAnsi="Times New Roman"/>
          <w:color w:val="000000"/>
          <w:szCs w:val="24"/>
          <w:lang w:eastAsia="zh-CN"/>
        </w:rPr>
        <w:t xml:space="preserve">did </w:t>
      </w:r>
      <w:r w:rsidR="00C73543" w:rsidRPr="003303F8">
        <w:rPr>
          <w:rFonts w:ascii="Times New Roman" w:eastAsiaTheme="minorEastAsia" w:hAnsi="Times New Roman"/>
          <w:color w:val="000000"/>
          <w:szCs w:val="24"/>
          <w:lang w:eastAsia="zh-CN"/>
        </w:rPr>
        <w:t>to help with my research and career.</w:t>
      </w:r>
    </w:p>
    <w:p w:rsidR="00C73543" w:rsidRPr="003303F8" w:rsidRDefault="00C73543" w:rsidP="00C73543">
      <w:pPr>
        <w:pStyle w:val="BodyText2"/>
        <w:tabs>
          <w:tab w:val="left" w:pos="720"/>
        </w:tabs>
        <w:ind w:firstLine="720"/>
        <w:jc w:val="left"/>
        <w:rPr>
          <w:rFonts w:ascii="Times New Roman" w:eastAsiaTheme="minorEastAsia" w:hAnsi="Times New Roman"/>
          <w:color w:val="000000"/>
          <w:szCs w:val="24"/>
          <w:lang w:eastAsia="zh-CN"/>
        </w:rPr>
      </w:pPr>
    </w:p>
    <w:p w:rsidR="00C73543" w:rsidRPr="003303F8" w:rsidRDefault="00273CFD" w:rsidP="00C73543">
      <w:pPr>
        <w:pStyle w:val="BodyText2"/>
        <w:tabs>
          <w:tab w:val="left" w:pos="720"/>
        </w:tabs>
        <w:ind w:firstLine="720"/>
        <w:jc w:val="left"/>
        <w:rPr>
          <w:rFonts w:ascii="Times New Roman" w:eastAsiaTheme="minorEastAsia" w:hAnsi="Times New Roman"/>
          <w:color w:val="000000"/>
          <w:szCs w:val="24"/>
          <w:lang w:eastAsia="zh-CN"/>
        </w:rPr>
      </w:pPr>
      <w:r w:rsidRPr="003303F8">
        <w:rPr>
          <w:rFonts w:ascii="Times New Roman" w:eastAsiaTheme="minorEastAsia" w:hAnsi="Times New Roman"/>
          <w:color w:val="000000"/>
          <w:szCs w:val="24"/>
          <w:lang w:eastAsia="zh-CN"/>
        </w:rPr>
        <w:t>Furthermore</w:t>
      </w:r>
      <w:r w:rsidR="00C73543" w:rsidRPr="003303F8">
        <w:rPr>
          <w:rFonts w:ascii="Times New Roman" w:eastAsiaTheme="minorEastAsia" w:hAnsi="Times New Roman"/>
          <w:color w:val="000000"/>
          <w:szCs w:val="24"/>
          <w:lang w:eastAsia="zh-CN"/>
        </w:rPr>
        <w:t>, I want to thank my undergraduate adviser Professor Haiyan Zhang at Beijing Normal University, who helped me and my family professionally and personally.</w:t>
      </w:r>
    </w:p>
    <w:p w:rsidR="00693417" w:rsidRPr="003303F8" w:rsidRDefault="00693417" w:rsidP="00C73543">
      <w:pPr>
        <w:pStyle w:val="BodyText2"/>
        <w:tabs>
          <w:tab w:val="left" w:pos="720"/>
        </w:tabs>
        <w:ind w:firstLine="720"/>
        <w:jc w:val="left"/>
        <w:rPr>
          <w:rFonts w:ascii="Times New Roman" w:eastAsiaTheme="minorEastAsia" w:hAnsi="Times New Roman"/>
          <w:color w:val="000000"/>
          <w:szCs w:val="24"/>
          <w:lang w:eastAsia="zh-CN"/>
        </w:rPr>
      </w:pPr>
    </w:p>
    <w:p w:rsidR="00693417" w:rsidRPr="003303F8" w:rsidRDefault="00693417" w:rsidP="00C73543">
      <w:pPr>
        <w:pStyle w:val="BodyText2"/>
        <w:tabs>
          <w:tab w:val="left" w:pos="720"/>
        </w:tabs>
        <w:ind w:firstLine="720"/>
        <w:jc w:val="left"/>
        <w:rPr>
          <w:rFonts w:ascii="Times New Roman" w:eastAsiaTheme="minorEastAsia" w:hAnsi="Times New Roman"/>
          <w:color w:val="000000"/>
          <w:szCs w:val="24"/>
          <w:lang w:eastAsia="zh-CN"/>
        </w:rPr>
      </w:pPr>
      <w:r w:rsidRPr="003303F8">
        <w:rPr>
          <w:rFonts w:ascii="Times New Roman" w:eastAsiaTheme="minorEastAsia" w:hAnsi="Times New Roman"/>
          <w:color w:val="000000"/>
          <w:szCs w:val="24"/>
          <w:lang w:eastAsia="zh-CN"/>
        </w:rPr>
        <w:t xml:space="preserve">Finally, I would like to thank </w:t>
      </w:r>
      <w:r w:rsidR="00140E5F" w:rsidRPr="003303F8">
        <w:rPr>
          <w:rFonts w:ascii="Times New Roman" w:eastAsiaTheme="minorEastAsia" w:hAnsi="Times New Roman"/>
          <w:color w:val="000000"/>
          <w:szCs w:val="24"/>
          <w:lang w:eastAsia="zh-CN"/>
        </w:rPr>
        <w:t xml:space="preserve">many </w:t>
      </w:r>
      <w:r w:rsidRPr="003303F8">
        <w:rPr>
          <w:rFonts w:ascii="Times New Roman" w:eastAsiaTheme="minorEastAsia" w:hAnsi="Times New Roman"/>
          <w:color w:val="000000"/>
          <w:szCs w:val="24"/>
          <w:lang w:eastAsia="zh-CN"/>
        </w:rPr>
        <w:t xml:space="preserve">other faculty members </w:t>
      </w:r>
      <w:r w:rsidR="00140E5F" w:rsidRPr="003303F8">
        <w:rPr>
          <w:rFonts w:ascii="Times New Roman" w:eastAsiaTheme="minorEastAsia" w:hAnsi="Times New Roman"/>
          <w:color w:val="000000"/>
          <w:szCs w:val="24"/>
          <w:lang w:eastAsia="zh-CN"/>
        </w:rPr>
        <w:t xml:space="preserve">and friends </w:t>
      </w:r>
      <w:r w:rsidRPr="003303F8">
        <w:rPr>
          <w:rFonts w:ascii="Times New Roman" w:eastAsiaTheme="minorEastAsia" w:hAnsi="Times New Roman"/>
          <w:color w:val="000000"/>
          <w:szCs w:val="24"/>
          <w:lang w:eastAsia="zh-CN"/>
        </w:rPr>
        <w:t xml:space="preserve">at the </w:t>
      </w:r>
      <w:r w:rsidR="00273CFD" w:rsidRPr="003303F8">
        <w:rPr>
          <w:rFonts w:ascii="Times New Roman" w:eastAsiaTheme="minorEastAsia" w:hAnsi="Times New Roman"/>
          <w:color w:val="000000"/>
          <w:szCs w:val="24"/>
          <w:lang w:eastAsia="zh-CN"/>
        </w:rPr>
        <w:t>University of Oklahoma</w:t>
      </w:r>
      <w:r w:rsidRPr="003303F8">
        <w:rPr>
          <w:rFonts w:ascii="Times New Roman" w:eastAsiaTheme="minorEastAsia" w:hAnsi="Times New Roman"/>
          <w:color w:val="000000"/>
          <w:szCs w:val="24"/>
          <w:lang w:eastAsia="zh-CN"/>
        </w:rPr>
        <w:t xml:space="preserve"> who helped me</w:t>
      </w:r>
      <w:r w:rsidR="00273CFD" w:rsidRPr="003303F8">
        <w:rPr>
          <w:rFonts w:ascii="Times New Roman" w:eastAsiaTheme="minorEastAsia" w:hAnsi="Times New Roman"/>
          <w:color w:val="000000"/>
          <w:szCs w:val="24"/>
          <w:lang w:eastAsia="zh-CN"/>
        </w:rPr>
        <w:t xml:space="preserve"> in many different ways</w:t>
      </w:r>
      <w:r w:rsidRPr="003303F8">
        <w:rPr>
          <w:rFonts w:ascii="Times New Roman" w:eastAsiaTheme="minorEastAsia" w:hAnsi="Times New Roman"/>
          <w:color w:val="000000"/>
          <w:szCs w:val="24"/>
          <w:lang w:eastAsia="zh-CN"/>
        </w:rPr>
        <w:t>, including Professor Marlys Lipe</w:t>
      </w:r>
      <w:r w:rsidR="00140E5F" w:rsidRPr="003303F8">
        <w:rPr>
          <w:rFonts w:ascii="Times New Roman" w:eastAsiaTheme="minorEastAsia" w:hAnsi="Times New Roman"/>
          <w:color w:val="000000"/>
          <w:szCs w:val="24"/>
          <w:lang w:eastAsia="zh-CN"/>
        </w:rPr>
        <w:t>,</w:t>
      </w:r>
      <w:r w:rsidRPr="003303F8">
        <w:rPr>
          <w:rFonts w:ascii="Times New Roman" w:eastAsiaTheme="minorEastAsia" w:hAnsi="Times New Roman"/>
          <w:color w:val="000000"/>
          <w:szCs w:val="24"/>
          <w:lang w:eastAsia="zh-CN"/>
        </w:rPr>
        <w:t xml:space="preserve"> </w:t>
      </w:r>
      <w:r w:rsidR="00273CFD" w:rsidRPr="003303F8">
        <w:rPr>
          <w:rFonts w:ascii="Times New Roman" w:eastAsiaTheme="minorEastAsia" w:hAnsi="Times New Roman"/>
          <w:color w:val="000000"/>
          <w:szCs w:val="24"/>
          <w:lang w:eastAsia="zh-CN"/>
        </w:rPr>
        <w:t>Professor Andy Cuccia</w:t>
      </w:r>
      <w:r w:rsidR="00140E5F" w:rsidRPr="003303F8">
        <w:rPr>
          <w:rFonts w:ascii="Times New Roman" w:eastAsiaTheme="minorEastAsia" w:hAnsi="Times New Roman"/>
          <w:color w:val="000000"/>
          <w:szCs w:val="24"/>
          <w:lang w:eastAsia="zh-CN"/>
        </w:rPr>
        <w:t xml:space="preserve"> and Professor Xin Huang</w:t>
      </w:r>
      <w:r w:rsidR="00273CFD" w:rsidRPr="003303F8">
        <w:rPr>
          <w:rFonts w:ascii="Times New Roman" w:eastAsiaTheme="minorEastAsia" w:hAnsi="Times New Roman"/>
          <w:color w:val="000000"/>
          <w:szCs w:val="24"/>
          <w:lang w:eastAsia="zh-CN"/>
        </w:rPr>
        <w:t xml:space="preserve">. </w:t>
      </w:r>
    </w:p>
    <w:p w:rsidR="00273CFD" w:rsidRDefault="00273CFD" w:rsidP="00C73543">
      <w:pPr>
        <w:pStyle w:val="BodyText2"/>
        <w:tabs>
          <w:tab w:val="left" w:pos="720"/>
        </w:tabs>
        <w:ind w:firstLine="720"/>
        <w:jc w:val="left"/>
        <w:rPr>
          <w:rFonts w:ascii="Times New Roman" w:eastAsiaTheme="minorEastAsia" w:hAnsi="Times New Roman"/>
          <w:color w:val="000000"/>
          <w:szCs w:val="24"/>
          <w:lang w:eastAsia="zh-CN"/>
        </w:rPr>
      </w:pPr>
    </w:p>
    <w:p w:rsidR="00C73543" w:rsidRDefault="00C73543" w:rsidP="00C73543">
      <w:pPr>
        <w:pStyle w:val="BodyText2"/>
        <w:tabs>
          <w:tab w:val="left" w:pos="720"/>
        </w:tabs>
        <w:ind w:firstLine="720"/>
        <w:jc w:val="left"/>
        <w:rPr>
          <w:rFonts w:ascii="Times New Roman" w:eastAsiaTheme="minorEastAsia" w:hAnsi="Times New Roman"/>
          <w:color w:val="000000"/>
          <w:szCs w:val="24"/>
          <w:lang w:eastAsia="zh-CN"/>
        </w:rPr>
      </w:pPr>
      <w:r>
        <w:rPr>
          <w:rFonts w:ascii="Times New Roman" w:eastAsiaTheme="minorEastAsia" w:hAnsi="Times New Roman"/>
          <w:color w:val="000000"/>
          <w:szCs w:val="24"/>
          <w:lang w:eastAsia="zh-CN"/>
        </w:rPr>
        <w:t xml:space="preserve"> </w:t>
      </w:r>
    </w:p>
    <w:p w:rsidR="00931FD3" w:rsidRDefault="00931FD3" w:rsidP="00C73543">
      <w:pPr>
        <w:pStyle w:val="BodyText2"/>
        <w:tabs>
          <w:tab w:val="left" w:pos="720"/>
        </w:tabs>
        <w:ind w:firstLine="720"/>
        <w:jc w:val="left"/>
        <w:rPr>
          <w:rFonts w:ascii="Times New Roman" w:eastAsiaTheme="minorEastAsia" w:hAnsi="Times New Roman"/>
          <w:color w:val="000000"/>
          <w:szCs w:val="24"/>
          <w:lang w:eastAsia="zh-CN"/>
        </w:rPr>
      </w:pPr>
    </w:p>
    <w:p w:rsidR="00931FD3" w:rsidRPr="00931FD3" w:rsidRDefault="00931FD3" w:rsidP="00931FD3">
      <w:pPr>
        <w:pStyle w:val="BodyText2"/>
        <w:tabs>
          <w:tab w:val="left" w:pos="720"/>
        </w:tabs>
        <w:jc w:val="left"/>
        <w:rPr>
          <w:rFonts w:ascii="Times New Roman" w:eastAsiaTheme="minorEastAsia" w:hAnsi="Times New Roman"/>
          <w:color w:val="000000"/>
          <w:szCs w:val="24"/>
          <w:lang w:eastAsia="zh-CN"/>
        </w:rPr>
      </w:pPr>
    </w:p>
    <w:p w:rsidR="008176E7" w:rsidRPr="00931FD3" w:rsidRDefault="008176E7" w:rsidP="00C174EA">
      <w:pPr>
        <w:pStyle w:val="BlockText"/>
        <w:spacing w:before="0" w:after="200" w:line="360" w:lineRule="auto"/>
        <w:ind w:left="0" w:right="0"/>
        <w:rPr>
          <w:rFonts w:ascii="Times New Roman" w:eastAsiaTheme="minorEastAsia" w:hAnsi="Times New Roman"/>
          <w:b w:val="0"/>
          <w:color w:val="000000"/>
          <w:szCs w:val="24"/>
          <w:lang w:eastAsia="zh-CN"/>
        </w:rPr>
      </w:pPr>
    </w:p>
    <w:p w:rsidR="008176E7" w:rsidRDefault="008176E7" w:rsidP="00C174EA">
      <w:pPr>
        <w:pStyle w:val="BlockText"/>
        <w:spacing w:before="0" w:after="200" w:line="360" w:lineRule="auto"/>
        <w:ind w:left="0" w:right="0"/>
        <w:rPr>
          <w:rFonts w:ascii="TimesNewRomanPS-BoldMT" w:eastAsia="TimesNewRomanPS-BoldMT" w:hAnsi="Calibri" w:cs="TimesNewRomanPS-BoldMT"/>
          <w:b w:val="0"/>
          <w:bCs/>
          <w:szCs w:val="24"/>
        </w:rPr>
      </w:pPr>
    </w:p>
    <w:p w:rsidR="008176E7" w:rsidRDefault="008176E7">
      <w:pPr>
        <w:widowControl/>
        <w:overflowPunct/>
        <w:autoSpaceDE/>
        <w:autoSpaceDN/>
        <w:adjustRightInd/>
        <w:rPr>
          <w:rFonts w:eastAsia="Times"/>
          <w:b/>
          <w:kern w:val="0"/>
          <w:sz w:val="24"/>
          <w:szCs w:val="24"/>
          <w:lang w:eastAsia="en-US"/>
        </w:rPr>
      </w:pPr>
      <w:r>
        <w:rPr>
          <w:szCs w:val="24"/>
        </w:rPr>
        <w:br w:type="page"/>
      </w:r>
    </w:p>
    <w:p w:rsidR="00FC5498" w:rsidRPr="00931FD3" w:rsidRDefault="008176E7" w:rsidP="004114CA">
      <w:pPr>
        <w:pStyle w:val="BlockText"/>
        <w:spacing w:before="0"/>
        <w:ind w:left="0" w:right="0"/>
        <w:rPr>
          <w:noProof/>
        </w:rPr>
      </w:pPr>
      <w:r w:rsidRPr="00931FD3">
        <w:rPr>
          <w:rFonts w:ascii="Times New Roman" w:hAnsi="Times New Roman"/>
          <w:szCs w:val="24"/>
        </w:rPr>
        <w:lastRenderedPageBreak/>
        <w:t>TABLE OF CONTENTS</w:t>
      </w:r>
      <w:r w:rsidR="00FC5498" w:rsidRPr="00931FD3">
        <w:rPr>
          <w:bCs/>
          <w:caps/>
        </w:rPr>
        <w:fldChar w:fldCharType="begin"/>
      </w:r>
      <w:r w:rsidR="00FC5498" w:rsidRPr="00FC5498">
        <w:instrText xml:space="preserve"> TOC \o "1-4" \u </w:instrText>
      </w:r>
      <w:r w:rsidR="00FC5498" w:rsidRPr="00931FD3">
        <w:rPr>
          <w:bCs/>
          <w:caps/>
        </w:rPr>
        <w:fldChar w:fldCharType="separate"/>
      </w:r>
    </w:p>
    <w:p w:rsidR="00F64733" w:rsidRPr="00F64733" w:rsidRDefault="00F64733" w:rsidP="00F64733">
      <w:pPr>
        <w:pStyle w:val="TOC2"/>
        <w:tabs>
          <w:tab w:val="right" w:leader="dot" w:pos="8153"/>
        </w:tabs>
        <w:rPr>
          <w:rFonts w:ascii="Times New Roman" w:hAnsi="Times New Roman"/>
          <w:noProof/>
          <w:sz w:val="24"/>
          <w:szCs w:val="24"/>
        </w:rPr>
      </w:pPr>
      <w:r w:rsidRPr="00F64733">
        <w:rPr>
          <w:rFonts w:ascii="Times New Roman" w:hAnsi="Times New Roman"/>
          <w:noProof/>
          <w:sz w:val="24"/>
          <w:szCs w:val="24"/>
        </w:rPr>
        <w:t>CHAPTER I. INTRODUCTION</w:t>
      </w:r>
      <w:r w:rsidRPr="00F64733">
        <w:rPr>
          <w:rFonts w:ascii="Times New Roman" w:hAnsi="Times New Roman"/>
          <w:noProof/>
          <w:sz w:val="24"/>
          <w:szCs w:val="24"/>
        </w:rPr>
        <w:tab/>
        <w:t>1</w:t>
      </w:r>
    </w:p>
    <w:p w:rsidR="00F64733" w:rsidRDefault="00F64733">
      <w:pPr>
        <w:pStyle w:val="TOC2"/>
        <w:tabs>
          <w:tab w:val="right" w:leader="dot" w:pos="8153"/>
        </w:tabs>
        <w:rPr>
          <w:rFonts w:ascii="Times New Roman" w:hAnsi="Times New Roman"/>
          <w:noProof/>
          <w:sz w:val="24"/>
          <w:szCs w:val="24"/>
        </w:rPr>
      </w:pPr>
    </w:p>
    <w:p w:rsidR="00F64733" w:rsidRDefault="00F64733">
      <w:pPr>
        <w:pStyle w:val="TOC2"/>
        <w:tabs>
          <w:tab w:val="right" w:leader="dot" w:pos="8153"/>
        </w:tabs>
        <w:rPr>
          <w:rFonts w:ascii="Times New Roman" w:hAnsi="Times New Roman"/>
          <w:noProof/>
          <w:sz w:val="24"/>
          <w:szCs w:val="24"/>
        </w:rPr>
      </w:pPr>
      <w:r w:rsidRPr="00F64733">
        <w:rPr>
          <w:rFonts w:ascii="Times New Roman" w:hAnsi="Times New Roman"/>
          <w:noProof/>
          <w:sz w:val="24"/>
          <w:szCs w:val="24"/>
        </w:rPr>
        <w:t>CHAPTER II. THEORIES AND HYPOTHESIS DEVELOPMENT</w:t>
      </w:r>
      <w:r w:rsidRPr="00F64733">
        <w:rPr>
          <w:rFonts w:ascii="Times New Roman" w:hAnsi="Times New Roman"/>
          <w:noProof/>
          <w:sz w:val="24"/>
          <w:szCs w:val="24"/>
        </w:rPr>
        <w:tab/>
      </w:r>
      <w:r w:rsidR="004C6937">
        <w:rPr>
          <w:rFonts w:ascii="Times New Roman" w:hAnsi="Times New Roman"/>
          <w:noProof/>
          <w:sz w:val="24"/>
          <w:szCs w:val="24"/>
        </w:rPr>
        <w:t>8</w:t>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Theories on the Firm-Specific Effects of Information Quality</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_Toc378088868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8</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Theories on the Externality of Information Quality</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_Toc378088869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9</w:t>
      </w:r>
      <w:r w:rsidRPr="00931FD3">
        <w:rPr>
          <w:rFonts w:ascii="Times New Roman" w:hAnsi="Times New Roman"/>
          <w:noProof/>
          <w:sz w:val="24"/>
          <w:szCs w:val="24"/>
        </w:rPr>
        <w:fldChar w:fldCharType="end"/>
      </w:r>
    </w:p>
    <w:p w:rsidR="00FC5498" w:rsidRPr="00931FD3" w:rsidRDefault="00FC5498" w:rsidP="00931FD3">
      <w:pPr>
        <w:pStyle w:val="TOC3"/>
        <w:ind w:hanging="40"/>
        <w:rPr>
          <w:i/>
          <w:kern w:val="0"/>
        </w:rPr>
      </w:pPr>
      <w:r w:rsidRPr="00DF0E0F">
        <w:rPr>
          <w:i/>
        </w:rPr>
        <w:t>CAPM in LLV</w:t>
      </w:r>
      <w:r w:rsidRPr="00931FD3">
        <w:rPr>
          <w:i/>
        </w:rPr>
        <w:tab/>
      </w:r>
      <w:r w:rsidRPr="00931FD3">
        <w:fldChar w:fldCharType="begin"/>
      </w:r>
      <w:r w:rsidRPr="00DF0E0F">
        <w:instrText xml:space="preserve"> PAGEREF _Toc378088870 \h </w:instrText>
      </w:r>
      <w:r w:rsidRPr="00931FD3">
        <w:fldChar w:fldCharType="separate"/>
      </w:r>
      <w:r w:rsidR="00634836">
        <w:t>9</w:t>
      </w:r>
      <w:r w:rsidRPr="00931FD3">
        <w:fldChar w:fldCharType="end"/>
      </w:r>
    </w:p>
    <w:p w:rsidR="00FC5498" w:rsidRPr="00931FD3" w:rsidRDefault="00FC5498" w:rsidP="00931FD3">
      <w:pPr>
        <w:pStyle w:val="TOC3"/>
        <w:ind w:hanging="40"/>
        <w:rPr>
          <w:i/>
          <w:kern w:val="0"/>
        </w:rPr>
      </w:pPr>
      <w:r w:rsidRPr="00DF0E0F">
        <w:rPr>
          <w:i/>
        </w:rPr>
        <w:t>Direct Effects through the Variance of the Firm’s Cash Flows</w:t>
      </w:r>
      <w:r w:rsidRPr="00931FD3">
        <w:rPr>
          <w:i/>
        </w:rPr>
        <w:tab/>
      </w:r>
      <w:r w:rsidRPr="00931FD3">
        <w:fldChar w:fldCharType="begin"/>
      </w:r>
      <w:r w:rsidRPr="00DF0E0F">
        <w:instrText xml:space="preserve"> PAGEREF _Toc378088871 \h </w:instrText>
      </w:r>
      <w:r w:rsidRPr="00931FD3">
        <w:fldChar w:fldCharType="separate"/>
      </w:r>
      <w:r w:rsidR="00634836">
        <w:t>10</w:t>
      </w:r>
      <w:r w:rsidRPr="00931FD3">
        <w:fldChar w:fldCharType="end"/>
      </w:r>
    </w:p>
    <w:p w:rsidR="00FC5498" w:rsidRPr="00931FD3" w:rsidRDefault="00FC5498" w:rsidP="00931FD3">
      <w:pPr>
        <w:pStyle w:val="TOC3"/>
        <w:ind w:hanging="40"/>
        <w:rPr>
          <w:i/>
          <w:kern w:val="0"/>
        </w:rPr>
      </w:pPr>
      <w:r w:rsidRPr="00DF0E0F">
        <w:rPr>
          <w:i/>
        </w:rPr>
        <w:t>Direct Effects through the Covariance with Other Firms’ Cash Flows</w:t>
      </w:r>
      <w:r w:rsidRPr="00931FD3">
        <w:rPr>
          <w:i/>
        </w:rPr>
        <w:tab/>
      </w:r>
      <w:r w:rsidRPr="00931FD3">
        <w:fldChar w:fldCharType="begin"/>
      </w:r>
      <w:r w:rsidRPr="00DF0E0F">
        <w:instrText xml:space="preserve"> PAGEREF _Toc378088872 \h </w:instrText>
      </w:r>
      <w:r w:rsidRPr="00931FD3">
        <w:fldChar w:fldCharType="separate"/>
      </w:r>
      <w:r w:rsidR="00634836">
        <w:t>11</w:t>
      </w:r>
      <w:r w:rsidRPr="00931FD3">
        <w:fldChar w:fldCharType="end"/>
      </w:r>
    </w:p>
    <w:p w:rsidR="00FC5498" w:rsidRPr="00931FD3" w:rsidRDefault="00FC5498" w:rsidP="00931FD3">
      <w:pPr>
        <w:pStyle w:val="TOC3"/>
        <w:ind w:hanging="40"/>
        <w:rPr>
          <w:i/>
          <w:kern w:val="0"/>
        </w:rPr>
      </w:pPr>
      <w:r w:rsidRPr="00DF0E0F">
        <w:rPr>
          <w:i/>
        </w:rPr>
        <w:t>Indirect Effects through Real Distributions of Expected Cash Flows</w:t>
      </w:r>
      <w:r w:rsidRPr="00931FD3">
        <w:rPr>
          <w:i/>
        </w:rPr>
        <w:tab/>
      </w:r>
      <w:r w:rsidRPr="00931FD3">
        <w:fldChar w:fldCharType="begin"/>
      </w:r>
      <w:r w:rsidRPr="00DF0E0F">
        <w:instrText xml:space="preserve"> PAGEREF _Toc378088873 \h </w:instrText>
      </w:r>
      <w:r w:rsidRPr="00931FD3">
        <w:fldChar w:fldCharType="separate"/>
      </w:r>
      <w:r w:rsidR="00634836">
        <w:t>12</w:t>
      </w:r>
      <w:r w:rsidRPr="00931FD3">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Related Empirical Studies</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_Toc378088874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13</w:t>
      </w:r>
      <w:r w:rsidRPr="00931FD3">
        <w:rPr>
          <w:rFonts w:ascii="Times New Roman" w:hAnsi="Times New Roman"/>
          <w:noProof/>
          <w:sz w:val="24"/>
          <w:szCs w:val="24"/>
        </w:rPr>
        <w:fldChar w:fldCharType="end"/>
      </w:r>
    </w:p>
    <w:p w:rsidR="00FC5498" w:rsidRPr="00931FD3" w:rsidRDefault="00FC5498" w:rsidP="00931FD3">
      <w:pPr>
        <w:pStyle w:val="TOC3"/>
        <w:ind w:hanging="40"/>
        <w:rPr>
          <w:i/>
          <w:kern w:val="0"/>
        </w:rPr>
      </w:pPr>
      <w:r w:rsidRPr="00DF0E0F">
        <w:rPr>
          <w:i/>
        </w:rPr>
        <w:t>Industry-Level Stock Return Co-movement and Information Transfer</w:t>
      </w:r>
      <w:r w:rsidRPr="00931FD3">
        <w:rPr>
          <w:i/>
        </w:rPr>
        <w:tab/>
      </w:r>
      <w:r w:rsidRPr="00931FD3">
        <w:fldChar w:fldCharType="begin"/>
      </w:r>
      <w:r w:rsidRPr="00DF0E0F">
        <w:instrText xml:space="preserve"> PAGEREF _Toc378088875 \h </w:instrText>
      </w:r>
      <w:r w:rsidRPr="00931FD3">
        <w:fldChar w:fldCharType="separate"/>
      </w:r>
      <w:r w:rsidR="00634836">
        <w:t>13</w:t>
      </w:r>
      <w:r w:rsidRPr="00931FD3">
        <w:fldChar w:fldCharType="end"/>
      </w:r>
    </w:p>
    <w:p w:rsidR="00FC5498" w:rsidRPr="00931FD3" w:rsidRDefault="00FC5498" w:rsidP="00931FD3">
      <w:pPr>
        <w:pStyle w:val="TOC3"/>
        <w:ind w:hanging="40"/>
        <w:rPr>
          <w:kern w:val="0"/>
        </w:rPr>
      </w:pPr>
      <w:r w:rsidRPr="00DF0E0F">
        <w:rPr>
          <w:i/>
        </w:rPr>
        <w:t>Empirical Studies on Information Quality and the Cost of Equity</w:t>
      </w:r>
      <w:r w:rsidRPr="00931FD3">
        <w:rPr>
          <w:i/>
        </w:rPr>
        <w:tab/>
      </w:r>
      <w:r w:rsidRPr="00931FD3">
        <w:fldChar w:fldCharType="begin"/>
      </w:r>
      <w:r w:rsidRPr="00DF0E0F">
        <w:instrText xml:space="preserve"> PAGEREF _Toc378088876 \h </w:instrText>
      </w:r>
      <w:r w:rsidRPr="00931FD3">
        <w:fldChar w:fldCharType="separate"/>
      </w:r>
      <w:r w:rsidR="00634836">
        <w:t>14</w:t>
      </w:r>
      <w:r w:rsidRPr="00931FD3">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Hypothesis</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_Toc378088877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17</w:t>
      </w:r>
      <w:r w:rsidRPr="00931FD3">
        <w:rPr>
          <w:rFonts w:ascii="Times New Roman" w:hAnsi="Times New Roman"/>
          <w:noProof/>
          <w:sz w:val="24"/>
          <w:szCs w:val="24"/>
        </w:rPr>
        <w:fldChar w:fldCharType="end"/>
      </w:r>
    </w:p>
    <w:p w:rsidR="00F64733" w:rsidRDefault="00F64733">
      <w:pPr>
        <w:pStyle w:val="TOC2"/>
        <w:tabs>
          <w:tab w:val="right" w:leader="dot" w:pos="8153"/>
        </w:tabs>
        <w:rPr>
          <w:rFonts w:ascii="Times New Roman" w:hAnsi="Times New Roman"/>
          <w:noProof/>
          <w:sz w:val="24"/>
          <w:szCs w:val="24"/>
        </w:rPr>
      </w:pPr>
    </w:p>
    <w:p w:rsidR="00F64733" w:rsidRDefault="00F64733">
      <w:pPr>
        <w:pStyle w:val="TOC2"/>
        <w:tabs>
          <w:tab w:val="right" w:leader="dot" w:pos="8153"/>
        </w:tabs>
        <w:rPr>
          <w:rFonts w:ascii="Times New Roman" w:hAnsi="Times New Roman"/>
          <w:noProof/>
          <w:sz w:val="24"/>
          <w:szCs w:val="24"/>
        </w:rPr>
      </w:pPr>
      <w:r w:rsidRPr="00F64733">
        <w:rPr>
          <w:rFonts w:ascii="Times New Roman" w:hAnsi="Times New Roman"/>
          <w:noProof/>
          <w:sz w:val="24"/>
          <w:szCs w:val="24"/>
        </w:rPr>
        <w:t>CH</w:t>
      </w:r>
      <w:r w:rsidR="00D86B5F">
        <w:rPr>
          <w:rFonts w:ascii="Times New Roman" w:hAnsi="Times New Roman"/>
          <w:noProof/>
          <w:sz w:val="24"/>
          <w:szCs w:val="24"/>
        </w:rPr>
        <w:t>A</w:t>
      </w:r>
      <w:r w:rsidRPr="00F64733">
        <w:rPr>
          <w:rFonts w:ascii="Times New Roman" w:hAnsi="Times New Roman"/>
          <w:noProof/>
          <w:sz w:val="24"/>
          <w:szCs w:val="24"/>
        </w:rPr>
        <w:t>PTER III. RESEARCH DESIGN</w:t>
      </w:r>
      <w:r w:rsidRPr="00F64733">
        <w:rPr>
          <w:rFonts w:ascii="Times New Roman" w:hAnsi="Times New Roman"/>
          <w:noProof/>
          <w:sz w:val="24"/>
          <w:szCs w:val="24"/>
        </w:rPr>
        <w:tab/>
        <w:t>18</w:t>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Earnings Quality</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_Toc378088879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18</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Peer Firm Earnings Quality</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_Toc378088880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19</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Ex Ante Cost of Equity</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_Toc378088881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19</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Industry-Adjusted Earnings-Price Ratio</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_Toc378088882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20</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Market Risk Factor Test</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_Toc378088883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21</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Implied Cost of Equity Test</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_Toc378088884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23</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Industry-Adjusted Earnings-Price Ratio Test</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_Toc378088885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24</w:t>
      </w:r>
      <w:r w:rsidRPr="00931FD3">
        <w:rPr>
          <w:rFonts w:ascii="Times New Roman" w:hAnsi="Times New Roman"/>
          <w:noProof/>
          <w:sz w:val="24"/>
          <w:szCs w:val="24"/>
        </w:rPr>
        <w:fldChar w:fldCharType="end"/>
      </w:r>
    </w:p>
    <w:p w:rsidR="00F64733" w:rsidRDefault="00F64733">
      <w:pPr>
        <w:pStyle w:val="TOC2"/>
        <w:tabs>
          <w:tab w:val="right" w:leader="dot" w:pos="8153"/>
        </w:tabs>
        <w:rPr>
          <w:rFonts w:ascii="Times New Roman" w:hAnsi="Times New Roman"/>
          <w:noProof/>
          <w:sz w:val="24"/>
          <w:szCs w:val="24"/>
        </w:rPr>
      </w:pPr>
    </w:p>
    <w:p w:rsidR="00F64733" w:rsidRDefault="00F64733">
      <w:pPr>
        <w:pStyle w:val="TOC2"/>
        <w:tabs>
          <w:tab w:val="right" w:leader="dot" w:pos="8153"/>
        </w:tabs>
        <w:rPr>
          <w:rFonts w:ascii="Times New Roman" w:hAnsi="Times New Roman"/>
          <w:noProof/>
          <w:sz w:val="24"/>
          <w:szCs w:val="24"/>
        </w:rPr>
      </w:pPr>
      <w:r w:rsidRPr="00F64733">
        <w:rPr>
          <w:rFonts w:ascii="Times New Roman" w:hAnsi="Times New Roman"/>
          <w:noProof/>
          <w:sz w:val="24"/>
          <w:szCs w:val="24"/>
        </w:rPr>
        <w:t>CHAPTER IV. EMPIRICAL ANALYSES</w:t>
      </w:r>
      <w:r w:rsidRPr="00F64733">
        <w:rPr>
          <w:rFonts w:ascii="Times New Roman" w:hAnsi="Times New Roman"/>
          <w:noProof/>
          <w:sz w:val="24"/>
          <w:szCs w:val="24"/>
        </w:rPr>
        <w:tab/>
        <w:t>25</w:t>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Sample Distribution and Descriptive Statistics</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_Toc378088887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26</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Portfolios Using Sorts on EQ and P_EQ</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_Toc378088888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28</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Market Risk Factor Test</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_Toc378088889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29</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Implied Cost of Equity Test</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_Toc378088890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30</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Industry-Adjusted Earnings-Price Ratio Test</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_Toc378088891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32</w:t>
      </w:r>
      <w:r w:rsidRPr="00931FD3">
        <w:rPr>
          <w:rFonts w:ascii="Times New Roman" w:hAnsi="Times New Roman"/>
          <w:noProof/>
          <w:sz w:val="24"/>
          <w:szCs w:val="24"/>
        </w:rPr>
        <w:fldChar w:fldCharType="end"/>
      </w:r>
    </w:p>
    <w:p w:rsidR="00F64733" w:rsidRDefault="00F64733">
      <w:pPr>
        <w:pStyle w:val="TOC2"/>
        <w:tabs>
          <w:tab w:val="right" w:leader="dot" w:pos="8153"/>
        </w:tabs>
        <w:rPr>
          <w:rFonts w:ascii="Times New Roman" w:hAnsi="Times New Roman"/>
          <w:noProof/>
          <w:sz w:val="24"/>
          <w:szCs w:val="24"/>
        </w:rPr>
      </w:pPr>
    </w:p>
    <w:p w:rsidR="00F64733" w:rsidRDefault="00F64733">
      <w:pPr>
        <w:pStyle w:val="TOC2"/>
        <w:tabs>
          <w:tab w:val="right" w:leader="dot" w:pos="8153"/>
        </w:tabs>
        <w:rPr>
          <w:rFonts w:ascii="Times New Roman" w:hAnsi="Times New Roman"/>
          <w:noProof/>
          <w:sz w:val="24"/>
          <w:szCs w:val="24"/>
        </w:rPr>
      </w:pPr>
      <w:r>
        <w:rPr>
          <w:rFonts w:ascii="Times New Roman" w:hAnsi="Times New Roman"/>
          <w:noProof/>
          <w:sz w:val="24"/>
          <w:szCs w:val="24"/>
        </w:rPr>
        <w:t>CHAPTER V</w:t>
      </w:r>
      <w:r w:rsidRPr="00F64733">
        <w:rPr>
          <w:rFonts w:ascii="Times New Roman" w:hAnsi="Times New Roman"/>
          <w:noProof/>
          <w:sz w:val="24"/>
          <w:szCs w:val="24"/>
        </w:rPr>
        <w:t>. ADDITIONAL ANALYSES</w:t>
      </w:r>
      <w:r w:rsidRPr="00F64733">
        <w:rPr>
          <w:rFonts w:ascii="Times New Roman" w:hAnsi="Times New Roman"/>
          <w:noProof/>
          <w:sz w:val="24"/>
          <w:szCs w:val="24"/>
        </w:rPr>
        <w:tab/>
        <w:t>33</w:t>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Increasing Nonlinear Effect of Peer Firm Earnings Quality</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_Toc378088893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34</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Moderating Effect of Unconditional Covariance</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_Toc378088894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35</w:t>
      </w:r>
      <w:r w:rsidRPr="00931FD3">
        <w:rPr>
          <w:rFonts w:ascii="Times New Roman" w:hAnsi="Times New Roman"/>
          <w:noProof/>
          <w:sz w:val="24"/>
          <w:szCs w:val="24"/>
        </w:rPr>
        <w:fldChar w:fldCharType="end"/>
      </w:r>
    </w:p>
    <w:p w:rsidR="00FC5498" w:rsidRPr="00931FD3" w:rsidRDefault="00FC5498" w:rsidP="00931FD3">
      <w:pPr>
        <w:pStyle w:val="TOC2"/>
        <w:tabs>
          <w:tab w:val="right" w:leader="dot" w:pos="8153"/>
        </w:tabs>
        <w:ind w:firstLine="70"/>
        <w:rPr>
          <w:rFonts w:ascii="Times New Roman" w:hAnsi="Times New Roman"/>
          <w:smallCaps w:val="0"/>
          <w:noProof/>
          <w:kern w:val="0"/>
          <w:sz w:val="24"/>
          <w:szCs w:val="24"/>
        </w:rPr>
      </w:pPr>
      <w:r w:rsidRPr="00931FD3">
        <w:rPr>
          <w:rFonts w:ascii="Times New Roman" w:hAnsi="Times New Roman"/>
          <w:noProof/>
          <w:sz w:val="24"/>
          <w:szCs w:val="24"/>
        </w:rPr>
        <w:t>Other Additional Tests (Untabulated)</w:t>
      </w:r>
      <w:r w:rsidRPr="00931FD3">
        <w:rPr>
          <w:rFonts w:ascii="Times New Roman" w:hAnsi="Times New Roman"/>
          <w:noProof/>
          <w:sz w:val="24"/>
          <w:szCs w:val="24"/>
        </w:rPr>
        <w:tab/>
      </w:r>
      <w:r w:rsidRPr="00931FD3">
        <w:rPr>
          <w:rFonts w:ascii="Times New Roman" w:hAnsi="Times New Roman"/>
          <w:noProof/>
          <w:sz w:val="24"/>
          <w:szCs w:val="24"/>
        </w:rPr>
        <w:fldChar w:fldCharType="begin"/>
      </w:r>
      <w:r w:rsidRPr="00931FD3">
        <w:rPr>
          <w:rFonts w:ascii="Times New Roman" w:hAnsi="Times New Roman"/>
          <w:noProof/>
          <w:sz w:val="24"/>
          <w:szCs w:val="24"/>
        </w:rPr>
        <w:instrText xml:space="preserve"> PAGEREF _Toc378088895 \h </w:instrText>
      </w:r>
      <w:r w:rsidRPr="00931FD3">
        <w:rPr>
          <w:rFonts w:ascii="Times New Roman" w:hAnsi="Times New Roman"/>
          <w:noProof/>
          <w:sz w:val="24"/>
          <w:szCs w:val="24"/>
        </w:rPr>
      </w:r>
      <w:r w:rsidRPr="00931FD3">
        <w:rPr>
          <w:rFonts w:ascii="Times New Roman" w:hAnsi="Times New Roman"/>
          <w:noProof/>
          <w:sz w:val="24"/>
          <w:szCs w:val="24"/>
        </w:rPr>
        <w:fldChar w:fldCharType="separate"/>
      </w:r>
      <w:r w:rsidR="00634836">
        <w:rPr>
          <w:rFonts w:ascii="Times New Roman" w:hAnsi="Times New Roman"/>
          <w:noProof/>
          <w:sz w:val="24"/>
          <w:szCs w:val="24"/>
        </w:rPr>
        <w:t>36</w:t>
      </w:r>
      <w:r w:rsidRPr="00931FD3">
        <w:rPr>
          <w:rFonts w:ascii="Times New Roman" w:hAnsi="Times New Roman"/>
          <w:noProof/>
          <w:sz w:val="24"/>
          <w:szCs w:val="24"/>
        </w:rPr>
        <w:fldChar w:fldCharType="end"/>
      </w:r>
    </w:p>
    <w:p w:rsidR="00FC5498" w:rsidRPr="00931FD3" w:rsidRDefault="00FC5498" w:rsidP="00931FD3">
      <w:pPr>
        <w:pStyle w:val="TOC3"/>
        <w:ind w:hanging="40"/>
        <w:rPr>
          <w:i/>
          <w:kern w:val="0"/>
        </w:rPr>
      </w:pPr>
      <w:r w:rsidRPr="00DF0E0F">
        <w:rPr>
          <w:i/>
        </w:rPr>
        <w:t>Alternative Implied Cost of Equity Measure</w:t>
      </w:r>
      <w:r w:rsidRPr="00931FD3">
        <w:rPr>
          <w:i/>
        </w:rPr>
        <w:tab/>
      </w:r>
      <w:r w:rsidRPr="00931FD3">
        <w:fldChar w:fldCharType="begin"/>
      </w:r>
      <w:r w:rsidRPr="00DF0E0F">
        <w:instrText xml:space="preserve"> PAGEREF _Toc378088896 \h </w:instrText>
      </w:r>
      <w:r w:rsidRPr="00931FD3">
        <w:fldChar w:fldCharType="separate"/>
      </w:r>
      <w:r w:rsidR="00634836">
        <w:t>36</w:t>
      </w:r>
      <w:r w:rsidRPr="00931FD3">
        <w:fldChar w:fldCharType="end"/>
      </w:r>
    </w:p>
    <w:p w:rsidR="00FC5498" w:rsidRPr="00931FD3" w:rsidRDefault="00FC5498" w:rsidP="00931FD3">
      <w:pPr>
        <w:pStyle w:val="TOC3"/>
        <w:ind w:hanging="40"/>
        <w:rPr>
          <w:kern w:val="0"/>
        </w:rPr>
      </w:pPr>
      <w:r w:rsidRPr="00DF0E0F">
        <w:rPr>
          <w:i/>
        </w:rPr>
        <w:t>Influential Peer versus Similar Peer Firms</w:t>
      </w:r>
      <w:r w:rsidRPr="00931FD3">
        <w:rPr>
          <w:i/>
        </w:rPr>
        <w:tab/>
      </w:r>
      <w:r w:rsidRPr="00931FD3">
        <w:fldChar w:fldCharType="begin"/>
      </w:r>
      <w:r w:rsidRPr="00DF0E0F">
        <w:instrText xml:space="preserve"> PAGEREF _Toc378088897 \h </w:instrText>
      </w:r>
      <w:r w:rsidRPr="00931FD3">
        <w:fldChar w:fldCharType="separate"/>
      </w:r>
      <w:r w:rsidR="00634836">
        <w:t>37</w:t>
      </w:r>
      <w:r w:rsidRPr="00931FD3">
        <w:fldChar w:fldCharType="end"/>
      </w:r>
    </w:p>
    <w:p w:rsidR="00FC5498" w:rsidRPr="00931FD3" w:rsidRDefault="00FC5498" w:rsidP="00931FD3">
      <w:pPr>
        <w:pStyle w:val="TOC3"/>
        <w:ind w:hanging="40"/>
        <w:rPr>
          <w:kern w:val="0"/>
        </w:rPr>
      </w:pPr>
      <w:r w:rsidRPr="00DF0E0F">
        <w:rPr>
          <w:i/>
        </w:rPr>
        <w:t>Alternative Industry Classification</w:t>
      </w:r>
      <w:r w:rsidRPr="00931FD3">
        <w:rPr>
          <w:i/>
        </w:rPr>
        <w:tab/>
      </w:r>
      <w:r w:rsidRPr="00931FD3">
        <w:fldChar w:fldCharType="begin"/>
      </w:r>
      <w:r w:rsidRPr="00DF0E0F">
        <w:instrText xml:space="preserve"> PAGEREF _Toc378088898 \h </w:instrText>
      </w:r>
      <w:r w:rsidRPr="00931FD3">
        <w:fldChar w:fldCharType="separate"/>
      </w:r>
      <w:r w:rsidR="00634836">
        <w:t>38</w:t>
      </w:r>
      <w:r w:rsidRPr="00931FD3">
        <w:fldChar w:fldCharType="end"/>
      </w:r>
    </w:p>
    <w:p w:rsidR="00DF0E0F" w:rsidRPr="00DF0E0F" w:rsidRDefault="00B30BB4" w:rsidP="00931FD3">
      <w:pPr>
        <w:pStyle w:val="TOC3"/>
        <w:ind w:hanging="130"/>
      </w:pPr>
      <w:r>
        <w:rPr>
          <w:i/>
        </w:rPr>
        <w:t xml:space="preserve">  </w:t>
      </w:r>
      <w:r w:rsidR="00FC5498" w:rsidRPr="00B30BB4">
        <w:rPr>
          <w:i/>
        </w:rPr>
        <w:t>Robustness Tests</w:t>
      </w:r>
      <w:r w:rsidR="00FC5498" w:rsidRPr="00DF0E0F">
        <w:tab/>
      </w:r>
      <w:r w:rsidR="00FC5498" w:rsidRPr="00931FD3">
        <w:fldChar w:fldCharType="begin"/>
      </w:r>
      <w:r w:rsidR="00FC5498" w:rsidRPr="00DF0E0F">
        <w:instrText xml:space="preserve"> PAGEREF _Toc378088899 \h </w:instrText>
      </w:r>
      <w:r w:rsidR="00FC5498" w:rsidRPr="00931FD3">
        <w:fldChar w:fldCharType="separate"/>
      </w:r>
      <w:r w:rsidR="00634836">
        <w:t>38</w:t>
      </w:r>
      <w:r w:rsidR="00FC5498" w:rsidRPr="00931FD3">
        <w:fldChar w:fldCharType="end"/>
      </w:r>
      <w:r w:rsidR="00DF0E0F" w:rsidRPr="00DF0E0F">
        <w:t xml:space="preserve"> </w:t>
      </w:r>
    </w:p>
    <w:p w:rsidR="00DF0E0F" w:rsidRDefault="00DF0E0F">
      <w:pPr>
        <w:pStyle w:val="TOC3"/>
      </w:pPr>
    </w:p>
    <w:p w:rsidR="00FC5498" w:rsidRPr="00DF0E0F" w:rsidRDefault="00DF0E0F">
      <w:pPr>
        <w:pStyle w:val="TOC3"/>
      </w:pPr>
      <w:r w:rsidRPr="00DF0E0F">
        <w:t>CHAPTER VI. CONCLUSIONS</w:t>
      </w:r>
      <w:r w:rsidRPr="00DF0E0F">
        <w:tab/>
      </w:r>
      <w:r w:rsidR="00B30BB4">
        <w:t>40</w:t>
      </w:r>
    </w:p>
    <w:p w:rsidR="00F64733" w:rsidRDefault="00F64733" w:rsidP="00F64733">
      <w:pPr>
        <w:pStyle w:val="TOC2"/>
        <w:tabs>
          <w:tab w:val="right" w:leader="dot" w:pos="8153"/>
        </w:tabs>
        <w:rPr>
          <w:rFonts w:ascii="Times New Roman" w:hAnsi="Times New Roman"/>
          <w:noProof/>
          <w:sz w:val="24"/>
          <w:szCs w:val="24"/>
        </w:rPr>
      </w:pPr>
    </w:p>
    <w:p w:rsidR="00F64733" w:rsidRPr="00F64733" w:rsidRDefault="00F64733" w:rsidP="00F64733">
      <w:pPr>
        <w:pStyle w:val="TOC2"/>
        <w:tabs>
          <w:tab w:val="right" w:leader="dot" w:pos="8153"/>
        </w:tabs>
        <w:rPr>
          <w:rFonts w:ascii="Times New Roman" w:hAnsi="Times New Roman"/>
          <w:noProof/>
          <w:sz w:val="24"/>
          <w:szCs w:val="24"/>
        </w:rPr>
      </w:pPr>
      <w:r w:rsidRPr="00F64733">
        <w:rPr>
          <w:rFonts w:ascii="Times New Roman" w:hAnsi="Times New Roman"/>
          <w:noProof/>
          <w:sz w:val="24"/>
          <w:szCs w:val="24"/>
        </w:rPr>
        <w:t>REFERENCES</w:t>
      </w:r>
      <w:r w:rsidRPr="00F64733">
        <w:rPr>
          <w:rFonts w:ascii="Times New Roman" w:hAnsi="Times New Roman"/>
          <w:noProof/>
          <w:sz w:val="24"/>
          <w:szCs w:val="24"/>
        </w:rPr>
        <w:tab/>
        <w:t>4</w:t>
      </w:r>
      <w:r w:rsidR="00B30BB4">
        <w:rPr>
          <w:rFonts w:ascii="Times New Roman" w:hAnsi="Times New Roman"/>
          <w:noProof/>
          <w:sz w:val="24"/>
          <w:szCs w:val="24"/>
        </w:rPr>
        <w:t>2</w:t>
      </w:r>
    </w:p>
    <w:p w:rsidR="00F64733" w:rsidRPr="00F64733" w:rsidRDefault="00F64733" w:rsidP="00F64733">
      <w:pPr>
        <w:pStyle w:val="TOC2"/>
        <w:tabs>
          <w:tab w:val="right" w:leader="dot" w:pos="8153"/>
        </w:tabs>
        <w:rPr>
          <w:rFonts w:ascii="Times New Roman" w:hAnsi="Times New Roman"/>
          <w:noProof/>
          <w:sz w:val="24"/>
          <w:szCs w:val="24"/>
        </w:rPr>
      </w:pPr>
      <w:r w:rsidRPr="00F64733">
        <w:rPr>
          <w:rFonts w:ascii="Times New Roman" w:hAnsi="Times New Roman"/>
          <w:noProof/>
          <w:sz w:val="24"/>
          <w:szCs w:val="24"/>
        </w:rPr>
        <w:t>APPENDIX  I.</w:t>
      </w:r>
      <w:r w:rsidRPr="00F64733">
        <w:rPr>
          <w:rFonts w:ascii="Times New Roman" w:hAnsi="Times New Roman"/>
          <w:noProof/>
          <w:sz w:val="24"/>
          <w:szCs w:val="24"/>
        </w:rPr>
        <w:tab/>
        <w:t>48</w:t>
      </w:r>
    </w:p>
    <w:p w:rsidR="00DF0E0F" w:rsidRDefault="00F64733" w:rsidP="004114CA">
      <w:pPr>
        <w:pStyle w:val="TOC2"/>
        <w:tabs>
          <w:tab w:val="right" w:leader="dot" w:pos="8153"/>
        </w:tabs>
        <w:rPr>
          <w:b/>
          <w:bCs/>
          <w:caps/>
          <w:sz w:val="24"/>
          <w:szCs w:val="24"/>
        </w:rPr>
      </w:pPr>
      <w:r w:rsidRPr="00F64733">
        <w:rPr>
          <w:rFonts w:ascii="Times New Roman" w:hAnsi="Times New Roman"/>
          <w:noProof/>
          <w:sz w:val="24"/>
          <w:szCs w:val="24"/>
        </w:rPr>
        <w:t>APPENDIX II.</w:t>
      </w:r>
      <w:r w:rsidRPr="00F64733">
        <w:rPr>
          <w:rFonts w:ascii="Times New Roman" w:hAnsi="Times New Roman"/>
          <w:noProof/>
          <w:sz w:val="24"/>
          <w:szCs w:val="24"/>
        </w:rPr>
        <w:tab/>
      </w:r>
      <w:r w:rsidR="006C0D68">
        <w:rPr>
          <w:rFonts w:ascii="Times New Roman" w:hAnsi="Times New Roman"/>
          <w:noProof/>
          <w:sz w:val="24"/>
          <w:szCs w:val="24"/>
        </w:rPr>
        <w:t>50</w:t>
      </w:r>
      <w:r w:rsidR="00FC5498" w:rsidRPr="00931FD3">
        <w:rPr>
          <w:sz w:val="24"/>
          <w:szCs w:val="24"/>
        </w:rPr>
        <w:fldChar w:fldCharType="end"/>
      </w:r>
      <w:r w:rsidR="00DF0E0F">
        <w:br w:type="page"/>
      </w:r>
    </w:p>
    <w:p w:rsidR="00FC5498" w:rsidRDefault="008176E7" w:rsidP="001F01F7">
      <w:pPr>
        <w:pStyle w:val="BlockText"/>
        <w:spacing w:before="0" w:after="200"/>
        <w:ind w:left="0" w:right="0"/>
        <w:rPr>
          <w:rFonts w:cstheme="minorBidi"/>
          <w:noProof/>
          <w:sz w:val="22"/>
          <w:szCs w:val="22"/>
        </w:rPr>
      </w:pPr>
      <w:r w:rsidRPr="001F01F7">
        <w:rPr>
          <w:rFonts w:ascii="Times New Roman" w:hAnsi="Times New Roman"/>
          <w:szCs w:val="24"/>
        </w:rPr>
        <w:lastRenderedPageBreak/>
        <w:t>LIST OF TABLES</w:t>
      </w:r>
      <w:r w:rsidR="00FC5498">
        <w:rPr>
          <w:bCs/>
          <w:caps/>
        </w:rPr>
        <w:fldChar w:fldCharType="begin"/>
      </w:r>
      <w:r w:rsidR="00FC5498">
        <w:instrText xml:space="preserve"> TOC \o "1-4" \u </w:instrText>
      </w:r>
      <w:r w:rsidR="00FC5498">
        <w:rPr>
          <w:bCs/>
          <w:caps/>
        </w:rPr>
        <w:fldChar w:fldCharType="separate"/>
      </w:r>
    </w:p>
    <w:p w:rsidR="00FC5498" w:rsidRPr="00931FD3" w:rsidRDefault="00FC5498" w:rsidP="00FC5498">
      <w:pPr>
        <w:pStyle w:val="TOC4"/>
        <w:tabs>
          <w:tab w:val="right" w:leader="dot" w:pos="8153"/>
        </w:tabs>
        <w:ind w:hanging="600"/>
        <w:rPr>
          <w:rFonts w:ascii="Times New Roman" w:hAnsi="Times New Roman"/>
          <w:noProof/>
          <w:kern w:val="0"/>
          <w:sz w:val="24"/>
          <w:szCs w:val="24"/>
        </w:rPr>
      </w:pPr>
      <w:r w:rsidRPr="00931FD3">
        <w:rPr>
          <w:rFonts w:ascii="Times New Roman" w:hAnsi="Times New Roman"/>
          <w:noProof/>
          <w:sz w:val="24"/>
          <w:szCs w:val="24"/>
        </w:rPr>
        <w:t>Table 1</w:t>
      </w:r>
      <w:r>
        <w:rPr>
          <w:rFonts w:ascii="Times New Roman" w:hAnsi="Times New Roman"/>
          <w:noProof/>
          <w:sz w:val="24"/>
          <w:szCs w:val="24"/>
        </w:rPr>
        <w:t xml:space="preserve"> </w:t>
      </w:r>
      <w:r w:rsidRPr="00931FD3">
        <w:rPr>
          <w:rFonts w:ascii="Times New Roman" w:hAnsi="Times New Roman"/>
          <w:noProof/>
          <w:sz w:val="24"/>
          <w:szCs w:val="24"/>
        </w:rPr>
        <w:t>Sample Selection</w:t>
      </w:r>
      <w:r w:rsidRPr="00931FD3">
        <w:rPr>
          <w:rFonts w:ascii="Times New Roman" w:hAnsi="Times New Roman"/>
          <w:noProof/>
          <w:sz w:val="24"/>
          <w:szCs w:val="24"/>
        </w:rPr>
        <w:tab/>
      </w:r>
      <w:r w:rsidR="002A1990" w:rsidRPr="00931FD3">
        <w:rPr>
          <w:rFonts w:ascii="Times New Roman" w:hAnsi="Times New Roman"/>
          <w:noProof/>
          <w:sz w:val="24"/>
          <w:szCs w:val="24"/>
        </w:rPr>
        <w:fldChar w:fldCharType="begin"/>
      </w:r>
      <w:r w:rsidR="002A1990" w:rsidRPr="00931FD3">
        <w:rPr>
          <w:rFonts w:ascii="Times New Roman" w:hAnsi="Times New Roman"/>
          <w:noProof/>
          <w:sz w:val="24"/>
          <w:szCs w:val="24"/>
        </w:rPr>
        <w:instrText xml:space="preserve"> PAGEREF _Toc378088907 \h </w:instrText>
      </w:r>
      <w:r w:rsidR="002A1990" w:rsidRPr="00931FD3">
        <w:rPr>
          <w:rFonts w:ascii="Times New Roman" w:hAnsi="Times New Roman"/>
          <w:noProof/>
          <w:sz w:val="24"/>
          <w:szCs w:val="24"/>
        </w:rPr>
      </w:r>
      <w:r w:rsidR="002A1990" w:rsidRPr="00931FD3">
        <w:rPr>
          <w:rFonts w:ascii="Times New Roman" w:hAnsi="Times New Roman"/>
          <w:noProof/>
          <w:sz w:val="24"/>
          <w:szCs w:val="24"/>
        </w:rPr>
        <w:fldChar w:fldCharType="separate"/>
      </w:r>
      <w:r w:rsidR="00634836">
        <w:rPr>
          <w:rFonts w:ascii="Times New Roman" w:hAnsi="Times New Roman"/>
          <w:noProof/>
          <w:sz w:val="24"/>
          <w:szCs w:val="24"/>
        </w:rPr>
        <w:t>54</w:t>
      </w:r>
      <w:r w:rsidR="002A1990" w:rsidRPr="00931FD3">
        <w:rPr>
          <w:rFonts w:ascii="Times New Roman" w:hAnsi="Times New Roman"/>
          <w:noProof/>
          <w:sz w:val="24"/>
          <w:szCs w:val="24"/>
        </w:rPr>
        <w:fldChar w:fldCharType="end"/>
      </w:r>
    </w:p>
    <w:p w:rsidR="00FC5498" w:rsidRPr="00931FD3" w:rsidRDefault="00FC5498" w:rsidP="00FC5498">
      <w:pPr>
        <w:pStyle w:val="TOC4"/>
        <w:tabs>
          <w:tab w:val="right" w:leader="dot" w:pos="8153"/>
        </w:tabs>
        <w:ind w:hanging="600"/>
        <w:rPr>
          <w:rFonts w:ascii="Times New Roman" w:hAnsi="Times New Roman"/>
          <w:noProof/>
          <w:kern w:val="0"/>
          <w:sz w:val="24"/>
          <w:szCs w:val="24"/>
        </w:rPr>
      </w:pPr>
      <w:r w:rsidRPr="00931FD3">
        <w:rPr>
          <w:rFonts w:ascii="Times New Roman" w:hAnsi="Times New Roman"/>
          <w:noProof/>
          <w:sz w:val="24"/>
          <w:szCs w:val="24"/>
        </w:rPr>
        <w:t>Table 2</w:t>
      </w:r>
      <w:r>
        <w:rPr>
          <w:rFonts w:ascii="Times New Roman" w:hAnsi="Times New Roman"/>
          <w:noProof/>
          <w:sz w:val="24"/>
          <w:szCs w:val="24"/>
        </w:rPr>
        <w:t xml:space="preserve"> </w:t>
      </w:r>
      <w:r w:rsidRPr="00931FD3">
        <w:rPr>
          <w:rFonts w:ascii="Times New Roman" w:hAnsi="Times New Roman"/>
          <w:noProof/>
          <w:sz w:val="24"/>
          <w:szCs w:val="24"/>
        </w:rPr>
        <w:t>Sample Description</w:t>
      </w:r>
      <w:r w:rsidRPr="00931FD3">
        <w:rPr>
          <w:rFonts w:ascii="Times New Roman" w:hAnsi="Times New Roman"/>
          <w:noProof/>
          <w:sz w:val="24"/>
          <w:szCs w:val="24"/>
        </w:rPr>
        <w:tab/>
      </w:r>
      <w:r w:rsidR="002A1990" w:rsidRPr="00931FD3">
        <w:rPr>
          <w:rFonts w:ascii="Times New Roman" w:hAnsi="Times New Roman"/>
          <w:noProof/>
          <w:sz w:val="24"/>
          <w:szCs w:val="24"/>
        </w:rPr>
        <w:fldChar w:fldCharType="begin"/>
      </w:r>
      <w:r w:rsidR="002A1990" w:rsidRPr="00931FD3">
        <w:rPr>
          <w:rFonts w:ascii="Times New Roman" w:hAnsi="Times New Roman"/>
          <w:noProof/>
          <w:sz w:val="24"/>
          <w:szCs w:val="24"/>
        </w:rPr>
        <w:instrText xml:space="preserve"> PAGEREF _Toc378088909 \h </w:instrText>
      </w:r>
      <w:r w:rsidR="002A1990" w:rsidRPr="00931FD3">
        <w:rPr>
          <w:rFonts w:ascii="Times New Roman" w:hAnsi="Times New Roman"/>
          <w:noProof/>
          <w:sz w:val="24"/>
          <w:szCs w:val="24"/>
        </w:rPr>
      </w:r>
      <w:r w:rsidR="002A1990" w:rsidRPr="00931FD3">
        <w:rPr>
          <w:rFonts w:ascii="Times New Roman" w:hAnsi="Times New Roman"/>
          <w:noProof/>
          <w:sz w:val="24"/>
          <w:szCs w:val="24"/>
        </w:rPr>
        <w:fldChar w:fldCharType="separate"/>
      </w:r>
      <w:r w:rsidR="00634836">
        <w:rPr>
          <w:rFonts w:ascii="Times New Roman" w:hAnsi="Times New Roman"/>
          <w:noProof/>
          <w:sz w:val="24"/>
          <w:szCs w:val="24"/>
        </w:rPr>
        <w:t>55</w:t>
      </w:r>
      <w:r w:rsidR="002A1990" w:rsidRPr="00931FD3">
        <w:rPr>
          <w:rFonts w:ascii="Times New Roman" w:hAnsi="Times New Roman"/>
          <w:noProof/>
          <w:sz w:val="24"/>
          <w:szCs w:val="24"/>
        </w:rPr>
        <w:fldChar w:fldCharType="end"/>
      </w:r>
    </w:p>
    <w:p w:rsidR="00FC5498" w:rsidRPr="00931FD3" w:rsidRDefault="00FC5498" w:rsidP="00FC5498">
      <w:pPr>
        <w:pStyle w:val="TOC4"/>
        <w:tabs>
          <w:tab w:val="right" w:leader="dot" w:pos="8153"/>
        </w:tabs>
        <w:ind w:hanging="600"/>
        <w:rPr>
          <w:rFonts w:ascii="Times New Roman" w:hAnsi="Times New Roman"/>
          <w:noProof/>
          <w:kern w:val="0"/>
          <w:sz w:val="24"/>
          <w:szCs w:val="24"/>
        </w:rPr>
      </w:pPr>
      <w:r w:rsidRPr="00931FD3">
        <w:rPr>
          <w:rFonts w:ascii="Times New Roman" w:hAnsi="Times New Roman"/>
          <w:noProof/>
          <w:sz w:val="24"/>
          <w:szCs w:val="24"/>
        </w:rPr>
        <w:t>Table 3</w:t>
      </w:r>
      <w:r>
        <w:rPr>
          <w:rFonts w:ascii="Times New Roman" w:hAnsi="Times New Roman"/>
          <w:noProof/>
          <w:sz w:val="24"/>
          <w:szCs w:val="24"/>
        </w:rPr>
        <w:t xml:space="preserve"> </w:t>
      </w:r>
      <w:r w:rsidRPr="00931FD3">
        <w:rPr>
          <w:rFonts w:ascii="Times New Roman" w:hAnsi="Times New Roman"/>
          <w:noProof/>
          <w:sz w:val="24"/>
          <w:szCs w:val="24"/>
        </w:rPr>
        <w:t>Sample Description by Industry</w:t>
      </w:r>
      <w:r w:rsidRPr="00931FD3">
        <w:rPr>
          <w:rFonts w:ascii="Times New Roman" w:hAnsi="Times New Roman"/>
          <w:noProof/>
          <w:sz w:val="24"/>
          <w:szCs w:val="24"/>
        </w:rPr>
        <w:tab/>
      </w:r>
      <w:r w:rsidR="002A1990" w:rsidRPr="00931FD3">
        <w:rPr>
          <w:rFonts w:ascii="Times New Roman" w:hAnsi="Times New Roman"/>
          <w:noProof/>
          <w:sz w:val="24"/>
          <w:szCs w:val="24"/>
        </w:rPr>
        <w:fldChar w:fldCharType="begin"/>
      </w:r>
      <w:r w:rsidR="002A1990" w:rsidRPr="00931FD3">
        <w:rPr>
          <w:rFonts w:ascii="Times New Roman" w:hAnsi="Times New Roman"/>
          <w:noProof/>
          <w:sz w:val="24"/>
          <w:szCs w:val="24"/>
        </w:rPr>
        <w:instrText xml:space="preserve"> PAGEREF _Toc378088911 \h </w:instrText>
      </w:r>
      <w:r w:rsidR="002A1990" w:rsidRPr="00931FD3">
        <w:rPr>
          <w:rFonts w:ascii="Times New Roman" w:hAnsi="Times New Roman"/>
          <w:noProof/>
          <w:sz w:val="24"/>
          <w:szCs w:val="24"/>
        </w:rPr>
      </w:r>
      <w:r w:rsidR="002A1990" w:rsidRPr="00931FD3">
        <w:rPr>
          <w:rFonts w:ascii="Times New Roman" w:hAnsi="Times New Roman"/>
          <w:noProof/>
          <w:sz w:val="24"/>
          <w:szCs w:val="24"/>
        </w:rPr>
        <w:fldChar w:fldCharType="separate"/>
      </w:r>
      <w:r w:rsidR="00634836">
        <w:rPr>
          <w:rFonts w:ascii="Times New Roman" w:hAnsi="Times New Roman"/>
          <w:noProof/>
          <w:sz w:val="24"/>
          <w:szCs w:val="24"/>
        </w:rPr>
        <w:t>58</w:t>
      </w:r>
      <w:r w:rsidR="002A1990" w:rsidRPr="00931FD3">
        <w:rPr>
          <w:rFonts w:ascii="Times New Roman" w:hAnsi="Times New Roman"/>
          <w:noProof/>
          <w:sz w:val="24"/>
          <w:szCs w:val="24"/>
        </w:rPr>
        <w:fldChar w:fldCharType="end"/>
      </w:r>
    </w:p>
    <w:p w:rsidR="00FC5498" w:rsidRPr="00931FD3" w:rsidRDefault="00FC5498" w:rsidP="00FC5498">
      <w:pPr>
        <w:pStyle w:val="TOC4"/>
        <w:tabs>
          <w:tab w:val="right" w:leader="dot" w:pos="8153"/>
        </w:tabs>
        <w:ind w:hanging="600"/>
        <w:rPr>
          <w:rFonts w:ascii="Times New Roman" w:hAnsi="Times New Roman"/>
          <w:noProof/>
          <w:kern w:val="0"/>
          <w:sz w:val="24"/>
          <w:szCs w:val="24"/>
        </w:rPr>
      </w:pPr>
      <w:r w:rsidRPr="00931FD3">
        <w:rPr>
          <w:rFonts w:ascii="Times New Roman" w:hAnsi="Times New Roman"/>
          <w:noProof/>
          <w:sz w:val="24"/>
          <w:szCs w:val="24"/>
        </w:rPr>
        <w:t>Table 4</w:t>
      </w:r>
      <w:r>
        <w:rPr>
          <w:rFonts w:ascii="Times New Roman" w:hAnsi="Times New Roman"/>
          <w:noProof/>
          <w:sz w:val="24"/>
          <w:szCs w:val="24"/>
        </w:rPr>
        <w:t xml:space="preserve"> </w:t>
      </w:r>
      <w:r w:rsidRPr="00931FD3">
        <w:rPr>
          <w:rFonts w:ascii="Times New Roman" w:hAnsi="Times New Roman"/>
          <w:noProof/>
          <w:sz w:val="24"/>
          <w:szCs w:val="24"/>
        </w:rPr>
        <w:t xml:space="preserve">Equally-weighted Portfolios </w:t>
      </w:r>
      <w:r w:rsidRPr="00931FD3">
        <w:rPr>
          <w:rFonts w:ascii="Times New Roman" w:hAnsi="Times New Roman"/>
          <w:bCs/>
          <w:noProof/>
          <w:sz w:val="24"/>
          <w:szCs w:val="24"/>
        </w:rPr>
        <w:t>Using Sorts</w:t>
      </w:r>
      <w:r w:rsidRPr="00931FD3">
        <w:rPr>
          <w:rFonts w:ascii="Times New Roman" w:hAnsi="Times New Roman"/>
          <w:noProof/>
          <w:sz w:val="24"/>
          <w:szCs w:val="24"/>
        </w:rPr>
        <w:tab/>
      </w:r>
      <w:r w:rsidR="002A1990" w:rsidRPr="00931FD3">
        <w:rPr>
          <w:rFonts w:ascii="Times New Roman" w:hAnsi="Times New Roman"/>
          <w:noProof/>
          <w:sz w:val="24"/>
          <w:szCs w:val="24"/>
        </w:rPr>
        <w:fldChar w:fldCharType="begin"/>
      </w:r>
      <w:r w:rsidR="002A1990" w:rsidRPr="00931FD3">
        <w:rPr>
          <w:rFonts w:ascii="Times New Roman" w:hAnsi="Times New Roman"/>
          <w:noProof/>
          <w:sz w:val="24"/>
          <w:szCs w:val="24"/>
        </w:rPr>
        <w:instrText xml:space="preserve"> PAGEREF _Toc378088913 \h </w:instrText>
      </w:r>
      <w:r w:rsidR="002A1990" w:rsidRPr="00931FD3">
        <w:rPr>
          <w:rFonts w:ascii="Times New Roman" w:hAnsi="Times New Roman"/>
          <w:noProof/>
          <w:sz w:val="24"/>
          <w:szCs w:val="24"/>
        </w:rPr>
      </w:r>
      <w:r w:rsidR="002A1990" w:rsidRPr="00931FD3">
        <w:rPr>
          <w:rFonts w:ascii="Times New Roman" w:hAnsi="Times New Roman"/>
          <w:noProof/>
          <w:sz w:val="24"/>
          <w:szCs w:val="24"/>
        </w:rPr>
        <w:fldChar w:fldCharType="separate"/>
      </w:r>
      <w:r w:rsidR="00634836">
        <w:rPr>
          <w:rFonts w:ascii="Times New Roman" w:hAnsi="Times New Roman"/>
          <w:noProof/>
          <w:sz w:val="24"/>
          <w:szCs w:val="24"/>
        </w:rPr>
        <w:t>60</w:t>
      </w:r>
      <w:r w:rsidR="002A1990" w:rsidRPr="00931FD3">
        <w:rPr>
          <w:rFonts w:ascii="Times New Roman" w:hAnsi="Times New Roman"/>
          <w:noProof/>
          <w:sz w:val="24"/>
          <w:szCs w:val="24"/>
        </w:rPr>
        <w:fldChar w:fldCharType="end"/>
      </w:r>
    </w:p>
    <w:p w:rsidR="00FC5498" w:rsidRPr="00931FD3" w:rsidRDefault="00FC5498" w:rsidP="00FC5498">
      <w:pPr>
        <w:pStyle w:val="TOC4"/>
        <w:tabs>
          <w:tab w:val="right" w:leader="dot" w:pos="8153"/>
        </w:tabs>
        <w:ind w:hanging="600"/>
        <w:rPr>
          <w:rFonts w:ascii="Times New Roman" w:hAnsi="Times New Roman"/>
          <w:noProof/>
          <w:kern w:val="0"/>
          <w:sz w:val="24"/>
          <w:szCs w:val="24"/>
        </w:rPr>
      </w:pPr>
      <w:r w:rsidRPr="00931FD3">
        <w:rPr>
          <w:rFonts w:ascii="Times New Roman" w:hAnsi="Times New Roman"/>
          <w:noProof/>
          <w:sz w:val="24"/>
          <w:szCs w:val="24"/>
        </w:rPr>
        <w:t>Table 5</w:t>
      </w:r>
      <w:r>
        <w:rPr>
          <w:rFonts w:ascii="Times New Roman" w:hAnsi="Times New Roman"/>
          <w:noProof/>
          <w:sz w:val="24"/>
          <w:szCs w:val="24"/>
        </w:rPr>
        <w:t xml:space="preserve"> </w:t>
      </w:r>
      <w:r w:rsidRPr="00931FD3">
        <w:rPr>
          <w:rFonts w:ascii="Times New Roman" w:hAnsi="Times New Roman"/>
          <w:noProof/>
          <w:sz w:val="24"/>
          <w:szCs w:val="24"/>
        </w:rPr>
        <w:t>Market Risk Factor Test</w:t>
      </w:r>
      <w:r w:rsidRPr="00931FD3">
        <w:rPr>
          <w:rFonts w:ascii="Times New Roman" w:hAnsi="Times New Roman"/>
          <w:noProof/>
          <w:sz w:val="24"/>
          <w:szCs w:val="24"/>
        </w:rPr>
        <w:tab/>
      </w:r>
      <w:r w:rsidR="004C6937">
        <w:rPr>
          <w:rFonts w:ascii="Times New Roman" w:hAnsi="Times New Roman"/>
          <w:noProof/>
          <w:sz w:val="24"/>
          <w:szCs w:val="24"/>
        </w:rPr>
        <w:t>61</w:t>
      </w:r>
    </w:p>
    <w:p w:rsidR="00FC5498" w:rsidRPr="00931FD3" w:rsidRDefault="00FC5498" w:rsidP="00FC5498">
      <w:pPr>
        <w:pStyle w:val="TOC4"/>
        <w:tabs>
          <w:tab w:val="right" w:leader="dot" w:pos="8153"/>
        </w:tabs>
        <w:ind w:hanging="600"/>
        <w:rPr>
          <w:rFonts w:ascii="Times New Roman" w:hAnsi="Times New Roman"/>
          <w:noProof/>
          <w:kern w:val="0"/>
          <w:sz w:val="24"/>
          <w:szCs w:val="24"/>
        </w:rPr>
      </w:pPr>
      <w:r w:rsidRPr="00931FD3">
        <w:rPr>
          <w:rFonts w:ascii="Times New Roman" w:hAnsi="Times New Roman"/>
          <w:noProof/>
          <w:sz w:val="24"/>
          <w:szCs w:val="24"/>
        </w:rPr>
        <w:t>Table 6</w:t>
      </w:r>
      <w:r>
        <w:rPr>
          <w:rFonts w:ascii="Times New Roman" w:hAnsi="Times New Roman"/>
          <w:noProof/>
          <w:sz w:val="24"/>
          <w:szCs w:val="24"/>
        </w:rPr>
        <w:t xml:space="preserve"> </w:t>
      </w:r>
      <w:r w:rsidRPr="00931FD3">
        <w:rPr>
          <w:rFonts w:ascii="Times New Roman" w:hAnsi="Times New Roman"/>
          <w:noProof/>
          <w:sz w:val="24"/>
          <w:szCs w:val="24"/>
        </w:rPr>
        <w:t>Implied Cost of Equity Test</w:t>
      </w:r>
      <w:r w:rsidRPr="00931FD3">
        <w:rPr>
          <w:rFonts w:ascii="Times New Roman" w:hAnsi="Times New Roman"/>
          <w:noProof/>
          <w:sz w:val="24"/>
          <w:szCs w:val="24"/>
        </w:rPr>
        <w:tab/>
      </w:r>
      <w:r w:rsidR="002A1990" w:rsidRPr="00931FD3">
        <w:rPr>
          <w:rFonts w:ascii="Times New Roman" w:hAnsi="Times New Roman"/>
          <w:noProof/>
          <w:sz w:val="24"/>
          <w:szCs w:val="24"/>
        </w:rPr>
        <w:fldChar w:fldCharType="begin"/>
      </w:r>
      <w:r w:rsidR="002A1990" w:rsidRPr="00931FD3">
        <w:rPr>
          <w:rFonts w:ascii="Times New Roman" w:hAnsi="Times New Roman"/>
          <w:noProof/>
          <w:sz w:val="24"/>
          <w:szCs w:val="24"/>
        </w:rPr>
        <w:instrText xml:space="preserve"> PAGEREF _Toc378088917 \h </w:instrText>
      </w:r>
      <w:r w:rsidR="002A1990" w:rsidRPr="00931FD3">
        <w:rPr>
          <w:rFonts w:ascii="Times New Roman" w:hAnsi="Times New Roman"/>
          <w:noProof/>
          <w:sz w:val="24"/>
          <w:szCs w:val="24"/>
        </w:rPr>
      </w:r>
      <w:r w:rsidR="002A1990" w:rsidRPr="00931FD3">
        <w:rPr>
          <w:rFonts w:ascii="Times New Roman" w:hAnsi="Times New Roman"/>
          <w:noProof/>
          <w:sz w:val="24"/>
          <w:szCs w:val="24"/>
        </w:rPr>
        <w:fldChar w:fldCharType="separate"/>
      </w:r>
      <w:r w:rsidR="00634836">
        <w:rPr>
          <w:rFonts w:ascii="Times New Roman" w:hAnsi="Times New Roman"/>
          <w:noProof/>
          <w:sz w:val="24"/>
          <w:szCs w:val="24"/>
        </w:rPr>
        <w:t>63</w:t>
      </w:r>
      <w:r w:rsidR="002A1990" w:rsidRPr="00931FD3">
        <w:rPr>
          <w:rFonts w:ascii="Times New Roman" w:hAnsi="Times New Roman"/>
          <w:noProof/>
          <w:sz w:val="24"/>
          <w:szCs w:val="24"/>
        </w:rPr>
        <w:fldChar w:fldCharType="end"/>
      </w:r>
    </w:p>
    <w:p w:rsidR="00FC5498" w:rsidRPr="00931FD3" w:rsidRDefault="00FC5498" w:rsidP="00FC5498">
      <w:pPr>
        <w:pStyle w:val="TOC4"/>
        <w:tabs>
          <w:tab w:val="right" w:leader="dot" w:pos="8153"/>
        </w:tabs>
        <w:ind w:hanging="600"/>
        <w:rPr>
          <w:rFonts w:ascii="Times New Roman" w:hAnsi="Times New Roman"/>
          <w:noProof/>
          <w:kern w:val="0"/>
          <w:sz w:val="24"/>
          <w:szCs w:val="24"/>
        </w:rPr>
      </w:pPr>
      <w:r w:rsidRPr="00931FD3">
        <w:rPr>
          <w:rFonts w:ascii="Times New Roman" w:hAnsi="Times New Roman"/>
          <w:noProof/>
          <w:sz w:val="24"/>
          <w:szCs w:val="24"/>
        </w:rPr>
        <w:t>Table 7</w:t>
      </w:r>
      <w:r>
        <w:rPr>
          <w:rFonts w:ascii="Times New Roman" w:hAnsi="Times New Roman"/>
          <w:noProof/>
          <w:sz w:val="24"/>
          <w:szCs w:val="24"/>
        </w:rPr>
        <w:t xml:space="preserve"> </w:t>
      </w:r>
      <w:r w:rsidRPr="00931FD3">
        <w:rPr>
          <w:rFonts w:ascii="Times New Roman" w:hAnsi="Times New Roman"/>
          <w:noProof/>
          <w:sz w:val="24"/>
          <w:szCs w:val="24"/>
        </w:rPr>
        <w:t>Industry-Adjusted Earnings-Price Ratio Test</w:t>
      </w:r>
      <w:r w:rsidRPr="00931FD3">
        <w:rPr>
          <w:rFonts w:ascii="Times New Roman" w:hAnsi="Times New Roman"/>
          <w:noProof/>
          <w:sz w:val="24"/>
          <w:szCs w:val="24"/>
        </w:rPr>
        <w:tab/>
      </w:r>
      <w:r w:rsidR="002A1990" w:rsidRPr="00931FD3">
        <w:rPr>
          <w:rFonts w:ascii="Times New Roman" w:hAnsi="Times New Roman"/>
          <w:noProof/>
          <w:sz w:val="24"/>
          <w:szCs w:val="24"/>
        </w:rPr>
        <w:fldChar w:fldCharType="begin"/>
      </w:r>
      <w:r w:rsidR="002A1990" w:rsidRPr="00931FD3">
        <w:rPr>
          <w:rFonts w:ascii="Times New Roman" w:hAnsi="Times New Roman"/>
          <w:noProof/>
          <w:sz w:val="24"/>
          <w:szCs w:val="24"/>
        </w:rPr>
        <w:instrText xml:space="preserve"> PAGEREF _Toc378088919 \h </w:instrText>
      </w:r>
      <w:r w:rsidR="002A1990" w:rsidRPr="00931FD3">
        <w:rPr>
          <w:rFonts w:ascii="Times New Roman" w:hAnsi="Times New Roman"/>
          <w:noProof/>
          <w:sz w:val="24"/>
          <w:szCs w:val="24"/>
        </w:rPr>
      </w:r>
      <w:r w:rsidR="002A1990" w:rsidRPr="00931FD3">
        <w:rPr>
          <w:rFonts w:ascii="Times New Roman" w:hAnsi="Times New Roman"/>
          <w:noProof/>
          <w:sz w:val="24"/>
          <w:szCs w:val="24"/>
        </w:rPr>
        <w:fldChar w:fldCharType="separate"/>
      </w:r>
      <w:r w:rsidR="00634836">
        <w:rPr>
          <w:rFonts w:ascii="Times New Roman" w:hAnsi="Times New Roman"/>
          <w:noProof/>
          <w:sz w:val="24"/>
          <w:szCs w:val="24"/>
        </w:rPr>
        <w:t>64</w:t>
      </w:r>
      <w:r w:rsidR="002A1990" w:rsidRPr="00931FD3">
        <w:rPr>
          <w:rFonts w:ascii="Times New Roman" w:hAnsi="Times New Roman"/>
          <w:noProof/>
          <w:sz w:val="24"/>
          <w:szCs w:val="24"/>
        </w:rPr>
        <w:fldChar w:fldCharType="end"/>
      </w:r>
    </w:p>
    <w:p w:rsidR="00FC5498" w:rsidRPr="00931FD3" w:rsidRDefault="00FC5498" w:rsidP="00FC5498">
      <w:pPr>
        <w:pStyle w:val="TOC4"/>
        <w:tabs>
          <w:tab w:val="right" w:leader="dot" w:pos="8153"/>
        </w:tabs>
        <w:ind w:hanging="600"/>
        <w:rPr>
          <w:rFonts w:ascii="Times New Roman" w:hAnsi="Times New Roman"/>
          <w:noProof/>
          <w:kern w:val="0"/>
          <w:sz w:val="24"/>
          <w:szCs w:val="24"/>
        </w:rPr>
      </w:pPr>
      <w:r w:rsidRPr="00931FD3">
        <w:rPr>
          <w:rFonts w:ascii="Times New Roman" w:hAnsi="Times New Roman"/>
          <w:noProof/>
          <w:sz w:val="24"/>
          <w:szCs w:val="24"/>
        </w:rPr>
        <w:t>Table 8</w:t>
      </w:r>
      <w:r>
        <w:rPr>
          <w:rFonts w:ascii="Times New Roman" w:hAnsi="Times New Roman"/>
          <w:noProof/>
          <w:sz w:val="24"/>
          <w:szCs w:val="24"/>
        </w:rPr>
        <w:t xml:space="preserve"> </w:t>
      </w:r>
      <w:r w:rsidRPr="00931FD3">
        <w:rPr>
          <w:rFonts w:ascii="Times New Roman" w:hAnsi="Times New Roman"/>
          <w:noProof/>
          <w:sz w:val="24"/>
          <w:szCs w:val="24"/>
        </w:rPr>
        <w:t>Variation in the Cost of Equity Effect of Peer Firm Earnings Quality</w:t>
      </w:r>
      <w:r w:rsidRPr="00931FD3">
        <w:rPr>
          <w:rFonts w:ascii="Times New Roman" w:hAnsi="Times New Roman"/>
          <w:noProof/>
          <w:sz w:val="24"/>
          <w:szCs w:val="24"/>
        </w:rPr>
        <w:tab/>
      </w:r>
      <w:r w:rsidR="002A1990" w:rsidRPr="00931FD3">
        <w:rPr>
          <w:rFonts w:ascii="Times New Roman" w:hAnsi="Times New Roman"/>
          <w:noProof/>
          <w:sz w:val="24"/>
          <w:szCs w:val="24"/>
        </w:rPr>
        <w:fldChar w:fldCharType="begin"/>
      </w:r>
      <w:r w:rsidR="002A1990" w:rsidRPr="00931FD3">
        <w:rPr>
          <w:rFonts w:ascii="Times New Roman" w:hAnsi="Times New Roman"/>
          <w:noProof/>
          <w:sz w:val="24"/>
          <w:szCs w:val="24"/>
        </w:rPr>
        <w:instrText xml:space="preserve"> PAGEREF _Toc378088921 \h </w:instrText>
      </w:r>
      <w:r w:rsidR="002A1990" w:rsidRPr="00931FD3">
        <w:rPr>
          <w:rFonts w:ascii="Times New Roman" w:hAnsi="Times New Roman"/>
          <w:noProof/>
          <w:sz w:val="24"/>
          <w:szCs w:val="24"/>
        </w:rPr>
      </w:r>
      <w:r w:rsidR="002A1990" w:rsidRPr="00931FD3">
        <w:rPr>
          <w:rFonts w:ascii="Times New Roman" w:hAnsi="Times New Roman"/>
          <w:noProof/>
          <w:sz w:val="24"/>
          <w:szCs w:val="24"/>
        </w:rPr>
        <w:fldChar w:fldCharType="separate"/>
      </w:r>
      <w:r w:rsidR="00634836">
        <w:rPr>
          <w:rFonts w:ascii="Times New Roman" w:hAnsi="Times New Roman"/>
          <w:noProof/>
          <w:sz w:val="24"/>
          <w:szCs w:val="24"/>
        </w:rPr>
        <w:t>65</w:t>
      </w:r>
      <w:r w:rsidR="002A1990" w:rsidRPr="00931FD3">
        <w:rPr>
          <w:rFonts w:ascii="Times New Roman" w:hAnsi="Times New Roman"/>
          <w:noProof/>
          <w:sz w:val="24"/>
          <w:szCs w:val="24"/>
        </w:rPr>
        <w:fldChar w:fldCharType="end"/>
      </w:r>
    </w:p>
    <w:p w:rsidR="00FC5498" w:rsidRPr="00931FD3" w:rsidRDefault="00FC5498" w:rsidP="00931FD3">
      <w:r>
        <w:fldChar w:fldCharType="end"/>
      </w:r>
    </w:p>
    <w:sdt>
      <w:sdtPr>
        <w:rPr>
          <w:rFonts w:ascii="Times New Roman" w:eastAsiaTheme="minorEastAsia" w:hAnsi="Times New Roman" w:cs="Times New Roman"/>
          <w:b w:val="0"/>
          <w:bCs w:val="0"/>
          <w:color w:val="auto"/>
          <w:kern w:val="28"/>
          <w:sz w:val="20"/>
          <w:szCs w:val="20"/>
          <w:lang w:eastAsia="zh-CN"/>
        </w:rPr>
        <w:id w:val="-1980603310"/>
        <w:docPartObj>
          <w:docPartGallery w:val="Table of Contents"/>
          <w:docPartUnique/>
        </w:docPartObj>
      </w:sdtPr>
      <w:sdtEndPr>
        <w:rPr>
          <w:noProof/>
        </w:rPr>
      </w:sdtEndPr>
      <w:sdtContent>
        <w:p w:rsidR="00FC5498" w:rsidRDefault="00FC5498" w:rsidP="00931FD3">
          <w:pPr>
            <w:pStyle w:val="TOCHeading"/>
            <w:spacing w:before="0" w:line="240" w:lineRule="auto"/>
          </w:pPr>
        </w:p>
        <w:p w:rsidR="00FC5498" w:rsidRDefault="00F62EF1" w:rsidP="00FC5498">
          <w:pPr>
            <w:snapToGrid w:val="0"/>
            <w:rPr>
              <w:noProof/>
            </w:rPr>
          </w:pPr>
        </w:p>
      </w:sdtContent>
    </w:sdt>
    <w:p w:rsidR="00FC5498" w:rsidRPr="00931FD3" w:rsidRDefault="00FC5498" w:rsidP="00931FD3"/>
    <w:p w:rsidR="008176E7" w:rsidRDefault="008176E7" w:rsidP="00931FD3">
      <w:pPr>
        <w:widowControl/>
        <w:overflowPunct/>
        <w:autoSpaceDE/>
        <w:autoSpaceDN/>
        <w:adjustRightInd/>
        <w:jc w:val="center"/>
        <w:rPr>
          <w:szCs w:val="24"/>
        </w:rPr>
      </w:pPr>
    </w:p>
    <w:p w:rsidR="0046713E" w:rsidRPr="00931FD3" w:rsidRDefault="0046713E" w:rsidP="00931FD3">
      <w:pPr>
        <w:widowControl/>
        <w:overflowPunct/>
        <w:autoSpaceDE/>
        <w:autoSpaceDN/>
        <w:adjustRightInd/>
        <w:jc w:val="center"/>
        <w:rPr>
          <w:szCs w:val="24"/>
        </w:rPr>
      </w:pPr>
    </w:p>
    <w:p w:rsidR="0046713E" w:rsidRDefault="0046713E" w:rsidP="001F01F7">
      <w:pPr>
        <w:pStyle w:val="TOC1"/>
        <w:rPr>
          <w:rFonts w:cstheme="minorBidi"/>
          <w:noProof/>
          <w:kern w:val="0"/>
          <w:sz w:val="22"/>
          <w:szCs w:val="22"/>
        </w:rPr>
      </w:pPr>
      <w:r>
        <w:fldChar w:fldCharType="begin"/>
      </w:r>
      <w:r>
        <w:instrText xml:space="preserve"> TOC \o "1-3" \h \z \u </w:instrText>
      </w:r>
      <w:r>
        <w:fldChar w:fldCharType="separate"/>
      </w:r>
    </w:p>
    <w:p w:rsidR="002D65A3" w:rsidRDefault="0046713E">
      <w:pPr>
        <w:widowControl/>
        <w:overflowPunct/>
        <w:autoSpaceDE/>
        <w:autoSpaceDN/>
        <w:adjustRightInd/>
        <w:rPr>
          <w:szCs w:val="24"/>
        </w:rPr>
      </w:pPr>
      <w:r>
        <w:rPr>
          <w:szCs w:val="24"/>
        </w:rPr>
        <w:fldChar w:fldCharType="end"/>
      </w:r>
      <w:r w:rsidR="008176E7">
        <w:rPr>
          <w:szCs w:val="24"/>
        </w:rPr>
        <w:br w:type="page"/>
      </w:r>
    </w:p>
    <w:p w:rsidR="00FC5498" w:rsidRPr="001F01F7" w:rsidRDefault="002D65A3" w:rsidP="001F01F7">
      <w:pPr>
        <w:pStyle w:val="BlockText"/>
        <w:spacing w:before="0" w:after="200"/>
        <w:ind w:left="0" w:right="0"/>
        <w:rPr>
          <w:rFonts w:ascii="Times New Roman" w:hAnsi="Times New Roman"/>
          <w:szCs w:val="24"/>
        </w:rPr>
      </w:pPr>
      <w:r w:rsidRPr="00B92F2F">
        <w:rPr>
          <w:rFonts w:ascii="Times New Roman" w:hAnsi="Times New Roman"/>
          <w:szCs w:val="24"/>
        </w:rPr>
        <w:lastRenderedPageBreak/>
        <w:t xml:space="preserve">LIST OF </w:t>
      </w:r>
      <w:r>
        <w:rPr>
          <w:rFonts w:ascii="Times New Roman" w:hAnsi="Times New Roman"/>
          <w:szCs w:val="24"/>
        </w:rPr>
        <w:t>FIGURES</w:t>
      </w:r>
      <w:r w:rsidR="00FC5498">
        <w:rPr>
          <w:rFonts w:ascii="Times New Roman" w:eastAsiaTheme="minorEastAsia" w:hAnsi="Times New Roman"/>
          <w:bCs/>
          <w:caps/>
          <w:kern w:val="28"/>
          <w:szCs w:val="24"/>
          <w:lang w:eastAsia="zh-CN"/>
        </w:rPr>
        <w:fldChar w:fldCharType="begin"/>
      </w:r>
      <w:r w:rsidR="00FC5498">
        <w:instrText xml:space="preserve"> TOC \o "1-4" \u </w:instrText>
      </w:r>
      <w:r w:rsidR="00FC5498">
        <w:rPr>
          <w:rFonts w:ascii="Times New Roman" w:eastAsiaTheme="minorEastAsia" w:hAnsi="Times New Roman"/>
          <w:bCs/>
          <w:caps/>
          <w:kern w:val="28"/>
          <w:szCs w:val="24"/>
          <w:lang w:eastAsia="zh-CN"/>
        </w:rPr>
        <w:fldChar w:fldCharType="separate"/>
      </w:r>
    </w:p>
    <w:p w:rsidR="00FC5498" w:rsidRDefault="00FC5498" w:rsidP="00FC5498">
      <w:pPr>
        <w:pStyle w:val="TOC4"/>
        <w:tabs>
          <w:tab w:val="right" w:leader="dot" w:pos="8153"/>
        </w:tabs>
        <w:ind w:hanging="600"/>
        <w:rPr>
          <w:rFonts w:ascii="Times New Roman" w:hAnsi="Times New Roman"/>
          <w:noProof/>
          <w:sz w:val="24"/>
          <w:szCs w:val="24"/>
        </w:rPr>
      </w:pPr>
      <w:r w:rsidRPr="00FC5498">
        <w:rPr>
          <w:rFonts w:ascii="Times New Roman" w:hAnsi="Times New Roman"/>
          <w:noProof/>
          <w:sz w:val="24"/>
          <w:szCs w:val="24"/>
        </w:rPr>
        <w:t>FIGURE I. SUMMARY OF ANALYSES FRAMEWORK</w:t>
      </w:r>
      <w:r w:rsidRPr="00FC5498">
        <w:rPr>
          <w:rFonts w:ascii="Times New Roman" w:hAnsi="Times New Roman"/>
          <w:noProof/>
          <w:sz w:val="24"/>
          <w:szCs w:val="24"/>
        </w:rPr>
        <w:tab/>
      </w:r>
      <w:r w:rsidR="006C0D68">
        <w:rPr>
          <w:rFonts w:ascii="Times New Roman" w:hAnsi="Times New Roman"/>
          <w:noProof/>
          <w:sz w:val="24"/>
          <w:szCs w:val="24"/>
        </w:rPr>
        <w:t>51</w:t>
      </w:r>
    </w:p>
    <w:p w:rsidR="00FC5498" w:rsidRDefault="00FC5498">
      <w:pPr>
        <w:pStyle w:val="TOC4"/>
        <w:tabs>
          <w:tab w:val="right" w:leader="dot" w:pos="8153"/>
        </w:tabs>
        <w:ind w:hanging="600"/>
        <w:rPr>
          <w:rFonts w:ascii="Times New Roman" w:hAnsi="Times New Roman"/>
          <w:noProof/>
          <w:sz w:val="24"/>
          <w:szCs w:val="24"/>
        </w:rPr>
      </w:pPr>
      <w:r w:rsidRPr="00FC5498">
        <w:rPr>
          <w:rFonts w:ascii="Times New Roman" w:hAnsi="Times New Roman"/>
          <w:noProof/>
          <w:sz w:val="24"/>
          <w:szCs w:val="24"/>
        </w:rPr>
        <w:t>FIGURE II. THE DIRECT EFFECT OF PEER FIRM EARNINGS QUALITY</w:t>
      </w:r>
      <w:r w:rsidRPr="00FC5498">
        <w:rPr>
          <w:rFonts w:ascii="Times New Roman" w:hAnsi="Times New Roman"/>
          <w:noProof/>
          <w:sz w:val="24"/>
          <w:szCs w:val="24"/>
        </w:rPr>
        <w:tab/>
      </w:r>
      <w:r w:rsidR="006C0D68">
        <w:rPr>
          <w:rFonts w:ascii="Times New Roman" w:hAnsi="Times New Roman"/>
          <w:noProof/>
          <w:sz w:val="24"/>
          <w:szCs w:val="24"/>
        </w:rPr>
        <w:t>52</w:t>
      </w:r>
    </w:p>
    <w:p w:rsidR="00B03CDA" w:rsidRPr="008214DB" w:rsidRDefault="00B03CDA" w:rsidP="00B03CDA">
      <w:pPr>
        <w:pStyle w:val="TOC4"/>
        <w:tabs>
          <w:tab w:val="right" w:leader="dot" w:pos="8153"/>
        </w:tabs>
        <w:ind w:hanging="600"/>
        <w:rPr>
          <w:rFonts w:ascii="Times New Roman" w:hAnsi="Times New Roman"/>
          <w:noProof/>
          <w:kern w:val="0"/>
          <w:sz w:val="24"/>
          <w:szCs w:val="24"/>
        </w:rPr>
      </w:pPr>
      <w:r w:rsidRPr="00FC5498">
        <w:rPr>
          <w:rFonts w:ascii="Times New Roman" w:hAnsi="Times New Roman"/>
          <w:noProof/>
          <w:sz w:val="24"/>
          <w:szCs w:val="24"/>
        </w:rPr>
        <w:t>FIGURE II</w:t>
      </w:r>
      <w:r>
        <w:rPr>
          <w:rFonts w:ascii="Times New Roman" w:hAnsi="Times New Roman"/>
          <w:noProof/>
          <w:sz w:val="24"/>
          <w:szCs w:val="24"/>
        </w:rPr>
        <w:t>I</w:t>
      </w:r>
      <w:r w:rsidRPr="00FC5498">
        <w:rPr>
          <w:rFonts w:ascii="Times New Roman" w:hAnsi="Times New Roman"/>
          <w:noProof/>
          <w:sz w:val="24"/>
          <w:szCs w:val="24"/>
        </w:rPr>
        <w:t xml:space="preserve">. </w:t>
      </w:r>
      <w:r w:rsidRPr="00B03CDA">
        <w:rPr>
          <w:rFonts w:ascii="Times New Roman" w:hAnsi="Times New Roman"/>
          <w:noProof/>
          <w:sz w:val="24"/>
          <w:szCs w:val="24"/>
        </w:rPr>
        <w:t>PATH ANALYSES FOR THE MODERATING ROEL OF BETA</w:t>
      </w:r>
      <w:r w:rsidRPr="00FC5498">
        <w:rPr>
          <w:rFonts w:ascii="Times New Roman" w:hAnsi="Times New Roman"/>
          <w:noProof/>
          <w:sz w:val="24"/>
          <w:szCs w:val="24"/>
        </w:rPr>
        <w:tab/>
      </w:r>
      <w:r w:rsidR="00345DA6" w:rsidRPr="00FC5498">
        <w:rPr>
          <w:rFonts w:ascii="Times New Roman" w:hAnsi="Times New Roman"/>
          <w:noProof/>
          <w:sz w:val="24"/>
          <w:szCs w:val="24"/>
        </w:rPr>
        <w:t>5</w:t>
      </w:r>
      <w:r w:rsidR="006C0D68">
        <w:rPr>
          <w:rFonts w:ascii="Times New Roman" w:hAnsi="Times New Roman"/>
          <w:noProof/>
          <w:sz w:val="24"/>
          <w:szCs w:val="24"/>
        </w:rPr>
        <w:t>3</w:t>
      </w:r>
    </w:p>
    <w:p w:rsidR="00B03CDA" w:rsidRPr="00B03CDA" w:rsidRDefault="00B03CDA" w:rsidP="00B03CDA"/>
    <w:p w:rsidR="00FC5498" w:rsidRDefault="00FC5498" w:rsidP="00FC5498">
      <w:pPr>
        <w:pStyle w:val="BlockText"/>
        <w:spacing w:before="0" w:after="200" w:line="360" w:lineRule="auto"/>
        <w:ind w:left="0" w:right="0"/>
        <w:rPr>
          <w:rFonts w:ascii="Times New Roman" w:hAnsi="Times New Roman"/>
          <w:szCs w:val="24"/>
        </w:rPr>
      </w:pPr>
      <w:r>
        <w:fldChar w:fldCharType="end"/>
      </w:r>
    </w:p>
    <w:p w:rsidR="002D65A3" w:rsidRDefault="002D65A3">
      <w:pPr>
        <w:widowControl/>
        <w:overflowPunct/>
        <w:autoSpaceDE/>
        <w:autoSpaceDN/>
        <w:adjustRightInd/>
        <w:rPr>
          <w:rFonts w:eastAsia="Times"/>
          <w:b/>
          <w:kern w:val="0"/>
          <w:sz w:val="24"/>
          <w:szCs w:val="24"/>
          <w:lang w:eastAsia="en-US"/>
        </w:rPr>
      </w:pPr>
    </w:p>
    <w:p w:rsidR="002D65A3" w:rsidRDefault="002D65A3" w:rsidP="002D65A3">
      <w:pPr>
        <w:pStyle w:val="BlockText"/>
        <w:spacing w:before="0" w:after="200" w:line="360" w:lineRule="auto"/>
        <w:ind w:left="0" w:right="0"/>
        <w:rPr>
          <w:rFonts w:ascii="Times New Roman" w:hAnsi="Times New Roman"/>
          <w:szCs w:val="24"/>
        </w:rPr>
      </w:pPr>
    </w:p>
    <w:p w:rsidR="0046713E" w:rsidRDefault="0046713E">
      <w:pPr>
        <w:widowControl/>
        <w:overflowPunct/>
        <w:autoSpaceDE/>
        <w:autoSpaceDN/>
        <w:adjustRightInd/>
        <w:rPr>
          <w:rFonts w:eastAsia="Times"/>
          <w:kern w:val="0"/>
          <w:sz w:val="24"/>
          <w:szCs w:val="24"/>
          <w:lang w:eastAsia="en-US"/>
        </w:rPr>
      </w:pPr>
      <w:r>
        <w:rPr>
          <w:szCs w:val="24"/>
        </w:rPr>
        <w:br w:type="page"/>
      </w:r>
    </w:p>
    <w:p w:rsidR="00C174EA" w:rsidRPr="001F01F7" w:rsidRDefault="00D4384C" w:rsidP="001F01F7">
      <w:pPr>
        <w:pStyle w:val="BlockText"/>
        <w:spacing w:before="0" w:after="200" w:line="360" w:lineRule="auto"/>
        <w:ind w:left="0" w:right="0"/>
        <w:rPr>
          <w:rFonts w:ascii="Times New Roman" w:hAnsi="Times New Roman"/>
          <w:szCs w:val="24"/>
        </w:rPr>
      </w:pPr>
      <w:r w:rsidRPr="001F01F7">
        <w:rPr>
          <w:rFonts w:ascii="Times New Roman" w:hAnsi="Times New Roman"/>
          <w:szCs w:val="24"/>
        </w:rPr>
        <w:lastRenderedPageBreak/>
        <w:t>A</w:t>
      </w:r>
      <w:r w:rsidR="008176E7" w:rsidRPr="001F01F7">
        <w:rPr>
          <w:rFonts w:ascii="Times New Roman" w:hAnsi="Times New Roman"/>
          <w:szCs w:val="24"/>
        </w:rPr>
        <w:t>BSTRACT</w:t>
      </w:r>
    </w:p>
    <w:p w:rsidR="00B55AD1" w:rsidRDefault="001A086B" w:rsidP="00931FD3">
      <w:pPr>
        <w:pStyle w:val="BodyText2"/>
        <w:tabs>
          <w:tab w:val="left" w:pos="720"/>
        </w:tabs>
        <w:spacing w:before="120" w:after="200" w:line="480" w:lineRule="auto"/>
        <w:ind w:firstLine="720"/>
        <w:jc w:val="left"/>
        <w:rPr>
          <w:rFonts w:ascii="Times New Roman" w:hAnsi="Times New Roman"/>
        </w:rPr>
        <w:sectPr w:rsidR="00B55AD1" w:rsidSect="00634836">
          <w:footerReference w:type="default" r:id="rId10"/>
          <w:pgSz w:w="12240" w:h="15840" w:code="1"/>
          <w:pgMar w:top="1440" w:right="1440" w:bottom="1440" w:left="2304" w:header="0" w:footer="720" w:gutter="0"/>
          <w:paperSrc w:first="1" w:other="1"/>
          <w:pgNumType w:fmt="lowerRoman" w:start="4"/>
          <w:cols w:space="720"/>
          <w:noEndnote/>
          <w:docGrid w:linePitch="360"/>
        </w:sectPr>
      </w:pPr>
      <w:r w:rsidRPr="00CE4242">
        <w:rPr>
          <w:rFonts w:ascii="Times New Roman" w:hAnsi="Times New Roman"/>
          <w:color w:val="000000"/>
          <w:szCs w:val="24"/>
        </w:rPr>
        <w:t xml:space="preserve">This study examines </w:t>
      </w:r>
      <w:r>
        <w:rPr>
          <w:rFonts w:ascii="Times New Roman" w:hAnsi="Times New Roman"/>
          <w:color w:val="000000"/>
          <w:szCs w:val="24"/>
        </w:rPr>
        <w:t>how</w:t>
      </w:r>
      <w:r w:rsidRPr="00CE4242">
        <w:rPr>
          <w:rFonts w:ascii="Times New Roman" w:hAnsi="Times New Roman"/>
          <w:color w:val="000000"/>
          <w:szCs w:val="24"/>
        </w:rPr>
        <w:t xml:space="preserve"> a firm’s cost of equity </w:t>
      </w:r>
      <w:r>
        <w:rPr>
          <w:rFonts w:ascii="Times New Roman" w:hAnsi="Times New Roman"/>
          <w:color w:val="000000"/>
          <w:szCs w:val="24"/>
        </w:rPr>
        <w:t>is affected by</w:t>
      </w:r>
      <w:r w:rsidRPr="00CE4242">
        <w:rPr>
          <w:rFonts w:ascii="Times New Roman" w:hAnsi="Times New Roman"/>
          <w:color w:val="000000"/>
          <w:szCs w:val="24"/>
        </w:rPr>
        <w:t xml:space="preserve"> industry peer firms’ earnings quality. </w:t>
      </w:r>
      <w:r>
        <w:rPr>
          <w:rFonts w:ascii="Times New Roman" w:hAnsi="Times New Roman"/>
          <w:color w:val="000000"/>
          <w:szCs w:val="24"/>
        </w:rPr>
        <w:t xml:space="preserve">First, using </w:t>
      </w:r>
      <w:r w:rsidR="009921E4">
        <w:rPr>
          <w:rFonts w:ascii="Times New Roman" w:hAnsi="Times New Roman"/>
        </w:rPr>
        <w:t xml:space="preserve">Lambert, </w:t>
      </w:r>
      <w:proofErr w:type="spellStart"/>
      <w:r w:rsidR="009921E4">
        <w:rPr>
          <w:rFonts w:ascii="Times New Roman" w:hAnsi="Times New Roman"/>
        </w:rPr>
        <w:t>Leuz</w:t>
      </w:r>
      <w:proofErr w:type="spellEnd"/>
      <w:r w:rsidRPr="00CE4242">
        <w:rPr>
          <w:rFonts w:ascii="Times New Roman" w:hAnsi="Times New Roman"/>
        </w:rPr>
        <w:t xml:space="preserve"> and </w:t>
      </w:r>
      <w:proofErr w:type="spellStart"/>
      <w:r w:rsidRPr="00CE4242">
        <w:rPr>
          <w:rFonts w:ascii="Times New Roman" w:hAnsi="Times New Roman"/>
        </w:rPr>
        <w:t>Verrecchia</w:t>
      </w:r>
      <w:proofErr w:type="spellEnd"/>
      <w:r w:rsidRPr="00F63771">
        <w:rPr>
          <w:rFonts w:ascii="Times New Roman" w:hAnsi="Times New Roman"/>
        </w:rPr>
        <w:t xml:space="preserve"> (2007)</w:t>
      </w:r>
      <w:r>
        <w:rPr>
          <w:rFonts w:ascii="Times New Roman" w:hAnsi="Times New Roman"/>
        </w:rPr>
        <w:t xml:space="preserve"> as a theoretical basis,</w:t>
      </w:r>
      <w:r w:rsidRPr="00CE4242">
        <w:rPr>
          <w:rFonts w:ascii="Times New Roman" w:hAnsi="Times New Roman"/>
          <w:color w:val="000000"/>
          <w:szCs w:val="24"/>
        </w:rPr>
        <w:t xml:space="preserve"> I </w:t>
      </w:r>
      <w:r>
        <w:rPr>
          <w:rFonts w:ascii="Times New Roman" w:hAnsi="Times New Roman"/>
          <w:color w:val="000000"/>
          <w:szCs w:val="24"/>
        </w:rPr>
        <w:t xml:space="preserve">predict and </w:t>
      </w:r>
      <w:r w:rsidR="00F150AA">
        <w:rPr>
          <w:rFonts w:ascii="Times New Roman" w:hAnsi="Times New Roman"/>
          <w:color w:val="000000"/>
          <w:szCs w:val="24"/>
        </w:rPr>
        <w:t xml:space="preserve">provide evidence </w:t>
      </w:r>
      <w:r w:rsidR="0072527E">
        <w:rPr>
          <w:rFonts w:ascii="Times New Roman" w:hAnsi="Times New Roman"/>
          <w:color w:val="000000"/>
          <w:szCs w:val="24"/>
        </w:rPr>
        <w:t>that</w:t>
      </w:r>
      <w:r w:rsidRPr="00CE4242">
        <w:rPr>
          <w:rFonts w:ascii="Times New Roman" w:hAnsi="Times New Roman"/>
          <w:color w:val="000000"/>
          <w:szCs w:val="24"/>
        </w:rPr>
        <w:t xml:space="preserve"> </w:t>
      </w:r>
      <w:r w:rsidR="0072527E">
        <w:rPr>
          <w:rFonts w:ascii="Times New Roman" w:hAnsi="Times New Roman"/>
        </w:rPr>
        <w:t xml:space="preserve">higher industry peer firms’ </w:t>
      </w:r>
      <w:r w:rsidR="0072527E" w:rsidRPr="00F63771">
        <w:rPr>
          <w:rFonts w:ascii="Times New Roman" w:hAnsi="Times New Roman"/>
        </w:rPr>
        <w:t>earnings quality</w:t>
      </w:r>
      <w:r w:rsidR="0072527E">
        <w:rPr>
          <w:rFonts w:ascii="Times New Roman" w:eastAsiaTheme="minorEastAsia" w:hAnsi="Times New Roman"/>
          <w:lang w:eastAsia="zh-CN"/>
        </w:rPr>
        <w:t xml:space="preserve"> reduces </w:t>
      </w:r>
      <w:r>
        <w:rPr>
          <w:rFonts w:ascii="Times New Roman" w:eastAsiaTheme="minorEastAsia" w:hAnsi="Times New Roman"/>
          <w:lang w:eastAsia="zh-CN"/>
        </w:rPr>
        <w:t xml:space="preserve">a firm’s </w:t>
      </w:r>
      <w:r w:rsidRPr="00CE4242">
        <w:rPr>
          <w:rFonts w:ascii="Times New Roman" w:hAnsi="Times New Roman"/>
        </w:rPr>
        <w:t>cost of equity</w:t>
      </w:r>
      <w:r w:rsidR="0072527E">
        <w:rPr>
          <w:rFonts w:ascii="Times New Roman" w:hAnsi="Times New Roman"/>
        </w:rPr>
        <w:t xml:space="preserve"> via the systematic market risk</w:t>
      </w:r>
      <w:r>
        <w:rPr>
          <w:rFonts w:ascii="Times New Roman" w:hAnsi="Times New Roman"/>
        </w:rPr>
        <w:t xml:space="preserve">. Second, </w:t>
      </w:r>
      <w:r w:rsidR="0072527E">
        <w:rPr>
          <w:rFonts w:ascii="Times New Roman" w:hAnsi="Times New Roman"/>
        </w:rPr>
        <w:t xml:space="preserve">the negative association </w:t>
      </w:r>
      <w:r w:rsidR="0072527E">
        <w:rPr>
          <w:rFonts w:ascii="Times New Roman" w:eastAsiaTheme="minorEastAsia" w:hAnsi="Times New Roman"/>
          <w:lang w:eastAsia="zh-CN"/>
        </w:rPr>
        <w:t xml:space="preserve">is more pronounced for the subsample with high </w:t>
      </w:r>
      <w:r w:rsidR="0072527E">
        <w:rPr>
          <w:rFonts w:ascii="Times New Roman" w:hAnsi="Times New Roman"/>
        </w:rPr>
        <w:t xml:space="preserve">industry </w:t>
      </w:r>
      <w:r w:rsidR="0072527E" w:rsidRPr="00F63771">
        <w:rPr>
          <w:rFonts w:ascii="Times New Roman" w:hAnsi="Times New Roman"/>
        </w:rPr>
        <w:t>peer earnings quality</w:t>
      </w:r>
      <w:r>
        <w:rPr>
          <w:rFonts w:ascii="Times New Roman" w:eastAsiaTheme="minorEastAsia" w:hAnsi="Times New Roman"/>
          <w:lang w:eastAsia="zh-CN"/>
        </w:rPr>
        <w:t>. Third</w:t>
      </w:r>
      <w:r>
        <w:rPr>
          <w:rFonts w:ascii="Times New Roman" w:hAnsi="Times New Roman"/>
        </w:rPr>
        <w:t xml:space="preserve">, </w:t>
      </w:r>
      <w:r>
        <w:rPr>
          <w:rFonts w:ascii="Times New Roman" w:eastAsiaTheme="minorEastAsia" w:hAnsi="Times New Roman"/>
          <w:lang w:eastAsia="zh-CN"/>
        </w:rPr>
        <w:t xml:space="preserve">the </w:t>
      </w:r>
      <w:r w:rsidRPr="00CE4242">
        <w:rPr>
          <w:rFonts w:ascii="Times New Roman" w:hAnsi="Times New Roman"/>
        </w:rPr>
        <w:t>cost of equity</w:t>
      </w:r>
      <w:r>
        <w:rPr>
          <w:rFonts w:ascii="Times New Roman" w:hAnsi="Times New Roman"/>
        </w:rPr>
        <w:t xml:space="preserve"> effect of </w:t>
      </w:r>
      <w:r w:rsidR="006B6958">
        <w:rPr>
          <w:rFonts w:ascii="Times New Roman" w:hAnsi="Times New Roman"/>
        </w:rPr>
        <w:t xml:space="preserve">industry </w:t>
      </w:r>
      <w:r>
        <w:rPr>
          <w:rFonts w:ascii="Times New Roman" w:hAnsi="Times New Roman"/>
        </w:rPr>
        <w:t>peer firm</w:t>
      </w:r>
      <w:r w:rsidRPr="00F63771">
        <w:rPr>
          <w:rFonts w:ascii="Times New Roman" w:hAnsi="Times New Roman"/>
        </w:rPr>
        <w:t xml:space="preserve"> earnings quality</w:t>
      </w:r>
      <w:r>
        <w:rPr>
          <w:rFonts w:ascii="Times New Roman" w:hAnsi="Times New Roman"/>
        </w:rPr>
        <w:t xml:space="preserve"> is mitigated </w:t>
      </w:r>
      <w:r w:rsidR="008A04E4">
        <w:rPr>
          <w:rFonts w:ascii="Times New Roman" w:hAnsi="Times New Roman"/>
        </w:rPr>
        <w:t>by</w:t>
      </w:r>
      <w:r w:rsidR="00583771">
        <w:rPr>
          <w:rFonts w:ascii="Times New Roman" w:hAnsi="Times New Roman"/>
        </w:rPr>
        <w:t xml:space="preserve"> </w:t>
      </w:r>
      <w:r w:rsidR="008A04E4">
        <w:rPr>
          <w:rFonts w:ascii="Times New Roman" w:hAnsi="Times New Roman"/>
        </w:rPr>
        <w:t>multinational operations</w:t>
      </w:r>
      <w:r w:rsidR="00DB344C">
        <w:rPr>
          <w:rFonts w:ascii="Times New Roman" w:hAnsi="Times New Roman"/>
        </w:rPr>
        <w:t xml:space="preserve"> and</w:t>
      </w:r>
      <w:r w:rsidR="008A04E4">
        <w:rPr>
          <w:rFonts w:ascii="Times New Roman" w:hAnsi="Times New Roman"/>
        </w:rPr>
        <w:t xml:space="preserve"> </w:t>
      </w:r>
      <w:r>
        <w:rPr>
          <w:rFonts w:ascii="Times New Roman" w:hAnsi="Times New Roman"/>
        </w:rPr>
        <w:t>higher profitability relative to industry peers</w:t>
      </w:r>
      <w:r w:rsidR="005560CA">
        <w:rPr>
          <w:rFonts w:ascii="Times New Roman" w:hAnsi="Times New Roman"/>
        </w:rPr>
        <w:t xml:space="preserve">. </w:t>
      </w:r>
      <w:r>
        <w:rPr>
          <w:rFonts w:ascii="Times New Roman" w:hAnsi="Times New Roman"/>
        </w:rPr>
        <w:t>These findings are</w:t>
      </w:r>
      <w:r w:rsidRPr="00417B43">
        <w:rPr>
          <w:rFonts w:ascii="Times New Roman" w:hAnsi="Times New Roman"/>
        </w:rPr>
        <w:t xml:space="preserve"> </w:t>
      </w:r>
      <w:r>
        <w:rPr>
          <w:rFonts w:ascii="Times New Roman" w:hAnsi="Times New Roman"/>
        </w:rPr>
        <w:t xml:space="preserve">consistent with the theory that </w:t>
      </w:r>
      <w:r w:rsidR="006B6958">
        <w:rPr>
          <w:rFonts w:ascii="Times New Roman" w:hAnsi="Times New Roman"/>
        </w:rPr>
        <w:t xml:space="preserve">industry </w:t>
      </w:r>
      <w:r>
        <w:rPr>
          <w:rFonts w:ascii="Times New Roman" w:hAnsi="Times New Roman"/>
        </w:rPr>
        <w:t>peer firms’</w:t>
      </w:r>
      <w:r w:rsidRPr="0064180D">
        <w:rPr>
          <w:rFonts w:ascii="Times New Roman" w:hAnsi="Times New Roman"/>
        </w:rPr>
        <w:t xml:space="preserve"> </w:t>
      </w:r>
      <w:r w:rsidRPr="00F63771">
        <w:rPr>
          <w:rFonts w:ascii="Times New Roman" w:hAnsi="Times New Roman"/>
        </w:rPr>
        <w:t>earnings quality</w:t>
      </w:r>
      <w:r>
        <w:rPr>
          <w:rFonts w:ascii="Times New Roman" w:hAnsi="Times New Roman"/>
        </w:rPr>
        <w:t xml:space="preserve"> change</w:t>
      </w:r>
      <w:r w:rsidR="00C270F3">
        <w:rPr>
          <w:rFonts w:ascii="Times New Roman" w:hAnsi="Times New Roman"/>
        </w:rPr>
        <w:t>s</w:t>
      </w:r>
      <w:r>
        <w:rPr>
          <w:rFonts w:ascii="Times New Roman" w:hAnsi="Times New Roman"/>
        </w:rPr>
        <w:t xml:space="preserve"> the cost of equity by affecting investors’ </w:t>
      </w:r>
      <w:r w:rsidR="00A242E6">
        <w:rPr>
          <w:rFonts w:ascii="Times New Roman" w:hAnsi="Times New Roman"/>
        </w:rPr>
        <w:t xml:space="preserve">assessed </w:t>
      </w:r>
      <w:r>
        <w:rPr>
          <w:rFonts w:ascii="Times New Roman" w:hAnsi="Times New Roman"/>
        </w:rPr>
        <w:t xml:space="preserve">covariance of the firm’s </w:t>
      </w:r>
      <w:r w:rsidR="00325D74" w:rsidRPr="00325D74">
        <w:t>expected</w:t>
      </w:r>
      <w:r w:rsidR="00325D74">
        <w:rPr>
          <w:rFonts w:ascii="Times New Roman" w:hAnsi="Times New Roman"/>
        </w:rPr>
        <w:t xml:space="preserve"> future </w:t>
      </w:r>
      <w:r>
        <w:rPr>
          <w:rFonts w:ascii="Times New Roman" w:hAnsi="Times New Roman"/>
        </w:rPr>
        <w:t>cash flows with that of other firms</w:t>
      </w:r>
      <w:r>
        <w:rPr>
          <w:rFonts w:ascii="Times New Roman" w:eastAsiaTheme="minorEastAsia" w:hAnsi="Times New Roman"/>
          <w:lang w:eastAsia="zh-CN"/>
        </w:rPr>
        <w:t>.</w:t>
      </w:r>
      <w:r>
        <w:rPr>
          <w:rFonts w:ascii="Times New Roman" w:hAnsi="Times New Roman"/>
        </w:rPr>
        <w:t xml:space="preserve"> Overall</w:t>
      </w:r>
      <w:r w:rsidRPr="00CE4242">
        <w:rPr>
          <w:rFonts w:ascii="Times New Roman" w:hAnsi="Times New Roman"/>
        </w:rPr>
        <w:t xml:space="preserve">, </w:t>
      </w:r>
      <w:r>
        <w:rPr>
          <w:rFonts w:ascii="Times New Roman" w:hAnsi="Times New Roman"/>
        </w:rPr>
        <w:t>my study</w:t>
      </w:r>
      <w:r w:rsidRPr="00CE4242">
        <w:rPr>
          <w:rFonts w:ascii="Times New Roman" w:hAnsi="Times New Roman"/>
        </w:rPr>
        <w:t xml:space="preserve"> contribute</w:t>
      </w:r>
      <w:r>
        <w:rPr>
          <w:rFonts w:ascii="Times New Roman" w:hAnsi="Times New Roman"/>
        </w:rPr>
        <w:t>s</w:t>
      </w:r>
      <w:r w:rsidRPr="00CE4242">
        <w:rPr>
          <w:rFonts w:ascii="Times New Roman" w:hAnsi="Times New Roman"/>
        </w:rPr>
        <w:t xml:space="preserve"> to a better understanding of the capital market consequences of financial information quality.</w:t>
      </w:r>
    </w:p>
    <w:p w:rsidR="008176E7" w:rsidRPr="003303F8" w:rsidRDefault="008176E7" w:rsidP="00931FD3">
      <w:pPr>
        <w:pStyle w:val="Heading1"/>
        <w:spacing w:line="480" w:lineRule="auto"/>
        <w:rPr>
          <w:b w:val="0"/>
          <w:szCs w:val="24"/>
        </w:rPr>
      </w:pPr>
      <w:bookmarkStart w:id="1" w:name="_Toc378087492"/>
      <w:bookmarkStart w:id="2" w:name="_Toc378087532"/>
      <w:bookmarkStart w:id="3" w:name="_Toc378088341"/>
      <w:bookmarkStart w:id="4" w:name="_Toc378088730"/>
      <w:bookmarkStart w:id="5" w:name="_Toc378088866"/>
      <w:r w:rsidRPr="003303F8">
        <w:rPr>
          <w:szCs w:val="24"/>
        </w:rPr>
        <w:lastRenderedPageBreak/>
        <w:t>CHAPTER I. INTRODUCTION</w:t>
      </w:r>
      <w:bookmarkEnd w:id="1"/>
      <w:bookmarkEnd w:id="2"/>
      <w:bookmarkEnd w:id="3"/>
      <w:bookmarkEnd w:id="4"/>
      <w:bookmarkEnd w:id="5"/>
    </w:p>
    <w:p w:rsidR="00C174EA" w:rsidRPr="003303F8" w:rsidRDefault="00C174EA" w:rsidP="00C174EA">
      <w:pPr>
        <w:widowControl/>
        <w:overflowPunct/>
        <w:autoSpaceDE/>
        <w:autoSpaceDN/>
        <w:adjustRightInd/>
        <w:spacing w:line="480" w:lineRule="auto"/>
        <w:ind w:firstLine="720"/>
        <w:rPr>
          <w:rFonts w:eastAsia="Times"/>
          <w:kern w:val="0"/>
          <w:sz w:val="24"/>
          <w:szCs w:val="24"/>
          <w:lang w:eastAsia="en-US"/>
        </w:rPr>
      </w:pPr>
      <w:r w:rsidRPr="003303F8">
        <w:rPr>
          <w:rFonts w:hint="eastAsia"/>
          <w:color w:val="000000"/>
          <w:kern w:val="0"/>
          <w:sz w:val="24"/>
          <w:szCs w:val="24"/>
        </w:rPr>
        <w:t>T</w:t>
      </w:r>
      <w:r w:rsidRPr="003303F8">
        <w:rPr>
          <w:color w:val="000000"/>
          <w:kern w:val="0"/>
          <w:sz w:val="24"/>
          <w:szCs w:val="24"/>
        </w:rPr>
        <w:t>his study examine</w:t>
      </w:r>
      <w:r w:rsidRPr="003303F8">
        <w:rPr>
          <w:rFonts w:hint="eastAsia"/>
          <w:color w:val="000000"/>
          <w:kern w:val="0"/>
          <w:sz w:val="24"/>
          <w:szCs w:val="24"/>
        </w:rPr>
        <w:t>s</w:t>
      </w:r>
      <w:r w:rsidRPr="003303F8">
        <w:rPr>
          <w:color w:val="000000"/>
          <w:kern w:val="0"/>
          <w:sz w:val="24"/>
          <w:szCs w:val="24"/>
        </w:rPr>
        <w:t xml:space="preserve"> the association between</w:t>
      </w:r>
      <w:r w:rsidRPr="003303F8">
        <w:rPr>
          <w:rFonts w:eastAsia="Times"/>
          <w:kern w:val="0"/>
          <w:sz w:val="24"/>
          <w:szCs w:val="24"/>
          <w:lang w:eastAsia="en-US"/>
        </w:rPr>
        <w:t xml:space="preserve"> </w:t>
      </w:r>
      <w:r w:rsidRPr="003303F8">
        <w:rPr>
          <w:rFonts w:hint="eastAsia"/>
          <w:color w:val="000000"/>
          <w:kern w:val="0"/>
          <w:sz w:val="24"/>
          <w:szCs w:val="24"/>
        </w:rPr>
        <w:t>a firm</w:t>
      </w:r>
      <w:r w:rsidRPr="003303F8">
        <w:rPr>
          <w:color w:val="000000"/>
          <w:kern w:val="0"/>
          <w:sz w:val="24"/>
          <w:szCs w:val="24"/>
        </w:rPr>
        <w:t>’</w:t>
      </w:r>
      <w:r w:rsidRPr="003303F8">
        <w:rPr>
          <w:rFonts w:hint="eastAsia"/>
          <w:color w:val="000000"/>
          <w:kern w:val="0"/>
          <w:sz w:val="24"/>
          <w:szCs w:val="24"/>
        </w:rPr>
        <w:t xml:space="preserve">s cost of equity </w:t>
      </w:r>
      <w:r w:rsidRPr="003303F8">
        <w:rPr>
          <w:color w:val="000000"/>
          <w:kern w:val="0"/>
          <w:sz w:val="24"/>
          <w:szCs w:val="24"/>
        </w:rPr>
        <w:t xml:space="preserve">and </w:t>
      </w:r>
      <w:r w:rsidR="003850DC" w:rsidRPr="003303F8">
        <w:rPr>
          <w:color w:val="000000"/>
          <w:kern w:val="0"/>
          <w:sz w:val="24"/>
          <w:szCs w:val="24"/>
        </w:rPr>
        <w:t xml:space="preserve">industry </w:t>
      </w:r>
      <w:r w:rsidRPr="003303F8">
        <w:rPr>
          <w:rFonts w:hint="eastAsia"/>
          <w:color w:val="000000"/>
          <w:kern w:val="0"/>
          <w:sz w:val="24"/>
          <w:szCs w:val="24"/>
        </w:rPr>
        <w:t>peer firms</w:t>
      </w:r>
      <w:r w:rsidRPr="003303F8">
        <w:rPr>
          <w:color w:val="000000"/>
          <w:kern w:val="0"/>
          <w:sz w:val="24"/>
          <w:szCs w:val="24"/>
        </w:rPr>
        <w:t>’</w:t>
      </w:r>
      <w:r w:rsidRPr="003303F8">
        <w:rPr>
          <w:rFonts w:hint="eastAsia"/>
          <w:color w:val="000000"/>
          <w:kern w:val="0"/>
          <w:sz w:val="24"/>
          <w:szCs w:val="24"/>
        </w:rPr>
        <w:t xml:space="preserve"> earnings quality.</w:t>
      </w:r>
      <w:r w:rsidRPr="003303F8">
        <w:rPr>
          <w:rStyle w:val="FootnoteReference"/>
          <w:color w:val="000000"/>
          <w:kern w:val="0"/>
          <w:sz w:val="24"/>
          <w:szCs w:val="24"/>
        </w:rPr>
        <w:footnoteReference w:id="1"/>
      </w:r>
      <w:r w:rsidRPr="003303F8">
        <w:rPr>
          <w:rFonts w:hint="eastAsia"/>
          <w:color w:val="000000"/>
          <w:kern w:val="0"/>
          <w:sz w:val="24"/>
          <w:szCs w:val="24"/>
        </w:rPr>
        <w:t xml:space="preserve"> </w:t>
      </w:r>
      <w:r w:rsidRPr="003303F8">
        <w:rPr>
          <w:color w:val="000000"/>
          <w:kern w:val="0"/>
          <w:sz w:val="24"/>
          <w:szCs w:val="24"/>
        </w:rPr>
        <w:t xml:space="preserve">In a multi-securities setting, </w:t>
      </w:r>
      <w:r w:rsidR="009921E4" w:rsidRPr="003303F8">
        <w:rPr>
          <w:rFonts w:eastAsia="Times"/>
          <w:kern w:val="0"/>
          <w:sz w:val="24"/>
          <w:szCs w:val="24"/>
          <w:lang w:eastAsia="en-US"/>
        </w:rPr>
        <w:t xml:space="preserve">Lambert, </w:t>
      </w:r>
      <w:proofErr w:type="spellStart"/>
      <w:r w:rsidR="009921E4" w:rsidRPr="003303F8">
        <w:rPr>
          <w:rFonts w:eastAsia="Times"/>
          <w:kern w:val="0"/>
          <w:sz w:val="24"/>
          <w:szCs w:val="24"/>
          <w:lang w:eastAsia="en-US"/>
        </w:rPr>
        <w:t>Leuz</w:t>
      </w:r>
      <w:proofErr w:type="spellEnd"/>
      <w:r w:rsidRPr="003303F8">
        <w:rPr>
          <w:rFonts w:eastAsia="Times"/>
          <w:kern w:val="0"/>
          <w:sz w:val="24"/>
          <w:szCs w:val="24"/>
          <w:lang w:eastAsia="en-US"/>
        </w:rPr>
        <w:t xml:space="preserve"> and </w:t>
      </w:r>
      <w:proofErr w:type="spellStart"/>
      <w:r w:rsidRPr="003303F8">
        <w:rPr>
          <w:rFonts w:eastAsia="Times"/>
          <w:kern w:val="0"/>
          <w:sz w:val="24"/>
          <w:szCs w:val="24"/>
          <w:lang w:eastAsia="en-US"/>
        </w:rPr>
        <w:t>Verrecchia</w:t>
      </w:r>
      <w:proofErr w:type="spellEnd"/>
      <w:r w:rsidRPr="003303F8">
        <w:rPr>
          <w:rFonts w:eastAsia="Times"/>
          <w:kern w:val="0"/>
          <w:sz w:val="24"/>
          <w:szCs w:val="24"/>
          <w:lang w:eastAsia="en-US"/>
        </w:rPr>
        <w:t xml:space="preserve"> (2007) (hereafter LLV) identif</w:t>
      </w:r>
      <w:r w:rsidRPr="003303F8">
        <w:rPr>
          <w:kern w:val="0"/>
          <w:sz w:val="24"/>
          <w:szCs w:val="24"/>
        </w:rPr>
        <w:t>y</w:t>
      </w:r>
      <w:r w:rsidRPr="003303F8">
        <w:rPr>
          <w:rFonts w:hint="eastAsia"/>
          <w:kern w:val="0"/>
          <w:sz w:val="24"/>
          <w:szCs w:val="24"/>
        </w:rPr>
        <w:t xml:space="preserve"> </w:t>
      </w:r>
      <w:r w:rsidRPr="003303F8">
        <w:rPr>
          <w:rFonts w:eastAsia="Times"/>
          <w:kern w:val="0"/>
          <w:sz w:val="24"/>
          <w:szCs w:val="24"/>
          <w:lang w:eastAsia="en-US"/>
        </w:rPr>
        <w:t xml:space="preserve">paths through which not only a firm’s </w:t>
      </w:r>
      <w:r w:rsidRPr="003303F8">
        <w:rPr>
          <w:rFonts w:hint="eastAsia"/>
          <w:kern w:val="0"/>
          <w:sz w:val="24"/>
          <w:szCs w:val="24"/>
        </w:rPr>
        <w:t>but also</w:t>
      </w:r>
      <w:r w:rsidRPr="003303F8">
        <w:rPr>
          <w:rFonts w:eastAsia="Times"/>
          <w:kern w:val="0"/>
          <w:sz w:val="24"/>
          <w:szCs w:val="24"/>
          <w:lang w:eastAsia="en-US"/>
        </w:rPr>
        <w:t xml:space="preserve"> peer firms’ information quality affects the firm’s cost of equity. Specifically, i</w:t>
      </w:r>
      <w:r w:rsidRPr="003303F8">
        <w:rPr>
          <w:kern w:val="0"/>
          <w:sz w:val="24"/>
          <w:szCs w:val="24"/>
        </w:rPr>
        <w:t>nvestors’ assessment of a firm’s</w:t>
      </w:r>
      <w:r w:rsidR="00AC2FBE" w:rsidRPr="003303F8">
        <w:rPr>
          <w:rFonts w:eastAsia="Times"/>
          <w:kern w:val="0"/>
          <w:sz w:val="24"/>
          <w:szCs w:val="24"/>
          <w:lang w:eastAsia="en-US"/>
        </w:rPr>
        <w:t xml:space="preserve"> </w:t>
      </w:r>
      <w:r w:rsidR="00636BB4" w:rsidRPr="003303F8">
        <w:rPr>
          <w:rFonts w:eastAsia="Times"/>
          <w:kern w:val="0"/>
          <w:sz w:val="24"/>
          <w:szCs w:val="24"/>
          <w:lang w:eastAsia="en-US"/>
        </w:rPr>
        <w:t>value</w:t>
      </w:r>
      <w:r w:rsidRPr="003303F8">
        <w:rPr>
          <w:rFonts w:eastAsia="Times"/>
          <w:kern w:val="0"/>
          <w:sz w:val="24"/>
          <w:szCs w:val="24"/>
          <w:lang w:eastAsia="en-US"/>
        </w:rPr>
        <w:t xml:space="preserve"> </w:t>
      </w:r>
      <w:r w:rsidRPr="003303F8">
        <w:rPr>
          <w:kern w:val="0"/>
          <w:sz w:val="24"/>
          <w:szCs w:val="24"/>
        </w:rPr>
        <w:t>is affected by information</w:t>
      </w:r>
      <w:r w:rsidRPr="003303F8">
        <w:rPr>
          <w:rFonts w:eastAsia="Times"/>
          <w:kern w:val="0"/>
          <w:sz w:val="24"/>
          <w:szCs w:val="24"/>
          <w:lang w:eastAsia="en-US"/>
        </w:rPr>
        <w:t xml:space="preserve"> </w:t>
      </w:r>
      <w:r w:rsidRPr="003303F8">
        <w:rPr>
          <w:rFonts w:hint="eastAsia"/>
          <w:kern w:val="0"/>
          <w:sz w:val="24"/>
          <w:szCs w:val="24"/>
        </w:rPr>
        <w:t>contained in</w:t>
      </w:r>
      <w:r w:rsidRPr="003303F8">
        <w:rPr>
          <w:kern w:val="0"/>
          <w:sz w:val="24"/>
          <w:szCs w:val="24"/>
        </w:rPr>
        <w:t xml:space="preserve"> both the firm’s </w:t>
      </w:r>
      <w:r w:rsidRPr="003303F8">
        <w:rPr>
          <w:rFonts w:eastAsia="Times"/>
          <w:kern w:val="0"/>
          <w:sz w:val="24"/>
          <w:szCs w:val="24"/>
          <w:lang w:eastAsia="en-US"/>
        </w:rPr>
        <w:t xml:space="preserve">and also peer firms’ financial reports </w:t>
      </w:r>
      <w:r w:rsidRPr="003303F8">
        <w:rPr>
          <w:kern w:val="0"/>
          <w:sz w:val="24"/>
          <w:szCs w:val="24"/>
        </w:rPr>
        <w:t>(e.g., Foster [1981]).</w:t>
      </w:r>
      <w:r w:rsidR="003850DC" w:rsidRPr="003303F8">
        <w:rPr>
          <w:rStyle w:val="FootnoteReference"/>
          <w:kern w:val="0"/>
          <w:sz w:val="24"/>
          <w:szCs w:val="24"/>
        </w:rPr>
        <w:footnoteReference w:id="2"/>
      </w:r>
      <w:r w:rsidRPr="003303F8">
        <w:rPr>
          <w:rFonts w:eastAsia="Times"/>
          <w:kern w:val="0"/>
          <w:sz w:val="24"/>
          <w:szCs w:val="24"/>
          <w:lang w:eastAsia="en-US"/>
        </w:rPr>
        <w:t xml:space="preserve"> As the firm’s </w:t>
      </w:r>
      <w:r w:rsidR="00AC2FBE" w:rsidRPr="003303F8">
        <w:rPr>
          <w:rFonts w:eastAsia="Times"/>
          <w:kern w:val="0"/>
          <w:sz w:val="24"/>
          <w:szCs w:val="24"/>
          <w:lang w:eastAsia="en-US"/>
        </w:rPr>
        <w:t xml:space="preserve">and/or </w:t>
      </w:r>
      <w:r w:rsidRPr="003303F8">
        <w:rPr>
          <w:rFonts w:eastAsia="Times"/>
          <w:kern w:val="0"/>
          <w:sz w:val="24"/>
          <w:szCs w:val="24"/>
          <w:lang w:eastAsia="en-US"/>
        </w:rPr>
        <w:t xml:space="preserve">peer firms’ information quality increases, investors receive less noisy signals of the firm’s </w:t>
      </w:r>
      <w:r w:rsidR="00AC2FBE" w:rsidRPr="003303F8">
        <w:rPr>
          <w:rFonts w:eastAsia="Times"/>
          <w:kern w:val="0"/>
          <w:sz w:val="24"/>
          <w:szCs w:val="24"/>
          <w:lang w:eastAsia="en-US"/>
        </w:rPr>
        <w:t xml:space="preserve">and peer firms’ </w:t>
      </w:r>
      <w:r w:rsidRPr="003303F8">
        <w:rPr>
          <w:rFonts w:eastAsia="Times"/>
          <w:kern w:val="0"/>
          <w:sz w:val="24"/>
          <w:szCs w:val="24"/>
          <w:lang w:eastAsia="en-US"/>
        </w:rPr>
        <w:t xml:space="preserve">future cash flows. LLV </w:t>
      </w:r>
      <w:r w:rsidR="00636BB4" w:rsidRPr="003303F8">
        <w:rPr>
          <w:rFonts w:eastAsia="Times"/>
          <w:kern w:val="0"/>
          <w:sz w:val="24"/>
          <w:szCs w:val="24"/>
          <w:lang w:eastAsia="en-US"/>
        </w:rPr>
        <w:t xml:space="preserve">suggest </w:t>
      </w:r>
      <w:r w:rsidRPr="003303F8">
        <w:rPr>
          <w:rFonts w:eastAsia="Times"/>
          <w:kern w:val="0"/>
          <w:sz w:val="24"/>
          <w:szCs w:val="24"/>
          <w:lang w:eastAsia="en-US"/>
        </w:rPr>
        <w:t>that the</w:t>
      </w:r>
      <w:r w:rsidR="00AC2FBE" w:rsidRPr="003303F8">
        <w:rPr>
          <w:rFonts w:eastAsia="Times"/>
          <w:kern w:val="0"/>
          <w:sz w:val="24"/>
          <w:szCs w:val="24"/>
          <w:lang w:eastAsia="en-US"/>
        </w:rPr>
        <w:t>se</w:t>
      </w:r>
      <w:r w:rsidRPr="003303F8">
        <w:rPr>
          <w:rFonts w:eastAsia="Times"/>
          <w:kern w:val="0"/>
          <w:sz w:val="24"/>
          <w:szCs w:val="24"/>
          <w:lang w:eastAsia="en-US"/>
        </w:rPr>
        <w:t xml:space="preserve"> more accurate signals translate into lower (investors’) assessed</w:t>
      </w:r>
      <w:r w:rsidRPr="003303F8">
        <w:rPr>
          <w:rFonts w:eastAsia="Times"/>
          <w:i/>
          <w:kern w:val="0"/>
          <w:sz w:val="24"/>
          <w:szCs w:val="24"/>
          <w:lang w:eastAsia="en-US"/>
        </w:rPr>
        <w:t xml:space="preserve"> </w:t>
      </w:r>
      <w:r w:rsidRPr="003303F8">
        <w:rPr>
          <w:rFonts w:eastAsia="Times"/>
          <w:kern w:val="0"/>
          <w:sz w:val="24"/>
          <w:szCs w:val="24"/>
          <w:lang w:eastAsia="en-US"/>
        </w:rPr>
        <w:t xml:space="preserve">covariance of the firm’s </w:t>
      </w:r>
      <w:r w:rsidR="00325D74" w:rsidRPr="003303F8">
        <w:rPr>
          <w:rFonts w:eastAsia="Times"/>
          <w:kern w:val="0"/>
          <w:sz w:val="24"/>
          <w:szCs w:val="24"/>
          <w:lang w:eastAsia="en-US"/>
        </w:rPr>
        <w:t xml:space="preserve">expected </w:t>
      </w:r>
      <w:r w:rsidRPr="003303F8">
        <w:rPr>
          <w:rFonts w:eastAsia="Times"/>
          <w:kern w:val="0"/>
          <w:sz w:val="24"/>
          <w:szCs w:val="24"/>
          <w:lang w:eastAsia="en-US"/>
        </w:rPr>
        <w:t>future cash flows with the cash flows of other firms and thus lower cost of equity.</w:t>
      </w:r>
      <w:r w:rsidR="00374707" w:rsidRPr="003303F8">
        <w:rPr>
          <w:rStyle w:val="FootnoteReference"/>
          <w:rFonts w:eastAsia="Times"/>
          <w:kern w:val="0"/>
          <w:sz w:val="24"/>
          <w:szCs w:val="24"/>
          <w:lang w:eastAsia="en-US"/>
        </w:rPr>
        <w:footnoteReference w:id="3"/>
      </w:r>
      <w:r w:rsidRPr="003303F8">
        <w:rPr>
          <w:rFonts w:eastAsia="Times"/>
          <w:kern w:val="0"/>
          <w:sz w:val="24"/>
          <w:szCs w:val="24"/>
          <w:lang w:eastAsia="en-US"/>
        </w:rPr>
        <w:t xml:space="preserve"> </w:t>
      </w:r>
      <w:r w:rsidR="00FB3256" w:rsidRPr="003303F8">
        <w:rPr>
          <w:rFonts w:eastAsia="Times"/>
          <w:kern w:val="0"/>
          <w:sz w:val="24"/>
          <w:szCs w:val="24"/>
          <w:lang w:eastAsia="en-US"/>
        </w:rPr>
        <w:t>Because e</w:t>
      </w:r>
      <w:r w:rsidRPr="003303F8">
        <w:rPr>
          <w:kern w:val="0"/>
          <w:sz w:val="24"/>
          <w:szCs w:val="24"/>
        </w:rPr>
        <w:t>arnings are the main resource of firm-specific accounting information (</w:t>
      </w:r>
      <w:r w:rsidRPr="003303F8">
        <w:rPr>
          <w:rFonts w:hint="eastAsia"/>
          <w:kern w:val="0"/>
          <w:sz w:val="24"/>
          <w:szCs w:val="24"/>
        </w:rPr>
        <w:t xml:space="preserve">e.g. </w:t>
      </w:r>
      <w:r w:rsidRPr="003303F8">
        <w:rPr>
          <w:kern w:val="0"/>
          <w:sz w:val="24"/>
          <w:szCs w:val="24"/>
        </w:rPr>
        <w:t xml:space="preserve">Biddle et al. </w:t>
      </w:r>
      <w:r w:rsidRPr="003303F8">
        <w:rPr>
          <w:rFonts w:hint="eastAsia"/>
          <w:kern w:val="0"/>
          <w:sz w:val="24"/>
          <w:szCs w:val="24"/>
        </w:rPr>
        <w:t>[</w:t>
      </w:r>
      <w:r w:rsidRPr="003303F8">
        <w:rPr>
          <w:kern w:val="0"/>
          <w:sz w:val="24"/>
          <w:szCs w:val="24"/>
        </w:rPr>
        <w:t>1995</w:t>
      </w:r>
      <w:r w:rsidRPr="003303F8">
        <w:rPr>
          <w:rFonts w:hint="eastAsia"/>
          <w:kern w:val="0"/>
          <w:sz w:val="24"/>
          <w:szCs w:val="24"/>
        </w:rPr>
        <w:t>]</w:t>
      </w:r>
      <w:r w:rsidRPr="003303F8">
        <w:rPr>
          <w:kern w:val="0"/>
          <w:sz w:val="24"/>
          <w:szCs w:val="24"/>
        </w:rPr>
        <w:t>; Liu et al.</w:t>
      </w:r>
      <w:r w:rsidRPr="003303F8">
        <w:rPr>
          <w:rFonts w:hint="eastAsia"/>
          <w:kern w:val="0"/>
          <w:sz w:val="24"/>
          <w:szCs w:val="24"/>
        </w:rPr>
        <w:t xml:space="preserve"> [</w:t>
      </w:r>
      <w:r w:rsidRPr="003303F8">
        <w:rPr>
          <w:kern w:val="0"/>
          <w:sz w:val="24"/>
          <w:szCs w:val="24"/>
        </w:rPr>
        <w:t>2002</w:t>
      </w:r>
      <w:r w:rsidRPr="003303F8">
        <w:rPr>
          <w:rFonts w:hint="eastAsia"/>
          <w:kern w:val="0"/>
          <w:sz w:val="24"/>
          <w:szCs w:val="24"/>
        </w:rPr>
        <w:t>]</w:t>
      </w:r>
      <w:r w:rsidRPr="003303F8">
        <w:rPr>
          <w:kern w:val="0"/>
          <w:sz w:val="24"/>
          <w:szCs w:val="24"/>
        </w:rPr>
        <w:t>)</w:t>
      </w:r>
      <w:r w:rsidR="004A72F9" w:rsidRPr="003303F8">
        <w:rPr>
          <w:kern w:val="0"/>
          <w:sz w:val="24"/>
          <w:szCs w:val="24"/>
        </w:rPr>
        <w:t>,</w:t>
      </w:r>
      <w:r w:rsidRPr="003303F8">
        <w:rPr>
          <w:rFonts w:hint="eastAsia"/>
          <w:kern w:val="0"/>
          <w:sz w:val="24"/>
          <w:szCs w:val="24"/>
        </w:rPr>
        <w:t xml:space="preserve"> </w:t>
      </w:r>
      <w:r w:rsidR="00F150AA" w:rsidRPr="003303F8">
        <w:rPr>
          <w:rFonts w:eastAsia="Times"/>
          <w:kern w:val="0"/>
          <w:sz w:val="24"/>
          <w:szCs w:val="24"/>
          <w:lang w:eastAsia="en-US"/>
        </w:rPr>
        <w:t>I</w:t>
      </w:r>
      <w:r w:rsidRPr="003303F8">
        <w:rPr>
          <w:rFonts w:eastAsia="Times"/>
          <w:kern w:val="0"/>
          <w:sz w:val="24"/>
          <w:szCs w:val="24"/>
          <w:lang w:eastAsia="en-US"/>
        </w:rPr>
        <w:t xml:space="preserve"> </w:t>
      </w:r>
      <w:r w:rsidRPr="003303F8">
        <w:rPr>
          <w:kern w:val="0"/>
          <w:sz w:val="24"/>
          <w:szCs w:val="24"/>
        </w:rPr>
        <w:t xml:space="preserve">expect </w:t>
      </w:r>
      <w:r w:rsidRPr="003303F8">
        <w:rPr>
          <w:rFonts w:hint="eastAsia"/>
          <w:kern w:val="0"/>
          <w:sz w:val="24"/>
          <w:szCs w:val="24"/>
        </w:rPr>
        <w:t xml:space="preserve">that </w:t>
      </w:r>
      <w:r w:rsidRPr="003303F8">
        <w:rPr>
          <w:rFonts w:eastAsia="Times"/>
          <w:kern w:val="0"/>
          <w:sz w:val="24"/>
          <w:szCs w:val="24"/>
          <w:lang w:eastAsia="en-US"/>
        </w:rPr>
        <w:t>peer firms</w:t>
      </w:r>
      <w:r w:rsidRPr="003303F8">
        <w:rPr>
          <w:kern w:val="0"/>
          <w:sz w:val="24"/>
          <w:szCs w:val="24"/>
        </w:rPr>
        <w:t>’</w:t>
      </w:r>
      <w:r w:rsidRPr="003303F8">
        <w:rPr>
          <w:rFonts w:eastAsia="Times"/>
          <w:kern w:val="0"/>
          <w:sz w:val="24"/>
          <w:szCs w:val="24"/>
          <w:lang w:eastAsia="en-US"/>
        </w:rPr>
        <w:t xml:space="preserve"> high earnings quality reduce</w:t>
      </w:r>
      <w:r w:rsidRPr="003303F8">
        <w:rPr>
          <w:rFonts w:hint="eastAsia"/>
          <w:kern w:val="0"/>
          <w:sz w:val="24"/>
          <w:szCs w:val="24"/>
        </w:rPr>
        <w:t>s</w:t>
      </w:r>
      <w:r w:rsidRPr="003303F8">
        <w:rPr>
          <w:rFonts w:eastAsia="Times"/>
          <w:kern w:val="0"/>
          <w:sz w:val="24"/>
          <w:szCs w:val="24"/>
          <w:lang w:eastAsia="en-US"/>
        </w:rPr>
        <w:t xml:space="preserve"> the firm’s cost of equity toward the risk-free rate through decreasing the non-diversifiable priced factor.</w:t>
      </w:r>
      <w:r w:rsidRPr="003303F8">
        <w:rPr>
          <w:rStyle w:val="FootnoteReference"/>
          <w:rFonts w:eastAsia="Times"/>
          <w:kern w:val="0"/>
          <w:sz w:val="24"/>
          <w:szCs w:val="24"/>
          <w:lang w:eastAsia="en-US"/>
        </w:rPr>
        <w:footnoteReference w:id="4"/>
      </w:r>
    </w:p>
    <w:p w:rsidR="00C174EA" w:rsidRPr="003303F8" w:rsidRDefault="00C174EA" w:rsidP="00C174EA">
      <w:pPr>
        <w:widowControl/>
        <w:overflowPunct/>
        <w:autoSpaceDE/>
        <w:autoSpaceDN/>
        <w:adjustRightInd/>
        <w:spacing w:line="480" w:lineRule="auto"/>
        <w:ind w:firstLine="720"/>
        <w:rPr>
          <w:rFonts w:eastAsia="Times"/>
          <w:kern w:val="0"/>
          <w:sz w:val="24"/>
          <w:szCs w:val="24"/>
          <w:lang w:eastAsia="en-US"/>
        </w:rPr>
      </w:pPr>
      <w:r w:rsidRPr="003303F8">
        <w:rPr>
          <w:rFonts w:eastAsia="Times"/>
          <w:kern w:val="0"/>
          <w:sz w:val="24"/>
          <w:szCs w:val="24"/>
          <w:lang w:eastAsia="en-US"/>
        </w:rPr>
        <w:t>Peer firm earnings qualit</w:t>
      </w:r>
      <w:r w:rsidR="00461598" w:rsidRPr="003303F8">
        <w:rPr>
          <w:rFonts w:eastAsia="Times"/>
          <w:kern w:val="0"/>
          <w:sz w:val="24"/>
          <w:szCs w:val="24"/>
          <w:lang w:eastAsia="en-US"/>
        </w:rPr>
        <w:t>y is measured as either equally-weighted or market-share-</w:t>
      </w:r>
      <w:r w:rsidRPr="003303F8">
        <w:rPr>
          <w:rFonts w:eastAsia="Times"/>
          <w:kern w:val="0"/>
          <w:sz w:val="24"/>
          <w:szCs w:val="24"/>
          <w:lang w:eastAsia="en-US"/>
        </w:rPr>
        <w:t xml:space="preserve">weighted earnings quality of all industry peers. LLV define information quality </w:t>
      </w:r>
      <w:r w:rsidRPr="003303F8">
        <w:rPr>
          <w:rFonts w:eastAsia="Times"/>
          <w:kern w:val="0"/>
          <w:sz w:val="24"/>
          <w:szCs w:val="24"/>
          <w:lang w:eastAsia="en-US"/>
        </w:rPr>
        <w:lastRenderedPageBreak/>
        <w:t xml:space="preserve">based on the precision of the information about firm performance/value. To match this definition, I utilize a peer firm earnings quality measure based on Francis et al. (2005). This measure reflects the extent to which </w:t>
      </w:r>
      <w:proofErr w:type="gramStart"/>
      <w:r w:rsidRPr="003303F8">
        <w:rPr>
          <w:rFonts w:eastAsia="Times"/>
          <w:kern w:val="0"/>
          <w:sz w:val="24"/>
          <w:szCs w:val="24"/>
          <w:lang w:eastAsia="en-US"/>
        </w:rPr>
        <w:t>peer firms</w:t>
      </w:r>
      <w:r w:rsidR="00D66752" w:rsidRPr="003303F8">
        <w:rPr>
          <w:rFonts w:eastAsia="Times"/>
          <w:kern w:val="0"/>
          <w:sz w:val="24"/>
          <w:szCs w:val="24"/>
          <w:lang w:eastAsia="en-US"/>
        </w:rPr>
        <w:t>’</w:t>
      </w:r>
      <w:r w:rsidRPr="003303F8">
        <w:rPr>
          <w:rFonts w:eastAsia="Times"/>
          <w:kern w:val="0"/>
          <w:sz w:val="24"/>
          <w:szCs w:val="24"/>
          <w:lang w:eastAsia="en-US"/>
        </w:rPr>
        <w:t xml:space="preserve"> accruals map</w:t>
      </w:r>
      <w:proofErr w:type="gramEnd"/>
      <w:r w:rsidRPr="003303F8">
        <w:rPr>
          <w:rFonts w:eastAsia="Times"/>
          <w:kern w:val="0"/>
          <w:sz w:val="24"/>
          <w:szCs w:val="24"/>
          <w:lang w:eastAsia="en-US"/>
        </w:rPr>
        <w:t xml:space="preserve"> into cash flows</w:t>
      </w:r>
      <w:r w:rsidRPr="003303F8">
        <w:rPr>
          <w:sz w:val="24"/>
          <w:szCs w:val="24"/>
        </w:rPr>
        <w:t xml:space="preserve"> </w:t>
      </w:r>
      <w:r w:rsidRPr="003303F8">
        <w:rPr>
          <w:rFonts w:eastAsia="Times"/>
          <w:kern w:val="0"/>
          <w:sz w:val="24"/>
          <w:szCs w:val="24"/>
          <w:lang w:eastAsia="en-US"/>
        </w:rPr>
        <w:t xml:space="preserve">in the prior, current, and future periods or into changes in revenues and property, plant, and equipment. Low peer firm earnings quality can be due to either peer firms’ estimation errors or intentional manipulations. Therefore, this </w:t>
      </w:r>
      <w:r w:rsidR="00461598" w:rsidRPr="003303F8">
        <w:rPr>
          <w:rFonts w:eastAsia="Times"/>
          <w:kern w:val="0"/>
          <w:sz w:val="24"/>
          <w:szCs w:val="24"/>
          <w:lang w:eastAsia="en-US"/>
        </w:rPr>
        <w:t xml:space="preserve">earnings quality </w:t>
      </w:r>
      <w:r w:rsidRPr="003303F8">
        <w:rPr>
          <w:rFonts w:eastAsia="Times"/>
          <w:kern w:val="0"/>
          <w:sz w:val="24"/>
          <w:szCs w:val="24"/>
          <w:lang w:eastAsia="en-US"/>
        </w:rPr>
        <w:t>measure meets the requirement of LLV.</w:t>
      </w:r>
    </w:p>
    <w:p w:rsidR="006535C9" w:rsidRPr="003303F8" w:rsidRDefault="006535C9" w:rsidP="006535C9">
      <w:pPr>
        <w:widowControl/>
        <w:overflowPunct/>
        <w:autoSpaceDE/>
        <w:autoSpaceDN/>
        <w:adjustRightInd/>
        <w:spacing w:line="480" w:lineRule="auto"/>
        <w:ind w:firstLine="720"/>
        <w:rPr>
          <w:kern w:val="0"/>
          <w:sz w:val="24"/>
          <w:szCs w:val="24"/>
        </w:rPr>
      </w:pPr>
      <w:r w:rsidRPr="003303F8">
        <w:rPr>
          <w:kern w:val="0"/>
          <w:sz w:val="24"/>
          <w:szCs w:val="24"/>
        </w:rPr>
        <w:t>I use three proxies for the cost of equity. T</w:t>
      </w:r>
      <w:r w:rsidR="001517A8" w:rsidRPr="003303F8">
        <w:rPr>
          <w:kern w:val="0"/>
          <w:sz w:val="24"/>
          <w:szCs w:val="24"/>
        </w:rPr>
        <w:t xml:space="preserve">he </w:t>
      </w:r>
      <w:r w:rsidRPr="003303F8">
        <w:rPr>
          <w:kern w:val="0"/>
          <w:sz w:val="24"/>
          <w:szCs w:val="24"/>
        </w:rPr>
        <w:t xml:space="preserve">early financial economics literature </w:t>
      </w:r>
      <w:r w:rsidR="001517A8" w:rsidRPr="003303F8">
        <w:rPr>
          <w:kern w:val="0"/>
          <w:sz w:val="24"/>
          <w:szCs w:val="24"/>
        </w:rPr>
        <w:t xml:space="preserve">measure a firm’s </w:t>
      </w:r>
      <w:r w:rsidR="001517A8" w:rsidRPr="003303F8">
        <w:rPr>
          <w:sz w:val="24"/>
          <w:szCs w:val="24"/>
        </w:rPr>
        <w:t xml:space="preserve">ex ante expected returns based on </w:t>
      </w:r>
      <w:r w:rsidRPr="003303F8">
        <w:rPr>
          <w:sz w:val="24"/>
          <w:szCs w:val="24"/>
        </w:rPr>
        <w:t xml:space="preserve">realized (ex post) excess stock returns. I adopt this measure as one approach to estimate a firm’s cost of equity. However, </w:t>
      </w:r>
      <w:r w:rsidR="001517A8" w:rsidRPr="003303F8">
        <w:rPr>
          <w:sz w:val="24"/>
          <w:szCs w:val="24"/>
        </w:rPr>
        <w:t>prior studies</w:t>
      </w:r>
      <w:r w:rsidRPr="003303F8">
        <w:rPr>
          <w:sz w:val="24"/>
          <w:szCs w:val="24"/>
        </w:rPr>
        <w:t xml:space="preserve"> (e.g., Sharpe [1978]; Elton [1999]) </w:t>
      </w:r>
      <w:r w:rsidR="00F61B03" w:rsidRPr="003303F8">
        <w:rPr>
          <w:sz w:val="24"/>
          <w:szCs w:val="24"/>
        </w:rPr>
        <w:t>suggest that</w:t>
      </w:r>
      <w:r w:rsidRPr="003303F8">
        <w:rPr>
          <w:sz w:val="24"/>
          <w:szCs w:val="24"/>
        </w:rPr>
        <w:t xml:space="preserve">, </w:t>
      </w:r>
      <w:r w:rsidR="00381E7A" w:rsidRPr="003303F8">
        <w:rPr>
          <w:sz w:val="24"/>
          <w:szCs w:val="24"/>
        </w:rPr>
        <w:t xml:space="preserve">due to unexpected exogenous shocks, </w:t>
      </w:r>
      <w:r w:rsidRPr="003303F8">
        <w:rPr>
          <w:sz w:val="24"/>
          <w:szCs w:val="24"/>
        </w:rPr>
        <w:t xml:space="preserve">realized returns </w:t>
      </w:r>
      <w:r w:rsidR="001517A8" w:rsidRPr="003303F8">
        <w:rPr>
          <w:sz w:val="24"/>
          <w:szCs w:val="24"/>
        </w:rPr>
        <w:t xml:space="preserve">can </w:t>
      </w:r>
      <w:r w:rsidR="00381E7A" w:rsidRPr="003303F8">
        <w:rPr>
          <w:sz w:val="24"/>
          <w:szCs w:val="24"/>
        </w:rPr>
        <w:t xml:space="preserve">be </w:t>
      </w:r>
      <w:r w:rsidR="001517A8" w:rsidRPr="003303F8">
        <w:rPr>
          <w:sz w:val="24"/>
          <w:szCs w:val="24"/>
        </w:rPr>
        <w:t xml:space="preserve">significantly </w:t>
      </w:r>
      <w:r w:rsidR="00381E7A" w:rsidRPr="003303F8">
        <w:rPr>
          <w:sz w:val="24"/>
          <w:szCs w:val="24"/>
        </w:rPr>
        <w:t xml:space="preserve">different </w:t>
      </w:r>
      <w:r w:rsidR="001517A8" w:rsidRPr="003303F8">
        <w:rPr>
          <w:sz w:val="24"/>
          <w:szCs w:val="24"/>
        </w:rPr>
        <w:t xml:space="preserve">from </w:t>
      </w:r>
      <w:r w:rsidR="00381E7A" w:rsidRPr="003303F8">
        <w:rPr>
          <w:sz w:val="24"/>
          <w:szCs w:val="24"/>
        </w:rPr>
        <w:t xml:space="preserve">ex ante </w:t>
      </w:r>
      <w:r w:rsidRPr="003303F8">
        <w:rPr>
          <w:sz w:val="24"/>
          <w:szCs w:val="24"/>
        </w:rPr>
        <w:t xml:space="preserve">expected returns. The second measure I use is </w:t>
      </w:r>
      <w:r w:rsidRPr="003303F8">
        <w:rPr>
          <w:kern w:val="0"/>
          <w:sz w:val="24"/>
          <w:szCs w:val="24"/>
        </w:rPr>
        <w:t xml:space="preserve">the implied cost of equity derived from analyst earnings forecasts </w:t>
      </w:r>
      <w:r w:rsidRPr="003303F8">
        <w:rPr>
          <w:sz w:val="24"/>
          <w:szCs w:val="24"/>
        </w:rPr>
        <w:t xml:space="preserve">(e.g., </w:t>
      </w:r>
      <w:r w:rsidRPr="003303F8">
        <w:rPr>
          <w:kern w:val="0"/>
          <w:sz w:val="24"/>
          <w:szCs w:val="24"/>
        </w:rPr>
        <w:t xml:space="preserve">Easton </w:t>
      </w:r>
      <w:r w:rsidR="003B681F" w:rsidRPr="003303F8">
        <w:rPr>
          <w:kern w:val="0"/>
          <w:sz w:val="24"/>
          <w:szCs w:val="24"/>
        </w:rPr>
        <w:t>[</w:t>
      </w:r>
      <w:r w:rsidRPr="003303F8">
        <w:rPr>
          <w:kern w:val="0"/>
          <w:sz w:val="24"/>
          <w:szCs w:val="24"/>
        </w:rPr>
        <w:t>2004</w:t>
      </w:r>
      <w:r w:rsidR="003B681F" w:rsidRPr="003303F8">
        <w:rPr>
          <w:kern w:val="0"/>
          <w:sz w:val="24"/>
          <w:szCs w:val="24"/>
        </w:rPr>
        <w:t>]</w:t>
      </w:r>
      <w:r w:rsidRPr="003303F8">
        <w:rPr>
          <w:kern w:val="0"/>
          <w:sz w:val="24"/>
          <w:szCs w:val="24"/>
        </w:rPr>
        <w:t xml:space="preserve">). By definition, the implied cost of equity </w:t>
      </w:r>
      <w:r w:rsidRPr="003303F8">
        <w:rPr>
          <w:color w:val="000000"/>
          <w:sz w:val="24"/>
          <w:szCs w:val="24"/>
        </w:rPr>
        <w:t xml:space="preserve">is the discount rate that investors use to </w:t>
      </w:r>
      <w:r w:rsidR="00381E7A" w:rsidRPr="003303F8">
        <w:rPr>
          <w:color w:val="000000"/>
          <w:sz w:val="24"/>
          <w:szCs w:val="24"/>
        </w:rPr>
        <w:t>calculate the present value of</w:t>
      </w:r>
      <w:r w:rsidRPr="003303F8">
        <w:rPr>
          <w:color w:val="000000"/>
          <w:sz w:val="24"/>
          <w:szCs w:val="24"/>
        </w:rPr>
        <w:t xml:space="preserve"> a firm’s expected </w:t>
      </w:r>
      <w:r w:rsidR="001517A8" w:rsidRPr="003303F8">
        <w:rPr>
          <w:color w:val="000000"/>
          <w:sz w:val="24"/>
          <w:szCs w:val="24"/>
        </w:rPr>
        <w:t xml:space="preserve">future </w:t>
      </w:r>
      <w:r w:rsidRPr="003303F8">
        <w:rPr>
          <w:color w:val="000000"/>
          <w:sz w:val="24"/>
          <w:szCs w:val="24"/>
        </w:rPr>
        <w:t xml:space="preserve">cash flows. This measure </w:t>
      </w:r>
      <w:r w:rsidR="00381E7A" w:rsidRPr="003303F8">
        <w:rPr>
          <w:color w:val="000000"/>
          <w:sz w:val="24"/>
          <w:szCs w:val="24"/>
        </w:rPr>
        <w:t>is not affected by noises in ex post</w:t>
      </w:r>
      <w:r w:rsidRPr="003303F8">
        <w:rPr>
          <w:color w:val="000000"/>
          <w:sz w:val="24"/>
          <w:szCs w:val="24"/>
        </w:rPr>
        <w:t xml:space="preserve"> realized returns, but its reliability can be reduced by biases in </w:t>
      </w:r>
      <w:r w:rsidR="00FB3256" w:rsidRPr="003303F8">
        <w:rPr>
          <w:color w:val="000000"/>
          <w:sz w:val="24"/>
          <w:szCs w:val="24"/>
        </w:rPr>
        <w:t xml:space="preserve">analyst </w:t>
      </w:r>
      <w:r w:rsidRPr="003303F8">
        <w:rPr>
          <w:color w:val="000000"/>
          <w:sz w:val="24"/>
          <w:szCs w:val="24"/>
        </w:rPr>
        <w:t xml:space="preserve">forecasts </w:t>
      </w:r>
      <w:r w:rsidRPr="003303F8">
        <w:rPr>
          <w:rFonts w:eastAsia="Times"/>
          <w:kern w:val="0"/>
          <w:sz w:val="24"/>
          <w:szCs w:val="24"/>
          <w:lang w:eastAsia="en-US"/>
        </w:rPr>
        <w:t xml:space="preserve">(e.g., McInnis </w:t>
      </w:r>
      <w:r w:rsidR="003B681F" w:rsidRPr="003303F8">
        <w:rPr>
          <w:rFonts w:eastAsia="Times"/>
          <w:kern w:val="0"/>
          <w:sz w:val="24"/>
          <w:szCs w:val="24"/>
          <w:lang w:eastAsia="en-US"/>
        </w:rPr>
        <w:t>[</w:t>
      </w:r>
      <w:r w:rsidRPr="003303F8">
        <w:rPr>
          <w:rFonts w:eastAsia="Times"/>
          <w:kern w:val="0"/>
          <w:sz w:val="24"/>
          <w:szCs w:val="24"/>
          <w:lang w:eastAsia="en-US"/>
        </w:rPr>
        <w:t>2010</w:t>
      </w:r>
      <w:r w:rsidR="003B681F" w:rsidRPr="003303F8">
        <w:rPr>
          <w:rFonts w:eastAsia="Times"/>
          <w:kern w:val="0"/>
          <w:sz w:val="24"/>
          <w:szCs w:val="24"/>
          <w:lang w:eastAsia="en-US"/>
        </w:rPr>
        <w:t>]</w:t>
      </w:r>
      <w:r w:rsidRPr="003303F8">
        <w:rPr>
          <w:rFonts w:eastAsia="Times"/>
          <w:kern w:val="0"/>
          <w:sz w:val="24"/>
          <w:szCs w:val="24"/>
          <w:lang w:eastAsia="en-US"/>
        </w:rPr>
        <w:t>)</w:t>
      </w:r>
      <w:r w:rsidRPr="003303F8">
        <w:rPr>
          <w:color w:val="000000"/>
          <w:sz w:val="24"/>
          <w:szCs w:val="24"/>
        </w:rPr>
        <w:t xml:space="preserve">. </w:t>
      </w:r>
      <w:r w:rsidRPr="003303F8">
        <w:rPr>
          <w:rFonts w:eastAsia="Times"/>
          <w:kern w:val="0"/>
          <w:sz w:val="24"/>
          <w:szCs w:val="24"/>
          <w:lang w:eastAsia="en-US"/>
        </w:rPr>
        <w:t xml:space="preserve">Therefore, I use a third measure </w:t>
      </w:r>
      <w:r w:rsidR="0023713C" w:rsidRPr="003303F8">
        <w:rPr>
          <w:rFonts w:eastAsia="Times"/>
          <w:kern w:val="0"/>
          <w:sz w:val="24"/>
          <w:szCs w:val="24"/>
          <w:lang w:eastAsia="en-US"/>
        </w:rPr>
        <w:t xml:space="preserve">of </w:t>
      </w:r>
      <w:r w:rsidRPr="003303F8">
        <w:rPr>
          <w:rFonts w:eastAsia="Times"/>
          <w:kern w:val="0"/>
          <w:sz w:val="24"/>
          <w:szCs w:val="24"/>
          <w:lang w:eastAsia="en-US"/>
        </w:rPr>
        <w:t xml:space="preserve">cost of equity based on the industry-adjusted earning-price ratio (Francis et al. </w:t>
      </w:r>
      <w:r w:rsidR="003B681F" w:rsidRPr="003303F8">
        <w:rPr>
          <w:rFonts w:eastAsia="Times"/>
          <w:kern w:val="0"/>
          <w:sz w:val="24"/>
          <w:szCs w:val="24"/>
          <w:lang w:eastAsia="en-US"/>
        </w:rPr>
        <w:t>[</w:t>
      </w:r>
      <w:r w:rsidRPr="003303F8">
        <w:rPr>
          <w:rFonts w:eastAsia="Times"/>
          <w:kern w:val="0"/>
          <w:sz w:val="24"/>
          <w:szCs w:val="24"/>
          <w:lang w:eastAsia="en-US"/>
        </w:rPr>
        <w:t>2005</w:t>
      </w:r>
      <w:r w:rsidR="003B681F" w:rsidRPr="003303F8">
        <w:rPr>
          <w:rFonts w:eastAsia="Times"/>
          <w:kern w:val="0"/>
          <w:sz w:val="24"/>
          <w:szCs w:val="24"/>
          <w:lang w:eastAsia="en-US"/>
        </w:rPr>
        <w:t>]</w:t>
      </w:r>
      <w:r w:rsidRPr="003303F8">
        <w:rPr>
          <w:rFonts w:eastAsia="Times"/>
          <w:kern w:val="0"/>
          <w:sz w:val="24"/>
          <w:szCs w:val="24"/>
          <w:lang w:eastAsia="en-US"/>
        </w:rPr>
        <w:t xml:space="preserve">). This measure does not rely on either </w:t>
      </w:r>
      <w:r w:rsidR="00FB3256" w:rsidRPr="003303F8">
        <w:rPr>
          <w:rFonts w:eastAsia="Times"/>
          <w:kern w:val="0"/>
          <w:sz w:val="24"/>
          <w:szCs w:val="24"/>
          <w:lang w:eastAsia="en-US"/>
        </w:rPr>
        <w:t xml:space="preserve">analyst </w:t>
      </w:r>
      <w:r w:rsidRPr="003303F8">
        <w:rPr>
          <w:rFonts w:eastAsia="Times"/>
          <w:kern w:val="0"/>
          <w:sz w:val="24"/>
          <w:szCs w:val="24"/>
          <w:lang w:eastAsia="en-US"/>
        </w:rPr>
        <w:t xml:space="preserve">forecasts or </w:t>
      </w:r>
      <w:r w:rsidRPr="003303F8">
        <w:rPr>
          <w:color w:val="000000"/>
          <w:sz w:val="24"/>
          <w:szCs w:val="24"/>
        </w:rPr>
        <w:t>realized returns</w:t>
      </w:r>
      <w:r w:rsidRPr="003303F8">
        <w:rPr>
          <w:rFonts w:eastAsia="Times"/>
          <w:kern w:val="0"/>
          <w:sz w:val="24"/>
          <w:szCs w:val="24"/>
          <w:lang w:eastAsia="en-US"/>
        </w:rPr>
        <w:t>.</w:t>
      </w:r>
    </w:p>
    <w:p w:rsidR="00C174EA" w:rsidRPr="003303F8" w:rsidRDefault="00C174EA" w:rsidP="00F150AA">
      <w:pPr>
        <w:widowControl/>
        <w:overflowPunct/>
        <w:autoSpaceDE/>
        <w:autoSpaceDN/>
        <w:adjustRightInd/>
        <w:spacing w:line="480" w:lineRule="auto"/>
        <w:ind w:firstLine="720"/>
        <w:rPr>
          <w:rFonts w:eastAsia="Times"/>
          <w:kern w:val="0"/>
          <w:sz w:val="24"/>
          <w:szCs w:val="24"/>
          <w:lang w:eastAsia="en-US"/>
        </w:rPr>
      </w:pPr>
      <w:r w:rsidRPr="003303F8">
        <w:rPr>
          <w:rFonts w:eastAsia="Times"/>
          <w:kern w:val="0"/>
          <w:sz w:val="24"/>
          <w:szCs w:val="24"/>
          <w:lang w:eastAsia="en-US"/>
        </w:rPr>
        <w:t xml:space="preserve">Using a large sample of U.S. firms from </w:t>
      </w:r>
      <w:r w:rsidR="006535C9" w:rsidRPr="003303F8">
        <w:rPr>
          <w:rFonts w:eastAsia="Times"/>
          <w:kern w:val="0"/>
          <w:sz w:val="24"/>
          <w:szCs w:val="24"/>
          <w:lang w:eastAsia="en-US"/>
        </w:rPr>
        <w:t xml:space="preserve">1994 </w:t>
      </w:r>
      <w:r w:rsidRPr="003303F8">
        <w:rPr>
          <w:rFonts w:eastAsia="Times"/>
          <w:kern w:val="0"/>
          <w:sz w:val="24"/>
          <w:szCs w:val="24"/>
          <w:lang w:eastAsia="en-US"/>
        </w:rPr>
        <w:t xml:space="preserve">to </w:t>
      </w:r>
      <w:proofErr w:type="gramStart"/>
      <w:r w:rsidRPr="003303F8">
        <w:rPr>
          <w:rFonts w:eastAsia="Times"/>
          <w:kern w:val="0"/>
          <w:sz w:val="24"/>
          <w:szCs w:val="24"/>
          <w:lang w:eastAsia="en-US"/>
        </w:rPr>
        <w:t>2010,</w:t>
      </w:r>
      <w:proofErr w:type="gramEnd"/>
      <w:r w:rsidRPr="003303F8">
        <w:rPr>
          <w:rFonts w:eastAsia="Times"/>
          <w:kern w:val="0"/>
          <w:sz w:val="24"/>
          <w:szCs w:val="24"/>
          <w:lang w:eastAsia="en-US"/>
        </w:rPr>
        <w:t xml:space="preserve"> my analyses provide</w:t>
      </w:r>
      <w:r w:rsidRPr="003303F8">
        <w:rPr>
          <w:kern w:val="0"/>
          <w:sz w:val="24"/>
          <w:szCs w:val="24"/>
        </w:rPr>
        <w:t xml:space="preserve"> empirical evidence consistent with </w:t>
      </w:r>
      <w:r w:rsidR="00DA1973" w:rsidRPr="003303F8">
        <w:rPr>
          <w:kern w:val="0"/>
          <w:sz w:val="24"/>
          <w:szCs w:val="24"/>
        </w:rPr>
        <w:t>expectat</w:t>
      </w:r>
      <w:r w:rsidR="001C158E" w:rsidRPr="003303F8">
        <w:rPr>
          <w:kern w:val="0"/>
          <w:sz w:val="24"/>
          <w:szCs w:val="24"/>
        </w:rPr>
        <w:t>ion</w:t>
      </w:r>
      <w:r w:rsidRPr="003303F8">
        <w:rPr>
          <w:kern w:val="0"/>
          <w:sz w:val="24"/>
          <w:szCs w:val="24"/>
        </w:rPr>
        <w:t>.</w:t>
      </w:r>
      <w:r w:rsidR="00F11E78" w:rsidRPr="003303F8">
        <w:rPr>
          <w:rFonts w:eastAsia="Times"/>
          <w:kern w:val="0"/>
          <w:sz w:val="24"/>
          <w:szCs w:val="24"/>
          <w:lang w:eastAsia="en-US"/>
        </w:rPr>
        <w:t xml:space="preserve"> With respect to realized excess returns, I conduct regressions on four common risk factors (market factor [MKTRF], size factor </w:t>
      </w:r>
      <w:r w:rsidR="00F11E78" w:rsidRPr="003303F8">
        <w:rPr>
          <w:rFonts w:eastAsia="Times"/>
          <w:kern w:val="0"/>
          <w:sz w:val="24"/>
          <w:szCs w:val="24"/>
          <w:lang w:eastAsia="en-US"/>
        </w:rPr>
        <w:lastRenderedPageBreak/>
        <w:t xml:space="preserve">[SMB], value factor [HML] and momentum factor [UMD]).  Significant results suggest </w:t>
      </w:r>
      <w:r w:rsidR="00AA0FDE" w:rsidRPr="003303F8">
        <w:rPr>
          <w:rFonts w:eastAsia="Times"/>
          <w:kern w:val="0"/>
          <w:sz w:val="24"/>
          <w:szCs w:val="24"/>
          <w:lang w:eastAsia="en-US"/>
        </w:rPr>
        <w:t>that observations with peer firm earnings quality above the median have a 1</w:t>
      </w:r>
      <w:r w:rsidR="00BE3CAF" w:rsidRPr="003303F8">
        <w:rPr>
          <w:rFonts w:eastAsia="Times"/>
          <w:kern w:val="0"/>
          <w:sz w:val="24"/>
          <w:szCs w:val="24"/>
          <w:lang w:eastAsia="en-US"/>
        </w:rPr>
        <w:t>4.5</w:t>
      </w:r>
      <w:r w:rsidR="00AA0FDE" w:rsidRPr="003303F8">
        <w:rPr>
          <w:rFonts w:eastAsia="Times"/>
          <w:kern w:val="0"/>
          <w:sz w:val="24"/>
          <w:szCs w:val="24"/>
          <w:lang w:eastAsia="en-US"/>
        </w:rPr>
        <w:t xml:space="preserve"> to 17</w:t>
      </w:r>
      <w:r w:rsidR="00BE3CAF" w:rsidRPr="003303F8">
        <w:rPr>
          <w:rFonts w:eastAsia="Times"/>
          <w:kern w:val="0"/>
          <w:sz w:val="24"/>
          <w:szCs w:val="24"/>
          <w:lang w:eastAsia="en-US"/>
        </w:rPr>
        <w:t>.5</w:t>
      </w:r>
      <w:r w:rsidR="00AA0FDE" w:rsidRPr="003303F8">
        <w:rPr>
          <w:rFonts w:eastAsia="Times"/>
          <w:kern w:val="0"/>
          <w:sz w:val="24"/>
          <w:szCs w:val="24"/>
          <w:lang w:eastAsia="en-US"/>
        </w:rPr>
        <w:t xml:space="preserve"> percent lower market beta (i.e., the loading of firm excess return on market excess return). Assuming a 6% market risk premium per year, this effect translates into an 8</w:t>
      </w:r>
      <w:r w:rsidR="00BE3CAF" w:rsidRPr="003303F8">
        <w:rPr>
          <w:rFonts w:eastAsia="Times"/>
          <w:kern w:val="0"/>
          <w:sz w:val="24"/>
          <w:szCs w:val="24"/>
          <w:lang w:eastAsia="en-US"/>
        </w:rPr>
        <w:t>7</w:t>
      </w:r>
      <w:r w:rsidR="00AA0FDE" w:rsidRPr="003303F8">
        <w:rPr>
          <w:rFonts w:eastAsia="Times"/>
          <w:kern w:val="0"/>
          <w:sz w:val="24"/>
          <w:szCs w:val="24"/>
          <w:lang w:eastAsia="en-US"/>
        </w:rPr>
        <w:t xml:space="preserve"> to 10</w:t>
      </w:r>
      <w:r w:rsidR="00BE3CAF" w:rsidRPr="003303F8">
        <w:rPr>
          <w:rFonts w:eastAsia="Times"/>
          <w:kern w:val="0"/>
          <w:sz w:val="24"/>
          <w:szCs w:val="24"/>
          <w:lang w:eastAsia="en-US"/>
        </w:rPr>
        <w:t>5</w:t>
      </w:r>
      <w:r w:rsidR="00AA0FDE" w:rsidRPr="003303F8">
        <w:rPr>
          <w:rFonts w:eastAsia="Times"/>
          <w:kern w:val="0"/>
          <w:sz w:val="24"/>
          <w:szCs w:val="24"/>
          <w:lang w:eastAsia="en-US"/>
        </w:rPr>
        <w:t xml:space="preserve"> basis point lower cost of equity. Interestingly, I find the market risk effects of both earnings quality and peer firm earnings quality are more pronounced when the m</w:t>
      </w:r>
      <w:r w:rsidR="007F31F1" w:rsidRPr="003303F8">
        <w:rPr>
          <w:rFonts w:eastAsia="Times"/>
          <w:kern w:val="0"/>
          <w:sz w:val="24"/>
          <w:szCs w:val="24"/>
          <w:lang w:eastAsia="en-US"/>
        </w:rPr>
        <w:t>arket excess return is negative (</w:t>
      </w:r>
      <w:r w:rsidR="00AA0FDE" w:rsidRPr="003303F8">
        <w:rPr>
          <w:rFonts w:eastAsia="Times"/>
          <w:kern w:val="0"/>
          <w:sz w:val="24"/>
          <w:szCs w:val="24"/>
          <w:lang w:eastAsia="en-US"/>
        </w:rPr>
        <w:t>I discuss this finding</w:t>
      </w:r>
      <w:r w:rsidR="00203870" w:rsidRPr="003303F8">
        <w:rPr>
          <w:rFonts w:eastAsia="Times"/>
          <w:kern w:val="0"/>
          <w:sz w:val="24"/>
          <w:szCs w:val="24"/>
          <w:lang w:eastAsia="en-US"/>
        </w:rPr>
        <w:t xml:space="preserve"> and other related analyses</w:t>
      </w:r>
      <w:r w:rsidR="00AA0FDE" w:rsidRPr="003303F8">
        <w:rPr>
          <w:rFonts w:eastAsia="Times"/>
          <w:kern w:val="0"/>
          <w:sz w:val="24"/>
          <w:szCs w:val="24"/>
          <w:lang w:eastAsia="en-US"/>
        </w:rPr>
        <w:t xml:space="preserve"> later</w:t>
      </w:r>
      <w:r w:rsidR="007F31F1" w:rsidRPr="003303F8">
        <w:rPr>
          <w:rFonts w:eastAsia="Times"/>
          <w:kern w:val="0"/>
          <w:sz w:val="24"/>
          <w:szCs w:val="24"/>
          <w:lang w:eastAsia="en-US"/>
        </w:rPr>
        <w:t>)</w:t>
      </w:r>
      <w:r w:rsidR="00AA0FDE" w:rsidRPr="003303F8">
        <w:rPr>
          <w:rFonts w:eastAsia="Times"/>
          <w:kern w:val="0"/>
          <w:sz w:val="24"/>
          <w:szCs w:val="24"/>
          <w:lang w:eastAsia="en-US"/>
        </w:rPr>
        <w:t xml:space="preserve">. </w:t>
      </w:r>
      <w:r w:rsidR="001C22E9" w:rsidRPr="003303F8">
        <w:rPr>
          <w:rFonts w:eastAsia="Times"/>
          <w:kern w:val="0"/>
          <w:sz w:val="24"/>
          <w:szCs w:val="24"/>
          <w:lang w:eastAsia="en-US"/>
        </w:rPr>
        <w:t xml:space="preserve">High </w:t>
      </w:r>
      <w:r w:rsidR="00564C0D" w:rsidRPr="003303F8">
        <w:rPr>
          <w:rFonts w:eastAsia="Times"/>
          <w:kern w:val="0"/>
          <w:sz w:val="24"/>
          <w:szCs w:val="24"/>
          <w:lang w:eastAsia="en-US"/>
        </w:rPr>
        <w:t>peer firm earnings quality also ha</w:t>
      </w:r>
      <w:r w:rsidR="00E95E6B" w:rsidRPr="003303F8">
        <w:rPr>
          <w:rFonts w:eastAsia="Times"/>
          <w:kern w:val="0"/>
          <w:sz w:val="24"/>
          <w:szCs w:val="24"/>
          <w:lang w:eastAsia="en-US"/>
        </w:rPr>
        <w:t>s</w:t>
      </w:r>
      <w:r w:rsidRPr="003303F8">
        <w:rPr>
          <w:rFonts w:eastAsia="Times"/>
          <w:kern w:val="0"/>
          <w:sz w:val="24"/>
          <w:szCs w:val="24"/>
          <w:lang w:eastAsia="en-US"/>
        </w:rPr>
        <w:t xml:space="preserve"> </w:t>
      </w:r>
      <w:r w:rsidR="00E95E6B" w:rsidRPr="003303F8">
        <w:rPr>
          <w:rFonts w:eastAsia="Times"/>
          <w:kern w:val="0"/>
          <w:sz w:val="24"/>
          <w:szCs w:val="24"/>
          <w:lang w:eastAsia="en-US"/>
        </w:rPr>
        <w:t xml:space="preserve">a </w:t>
      </w:r>
      <w:r w:rsidR="00F150AA" w:rsidRPr="003303F8">
        <w:rPr>
          <w:rFonts w:eastAsia="Times"/>
          <w:kern w:val="0"/>
          <w:sz w:val="24"/>
          <w:szCs w:val="24"/>
          <w:lang w:eastAsia="en-US"/>
        </w:rPr>
        <w:t>significant</w:t>
      </w:r>
      <w:r w:rsidRPr="003303F8">
        <w:rPr>
          <w:rFonts w:eastAsia="Times"/>
          <w:kern w:val="0"/>
          <w:sz w:val="24"/>
          <w:szCs w:val="24"/>
          <w:lang w:eastAsia="en-US"/>
        </w:rPr>
        <w:t xml:space="preserve"> negative effect on the implied cost of equity and the industry-adjusted earning-price ratio. For example,</w:t>
      </w:r>
      <w:r w:rsidR="00BD5084" w:rsidRPr="003303F8">
        <w:rPr>
          <w:rFonts w:eastAsia="Times"/>
          <w:kern w:val="0"/>
          <w:sz w:val="24"/>
          <w:szCs w:val="24"/>
          <w:lang w:eastAsia="en-US"/>
        </w:rPr>
        <w:t xml:space="preserve"> </w:t>
      </w:r>
      <w:r w:rsidR="00BD5084" w:rsidRPr="003303F8">
        <w:rPr>
          <w:kern w:val="0"/>
          <w:sz w:val="24"/>
          <w:szCs w:val="24"/>
        </w:rPr>
        <w:t xml:space="preserve">observations </w:t>
      </w:r>
      <w:r w:rsidRPr="003303F8">
        <w:rPr>
          <w:kern w:val="0"/>
          <w:sz w:val="24"/>
          <w:szCs w:val="24"/>
        </w:rPr>
        <w:t xml:space="preserve">with peer firm earnings quality </w:t>
      </w:r>
      <w:r w:rsidR="00BD5084" w:rsidRPr="003303F8">
        <w:rPr>
          <w:kern w:val="0"/>
          <w:sz w:val="24"/>
          <w:szCs w:val="24"/>
        </w:rPr>
        <w:t xml:space="preserve">above </w:t>
      </w:r>
      <w:r w:rsidR="00D86B5F">
        <w:rPr>
          <w:kern w:val="0"/>
          <w:sz w:val="24"/>
        </w:rPr>
        <w:t xml:space="preserve">the </w:t>
      </w:r>
      <w:r w:rsidR="00BD5084" w:rsidRPr="003303F8">
        <w:rPr>
          <w:kern w:val="0"/>
          <w:sz w:val="24"/>
          <w:szCs w:val="24"/>
        </w:rPr>
        <w:t xml:space="preserve">median </w:t>
      </w:r>
      <w:r w:rsidRPr="003303F8">
        <w:rPr>
          <w:kern w:val="0"/>
          <w:sz w:val="24"/>
          <w:szCs w:val="24"/>
        </w:rPr>
        <w:t>ha</w:t>
      </w:r>
      <w:r w:rsidR="00015577" w:rsidRPr="003303F8">
        <w:rPr>
          <w:kern w:val="0"/>
          <w:sz w:val="24"/>
          <w:szCs w:val="24"/>
        </w:rPr>
        <w:t>ve</w:t>
      </w:r>
      <w:r w:rsidRPr="003303F8">
        <w:rPr>
          <w:kern w:val="0"/>
          <w:sz w:val="24"/>
          <w:szCs w:val="24"/>
        </w:rPr>
        <w:t xml:space="preserve"> a </w:t>
      </w:r>
      <w:r w:rsidR="00BE3CAF" w:rsidRPr="003303F8">
        <w:rPr>
          <w:kern w:val="0"/>
          <w:sz w:val="24"/>
          <w:szCs w:val="24"/>
        </w:rPr>
        <w:t>50</w:t>
      </w:r>
      <w:r w:rsidR="00BD5084" w:rsidRPr="003303F8">
        <w:rPr>
          <w:kern w:val="0"/>
          <w:sz w:val="24"/>
          <w:szCs w:val="24"/>
        </w:rPr>
        <w:t xml:space="preserve"> </w:t>
      </w:r>
      <w:r w:rsidR="00F150AA" w:rsidRPr="003303F8">
        <w:rPr>
          <w:kern w:val="0"/>
          <w:sz w:val="24"/>
          <w:szCs w:val="24"/>
        </w:rPr>
        <w:t>basis-point</w:t>
      </w:r>
      <w:r w:rsidRPr="003303F8">
        <w:rPr>
          <w:kern w:val="0"/>
          <w:sz w:val="24"/>
          <w:szCs w:val="24"/>
        </w:rPr>
        <w:t xml:space="preserve"> lower implied cost of equity. </w:t>
      </w:r>
      <w:r w:rsidR="00E95E6B" w:rsidRPr="003303F8">
        <w:rPr>
          <w:rFonts w:eastAsia="Times"/>
          <w:kern w:val="0"/>
          <w:sz w:val="24"/>
          <w:szCs w:val="24"/>
          <w:lang w:eastAsia="en-US"/>
        </w:rPr>
        <w:t>T</w:t>
      </w:r>
      <w:r w:rsidRPr="003303F8">
        <w:rPr>
          <w:rFonts w:eastAsia="Times"/>
          <w:kern w:val="0"/>
          <w:sz w:val="24"/>
          <w:szCs w:val="24"/>
          <w:lang w:eastAsia="en-US"/>
        </w:rPr>
        <w:t>he</w:t>
      </w:r>
      <w:r w:rsidR="00E95E6B" w:rsidRPr="003303F8">
        <w:rPr>
          <w:rFonts w:eastAsia="Times"/>
          <w:kern w:val="0"/>
          <w:sz w:val="24"/>
          <w:szCs w:val="24"/>
          <w:lang w:eastAsia="en-US"/>
        </w:rPr>
        <w:t xml:space="preserve"> conclusions</w:t>
      </w:r>
      <w:r w:rsidR="0093227F" w:rsidRPr="003303F8">
        <w:rPr>
          <w:rFonts w:eastAsia="Times"/>
          <w:kern w:val="0"/>
          <w:sz w:val="24"/>
          <w:szCs w:val="24"/>
          <w:lang w:eastAsia="en-US"/>
        </w:rPr>
        <w:t xml:space="preserve"> </w:t>
      </w:r>
      <w:r w:rsidRPr="003303F8">
        <w:rPr>
          <w:rFonts w:eastAsia="Times"/>
          <w:kern w:val="0"/>
          <w:sz w:val="24"/>
          <w:szCs w:val="24"/>
          <w:lang w:eastAsia="en-US"/>
        </w:rPr>
        <w:t>are robust to</w:t>
      </w:r>
      <w:r w:rsidRPr="003303F8">
        <w:rPr>
          <w:kern w:val="0"/>
          <w:sz w:val="24"/>
          <w:szCs w:val="24"/>
        </w:rPr>
        <w:t xml:space="preserve"> controlling for</w:t>
      </w:r>
      <w:r w:rsidRPr="003303F8">
        <w:rPr>
          <w:sz w:val="24"/>
          <w:szCs w:val="24"/>
        </w:rPr>
        <w:t xml:space="preserve"> </w:t>
      </w:r>
      <w:r w:rsidRPr="003303F8">
        <w:rPr>
          <w:kern w:val="0"/>
          <w:sz w:val="24"/>
          <w:szCs w:val="24"/>
        </w:rPr>
        <w:t xml:space="preserve">other variables known to affect </w:t>
      </w:r>
      <w:r w:rsidR="005820F2" w:rsidRPr="003303F8">
        <w:rPr>
          <w:kern w:val="0"/>
          <w:sz w:val="24"/>
          <w:szCs w:val="24"/>
        </w:rPr>
        <w:t xml:space="preserve">firm risk and </w:t>
      </w:r>
      <w:r w:rsidRPr="003303F8">
        <w:rPr>
          <w:kern w:val="0"/>
          <w:sz w:val="24"/>
          <w:szCs w:val="24"/>
        </w:rPr>
        <w:t>the cost of equity (leverage, firm size, operating cash flows, cash flow volatility, and book-to-market ratio)</w:t>
      </w:r>
      <w:r w:rsidRPr="003303F8">
        <w:rPr>
          <w:rFonts w:eastAsia="Times"/>
          <w:kern w:val="0"/>
          <w:sz w:val="24"/>
          <w:szCs w:val="24"/>
          <w:lang w:eastAsia="en-US"/>
        </w:rPr>
        <w:t xml:space="preserve">. In summary, </w:t>
      </w:r>
      <w:r w:rsidR="002E4FAF" w:rsidRPr="003303F8">
        <w:rPr>
          <w:rFonts w:eastAsia="Times"/>
          <w:kern w:val="0"/>
          <w:sz w:val="24"/>
          <w:szCs w:val="24"/>
          <w:lang w:eastAsia="en-US"/>
        </w:rPr>
        <w:t>my</w:t>
      </w:r>
      <w:r w:rsidRPr="003303F8">
        <w:rPr>
          <w:rFonts w:eastAsia="Times"/>
          <w:kern w:val="0"/>
          <w:sz w:val="24"/>
          <w:szCs w:val="24"/>
          <w:lang w:eastAsia="en-US"/>
        </w:rPr>
        <w:t xml:space="preserve"> findings are theory-consistent and economically significant.</w:t>
      </w:r>
    </w:p>
    <w:p w:rsidR="004164C1" w:rsidRPr="003303F8" w:rsidRDefault="00C174EA" w:rsidP="00112A1C">
      <w:pPr>
        <w:widowControl/>
        <w:overflowPunct/>
        <w:autoSpaceDE/>
        <w:autoSpaceDN/>
        <w:adjustRightInd/>
        <w:spacing w:line="480" w:lineRule="auto"/>
        <w:ind w:firstLine="720"/>
        <w:rPr>
          <w:kern w:val="0"/>
          <w:sz w:val="24"/>
          <w:szCs w:val="24"/>
        </w:rPr>
      </w:pPr>
      <w:r w:rsidRPr="003303F8">
        <w:rPr>
          <w:kern w:val="0"/>
          <w:sz w:val="24"/>
          <w:szCs w:val="24"/>
        </w:rPr>
        <w:t xml:space="preserve">I extend the analyses by examining </w:t>
      </w:r>
      <w:r w:rsidR="00CF5460" w:rsidRPr="003303F8">
        <w:rPr>
          <w:kern w:val="0"/>
          <w:sz w:val="24"/>
          <w:szCs w:val="24"/>
        </w:rPr>
        <w:t xml:space="preserve">variations in the sensitivity of the cost of equity to </w:t>
      </w:r>
      <w:r w:rsidRPr="003303F8">
        <w:rPr>
          <w:kern w:val="0"/>
          <w:sz w:val="24"/>
          <w:szCs w:val="24"/>
        </w:rPr>
        <w:t xml:space="preserve">peer firm earnings quality. </w:t>
      </w:r>
      <w:r w:rsidR="00D5694B" w:rsidRPr="003303F8">
        <w:rPr>
          <w:kern w:val="0"/>
          <w:sz w:val="24"/>
          <w:szCs w:val="24"/>
        </w:rPr>
        <w:t xml:space="preserve">Extending the analysis in LLV, I </w:t>
      </w:r>
      <w:r w:rsidR="004E74EB" w:rsidRPr="003303F8">
        <w:rPr>
          <w:kern w:val="0"/>
          <w:sz w:val="24"/>
          <w:szCs w:val="24"/>
        </w:rPr>
        <w:t xml:space="preserve">expect </w:t>
      </w:r>
      <w:r w:rsidR="00BD29DF" w:rsidRPr="003303F8">
        <w:rPr>
          <w:kern w:val="0"/>
          <w:sz w:val="24"/>
          <w:szCs w:val="24"/>
        </w:rPr>
        <w:t>industry peer firms’ higher earnings quality</w:t>
      </w:r>
      <w:r w:rsidR="004E74EB" w:rsidRPr="003303F8">
        <w:rPr>
          <w:kern w:val="0"/>
          <w:sz w:val="24"/>
          <w:szCs w:val="24"/>
        </w:rPr>
        <w:t xml:space="preserve"> </w:t>
      </w:r>
      <w:r w:rsidR="00BD29DF" w:rsidRPr="003303F8">
        <w:rPr>
          <w:kern w:val="0"/>
          <w:sz w:val="24"/>
          <w:szCs w:val="24"/>
        </w:rPr>
        <w:t xml:space="preserve">to reduce a firm’s cost of equity at an increasing </w:t>
      </w:r>
      <w:r w:rsidR="004164C1" w:rsidRPr="003303F8">
        <w:rPr>
          <w:sz w:val="24"/>
          <w:szCs w:val="24"/>
        </w:rPr>
        <w:t>marginal</w:t>
      </w:r>
      <w:r w:rsidR="004164C1" w:rsidRPr="003303F8">
        <w:rPr>
          <w:kern w:val="0"/>
          <w:sz w:val="24"/>
          <w:szCs w:val="24"/>
        </w:rPr>
        <w:t xml:space="preserve"> </w:t>
      </w:r>
      <w:r w:rsidR="00BD29DF" w:rsidRPr="003303F8">
        <w:rPr>
          <w:kern w:val="0"/>
          <w:sz w:val="24"/>
          <w:szCs w:val="24"/>
        </w:rPr>
        <w:t>rate</w:t>
      </w:r>
      <w:r w:rsidR="00860AD2" w:rsidRPr="003303F8">
        <w:rPr>
          <w:kern w:val="0"/>
          <w:sz w:val="24"/>
          <w:szCs w:val="24"/>
        </w:rPr>
        <w:t xml:space="preserve"> (see section 5.1)</w:t>
      </w:r>
      <w:r w:rsidR="00BD29DF" w:rsidRPr="003303F8">
        <w:rPr>
          <w:kern w:val="0"/>
          <w:sz w:val="24"/>
          <w:szCs w:val="24"/>
        </w:rPr>
        <w:t>.</w:t>
      </w:r>
      <w:r w:rsidRPr="003303F8">
        <w:rPr>
          <w:kern w:val="0"/>
          <w:sz w:val="24"/>
          <w:szCs w:val="24"/>
        </w:rPr>
        <w:t xml:space="preserve"> I find </w:t>
      </w:r>
      <w:r w:rsidR="00BD5084" w:rsidRPr="003303F8">
        <w:rPr>
          <w:kern w:val="0"/>
          <w:sz w:val="24"/>
          <w:szCs w:val="24"/>
        </w:rPr>
        <w:t xml:space="preserve">the negative association between </w:t>
      </w:r>
      <w:r w:rsidRPr="003303F8">
        <w:rPr>
          <w:kern w:val="0"/>
          <w:sz w:val="24"/>
          <w:szCs w:val="24"/>
        </w:rPr>
        <w:t xml:space="preserve">cost of equity effects </w:t>
      </w:r>
      <w:r w:rsidR="00BD5084" w:rsidRPr="003303F8">
        <w:rPr>
          <w:kern w:val="0"/>
          <w:sz w:val="24"/>
          <w:szCs w:val="24"/>
        </w:rPr>
        <w:t xml:space="preserve">and </w:t>
      </w:r>
      <w:r w:rsidRPr="003303F8">
        <w:rPr>
          <w:kern w:val="0"/>
          <w:sz w:val="24"/>
          <w:szCs w:val="24"/>
        </w:rPr>
        <w:t xml:space="preserve">peer firm earnings quality </w:t>
      </w:r>
      <w:r w:rsidR="00BD5084" w:rsidRPr="003303F8">
        <w:rPr>
          <w:kern w:val="0"/>
          <w:sz w:val="24"/>
          <w:szCs w:val="24"/>
        </w:rPr>
        <w:t xml:space="preserve">is more pronounced </w:t>
      </w:r>
      <w:r w:rsidRPr="003303F8">
        <w:rPr>
          <w:kern w:val="0"/>
          <w:sz w:val="24"/>
          <w:szCs w:val="24"/>
        </w:rPr>
        <w:t xml:space="preserve">for the </w:t>
      </w:r>
      <w:r w:rsidR="00112A1C" w:rsidRPr="003303F8">
        <w:rPr>
          <w:kern w:val="0"/>
          <w:sz w:val="24"/>
          <w:szCs w:val="24"/>
        </w:rPr>
        <w:t xml:space="preserve">subsample </w:t>
      </w:r>
      <w:r w:rsidRPr="003303F8">
        <w:rPr>
          <w:kern w:val="0"/>
          <w:sz w:val="24"/>
          <w:szCs w:val="24"/>
        </w:rPr>
        <w:t xml:space="preserve">with </w:t>
      </w:r>
      <w:r w:rsidR="00112A1C" w:rsidRPr="003303F8">
        <w:rPr>
          <w:kern w:val="0"/>
          <w:sz w:val="24"/>
          <w:szCs w:val="24"/>
        </w:rPr>
        <w:t xml:space="preserve">relatively </w:t>
      </w:r>
      <w:r w:rsidRPr="003303F8">
        <w:rPr>
          <w:kern w:val="0"/>
          <w:sz w:val="24"/>
          <w:szCs w:val="24"/>
        </w:rPr>
        <w:t>highe</w:t>
      </w:r>
      <w:r w:rsidR="00112A1C" w:rsidRPr="003303F8">
        <w:rPr>
          <w:kern w:val="0"/>
          <w:sz w:val="24"/>
          <w:szCs w:val="24"/>
        </w:rPr>
        <w:t>r</w:t>
      </w:r>
      <w:r w:rsidRPr="003303F8">
        <w:rPr>
          <w:kern w:val="0"/>
          <w:sz w:val="24"/>
          <w:szCs w:val="24"/>
        </w:rPr>
        <w:t xml:space="preserve"> peer firm earnings quality, </w:t>
      </w:r>
      <w:r w:rsidR="00112A1C" w:rsidRPr="003303F8">
        <w:rPr>
          <w:kern w:val="0"/>
          <w:sz w:val="24"/>
          <w:szCs w:val="24"/>
        </w:rPr>
        <w:t xml:space="preserve">consistent with </w:t>
      </w:r>
      <w:r w:rsidR="004164C1" w:rsidRPr="003303F8">
        <w:rPr>
          <w:kern w:val="0"/>
          <w:sz w:val="24"/>
          <w:szCs w:val="24"/>
        </w:rPr>
        <w:t>expectation</w:t>
      </w:r>
      <w:r w:rsidRPr="003303F8">
        <w:rPr>
          <w:kern w:val="0"/>
          <w:sz w:val="24"/>
          <w:szCs w:val="24"/>
        </w:rPr>
        <w:t xml:space="preserve">. </w:t>
      </w:r>
      <w:r w:rsidR="009D701D" w:rsidRPr="003303F8">
        <w:rPr>
          <w:kern w:val="0"/>
          <w:sz w:val="24"/>
          <w:szCs w:val="24"/>
        </w:rPr>
        <w:t xml:space="preserve">Further, the theory </w:t>
      </w:r>
      <w:r w:rsidR="004E74EB" w:rsidRPr="003303F8">
        <w:rPr>
          <w:kern w:val="0"/>
          <w:sz w:val="24"/>
          <w:szCs w:val="24"/>
        </w:rPr>
        <w:t>requires</w:t>
      </w:r>
      <w:r w:rsidR="009D701D" w:rsidRPr="003303F8">
        <w:rPr>
          <w:kern w:val="0"/>
          <w:sz w:val="24"/>
          <w:szCs w:val="24"/>
        </w:rPr>
        <w:t xml:space="preserve"> the cost of equity effect of </w:t>
      </w:r>
      <w:r w:rsidR="009D701D" w:rsidRPr="003303F8">
        <w:rPr>
          <w:rFonts w:hint="eastAsia"/>
          <w:kern w:val="0"/>
          <w:sz w:val="24"/>
          <w:szCs w:val="24"/>
        </w:rPr>
        <w:t>peer firm earnings quality</w:t>
      </w:r>
      <w:r w:rsidR="009D701D" w:rsidRPr="003303F8">
        <w:rPr>
          <w:kern w:val="0"/>
          <w:sz w:val="24"/>
          <w:szCs w:val="24"/>
        </w:rPr>
        <w:t xml:space="preserve"> to be dampened by low unconditional </w:t>
      </w:r>
      <w:proofErr w:type="spellStart"/>
      <w:r w:rsidR="009D701D" w:rsidRPr="003303F8">
        <w:rPr>
          <w:kern w:val="0"/>
          <w:sz w:val="24"/>
          <w:szCs w:val="24"/>
        </w:rPr>
        <w:t>covariances</w:t>
      </w:r>
      <w:proofErr w:type="spellEnd"/>
      <w:r w:rsidR="009D701D" w:rsidRPr="003303F8">
        <w:rPr>
          <w:kern w:val="0"/>
          <w:sz w:val="24"/>
          <w:szCs w:val="24"/>
        </w:rPr>
        <w:t>. S</w:t>
      </w:r>
      <w:r w:rsidR="00112A1C" w:rsidRPr="003303F8">
        <w:rPr>
          <w:kern w:val="0"/>
          <w:sz w:val="24"/>
          <w:szCs w:val="24"/>
        </w:rPr>
        <w:t xml:space="preserve">upporting </w:t>
      </w:r>
      <w:r w:rsidR="00BD29DF" w:rsidRPr="003303F8">
        <w:rPr>
          <w:kern w:val="0"/>
          <w:sz w:val="24"/>
          <w:szCs w:val="24"/>
        </w:rPr>
        <w:t xml:space="preserve">the </w:t>
      </w:r>
      <w:r w:rsidR="00A242E6" w:rsidRPr="003303F8">
        <w:rPr>
          <w:kern w:val="0"/>
          <w:sz w:val="24"/>
          <w:szCs w:val="24"/>
        </w:rPr>
        <w:t>theory</w:t>
      </w:r>
      <w:r w:rsidR="00BD29DF" w:rsidRPr="003303F8">
        <w:rPr>
          <w:kern w:val="0"/>
          <w:sz w:val="24"/>
          <w:szCs w:val="24"/>
        </w:rPr>
        <w:t xml:space="preserve">, the cost of equity effects of peer firm earnings quality </w:t>
      </w:r>
      <w:r w:rsidR="00112A1C" w:rsidRPr="003303F8">
        <w:rPr>
          <w:kern w:val="0"/>
          <w:sz w:val="24"/>
          <w:szCs w:val="24"/>
        </w:rPr>
        <w:t>are</w:t>
      </w:r>
      <w:r w:rsidR="00BD29DF" w:rsidRPr="003303F8">
        <w:rPr>
          <w:kern w:val="0"/>
          <w:sz w:val="24"/>
          <w:szCs w:val="24"/>
        </w:rPr>
        <w:t xml:space="preserve"> </w:t>
      </w:r>
      <w:r w:rsidR="00112A1C" w:rsidRPr="003303F8">
        <w:rPr>
          <w:kern w:val="0"/>
          <w:sz w:val="24"/>
          <w:szCs w:val="24"/>
        </w:rPr>
        <w:t xml:space="preserve">mitigated </w:t>
      </w:r>
      <w:r w:rsidR="00BD29DF" w:rsidRPr="003303F8">
        <w:rPr>
          <w:kern w:val="0"/>
          <w:sz w:val="24"/>
          <w:szCs w:val="24"/>
        </w:rPr>
        <w:t xml:space="preserve">for multinational firms which are geographically </w:t>
      </w:r>
      <w:r w:rsidR="00BD29DF" w:rsidRPr="003303F8">
        <w:rPr>
          <w:kern w:val="0"/>
          <w:sz w:val="24"/>
          <w:szCs w:val="24"/>
        </w:rPr>
        <w:lastRenderedPageBreak/>
        <w:t>diversified</w:t>
      </w:r>
      <w:r w:rsidR="006535C9" w:rsidRPr="003303F8">
        <w:rPr>
          <w:kern w:val="0"/>
          <w:sz w:val="24"/>
          <w:szCs w:val="24"/>
        </w:rPr>
        <w:t xml:space="preserve"> and </w:t>
      </w:r>
      <w:r w:rsidR="00CF0C16" w:rsidRPr="003303F8">
        <w:rPr>
          <w:kern w:val="0"/>
          <w:sz w:val="24"/>
          <w:szCs w:val="24"/>
        </w:rPr>
        <w:t xml:space="preserve">firms </w:t>
      </w:r>
      <w:r w:rsidR="008A04E4" w:rsidRPr="003303F8">
        <w:rPr>
          <w:kern w:val="0"/>
          <w:sz w:val="24"/>
          <w:szCs w:val="24"/>
        </w:rPr>
        <w:t>with higher</w:t>
      </w:r>
      <w:r w:rsidR="00BD29DF" w:rsidRPr="003303F8">
        <w:rPr>
          <w:kern w:val="0"/>
          <w:sz w:val="24"/>
          <w:szCs w:val="24"/>
        </w:rPr>
        <w:t xml:space="preserve"> </w:t>
      </w:r>
      <w:r w:rsidR="008A04E4" w:rsidRPr="003303F8">
        <w:rPr>
          <w:kern w:val="0"/>
          <w:sz w:val="24"/>
          <w:szCs w:val="24"/>
        </w:rPr>
        <w:t xml:space="preserve">profitability </w:t>
      </w:r>
      <w:r w:rsidR="00C82471" w:rsidRPr="003303F8">
        <w:rPr>
          <w:kern w:val="0"/>
          <w:sz w:val="24"/>
          <w:szCs w:val="24"/>
        </w:rPr>
        <w:t>relative to industry peers (see section 5.2 for details)</w:t>
      </w:r>
      <w:r w:rsidR="00CF0C16" w:rsidRPr="003303F8">
        <w:rPr>
          <w:kern w:val="0"/>
          <w:sz w:val="24"/>
          <w:szCs w:val="24"/>
        </w:rPr>
        <w:t>. These</w:t>
      </w:r>
      <w:r w:rsidR="00BD29DF" w:rsidRPr="003303F8">
        <w:rPr>
          <w:kern w:val="0"/>
          <w:sz w:val="24"/>
          <w:szCs w:val="24"/>
        </w:rPr>
        <w:t xml:space="preserve"> firms </w:t>
      </w:r>
      <w:r w:rsidR="00CF0C16" w:rsidRPr="003303F8">
        <w:rPr>
          <w:kern w:val="0"/>
          <w:sz w:val="24"/>
          <w:szCs w:val="24"/>
        </w:rPr>
        <w:t xml:space="preserve">have </w:t>
      </w:r>
      <w:r w:rsidR="00BD29DF" w:rsidRPr="003303F8">
        <w:rPr>
          <w:kern w:val="0"/>
          <w:sz w:val="24"/>
          <w:szCs w:val="24"/>
        </w:rPr>
        <w:t xml:space="preserve">returns </w:t>
      </w:r>
      <w:r w:rsidR="00CF0C16" w:rsidRPr="003303F8">
        <w:rPr>
          <w:kern w:val="0"/>
          <w:sz w:val="24"/>
          <w:szCs w:val="24"/>
        </w:rPr>
        <w:t xml:space="preserve">that </w:t>
      </w:r>
      <w:r w:rsidR="00BD29DF" w:rsidRPr="003303F8">
        <w:rPr>
          <w:kern w:val="0"/>
          <w:sz w:val="24"/>
          <w:szCs w:val="24"/>
        </w:rPr>
        <w:t xml:space="preserve">are </w:t>
      </w:r>
      <w:r w:rsidR="00CF0C16" w:rsidRPr="003303F8">
        <w:rPr>
          <w:kern w:val="0"/>
          <w:sz w:val="24"/>
          <w:szCs w:val="24"/>
        </w:rPr>
        <w:t xml:space="preserve">expected to be </w:t>
      </w:r>
      <w:r w:rsidR="00C82471" w:rsidRPr="003303F8">
        <w:rPr>
          <w:kern w:val="0"/>
          <w:sz w:val="24"/>
          <w:szCs w:val="24"/>
        </w:rPr>
        <w:t xml:space="preserve">unconditionally </w:t>
      </w:r>
      <w:r w:rsidR="00BD29DF" w:rsidRPr="003303F8">
        <w:rPr>
          <w:kern w:val="0"/>
          <w:sz w:val="24"/>
          <w:szCs w:val="24"/>
        </w:rPr>
        <w:t xml:space="preserve">less sensitive to </w:t>
      </w:r>
      <w:r w:rsidR="004E74EB" w:rsidRPr="003303F8">
        <w:rPr>
          <w:kern w:val="0"/>
          <w:sz w:val="24"/>
          <w:szCs w:val="24"/>
        </w:rPr>
        <w:t>market/</w:t>
      </w:r>
      <w:r w:rsidR="00BD29DF" w:rsidRPr="003303F8">
        <w:rPr>
          <w:kern w:val="0"/>
          <w:sz w:val="24"/>
          <w:szCs w:val="24"/>
        </w:rPr>
        <w:t>industry-level news (</w:t>
      </w:r>
      <w:r w:rsidR="009921E4" w:rsidRPr="003303F8">
        <w:rPr>
          <w:kern w:val="0"/>
          <w:sz w:val="24"/>
          <w:szCs w:val="24"/>
        </w:rPr>
        <w:t xml:space="preserve">e.g., </w:t>
      </w:r>
      <w:proofErr w:type="spellStart"/>
      <w:r w:rsidR="00BD29DF" w:rsidRPr="003303F8">
        <w:rPr>
          <w:rFonts w:hint="eastAsia"/>
          <w:kern w:val="0"/>
          <w:sz w:val="24"/>
          <w:szCs w:val="24"/>
        </w:rPr>
        <w:t>Hao</w:t>
      </w:r>
      <w:proofErr w:type="spellEnd"/>
      <w:r w:rsidR="00BD29DF" w:rsidRPr="003303F8">
        <w:rPr>
          <w:rFonts w:hint="eastAsia"/>
          <w:kern w:val="0"/>
          <w:sz w:val="24"/>
          <w:szCs w:val="24"/>
        </w:rPr>
        <w:t xml:space="preserve"> et al. </w:t>
      </w:r>
      <w:r w:rsidR="00BD29DF" w:rsidRPr="003303F8">
        <w:rPr>
          <w:kern w:val="0"/>
          <w:sz w:val="24"/>
          <w:szCs w:val="24"/>
        </w:rPr>
        <w:t>[</w:t>
      </w:r>
      <w:r w:rsidR="00BD29DF" w:rsidRPr="003303F8">
        <w:rPr>
          <w:rFonts w:hint="eastAsia"/>
          <w:kern w:val="0"/>
          <w:sz w:val="24"/>
          <w:szCs w:val="24"/>
        </w:rPr>
        <w:t>2011</w:t>
      </w:r>
      <w:r w:rsidR="00BD29DF" w:rsidRPr="003303F8">
        <w:rPr>
          <w:kern w:val="0"/>
          <w:sz w:val="24"/>
          <w:szCs w:val="24"/>
        </w:rPr>
        <w:t xml:space="preserve">]). </w:t>
      </w:r>
    </w:p>
    <w:p w:rsidR="00C174EA" w:rsidRPr="003303F8" w:rsidRDefault="00A6008D" w:rsidP="00A06C30">
      <w:pPr>
        <w:widowControl/>
        <w:overflowPunct/>
        <w:autoSpaceDE/>
        <w:autoSpaceDN/>
        <w:adjustRightInd/>
        <w:spacing w:line="480" w:lineRule="auto"/>
        <w:ind w:firstLine="720"/>
        <w:rPr>
          <w:kern w:val="0"/>
          <w:sz w:val="24"/>
          <w:szCs w:val="24"/>
        </w:rPr>
      </w:pPr>
      <w:r w:rsidRPr="003303F8">
        <w:rPr>
          <w:kern w:val="0"/>
          <w:sz w:val="24"/>
          <w:szCs w:val="24"/>
        </w:rPr>
        <w:t xml:space="preserve">Noting </w:t>
      </w:r>
      <w:r w:rsidR="00CF5460" w:rsidRPr="003303F8">
        <w:rPr>
          <w:kern w:val="0"/>
          <w:sz w:val="24"/>
          <w:szCs w:val="24"/>
        </w:rPr>
        <w:t xml:space="preserve">variations in the cost of equity effects of peer firm earnings quality </w:t>
      </w:r>
      <w:r w:rsidR="00A06C30" w:rsidRPr="003303F8">
        <w:rPr>
          <w:kern w:val="0"/>
          <w:sz w:val="24"/>
          <w:szCs w:val="24"/>
        </w:rPr>
        <w:t xml:space="preserve">is important </w:t>
      </w:r>
      <w:r w:rsidR="00325AAF" w:rsidRPr="003303F8">
        <w:rPr>
          <w:kern w:val="0"/>
          <w:sz w:val="24"/>
          <w:szCs w:val="24"/>
        </w:rPr>
        <w:t xml:space="preserve">for at least two reasons. First, </w:t>
      </w:r>
      <w:r w:rsidR="00A06C30" w:rsidRPr="003303F8">
        <w:rPr>
          <w:kern w:val="0"/>
          <w:sz w:val="24"/>
          <w:szCs w:val="24"/>
        </w:rPr>
        <w:t>from a theoretical perspective</w:t>
      </w:r>
      <w:r w:rsidR="00325AAF" w:rsidRPr="003303F8">
        <w:rPr>
          <w:kern w:val="0"/>
          <w:sz w:val="24"/>
          <w:szCs w:val="24"/>
        </w:rPr>
        <w:t>, it</w:t>
      </w:r>
      <w:r w:rsidR="00A06C30" w:rsidRPr="003303F8">
        <w:rPr>
          <w:kern w:val="0"/>
          <w:sz w:val="24"/>
          <w:szCs w:val="24"/>
        </w:rPr>
        <w:t xml:space="preserve"> </w:t>
      </w:r>
      <w:r w:rsidR="00325AAF" w:rsidRPr="003303F8">
        <w:rPr>
          <w:kern w:val="0"/>
          <w:sz w:val="24"/>
          <w:szCs w:val="24"/>
        </w:rPr>
        <w:t>helps us</w:t>
      </w:r>
      <w:r w:rsidR="00325AAF" w:rsidRPr="003303F8">
        <w:rPr>
          <w:color w:val="000000"/>
          <w:kern w:val="0"/>
          <w:sz w:val="24"/>
          <w:szCs w:val="24"/>
        </w:rPr>
        <w:t xml:space="preserve"> </w:t>
      </w:r>
      <w:r w:rsidR="00A06C30" w:rsidRPr="003303F8">
        <w:rPr>
          <w:color w:val="000000"/>
          <w:kern w:val="0"/>
          <w:sz w:val="24"/>
          <w:szCs w:val="24"/>
        </w:rPr>
        <w:t>explain</w:t>
      </w:r>
      <w:r w:rsidR="00325AAF" w:rsidRPr="003303F8">
        <w:rPr>
          <w:color w:val="000000"/>
          <w:kern w:val="0"/>
          <w:sz w:val="24"/>
          <w:szCs w:val="24"/>
        </w:rPr>
        <w:t xml:space="preserve"> and </w:t>
      </w:r>
      <w:r w:rsidR="00A06C30" w:rsidRPr="003303F8">
        <w:rPr>
          <w:color w:val="000000"/>
          <w:kern w:val="0"/>
          <w:sz w:val="24"/>
          <w:szCs w:val="24"/>
        </w:rPr>
        <w:t xml:space="preserve">predict </w:t>
      </w:r>
      <w:r w:rsidR="00A06C30" w:rsidRPr="003303F8">
        <w:rPr>
          <w:kern w:val="0"/>
          <w:sz w:val="24"/>
          <w:szCs w:val="24"/>
        </w:rPr>
        <w:t>investor</w:t>
      </w:r>
      <w:r w:rsidR="00CF5460" w:rsidRPr="003303F8">
        <w:rPr>
          <w:kern w:val="0"/>
          <w:sz w:val="24"/>
          <w:szCs w:val="24"/>
        </w:rPr>
        <w:t xml:space="preserve"> and stock price</w:t>
      </w:r>
      <w:r w:rsidR="00A06C30" w:rsidRPr="003303F8">
        <w:rPr>
          <w:kern w:val="0"/>
          <w:sz w:val="24"/>
          <w:szCs w:val="24"/>
        </w:rPr>
        <w:t xml:space="preserve"> behavior</w:t>
      </w:r>
      <w:r w:rsidR="00325AAF" w:rsidRPr="003303F8">
        <w:rPr>
          <w:kern w:val="0"/>
          <w:sz w:val="24"/>
          <w:szCs w:val="24"/>
        </w:rPr>
        <w:t>. Second,</w:t>
      </w:r>
      <w:r w:rsidR="00A06C30" w:rsidRPr="003303F8">
        <w:rPr>
          <w:kern w:val="0"/>
          <w:sz w:val="24"/>
          <w:szCs w:val="24"/>
        </w:rPr>
        <w:t xml:space="preserve"> from the research design perspective,</w:t>
      </w:r>
      <w:r w:rsidR="00A06C30" w:rsidRPr="003303F8">
        <w:rPr>
          <w:rFonts w:hint="eastAsia"/>
          <w:kern w:val="0"/>
          <w:sz w:val="24"/>
          <w:szCs w:val="24"/>
        </w:rPr>
        <w:t xml:space="preserve"> </w:t>
      </w:r>
      <w:r w:rsidR="00A06C30" w:rsidRPr="003303F8">
        <w:rPr>
          <w:kern w:val="0"/>
          <w:sz w:val="24"/>
          <w:szCs w:val="24"/>
        </w:rPr>
        <w:t xml:space="preserve">it </w:t>
      </w:r>
      <w:r w:rsidR="00A06C30" w:rsidRPr="003303F8">
        <w:rPr>
          <w:rFonts w:hint="eastAsia"/>
          <w:kern w:val="0"/>
          <w:sz w:val="24"/>
          <w:szCs w:val="24"/>
        </w:rPr>
        <w:t>enhances the internal validity of my study</w:t>
      </w:r>
      <w:r w:rsidR="00A06C30" w:rsidRPr="003303F8">
        <w:rPr>
          <w:kern w:val="0"/>
          <w:sz w:val="24"/>
          <w:szCs w:val="24"/>
        </w:rPr>
        <w:t xml:space="preserve"> and alleviates concerns about potential omitted variables (see </w:t>
      </w:r>
      <w:proofErr w:type="spellStart"/>
      <w:r w:rsidR="00A06C30" w:rsidRPr="003303F8">
        <w:rPr>
          <w:kern w:val="0"/>
          <w:sz w:val="24"/>
          <w:szCs w:val="24"/>
        </w:rPr>
        <w:t>Rajan</w:t>
      </w:r>
      <w:proofErr w:type="spellEnd"/>
      <w:r w:rsidR="00A06C30" w:rsidRPr="003303F8">
        <w:rPr>
          <w:kern w:val="0"/>
          <w:sz w:val="24"/>
          <w:szCs w:val="24"/>
        </w:rPr>
        <w:t xml:space="preserve"> and </w:t>
      </w:r>
      <w:proofErr w:type="spellStart"/>
      <w:r w:rsidR="00A06C30" w:rsidRPr="003303F8">
        <w:rPr>
          <w:kern w:val="0"/>
          <w:sz w:val="24"/>
          <w:szCs w:val="24"/>
        </w:rPr>
        <w:t>Zingales</w:t>
      </w:r>
      <w:proofErr w:type="spellEnd"/>
      <w:r w:rsidR="00A06C30" w:rsidRPr="003303F8">
        <w:rPr>
          <w:kern w:val="0"/>
          <w:sz w:val="24"/>
          <w:szCs w:val="24"/>
        </w:rPr>
        <w:t xml:space="preserve"> [1998]; Lang and </w:t>
      </w:r>
      <w:proofErr w:type="spellStart"/>
      <w:r w:rsidR="00A06C30" w:rsidRPr="003303F8">
        <w:rPr>
          <w:kern w:val="0"/>
          <w:sz w:val="24"/>
          <w:szCs w:val="24"/>
        </w:rPr>
        <w:t>Maffett</w:t>
      </w:r>
      <w:proofErr w:type="spellEnd"/>
      <w:r w:rsidR="00A06C30" w:rsidRPr="003303F8">
        <w:rPr>
          <w:kern w:val="0"/>
          <w:sz w:val="24"/>
          <w:szCs w:val="24"/>
        </w:rPr>
        <w:t xml:space="preserve"> [2010])</w:t>
      </w:r>
      <w:r w:rsidR="00A06C30" w:rsidRPr="003303F8">
        <w:rPr>
          <w:rFonts w:hint="eastAsia"/>
          <w:kern w:val="0"/>
          <w:sz w:val="24"/>
          <w:szCs w:val="24"/>
        </w:rPr>
        <w:t xml:space="preserve">.  </w:t>
      </w:r>
      <w:r w:rsidR="00A06C30" w:rsidRPr="003303F8">
        <w:rPr>
          <w:kern w:val="0"/>
          <w:sz w:val="24"/>
          <w:szCs w:val="24"/>
        </w:rPr>
        <w:t xml:space="preserve">For example, </w:t>
      </w:r>
      <w:r w:rsidR="00A06C30" w:rsidRPr="003303F8">
        <w:rPr>
          <w:rFonts w:eastAsia="Times"/>
          <w:kern w:val="0"/>
          <w:sz w:val="24"/>
          <w:szCs w:val="24"/>
          <w:lang w:eastAsia="en-US"/>
        </w:rPr>
        <w:t xml:space="preserve">Easley and O’Hara (2004) may argue that </w:t>
      </w:r>
      <w:r w:rsidR="00A06C30" w:rsidRPr="003303F8">
        <w:rPr>
          <w:kern w:val="0"/>
          <w:sz w:val="24"/>
          <w:szCs w:val="24"/>
        </w:rPr>
        <w:t xml:space="preserve">peer firms’ high earnings quality could also possibly reduce </w:t>
      </w:r>
      <w:r w:rsidR="00A06C30" w:rsidRPr="003303F8">
        <w:rPr>
          <w:rFonts w:eastAsia="Times"/>
          <w:kern w:val="0"/>
          <w:sz w:val="24"/>
          <w:szCs w:val="24"/>
          <w:lang w:eastAsia="en-US"/>
        </w:rPr>
        <w:t>a firm’s cost of capital by decreasing information asymmetry among investors rather than the assessed</w:t>
      </w:r>
      <w:r w:rsidR="00A06C30" w:rsidRPr="003303F8">
        <w:rPr>
          <w:rFonts w:eastAsia="Times"/>
          <w:i/>
          <w:kern w:val="0"/>
          <w:sz w:val="24"/>
          <w:szCs w:val="24"/>
          <w:lang w:eastAsia="en-US"/>
        </w:rPr>
        <w:t xml:space="preserve"> </w:t>
      </w:r>
      <w:proofErr w:type="spellStart"/>
      <w:r w:rsidR="00A06C30" w:rsidRPr="003303F8">
        <w:rPr>
          <w:rFonts w:eastAsia="Times"/>
          <w:kern w:val="0"/>
          <w:sz w:val="24"/>
          <w:szCs w:val="24"/>
          <w:lang w:eastAsia="en-US"/>
        </w:rPr>
        <w:t>covariances</w:t>
      </w:r>
      <w:proofErr w:type="spellEnd"/>
      <w:r w:rsidR="00A06C30" w:rsidRPr="003303F8">
        <w:rPr>
          <w:rFonts w:eastAsia="Times"/>
          <w:kern w:val="0"/>
          <w:sz w:val="24"/>
          <w:szCs w:val="24"/>
          <w:lang w:eastAsia="en-US"/>
        </w:rPr>
        <w:t>. However, those other models (e.g., Easley and O’Hara [2004]) generally have no predictions</w:t>
      </w:r>
      <w:r w:rsidR="00D55DDF" w:rsidRPr="003303F8">
        <w:rPr>
          <w:rFonts w:eastAsia="Times"/>
          <w:kern w:val="0"/>
          <w:sz w:val="24"/>
          <w:szCs w:val="24"/>
          <w:lang w:eastAsia="en-US"/>
        </w:rPr>
        <w:t xml:space="preserve"> consistent with</w:t>
      </w:r>
      <w:r w:rsidR="00D55DDF" w:rsidRPr="003303F8">
        <w:rPr>
          <w:kern w:val="0"/>
          <w:sz w:val="24"/>
          <w:szCs w:val="24"/>
        </w:rPr>
        <w:t xml:space="preserve"> the </w:t>
      </w:r>
      <w:r w:rsidRPr="003303F8">
        <w:rPr>
          <w:kern w:val="0"/>
          <w:sz w:val="24"/>
          <w:szCs w:val="24"/>
        </w:rPr>
        <w:t>increasing</w:t>
      </w:r>
      <w:r w:rsidR="00D55DDF" w:rsidRPr="003303F8">
        <w:rPr>
          <w:kern w:val="0"/>
          <w:sz w:val="24"/>
          <w:szCs w:val="24"/>
        </w:rPr>
        <w:t xml:space="preserve"> effect</w:t>
      </w:r>
      <w:r w:rsidRPr="003303F8">
        <w:rPr>
          <w:kern w:val="0"/>
          <w:sz w:val="24"/>
          <w:szCs w:val="24"/>
        </w:rPr>
        <w:t xml:space="preserve"> or the moderating role of multinational operation</w:t>
      </w:r>
      <w:r w:rsidR="00CF0C16" w:rsidRPr="003303F8">
        <w:rPr>
          <w:kern w:val="0"/>
          <w:sz w:val="24"/>
          <w:szCs w:val="24"/>
        </w:rPr>
        <w:t>s</w:t>
      </w:r>
      <w:r w:rsidR="00A06C30" w:rsidRPr="003303F8">
        <w:rPr>
          <w:rFonts w:eastAsia="Times"/>
          <w:kern w:val="0"/>
          <w:sz w:val="24"/>
          <w:szCs w:val="24"/>
          <w:lang w:eastAsia="en-US"/>
        </w:rPr>
        <w:t>.</w:t>
      </w:r>
      <w:r w:rsidR="00A06C30" w:rsidRPr="003303F8">
        <w:rPr>
          <w:rStyle w:val="FootnoteReference"/>
          <w:rFonts w:eastAsia="Times"/>
          <w:kern w:val="0"/>
          <w:sz w:val="24"/>
          <w:szCs w:val="24"/>
          <w:lang w:eastAsia="en-US"/>
        </w:rPr>
        <w:footnoteReference w:id="5"/>
      </w:r>
      <w:r w:rsidR="00204CAA" w:rsidRPr="003303F8">
        <w:rPr>
          <w:rFonts w:eastAsia="Times"/>
          <w:kern w:val="0"/>
          <w:sz w:val="24"/>
          <w:szCs w:val="24"/>
          <w:vertAlign w:val="superscript"/>
          <w:lang w:eastAsia="en-US"/>
        </w:rPr>
        <w:t xml:space="preserve"> </w:t>
      </w:r>
      <w:r w:rsidR="00A06C30" w:rsidRPr="003303F8">
        <w:rPr>
          <w:rFonts w:eastAsia="Times"/>
          <w:kern w:val="0"/>
          <w:sz w:val="24"/>
          <w:szCs w:val="24"/>
          <w:lang w:eastAsia="en-US"/>
        </w:rPr>
        <w:t xml:space="preserve">Therefore, </w:t>
      </w:r>
      <w:r w:rsidRPr="003303F8">
        <w:rPr>
          <w:rFonts w:eastAsia="Times"/>
          <w:kern w:val="0"/>
          <w:sz w:val="24"/>
          <w:szCs w:val="24"/>
          <w:lang w:eastAsia="en-US"/>
        </w:rPr>
        <w:t>testing</w:t>
      </w:r>
      <w:r w:rsidR="00A06C30" w:rsidRPr="003303F8">
        <w:rPr>
          <w:rFonts w:eastAsia="Times"/>
          <w:kern w:val="0"/>
          <w:sz w:val="24"/>
          <w:szCs w:val="24"/>
          <w:lang w:eastAsia="en-US"/>
        </w:rPr>
        <w:t xml:space="preserve"> </w:t>
      </w:r>
      <w:r w:rsidR="00A06C30" w:rsidRPr="003303F8">
        <w:rPr>
          <w:rFonts w:hint="eastAsia"/>
          <w:kern w:val="0"/>
          <w:sz w:val="24"/>
          <w:szCs w:val="24"/>
        </w:rPr>
        <w:t>th</w:t>
      </w:r>
      <w:r w:rsidR="00A06C30" w:rsidRPr="003303F8">
        <w:rPr>
          <w:kern w:val="0"/>
          <w:sz w:val="24"/>
          <w:szCs w:val="24"/>
        </w:rPr>
        <w:t>e</w:t>
      </w:r>
      <w:r w:rsidR="002E191A" w:rsidRPr="003303F8">
        <w:rPr>
          <w:kern w:val="0"/>
          <w:sz w:val="24"/>
          <w:szCs w:val="24"/>
        </w:rPr>
        <w:t>ses</w:t>
      </w:r>
      <w:r w:rsidR="00A06C30" w:rsidRPr="003303F8">
        <w:rPr>
          <w:kern w:val="0"/>
          <w:sz w:val="24"/>
          <w:szCs w:val="24"/>
        </w:rPr>
        <w:t xml:space="preserve"> </w:t>
      </w:r>
      <w:r w:rsidR="002E191A" w:rsidRPr="003303F8">
        <w:rPr>
          <w:kern w:val="0"/>
          <w:sz w:val="24"/>
          <w:szCs w:val="24"/>
        </w:rPr>
        <w:t>variations</w:t>
      </w:r>
      <w:r w:rsidR="002E191A" w:rsidRPr="003303F8" w:rsidDel="002E191A">
        <w:rPr>
          <w:rFonts w:eastAsia="Times"/>
          <w:kern w:val="0"/>
          <w:sz w:val="24"/>
          <w:szCs w:val="24"/>
          <w:lang w:eastAsia="en-US"/>
        </w:rPr>
        <w:t xml:space="preserve"> </w:t>
      </w:r>
      <w:r w:rsidR="00A06C30" w:rsidRPr="003303F8">
        <w:rPr>
          <w:kern w:val="0"/>
          <w:sz w:val="24"/>
          <w:szCs w:val="24"/>
        </w:rPr>
        <w:t xml:space="preserve">could </w:t>
      </w:r>
      <w:r w:rsidR="00D55DDF" w:rsidRPr="003303F8">
        <w:rPr>
          <w:kern w:val="0"/>
          <w:sz w:val="24"/>
          <w:szCs w:val="24"/>
        </w:rPr>
        <w:t xml:space="preserve">also </w:t>
      </w:r>
      <w:r w:rsidR="00A06C30" w:rsidRPr="003303F8">
        <w:rPr>
          <w:rFonts w:hint="eastAsia"/>
          <w:kern w:val="0"/>
          <w:sz w:val="24"/>
          <w:szCs w:val="24"/>
        </w:rPr>
        <w:t>large</w:t>
      </w:r>
      <w:r w:rsidR="00A06C30" w:rsidRPr="003303F8">
        <w:rPr>
          <w:kern w:val="0"/>
          <w:sz w:val="24"/>
          <w:szCs w:val="24"/>
        </w:rPr>
        <w:t>ly</w:t>
      </w:r>
      <w:r w:rsidR="00A06C30" w:rsidRPr="003303F8">
        <w:rPr>
          <w:rFonts w:hint="eastAsia"/>
          <w:kern w:val="0"/>
          <w:sz w:val="24"/>
          <w:szCs w:val="24"/>
        </w:rPr>
        <w:t xml:space="preserve"> exclude </w:t>
      </w:r>
      <w:r w:rsidR="00A06C30" w:rsidRPr="003303F8">
        <w:rPr>
          <w:kern w:val="0"/>
          <w:sz w:val="24"/>
          <w:szCs w:val="24"/>
        </w:rPr>
        <w:t>other explanations</w:t>
      </w:r>
      <w:r w:rsidR="00A06C30" w:rsidRPr="003303F8">
        <w:rPr>
          <w:rFonts w:hint="eastAsia"/>
          <w:kern w:val="0"/>
          <w:sz w:val="24"/>
          <w:szCs w:val="24"/>
        </w:rPr>
        <w:t xml:space="preserve"> alternative to </w:t>
      </w:r>
      <w:r w:rsidR="00A06C30" w:rsidRPr="003303F8">
        <w:rPr>
          <w:rFonts w:eastAsia="Times"/>
          <w:kern w:val="0"/>
          <w:sz w:val="24"/>
          <w:szCs w:val="24"/>
          <w:lang w:eastAsia="en-US"/>
        </w:rPr>
        <w:t>LLV</w:t>
      </w:r>
      <w:r w:rsidR="00A06C30" w:rsidRPr="003303F8">
        <w:rPr>
          <w:kern w:val="0"/>
          <w:sz w:val="24"/>
          <w:szCs w:val="24"/>
        </w:rPr>
        <w:t>.</w:t>
      </w:r>
    </w:p>
    <w:p w:rsidR="00C174EA" w:rsidRPr="003303F8" w:rsidRDefault="00C174EA" w:rsidP="00C174EA">
      <w:pPr>
        <w:widowControl/>
        <w:overflowPunct/>
        <w:autoSpaceDE/>
        <w:autoSpaceDN/>
        <w:adjustRightInd/>
        <w:spacing w:line="480" w:lineRule="auto"/>
        <w:ind w:firstLine="720"/>
        <w:rPr>
          <w:kern w:val="0"/>
          <w:sz w:val="24"/>
          <w:szCs w:val="24"/>
        </w:rPr>
      </w:pPr>
      <w:r w:rsidRPr="003303F8">
        <w:rPr>
          <w:kern w:val="0"/>
          <w:sz w:val="24"/>
          <w:szCs w:val="24"/>
        </w:rPr>
        <w:t xml:space="preserve">Overall, I summarize the findings above as peer firm earnings quality having significant cost of equity effects that are consistent with a current theoretical framework (LLV) in which information quality affects </w:t>
      </w:r>
      <w:r w:rsidR="00A6008D" w:rsidRPr="003303F8">
        <w:rPr>
          <w:kern w:val="0"/>
          <w:sz w:val="24"/>
          <w:szCs w:val="24"/>
        </w:rPr>
        <w:t xml:space="preserve">investors </w:t>
      </w:r>
      <w:r w:rsidR="00D31285" w:rsidRPr="003303F8">
        <w:rPr>
          <w:kern w:val="0"/>
          <w:sz w:val="24"/>
          <w:szCs w:val="24"/>
        </w:rPr>
        <w:t>assessed</w:t>
      </w:r>
      <w:r w:rsidR="00A6008D" w:rsidRPr="003303F8">
        <w:rPr>
          <w:kern w:val="0"/>
          <w:sz w:val="24"/>
          <w:szCs w:val="24"/>
        </w:rPr>
        <w:t xml:space="preserve"> covariance of the firm’s cash flows with that of other firms.</w:t>
      </w:r>
    </w:p>
    <w:p w:rsidR="00C174EA" w:rsidRPr="003303F8" w:rsidRDefault="00C174EA" w:rsidP="00C174EA">
      <w:pPr>
        <w:widowControl/>
        <w:overflowPunct/>
        <w:autoSpaceDE/>
        <w:autoSpaceDN/>
        <w:adjustRightInd/>
        <w:spacing w:line="480" w:lineRule="auto"/>
        <w:ind w:firstLine="720"/>
        <w:rPr>
          <w:color w:val="000000"/>
          <w:kern w:val="0"/>
          <w:sz w:val="24"/>
          <w:szCs w:val="24"/>
        </w:rPr>
      </w:pPr>
      <w:r w:rsidRPr="003303F8">
        <w:rPr>
          <w:rFonts w:eastAsia="Times"/>
          <w:kern w:val="0"/>
          <w:sz w:val="24"/>
          <w:szCs w:val="24"/>
          <w:lang w:eastAsia="en-US"/>
        </w:rPr>
        <w:t xml:space="preserve">This study’s motivations and contributions can be summarized in the following </w:t>
      </w:r>
      <w:r w:rsidR="00917F3C" w:rsidRPr="003303F8">
        <w:rPr>
          <w:rFonts w:eastAsia="Times"/>
          <w:kern w:val="0"/>
          <w:sz w:val="24"/>
          <w:szCs w:val="24"/>
          <w:lang w:eastAsia="en-US"/>
        </w:rPr>
        <w:t>three</w:t>
      </w:r>
      <w:r w:rsidRPr="003303F8">
        <w:rPr>
          <w:rFonts w:eastAsia="Times"/>
          <w:kern w:val="0"/>
          <w:sz w:val="24"/>
          <w:szCs w:val="24"/>
          <w:lang w:eastAsia="en-US"/>
        </w:rPr>
        <w:t xml:space="preserve"> major perspectives.</w:t>
      </w:r>
      <w:r w:rsidRPr="003303F8">
        <w:rPr>
          <w:rFonts w:hint="eastAsia"/>
          <w:kern w:val="0"/>
          <w:sz w:val="24"/>
          <w:szCs w:val="24"/>
        </w:rPr>
        <w:t xml:space="preserve"> The </w:t>
      </w:r>
      <w:r w:rsidRPr="003303F8">
        <w:rPr>
          <w:kern w:val="0"/>
          <w:sz w:val="24"/>
          <w:szCs w:val="24"/>
        </w:rPr>
        <w:t>first</w:t>
      </w:r>
      <w:r w:rsidRPr="003303F8">
        <w:rPr>
          <w:rFonts w:hint="eastAsia"/>
          <w:kern w:val="0"/>
          <w:sz w:val="24"/>
          <w:szCs w:val="24"/>
        </w:rPr>
        <w:t xml:space="preserve"> motivation</w:t>
      </w:r>
      <w:r w:rsidRPr="003303F8">
        <w:rPr>
          <w:kern w:val="0"/>
          <w:sz w:val="24"/>
          <w:szCs w:val="24"/>
        </w:rPr>
        <w:t xml:space="preserve"> for </w:t>
      </w:r>
      <w:r w:rsidRPr="003303F8">
        <w:rPr>
          <w:rFonts w:eastAsia="Times"/>
          <w:kern w:val="0"/>
          <w:sz w:val="24"/>
          <w:szCs w:val="24"/>
          <w:lang w:eastAsia="en-US"/>
        </w:rPr>
        <w:t>my study</w:t>
      </w:r>
      <w:r w:rsidRPr="003303F8">
        <w:rPr>
          <w:rFonts w:hint="eastAsia"/>
          <w:kern w:val="0"/>
          <w:sz w:val="24"/>
          <w:szCs w:val="24"/>
        </w:rPr>
        <w:t xml:space="preserve"> is</w:t>
      </w:r>
      <w:r w:rsidRPr="003303F8">
        <w:rPr>
          <w:kern w:val="0"/>
          <w:sz w:val="24"/>
          <w:szCs w:val="24"/>
        </w:rPr>
        <w:t xml:space="preserve"> the current theory in</w:t>
      </w:r>
      <w:r w:rsidRPr="003303F8">
        <w:rPr>
          <w:color w:val="000000"/>
          <w:kern w:val="0"/>
          <w:sz w:val="24"/>
          <w:szCs w:val="24"/>
        </w:rPr>
        <w:t xml:space="preserve"> LLV. </w:t>
      </w:r>
      <w:r w:rsidRPr="003303F8">
        <w:rPr>
          <w:color w:val="000000"/>
          <w:kern w:val="0"/>
          <w:sz w:val="24"/>
          <w:szCs w:val="24"/>
        </w:rPr>
        <w:lastRenderedPageBreak/>
        <w:t>The cost of equity effect of information quality has been an important issue in the accounting literature for decades (</w:t>
      </w:r>
      <w:proofErr w:type="spellStart"/>
      <w:r w:rsidRPr="003303F8">
        <w:rPr>
          <w:color w:val="000000"/>
          <w:kern w:val="0"/>
          <w:sz w:val="24"/>
          <w:szCs w:val="24"/>
        </w:rPr>
        <w:t>Beyer</w:t>
      </w:r>
      <w:r w:rsidR="00D86B5F">
        <w:rPr>
          <w:color w:val="000000"/>
          <w:kern w:val="0"/>
          <w:sz w:val="24"/>
          <w:szCs w:val="24"/>
        </w:rPr>
        <w:t>et</w:t>
      </w:r>
      <w:proofErr w:type="spellEnd"/>
      <w:r w:rsidR="00D86B5F">
        <w:rPr>
          <w:color w:val="000000"/>
          <w:kern w:val="0"/>
          <w:sz w:val="24"/>
          <w:szCs w:val="24"/>
        </w:rPr>
        <w:t xml:space="preserve"> al.</w:t>
      </w:r>
      <w:r w:rsidRPr="003303F8">
        <w:rPr>
          <w:color w:val="000000"/>
          <w:kern w:val="0"/>
          <w:sz w:val="24"/>
          <w:szCs w:val="24"/>
        </w:rPr>
        <w:t xml:space="preserve"> [2010]). The early theories</w:t>
      </w:r>
      <w:r w:rsidRPr="003303F8">
        <w:rPr>
          <w:rFonts w:eastAsia="Times"/>
          <w:kern w:val="0"/>
          <w:sz w:val="24"/>
          <w:szCs w:val="24"/>
          <w:lang w:eastAsia="en-US"/>
        </w:rPr>
        <w:t xml:space="preserve"> (e.g., </w:t>
      </w:r>
      <w:proofErr w:type="spellStart"/>
      <w:r w:rsidRPr="003303F8">
        <w:rPr>
          <w:rFonts w:eastAsia="Times"/>
          <w:kern w:val="0"/>
          <w:sz w:val="24"/>
          <w:szCs w:val="24"/>
          <w:lang w:eastAsia="en-US"/>
        </w:rPr>
        <w:t>Amihud</w:t>
      </w:r>
      <w:proofErr w:type="spellEnd"/>
      <w:r w:rsidRPr="003303F8">
        <w:rPr>
          <w:rFonts w:eastAsia="Times"/>
          <w:kern w:val="0"/>
          <w:sz w:val="24"/>
          <w:szCs w:val="24"/>
          <w:lang w:eastAsia="en-US"/>
        </w:rPr>
        <w:t xml:space="preserve"> and </w:t>
      </w:r>
      <w:proofErr w:type="spellStart"/>
      <w:r w:rsidRPr="003303F8">
        <w:rPr>
          <w:rFonts w:eastAsia="Times"/>
          <w:kern w:val="0"/>
          <w:sz w:val="24"/>
          <w:szCs w:val="24"/>
          <w:lang w:eastAsia="en-US"/>
        </w:rPr>
        <w:t>Mendelson</w:t>
      </w:r>
      <w:proofErr w:type="spellEnd"/>
      <w:r w:rsidRPr="003303F8">
        <w:rPr>
          <w:rFonts w:eastAsia="Times"/>
          <w:kern w:val="0"/>
          <w:sz w:val="24"/>
          <w:szCs w:val="24"/>
          <w:lang w:eastAsia="en-US"/>
        </w:rPr>
        <w:t xml:space="preserve"> [1986]; Easley and O’Hara [2004])</w:t>
      </w:r>
      <w:r w:rsidRPr="003303F8">
        <w:rPr>
          <w:color w:val="000000"/>
          <w:kern w:val="0"/>
          <w:sz w:val="24"/>
          <w:szCs w:val="24"/>
        </w:rPr>
        <w:t xml:space="preserve"> </w:t>
      </w:r>
      <w:r w:rsidRPr="003303F8">
        <w:rPr>
          <w:rFonts w:eastAsia="Times"/>
          <w:kern w:val="0"/>
          <w:sz w:val="24"/>
          <w:szCs w:val="24"/>
          <w:lang w:eastAsia="en-US"/>
        </w:rPr>
        <w:t xml:space="preserve">provide several possible links between information quality and the cost of equity, but these effects are primarily established in single-security settings and possibly </w:t>
      </w:r>
      <w:r w:rsidRPr="003303F8">
        <w:rPr>
          <w:rFonts w:eastAsia="Times"/>
          <w:i/>
          <w:kern w:val="0"/>
          <w:sz w:val="24"/>
          <w:szCs w:val="24"/>
          <w:lang w:eastAsia="en-US"/>
        </w:rPr>
        <w:t>diversifiable</w:t>
      </w:r>
      <w:r w:rsidRPr="003303F8">
        <w:rPr>
          <w:rFonts w:eastAsia="Times"/>
          <w:kern w:val="0"/>
          <w:sz w:val="24"/>
          <w:szCs w:val="24"/>
          <w:lang w:eastAsia="en-US"/>
        </w:rPr>
        <w:t xml:space="preserve"> in a large economy (Hughes</w:t>
      </w:r>
      <w:r w:rsidR="00E6053B" w:rsidRPr="003303F8">
        <w:rPr>
          <w:rFonts w:eastAsia="Times"/>
          <w:kern w:val="0"/>
          <w:sz w:val="24"/>
          <w:szCs w:val="24"/>
          <w:lang w:eastAsia="en-US"/>
        </w:rPr>
        <w:t>, Liu</w:t>
      </w:r>
      <w:r w:rsidRPr="003303F8">
        <w:rPr>
          <w:rFonts w:eastAsia="Times"/>
          <w:kern w:val="0"/>
          <w:sz w:val="24"/>
          <w:szCs w:val="24"/>
          <w:lang w:eastAsia="en-US"/>
        </w:rPr>
        <w:t xml:space="preserve"> and Liu [2007]).</w:t>
      </w:r>
      <w:r w:rsidR="00FC41F4" w:rsidRPr="003303F8">
        <w:rPr>
          <w:rStyle w:val="FootnoteReference"/>
          <w:rFonts w:eastAsia="Times"/>
          <w:kern w:val="0"/>
          <w:sz w:val="24"/>
          <w:szCs w:val="24"/>
          <w:lang w:eastAsia="en-US"/>
        </w:rPr>
        <w:footnoteReference w:id="6"/>
      </w:r>
      <w:r w:rsidRPr="003303F8">
        <w:rPr>
          <w:rFonts w:eastAsia="Times"/>
          <w:kern w:val="0"/>
          <w:sz w:val="24"/>
          <w:szCs w:val="24"/>
          <w:lang w:eastAsia="en-US"/>
        </w:rPr>
        <w:t xml:space="preserve"> </w:t>
      </w:r>
      <w:r w:rsidR="00461598" w:rsidRPr="003303F8">
        <w:rPr>
          <w:rFonts w:eastAsia="Times"/>
          <w:kern w:val="0"/>
          <w:sz w:val="24"/>
          <w:szCs w:val="24"/>
          <w:lang w:eastAsia="en-US"/>
        </w:rPr>
        <w:t>In a multi-securities</w:t>
      </w:r>
      <w:r w:rsidRPr="003303F8">
        <w:rPr>
          <w:rFonts w:eastAsia="Times"/>
          <w:kern w:val="0"/>
          <w:sz w:val="24"/>
          <w:szCs w:val="24"/>
          <w:lang w:eastAsia="en-US"/>
        </w:rPr>
        <w:t xml:space="preserve"> setting, LLV identify the effects of information quality on the cost of equity via systematic risk, which is not diversifiable even as the </w:t>
      </w:r>
      <w:r w:rsidR="00461598" w:rsidRPr="003303F8">
        <w:rPr>
          <w:rFonts w:eastAsia="Times"/>
          <w:kern w:val="0"/>
          <w:sz w:val="24"/>
          <w:szCs w:val="24"/>
          <w:lang w:eastAsia="en-US"/>
        </w:rPr>
        <w:t>number</w:t>
      </w:r>
      <w:r w:rsidRPr="003303F8">
        <w:rPr>
          <w:rFonts w:eastAsia="Times"/>
          <w:kern w:val="0"/>
          <w:sz w:val="24"/>
          <w:szCs w:val="24"/>
          <w:lang w:eastAsia="en-US"/>
        </w:rPr>
        <w:t xml:space="preserve"> of securities and investors become large. Therefore, it is important to understand the validity of LLV, especially given the mixed empirical evidence provided by prior studies (e.g., </w:t>
      </w:r>
      <w:proofErr w:type="spellStart"/>
      <w:r w:rsidRPr="003303F8">
        <w:rPr>
          <w:rFonts w:eastAsia="Times"/>
          <w:kern w:val="0"/>
          <w:sz w:val="24"/>
          <w:szCs w:val="24"/>
          <w:lang w:eastAsia="en-US"/>
        </w:rPr>
        <w:t>Ashbaugh-Skaife</w:t>
      </w:r>
      <w:proofErr w:type="spellEnd"/>
      <w:r w:rsidRPr="003303F8">
        <w:rPr>
          <w:rFonts w:eastAsia="Times"/>
          <w:kern w:val="0"/>
          <w:sz w:val="24"/>
          <w:szCs w:val="24"/>
          <w:lang w:eastAsia="en-US"/>
        </w:rPr>
        <w:t xml:space="preserve"> et al. [2009] find evidence in favor of LLV, </w:t>
      </w:r>
      <w:r w:rsidR="00461598" w:rsidRPr="003303F8">
        <w:rPr>
          <w:rFonts w:eastAsia="Times"/>
          <w:kern w:val="0"/>
          <w:sz w:val="24"/>
          <w:szCs w:val="24"/>
          <w:lang w:eastAsia="en-US"/>
        </w:rPr>
        <w:t xml:space="preserve">while </w:t>
      </w:r>
      <w:proofErr w:type="spellStart"/>
      <w:r w:rsidRPr="003303F8">
        <w:rPr>
          <w:rFonts w:eastAsia="Times"/>
          <w:kern w:val="0"/>
          <w:sz w:val="24"/>
          <w:szCs w:val="24"/>
          <w:lang w:eastAsia="en-US"/>
        </w:rPr>
        <w:t>Ogneva</w:t>
      </w:r>
      <w:proofErr w:type="spellEnd"/>
      <w:r w:rsidRPr="003303F8">
        <w:rPr>
          <w:rFonts w:eastAsia="Times"/>
          <w:kern w:val="0"/>
          <w:sz w:val="24"/>
          <w:szCs w:val="24"/>
          <w:lang w:eastAsia="en-US"/>
        </w:rPr>
        <w:t xml:space="preserve"> et al. [2007] do not). To the best of my knowledge,</w:t>
      </w:r>
      <w:r w:rsidRPr="003303F8">
        <w:rPr>
          <w:color w:val="000000"/>
          <w:kern w:val="0"/>
          <w:sz w:val="24"/>
          <w:szCs w:val="24"/>
        </w:rPr>
        <w:t xml:space="preserve"> p</w:t>
      </w:r>
      <w:r w:rsidRPr="003303F8">
        <w:rPr>
          <w:rFonts w:eastAsia="Times"/>
          <w:kern w:val="0"/>
          <w:sz w:val="24"/>
          <w:szCs w:val="24"/>
          <w:lang w:eastAsia="en-US"/>
        </w:rPr>
        <w:t xml:space="preserve">rior </w:t>
      </w:r>
      <w:r w:rsidRPr="003303F8">
        <w:rPr>
          <w:kern w:val="0"/>
          <w:sz w:val="24"/>
          <w:szCs w:val="24"/>
        </w:rPr>
        <w:t>empirical</w:t>
      </w:r>
      <w:r w:rsidRPr="003303F8">
        <w:rPr>
          <w:rFonts w:hint="eastAsia"/>
          <w:kern w:val="0"/>
          <w:sz w:val="24"/>
          <w:szCs w:val="24"/>
        </w:rPr>
        <w:t xml:space="preserve"> </w:t>
      </w:r>
      <w:r w:rsidRPr="003303F8">
        <w:rPr>
          <w:rFonts w:eastAsia="Times"/>
          <w:kern w:val="0"/>
          <w:sz w:val="24"/>
          <w:szCs w:val="24"/>
          <w:lang w:eastAsia="en-US"/>
        </w:rPr>
        <w:t xml:space="preserve">tests </w:t>
      </w:r>
      <w:r w:rsidRPr="003303F8">
        <w:rPr>
          <w:color w:val="000000"/>
          <w:kern w:val="0"/>
          <w:sz w:val="24"/>
          <w:szCs w:val="24"/>
        </w:rPr>
        <w:t xml:space="preserve">on </w:t>
      </w:r>
      <w:r w:rsidRPr="003303F8">
        <w:rPr>
          <w:rFonts w:eastAsia="Times"/>
          <w:kern w:val="0"/>
          <w:sz w:val="24"/>
          <w:szCs w:val="24"/>
          <w:lang w:eastAsia="en-US"/>
        </w:rPr>
        <w:t xml:space="preserve">LLV predominantly focus on the link between a </w:t>
      </w:r>
      <w:proofErr w:type="gramStart"/>
      <w:r w:rsidRPr="003303F8">
        <w:rPr>
          <w:rFonts w:eastAsia="Times"/>
          <w:kern w:val="0"/>
          <w:sz w:val="24"/>
          <w:szCs w:val="24"/>
          <w:lang w:eastAsia="en-US"/>
        </w:rPr>
        <w:t>firm’s</w:t>
      </w:r>
      <w:proofErr w:type="gramEnd"/>
      <w:r w:rsidRPr="003303F8">
        <w:rPr>
          <w:rFonts w:eastAsia="Times"/>
          <w:kern w:val="0"/>
          <w:sz w:val="24"/>
          <w:szCs w:val="24"/>
          <w:lang w:eastAsia="en-US"/>
        </w:rPr>
        <w:t xml:space="preserve"> cost of equity and its own information quality. My study provides the first </w:t>
      </w:r>
      <w:r w:rsidRPr="003303F8">
        <w:rPr>
          <w:kern w:val="0"/>
          <w:sz w:val="24"/>
          <w:szCs w:val="24"/>
        </w:rPr>
        <w:t>empirical evidence</w:t>
      </w:r>
      <w:r w:rsidRPr="003303F8">
        <w:rPr>
          <w:color w:val="000000"/>
          <w:kern w:val="0"/>
          <w:sz w:val="24"/>
          <w:szCs w:val="24"/>
        </w:rPr>
        <w:t xml:space="preserve"> that </w:t>
      </w:r>
      <w:r w:rsidRPr="003303F8">
        <w:rPr>
          <w:rFonts w:hint="eastAsia"/>
          <w:color w:val="000000"/>
          <w:kern w:val="0"/>
          <w:sz w:val="24"/>
          <w:szCs w:val="24"/>
        </w:rPr>
        <w:t>a firm</w:t>
      </w:r>
      <w:r w:rsidRPr="003303F8">
        <w:rPr>
          <w:color w:val="000000"/>
          <w:kern w:val="0"/>
          <w:sz w:val="24"/>
          <w:szCs w:val="24"/>
        </w:rPr>
        <w:t>’</w:t>
      </w:r>
      <w:r w:rsidRPr="003303F8">
        <w:rPr>
          <w:rFonts w:hint="eastAsia"/>
          <w:color w:val="000000"/>
          <w:kern w:val="0"/>
          <w:sz w:val="24"/>
          <w:szCs w:val="24"/>
        </w:rPr>
        <w:t xml:space="preserve">s cost of equity </w:t>
      </w:r>
      <w:r w:rsidRPr="003303F8">
        <w:rPr>
          <w:kern w:val="0"/>
          <w:sz w:val="24"/>
          <w:szCs w:val="24"/>
        </w:rPr>
        <w:t xml:space="preserve">depends not only </w:t>
      </w:r>
      <w:r w:rsidR="00D86B5F" w:rsidRPr="003303F8">
        <w:rPr>
          <w:kern w:val="0"/>
          <w:sz w:val="24"/>
          <w:szCs w:val="24"/>
        </w:rPr>
        <w:t xml:space="preserve">on </w:t>
      </w:r>
      <w:r w:rsidRPr="003303F8">
        <w:rPr>
          <w:kern w:val="0"/>
          <w:sz w:val="24"/>
          <w:szCs w:val="24"/>
        </w:rPr>
        <w:t xml:space="preserve">its own </w:t>
      </w:r>
      <w:r w:rsidR="00383211" w:rsidRPr="003303F8">
        <w:rPr>
          <w:kern w:val="0"/>
          <w:sz w:val="24"/>
          <w:szCs w:val="24"/>
        </w:rPr>
        <w:t xml:space="preserve">but also </w:t>
      </w:r>
      <w:r w:rsidR="00D86B5F" w:rsidRPr="003303F8">
        <w:rPr>
          <w:kern w:val="0"/>
          <w:sz w:val="24"/>
          <w:szCs w:val="24"/>
        </w:rPr>
        <w:t xml:space="preserve">on </w:t>
      </w:r>
      <w:r w:rsidRPr="003303F8">
        <w:rPr>
          <w:kern w:val="0"/>
          <w:sz w:val="24"/>
          <w:szCs w:val="24"/>
        </w:rPr>
        <w:t>peer firms’ information quality</w:t>
      </w:r>
      <w:r w:rsidR="00F823A8" w:rsidRPr="003303F8">
        <w:rPr>
          <w:kern w:val="0"/>
          <w:sz w:val="24"/>
          <w:szCs w:val="24"/>
        </w:rPr>
        <w:t>, supporting LLV</w:t>
      </w:r>
      <w:r w:rsidRPr="003303F8">
        <w:rPr>
          <w:rFonts w:hint="eastAsia"/>
          <w:kern w:val="0"/>
          <w:sz w:val="24"/>
          <w:szCs w:val="24"/>
        </w:rPr>
        <w:t>.</w:t>
      </w:r>
      <w:r w:rsidRPr="003303F8">
        <w:rPr>
          <w:kern w:val="0"/>
          <w:sz w:val="24"/>
          <w:szCs w:val="24"/>
        </w:rPr>
        <w:t xml:space="preserve"> </w:t>
      </w:r>
      <w:r w:rsidR="00D5694B" w:rsidRPr="003303F8">
        <w:rPr>
          <w:kern w:val="0"/>
          <w:sz w:val="24"/>
          <w:szCs w:val="24"/>
        </w:rPr>
        <w:t xml:space="preserve">Importantly, the analyses on </w:t>
      </w:r>
      <w:r w:rsidR="00860AD2" w:rsidRPr="003303F8">
        <w:rPr>
          <w:kern w:val="0"/>
          <w:sz w:val="24"/>
          <w:szCs w:val="24"/>
        </w:rPr>
        <w:t xml:space="preserve">variations in </w:t>
      </w:r>
      <w:r w:rsidR="00D5694B" w:rsidRPr="003303F8">
        <w:rPr>
          <w:kern w:val="0"/>
          <w:sz w:val="24"/>
          <w:szCs w:val="24"/>
        </w:rPr>
        <w:t xml:space="preserve">the effects </w:t>
      </w:r>
      <w:r w:rsidR="0097638C" w:rsidRPr="003303F8">
        <w:rPr>
          <w:kern w:val="0"/>
          <w:sz w:val="24"/>
          <w:szCs w:val="24"/>
        </w:rPr>
        <w:t>of peer</w:t>
      </w:r>
      <w:r w:rsidR="00383211" w:rsidRPr="003303F8">
        <w:rPr>
          <w:kern w:val="0"/>
          <w:sz w:val="24"/>
          <w:szCs w:val="24"/>
        </w:rPr>
        <w:t xml:space="preserve"> firms’ information quality </w:t>
      </w:r>
      <w:r w:rsidR="0097638C" w:rsidRPr="003303F8">
        <w:rPr>
          <w:kern w:val="0"/>
          <w:sz w:val="24"/>
          <w:szCs w:val="24"/>
        </w:rPr>
        <w:t>are</w:t>
      </w:r>
      <w:r w:rsidR="00D5694B" w:rsidRPr="003303F8">
        <w:rPr>
          <w:kern w:val="0"/>
          <w:sz w:val="24"/>
          <w:szCs w:val="24"/>
        </w:rPr>
        <w:t xml:space="preserve"> </w:t>
      </w:r>
      <w:r w:rsidR="006B6958" w:rsidRPr="003303F8">
        <w:rPr>
          <w:kern w:val="0"/>
          <w:sz w:val="24"/>
          <w:szCs w:val="24"/>
        </w:rPr>
        <w:t xml:space="preserve">also </w:t>
      </w:r>
      <w:r w:rsidR="00D5694B" w:rsidRPr="003303F8">
        <w:rPr>
          <w:kern w:val="0"/>
          <w:sz w:val="24"/>
          <w:szCs w:val="24"/>
        </w:rPr>
        <w:t xml:space="preserve">consistent with </w:t>
      </w:r>
      <w:r w:rsidR="0097638C" w:rsidRPr="003303F8">
        <w:rPr>
          <w:kern w:val="0"/>
          <w:sz w:val="24"/>
          <w:szCs w:val="24"/>
        </w:rPr>
        <w:t xml:space="preserve">LLV. </w:t>
      </w:r>
      <w:r w:rsidR="00126C0D" w:rsidRPr="003303F8">
        <w:rPr>
          <w:kern w:val="0"/>
          <w:sz w:val="24"/>
          <w:szCs w:val="24"/>
        </w:rPr>
        <w:t>The</w:t>
      </w:r>
      <w:r w:rsidR="00E95E6B" w:rsidRPr="003303F8">
        <w:rPr>
          <w:kern w:val="0"/>
          <w:sz w:val="24"/>
          <w:szCs w:val="24"/>
        </w:rPr>
        <w:t xml:space="preserve"> study </w:t>
      </w:r>
      <w:r w:rsidR="0069030D" w:rsidRPr="003303F8">
        <w:rPr>
          <w:kern w:val="0"/>
          <w:sz w:val="24"/>
          <w:szCs w:val="24"/>
        </w:rPr>
        <w:t>answer</w:t>
      </w:r>
      <w:r w:rsidR="00E95E6B" w:rsidRPr="003303F8">
        <w:rPr>
          <w:kern w:val="0"/>
          <w:sz w:val="24"/>
          <w:szCs w:val="24"/>
        </w:rPr>
        <w:t>s</w:t>
      </w:r>
      <w:r w:rsidRPr="003303F8">
        <w:rPr>
          <w:kern w:val="0"/>
          <w:sz w:val="24"/>
          <w:szCs w:val="24"/>
        </w:rPr>
        <w:t xml:space="preserve"> the call by </w:t>
      </w:r>
      <w:r w:rsidRPr="003303F8">
        <w:rPr>
          <w:sz w:val="24"/>
          <w:szCs w:val="24"/>
        </w:rPr>
        <w:t xml:space="preserve">Beyer et al. (2010) for </w:t>
      </w:r>
      <w:r w:rsidRPr="003303F8">
        <w:rPr>
          <w:kern w:val="0"/>
          <w:sz w:val="24"/>
          <w:szCs w:val="24"/>
        </w:rPr>
        <w:t xml:space="preserve">more research on the cost of equity through testing the effect of information quality on the </w:t>
      </w:r>
      <w:proofErr w:type="spellStart"/>
      <w:r w:rsidRPr="003303F8">
        <w:rPr>
          <w:kern w:val="0"/>
          <w:sz w:val="24"/>
          <w:szCs w:val="24"/>
        </w:rPr>
        <w:t>undiversifiable</w:t>
      </w:r>
      <w:proofErr w:type="spellEnd"/>
      <w:r w:rsidRPr="003303F8">
        <w:rPr>
          <w:kern w:val="0"/>
          <w:sz w:val="24"/>
          <w:szCs w:val="24"/>
        </w:rPr>
        <w:t xml:space="preserve"> (systematic) component of asset risk.</w:t>
      </w:r>
    </w:p>
    <w:p w:rsidR="00C174EA" w:rsidRPr="003303F8" w:rsidRDefault="00C174EA" w:rsidP="00C174EA">
      <w:pPr>
        <w:widowControl/>
        <w:overflowPunct/>
        <w:spacing w:line="480" w:lineRule="auto"/>
        <w:ind w:firstLine="720"/>
        <w:rPr>
          <w:color w:val="000000"/>
          <w:kern w:val="0"/>
          <w:sz w:val="24"/>
          <w:szCs w:val="24"/>
        </w:rPr>
      </w:pPr>
      <w:r w:rsidRPr="003303F8">
        <w:rPr>
          <w:rFonts w:eastAsia="Times"/>
          <w:kern w:val="0"/>
          <w:sz w:val="24"/>
          <w:szCs w:val="24"/>
          <w:lang w:eastAsia="en-US"/>
        </w:rPr>
        <w:t xml:space="preserve">The second </w:t>
      </w:r>
      <w:r w:rsidRPr="003303F8">
        <w:rPr>
          <w:color w:val="000000"/>
          <w:kern w:val="0"/>
          <w:sz w:val="24"/>
          <w:szCs w:val="24"/>
        </w:rPr>
        <w:t>motivation is the fact that</w:t>
      </w:r>
      <w:r w:rsidRPr="003303F8">
        <w:rPr>
          <w:rFonts w:eastAsia="Times"/>
          <w:kern w:val="0"/>
          <w:sz w:val="24"/>
          <w:szCs w:val="24"/>
          <w:lang w:eastAsia="en-US"/>
        </w:rPr>
        <w:t xml:space="preserve"> institutions such as the SEC and FASB are concerned about the capital market consequences of existing and future regulations that could potentially </w:t>
      </w:r>
      <w:r w:rsidR="00860AD2" w:rsidRPr="003303F8">
        <w:rPr>
          <w:rFonts w:eastAsia="Times"/>
          <w:kern w:val="0"/>
          <w:sz w:val="24"/>
          <w:szCs w:val="24"/>
          <w:lang w:eastAsia="en-US"/>
        </w:rPr>
        <w:t>change</w:t>
      </w:r>
      <w:r w:rsidRPr="003303F8">
        <w:rPr>
          <w:rFonts w:eastAsia="Times"/>
          <w:kern w:val="0"/>
          <w:sz w:val="24"/>
          <w:szCs w:val="24"/>
          <w:lang w:eastAsia="en-US"/>
        </w:rPr>
        <w:t xml:space="preserve"> the quality of firms’ financial reports (e.g., LLV). </w:t>
      </w:r>
      <w:r w:rsidRPr="003303F8">
        <w:rPr>
          <w:color w:val="000000"/>
          <w:kern w:val="0"/>
          <w:sz w:val="24"/>
          <w:szCs w:val="24"/>
        </w:rPr>
        <w:t>For example, Levi</w:t>
      </w:r>
      <w:r w:rsidRPr="003303F8">
        <w:rPr>
          <w:rFonts w:hint="eastAsia"/>
          <w:color w:val="000000"/>
          <w:kern w:val="0"/>
          <w:sz w:val="24"/>
          <w:szCs w:val="24"/>
        </w:rPr>
        <w:t>t</w:t>
      </w:r>
      <w:r w:rsidRPr="003303F8">
        <w:rPr>
          <w:color w:val="000000"/>
          <w:kern w:val="0"/>
          <w:sz w:val="24"/>
          <w:szCs w:val="24"/>
        </w:rPr>
        <w:t xml:space="preserve">t (1998, p.81), the former SEC chairman suggested that “high quality accounting </w:t>
      </w:r>
      <w:r w:rsidRPr="003303F8">
        <w:rPr>
          <w:color w:val="000000"/>
          <w:kern w:val="0"/>
          <w:sz w:val="24"/>
          <w:szCs w:val="24"/>
        </w:rPr>
        <w:lastRenderedPageBreak/>
        <w:t xml:space="preserve">standards …. </w:t>
      </w:r>
      <w:proofErr w:type="gramStart"/>
      <w:r w:rsidRPr="003303F8">
        <w:rPr>
          <w:color w:val="000000"/>
          <w:kern w:val="0"/>
          <w:sz w:val="24"/>
          <w:szCs w:val="24"/>
        </w:rPr>
        <w:t>reduce</w:t>
      </w:r>
      <w:proofErr w:type="gramEnd"/>
      <w:r w:rsidRPr="003303F8">
        <w:rPr>
          <w:color w:val="000000"/>
          <w:kern w:val="0"/>
          <w:sz w:val="24"/>
          <w:szCs w:val="24"/>
        </w:rPr>
        <w:t xml:space="preserve"> capital costs” and thus benefit the whole economy.</w:t>
      </w:r>
      <w:r w:rsidRPr="003303F8">
        <w:rPr>
          <w:rStyle w:val="FootnoteReference"/>
          <w:rFonts w:eastAsia="Times"/>
          <w:kern w:val="0"/>
          <w:sz w:val="24"/>
          <w:szCs w:val="24"/>
          <w:lang w:eastAsia="en-US"/>
        </w:rPr>
        <w:t xml:space="preserve"> </w:t>
      </w:r>
      <w:r w:rsidRPr="003303F8">
        <w:rPr>
          <w:color w:val="000000"/>
          <w:kern w:val="0"/>
          <w:sz w:val="24"/>
          <w:szCs w:val="24"/>
        </w:rPr>
        <w:t>To a firm’s investors, high quality accounting standards increase not only the firm’s but also peer firms’ information quality. Thus, my study contributes to a more comprehensive understanding of regulation</w:t>
      </w:r>
      <w:r w:rsidRPr="003303F8">
        <w:rPr>
          <w:rFonts w:hint="eastAsia"/>
          <w:color w:val="000000"/>
          <w:kern w:val="0"/>
          <w:sz w:val="24"/>
          <w:szCs w:val="24"/>
        </w:rPr>
        <w:t>s</w:t>
      </w:r>
      <w:r w:rsidRPr="003303F8">
        <w:rPr>
          <w:color w:val="000000"/>
          <w:kern w:val="0"/>
          <w:sz w:val="24"/>
          <w:szCs w:val="24"/>
        </w:rPr>
        <w:t xml:space="preserve"> that </w:t>
      </w:r>
      <w:r w:rsidR="00860AD2" w:rsidRPr="003303F8">
        <w:rPr>
          <w:rFonts w:eastAsia="Times"/>
          <w:kern w:val="0"/>
          <w:sz w:val="24"/>
          <w:szCs w:val="24"/>
          <w:lang w:eastAsia="en-US"/>
        </w:rPr>
        <w:t>change</w:t>
      </w:r>
      <w:r w:rsidRPr="003303F8">
        <w:rPr>
          <w:color w:val="000000"/>
          <w:kern w:val="0"/>
          <w:sz w:val="24"/>
          <w:szCs w:val="24"/>
        </w:rPr>
        <w:t xml:space="preserve"> </w:t>
      </w:r>
      <w:r w:rsidRPr="003303F8">
        <w:rPr>
          <w:rFonts w:hint="eastAsia"/>
          <w:color w:val="000000"/>
          <w:kern w:val="0"/>
          <w:sz w:val="24"/>
          <w:szCs w:val="24"/>
        </w:rPr>
        <w:t>a large number of</w:t>
      </w:r>
      <w:r w:rsidRPr="003303F8">
        <w:rPr>
          <w:color w:val="000000"/>
          <w:kern w:val="0"/>
          <w:sz w:val="24"/>
          <w:szCs w:val="24"/>
        </w:rPr>
        <w:t xml:space="preserve"> firms’ information quality. </w:t>
      </w:r>
    </w:p>
    <w:p w:rsidR="00C174EA" w:rsidRPr="003303F8" w:rsidRDefault="00C174EA" w:rsidP="00C174EA">
      <w:pPr>
        <w:widowControl/>
        <w:overflowPunct/>
        <w:autoSpaceDE/>
        <w:autoSpaceDN/>
        <w:adjustRightInd/>
        <w:spacing w:line="480" w:lineRule="auto"/>
        <w:ind w:firstLine="720"/>
        <w:rPr>
          <w:rFonts w:eastAsia="Times"/>
          <w:kern w:val="0"/>
          <w:sz w:val="24"/>
          <w:szCs w:val="24"/>
          <w:lang w:eastAsia="en-US"/>
        </w:rPr>
      </w:pPr>
      <w:r w:rsidRPr="003303F8">
        <w:rPr>
          <w:color w:val="000000"/>
          <w:kern w:val="0"/>
          <w:sz w:val="24"/>
          <w:szCs w:val="24"/>
        </w:rPr>
        <w:t xml:space="preserve">Further, conventional financial economics theories view positive externalities of financial information quality as a possible justification for financial reporting regulation (e.g., </w:t>
      </w:r>
      <w:r w:rsidRPr="003303F8">
        <w:rPr>
          <w:kern w:val="0"/>
          <w:sz w:val="24"/>
          <w:szCs w:val="24"/>
        </w:rPr>
        <w:t>Dye [1990]</w:t>
      </w:r>
      <w:r w:rsidRPr="003303F8">
        <w:rPr>
          <w:rFonts w:eastAsia="Times"/>
          <w:kern w:val="0"/>
          <w:sz w:val="24"/>
          <w:szCs w:val="24"/>
          <w:lang w:eastAsia="en-US"/>
        </w:rPr>
        <w:t xml:space="preserve">; </w:t>
      </w:r>
      <w:r w:rsidRPr="003303F8">
        <w:rPr>
          <w:sz w:val="24"/>
          <w:szCs w:val="24"/>
        </w:rPr>
        <w:t>Beyer et al. [2010]</w:t>
      </w:r>
      <w:r w:rsidRPr="003303F8">
        <w:rPr>
          <w:rFonts w:hint="eastAsia"/>
          <w:kern w:val="0"/>
          <w:sz w:val="24"/>
          <w:szCs w:val="24"/>
        </w:rPr>
        <w:t>).</w:t>
      </w:r>
      <w:r w:rsidRPr="003303F8">
        <w:rPr>
          <w:rFonts w:eastAsia="Times"/>
          <w:kern w:val="0"/>
          <w:sz w:val="24"/>
          <w:szCs w:val="24"/>
          <w:lang w:eastAsia="en-US"/>
        </w:rPr>
        <w:t xml:space="preserve"> </w:t>
      </w:r>
      <w:r w:rsidRPr="003303F8">
        <w:rPr>
          <w:kern w:val="0"/>
          <w:sz w:val="24"/>
          <w:szCs w:val="24"/>
        </w:rPr>
        <w:t xml:space="preserve">In the </w:t>
      </w:r>
      <w:r w:rsidRPr="003303F8">
        <w:rPr>
          <w:rFonts w:hint="eastAsia"/>
          <w:kern w:val="0"/>
          <w:sz w:val="24"/>
          <w:szCs w:val="24"/>
        </w:rPr>
        <w:t>presence</w:t>
      </w:r>
      <w:r w:rsidRPr="003303F8">
        <w:rPr>
          <w:kern w:val="0"/>
          <w:sz w:val="24"/>
          <w:szCs w:val="24"/>
        </w:rPr>
        <w:t xml:space="preserve"> of</w:t>
      </w:r>
      <w:r w:rsidRPr="003303F8">
        <w:rPr>
          <w:rFonts w:eastAsia="Times"/>
          <w:kern w:val="0"/>
          <w:sz w:val="24"/>
          <w:szCs w:val="24"/>
          <w:lang w:eastAsia="en-US"/>
        </w:rPr>
        <w:t xml:space="preserve"> externalit</w:t>
      </w:r>
      <w:r w:rsidRPr="003303F8">
        <w:rPr>
          <w:kern w:val="0"/>
          <w:sz w:val="24"/>
          <w:szCs w:val="24"/>
        </w:rPr>
        <w:t>ies</w:t>
      </w:r>
      <w:r w:rsidRPr="003303F8">
        <w:rPr>
          <w:rFonts w:eastAsia="Times"/>
          <w:kern w:val="0"/>
          <w:sz w:val="24"/>
          <w:szCs w:val="24"/>
          <w:lang w:eastAsia="en-US"/>
        </w:rPr>
        <w:t xml:space="preserve">, profit-maximizing firms tradeoff only the firm-specific benefits and costs of high quality financial reporting and not the social values or costs </w:t>
      </w:r>
      <w:r w:rsidRPr="003303F8">
        <w:rPr>
          <w:color w:val="000000"/>
          <w:kern w:val="0"/>
          <w:sz w:val="24"/>
          <w:szCs w:val="24"/>
        </w:rPr>
        <w:t xml:space="preserve">(e.g., Ross [1979]; </w:t>
      </w:r>
      <w:proofErr w:type="spellStart"/>
      <w:r w:rsidR="00381E7A" w:rsidRPr="003303F8">
        <w:rPr>
          <w:color w:val="000000"/>
          <w:kern w:val="0"/>
          <w:sz w:val="24"/>
          <w:szCs w:val="24"/>
        </w:rPr>
        <w:t>Milgrom</w:t>
      </w:r>
      <w:proofErr w:type="spellEnd"/>
      <w:r w:rsidR="00381E7A" w:rsidRPr="003303F8">
        <w:rPr>
          <w:color w:val="000000"/>
          <w:kern w:val="0"/>
          <w:sz w:val="24"/>
          <w:szCs w:val="24"/>
        </w:rPr>
        <w:t xml:space="preserve"> [1981]; </w:t>
      </w:r>
      <w:r w:rsidR="007062FE" w:rsidRPr="003303F8">
        <w:rPr>
          <w:color w:val="000000"/>
          <w:kern w:val="0"/>
          <w:sz w:val="24"/>
          <w:szCs w:val="24"/>
        </w:rPr>
        <w:t xml:space="preserve">Grossman [1981]; </w:t>
      </w:r>
      <w:proofErr w:type="spellStart"/>
      <w:r w:rsidRPr="003303F8">
        <w:rPr>
          <w:rFonts w:eastAsia="Times"/>
          <w:kern w:val="0"/>
          <w:sz w:val="24"/>
          <w:szCs w:val="24"/>
          <w:lang w:eastAsia="en-US"/>
        </w:rPr>
        <w:t>Leuz</w:t>
      </w:r>
      <w:proofErr w:type="spellEnd"/>
      <w:r w:rsidRPr="003303F8">
        <w:rPr>
          <w:rFonts w:eastAsia="Times"/>
          <w:kern w:val="0"/>
          <w:sz w:val="24"/>
          <w:szCs w:val="24"/>
          <w:lang w:eastAsia="en-US"/>
        </w:rPr>
        <w:t xml:space="preserve"> and </w:t>
      </w:r>
      <w:proofErr w:type="spellStart"/>
      <w:r w:rsidRPr="003303F8">
        <w:rPr>
          <w:rFonts w:eastAsia="Times"/>
          <w:kern w:val="0"/>
          <w:sz w:val="24"/>
          <w:szCs w:val="24"/>
          <w:lang w:eastAsia="en-US"/>
        </w:rPr>
        <w:t>Wysocki</w:t>
      </w:r>
      <w:proofErr w:type="spellEnd"/>
      <w:r w:rsidRPr="003303F8">
        <w:rPr>
          <w:rFonts w:eastAsia="Times"/>
          <w:kern w:val="0"/>
          <w:sz w:val="24"/>
          <w:szCs w:val="24"/>
          <w:lang w:eastAsia="en-US"/>
        </w:rPr>
        <w:t xml:space="preserve"> [2008]</w:t>
      </w:r>
      <w:r w:rsidRPr="003303F8">
        <w:rPr>
          <w:color w:val="000000"/>
          <w:kern w:val="0"/>
          <w:sz w:val="24"/>
          <w:szCs w:val="24"/>
        </w:rPr>
        <w:t>).</w:t>
      </w:r>
      <w:r w:rsidRPr="003303F8">
        <w:rPr>
          <w:rStyle w:val="FootnoteReference"/>
          <w:rFonts w:eastAsia="Times"/>
          <w:kern w:val="0"/>
          <w:sz w:val="24"/>
          <w:szCs w:val="24"/>
          <w:lang w:eastAsia="en-US"/>
        </w:rPr>
        <w:footnoteReference w:id="7"/>
      </w:r>
      <w:r w:rsidRPr="003303F8">
        <w:rPr>
          <w:rFonts w:eastAsia="Times"/>
          <w:kern w:val="0"/>
          <w:sz w:val="24"/>
          <w:szCs w:val="24"/>
          <w:lang w:eastAsia="en-US"/>
        </w:rPr>
        <w:t xml:space="preserve"> </w:t>
      </w:r>
      <w:r w:rsidRPr="003303F8">
        <w:rPr>
          <w:kern w:val="0"/>
          <w:sz w:val="24"/>
          <w:szCs w:val="24"/>
        </w:rPr>
        <w:t xml:space="preserve">If the </w:t>
      </w:r>
      <w:r w:rsidRPr="003303F8">
        <w:rPr>
          <w:rFonts w:eastAsia="Times"/>
          <w:kern w:val="0"/>
          <w:sz w:val="24"/>
          <w:szCs w:val="24"/>
          <w:lang w:eastAsia="en-US"/>
        </w:rPr>
        <w:t>externalit</w:t>
      </w:r>
      <w:r w:rsidRPr="003303F8">
        <w:rPr>
          <w:kern w:val="0"/>
          <w:sz w:val="24"/>
          <w:szCs w:val="24"/>
        </w:rPr>
        <w:t>ies are</w:t>
      </w:r>
      <w:r w:rsidRPr="003303F8">
        <w:rPr>
          <w:rFonts w:eastAsia="Times"/>
          <w:kern w:val="0"/>
          <w:sz w:val="24"/>
          <w:szCs w:val="24"/>
          <w:lang w:eastAsia="en-US"/>
        </w:rPr>
        <w:t xml:space="preserve"> </w:t>
      </w:r>
      <w:r w:rsidRPr="003303F8">
        <w:rPr>
          <w:rFonts w:eastAsia="Times"/>
          <w:i/>
          <w:kern w:val="0"/>
          <w:sz w:val="24"/>
          <w:szCs w:val="24"/>
          <w:lang w:eastAsia="en-US"/>
        </w:rPr>
        <w:t>positive</w:t>
      </w:r>
      <w:r w:rsidRPr="003303F8">
        <w:rPr>
          <w:rFonts w:eastAsia="Times"/>
          <w:kern w:val="0"/>
          <w:sz w:val="24"/>
          <w:szCs w:val="24"/>
          <w:lang w:eastAsia="en-US"/>
        </w:rPr>
        <w:t xml:space="preserve"> </w:t>
      </w:r>
      <w:r w:rsidRPr="003303F8">
        <w:rPr>
          <w:kern w:val="0"/>
          <w:sz w:val="24"/>
          <w:szCs w:val="24"/>
        </w:rPr>
        <w:t xml:space="preserve">(e.g., a firm’s cost of equity can be lowered by peer firm’s </w:t>
      </w:r>
      <w:r w:rsidRPr="003303F8">
        <w:rPr>
          <w:rFonts w:eastAsia="Times"/>
          <w:kern w:val="0"/>
          <w:sz w:val="24"/>
          <w:szCs w:val="24"/>
          <w:lang w:eastAsia="en-US"/>
        </w:rPr>
        <w:t xml:space="preserve">earnings </w:t>
      </w:r>
      <w:r w:rsidRPr="003303F8">
        <w:rPr>
          <w:kern w:val="0"/>
          <w:sz w:val="24"/>
          <w:szCs w:val="24"/>
        </w:rPr>
        <w:t>quality)</w:t>
      </w:r>
      <w:r w:rsidRPr="003303F8">
        <w:rPr>
          <w:rFonts w:eastAsia="Times"/>
          <w:kern w:val="0"/>
          <w:sz w:val="24"/>
          <w:szCs w:val="24"/>
          <w:lang w:eastAsia="en-US"/>
        </w:rPr>
        <w:t xml:space="preserve">, </w:t>
      </w:r>
      <w:proofErr w:type="spellStart"/>
      <w:r w:rsidRPr="003303F8">
        <w:rPr>
          <w:rFonts w:eastAsia="Times"/>
          <w:kern w:val="0"/>
          <w:sz w:val="24"/>
          <w:szCs w:val="24"/>
          <w:lang w:eastAsia="en-US"/>
        </w:rPr>
        <w:t>Admati</w:t>
      </w:r>
      <w:proofErr w:type="spellEnd"/>
      <w:r w:rsidRPr="003303F8">
        <w:rPr>
          <w:rFonts w:eastAsia="Times"/>
          <w:kern w:val="0"/>
          <w:sz w:val="24"/>
          <w:szCs w:val="24"/>
          <w:lang w:eastAsia="en-US"/>
        </w:rPr>
        <w:t xml:space="preserve"> and </w:t>
      </w:r>
      <w:proofErr w:type="spellStart"/>
      <w:r w:rsidRPr="003303F8">
        <w:rPr>
          <w:rFonts w:eastAsia="Times"/>
          <w:kern w:val="0"/>
          <w:sz w:val="24"/>
          <w:szCs w:val="24"/>
          <w:lang w:eastAsia="en-US"/>
        </w:rPr>
        <w:t>Pfeiderer</w:t>
      </w:r>
      <w:proofErr w:type="spellEnd"/>
      <w:r w:rsidRPr="003303F8">
        <w:rPr>
          <w:rFonts w:eastAsia="Times"/>
          <w:kern w:val="0"/>
          <w:sz w:val="24"/>
          <w:szCs w:val="24"/>
          <w:lang w:eastAsia="en-US"/>
        </w:rPr>
        <w:t xml:space="preserve"> (2000) suggest that</w:t>
      </w:r>
      <w:r w:rsidRPr="003303F8">
        <w:rPr>
          <w:kern w:val="0"/>
          <w:sz w:val="24"/>
          <w:szCs w:val="24"/>
        </w:rPr>
        <w:t xml:space="preserve"> </w:t>
      </w:r>
      <w:r w:rsidRPr="003303F8">
        <w:rPr>
          <w:rFonts w:eastAsia="Times"/>
          <w:kern w:val="0"/>
          <w:sz w:val="24"/>
          <w:szCs w:val="24"/>
          <w:lang w:eastAsia="en-US"/>
        </w:rPr>
        <w:t>a firm would wish to free ride on other firms’ high quality financial reporting but not provide high quality information for investors to assess other firms. Their theory further suggests deficiencies caused by the positive externality could be effectively mitigated by 1) proper regulations requiring a minimum level of financial reporting quality or 2) subsidies that reduce the perceived cost of high quality financial reporting. However, i</w:t>
      </w:r>
      <w:r w:rsidR="0069030D" w:rsidRPr="003303F8">
        <w:rPr>
          <w:rFonts w:eastAsia="Times"/>
          <w:kern w:val="0"/>
          <w:sz w:val="24"/>
          <w:szCs w:val="24"/>
          <w:lang w:eastAsia="en-US"/>
        </w:rPr>
        <w:t>f the externalities are</w:t>
      </w:r>
      <w:r w:rsidRPr="003303F8">
        <w:rPr>
          <w:rFonts w:eastAsia="Times"/>
          <w:kern w:val="0"/>
          <w:sz w:val="24"/>
          <w:szCs w:val="24"/>
          <w:lang w:eastAsia="en-US"/>
        </w:rPr>
        <w:t xml:space="preserve"> </w:t>
      </w:r>
      <w:r w:rsidRPr="003303F8">
        <w:rPr>
          <w:rFonts w:eastAsia="Times"/>
          <w:i/>
          <w:kern w:val="0"/>
          <w:sz w:val="24"/>
          <w:szCs w:val="24"/>
          <w:lang w:eastAsia="en-US"/>
        </w:rPr>
        <w:t>negative</w:t>
      </w:r>
      <w:r w:rsidRPr="003303F8">
        <w:rPr>
          <w:rFonts w:eastAsia="Times"/>
          <w:kern w:val="0"/>
          <w:sz w:val="24"/>
          <w:szCs w:val="24"/>
          <w:lang w:eastAsia="en-US"/>
        </w:rPr>
        <w:t>, firms will compete with each other in financial reporting quality, thus leading their financial reporting quality to be higher than the socially optimal level. To cope with</w:t>
      </w:r>
      <w:r w:rsidR="00F823A8" w:rsidRPr="003303F8">
        <w:rPr>
          <w:rFonts w:eastAsia="Times"/>
          <w:kern w:val="0"/>
          <w:sz w:val="24"/>
          <w:szCs w:val="24"/>
          <w:lang w:eastAsia="en-US"/>
        </w:rPr>
        <w:t xml:space="preserve"> deficiencies caused by </w:t>
      </w:r>
      <w:r w:rsidRPr="003303F8">
        <w:rPr>
          <w:rFonts w:eastAsia="Times"/>
          <w:kern w:val="0"/>
          <w:sz w:val="24"/>
          <w:szCs w:val="24"/>
          <w:lang w:eastAsia="en-US"/>
        </w:rPr>
        <w:t xml:space="preserve">this negative externality, the theory (Fishman and </w:t>
      </w:r>
      <w:proofErr w:type="spellStart"/>
      <w:r w:rsidRPr="003303F8">
        <w:rPr>
          <w:rFonts w:eastAsia="Times"/>
          <w:kern w:val="0"/>
          <w:sz w:val="24"/>
          <w:szCs w:val="24"/>
          <w:lang w:eastAsia="en-US"/>
        </w:rPr>
        <w:t>Hagerty</w:t>
      </w:r>
      <w:proofErr w:type="spellEnd"/>
      <w:r w:rsidRPr="003303F8">
        <w:rPr>
          <w:rFonts w:eastAsia="Times"/>
          <w:kern w:val="0"/>
          <w:sz w:val="24"/>
          <w:szCs w:val="24"/>
          <w:lang w:eastAsia="en-US"/>
        </w:rPr>
        <w:t xml:space="preserve"> [1989]) suggests that in contrast to the traditional wisdom, socially responsible regulators should impose limits to prevent </w:t>
      </w:r>
      <w:r w:rsidRPr="003303F8">
        <w:rPr>
          <w:rFonts w:eastAsia="Times"/>
          <w:kern w:val="0"/>
          <w:sz w:val="24"/>
          <w:szCs w:val="24"/>
          <w:lang w:eastAsia="en-US"/>
        </w:rPr>
        <w:lastRenderedPageBreak/>
        <w:t xml:space="preserve">firms from overinvesting in improving financial reporting quality. Though I do not empirically test the consequences of the externalities (i.e., either free-ride or over-investment), my study </w:t>
      </w:r>
      <w:r w:rsidRPr="003303F8">
        <w:rPr>
          <w:color w:val="000000"/>
          <w:kern w:val="0"/>
          <w:sz w:val="24"/>
          <w:szCs w:val="24"/>
        </w:rPr>
        <w:t xml:space="preserve">provides evidence consistent with the existence of a positive externality of financial information quality. The finding supports the positive externality based rationale for regulations that </w:t>
      </w:r>
      <w:r w:rsidRPr="003303F8">
        <w:rPr>
          <w:rFonts w:hint="eastAsia"/>
          <w:color w:val="000000"/>
          <w:kern w:val="0"/>
          <w:sz w:val="24"/>
          <w:szCs w:val="24"/>
        </w:rPr>
        <w:t>enforc</w:t>
      </w:r>
      <w:r w:rsidRPr="003303F8">
        <w:rPr>
          <w:color w:val="000000"/>
          <w:kern w:val="0"/>
          <w:sz w:val="24"/>
          <w:szCs w:val="24"/>
        </w:rPr>
        <w:t>e</w:t>
      </w:r>
      <w:r w:rsidRPr="003303F8">
        <w:rPr>
          <w:rFonts w:hint="eastAsia"/>
          <w:color w:val="000000"/>
          <w:kern w:val="0"/>
          <w:sz w:val="24"/>
          <w:szCs w:val="24"/>
        </w:rPr>
        <w:t xml:space="preserve"> high quality financial reporting</w:t>
      </w:r>
      <w:r w:rsidRPr="003303F8">
        <w:rPr>
          <w:color w:val="000000"/>
          <w:kern w:val="0"/>
          <w:sz w:val="24"/>
          <w:szCs w:val="24"/>
        </w:rPr>
        <w:t xml:space="preserve">. </w:t>
      </w:r>
    </w:p>
    <w:p w:rsidR="00A6008D" w:rsidRPr="003303F8" w:rsidRDefault="00A6008D">
      <w:pPr>
        <w:widowControl/>
        <w:overflowPunct/>
        <w:autoSpaceDE/>
        <w:autoSpaceDN/>
        <w:adjustRightInd/>
        <w:spacing w:line="480" w:lineRule="auto"/>
        <w:ind w:firstLine="720"/>
        <w:rPr>
          <w:kern w:val="0"/>
          <w:sz w:val="24"/>
          <w:szCs w:val="24"/>
        </w:rPr>
      </w:pPr>
      <w:r w:rsidRPr="003303F8">
        <w:rPr>
          <w:rFonts w:eastAsia="Times"/>
          <w:kern w:val="0"/>
          <w:sz w:val="24"/>
          <w:szCs w:val="24"/>
          <w:lang w:eastAsia="en-US"/>
        </w:rPr>
        <w:t xml:space="preserve">Third, my study shows </w:t>
      </w:r>
      <w:r w:rsidRPr="003303F8">
        <w:rPr>
          <w:rFonts w:hint="eastAsia"/>
          <w:kern w:val="0"/>
          <w:sz w:val="24"/>
          <w:szCs w:val="24"/>
        </w:rPr>
        <w:t xml:space="preserve">the </w:t>
      </w:r>
      <w:r w:rsidR="002F2271" w:rsidRPr="003303F8">
        <w:rPr>
          <w:kern w:val="0"/>
          <w:sz w:val="24"/>
          <w:szCs w:val="24"/>
        </w:rPr>
        <w:t>cost of equity effects of</w:t>
      </w:r>
      <w:r w:rsidRPr="003303F8">
        <w:rPr>
          <w:kern w:val="0"/>
          <w:sz w:val="24"/>
          <w:szCs w:val="24"/>
        </w:rPr>
        <w:t xml:space="preserve"> </w:t>
      </w:r>
      <w:r w:rsidRPr="003303F8">
        <w:rPr>
          <w:rFonts w:hint="eastAsia"/>
          <w:kern w:val="0"/>
          <w:sz w:val="24"/>
          <w:szCs w:val="24"/>
        </w:rPr>
        <w:t xml:space="preserve">peer firm earnings quality </w:t>
      </w:r>
      <w:r w:rsidRPr="003303F8">
        <w:rPr>
          <w:kern w:val="0"/>
          <w:sz w:val="24"/>
          <w:szCs w:val="24"/>
        </w:rPr>
        <w:t>depend on</w:t>
      </w:r>
      <w:r w:rsidR="002F2271" w:rsidRPr="003303F8">
        <w:rPr>
          <w:kern w:val="0"/>
          <w:sz w:val="24"/>
          <w:szCs w:val="24"/>
        </w:rPr>
        <w:t xml:space="preserve"> a firm’s</w:t>
      </w:r>
      <w:r w:rsidR="00D16990" w:rsidRPr="003303F8">
        <w:rPr>
          <w:kern w:val="0"/>
          <w:sz w:val="24"/>
          <w:szCs w:val="24"/>
        </w:rPr>
        <w:t xml:space="preserve"> relative</w:t>
      </w:r>
      <w:r w:rsidR="002F2271" w:rsidRPr="003303F8">
        <w:rPr>
          <w:kern w:val="0"/>
          <w:sz w:val="24"/>
          <w:szCs w:val="24"/>
        </w:rPr>
        <w:t xml:space="preserve"> profitability</w:t>
      </w:r>
      <w:r w:rsidR="006535C9" w:rsidRPr="003303F8">
        <w:rPr>
          <w:kern w:val="0"/>
          <w:sz w:val="24"/>
          <w:szCs w:val="24"/>
        </w:rPr>
        <w:t xml:space="preserve"> and </w:t>
      </w:r>
      <w:r w:rsidR="002F2271" w:rsidRPr="003303F8">
        <w:rPr>
          <w:kern w:val="0"/>
          <w:sz w:val="24"/>
          <w:szCs w:val="24"/>
        </w:rPr>
        <w:t>multinational operation</w:t>
      </w:r>
      <w:r w:rsidR="00CF0C16" w:rsidRPr="003303F8">
        <w:rPr>
          <w:kern w:val="0"/>
          <w:sz w:val="24"/>
          <w:szCs w:val="24"/>
        </w:rPr>
        <w:t>s</w:t>
      </w:r>
      <w:r w:rsidRPr="003303F8">
        <w:rPr>
          <w:rFonts w:hint="eastAsia"/>
          <w:kern w:val="0"/>
          <w:sz w:val="24"/>
          <w:szCs w:val="24"/>
        </w:rPr>
        <w:t>.</w:t>
      </w:r>
      <w:r w:rsidRPr="003303F8">
        <w:rPr>
          <w:kern w:val="0"/>
          <w:sz w:val="24"/>
          <w:szCs w:val="24"/>
        </w:rPr>
        <w:t xml:space="preserve"> Thus, these analyses contribute to well-developed prior research on the economic consequences of these factors by showing additional channels through which these factors can influence a firm’s value.</w:t>
      </w:r>
    </w:p>
    <w:p w:rsidR="00E91541" w:rsidRPr="003303F8" w:rsidRDefault="00C174EA" w:rsidP="000770D7">
      <w:pPr>
        <w:widowControl/>
        <w:overflowPunct/>
        <w:autoSpaceDE/>
        <w:autoSpaceDN/>
        <w:adjustRightInd/>
        <w:spacing w:line="480" w:lineRule="auto"/>
        <w:ind w:firstLine="720"/>
        <w:rPr>
          <w:rFonts w:eastAsia="Times"/>
          <w:kern w:val="0"/>
          <w:sz w:val="24"/>
          <w:szCs w:val="24"/>
          <w:lang w:eastAsia="en-US"/>
        </w:rPr>
      </w:pPr>
      <w:r w:rsidRPr="003303F8">
        <w:rPr>
          <w:rFonts w:eastAsia="Times"/>
          <w:kern w:val="0"/>
          <w:sz w:val="24"/>
          <w:szCs w:val="24"/>
          <w:lang w:eastAsia="en-US"/>
        </w:rPr>
        <w:t xml:space="preserve">The next section reviews the relevant theories and lays out the </w:t>
      </w:r>
      <w:r w:rsidR="006E7CAB" w:rsidRPr="003303F8">
        <w:rPr>
          <w:rFonts w:eastAsia="Times"/>
          <w:kern w:val="0"/>
          <w:sz w:val="24"/>
          <w:szCs w:val="24"/>
          <w:lang w:eastAsia="en-US"/>
        </w:rPr>
        <w:t>hypothesis</w:t>
      </w:r>
      <w:r w:rsidRPr="003303F8">
        <w:rPr>
          <w:rFonts w:eastAsia="Times"/>
          <w:kern w:val="0"/>
          <w:sz w:val="24"/>
          <w:szCs w:val="24"/>
          <w:lang w:eastAsia="en-US"/>
        </w:rPr>
        <w:t xml:space="preserve">. Section 3 presents the research design and sample selection. Section 4 discusses primary empirical findings and Section 5 </w:t>
      </w:r>
      <w:r w:rsidRPr="003303F8">
        <w:rPr>
          <w:rFonts w:hint="eastAsia"/>
          <w:kern w:val="0"/>
          <w:sz w:val="24"/>
          <w:szCs w:val="24"/>
        </w:rPr>
        <w:t>explain</w:t>
      </w:r>
      <w:r w:rsidRPr="003303F8">
        <w:rPr>
          <w:rFonts w:eastAsia="Times"/>
          <w:kern w:val="0"/>
          <w:sz w:val="24"/>
          <w:szCs w:val="24"/>
          <w:lang w:eastAsia="en-US"/>
        </w:rPr>
        <w:t>s additional findings. Finally, Section 6 concludes the paper.</w:t>
      </w:r>
    </w:p>
    <w:p w:rsidR="00E91541" w:rsidRPr="003303F8" w:rsidRDefault="00E91541">
      <w:pPr>
        <w:widowControl/>
        <w:overflowPunct/>
        <w:autoSpaceDE/>
        <w:autoSpaceDN/>
        <w:adjustRightInd/>
        <w:rPr>
          <w:rFonts w:eastAsia="Times"/>
          <w:kern w:val="0"/>
          <w:sz w:val="24"/>
          <w:szCs w:val="24"/>
          <w:lang w:eastAsia="en-US"/>
        </w:rPr>
      </w:pPr>
      <w:r w:rsidRPr="003303F8">
        <w:rPr>
          <w:rFonts w:eastAsia="Times"/>
          <w:kern w:val="0"/>
          <w:sz w:val="24"/>
          <w:szCs w:val="24"/>
          <w:lang w:eastAsia="en-US"/>
        </w:rPr>
        <w:br w:type="page"/>
      </w:r>
    </w:p>
    <w:p w:rsidR="00C174EA" w:rsidRPr="003303F8" w:rsidRDefault="008176E7" w:rsidP="00931FD3">
      <w:pPr>
        <w:pStyle w:val="Heading1"/>
        <w:spacing w:line="480" w:lineRule="auto"/>
        <w:rPr>
          <w:szCs w:val="24"/>
        </w:rPr>
      </w:pPr>
      <w:bookmarkStart w:id="6" w:name="_Toc378087493"/>
      <w:bookmarkStart w:id="7" w:name="_Toc378087533"/>
      <w:bookmarkStart w:id="8" w:name="_Toc378088342"/>
      <w:bookmarkStart w:id="9" w:name="_Toc378088731"/>
      <w:bookmarkStart w:id="10" w:name="_Toc378088867"/>
      <w:proofErr w:type="gramStart"/>
      <w:r w:rsidRPr="003303F8">
        <w:rPr>
          <w:szCs w:val="24"/>
        </w:rPr>
        <w:lastRenderedPageBreak/>
        <w:t>CHAPTER II.</w:t>
      </w:r>
      <w:proofErr w:type="gramEnd"/>
      <w:r w:rsidRPr="003303F8">
        <w:rPr>
          <w:szCs w:val="24"/>
        </w:rPr>
        <w:t xml:space="preserve"> </w:t>
      </w:r>
      <w:r w:rsidR="00B45E58" w:rsidRPr="003303F8">
        <w:rPr>
          <w:szCs w:val="24"/>
        </w:rPr>
        <w:t>THEORIES AND HYPOTHESIS DEVELOPMENT</w:t>
      </w:r>
      <w:bookmarkEnd w:id="6"/>
      <w:bookmarkEnd w:id="7"/>
      <w:bookmarkEnd w:id="8"/>
      <w:bookmarkEnd w:id="9"/>
      <w:bookmarkEnd w:id="10"/>
      <w:r w:rsidR="00B45E58" w:rsidRPr="003303F8">
        <w:rPr>
          <w:szCs w:val="24"/>
        </w:rPr>
        <w:t xml:space="preserve"> </w:t>
      </w:r>
    </w:p>
    <w:p w:rsidR="00C174EA" w:rsidRPr="003303F8" w:rsidRDefault="00C174EA" w:rsidP="00931FD3">
      <w:pPr>
        <w:pStyle w:val="Heading2"/>
        <w:spacing w:before="0" w:line="480" w:lineRule="auto"/>
        <w:rPr>
          <w:szCs w:val="24"/>
        </w:rPr>
      </w:pPr>
      <w:bookmarkStart w:id="11" w:name="_Toc378087494"/>
      <w:bookmarkStart w:id="12" w:name="_Toc378087534"/>
      <w:bookmarkStart w:id="13" w:name="_Toc378088343"/>
      <w:bookmarkStart w:id="14" w:name="_Toc378088732"/>
      <w:bookmarkStart w:id="15" w:name="_Toc378088868"/>
      <w:r w:rsidRPr="003303F8">
        <w:rPr>
          <w:rFonts w:cs="Times New Roman"/>
          <w:color w:val="auto"/>
          <w:szCs w:val="24"/>
        </w:rPr>
        <w:t>Theories on the Firm-Specific Effects of Information Quality</w:t>
      </w:r>
      <w:bookmarkEnd w:id="11"/>
      <w:bookmarkEnd w:id="12"/>
      <w:bookmarkEnd w:id="13"/>
      <w:bookmarkEnd w:id="14"/>
      <w:bookmarkEnd w:id="15"/>
      <w:r w:rsidRPr="003303F8">
        <w:rPr>
          <w:rFonts w:cs="Times New Roman"/>
          <w:color w:val="auto"/>
          <w:szCs w:val="24"/>
        </w:rPr>
        <w:t xml:space="preserve"> </w:t>
      </w:r>
    </w:p>
    <w:p w:rsidR="00C174EA" w:rsidRPr="003303F8" w:rsidRDefault="00C174EA" w:rsidP="00C174EA">
      <w:pPr>
        <w:widowControl/>
        <w:overflowPunct/>
        <w:autoSpaceDE/>
        <w:autoSpaceDN/>
        <w:adjustRightInd/>
        <w:spacing w:line="480" w:lineRule="auto"/>
        <w:ind w:firstLine="720"/>
        <w:rPr>
          <w:rFonts w:eastAsia="Times"/>
          <w:i/>
          <w:kern w:val="0"/>
          <w:sz w:val="24"/>
          <w:szCs w:val="24"/>
          <w:lang w:eastAsia="en-US"/>
        </w:rPr>
      </w:pPr>
      <w:r w:rsidRPr="003303F8">
        <w:rPr>
          <w:rFonts w:eastAsia="Times"/>
          <w:kern w:val="0"/>
          <w:sz w:val="24"/>
          <w:szCs w:val="24"/>
          <w:lang w:eastAsia="en-US"/>
        </w:rPr>
        <w:t xml:space="preserve">Prior theoretical models provide several possible links between a firm’s information quality and its own cost of equity. In the secondary exchange market, investors need to be compensated for the risks of adverse selection, illiquidity, and large bid-ask spreads, resulting in a higher expected return or ex ante cost of equity (e.g., </w:t>
      </w:r>
      <w:proofErr w:type="spellStart"/>
      <w:r w:rsidRPr="003303F8">
        <w:rPr>
          <w:rFonts w:eastAsia="Times"/>
          <w:kern w:val="0"/>
          <w:sz w:val="24"/>
          <w:szCs w:val="24"/>
          <w:lang w:eastAsia="en-US"/>
        </w:rPr>
        <w:t>Amihud</w:t>
      </w:r>
      <w:proofErr w:type="spellEnd"/>
      <w:r w:rsidRPr="003303F8">
        <w:rPr>
          <w:rFonts w:eastAsia="Times"/>
          <w:kern w:val="0"/>
          <w:sz w:val="24"/>
          <w:szCs w:val="24"/>
          <w:lang w:eastAsia="en-US"/>
        </w:rPr>
        <w:t xml:space="preserve"> and </w:t>
      </w:r>
      <w:proofErr w:type="spellStart"/>
      <w:r w:rsidRPr="003303F8">
        <w:rPr>
          <w:rFonts w:eastAsia="Times"/>
          <w:kern w:val="0"/>
          <w:sz w:val="24"/>
          <w:szCs w:val="24"/>
          <w:lang w:eastAsia="en-US"/>
        </w:rPr>
        <w:t>Mendelson</w:t>
      </w:r>
      <w:proofErr w:type="spellEnd"/>
      <w:r w:rsidRPr="003303F8">
        <w:rPr>
          <w:rFonts w:eastAsia="Times"/>
          <w:kern w:val="0"/>
          <w:sz w:val="24"/>
          <w:szCs w:val="24"/>
          <w:lang w:eastAsia="en-US"/>
        </w:rPr>
        <w:t xml:space="preserve"> [1986]; </w:t>
      </w:r>
      <w:proofErr w:type="spellStart"/>
      <w:r w:rsidRPr="003303F8">
        <w:rPr>
          <w:rFonts w:eastAsia="Times"/>
          <w:kern w:val="0"/>
          <w:sz w:val="24"/>
          <w:szCs w:val="24"/>
          <w:lang w:eastAsia="en-US"/>
        </w:rPr>
        <w:t>Verrecchia</w:t>
      </w:r>
      <w:proofErr w:type="spellEnd"/>
      <w:r w:rsidRPr="003303F8">
        <w:rPr>
          <w:rFonts w:eastAsia="Times"/>
          <w:kern w:val="0"/>
          <w:sz w:val="24"/>
          <w:szCs w:val="24"/>
          <w:lang w:eastAsia="en-US"/>
        </w:rPr>
        <w:t xml:space="preserve"> [2001]; </w:t>
      </w:r>
      <w:proofErr w:type="spellStart"/>
      <w:r w:rsidRPr="003303F8">
        <w:rPr>
          <w:rFonts w:eastAsia="Times"/>
          <w:kern w:val="0"/>
          <w:sz w:val="24"/>
          <w:szCs w:val="24"/>
          <w:lang w:eastAsia="en-US"/>
        </w:rPr>
        <w:t>Garleanu</w:t>
      </w:r>
      <w:proofErr w:type="spellEnd"/>
      <w:r w:rsidRPr="003303F8">
        <w:rPr>
          <w:rFonts w:eastAsia="Times"/>
          <w:kern w:val="0"/>
          <w:sz w:val="24"/>
          <w:szCs w:val="24"/>
          <w:lang w:eastAsia="en-US"/>
        </w:rPr>
        <w:t xml:space="preserve"> and Pedersen [2004]). For example, Easley and O’Hara (2004) suggest that high information asymmetry increase</w:t>
      </w:r>
      <w:r w:rsidRPr="003303F8">
        <w:rPr>
          <w:rFonts w:hint="eastAsia"/>
          <w:kern w:val="0"/>
          <w:sz w:val="24"/>
          <w:szCs w:val="24"/>
        </w:rPr>
        <w:t>s</w:t>
      </w:r>
      <w:r w:rsidRPr="003303F8">
        <w:rPr>
          <w:rFonts w:eastAsia="Times"/>
          <w:kern w:val="0"/>
          <w:sz w:val="24"/>
          <w:szCs w:val="24"/>
          <w:lang w:eastAsia="en-US"/>
        </w:rPr>
        <w:t xml:space="preserve"> the probability for insiders to trade more profitably based on private information and thus imposes a risk on uninformed investors. </w:t>
      </w:r>
      <w:r w:rsidRPr="003303F8" w:rsidDel="009656BF">
        <w:rPr>
          <w:rFonts w:eastAsia="Times"/>
          <w:kern w:val="0"/>
          <w:sz w:val="24"/>
          <w:szCs w:val="24"/>
          <w:lang w:eastAsia="en-US"/>
        </w:rPr>
        <w:t xml:space="preserve">This risk needs to be compensated in a form of increased cost of equity. </w:t>
      </w:r>
      <w:r w:rsidRPr="003303F8">
        <w:rPr>
          <w:rFonts w:eastAsia="Times"/>
          <w:kern w:val="0"/>
          <w:sz w:val="24"/>
          <w:szCs w:val="24"/>
          <w:lang w:eastAsia="en-US"/>
        </w:rPr>
        <w:t xml:space="preserve">One general </w:t>
      </w:r>
      <w:r w:rsidRPr="003303F8">
        <w:rPr>
          <w:rFonts w:hint="eastAsia"/>
          <w:kern w:val="0"/>
          <w:sz w:val="24"/>
          <w:szCs w:val="24"/>
        </w:rPr>
        <w:t>feature</w:t>
      </w:r>
      <w:r w:rsidRPr="003303F8">
        <w:rPr>
          <w:rFonts w:eastAsia="Times"/>
          <w:kern w:val="0"/>
          <w:sz w:val="24"/>
          <w:szCs w:val="24"/>
          <w:lang w:eastAsia="en-US"/>
        </w:rPr>
        <w:t xml:space="preserve"> of the models above is that they generally develop in a single-firm setting, and these firm-specific (idiosyncratic) risk factors are likely to be diversified in “large economies” where investors can form portfolios of many stocks (Hughes</w:t>
      </w:r>
      <w:r w:rsidR="0015739B" w:rsidRPr="003303F8">
        <w:rPr>
          <w:rFonts w:eastAsia="Times"/>
          <w:kern w:val="0"/>
          <w:sz w:val="24"/>
          <w:szCs w:val="24"/>
          <w:lang w:eastAsia="en-US"/>
        </w:rPr>
        <w:t>,</w:t>
      </w:r>
      <w:r w:rsidRPr="003303F8">
        <w:rPr>
          <w:rFonts w:eastAsia="Times"/>
          <w:kern w:val="0"/>
          <w:sz w:val="24"/>
          <w:szCs w:val="24"/>
          <w:lang w:eastAsia="en-US"/>
        </w:rPr>
        <w:t xml:space="preserve"> </w:t>
      </w:r>
      <w:r w:rsidR="0015739B" w:rsidRPr="003303F8">
        <w:rPr>
          <w:rFonts w:eastAsia="Times"/>
          <w:kern w:val="0"/>
          <w:sz w:val="24"/>
          <w:szCs w:val="24"/>
          <w:lang w:eastAsia="en-US"/>
        </w:rPr>
        <w:t xml:space="preserve">Liu </w:t>
      </w:r>
      <w:r w:rsidRPr="003303F8">
        <w:rPr>
          <w:rFonts w:eastAsia="Times"/>
          <w:kern w:val="0"/>
          <w:sz w:val="24"/>
          <w:szCs w:val="24"/>
          <w:lang w:eastAsia="en-US"/>
        </w:rPr>
        <w:t>and Liu [2007]).</w:t>
      </w:r>
    </w:p>
    <w:p w:rsidR="00C174EA" w:rsidRDefault="00C174EA" w:rsidP="00C174EA">
      <w:pPr>
        <w:widowControl/>
        <w:overflowPunct/>
        <w:autoSpaceDE/>
        <w:autoSpaceDN/>
        <w:adjustRightInd/>
        <w:spacing w:line="480" w:lineRule="auto"/>
        <w:ind w:firstLine="720"/>
        <w:rPr>
          <w:rFonts w:eastAsia="Times"/>
          <w:kern w:val="0"/>
          <w:sz w:val="24"/>
          <w:szCs w:val="24"/>
          <w:lang w:eastAsia="en-US"/>
        </w:rPr>
      </w:pPr>
      <w:r w:rsidRPr="003303F8">
        <w:rPr>
          <w:rFonts w:eastAsia="Times"/>
          <w:kern w:val="0"/>
          <w:sz w:val="24"/>
          <w:szCs w:val="24"/>
          <w:lang w:eastAsia="en-US"/>
        </w:rPr>
        <w:t>In a multi-securities setting, LLV identify both direct and indirect effects of information quality on the cost of equity. As discussed in more detail later, their model starts from a classic</w:t>
      </w:r>
      <w:r w:rsidR="003E5846" w:rsidRPr="003303F8">
        <w:rPr>
          <w:rFonts w:eastAsia="Times"/>
          <w:kern w:val="0"/>
          <w:sz w:val="24"/>
          <w:szCs w:val="24"/>
          <w:lang w:eastAsia="en-US"/>
        </w:rPr>
        <w:t>al</w:t>
      </w:r>
      <w:r w:rsidRPr="003303F8">
        <w:rPr>
          <w:rFonts w:eastAsia="Times"/>
          <w:kern w:val="0"/>
          <w:sz w:val="24"/>
          <w:szCs w:val="24"/>
          <w:lang w:eastAsia="en-US"/>
        </w:rPr>
        <w:t xml:space="preserve"> capital asset pricing model and builds on the information economics literature. Specifically, the direct effects exist because low information quality gives investors “a noisy signal of the realization of cash flows in the future” (LLV, 375). As </w:t>
      </w:r>
      <w:r w:rsidR="00420518" w:rsidRPr="003303F8">
        <w:rPr>
          <w:rFonts w:eastAsia="Times"/>
          <w:kern w:val="0"/>
          <w:sz w:val="24"/>
          <w:szCs w:val="24"/>
          <w:lang w:eastAsia="en-US"/>
        </w:rPr>
        <w:t xml:space="preserve">the firm’s </w:t>
      </w:r>
      <w:r w:rsidRPr="003303F8">
        <w:rPr>
          <w:rFonts w:eastAsia="Times"/>
          <w:kern w:val="0"/>
          <w:sz w:val="24"/>
          <w:szCs w:val="24"/>
          <w:lang w:eastAsia="en-US"/>
        </w:rPr>
        <w:t xml:space="preserve">information quality improves, investors’ assessed </w:t>
      </w:r>
      <w:proofErr w:type="spellStart"/>
      <w:r w:rsidRPr="003303F8">
        <w:rPr>
          <w:rFonts w:eastAsia="Times"/>
          <w:kern w:val="0"/>
          <w:sz w:val="24"/>
          <w:szCs w:val="24"/>
          <w:lang w:eastAsia="en-US"/>
        </w:rPr>
        <w:t>covariances</w:t>
      </w:r>
      <w:proofErr w:type="spellEnd"/>
      <w:r w:rsidRPr="003303F8">
        <w:rPr>
          <w:rFonts w:eastAsia="Times"/>
          <w:kern w:val="0"/>
          <w:sz w:val="24"/>
          <w:szCs w:val="24"/>
          <w:lang w:eastAsia="en-US"/>
        </w:rPr>
        <w:t xml:space="preserve"> of a firm’s cash flows with the cash flows of other firms decrease, reducing </w:t>
      </w:r>
      <w:r w:rsidR="00420518" w:rsidRPr="003303F8">
        <w:rPr>
          <w:rFonts w:eastAsia="Times"/>
          <w:kern w:val="0"/>
          <w:sz w:val="24"/>
          <w:szCs w:val="24"/>
          <w:lang w:eastAsia="en-US"/>
        </w:rPr>
        <w:t>the</w:t>
      </w:r>
      <w:r w:rsidRPr="003303F8">
        <w:rPr>
          <w:rFonts w:eastAsia="Times"/>
          <w:kern w:val="0"/>
          <w:sz w:val="24"/>
          <w:szCs w:val="24"/>
          <w:lang w:eastAsia="en-US"/>
        </w:rPr>
        <w:t xml:space="preserve"> firm’s cost of equity through affecting the firm’s perceived </w:t>
      </w:r>
      <w:r w:rsidR="00D86B5F">
        <w:rPr>
          <w:rFonts w:eastAsia="Times"/>
          <w:kern w:val="0"/>
          <w:sz w:val="24"/>
          <w:szCs w:val="24"/>
          <w:lang w:eastAsia="en-US"/>
        </w:rPr>
        <w:t xml:space="preserve">systematic </w:t>
      </w:r>
      <w:r w:rsidRPr="003303F8">
        <w:rPr>
          <w:rFonts w:eastAsia="Times"/>
          <w:kern w:val="0"/>
          <w:sz w:val="24"/>
          <w:szCs w:val="24"/>
          <w:lang w:eastAsia="en-US"/>
        </w:rPr>
        <w:t xml:space="preserve">risk. The indirect effect happens because the firm’s earnings quality changes its real decisions </w:t>
      </w:r>
      <w:r w:rsidRPr="003303F8">
        <w:rPr>
          <w:rFonts w:eastAsia="Times"/>
          <w:kern w:val="0"/>
          <w:sz w:val="24"/>
          <w:szCs w:val="24"/>
          <w:lang w:eastAsia="en-US"/>
        </w:rPr>
        <w:lastRenderedPageBreak/>
        <w:t xml:space="preserve">and distributions of cash flows. LLV show that the effect of information quality on </w:t>
      </w:r>
      <w:proofErr w:type="spellStart"/>
      <w:r w:rsidRPr="003303F8">
        <w:rPr>
          <w:rFonts w:eastAsia="Times"/>
          <w:kern w:val="0"/>
          <w:sz w:val="24"/>
          <w:szCs w:val="24"/>
          <w:lang w:eastAsia="en-US"/>
        </w:rPr>
        <w:t>covariances</w:t>
      </w:r>
      <w:proofErr w:type="spellEnd"/>
      <w:r w:rsidRPr="003303F8">
        <w:rPr>
          <w:rFonts w:eastAsia="Times"/>
          <w:kern w:val="0"/>
          <w:sz w:val="24"/>
          <w:szCs w:val="24"/>
          <w:lang w:eastAsia="en-US"/>
        </w:rPr>
        <w:t xml:space="preserve"> is theoretically </w:t>
      </w:r>
      <w:proofErr w:type="spellStart"/>
      <w:r w:rsidR="00126C0D" w:rsidRPr="003303F8">
        <w:rPr>
          <w:rFonts w:eastAsia="Times"/>
          <w:kern w:val="0"/>
          <w:sz w:val="24"/>
          <w:szCs w:val="24"/>
          <w:lang w:eastAsia="en-US"/>
        </w:rPr>
        <w:t>undiversifiable</w:t>
      </w:r>
      <w:proofErr w:type="spellEnd"/>
      <w:r w:rsidR="00126C0D" w:rsidRPr="003303F8">
        <w:rPr>
          <w:kern w:val="0"/>
          <w:sz w:val="24"/>
          <w:szCs w:val="24"/>
        </w:rPr>
        <w:t xml:space="preserve"> </w:t>
      </w:r>
      <w:r w:rsidRPr="003303F8">
        <w:rPr>
          <w:kern w:val="0"/>
          <w:sz w:val="24"/>
          <w:szCs w:val="24"/>
        </w:rPr>
        <w:t>even in large economies</w:t>
      </w:r>
      <w:r w:rsidRPr="003303F8">
        <w:rPr>
          <w:rFonts w:eastAsia="Times"/>
          <w:kern w:val="0"/>
          <w:sz w:val="24"/>
          <w:szCs w:val="24"/>
          <w:lang w:eastAsia="en-US"/>
        </w:rPr>
        <w:t xml:space="preserve">. </w:t>
      </w:r>
    </w:p>
    <w:p w:rsidR="00D86B5F" w:rsidRPr="003303F8" w:rsidRDefault="00D86B5F" w:rsidP="00C174EA">
      <w:pPr>
        <w:widowControl/>
        <w:overflowPunct/>
        <w:autoSpaceDE/>
        <w:autoSpaceDN/>
        <w:adjustRightInd/>
        <w:spacing w:line="480" w:lineRule="auto"/>
        <w:ind w:firstLine="720"/>
        <w:rPr>
          <w:rFonts w:eastAsia="Times"/>
          <w:kern w:val="0"/>
          <w:sz w:val="24"/>
          <w:szCs w:val="24"/>
          <w:lang w:eastAsia="en-US"/>
        </w:rPr>
      </w:pPr>
    </w:p>
    <w:p w:rsidR="00C174EA" w:rsidRPr="003303F8" w:rsidRDefault="00C174EA" w:rsidP="00931FD3">
      <w:pPr>
        <w:pStyle w:val="Heading2"/>
        <w:spacing w:before="0" w:line="480" w:lineRule="auto"/>
        <w:rPr>
          <w:szCs w:val="24"/>
        </w:rPr>
      </w:pPr>
      <w:bookmarkStart w:id="16" w:name="_Toc378087495"/>
      <w:bookmarkStart w:id="17" w:name="_Toc378087535"/>
      <w:bookmarkStart w:id="18" w:name="_Toc378088344"/>
      <w:bookmarkStart w:id="19" w:name="_Toc378088733"/>
      <w:bookmarkStart w:id="20" w:name="_Toc378088869"/>
      <w:r w:rsidRPr="003303F8">
        <w:rPr>
          <w:rFonts w:cs="Times New Roman"/>
          <w:color w:val="auto"/>
          <w:szCs w:val="24"/>
        </w:rPr>
        <w:t>Theories on the Externality of Information Quality</w:t>
      </w:r>
      <w:bookmarkEnd w:id="16"/>
      <w:bookmarkEnd w:id="17"/>
      <w:bookmarkEnd w:id="18"/>
      <w:bookmarkEnd w:id="19"/>
      <w:bookmarkEnd w:id="20"/>
    </w:p>
    <w:p w:rsidR="00C174EA" w:rsidRPr="003303F8" w:rsidRDefault="00C174EA" w:rsidP="00E07762">
      <w:pPr>
        <w:widowControl/>
        <w:overflowPunct/>
        <w:spacing w:line="480" w:lineRule="auto"/>
        <w:ind w:firstLine="720"/>
        <w:rPr>
          <w:color w:val="000000"/>
          <w:kern w:val="0"/>
          <w:sz w:val="24"/>
          <w:szCs w:val="24"/>
        </w:rPr>
      </w:pPr>
      <w:r w:rsidRPr="003303F8">
        <w:rPr>
          <w:color w:val="000000"/>
          <w:kern w:val="0"/>
          <w:sz w:val="24"/>
          <w:szCs w:val="24"/>
        </w:rPr>
        <w:t>I</w:t>
      </w:r>
      <w:r w:rsidRPr="003303F8">
        <w:rPr>
          <w:rFonts w:eastAsia="Times"/>
          <w:kern w:val="0"/>
          <w:sz w:val="24"/>
          <w:szCs w:val="24"/>
          <w:lang w:eastAsia="en-US"/>
        </w:rPr>
        <w:t xml:space="preserve">n the presence of externalities, firms only tradeoff the firm-specific benefits and costs of high quality financial reporting but not the social </w:t>
      </w:r>
      <w:r w:rsidR="000B0DF7" w:rsidRPr="003303F8">
        <w:rPr>
          <w:rFonts w:eastAsia="Times"/>
          <w:kern w:val="0"/>
          <w:sz w:val="24"/>
          <w:szCs w:val="24"/>
          <w:lang w:eastAsia="en-US"/>
        </w:rPr>
        <w:t xml:space="preserve">benefits </w:t>
      </w:r>
      <w:r w:rsidRPr="003303F8">
        <w:rPr>
          <w:rFonts w:eastAsia="Times"/>
          <w:kern w:val="0"/>
          <w:sz w:val="24"/>
          <w:szCs w:val="24"/>
          <w:lang w:eastAsia="en-US"/>
        </w:rPr>
        <w:t>or costs (</w:t>
      </w:r>
      <w:proofErr w:type="spellStart"/>
      <w:r w:rsidR="000B0DF7" w:rsidRPr="003303F8">
        <w:rPr>
          <w:rFonts w:eastAsia="Times"/>
          <w:kern w:val="0"/>
          <w:sz w:val="24"/>
          <w:szCs w:val="24"/>
          <w:lang w:eastAsia="en-US"/>
        </w:rPr>
        <w:t>Coase</w:t>
      </w:r>
      <w:proofErr w:type="spellEnd"/>
      <w:r w:rsidR="000B0DF7" w:rsidRPr="003303F8">
        <w:rPr>
          <w:rFonts w:eastAsia="Times"/>
          <w:kern w:val="0"/>
          <w:sz w:val="24"/>
          <w:szCs w:val="24"/>
          <w:lang w:eastAsia="en-US"/>
        </w:rPr>
        <w:t xml:space="preserve"> [1960]; </w:t>
      </w:r>
      <w:proofErr w:type="spellStart"/>
      <w:r w:rsidRPr="003303F8">
        <w:rPr>
          <w:rFonts w:eastAsia="Times"/>
          <w:kern w:val="0"/>
          <w:sz w:val="24"/>
          <w:szCs w:val="24"/>
          <w:lang w:eastAsia="en-US"/>
        </w:rPr>
        <w:t>Admati</w:t>
      </w:r>
      <w:proofErr w:type="spellEnd"/>
      <w:r w:rsidRPr="003303F8">
        <w:rPr>
          <w:rFonts w:eastAsia="Times"/>
          <w:kern w:val="0"/>
          <w:sz w:val="24"/>
          <w:szCs w:val="24"/>
          <w:lang w:eastAsia="en-US"/>
        </w:rPr>
        <w:t xml:space="preserve"> and </w:t>
      </w:r>
      <w:proofErr w:type="spellStart"/>
      <w:r w:rsidRPr="003303F8">
        <w:rPr>
          <w:rFonts w:eastAsia="Times"/>
          <w:kern w:val="0"/>
          <w:sz w:val="24"/>
          <w:szCs w:val="24"/>
          <w:lang w:eastAsia="en-US"/>
        </w:rPr>
        <w:t>Pfleiderer</w:t>
      </w:r>
      <w:proofErr w:type="spellEnd"/>
      <w:r w:rsidRPr="003303F8">
        <w:rPr>
          <w:rFonts w:eastAsia="Times"/>
          <w:kern w:val="0"/>
          <w:sz w:val="24"/>
          <w:szCs w:val="24"/>
          <w:lang w:eastAsia="en-US"/>
        </w:rPr>
        <w:t xml:space="preserve"> [2000])</w:t>
      </w:r>
      <w:r w:rsidR="002E725C" w:rsidRPr="003303F8">
        <w:rPr>
          <w:rFonts w:eastAsia="Times"/>
          <w:kern w:val="0"/>
          <w:sz w:val="24"/>
          <w:szCs w:val="24"/>
          <w:lang w:eastAsia="en-US"/>
        </w:rPr>
        <w:t>.</w:t>
      </w:r>
      <w:r w:rsidR="0085534C" w:rsidRPr="003303F8">
        <w:rPr>
          <w:rStyle w:val="FootnoteReference"/>
          <w:rFonts w:eastAsia="Times"/>
          <w:kern w:val="0"/>
          <w:sz w:val="24"/>
          <w:szCs w:val="24"/>
          <w:lang w:eastAsia="en-US"/>
        </w:rPr>
        <w:footnoteReference w:id="8"/>
      </w:r>
      <w:r w:rsidRPr="003303F8">
        <w:rPr>
          <w:rFonts w:eastAsia="Times"/>
          <w:kern w:val="0"/>
          <w:sz w:val="24"/>
          <w:szCs w:val="24"/>
          <w:lang w:eastAsia="en-US"/>
        </w:rPr>
        <w:t xml:space="preserve"> Then, regulations potentially </w:t>
      </w:r>
      <w:r w:rsidR="0085534C" w:rsidRPr="003303F8">
        <w:rPr>
          <w:rFonts w:eastAsia="Times"/>
          <w:kern w:val="0"/>
          <w:sz w:val="24"/>
          <w:szCs w:val="24"/>
          <w:lang w:eastAsia="en-US"/>
        </w:rPr>
        <w:t>improve</w:t>
      </w:r>
      <w:r w:rsidRPr="003303F8">
        <w:rPr>
          <w:rFonts w:eastAsia="Times"/>
          <w:kern w:val="0"/>
          <w:sz w:val="24"/>
          <w:szCs w:val="24"/>
          <w:lang w:eastAsia="en-US"/>
        </w:rPr>
        <w:t xml:space="preserve"> </w:t>
      </w:r>
      <w:r w:rsidR="000B0DF7" w:rsidRPr="003303F8">
        <w:rPr>
          <w:rFonts w:eastAsia="Times"/>
          <w:kern w:val="0"/>
          <w:sz w:val="24"/>
          <w:szCs w:val="24"/>
          <w:lang w:eastAsia="en-US"/>
        </w:rPr>
        <w:t>the suboptimal social welfare</w:t>
      </w:r>
      <w:r w:rsidRPr="003303F8">
        <w:rPr>
          <w:rFonts w:eastAsia="Times"/>
          <w:kern w:val="0"/>
          <w:sz w:val="24"/>
          <w:szCs w:val="24"/>
          <w:lang w:eastAsia="en-US"/>
        </w:rPr>
        <w:t xml:space="preserve"> caused by the externalities. Therefore, it is important to theoretically understand the externality of accounting information quality.  Knowledge about the externality </w:t>
      </w:r>
      <w:r w:rsidRPr="003303F8">
        <w:rPr>
          <w:kern w:val="0"/>
          <w:sz w:val="24"/>
          <w:szCs w:val="24"/>
        </w:rPr>
        <w:t xml:space="preserve">potentially </w:t>
      </w:r>
      <w:r w:rsidRPr="003303F8">
        <w:rPr>
          <w:rFonts w:hint="eastAsia"/>
          <w:kern w:val="0"/>
          <w:sz w:val="24"/>
          <w:szCs w:val="24"/>
        </w:rPr>
        <w:t>shed</w:t>
      </w:r>
      <w:r w:rsidRPr="003303F8">
        <w:rPr>
          <w:kern w:val="0"/>
          <w:sz w:val="24"/>
          <w:szCs w:val="24"/>
        </w:rPr>
        <w:t>s</w:t>
      </w:r>
      <w:r w:rsidRPr="003303F8">
        <w:rPr>
          <w:rFonts w:hint="eastAsia"/>
          <w:kern w:val="0"/>
          <w:sz w:val="24"/>
          <w:szCs w:val="24"/>
        </w:rPr>
        <w:t xml:space="preserve"> light on</w:t>
      </w:r>
      <w:r w:rsidRPr="003303F8">
        <w:rPr>
          <w:rFonts w:eastAsia="Times"/>
          <w:kern w:val="0"/>
          <w:sz w:val="24"/>
          <w:szCs w:val="24"/>
          <w:lang w:eastAsia="en-US"/>
        </w:rPr>
        <w:t xml:space="preserve"> the </w:t>
      </w:r>
      <w:r w:rsidRPr="003303F8">
        <w:rPr>
          <w:rFonts w:hint="eastAsia"/>
          <w:kern w:val="0"/>
          <w:sz w:val="24"/>
          <w:szCs w:val="24"/>
        </w:rPr>
        <w:t xml:space="preserve">social value </w:t>
      </w:r>
      <w:r w:rsidRPr="003303F8">
        <w:rPr>
          <w:rFonts w:eastAsia="Times"/>
          <w:kern w:val="0"/>
          <w:sz w:val="24"/>
          <w:szCs w:val="24"/>
          <w:lang w:eastAsia="en-US"/>
        </w:rPr>
        <w:t>of regulating corporate financial reports (</w:t>
      </w:r>
      <w:r w:rsidR="00BC6673" w:rsidRPr="003303F8">
        <w:rPr>
          <w:rFonts w:eastAsia="Times"/>
          <w:kern w:val="0"/>
          <w:sz w:val="24"/>
          <w:szCs w:val="24"/>
          <w:lang w:eastAsia="en-US"/>
        </w:rPr>
        <w:t>Dye [1990];</w:t>
      </w:r>
      <w:r w:rsidR="00BC6673" w:rsidRPr="003303F8">
        <w:rPr>
          <w:sz w:val="24"/>
          <w:szCs w:val="24"/>
        </w:rPr>
        <w:t xml:space="preserve"> </w:t>
      </w:r>
      <w:proofErr w:type="spellStart"/>
      <w:r w:rsidRPr="003303F8">
        <w:rPr>
          <w:rFonts w:eastAsia="Times"/>
          <w:kern w:val="0"/>
          <w:sz w:val="24"/>
          <w:szCs w:val="24"/>
          <w:lang w:eastAsia="en-US"/>
        </w:rPr>
        <w:t>Leuz</w:t>
      </w:r>
      <w:proofErr w:type="spellEnd"/>
      <w:r w:rsidRPr="003303F8">
        <w:rPr>
          <w:rFonts w:eastAsia="Times"/>
          <w:kern w:val="0"/>
          <w:sz w:val="24"/>
          <w:szCs w:val="24"/>
          <w:lang w:eastAsia="en-US"/>
        </w:rPr>
        <w:t xml:space="preserve"> and </w:t>
      </w:r>
      <w:proofErr w:type="spellStart"/>
      <w:r w:rsidRPr="003303F8">
        <w:rPr>
          <w:rFonts w:eastAsia="Times"/>
          <w:kern w:val="0"/>
          <w:sz w:val="24"/>
          <w:szCs w:val="24"/>
          <w:lang w:eastAsia="en-US"/>
        </w:rPr>
        <w:t>Wysocki</w:t>
      </w:r>
      <w:proofErr w:type="spellEnd"/>
      <w:r w:rsidRPr="003303F8">
        <w:rPr>
          <w:rFonts w:eastAsia="Times"/>
          <w:kern w:val="0"/>
          <w:sz w:val="24"/>
          <w:szCs w:val="24"/>
          <w:lang w:eastAsia="en-US"/>
        </w:rPr>
        <w:t xml:space="preserve"> [2008]</w:t>
      </w:r>
      <w:r w:rsidRPr="003303F8">
        <w:rPr>
          <w:kern w:val="0"/>
          <w:sz w:val="24"/>
          <w:szCs w:val="24"/>
        </w:rPr>
        <w:t>;</w:t>
      </w:r>
      <w:r w:rsidRPr="003303F8">
        <w:rPr>
          <w:rFonts w:eastAsia="Times"/>
          <w:kern w:val="0"/>
          <w:sz w:val="24"/>
          <w:szCs w:val="24"/>
          <w:lang w:eastAsia="en-US"/>
        </w:rPr>
        <w:t xml:space="preserve"> </w:t>
      </w:r>
      <w:r w:rsidR="00BC6673" w:rsidRPr="003303F8">
        <w:rPr>
          <w:rFonts w:eastAsia="Times"/>
          <w:kern w:val="0"/>
          <w:sz w:val="24"/>
          <w:szCs w:val="24"/>
          <w:lang w:eastAsia="en-US"/>
        </w:rPr>
        <w:t>Beyer et al. [2011]</w:t>
      </w:r>
      <w:r w:rsidRPr="003303F8">
        <w:rPr>
          <w:rFonts w:eastAsia="Times"/>
          <w:kern w:val="0"/>
          <w:sz w:val="24"/>
          <w:szCs w:val="24"/>
          <w:lang w:eastAsia="en-US"/>
        </w:rPr>
        <w:t>).</w:t>
      </w:r>
      <w:r w:rsidR="00BC6673" w:rsidRPr="003303F8">
        <w:rPr>
          <w:rStyle w:val="FootnoteReference"/>
          <w:rFonts w:eastAsia="Times"/>
          <w:kern w:val="0"/>
          <w:sz w:val="24"/>
          <w:szCs w:val="24"/>
          <w:lang w:eastAsia="en-US"/>
        </w:rPr>
        <w:footnoteReference w:id="9"/>
      </w:r>
    </w:p>
    <w:p w:rsidR="00420518" w:rsidRPr="003303F8" w:rsidRDefault="00420518" w:rsidP="00461598">
      <w:pPr>
        <w:widowControl/>
        <w:overflowPunct/>
        <w:autoSpaceDE/>
        <w:autoSpaceDN/>
        <w:adjustRightInd/>
        <w:spacing w:line="480" w:lineRule="auto"/>
        <w:rPr>
          <w:rFonts w:eastAsia="Times"/>
          <w:kern w:val="0"/>
          <w:sz w:val="24"/>
          <w:szCs w:val="24"/>
          <w:lang w:eastAsia="en-US"/>
        </w:rPr>
      </w:pPr>
    </w:p>
    <w:p w:rsidR="00C174EA" w:rsidRPr="003303F8" w:rsidRDefault="00C174EA" w:rsidP="00931FD3">
      <w:pPr>
        <w:pStyle w:val="Heading3"/>
        <w:spacing w:before="0" w:line="480" w:lineRule="auto"/>
        <w:rPr>
          <w:i/>
          <w:sz w:val="24"/>
          <w:szCs w:val="24"/>
        </w:rPr>
      </w:pPr>
      <w:bookmarkStart w:id="21" w:name="_Toc378087496"/>
      <w:bookmarkStart w:id="22" w:name="_Toc378087536"/>
      <w:bookmarkStart w:id="23" w:name="_Toc378088345"/>
      <w:bookmarkStart w:id="24" w:name="_Toc378088734"/>
      <w:bookmarkStart w:id="25" w:name="_Toc378088870"/>
      <w:r w:rsidRPr="003303F8">
        <w:rPr>
          <w:rFonts w:ascii="Times New Roman" w:hAnsi="Times New Roman" w:cs="Times New Roman"/>
          <w:b w:val="0"/>
          <w:i/>
          <w:color w:val="auto"/>
          <w:sz w:val="24"/>
          <w:szCs w:val="24"/>
        </w:rPr>
        <w:t>CAPM in LLV</w:t>
      </w:r>
      <w:bookmarkEnd w:id="21"/>
      <w:bookmarkEnd w:id="22"/>
      <w:bookmarkEnd w:id="23"/>
      <w:bookmarkEnd w:id="24"/>
      <w:bookmarkEnd w:id="25"/>
    </w:p>
    <w:p w:rsidR="00C174EA" w:rsidRPr="003303F8" w:rsidRDefault="00C174EA" w:rsidP="00E07762">
      <w:pPr>
        <w:spacing w:line="480" w:lineRule="auto"/>
        <w:ind w:firstLine="720"/>
        <w:rPr>
          <w:sz w:val="24"/>
          <w:szCs w:val="24"/>
        </w:rPr>
      </w:pPr>
      <w:r w:rsidRPr="003303F8">
        <w:rPr>
          <w:sz w:val="24"/>
          <w:szCs w:val="24"/>
        </w:rPr>
        <w:t>LLV suggest their model sheds light on the externalities-based rationale for financial reporting regulations. In this section, I demonstrate the mechanisms of their model in detail. Under the assumptions</w:t>
      </w:r>
      <w:r w:rsidRPr="003303F8">
        <w:rPr>
          <w:rFonts w:hint="eastAsia"/>
          <w:sz w:val="24"/>
          <w:szCs w:val="24"/>
        </w:rPr>
        <w:t xml:space="preserve"> of the standard capital asset pricing model</w:t>
      </w:r>
      <w:r w:rsidRPr="003303F8">
        <w:rPr>
          <w:sz w:val="24"/>
          <w:szCs w:val="24"/>
        </w:rPr>
        <w:t>, my analysis starts from the following equation adopted from LLV (p. 395). LLV show that firm j’s expected return is an increasing function of the covariance of firm j’s end-of-period cash flow (</w:t>
      </w:r>
      <w:proofErr w:type="spellStart"/>
      <w:proofErr w:type="gramStart"/>
      <w:r w:rsidRPr="003303F8">
        <w:rPr>
          <w:sz w:val="24"/>
          <w:szCs w:val="24"/>
        </w:rPr>
        <w:t>V</w:t>
      </w:r>
      <w:r w:rsidRPr="003303F8">
        <w:rPr>
          <w:sz w:val="24"/>
          <w:szCs w:val="24"/>
          <w:vertAlign w:val="subscript"/>
        </w:rPr>
        <w:t>j</w:t>
      </w:r>
      <w:proofErr w:type="spellEnd"/>
      <w:proofErr w:type="gramEnd"/>
      <w:r w:rsidRPr="003303F8">
        <w:rPr>
          <w:sz w:val="24"/>
          <w:szCs w:val="24"/>
        </w:rPr>
        <w:t>) with the sum of all firms’ end-of-period cash flows (</w:t>
      </w:r>
      <w:proofErr w:type="spellStart"/>
      <w:r w:rsidRPr="003303F8">
        <w:rPr>
          <w:sz w:val="24"/>
          <w:szCs w:val="24"/>
        </w:rPr>
        <w:t>V</w:t>
      </w:r>
      <w:r w:rsidRPr="003303F8">
        <w:rPr>
          <w:sz w:val="24"/>
          <w:szCs w:val="24"/>
          <w:vertAlign w:val="subscript"/>
        </w:rPr>
        <w:t>k</w:t>
      </w:r>
      <w:proofErr w:type="spellEnd"/>
      <w:r w:rsidRPr="003303F8">
        <w:rPr>
          <w:sz w:val="24"/>
          <w:szCs w:val="24"/>
        </w:rPr>
        <w:t xml:space="preserve">). </w:t>
      </w:r>
      <w:r w:rsidRPr="003303F8">
        <w:rPr>
          <w:rFonts w:hint="eastAsia"/>
          <w:sz w:val="24"/>
          <w:szCs w:val="24"/>
        </w:rPr>
        <w:t xml:space="preserve">Then, this </w:t>
      </w:r>
      <w:r w:rsidRPr="003303F8">
        <w:rPr>
          <w:sz w:val="24"/>
          <w:szCs w:val="24"/>
        </w:rPr>
        <w:t xml:space="preserve">expected return is further decomposed into two components: </w:t>
      </w:r>
      <w:proofErr w:type="spellStart"/>
      <w:r w:rsidRPr="003303F8">
        <w:rPr>
          <w:sz w:val="24"/>
          <w:szCs w:val="24"/>
        </w:rPr>
        <w:t>i</w:t>
      </w:r>
      <w:proofErr w:type="spellEnd"/>
      <w:r w:rsidRPr="003303F8">
        <w:rPr>
          <w:sz w:val="24"/>
          <w:szCs w:val="24"/>
        </w:rPr>
        <w:t xml:space="preserve">) the firm’s own </w:t>
      </w:r>
      <w:r w:rsidRPr="003303F8">
        <w:rPr>
          <w:sz w:val="24"/>
          <w:szCs w:val="24"/>
        </w:rPr>
        <w:lastRenderedPageBreak/>
        <w:t xml:space="preserve">variance and ii) the firm’s </w:t>
      </w:r>
      <w:proofErr w:type="spellStart"/>
      <w:r w:rsidRPr="003303F8">
        <w:rPr>
          <w:sz w:val="24"/>
          <w:szCs w:val="24"/>
        </w:rPr>
        <w:t>covariances</w:t>
      </w:r>
      <w:proofErr w:type="spellEnd"/>
      <w:r w:rsidRPr="003303F8">
        <w:rPr>
          <w:sz w:val="24"/>
          <w:szCs w:val="24"/>
        </w:rPr>
        <w:t xml:space="preserve"> with other firms.</w:t>
      </w:r>
      <w:r w:rsidRPr="003303F8">
        <w:rPr>
          <w:rStyle w:val="FootnoteReference"/>
          <w:sz w:val="24"/>
          <w:szCs w:val="24"/>
        </w:rPr>
        <w:footnoteReference w:id="10"/>
      </w:r>
    </w:p>
    <w:tbl>
      <w:tblPr>
        <w:tblStyle w:val="TableGrid"/>
        <w:tblW w:w="81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9"/>
        <w:gridCol w:w="1440"/>
      </w:tblGrid>
      <w:tr w:rsidR="00C174EA" w:rsidRPr="003303F8" w:rsidTr="00931FD3">
        <w:trPr>
          <w:trHeight w:val="1367"/>
          <w:jc w:val="center"/>
        </w:trPr>
        <w:tc>
          <w:tcPr>
            <w:tcW w:w="6739" w:type="dxa"/>
            <w:vAlign w:val="center"/>
          </w:tcPr>
          <w:p w:rsidR="00C174EA" w:rsidRPr="003303F8" w:rsidRDefault="00596972" w:rsidP="002B3D99">
            <w:pPr>
              <w:widowControl/>
              <w:overflowPunct/>
              <w:autoSpaceDE/>
              <w:autoSpaceDN/>
              <w:adjustRightInd/>
              <w:spacing w:line="480" w:lineRule="auto"/>
              <w:jc w:val="center"/>
              <w:rPr>
                <w:sz w:val="24"/>
                <w:szCs w:val="24"/>
              </w:rPr>
            </w:pPr>
            <w:r w:rsidRPr="003303F8">
              <w:rPr>
                <w:i/>
                <w:color w:val="000000"/>
                <w:position w:val="-64"/>
                <w:sz w:val="24"/>
                <w:szCs w:val="24"/>
              </w:rPr>
              <w:object w:dxaOrig="5120" w:dyaOrig="1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25pt;height:62.25pt" o:ole="">
                  <v:imagedata r:id="rId11" o:title=""/>
                </v:shape>
                <o:OLEObject Type="Embed" ProgID="Equation.3" ShapeID="_x0000_i1025" DrawAspect="Content" ObjectID="_1458832542" r:id="rId12"/>
              </w:object>
            </w:r>
          </w:p>
        </w:tc>
        <w:tc>
          <w:tcPr>
            <w:tcW w:w="1440" w:type="dxa"/>
            <w:vAlign w:val="center"/>
          </w:tcPr>
          <w:p w:rsidR="00C174EA" w:rsidRPr="003303F8" w:rsidRDefault="00C174EA" w:rsidP="00E07762">
            <w:pPr>
              <w:widowControl/>
              <w:overflowPunct/>
              <w:autoSpaceDE/>
              <w:autoSpaceDN/>
              <w:adjustRightInd/>
              <w:spacing w:line="480" w:lineRule="auto"/>
              <w:jc w:val="right"/>
              <w:rPr>
                <w:sz w:val="24"/>
                <w:szCs w:val="24"/>
              </w:rPr>
            </w:pPr>
            <w:r w:rsidRPr="003303F8">
              <w:rPr>
                <w:sz w:val="24"/>
                <w:szCs w:val="24"/>
              </w:rPr>
              <w:t xml:space="preserve">(LLV:U1) </w:t>
            </w:r>
          </w:p>
        </w:tc>
      </w:tr>
    </w:tbl>
    <w:p w:rsidR="00C174EA" w:rsidRPr="003303F8" w:rsidRDefault="00C174EA" w:rsidP="00E07762">
      <w:pPr>
        <w:spacing w:line="480" w:lineRule="auto"/>
        <w:ind w:firstLine="720"/>
        <w:rPr>
          <w:sz w:val="24"/>
          <w:szCs w:val="24"/>
        </w:rPr>
      </w:pPr>
      <w:r w:rsidRPr="003303F8">
        <w:rPr>
          <w:sz w:val="24"/>
          <w:szCs w:val="24"/>
        </w:rPr>
        <w:t>LLV suggest that firm j’s information quality can directly affect the expected returns through both the firm’s own variance and covariances with other firms. Similarly, as shown below, I also argue that peer firms’ information quality can directly affect the expected returns through these two components.</w:t>
      </w:r>
      <w:r w:rsidRPr="003303F8">
        <w:rPr>
          <w:rStyle w:val="FootnoteReference"/>
          <w:sz w:val="24"/>
          <w:szCs w:val="24"/>
        </w:rPr>
        <w:footnoteReference w:id="11"/>
      </w:r>
    </w:p>
    <w:p w:rsidR="004D0F5E" w:rsidRPr="003303F8" w:rsidRDefault="004D0F5E" w:rsidP="008D1B2D">
      <w:pPr>
        <w:pStyle w:val="Heading3"/>
        <w:spacing w:before="0"/>
        <w:rPr>
          <w:rFonts w:ascii="Times New Roman" w:hAnsi="Times New Roman" w:cs="Times New Roman"/>
          <w:b w:val="0"/>
          <w:i/>
          <w:color w:val="auto"/>
          <w:sz w:val="24"/>
          <w:szCs w:val="24"/>
        </w:rPr>
      </w:pPr>
      <w:bookmarkStart w:id="26" w:name="_Toc378087497"/>
      <w:bookmarkStart w:id="27" w:name="_Toc378087537"/>
      <w:bookmarkStart w:id="28" w:name="_Toc378088346"/>
      <w:bookmarkStart w:id="29" w:name="_Toc378088735"/>
      <w:bookmarkStart w:id="30" w:name="_Toc378088871"/>
    </w:p>
    <w:p w:rsidR="00C174EA" w:rsidRPr="003303F8" w:rsidRDefault="00C174EA" w:rsidP="00931FD3">
      <w:pPr>
        <w:pStyle w:val="Heading3"/>
        <w:spacing w:before="0" w:line="480" w:lineRule="auto"/>
        <w:rPr>
          <w:i/>
          <w:sz w:val="24"/>
          <w:szCs w:val="24"/>
        </w:rPr>
      </w:pPr>
      <w:r w:rsidRPr="003303F8">
        <w:rPr>
          <w:rFonts w:ascii="Times New Roman" w:hAnsi="Times New Roman" w:cs="Times New Roman"/>
          <w:b w:val="0"/>
          <w:i/>
          <w:color w:val="auto"/>
          <w:sz w:val="24"/>
          <w:szCs w:val="24"/>
        </w:rPr>
        <w:t xml:space="preserve">Direct Effects </w:t>
      </w:r>
      <w:r w:rsidR="00461598" w:rsidRPr="003303F8">
        <w:rPr>
          <w:rFonts w:ascii="Times New Roman" w:hAnsi="Times New Roman" w:cs="Times New Roman"/>
          <w:b w:val="0"/>
          <w:i/>
          <w:color w:val="auto"/>
          <w:sz w:val="24"/>
          <w:szCs w:val="24"/>
        </w:rPr>
        <w:t>through</w:t>
      </w:r>
      <w:r w:rsidRPr="003303F8">
        <w:rPr>
          <w:rFonts w:ascii="Times New Roman" w:hAnsi="Times New Roman" w:cs="Times New Roman"/>
          <w:b w:val="0"/>
          <w:i/>
          <w:color w:val="auto"/>
          <w:sz w:val="24"/>
          <w:szCs w:val="24"/>
        </w:rPr>
        <w:t xml:space="preserve"> the Variance of the Firm’s Cash Flows</w:t>
      </w:r>
      <w:bookmarkEnd w:id="26"/>
      <w:bookmarkEnd w:id="27"/>
      <w:bookmarkEnd w:id="28"/>
      <w:bookmarkEnd w:id="29"/>
      <w:bookmarkEnd w:id="30"/>
    </w:p>
    <w:p w:rsidR="00C174EA" w:rsidRPr="003303F8" w:rsidRDefault="00C174EA" w:rsidP="00E07762">
      <w:pPr>
        <w:widowControl/>
        <w:overflowPunct/>
        <w:autoSpaceDE/>
        <w:autoSpaceDN/>
        <w:adjustRightInd/>
        <w:spacing w:line="480" w:lineRule="auto"/>
        <w:ind w:firstLine="720"/>
        <w:rPr>
          <w:sz w:val="24"/>
          <w:szCs w:val="24"/>
        </w:rPr>
      </w:pPr>
      <w:r w:rsidRPr="003303F8">
        <w:rPr>
          <w:rFonts w:eastAsia="Times"/>
          <w:kern w:val="0"/>
          <w:sz w:val="24"/>
          <w:szCs w:val="24"/>
          <w:lang w:eastAsia="en-US"/>
        </w:rPr>
        <w:t>The first channel</w:t>
      </w:r>
      <w:r w:rsidRPr="003303F8">
        <w:rPr>
          <w:kern w:val="0"/>
          <w:sz w:val="24"/>
          <w:szCs w:val="24"/>
        </w:rPr>
        <w:t xml:space="preserve"> is that h</w:t>
      </w:r>
      <w:r w:rsidRPr="003303F8">
        <w:rPr>
          <w:rFonts w:eastAsia="Times"/>
          <w:kern w:val="0"/>
          <w:sz w:val="24"/>
          <w:szCs w:val="24"/>
          <w:lang w:eastAsia="en-US"/>
        </w:rPr>
        <w:t xml:space="preserve">igh peer firm earnings quality </w:t>
      </w:r>
      <w:r w:rsidRPr="003303F8">
        <w:rPr>
          <w:i/>
          <w:kern w:val="0"/>
          <w:sz w:val="24"/>
          <w:szCs w:val="24"/>
        </w:rPr>
        <w:t>directly</w:t>
      </w:r>
      <w:r w:rsidRPr="003303F8">
        <w:rPr>
          <w:kern w:val="0"/>
          <w:sz w:val="24"/>
          <w:szCs w:val="24"/>
        </w:rPr>
        <w:t xml:space="preserve"> moves firm j’s cost of equity to the risk free rate through </w:t>
      </w:r>
      <w:r w:rsidRPr="003303F8">
        <w:rPr>
          <w:rFonts w:eastAsia="Times"/>
          <w:kern w:val="0"/>
          <w:sz w:val="24"/>
          <w:szCs w:val="24"/>
          <w:lang w:eastAsia="en-US"/>
        </w:rPr>
        <w:t>reduc</w:t>
      </w:r>
      <w:r w:rsidRPr="003303F8">
        <w:rPr>
          <w:kern w:val="0"/>
          <w:sz w:val="24"/>
          <w:szCs w:val="24"/>
        </w:rPr>
        <w:t>ing</w:t>
      </w:r>
      <w:r w:rsidRPr="003303F8">
        <w:rPr>
          <w:rFonts w:eastAsia="Times"/>
          <w:kern w:val="0"/>
          <w:sz w:val="24"/>
          <w:szCs w:val="24"/>
          <w:lang w:eastAsia="en-US"/>
        </w:rPr>
        <w:t xml:space="preserve"> investors’ assessed variance of firm j’s cash flows</w:t>
      </w:r>
      <w:r w:rsidRPr="003303F8">
        <w:rPr>
          <w:kern w:val="0"/>
          <w:sz w:val="24"/>
          <w:szCs w:val="24"/>
        </w:rPr>
        <w:t xml:space="preserve">. </w:t>
      </w:r>
      <w:r w:rsidRPr="003303F8">
        <w:rPr>
          <w:sz w:val="24"/>
          <w:szCs w:val="24"/>
        </w:rPr>
        <w:t xml:space="preserve">Following LLV, investors’ posterior </w:t>
      </w:r>
      <w:r w:rsidR="006974D4" w:rsidRPr="003303F8">
        <w:rPr>
          <w:sz w:val="24"/>
          <w:szCs w:val="24"/>
        </w:rPr>
        <w:t>expectation</w:t>
      </w:r>
      <w:r w:rsidRPr="003303F8">
        <w:rPr>
          <w:sz w:val="24"/>
          <w:szCs w:val="24"/>
        </w:rPr>
        <w:t xml:space="preserve"> for end-of-period cash flow has a normal distribution with mean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1350"/>
      </w:tblGrid>
      <w:tr w:rsidR="00C174EA" w:rsidRPr="003303F8" w:rsidTr="00931FD3">
        <w:trPr>
          <w:trHeight w:val="1341"/>
          <w:jc w:val="center"/>
        </w:trPr>
        <w:tc>
          <w:tcPr>
            <w:tcW w:w="6768" w:type="dxa"/>
            <w:vAlign w:val="center"/>
          </w:tcPr>
          <w:p w:rsidR="00C174EA" w:rsidRPr="003303F8" w:rsidRDefault="00896050" w:rsidP="00896050">
            <w:pPr>
              <w:spacing w:line="480" w:lineRule="auto"/>
              <w:jc w:val="center"/>
              <w:rPr>
                <w:sz w:val="24"/>
                <w:szCs w:val="24"/>
              </w:rPr>
            </w:pPr>
            <w:r w:rsidRPr="003303F8">
              <w:rPr>
                <w:i/>
                <w:color w:val="000000"/>
                <w:position w:val="-52"/>
                <w:sz w:val="24"/>
                <w:szCs w:val="24"/>
              </w:rPr>
              <w:object w:dxaOrig="5200" w:dyaOrig="1140">
                <v:shape id="_x0000_i1026" type="#_x0000_t75" style="width:252.75pt;height:54.75pt" o:ole="">
                  <v:imagedata r:id="rId13" o:title=""/>
                </v:shape>
                <o:OLEObject Type="Embed" ProgID="Equation.3" ShapeID="_x0000_i1026" DrawAspect="Content" ObjectID="_1458832543" r:id="rId14"/>
              </w:object>
            </w:r>
          </w:p>
        </w:tc>
        <w:tc>
          <w:tcPr>
            <w:tcW w:w="1350" w:type="dxa"/>
            <w:vAlign w:val="center"/>
          </w:tcPr>
          <w:p w:rsidR="00C174EA" w:rsidRPr="003303F8" w:rsidRDefault="00C174EA" w:rsidP="00E07762">
            <w:pPr>
              <w:widowControl/>
              <w:overflowPunct/>
              <w:autoSpaceDE/>
              <w:autoSpaceDN/>
              <w:adjustRightInd/>
              <w:spacing w:line="480" w:lineRule="auto"/>
              <w:jc w:val="right"/>
              <w:rPr>
                <w:sz w:val="24"/>
                <w:szCs w:val="24"/>
              </w:rPr>
            </w:pPr>
            <w:r w:rsidRPr="003303F8">
              <w:rPr>
                <w:sz w:val="24"/>
                <w:szCs w:val="24"/>
              </w:rPr>
              <w:t xml:space="preserve">(LLV: U2) </w:t>
            </w:r>
          </w:p>
        </w:tc>
      </w:tr>
    </w:tbl>
    <w:p w:rsidR="00C174EA" w:rsidRPr="003303F8" w:rsidRDefault="00C174EA" w:rsidP="00E07762">
      <w:pPr>
        <w:spacing w:line="480" w:lineRule="auto"/>
        <w:rPr>
          <w:sz w:val="24"/>
          <w:szCs w:val="24"/>
        </w:rPr>
      </w:pPr>
      <w:r w:rsidRPr="003303F8">
        <w:rPr>
          <w:sz w:val="24"/>
          <w:szCs w:val="24"/>
        </w:rPr>
        <w:t>where V</w:t>
      </w:r>
      <w:r w:rsidRPr="003303F8">
        <w:rPr>
          <w:sz w:val="24"/>
          <w:szCs w:val="24"/>
          <w:vertAlign w:val="subscript"/>
        </w:rPr>
        <w:t>0j</w:t>
      </w:r>
      <w:r w:rsidRPr="003303F8">
        <w:rPr>
          <w:sz w:val="24"/>
          <w:szCs w:val="24"/>
        </w:rPr>
        <w:t xml:space="preserve"> and ω</w:t>
      </w:r>
      <w:r w:rsidRPr="003303F8">
        <w:rPr>
          <w:sz w:val="24"/>
          <w:szCs w:val="24"/>
          <w:vertAlign w:val="subscript"/>
        </w:rPr>
        <w:t>j</w:t>
      </w:r>
      <w:r w:rsidRPr="003303F8">
        <w:rPr>
          <w:sz w:val="24"/>
          <w:szCs w:val="24"/>
        </w:rPr>
        <w:t xml:space="preserve"> represent the ex ante expected value and ex ante precision of the end-of-period cash flow, respectively. Investors receive Q pieces of information Z</w:t>
      </w:r>
      <w:r w:rsidRPr="003303F8">
        <w:rPr>
          <w:sz w:val="24"/>
          <w:szCs w:val="24"/>
          <w:vertAlign w:val="subscript"/>
        </w:rPr>
        <w:t>j1</w:t>
      </w:r>
      <w:r w:rsidRPr="003303F8">
        <w:rPr>
          <w:sz w:val="24"/>
          <w:szCs w:val="24"/>
        </w:rPr>
        <w:t>……. Z</w:t>
      </w:r>
      <w:r w:rsidRPr="003303F8">
        <w:rPr>
          <w:sz w:val="24"/>
          <w:szCs w:val="24"/>
          <w:vertAlign w:val="subscript"/>
        </w:rPr>
        <w:t>jq</w:t>
      </w:r>
      <w:r w:rsidRPr="003303F8">
        <w:rPr>
          <w:sz w:val="24"/>
          <w:szCs w:val="24"/>
        </w:rPr>
        <w:t xml:space="preserve"> , which have implications for understanding firm j’s future cash flows. LLV suggest that firm j’s own variance is a negative function of γ</w:t>
      </w:r>
      <w:r w:rsidRPr="003303F8">
        <w:rPr>
          <w:sz w:val="24"/>
          <w:szCs w:val="24"/>
          <w:vertAlign w:val="subscript"/>
        </w:rPr>
        <w:t>j</w:t>
      </w:r>
      <w:r w:rsidRPr="003303F8">
        <w:rPr>
          <w:sz w:val="24"/>
          <w:szCs w:val="24"/>
        </w:rPr>
        <w:t xml:space="preserve">, which is the precision of the Q pieces of information received. Therefore, as the information quality improves, the </w:t>
      </w:r>
      <w:r w:rsidRPr="003303F8">
        <w:rPr>
          <w:sz w:val="24"/>
          <w:szCs w:val="24"/>
        </w:rPr>
        <w:lastRenderedPageBreak/>
        <w:t xml:space="preserve">variance reduces. </w:t>
      </w:r>
      <w:r w:rsidRPr="003303F8">
        <w:rPr>
          <w:rFonts w:eastAsia="Times"/>
          <w:kern w:val="0"/>
          <w:sz w:val="24"/>
          <w:szCs w:val="24"/>
          <w:lang w:eastAsia="en-US"/>
        </w:rPr>
        <w:t xml:space="preserve">As different firms’ values are likely to be correlated, the financial information of peer firms is useful to investors in assessing the distribution of firm j’s </w:t>
      </w:r>
      <w:r w:rsidR="00325D74" w:rsidRPr="003303F8">
        <w:rPr>
          <w:rFonts w:eastAsia="Times"/>
          <w:kern w:val="0"/>
          <w:sz w:val="24"/>
          <w:szCs w:val="24"/>
          <w:lang w:eastAsia="en-US"/>
        </w:rPr>
        <w:t xml:space="preserve">expected </w:t>
      </w:r>
      <w:r w:rsidRPr="003303F8">
        <w:rPr>
          <w:rFonts w:eastAsia="Times"/>
          <w:kern w:val="0"/>
          <w:sz w:val="24"/>
          <w:szCs w:val="24"/>
          <w:lang w:eastAsia="en-US"/>
        </w:rPr>
        <w:t xml:space="preserve">future cash flows (Dye [1990]; Admati and Pfleiderer [2000]). </w:t>
      </w:r>
      <w:r w:rsidRPr="003303F8">
        <w:rPr>
          <w:sz w:val="24"/>
          <w:szCs w:val="24"/>
        </w:rPr>
        <w:t xml:space="preserve">Therefore, these peer firms’ earnings information should be included in the information set investors receive and use, and an increase in the precision (quality) of peer firms’ earnings information should </w:t>
      </w:r>
      <w:r w:rsidRPr="003303F8">
        <w:rPr>
          <w:i/>
          <w:sz w:val="24"/>
          <w:szCs w:val="24"/>
        </w:rPr>
        <w:t>reduce</w:t>
      </w:r>
      <w:r w:rsidRPr="003303F8">
        <w:rPr>
          <w:sz w:val="24"/>
          <w:szCs w:val="24"/>
        </w:rPr>
        <w:t xml:space="preserve"> firm j’s own variance. However, LLV suggest that this firm-specific variance may be diversified away in large economies when both the number of securities and the number of investors are large.</w:t>
      </w:r>
    </w:p>
    <w:p w:rsidR="00E92B68" w:rsidRPr="003303F8" w:rsidRDefault="00E92B68" w:rsidP="00931FD3">
      <w:pPr>
        <w:rPr>
          <w:sz w:val="24"/>
          <w:szCs w:val="24"/>
          <w:lang w:eastAsia="en-US"/>
        </w:rPr>
      </w:pPr>
    </w:p>
    <w:p w:rsidR="00C174EA" w:rsidRPr="003303F8" w:rsidRDefault="00C174EA" w:rsidP="00931FD3">
      <w:pPr>
        <w:pStyle w:val="Heading3"/>
        <w:snapToGrid w:val="0"/>
        <w:spacing w:before="0" w:line="480" w:lineRule="auto"/>
        <w:rPr>
          <w:i/>
          <w:sz w:val="24"/>
          <w:szCs w:val="24"/>
        </w:rPr>
      </w:pPr>
      <w:bookmarkStart w:id="31" w:name="_Toc378087498"/>
      <w:bookmarkStart w:id="32" w:name="_Toc378087538"/>
      <w:bookmarkStart w:id="33" w:name="_Toc378088347"/>
      <w:bookmarkStart w:id="34" w:name="_Toc378088736"/>
      <w:bookmarkStart w:id="35" w:name="_Toc378088872"/>
      <w:r w:rsidRPr="003303F8">
        <w:rPr>
          <w:rFonts w:ascii="Times New Roman" w:hAnsi="Times New Roman" w:cs="Times New Roman"/>
          <w:b w:val="0"/>
          <w:i/>
          <w:color w:val="auto"/>
          <w:sz w:val="24"/>
          <w:szCs w:val="24"/>
        </w:rPr>
        <w:t xml:space="preserve">Direct Effects </w:t>
      </w:r>
      <w:r w:rsidR="001E5F45" w:rsidRPr="003303F8">
        <w:rPr>
          <w:rFonts w:ascii="Times New Roman" w:hAnsi="Times New Roman" w:cs="Times New Roman"/>
          <w:b w:val="0"/>
          <w:i/>
          <w:color w:val="auto"/>
          <w:sz w:val="24"/>
          <w:szCs w:val="24"/>
        </w:rPr>
        <w:t>through</w:t>
      </w:r>
      <w:r w:rsidRPr="003303F8">
        <w:rPr>
          <w:rFonts w:ascii="Times New Roman" w:hAnsi="Times New Roman" w:cs="Times New Roman"/>
          <w:b w:val="0"/>
          <w:i/>
          <w:color w:val="auto"/>
          <w:sz w:val="24"/>
          <w:szCs w:val="24"/>
        </w:rPr>
        <w:t xml:space="preserve"> the Covariance with Other Firms’ Cash Flows</w:t>
      </w:r>
      <w:bookmarkEnd w:id="31"/>
      <w:bookmarkEnd w:id="32"/>
      <w:bookmarkEnd w:id="33"/>
      <w:bookmarkEnd w:id="34"/>
      <w:bookmarkEnd w:id="35"/>
    </w:p>
    <w:p w:rsidR="00C174EA" w:rsidRPr="003303F8" w:rsidRDefault="00C174EA" w:rsidP="00E07762">
      <w:pPr>
        <w:widowControl/>
        <w:overflowPunct/>
        <w:autoSpaceDE/>
        <w:autoSpaceDN/>
        <w:adjustRightInd/>
        <w:spacing w:line="480" w:lineRule="auto"/>
        <w:ind w:firstLine="720"/>
        <w:rPr>
          <w:sz w:val="24"/>
          <w:szCs w:val="24"/>
        </w:rPr>
      </w:pPr>
      <w:r w:rsidRPr="003303F8">
        <w:rPr>
          <w:sz w:val="24"/>
          <w:szCs w:val="24"/>
        </w:rPr>
        <w:t>Though the variance effect above is theoretically diversifiable in large economies, peer firms’ earnings quality can also affect firm j’s covariances with other firms. To simplify the analyses, LLV assume a market with two securities, k and j. Information about firm k’s cash flows is Z</w:t>
      </w:r>
      <w:r w:rsidRPr="003303F8">
        <w:rPr>
          <w:sz w:val="24"/>
          <w:szCs w:val="24"/>
          <w:vertAlign w:val="subscript"/>
        </w:rPr>
        <w:t>k</w:t>
      </w:r>
      <w:r w:rsidRPr="003303F8">
        <w:rPr>
          <w:sz w:val="24"/>
          <w:szCs w:val="24"/>
        </w:rPr>
        <w:t>, and information about firm j’s cash flows is Z</w:t>
      </w:r>
      <w:r w:rsidRPr="003303F8">
        <w:rPr>
          <w:sz w:val="24"/>
          <w:szCs w:val="24"/>
          <w:vertAlign w:val="subscript"/>
        </w:rPr>
        <w:t>j</w:t>
      </w:r>
      <w:r w:rsidRPr="003303F8">
        <w:rPr>
          <w:sz w:val="24"/>
          <w:szCs w:val="24"/>
        </w:rPr>
        <w:t xml:space="preserve">. </w:t>
      </w:r>
      <w:r w:rsidRPr="003303F8">
        <w:rPr>
          <w:sz w:val="24"/>
          <w:szCs w:val="24"/>
          <w:vertAlign w:val="subscript"/>
        </w:rPr>
        <w:t xml:space="preserve"> </w:t>
      </w:r>
      <w:r w:rsidRPr="003303F8">
        <w:rPr>
          <w:sz w:val="24"/>
          <w:szCs w:val="24"/>
        </w:rPr>
        <w:t>These two firms are each other’s peer firm. They show that, conditional on firm j’s information (Z</w:t>
      </w:r>
      <w:r w:rsidRPr="003303F8">
        <w:rPr>
          <w:sz w:val="24"/>
          <w:szCs w:val="24"/>
          <w:vertAlign w:val="subscript"/>
        </w:rPr>
        <w:t>j</w:t>
      </w:r>
      <w:r w:rsidRPr="003303F8">
        <w:rPr>
          <w:sz w:val="24"/>
          <w:szCs w:val="24"/>
        </w:rPr>
        <w:t xml:space="preserve">), the covariance of firm k’s and firm j’s expected future cash flows is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8"/>
        <w:gridCol w:w="1260"/>
      </w:tblGrid>
      <w:tr w:rsidR="00C174EA" w:rsidRPr="003303F8" w:rsidTr="00931FD3">
        <w:trPr>
          <w:trHeight w:val="1367"/>
        </w:trPr>
        <w:tc>
          <w:tcPr>
            <w:tcW w:w="6318" w:type="dxa"/>
            <w:vAlign w:val="center"/>
          </w:tcPr>
          <w:p w:rsidR="00C174EA" w:rsidRPr="003303F8" w:rsidRDefault="002957C6" w:rsidP="00E07762">
            <w:pPr>
              <w:widowControl/>
              <w:overflowPunct/>
              <w:autoSpaceDE/>
              <w:autoSpaceDN/>
              <w:adjustRightInd/>
              <w:spacing w:line="480" w:lineRule="auto"/>
              <w:jc w:val="center"/>
              <w:rPr>
                <w:sz w:val="24"/>
                <w:szCs w:val="24"/>
              </w:rPr>
            </w:pPr>
            <w:r w:rsidRPr="003303F8">
              <w:rPr>
                <w:i/>
                <w:color w:val="000000"/>
                <w:position w:val="-64"/>
                <w:sz w:val="24"/>
                <w:szCs w:val="24"/>
              </w:rPr>
              <w:object w:dxaOrig="4640" w:dyaOrig="1380">
                <v:shape id="_x0000_i1027" type="#_x0000_t75" style="width:219pt;height:63pt" o:ole="">
                  <v:imagedata r:id="rId15" o:title=""/>
                </v:shape>
                <o:OLEObject Type="Embed" ProgID="Equation.3" ShapeID="_x0000_i1027" DrawAspect="Content" ObjectID="_1458832544" r:id="rId16"/>
              </w:object>
            </w:r>
          </w:p>
        </w:tc>
        <w:tc>
          <w:tcPr>
            <w:tcW w:w="1260" w:type="dxa"/>
            <w:vAlign w:val="center"/>
          </w:tcPr>
          <w:p w:rsidR="00C174EA" w:rsidRPr="003303F8" w:rsidRDefault="00C174EA" w:rsidP="00E07762">
            <w:pPr>
              <w:widowControl/>
              <w:overflowPunct/>
              <w:autoSpaceDE/>
              <w:autoSpaceDN/>
              <w:adjustRightInd/>
              <w:spacing w:line="480" w:lineRule="auto"/>
              <w:jc w:val="center"/>
              <w:rPr>
                <w:sz w:val="24"/>
                <w:szCs w:val="24"/>
              </w:rPr>
            </w:pPr>
            <w:r w:rsidRPr="003303F8">
              <w:rPr>
                <w:sz w:val="24"/>
                <w:szCs w:val="24"/>
              </w:rPr>
              <w:t>(LLV: 6)</w:t>
            </w:r>
          </w:p>
        </w:tc>
      </w:tr>
    </w:tbl>
    <w:p w:rsidR="00C174EA" w:rsidRPr="003303F8" w:rsidRDefault="00536048" w:rsidP="00E07762">
      <w:pPr>
        <w:spacing w:line="480" w:lineRule="auto"/>
        <w:ind w:firstLine="720"/>
        <w:rPr>
          <w:sz w:val="24"/>
          <w:szCs w:val="24"/>
        </w:rPr>
      </w:pPr>
      <w:r w:rsidRPr="003303F8">
        <w:rPr>
          <w:sz w:val="24"/>
          <w:szCs w:val="24"/>
        </w:rPr>
        <w:t>Where</w:t>
      </w:r>
      <w:r w:rsidR="00C174EA" w:rsidRPr="003303F8">
        <w:rPr>
          <w:sz w:val="24"/>
          <w:szCs w:val="24"/>
        </w:rPr>
        <w:t xml:space="preserve"> ε</w:t>
      </w:r>
      <w:r w:rsidR="00C174EA" w:rsidRPr="003303F8">
        <w:rPr>
          <w:sz w:val="24"/>
          <w:szCs w:val="24"/>
          <w:vertAlign w:val="subscript"/>
        </w:rPr>
        <w:t>j</w:t>
      </w:r>
      <w:r w:rsidR="00C174EA" w:rsidRPr="003303F8">
        <w:rPr>
          <w:sz w:val="24"/>
          <w:szCs w:val="24"/>
        </w:rPr>
        <w:t xml:space="preserve"> is the error contained in firm j’s information set, and therefore Var[ε</w:t>
      </w:r>
      <w:r w:rsidR="00C174EA" w:rsidRPr="003303F8">
        <w:rPr>
          <w:sz w:val="24"/>
          <w:szCs w:val="24"/>
          <w:vertAlign w:val="subscript"/>
        </w:rPr>
        <w:t>j</w:t>
      </w:r>
      <w:r w:rsidR="00C174EA" w:rsidRPr="003303F8">
        <w:rPr>
          <w:sz w:val="24"/>
          <w:szCs w:val="24"/>
        </w:rPr>
        <w:t>] is an inverse measure of firm j’s information quality. This equation shows that a reduction in Var[ε</w:t>
      </w:r>
      <w:r w:rsidR="00C174EA" w:rsidRPr="003303F8">
        <w:rPr>
          <w:sz w:val="24"/>
          <w:szCs w:val="24"/>
          <w:vertAlign w:val="subscript"/>
        </w:rPr>
        <w:t>j</w:t>
      </w:r>
      <w:r w:rsidR="00C174EA" w:rsidRPr="003303F8">
        <w:rPr>
          <w:sz w:val="24"/>
          <w:szCs w:val="24"/>
        </w:rPr>
        <w:t>] moves Cov(V</w:t>
      </w:r>
      <w:r w:rsidR="00C174EA" w:rsidRPr="003303F8">
        <w:rPr>
          <w:sz w:val="24"/>
          <w:szCs w:val="24"/>
          <w:vertAlign w:val="subscript"/>
        </w:rPr>
        <w:t>j</w:t>
      </w:r>
      <w:r w:rsidR="00C174EA" w:rsidRPr="003303F8">
        <w:rPr>
          <w:sz w:val="24"/>
          <w:szCs w:val="24"/>
        </w:rPr>
        <w:t>,V</w:t>
      </w:r>
      <w:r w:rsidR="00C174EA" w:rsidRPr="003303F8">
        <w:rPr>
          <w:sz w:val="24"/>
          <w:szCs w:val="24"/>
          <w:vertAlign w:val="subscript"/>
        </w:rPr>
        <w:t>k</w:t>
      </w:r>
      <w:r w:rsidR="00C174EA" w:rsidRPr="003303F8">
        <w:rPr>
          <w:rFonts w:hint="eastAsia"/>
          <w:sz w:val="24"/>
          <w:szCs w:val="24"/>
        </w:rPr>
        <w:t>|</w:t>
      </w:r>
      <w:r w:rsidR="00C174EA" w:rsidRPr="003303F8">
        <w:rPr>
          <w:sz w:val="24"/>
          <w:szCs w:val="24"/>
        </w:rPr>
        <w:t xml:space="preserve"> </w:t>
      </w:r>
      <w:r w:rsidR="00C174EA" w:rsidRPr="003303F8">
        <w:rPr>
          <w:rFonts w:hint="eastAsia"/>
          <w:sz w:val="24"/>
          <w:szCs w:val="24"/>
        </w:rPr>
        <w:t>Z</w:t>
      </w:r>
      <w:r w:rsidR="00C174EA" w:rsidRPr="003303F8">
        <w:rPr>
          <w:sz w:val="24"/>
          <w:szCs w:val="24"/>
          <w:vertAlign w:val="subscript"/>
        </w:rPr>
        <w:t>j</w:t>
      </w:r>
      <w:r w:rsidR="00C174EA" w:rsidRPr="003303F8">
        <w:rPr>
          <w:sz w:val="24"/>
          <w:szCs w:val="24"/>
        </w:rPr>
        <w:t>) toward zero. However, as discussed in LLV (p. 400), whether the covariance is a positive or negative function of Var[ε</w:t>
      </w:r>
      <w:r w:rsidR="00C174EA" w:rsidRPr="003303F8">
        <w:rPr>
          <w:sz w:val="24"/>
          <w:szCs w:val="24"/>
          <w:vertAlign w:val="subscript"/>
        </w:rPr>
        <w:t>j</w:t>
      </w:r>
      <w:r w:rsidR="00C174EA" w:rsidRPr="003303F8">
        <w:rPr>
          <w:sz w:val="24"/>
          <w:szCs w:val="24"/>
        </w:rPr>
        <w:t>] depends on the sign of Cov(V</w:t>
      </w:r>
      <w:r w:rsidR="00C174EA" w:rsidRPr="003303F8">
        <w:rPr>
          <w:sz w:val="24"/>
          <w:szCs w:val="24"/>
          <w:vertAlign w:val="subscript"/>
        </w:rPr>
        <w:t>j</w:t>
      </w:r>
      <w:r w:rsidR="00C174EA" w:rsidRPr="003303F8">
        <w:rPr>
          <w:sz w:val="24"/>
          <w:szCs w:val="24"/>
        </w:rPr>
        <w:t>,V</w:t>
      </w:r>
      <w:r w:rsidR="00C174EA" w:rsidRPr="003303F8">
        <w:rPr>
          <w:sz w:val="24"/>
          <w:szCs w:val="24"/>
          <w:vertAlign w:val="subscript"/>
        </w:rPr>
        <w:t>k</w:t>
      </w:r>
      <w:r w:rsidR="00C174EA" w:rsidRPr="003303F8">
        <w:rPr>
          <w:sz w:val="24"/>
          <w:szCs w:val="24"/>
        </w:rPr>
        <w:t xml:space="preserve">), the unconditional covariance. In other words, if the sign of </w:t>
      </w:r>
      <w:r w:rsidR="00C174EA" w:rsidRPr="003303F8">
        <w:rPr>
          <w:sz w:val="24"/>
          <w:szCs w:val="24"/>
        </w:rPr>
        <w:lastRenderedPageBreak/>
        <w:t>Cov(V</w:t>
      </w:r>
      <w:r w:rsidR="00C174EA" w:rsidRPr="003303F8">
        <w:rPr>
          <w:sz w:val="24"/>
          <w:szCs w:val="24"/>
          <w:vertAlign w:val="subscript"/>
        </w:rPr>
        <w:t>j</w:t>
      </w:r>
      <w:r w:rsidR="00C174EA" w:rsidRPr="003303F8">
        <w:rPr>
          <w:sz w:val="24"/>
          <w:szCs w:val="24"/>
        </w:rPr>
        <w:t>,V</w:t>
      </w:r>
      <w:r w:rsidR="00C174EA" w:rsidRPr="003303F8">
        <w:rPr>
          <w:sz w:val="24"/>
          <w:szCs w:val="24"/>
          <w:vertAlign w:val="subscript"/>
        </w:rPr>
        <w:t>k</w:t>
      </w:r>
      <w:r w:rsidR="00C174EA" w:rsidRPr="003303F8">
        <w:rPr>
          <w:sz w:val="24"/>
          <w:szCs w:val="24"/>
        </w:rPr>
        <w:t>) is positive (negative), then a reduction in Var[ε</w:t>
      </w:r>
      <w:r w:rsidR="00C174EA" w:rsidRPr="003303F8">
        <w:rPr>
          <w:sz w:val="24"/>
          <w:szCs w:val="24"/>
          <w:vertAlign w:val="subscript"/>
        </w:rPr>
        <w:t>j</w:t>
      </w:r>
      <w:r w:rsidR="00C174EA" w:rsidRPr="003303F8">
        <w:rPr>
          <w:sz w:val="24"/>
          <w:szCs w:val="24"/>
        </w:rPr>
        <w:t xml:space="preserve">] decreases (increases) the conditional </w:t>
      </w:r>
      <w:r w:rsidR="002E725C" w:rsidRPr="003303F8">
        <w:rPr>
          <w:sz w:val="24"/>
          <w:szCs w:val="24"/>
        </w:rPr>
        <w:t>co</w:t>
      </w:r>
      <w:r w:rsidR="00C174EA" w:rsidRPr="003303F8">
        <w:rPr>
          <w:sz w:val="24"/>
          <w:szCs w:val="24"/>
        </w:rPr>
        <w:t>variance to zero. Given the fact that the covariances</w:t>
      </w:r>
      <w:r w:rsidR="00C174EA" w:rsidRPr="003303F8" w:rsidDel="00920FB6">
        <w:rPr>
          <w:sz w:val="24"/>
          <w:szCs w:val="24"/>
        </w:rPr>
        <w:t xml:space="preserve"> </w:t>
      </w:r>
      <w:r w:rsidR="00C174EA" w:rsidRPr="003303F8">
        <w:rPr>
          <w:sz w:val="24"/>
          <w:szCs w:val="24"/>
        </w:rPr>
        <w:t>of peer firms’ expected future cash flows are on average positive</w:t>
      </w:r>
      <w:r w:rsidR="00C174EA" w:rsidRPr="003303F8">
        <w:rPr>
          <w:rFonts w:hint="eastAsia"/>
          <w:sz w:val="24"/>
          <w:szCs w:val="24"/>
        </w:rPr>
        <w:t xml:space="preserve"> (e.g., Samuelson </w:t>
      </w:r>
      <w:r w:rsidR="00C174EA" w:rsidRPr="003303F8">
        <w:rPr>
          <w:sz w:val="24"/>
          <w:szCs w:val="24"/>
        </w:rPr>
        <w:t>[</w:t>
      </w:r>
      <w:r w:rsidR="00C174EA" w:rsidRPr="003303F8">
        <w:rPr>
          <w:rFonts w:hint="eastAsia"/>
          <w:sz w:val="24"/>
          <w:szCs w:val="24"/>
        </w:rPr>
        <w:t>1967</w:t>
      </w:r>
      <w:r w:rsidR="00C174EA" w:rsidRPr="003303F8">
        <w:rPr>
          <w:sz w:val="24"/>
          <w:szCs w:val="24"/>
        </w:rPr>
        <w:t xml:space="preserve">]; </w:t>
      </w:r>
      <w:r w:rsidR="00C174EA" w:rsidRPr="003303F8">
        <w:rPr>
          <w:kern w:val="0"/>
          <w:sz w:val="24"/>
          <w:szCs w:val="24"/>
        </w:rPr>
        <w:t>Foster [1981]</w:t>
      </w:r>
      <w:r w:rsidR="00C174EA" w:rsidRPr="003303F8">
        <w:rPr>
          <w:rFonts w:hint="eastAsia"/>
          <w:sz w:val="24"/>
          <w:szCs w:val="24"/>
        </w:rPr>
        <w:t>)</w:t>
      </w:r>
      <w:r w:rsidR="00C174EA" w:rsidRPr="003303F8">
        <w:rPr>
          <w:sz w:val="24"/>
          <w:szCs w:val="24"/>
        </w:rPr>
        <w:t>,</w:t>
      </w:r>
      <w:r w:rsidR="00C174EA" w:rsidRPr="003303F8">
        <w:rPr>
          <w:rStyle w:val="FootnoteReference"/>
          <w:sz w:val="24"/>
          <w:szCs w:val="24"/>
        </w:rPr>
        <w:t xml:space="preserve"> </w:t>
      </w:r>
      <w:r w:rsidR="00C174EA" w:rsidRPr="003303F8">
        <w:rPr>
          <w:rStyle w:val="FootnoteReference"/>
          <w:sz w:val="24"/>
          <w:szCs w:val="24"/>
        </w:rPr>
        <w:footnoteReference w:id="12"/>
      </w:r>
      <w:r w:rsidR="00C174EA" w:rsidRPr="003303F8">
        <w:rPr>
          <w:sz w:val="24"/>
          <w:szCs w:val="24"/>
        </w:rPr>
        <w:t xml:space="preserve"> I expect that an improvement in firm j’s information quality, on average, decreases the firm k’s covariance with firm j. Because j and k are each other’s peer firm, the analyses above </w:t>
      </w:r>
      <w:r w:rsidR="00C174EA" w:rsidRPr="003303F8">
        <w:rPr>
          <w:rFonts w:hint="eastAsia"/>
          <w:sz w:val="24"/>
          <w:szCs w:val="24"/>
        </w:rPr>
        <w:t>can be alternatively stated</w:t>
      </w:r>
      <w:r w:rsidR="00905FB0" w:rsidRPr="003303F8">
        <w:rPr>
          <w:sz w:val="24"/>
          <w:szCs w:val="24"/>
        </w:rPr>
        <w:t>:</w:t>
      </w:r>
      <w:r w:rsidR="00905FB0" w:rsidRPr="003303F8">
        <w:rPr>
          <w:rFonts w:hint="eastAsia"/>
          <w:sz w:val="24"/>
          <w:szCs w:val="24"/>
        </w:rPr>
        <w:t xml:space="preserve"> </w:t>
      </w:r>
      <w:r w:rsidR="00C174EA" w:rsidRPr="003303F8">
        <w:rPr>
          <w:rFonts w:hint="eastAsia"/>
          <w:sz w:val="24"/>
          <w:szCs w:val="24"/>
        </w:rPr>
        <w:t>as</w:t>
      </w:r>
      <w:r w:rsidR="00C174EA" w:rsidRPr="003303F8">
        <w:rPr>
          <w:sz w:val="24"/>
          <w:szCs w:val="24"/>
        </w:rPr>
        <w:t xml:space="preserve"> peer firm earnings quality increases, the assessed</w:t>
      </w:r>
      <w:r w:rsidR="00C174EA" w:rsidRPr="003303F8">
        <w:rPr>
          <w:rFonts w:hint="eastAsia"/>
          <w:sz w:val="24"/>
          <w:szCs w:val="24"/>
        </w:rPr>
        <w:t xml:space="preserve"> </w:t>
      </w:r>
      <w:r w:rsidR="00C174EA" w:rsidRPr="003303F8">
        <w:rPr>
          <w:sz w:val="24"/>
          <w:szCs w:val="24"/>
        </w:rPr>
        <w:t xml:space="preserve">covariance of one firm with </w:t>
      </w:r>
      <w:r w:rsidR="00C174EA" w:rsidRPr="003303F8">
        <w:rPr>
          <w:rFonts w:hint="eastAsia"/>
          <w:sz w:val="24"/>
          <w:szCs w:val="24"/>
        </w:rPr>
        <w:t xml:space="preserve">its </w:t>
      </w:r>
      <w:r w:rsidR="00C174EA" w:rsidRPr="003303F8">
        <w:rPr>
          <w:sz w:val="24"/>
          <w:szCs w:val="24"/>
        </w:rPr>
        <w:t>peer firm decrease</w:t>
      </w:r>
      <w:r w:rsidR="002E725C" w:rsidRPr="003303F8">
        <w:rPr>
          <w:sz w:val="24"/>
          <w:szCs w:val="24"/>
        </w:rPr>
        <w:t>s</w:t>
      </w:r>
      <w:r w:rsidR="00C174EA" w:rsidRPr="003303F8">
        <w:rPr>
          <w:sz w:val="24"/>
          <w:szCs w:val="24"/>
        </w:rPr>
        <w:t xml:space="preserve">, reducing the firm’s cost of equity. Also importantly, </w:t>
      </w:r>
      <w:r w:rsidR="00AE04B9" w:rsidRPr="003303F8">
        <w:rPr>
          <w:sz w:val="24"/>
          <w:szCs w:val="24"/>
        </w:rPr>
        <w:t xml:space="preserve">LLV suggest that </w:t>
      </w:r>
      <w:r w:rsidR="00C174EA" w:rsidRPr="003303F8">
        <w:rPr>
          <w:sz w:val="24"/>
          <w:szCs w:val="24"/>
        </w:rPr>
        <w:t>this covariance effect is not diversifiable even in large economies.</w:t>
      </w:r>
    </w:p>
    <w:p w:rsidR="0011438A" w:rsidRPr="003303F8" w:rsidRDefault="0011438A" w:rsidP="00461598">
      <w:pPr>
        <w:spacing w:line="480" w:lineRule="auto"/>
        <w:rPr>
          <w:rFonts w:eastAsia="Times"/>
          <w:kern w:val="0"/>
          <w:sz w:val="24"/>
          <w:szCs w:val="24"/>
          <w:lang w:eastAsia="en-US"/>
        </w:rPr>
      </w:pPr>
    </w:p>
    <w:p w:rsidR="00C174EA" w:rsidRPr="003303F8" w:rsidRDefault="00C174EA" w:rsidP="00931FD3">
      <w:pPr>
        <w:pStyle w:val="Heading3"/>
        <w:snapToGrid w:val="0"/>
        <w:spacing w:before="0" w:line="480" w:lineRule="auto"/>
        <w:rPr>
          <w:i/>
          <w:sz w:val="24"/>
          <w:szCs w:val="24"/>
        </w:rPr>
      </w:pPr>
      <w:bookmarkStart w:id="36" w:name="_Toc378087499"/>
      <w:bookmarkStart w:id="37" w:name="_Toc378087539"/>
      <w:bookmarkStart w:id="38" w:name="_Toc378088348"/>
      <w:bookmarkStart w:id="39" w:name="_Toc378088737"/>
      <w:bookmarkStart w:id="40" w:name="_Toc378088873"/>
      <w:r w:rsidRPr="003303F8">
        <w:rPr>
          <w:rFonts w:ascii="Times New Roman" w:hAnsi="Times New Roman" w:cs="Times New Roman"/>
          <w:b w:val="0"/>
          <w:i/>
          <w:color w:val="auto"/>
          <w:sz w:val="24"/>
          <w:szCs w:val="24"/>
        </w:rPr>
        <w:t xml:space="preserve">Indirect Effects </w:t>
      </w:r>
      <w:r w:rsidR="00A03E17" w:rsidRPr="003303F8">
        <w:rPr>
          <w:rFonts w:ascii="Times New Roman" w:hAnsi="Times New Roman" w:cs="Times New Roman"/>
          <w:b w:val="0"/>
          <w:i/>
          <w:color w:val="auto"/>
          <w:sz w:val="24"/>
          <w:szCs w:val="24"/>
        </w:rPr>
        <w:t>through</w:t>
      </w:r>
      <w:r w:rsidRPr="003303F8">
        <w:rPr>
          <w:rFonts w:ascii="Times New Roman" w:hAnsi="Times New Roman" w:cs="Times New Roman"/>
          <w:b w:val="0"/>
          <w:i/>
          <w:color w:val="auto"/>
          <w:sz w:val="24"/>
          <w:szCs w:val="24"/>
        </w:rPr>
        <w:t xml:space="preserve"> Real Distributions of Expected Cash Flows</w:t>
      </w:r>
      <w:bookmarkEnd w:id="36"/>
      <w:bookmarkEnd w:id="37"/>
      <w:bookmarkEnd w:id="38"/>
      <w:bookmarkEnd w:id="39"/>
      <w:bookmarkEnd w:id="40"/>
    </w:p>
    <w:p w:rsidR="00C174EA" w:rsidRPr="003303F8" w:rsidRDefault="00C174EA" w:rsidP="00287A95">
      <w:pPr>
        <w:spacing w:line="480" w:lineRule="auto"/>
        <w:ind w:firstLine="720"/>
        <w:rPr>
          <w:sz w:val="24"/>
          <w:szCs w:val="24"/>
        </w:rPr>
      </w:pPr>
      <w:r w:rsidRPr="003303F8">
        <w:rPr>
          <w:sz w:val="24"/>
          <w:szCs w:val="24"/>
        </w:rPr>
        <w:t>Peer firm earnings quality can also indirectly affect a firm’s cost of equity</w:t>
      </w:r>
      <w:r w:rsidR="00944766" w:rsidRPr="003303F8">
        <w:rPr>
          <w:sz w:val="24"/>
          <w:szCs w:val="24"/>
        </w:rPr>
        <w:t xml:space="preserve"> in an un-diversifiable way by </w:t>
      </w:r>
      <w:r w:rsidR="00373224" w:rsidRPr="003303F8">
        <w:rPr>
          <w:sz w:val="24"/>
          <w:szCs w:val="24"/>
        </w:rPr>
        <w:t>changing</w:t>
      </w:r>
      <w:r w:rsidR="00944766" w:rsidRPr="003303F8">
        <w:rPr>
          <w:sz w:val="24"/>
          <w:szCs w:val="24"/>
        </w:rPr>
        <w:t xml:space="preserve"> the real distribution</w:t>
      </w:r>
      <w:r w:rsidR="00373224" w:rsidRPr="003303F8">
        <w:rPr>
          <w:sz w:val="24"/>
          <w:szCs w:val="24"/>
        </w:rPr>
        <w:t>s</w:t>
      </w:r>
      <w:r w:rsidR="00944766" w:rsidRPr="003303F8">
        <w:rPr>
          <w:sz w:val="24"/>
          <w:szCs w:val="24"/>
        </w:rPr>
        <w:t xml:space="preserve"> of the firm’s and peer firms’ cash flows</w:t>
      </w:r>
      <w:r w:rsidRPr="003303F8">
        <w:rPr>
          <w:sz w:val="24"/>
          <w:szCs w:val="24"/>
        </w:rPr>
        <w:t>.</w:t>
      </w:r>
      <w:r w:rsidR="00944766" w:rsidRPr="003303F8">
        <w:rPr>
          <w:sz w:val="24"/>
          <w:szCs w:val="24"/>
        </w:rPr>
        <w:t xml:space="preserve"> </w:t>
      </w:r>
      <w:r w:rsidR="00373224" w:rsidRPr="003303F8">
        <w:rPr>
          <w:sz w:val="24"/>
          <w:szCs w:val="24"/>
        </w:rPr>
        <w:t>For example, higher peer firm earnings quality may mitigate the agency problem</w:t>
      </w:r>
      <w:r w:rsidR="00D9458E" w:rsidRPr="003303F8">
        <w:rPr>
          <w:sz w:val="24"/>
          <w:szCs w:val="24"/>
        </w:rPr>
        <w:t>s</w:t>
      </w:r>
      <w:r w:rsidR="00373224" w:rsidRPr="003303F8">
        <w:rPr>
          <w:sz w:val="24"/>
          <w:szCs w:val="24"/>
        </w:rPr>
        <w:t xml:space="preserve"> in peer firms and</w:t>
      </w:r>
      <w:r w:rsidR="00D9458E" w:rsidRPr="003303F8">
        <w:rPr>
          <w:sz w:val="24"/>
          <w:szCs w:val="24"/>
        </w:rPr>
        <w:t xml:space="preserve"> thus</w:t>
      </w:r>
      <w:r w:rsidR="00373224" w:rsidRPr="003303F8">
        <w:rPr>
          <w:sz w:val="24"/>
          <w:szCs w:val="24"/>
        </w:rPr>
        <w:t xml:space="preserve"> increase peer firms’ expected future cash flows. </w:t>
      </w:r>
      <w:r w:rsidR="00D97228" w:rsidRPr="003303F8">
        <w:rPr>
          <w:sz w:val="24"/>
          <w:szCs w:val="24"/>
        </w:rPr>
        <w:t>H</w:t>
      </w:r>
      <w:r w:rsidR="00373224" w:rsidRPr="003303F8">
        <w:rPr>
          <w:sz w:val="24"/>
          <w:szCs w:val="24"/>
        </w:rPr>
        <w:t>igh</w:t>
      </w:r>
      <w:r w:rsidR="00D97228" w:rsidRPr="003303F8">
        <w:rPr>
          <w:sz w:val="24"/>
          <w:szCs w:val="24"/>
        </w:rPr>
        <w:t>er</w:t>
      </w:r>
      <w:r w:rsidR="00373224" w:rsidRPr="003303F8">
        <w:rPr>
          <w:sz w:val="24"/>
          <w:szCs w:val="24"/>
        </w:rPr>
        <w:t xml:space="preserve"> peer firm earnings quality can also </w:t>
      </w:r>
      <w:r w:rsidR="00D97228" w:rsidRPr="003303F8">
        <w:rPr>
          <w:sz w:val="24"/>
          <w:szCs w:val="24"/>
        </w:rPr>
        <w:t>change the expectation of the firm’s future cash flows by improving the firm’s</w:t>
      </w:r>
      <w:r w:rsidR="00373224" w:rsidRPr="003303F8">
        <w:rPr>
          <w:sz w:val="24"/>
          <w:szCs w:val="24"/>
        </w:rPr>
        <w:t xml:space="preserve"> </w:t>
      </w:r>
      <w:r w:rsidR="00D97228" w:rsidRPr="003303F8">
        <w:rPr>
          <w:sz w:val="24"/>
          <w:szCs w:val="24"/>
        </w:rPr>
        <w:t xml:space="preserve">real </w:t>
      </w:r>
      <w:r w:rsidR="00373224" w:rsidRPr="003303F8">
        <w:rPr>
          <w:sz w:val="24"/>
          <w:szCs w:val="24"/>
        </w:rPr>
        <w:t>deci</w:t>
      </w:r>
      <w:r w:rsidR="00D97228" w:rsidRPr="003303F8">
        <w:rPr>
          <w:sz w:val="24"/>
          <w:szCs w:val="24"/>
        </w:rPr>
        <w:t>sions in the product market</w:t>
      </w:r>
      <w:r w:rsidR="00373224" w:rsidRPr="003303F8">
        <w:rPr>
          <w:sz w:val="24"/>
          <w:szCs w:val="24"/>
        </w:rPr>
        <w:t xml:space="preserve"> (Verrecchia [2001];</w:t>
      </w:r>
      <w:r w:rsidR="00373224" w:rsidRPr="003303F8">
        <w:rPr>
          <w:rFonts w:hint="eastAsia"/>
          <w:sz w:val="24"/>
          <w:szCs w:val="24"/>
        </w:rPr>
        <w:t xml:space="preserve"> </w:t>
      </w:r>
      <w:r w:rsidR="00373224" w:rsidRPr="003303F8">
        <w:rPr>
          <w:rFonts w:eastAsia="Times"/>
          <w:kern w:val="0"/>
          <w:sz w:val="24"/>
          <w:szCs w:val="24"/>
          <w:lang w:eastAsia="en-US"/>
        </w:rPr>
        <w:t>Durnev and Mangen</w:t>
      </w:r>
      <w:r w:rsidR="00373224" w:rsidRPr="003303F8">
        <w:rPr>
          <w:rFonts w:hint="eastAsia"/>
          <w:kern w:val="0"/>
          <w:sz w:val="24"/>
          <w:szCs w:val="24"/>
        </w:rPr>
        <w:t xml:space="preserve"> </w:t>
      </w:r>
      <w:r w:rsidR="00373224" w:rsidRPr="003303F8">
        <w:rPr>
          <w:kern w:val="0"/>
          <w:sz w:val="24"/>
          <w:szCs w:val="24"/>
        </w:rPr>
        <w:t>[</w:t>
      </w:r>
      <w:r w:rsidR="00373224" w:rsidRPr="003303F8">
        <w:rPr>
          <w:rFonts w:eastAsia="Times"/>
          <w:kern w:val="0"/>
          <w:sz w:val="24"/>
          <w:szCs w:val="24"/>
          <w:lang w:eastAsia="en-US"/>
        </w:rPr>
        <w:t xml:space="preserve">2009]). These changes in </w:t>
      </w:r>
      <w:r w:rsidR="00373224" w:rsidRPr="003303F8">
        <w:rPr>
          <w:sz w:val="24"/>
          <w:szCs w:val="24"/>
        </w:rPr>
        <w:t xml:space="preserve">the firm’s and peer firms’ </w:t>
      </w:r>
      <w:r w:rsidR="00D97228" w:rsidRPr="003303F8">
        <w:rPr>
          <w:sz w:val="24"/>
          <w:szCs w:val="24"/>
        </w:rPr>
        <w:t xml:space="preserve">expected </w:t>
      </w:r>
      <w:r w:rsidR="00373224" w:rsidRPr="003303F8">
        <w:rPr>
          <w:sz w:val="24"/>
          <w:szCs w:val="24"/>
        </w:rPr>
        <w:t>cash flows</w:t>
      </w:r>
      <w:r w:rsidR="00D9458E" w:rsidRPr="003303F8">
        <w:rPr>
          <w:sz w:val="24"/>
          <w:szCs w:val="24"/>
        </w:rPr>
        <w:t xml:space="preserve"> </w:t>
      </w:r>
      <w:r w:rsidR="00D97228" w:rsidRPr="003303F8">
        <w:rPr>
          <w:sz w:val="24"/>
          <w:szCs w:val="24"/>
        </w:rPr>
        <w:t xml:space="preserve">will </w:t>
      </w:r>
      <w:r w:rsidR="009E793D" w:rsidRPr="003303F8">
        <w:rPr>
          <w:sz w:val="24"/>
          <w:szCs w:val="24"/>
        </w:rPr>
        <w:t xml:space="preserve">possibly </w:t>
      </w:r>
      <w:r w:rsidR="00D97228" w:rsidRPr="003303F8">
        <w:rPr>
          <w:sz w:val="24"/>
          <w:szCs w:val="24"/>
        </w:rPr>
        <w:t xml:space="preserve">further </w:t>
      </w:r>
      <w:r w:rsidR="00373224" w:rsidRPr="003303F8">
        <w:rPr>
          <w:sz w:val="24"/>
          <w:szCs w:val="24"/>
        </w:rPr>
        <w:t xml:space="preserve">alter the covariances assessed by investors, resulting in an </w:t>
      </w:r>
      <w:r w:rsidR="00944766" w:rsidRPr="003303F8">
        <w:rPr>
          <w:sz w:val="24"/>
          <w:szCs w:val="24"/>
        </w:rPr>
        <w:t>indirect effect</w:t>
      </w:r>
      <w:r w:rsidR="00373224" w:rsidRPr="003303F8">
        <w:rPr>
          <w:sz w:val="24"/>
          <w:szCs w:val="24"/>
        </w:rPr>
        <w:t xml:space="preserve"> on the cost of equity. </w:t>
      </w:r>
      <w:r w:rsidR="00D86B5F">
        <w:rPr>
          <w:sz w:val="24"/>
          <w:szCs w:val="24"/>
        </w:rPr>
        <w:t>T</w:t>
      </w:r>
      <w:r w:rsidR="00D86B5F" w:rsidRPr="003303F8">
        <w:rPr>
          <w:sz w:val="24"/>
          <w:szCs w:val="24"/>
        </w:rPr>
        <w:t xml:space="preserve">he </w:t>
      </w:r>
      <w:r w:rsidR="00D97228" w:rsidRPr="003303F8">
        <w:rPr>
          <w:sz w:val="24"/>
          <w:szCs w:val="24"/>
        </w:rPr>
        <w:t>direction of th</w:t>
      </w:r>
      <w:r w:rsidR="00D9458E" w:rsidRPr="003303F8">
        <w:rPr>
          <w:sz w:val="24"/>
          <w:szCs w:val="24"/>
        </w:rPr>
        <w:t>is</w:t>
      </w:r>
      <w:r w:rsidR="00D97228" w:rsidRPr="003303F8">
        <w:rPr>
          <w:sz w:val="24"/>
          <w:szCs w:val="24"/>
        </w:rPr>
        <w:t xml:space="preserve"> indirect effect</w:t>
      </w:r>
      <w:r w:rsidR="00D86B5F">
        <w:rPr>
          <w:sz w:val="24"/>
          <w:szCs w:val="24"/>
        </w:rPr>
        <w:t>, however,</w:t>
      </w:r>
      <w:r w:rsidR="00D97228" w:rsidRPr="003303F8">
        <w:rPr>
          <w:sz w:val="24"/>
          <w:szCs w:val="24"/>
        </w:rPr>
        <w:t xml:space="preserve"> is unclear</w:t>
      </w:r>
      <w:r w:rsidR="00974B37" w:rsidRPr="003303F8">
        <w:rPr>
          <w:sz w:val="24"/>
          <w:szCs w:val="24"/>
        </w:rPr>
        <w:t>.</w:t>
      </w:r>
      <w:r w:rsidR="00D97228" w:rsidRPr="003303F8">
        <w:rPr>
          <w:sz w:val="24"/>
          <w:szCs w:val="24"/>
        </w:rPr>
        <w:t xml:space="preserve"> </w:t>
      </w:r>
      <w:r w:rsidR="00F9670A" w:rsidRPr="003303F8">
        <w:rPr>
          <w:sz w:val="24"/>
          <w:szCs w:val="24"/>
        </w:rPr>
        <w:t>In addition</w:t>
      </w:r>
      <w:r w:rsidRPr="003303F8">
        <w:rPr>
          <w:sz w:val="24"/>
          <w:szCs w:val="24"/>
        </w:rPr>
        <w:t xml:space="preserve">, the changes in </w:t>
      </w:r>
      <w:r w:rsidRPr="003303F8">
        <w:rPr>
          <w:rFonts w:hint="eastAsia"/>
          <w:sz w:val="24"/>
          <w:szCs w:val="24"/>
        </w:rPr>
        <w:t xml:space="preserve">the </w:t>
      </w:r>
      <w:r w:rsidRPr="003303F8">
        <w:rPr>
          <w:sz w:val="24"/>
          <w:szCs w:val="24"/>
        </w:rPr>
        <w:t xml:space="preserve">cost of equity, as </w:t>
      </w:r>
      <w:r w:rsidR="00D9458E" w:rsidRPr="003303F8">
        <w:rPr>
          <w:sz w:val="24"/>
          <w:szCs w:val="24"/>
        </w:rPr>
        <w:t xml:space="preserve">indicated </w:t>
      </w:r>
      <w:r w:rsidR="00EC01E5" w:rsidRPr="003303F8">
        <w:rPr>
          <w:sz w:val="24"/>
          <w:szCs w:val="24"/>
        </w:rPr>
        <w:t xml:space="preserve">in both the direct and </w:t>
      </w:r>
      <w:r w:rsidR="00EC01E5" w:rsidRPr="003303F8">
        <w:rPr>
          <w:sz w:val="24"/>
          <w:szCs w:val="24"/>
        </w:rPr>
        <w:lastRenderedPageBreak/>
        <w:t>indirect effects above</w:t>
      </w:r>
      <w:r w:rsidRPr="003303F8">
        <w:rPr>
          <w:sz w:val="24"/>
          <w:szCs w:val="24"/>
        </w:rPr>
        <w:t>, would naturally change the firm’s optimal investment levels,</w:t>
      </w:r>
      <w:r w:rsidR="00F9670A" w:rsidRPr="003303F8">
        <w:rPr>
          <w:rStyle w:val="FootnoteReference"/>
          <w:sz w:val="24"/>
          <w:szCs w:val="24"/>
        </w:rPr>
        <w:footnoteReference w:id="13"/>
      </w:r>
      <w:r w:rsidRPr="003303F8">
        <w:rPr>
          <w:sz w:val="24"/>
          <w:szCs w:val="24"/>
        </w:rPr>
        <w:t xml:space="preserve"> and the change in investment decisions could </w:t>
      </w:r>
      <w:r w:rsidR="00287A95" w:rsidRPr="003303F8">
        <w:rPr>
          <w:sz w:val="24"/>
          <w:szCs w:val="24"/>
        </w:rPr>
        <w:t>further</w:t>
      </w:r>
      <w:r w:rsidRPr="003303F8">
        <w:rPr>
          <w:sz w:val="24"/>
          <w:szCs w:val="24"/>
        </w:rPr>
        <w:t xml:space="preserve"> have a</w:t>
      </w:r>
      <w:r w:rsidR="009F12AD" w:rsidRPr="003303F8">
        <w:rPr>
          <w:sz w:val="24"/>
          <w:szCs w:val="24"/>
        </w:rPr>
        <w:t>n</w:t>
      </w:r>
      <w:r w:rsidR="00D9458E" w:rsidRPr="003303F8">
        <w:rPr>
          <w:sz w:val="24"/>
          <w:szCs w:val="24"/>
        </w:rPr>
        <w:t xml:space="preserve"> </w:t>
      </w:r>
      <w:r w:rsidR="009F12AD" w:rsidRPr="003303F8">
        <w:rPr>
          <w:sz w:val="24"/>
          <w:szCs w:val="24"/>
        </w:rPr>
        <w:t xml:space="preserve">indirect </w:t>
      </w:r>
      <w:r w:rsidRPr="003303F8">
        <w:rPr>
          <w:sz w:val="24"/>
          <w:szCs w:val="24"/>
        </w:rPr>
        <w:t xml:space="preserve">feedback effect on the cost of equity. </w:t>
      </w:r>
      <w:r w:rsidR="005E2839" w:rsidRPr="003303F8">
        <w:rPr>
          <w:sz w:val="24"/>
          <w:szCs w:val="24"/>
        </w:rPr>
        <w:t xml:space="preserve">This </w:t>
      </w:r>
      <w:r w:rsidR="009F12AD" w:rsidRPr="003303F8">
        <w:rPr>
          <w:sz w:val="24"/>
          <w:szCs w:val="24"/>
        </w:rPr>
        <w:t xml:space="preserve">indirect </w:t>
      </w:r>
      <w:r w:rsidR="005E2839" w:rsidRPr="003303F8">
        <w:rPr>
          <w:sz w:val="24"/>
          <w:szCs w:val="24"/>
        </w:rPr>
        <w:t xml:space="preserve">feedback effect could lead to either lower cost of equity by reducing under-investment or higher cost of equity by increasing over-investment. </w:t>
      </w:r>
      <w:r w:rsidR="00287A95" w:rsidRPr="003303F8">
        <w:rPr>
          <w:sz w:val="24"/>
          <w:szCs w:val="24"/>
        </w:rPr>
        <w:t>Th</w:t>
      </w:r>
      <w:r w:rsidR="009F12AD" w:rsidRPr="003303F8">
        <w:rPr>
          <w:sz w:val="24"/>
          <w:szCs w:val="24"/>
        </w:rPr>
        <w:t xml:space="preserve">ough </w:t>
      </w:r>
      <w:r w:rsidR="00287A95" w:rsidRPr="003303F8">
        <w:rPr>
          <w:sz w:val="24"/>
          <w:szCs w:val="24"/>
        </w:rPr>
        <w:t xml:space="preserve">the direction of </w:t>
      </w:r>
      <w:r w:rsidR="009F12AD" w:rsidRPr="003303F8">
        <w:rPr>
          <w:sz w:val="24"/>
          <w:szCs w:val="24"/>
        </w:rPr>
        <w:t xml:space="preserve">theses indirect </w:t>
      </w:r>
      <w:r w:rsidR="00287A95" w:rsidRPr="003303F8">
        <w:rPr>
          <w:sz w:val="24"/>
          <w:szCs w:val="24"/>
        </w:rPr>
        <w:t>effect</w:t>
      </w:r>
      <w:r w:rsidR="009F12AD" w:rsidRPr="003303F8">
        <w:rPr>
          <w:sz w:val="24"/>
          <w:szCs w:val="24"/>
        </w:rPr>
        <w:t>s</w:t>
      </w:r>
      <w:r w:rsidR="00287A95" w:rsidRPr="003303F8">
        <w:rPr>
          <w:sz w:val="24"/>
          <w:szCs w:val="24"/>
        </w:rPr>
        <w:t xml:space="preserve"> is </w:t>
      </w:r>
      <w:r w:rsidR="00D9458E" w:rsidRPr="003303F8">
        <w:rPr>
          <w:sz w:val="24"/>
          <w:szCs w:val="24"/>
        </w:rPr>
        <w:t>uncertain</w:t>
      </w:r>
      <w:r w:rsidR="009F12AD" w:rsidRPr="003303F8">
        <w:rPr>
          <w:sz w:val="24"/>
          <w:szCs w:val="24"/>
        </w:rPr>
        <w:t>,</w:t>
      </w:r>
      <w:r w:rsidR="00287A95" w:rsidRPr="003303F8">
        <w:rPr>
          <w:sz w:val="24"/>
          <w:szCs w:val="24"/>
        </w:rPr>
        <w:t xml:space="preserve"> </w:t>
      </w:r>
      <w:r w:rsidR="00EC01E5" w:rsidRPr="003303F8">
        <w:rPr>
          <w:sz w:val="24"/>
          <w:szCs w:val="24"/>
        </w:rPr>
        <w:t>LLV suggest that the indirect effects are generally weaker than the direct ones. Therefore, the direct effect</w:t>
      </w:r>
      <w:r w:rsidR="009F12AD" w:rsidRPr="003303F8">
        <w:rPr>
          <w:sz w:val="24"/>
          <w:szCs w:val="24"/>
        </w:rPr>
        <w:t xml:space="preserve"> is expected</w:t>
      </w:r>
      <w:r w:rsidR="00EC01E5" w:rsidRPr="003303F8">
        <w:rPr>
          <w:sz w:val="24"/>
          <w:szCs w:val="24"/>
        </w:rPr>
        <w:t xml:space="preserve"> to dominate, </w:t>
      </w:r>
      <w:r w:rsidR="009F12AD" w:rsidRPr="003303F8">
        <w:rPr>
          <w:sz w:val="24"/>
          <w:szCs w:val="24"/>
        </w:rPr>
        <w:t>and</w:t>
      </w:r>
      <w:r w:rsidR="009E793D" w:rsidRPr="003303F8">
        <w:rPr>
          <w:sz w:val="24"/>
          <w:szCs w:val="24"/>
        </w:rPr>
        <w:t>,</w:t>
      </w:r>
      <w:r w:rsidR="009F12AD" w:rsidRPr="003303F8">
        <w:rPr>
          <w:sz w:val="24"/>
          <w:szCs w:val="24"/>
        </w:rPr>
        <w:t xml:space="preserve"> on average</w:t>
      </w:r>
      <w:r w:rsidR="009E793D" w:rsidRPr="003303F8">
        <w:rPr>
          <w:sz w:val="24"/>
          <w:szCs w:val="24"/>
        </w:rPr>
        <w:t>,</w:t>
      </w:r>
      <w:r w:rsidR="009F12AD" w:rsidRPr="003303F8">
        <w:rPr>
          <w:sz w:val="24"/>
          <w:szCs w:val="24"/>
        </w:rPr>
        <w:t xml:space="preserve"> a negative association between peer firm earnings quality and the cost of equity is predicted.</w:t>
      </w:r>
    </w:p>
    <w:p w:rsidR="00BF73F8" w:rsidRPr="003303F8" w:rsidRDefault="00BF73F8" w:rsidP="00BF73F8">
      <w:pPr>
        <w:widowControl/>
        <w:overflowPunct/>
        <w:autoSpaceDE/>
        <w:autoSpaceDN/>
        <w:adjustRightInd/>
        <w:spacing w:line="480" w:lineRule="auto"/>
        <w:rPr>
          <w:rFonts w:eastAsia="Times"/>
          <w:kern w:val="0"/>
          <w:sz w:val="24"/>
          <w:szCs w:val="24"/>
          <w:lang w:eastAsia="en-US"/>
        </w:rPr>
      </w:pPr>
    </w:p>
    <w:p w:rsidR="00C174EA" w:rsidRPr="003303F8" w:rsidRDefault="00C174EA" w:rsidP="00931FD3">
      <w:pPr>
        <w:pStyle w:val="Heading2"/>
        <w:spacing w:before="0" w:line="480" w:lineRule="auto"/>
        <w:rPr>
          <w:szCs w:val="24"/>
        </w:rPr>
      </w:pPr>
      <w:bookmarkStart w:id="41" w:name="_Toc378087500"/>
      <w:bookmarkStart w:id="42" w:name="_Toc378087540"/>
      <w:bookmarkStart w:id="43" w:name="_Toc378088349"/>
      <w:bookmarkStart w:id="44" w:name="_Toc378088738"/>
      <w:bookmarkStart w:id="45" w:name="_Toc378088874"/>
      <w:r w:rsidRPr="003303F8">
        <w:rPr>
          <w:rFonts w:cs="Times New Roman"/>
          <w:color w:val="auto"/>
          <w:szCs w:val="24"/>
        </w:rPr>
        <w:t>Related Empirical Studies</w:t>
      </w:r>
      <w:bookmarkEnd w:id="41"/>
      <w:bookmarkEnd w:id="42"/>
      <w:bookmarkEnd w:id="43"/>
      <w:bookmarkEnd w:id="44"/>
      <w:bookmarkEnd w:id="45"/>
    </w:p>
    <w:p w:rsidR="00C174EA" w:rsidRPr="003303F8" w:rsidRDefault="006C394C" w:rsidP="00931FD3">
      <w:pPr>
        <w:pStyle w:val="Heading3"/>
        <w:snapToGrid w:val="0"/>
        <w:spacing w:before="0" w:line="480" w:lineRule="auto"/>
        <w:rPr>
          <w:i/>
          <w:sz w:val="24"/>
          <w:szCs w:val="24"/>
        </w:rPr>
      </w:pPr>
      <w:bookmarkStart w:id="46" w:name="_Toc378087501"/>
      <w:bookmarkStart w:id="47" w:name="_Toc378087541"/>
      <w:bookmarkStart w:id="48" w:name="_Toc378088350"/>
      <w:bookmarkStart w:id="49" w:name="_Toc378088739"/>
      <w:bookmarkStart w:id="50" w:name="_Toc378088875"/>
      <w:r w:rsidRPr="003303F8">
        <w:rPr>
          <w:rFonts w:ascii="Times New Roman" w:hAnsi="Times New Roman" w:cs="Times New Roman"/>
          <w:b w:val="0"/>
          <w:i/>
          <w:color w:val="auto"/>
          <w:sz w:val="24"/>
          <w:szCs w:val="24"/>
        </w:rPr>
        <w:t xml:space="preserve">Industry-Level </w:t>
      </w:r>
      <w:r w:rsidR="00094F00" w:rsidRPr="003303F8">
        <w:rPr>
          <w:rFonts w:ascii="Times New Roman" w:hAnsi="Times New Roman" w:cs="Times New Roman"/>
          <w:b w:val="0"/>
          <w:i/>
          <w:color w:val="auto"/>
          <w:sz w:val="24"/>
          <w:szCs w:val="24"/>
        </w:rPr>
        <w:t xml:space="preserve">Stock Return Co-movement and </w:t>
      </w:r>
      <w:r w:rsidR="00C174EA" w:rsidRPr="003303F8">
        <w:rPr>
          <w:rFonts w:ascii="Times New Roman" w:hAnsi="Times New Roman" w:cs="Times New Roman"/>
          <w:b w:val="0"/>
          <w:i/>
          <w:color w:val="auto"/>
          <w:sz w:val="24"/>
          <w:szCs w:val="24"/>
        </w:rPr>
        <w:t>Information Transfer</w:t>
      </w:r>
      <w:bookmarkEnd w:id="46"/>
      <w:bookmarkEnd w:id="47"/>
      <w:bookmarkEnd w:id="48"/>
      <w:bookmarkEnd w:id="49"/>
      <w:bookmarkEnd w:id="50"/>
    </w:p>
    <w:p w:rsidR="00C174EA" w:rsidRPr="003303F8" w:rsidRDefault="00C174EA" w:rsidP="00C174EA">
      <w:pPr>
        <w:widowControl/>
        <w:overflowPunct/>
        <w:autoSpaceDE/>
        <w:autoSpaceDN/>
        <w:adjustRightInd/>
        <w:spacing w:line="480" w:lineRule="auto"/>
        <w:ind w:firstLine="720"/>
        <w:rPr>
          <w:rFonts w:eastAsia="Times"/>
          <w:kern w:val="0"/>
          <w:sz w:val="24"/>
          <w:szCs w:val="24"/>
          <w:lang w:eastAsia="en-US"/>
        </w:rPr>
      </w:pPr>
      <w:r w:rsidRPr="003303F8">
        <w:rPr>
          <w:kern w:val="0"/>
          <w:sz w:val="24"/>
          <w:szCs w:val="24"/>
        </w:rPr>
        <w:t xml:space="preserve">LLV rely on the assumption that firms’ values are correlated. </w:t>
      </w:r>
      <w:r w:rsidR="00FD0E0B" w:rsidRPr="003303F8">
        <w:rPr>
          <w:kern w:val="0"/>
          <w:sz w:val="24"/>
          <w:szCs w:val="24"/>
        </w:rPr>
        <w:t xml:space="preserve">Prior finance studies (e.g., King [1966], Grinold, Rudd and Stefek [1989], Roll [1992]) suggest that industry captures a large portion of stock return co-movement. </w:t>
      </w:r>
      <w:r w:rsidR="00094F00" w:rsidRPr="003303F8">
        <w:rPr>
          <w:kern w:val="0"/>
          <w:sz w:val="24"/>
          <w:szCs w:val="24"/>
        </w:rPr>
        <w:t>For example, Roll [1992] su</w:t>
      </w:r>
      <w:r w:rsidR="000E5807" w:rsidRPr="003303F8">
        <w:rPr>
          <w:kern w:val="0"/>
          <w:sz w:val="24"/>
          <w:szCs w:val="24"/>
        </w:rPr>
        <w:t xml:space="preserve">ggests that </w:t>
      </w:r>
      <w:r w:rsidR="00094F00" w:rsidRPr="003303F8">
        <w:rPr>
          <w:kern w:val="0"/>
          <w:sz w:val="24"/>
          <w:szCs w:val="24"/>
        </w:rPr>
        <w:t>an industry factor</w:t>
      </w:r>
      <w:r w:rsidR="00014A58">
        <w:rPr>
          <w:kern w:val="0"/>
          <w:sz w:val="24"/>
          <w:szCs w:val="24"/>
        </w:rPr>
        <w:t xml:space="preserve"> can explain</w:t>
      </w:r>
      <w:r w:rsidR="00094F00" w:rsidRPr="003303F8">
        <w:rPr>
          <w:kern w:val="0"/>
          <w:sz w:val="24"/>
          <w:szCs w:val="24"/>
        </w:rPr>
        <w:t xml:space="preserve"> as high as 40 percent</w:t>
      </w:r>
      <w:r w:rsidR="00014A58">
        <w:rPr>
          <w:kern w:val="0"/>
          <w:sz w:val="24"/>
          <w:szCs w:val="24"/>
        </w:rPr>
        <w:t xml:space="preserve"> of stock-return volatility</w:t>
      </w:r>
      <w:r w:rsidR="00094F00" w:rsidRPr="003303F8">
        <w:rPr>
          <w:kern w:val="0"/>
          <w:sz w:val="24"/>
          <w:szCs w:val="24"/>
        </w:rPr>
        <w:t xml:space="preserve">. </w:t>
      </w:r>
      <w:r w:rsidR="00FD0E0B" w:rsidRPr="003303F8">
        <w:rPr>
          <w:kern w:val="0"/>
          <w:sz w:val="24"/>
          <w:szCs w:val="24"/>
        </w:rPr>
        <w:t>Therefore, my study concentrates on the cost of equity effects of industry peer firm earnings quality. Further, prior literature on “information transfers” (Eckbo [1983]; Bowen et al. [1983]; Ohlson et al. [1985]; Baginski [1987]; Firth [1996]; Laux et al. [1998</w:t>
      </w:r>
      <w:r w:rsidR="004B77BD" w:rsidRPr="003303F8">
        <w:rPr>
          <w:kern w:val="0"/>
          <w:sz w:val="24"/>
          <w:szCs w:val="24"/>
        </w:rPr>
        <w:t>]</w:t>
      </w:r>
      <w:r w:rsidR="00FD0E0B" w:rsidRPr="003303F8">
        <w:rPr>
          <w:kern w:val="0"/>
          <w:sz w:val="24"/>
          <w:szCs w:val="24"/>
        </w:rPr>
        <w:t>) also indicates that peer firms’ expected cash flows are significantly and, on average, positively correlated</w:t>
      </w:r>
      <w:r w:rsidR="00FD0E0B" w:rsidRPr="003303F8">
        <w:rPr>
          <w:rFonts w:eastAsia="Times"/>
          <w:kern w:val="0"/>
          <w:sz w:val="24"/>
          <w:szCs w:val="24"/>
          <w:lang w:eastAsia="en-US"/>
        </w:rPr>
        <w:t xml:space="preserve">. </w:t>
      </w:r>
      <w:r w:rsidR="00905FB0" w:rsidRPr="003303F8">
        <w:rPr>
          <w:rFonts w:eastAsia="Times"/>
          <w:kern w:val="0"/>
          <w:sz w:val="24"/>
          <w:szCs w:val="24"/>
          <w:lang w:eastAsia="en-US"/>
        </w:rPr>
        <w:t>I</w:t>
      </w:r>
      <w:r w:rsidRPr="003303F8">
        <w:rPr>
          <w:rFonts w:eastAsia="Times"/>
          <w:kern w:val="0"/>
          <w:sz w:val="24"/>
          <w:szCs w:val="24"/>
          <w:lang w:eastAsia="en-US"/>
        </w:rPr>
        <w:t xml:space="preserve">nformation transfer occurs when an information event for one firm </w:t>
      </w:r>
      <w:r w:rsidR="004D0F5E" w:rsidRPr="003303F8">
        <w:rPr>
          <w:rFonts w:eastAsia="Times"/>
          <w:kern w:val="0"/>
          <w:sz w:val="24"/>
          <w:szCs w:val="24"/>
          <w:lang w:eastAsia="en-US"/>
        </w:rPr>
        <w:t>changes</w:t>
      </w:r>
      <w:r w:rsidRPr="003303F8">
        <w:rPr>
          <w:rFonts w:eastAsia="Times"/>
          <w:kern w:val="0"/>
          <w:sz w:val="24"/>
          <w:szCs w:val="24"/>
          <w:lang w:eastAsia="en-US"/>
        </w:rPr>
        <w:t xml:space="preserve"> the </w:t>
      </w:r>
      <w:r w:rsidR="004D0F5E" w:rsidRPr="003303F8">
        <w:rPr>
          <w:rFonts w:eastAsia="Times"/>
          <w:kern w:val="0"/>
          <w:sz w:val="24"/>
          <w:szCs w:val="24"/>
          <w:lang w:eastAsia="en-US"/>
        </w:rPr>
        <w:t>security</w:t>
      </w:r>
      <w:r w:rsidRPr="003303F8">
        <w:rPr>
          <w:rFonts w:eastAsia="Times"/>
          <w:kern w:val="0"/>
          <w:sz w:val="24"/>
          <w:szCs w:val="24"/>
          <w:lang w:eastAsia="en-US"/>
        </w:rPr>
        <w:t xml:space="preserve"> prices of </w:t>
      </w:r>
      <w:r w:rsidR="004D0F5E" w:rsidRPr="003303F8">
        <w:rPr>
          <w:rFonts w:eastAsia="Times"/>
          <w:kern w:val="0"/>
          <w:sz w:val="24"/>
          <w:szCs w:val="24"/>
          <w:lang w:eastAsia="en-US"/>
        </w:rPr>
        <w:t xml:space="preserve">other </w:t>
      </w:r>
      <w:r w:rsidRPr="003303F8">
        <w:rPr>
          <w:rFonts w:eastAsia="Times"/>
          <w:kern w:val="0"/>
          <w:sz w:val="24"/>
          <w:szCs w:val="24"/>
          <w:lang w:eastAsia="en-US"/>
        </w:rPr>
        <w:t>peer firms. Early studies (e.g.,</w:t>
      </w:r>
      <w:r w:rsidR="00134C1C" w:rsidRPr="003303F8">
        <w:rPr>
          <w:rFonts w:eastAsia="Times"/>
          <w:kern w:val="0"/>
          <w:sz w:val="24"/>
          <w:szCs w:val="24"/>
          <w:lang w:eastAsia="en-US"/>
        </w:rPr>
        <w:t xml:space="preserve"> </w:t>
      </w:r>
      <w:r w:rsidRPr="003303F8">
        <w:rPr>
          <w:rFonts w:eastAsia="Times"/>
          <w:kern w:val="0"/>
          <w:sz w:val="24"/>
          <w:szCs w:val="24"/>
          <w:lang w:eastAsia="en-US"/>
        </w:rPr>
        <w:t>Foster [1981]) find a firm’s earnings announcement ha</w:t>
      </w:r>
      <w:r w:rsidR="0011438A" w:rsidRPr="003303F8">
        <w:rPr>
          <w:rFonts w:eastAsia="Times"/>
          <w:kern w:val="0"/>
          <w:sz w:val="24"/>
          <w:szCs w:val="24"/>
          <w:lang w:eastAsia="en-US"/>
        </w:rPr>
        <w:t>s</w:t>
      </w:r>
      <w:r w:rsidRPr="003303F8">
        <w:rPr>
          <w:rFonts w:eastAsia="Times"/>
          <w:kern w:val="0"/>
          <w:sz w:val="24"/>
          <w:szCs w:val="24"/>
          <w:lang w:eastAsia="en-US"/>
        </w:rPr>
        <w:t xml:space="preserve"> a </w:t>
      </w:r>
      <w:r w:rsidR="004D0F5E" w:rsidRPr="003303F8">
        <w:rPr>
          <w:rFonts w:eastAsia="Times"/>
          <w:kern w:val="0"/>
          <w:sz w:val="24"/>
          <w:szCs w:val="24"/>
          <w:lang w:eastAsia="en-US"/>
        </w:rPr>
        <w:t xml:space="preserve">statistically </w:t>
      </w:r>
      <w:r w:rsidRPr="003303F8">
        <w:rPr>
          <w:rFonts w:eastAsia="Times"/>
          <w:kern w:val="0"/>
          <w:sz w:val="24"/>
          <w:szCs w:val="24"/>
          <w:lang w:eastAsia="en-US"/>
        </w:rPr>
        <w:t xml:space="preserve">significant impact </w:t>
      </w:r>
      <w:r w:rsidRPr="003303F8">
        <w:rPr>
          <w:rFonts w:eastAsia="Times"/>
          <w:kern w:val="0"/>
          <w:sz w:val="24"/>
          <w:szCs w:val="24"/>
          <w:lang w:eastAsia="en-US"/>
        </w:rPr>
        <w:lastRenderedPageBreak/>
        <w:t xml:space="preserve">on the stock prices of other non-announcing </w:t>
      </w:r>
      <w:r w:rsidR="004D0F5E" w:rsidRPr="003303F8">
        <w:rPr>
          <w:rFonts w:eastAsia="Times"/>
          <w:kern w:val="0"/>
          <w:sz w:val="24"/>
          <w:szCs w:val="24"/>
          <w:lang w:eastAsia="en-US"/>
        </w:rPr>
        <w:t>industry peers</w:t>
      </w:r>
      <w:r w:rsidRPr="003303F8">
        <w:rPr>
          <w:rFonts w:eastAsia="Times"/>
          <w:kern w:val="0"/>
          <w:sz w:val="24"/>
          <w:szCs w:val="24"/>
          <w:lang w:eastAsia="en-US"/>
        </w:rPr>
        <w:t>, consistent with information transfer occurring.</w:t>
      </w:r>
      <w:r w:rsidR="00766143" w:rsidRPr="003303F8">
        <w:rPr>
          <w:rStyle w:val="FootnoteReference"/>
          <w:rFonts w:eastAsia="Times"/>
          <w:kern w:val="0"/>
          <w:sz w:val="24"/>
          <w:szCs w:val="24"/>
          <w:lang w:eastAsia="en-US"/>
        </w:rPr>
        <w:footnoteReference w:id="14"/>
      </w:r>
      <w:r w:rsidR="00766143" w:rsidRPr="003303F8">
        <w:rPr>
          <w:rFonts w:eastAsia="Times"/>
          <w:kern w:val="0"/>
          <w:sz w:val="24"/>
          <w:szCs w:val="24"/>
          <w:lang w:eastAsia="en-US"/>
        </w:rPr>
        <w:t xml:space="preserve"> </w:t>
      </w:r>
      <w:r w:rsidRPr="003303F8">
        <w:rPr>
          <w:rFonts w:eastAsia="Times"/>
          <w:kern w:val="0"/>
          <w:sz w:val="24"/>
          <w:szCs w:val="24"/>
          <w:lang w:eastAsia="en-US"/>
        </w:rPr>
        <w:t>Recent studies (Gleason</w:t>
      </w:r>
      <w:r w:rsidR="004D0F5E" w:rsidRPr="003303F8">
        <w:rPr>
          <w:rFonts w:eastAsia="Times"/>
          <w:kern w:val="0"/>
          <w:sz w:val="24"/>
          <w:szCs w:val="24"/>
          <w:lang w:eastAsia="en-US"/>
        </w:rPr>
        <w:t xml:space="preserve"> et al.</w:t>
      </w:r>
      <w:r w:rsidRPr="003303F8">
        <w:rPr>
          <w:rFonts w:eastAsia="Times"/>
          <w:kern w:val="0"/>
          <w:sz w:val="24"/>
          <w:szCs w:val="24"/>
          <w:lang w:eastAsia="en-US"/>
        </w:rPr>
        <w:t xml:space="preserve"> [2008]; Xu</w:t>
      </w:r>
      <w:r w:rsidR="004D0F5E" w:rsidRPr="003303F8">
        <w:rPr>
          <w:rFonts w:eastAsia="Times"/>
          <w:kern w:val="0"/>
          <w:sz w:val="24"/>
          <w:szCs w:val="24"/>
          <w:lang w:eastAsia="en-US"/>
        </w:rPr>
        <w:t xml:space="preserve"> et al.</w:t>
      </w:r>
      <w:r w:rsidRPr="003303F8">
        <w:rPr>
          <w:rFonts w:eastAsia="Times"/>
          <w:kern w:val="0"/>
          <w:sz w:val="24"/>
          <w:szCs w:val="24"/>
          <w:lang w:eastAsia="en-US"/>
        </w:rPr>
        <w:t xml:space="preserve"> [2006]) investigate information transfers around earnings restatements. They find that when a firm restates earnings, not only the firm but also peer firms face equity market penalties. Durnev and Mangen (2009)</w:t>
      </w:r>
      <w:r w:rsidRPr="003303F8" w:rsidDel="00DC5068">
        <w:rPr>
          <w:rFonts w:eastAsia="Times"/>
          <w:kern w:val="0"/>
          <w:sz w:val="24"/>
          <w:szCs w:val="24"/>
          <w:lang w:eastAsia="en-US"/>
        </w:rPr>
        <w:t xml:space="preserve"> </w:t>
      </w:r>
      <w:r w:rsidRPr="003303F8">
        <w:rPr>
          <w:rFonts w:eastAsia="Times"/>
          <w:kern w:val="0"/>
          <w:sz w:val="24"/>
          <w:szCs w:val="24"/>
          <w:lang w:eastAsia="en-US"/>
        </w:rPr>
        <w:t>further</w:t>
      </w:r>
      <w:r w:rsidRPr="003303F8" w:rsidDel="00DC5068">
        <w:rPr>
          <w:rFonts w:eastAsia="Times"/>
          <w:kern w:val="0"/>
          <w:sz w:val="24"/>
          <w:szCs w:val="24"/>
          <w:lang w:eastAsia="en-US"/>
        </w:rPr>
        <w:t xml:space="preserve"> </w:t>
      </w:r>
      <w:r w:rsidRPr="003303F8">
        <w:rPr>
          <w:rFonts w:eastAsia="Times"/>
          <w:kern w:val="0"/>
          <w:sz w:val="24"/>
          <w:szCs w:val="24"/>
          <w:lang w:eastAsia="en-US"/>
        </w:rPr>
        <w:t>find those non-restating firms that experience negative stock returns are those with low investment efficiency in the past. Therefore, they conclude that a firm’s restatement helps investors to realize other non-restating firms’ past investment inefficiency, resulting in revisions in those non-restating firms’ expected future cash flows.</w:t>
      </w:r>
      <w:r w:rsidRPr="003303F8">
        <w:rPr>
          <w:rFonts w:eastAsia="Times"/>
          <w:sz w:val="24"/>
          <w:szCs w:val="24"/>
          <w:vertAlign w:val="superscript"/>
          <w:lang w:eastAsia="en-US"/>
        </w:rPr>
        <w:footnoteReference w:id="15"/>
      </w:r>
      <w:r w:rsidRPr="003303F8">
        <w:rPr>
          <w:rFonts w:eastAsia="Times"/>
          <w:kern w:val="0"/>
          <w:sz w:val="24"/>
          <w:szCs w:val="24"/>
          <w:lang w:eastAsia="en-US"/>
        </w:rPr>
        <w:t xml:space="preserve"> In sum, previous studies suggest that </w:t>
      </w:r>
      <w:r w:rsidR="00766143" w:rsidRPr="003303F8">
        <w:rPr>
          <w:rFonts w:eastAsia="Times"/>
          <w:kern w:val="0"/>
          <w:sz w:val="24"/>
          <w:szCs w:val="24"/>
          <w:lang w:eastAsia="en-US"/>
        </w:rPr>
        <w:t>industry peer firms’</w:t>
      </w:r>
      <w:r w:rsidRPr="003303F8">
        <w:rPr>
          <w:rFonts w:eastAsia="Times"/>
          <w:kern w:val="0"/>
          <w:sz w:val="24"/>
          <w:szCs w:val="24"/>
          <w:lang w:eastAsia="en-US"/>
        </w:rPr>
        <w:t xml:space="preserve"> values are correlated, and this is consistent with the major assumption of LLV. </w:t>
      </w:r>
    </w:p>
    <w:p w:rsidR="000E46F3" w:rsidRPr="003303F8" w:rsidRDefault="000E46F3" w:rsidP="00BF73F8">
      <w:pPr>
        <w:spacing w:line="480" w:lineRule="auto"/>
        <w:rPr>
          <w:rFonts w:eastAsia="Times"/>
          <w:kern w:val="0"/>
          <w:sz w:val="24"/>
          <w:szCs w:val="24"/>
          <w:lang w:eastAsia="en-US"/>
        </w:rPr>
      </w:pPr>
    </w:p>
    <w:p w:rsidR="00C174EA" w:rsidRPr="003303F8" w:rsidRDefault="00C174EA" w:rsidP="00931FD3">
      <w:pPr>
        <w:pStyle w:val="Heading3"/>
        <w:snapToGrid w:val="0"/>
        <w:spacing w:before="0" w:line="480" w:lineRule="auto"/>
        <w:rPr>
          <w:i/>
          <w:sz w:val="24"/>
          <w:szCs w:val="24"/>
        </w:rPr>
      </w:pPr>
      <w:bookmarkStart w:id="51" w:name="_Toc378087502"/>
      <w:bookmarkStart w:id="52" w:name="_Toc378087542"/>
      <w:bookmarkStart w:id="53" w:name="_Toc378088351"/>
      <w:bookmarkStart w:id="54" w:name="_Toc378088740"/>
      <w:bookmarkStart w:id="55" w:name="_Toc378088876"/>
      <w:r w:rsidRPr="003303F8">
        <w:rPr>
          <w:rFonts w:ascii="Times New Roman" w:hAnsi="Times New Roman" w:cs="Times New Roman"/>
          <w:b w:val="0"/>
          <w:i/>
          <w:color w:val="auto"/>
          <w:sz w:val="24"/>
          <w:szCs w:val="24"/>
        </w:rPr>
        <w:t>Empirical Studies on Information Quality and the Cost of Equity</w:t>
      </w:r>
      <w:bookmarkEnd w:id="51"/>
      <w:bookmarkEnd w:id="52"/>
      <w:bookmarkEnd w:id="53"/>
      <w:bookmarkEnd w:id="54"/>
      <w:bookmarkEnd w:id="55"/>
      <w:r w:rsidRPr="003303F8">
        <w:rPr>
          <w:rFonts w:ascii="Times New Roman" w:hAnsi="Times New Roman" w:cs="Times New Roman"/>
          <w:b w:val="0"/>
          <w:i/>
          <w:color w:val="auto"/>
          <w:sz w:val="24"/>
          <w:szCs w:val="24"/>
        </w:rPr>
        <w:t xml:space="preserve"> </w:t>
      </w:r>
    </w:p>
    <w:p w:rsidR="00C174EA" w:rsidRPr="003303F8" w:rsidRDefault="00C174EA" w:rsidP="00C174EA">
      <w:pPr>
        <w:widowControl/>
        <w:overflowPunct/>
        <w:autoSpaceDE/>
        <w:autoSpaceDN/>
        <w:adjustRightInd/>
        <w:spacing w:line="480" w:lineRule="auto"/>
        <w:ind w:firstLine="720"/>
        <w:rPr>
          <w:rFonts w:eastAsia="Times"/>
          <w:kern w:val="0"/>
          <w:sz w:val="24"/>
          <w:szCs w:val="24"/>
          <w:lang w:eastAsia="en-US"/>
        </w:rPr>
      </w:pPr>
      <w:r w:rsidRPr="003303F8">
        <w:rPr>
          <w:rFonts w:eastAsia="Times"/>
          <w:kern w:val="0"/>
          <w:sz w:val="24"/>
          <w:szCs w:val="24"/>
          <w:lang w:eastAsia="en-US"/>
        </w:rPr>
        <w:t xml:space="preserve">Another line of related literature is the association between a firm’s information quality and its cost of equity. Though most of these studies do not directly employ the theoretical model developed by LLV, their findings have implications for understanding the model’s validity. </w:t>
      </w:r>
    </w:p>
    <w:p w:rsidR="004D0F5E" w:rsidRPr="003303F8" w:rsidRDefault="004D0F5E" w:rsidP="004D0F5E">
      <w:pPr>
        <w:widowControl/>
        <w:overflowPunct/>
        <w:autoSpaceDE/>
        <w:autoSpaceDN/>
        <w:adjustRightInd/>
        <w:spacing w:line="480" w:lineRule="auto"/>
        <w:ind w:firstLine="720"/>
        <w:rPr>
          <w:rFonts w:eastAsia="Times"/>
          <w:i/>
          <w:kern w:val="0"/>
          <w:sz w:val="24"/>
          <w:szCs w:val="24"/>
          <w:lang w:eastAsia="en-US"/>
        </w:rPr>
      </w:pPr>
      <w:r w:rsidRPr="003303F8">
        <w:rPr>
          <w:rFonts w:eastAsia="Times"/>
          <w:kern w:val="0"/>
          <w:sz w:val="24"/>
          <w:szCs w:val="24"/>
          <w:lang w:eastAsia="en-US"/>
        </w:rPr>
        <w:t xml:space="preserve">Francis et al. (2004) study the </w:t>
      </w:r>
      <w:r w:rsidR="00A10F81" w:rsidRPr="003303F8">
        <w:rPr>
          <w:rFonts w:eastAsia="Times"/>
          <w:kern w:val="0"/>
          <w:sz w:val="24"/>
          <w:szCs w:val="24"/>
          <w:lang w:eastAsia="en-US"/>
        </w:rPr>
        <w:t>relations</w:t>
      </w:r>
      <w:r w:rsidRPr="003303F8">
        <w:rPr>
          <w:rFonts w:eastAsia="Times"/>
          <w:kern w:val="0"/>
          <w:sz w:val="24"/>
          <w:szCs w:val="24"/>
          <w:lang w:eastAsia="en-US"/>
        </w:rPr>
        <w:t xml:space="preserve"> between the implied cost of equity and a number of earnings attributes.</w:t>
      </w:r>
      <w:r w:rsidRPr="003303F8">
        <w:rPr>
          <w:rFonts w:eastAsia="Times"/>
          <w:sz w:val="24"/>
          <w:szCs w:val="24"/>
          <w:vertAlign w:val="superscript"/>
          <w:lang w:eastAsia="en-US"/>
        </w:rPr>
        <w:footnoteReference w:id="16"/>
      </w:r>
      <w:r w:rsidRPr="003303F8">
        <w:rPr>
          <w:rFonts w:eastAsia="Times"/>
          <w:kern w:val="0"/>
          <w:sz w:val="24"/>
          <w:szCs w:val="24"/>
          <w:lang w:eastAsia="en-US"/>
        </w:rPr>
        <w:t xml:space="preserve"> They find that Dechow and Dichev’s (2002) earnings quality measure has the </w:t>
      </w:r>
      <w:r w:rsidR="00A10F81" w:rsidRPr="003303F8">
        <w:rPr>
          <w:rFonts w:eastAsia="Times"/>
          <w:kern w:val="0"/>
          <w:sz w:val="24"/>
          <w:szCs w:val="24"/>
          <w:lang w:eastAsia="en-US"/>
        </w:rPr>
        <w:t>stronger</w:t>
      </w:r>
      <w:r w:rsidRPr="003303F8">
        <w:rPr>
          <w:rFonts w:eastAsia="Times"/>
          <w:kern w:val="0"/>
          <w:sz w:val="24"/>
          <w:szCs w:val="24"/>
          <w:lang w:eastAsia="en-US"/>
        </w:rPr>
        <w:t xml:space="preserve"> </w:t>
      </w:r>
      <w:r w:rsidR="00A10F81" w:rsidRPr="003303F8">
        <w:rPr>
          <w:rFonts w:eastAsia="Times"/>
          <w:kern w:val="0"/>
          <w:sz w:val="24"/>
          <w:szCs w:val="24"/>
          <w:lang w:eastAsia="en-US"/>
        </w:rPr>
        <w:t xml:space="preserve">association with </w:t>
      </w:r>
      <w:r w:rsidRPr="003303F8">
        <w:rPr>
          <w:rFonts w:eastAsia="Times"/>
          <w:kern w:val="0"/>
          <w:sz w:val="24"/>
          <w:szCs w:val="24"/>
          <w:lang w:eastAsia="en-US"/>
        </w:rPr>
        <w:t>the cost of equity. Similarly, Barone (2003) notes the cost of equity and the market’s perce</w:t>
      </w:r>
      <w:r w:rsidR="00A10F81" w:rsidRPr="003303F8">
        <w:rPr>
          <w:rFonts w:eastAsia="Times"/>
          <w:kern w:val="0"/>
          <w:sz w:val="24"/>
          <w:szCs w:val="24"/>
          <w:lang w:eastAsia="en-US"/>
        </w:rPr>
        <w:t xml:space="preserve">ived quality of </w:t>
      </w:r>
      <w:r w:rsidRPr="003303F8">
        <w:rPr>
          <w:rFonts w:eastAsia="Times"/>
          <w:kern w:val="0"/>
          <w:sz w:val="24"/>
          <w:szCs w:val="24"/>
          <w:lang w:eastAsia="en-US"/>
        </w:rPr>
        <w:t xml:space="preserve">earnings are negatively associated. Francis et al. (2005) argue that firms with higher earnings quality </w:t>
      </w:r>
      <w:r w:rsidRPr="003303F8">
        <w:rPr>
          <w:rFonts w:eastAsia="Times"/>
          <w:kern w:val="0"/>
          <w:sz w:val="24"/>
          <w:szCs w:val="24"/>
          <w:lang w:eastAsia="en-US"/>
        </w:rPr>
        <w:lastRenderedPageBreak/>
        <w:t>have lower coefficients on Beta in the capital asset pricing model and thus also lower cost of equity. Ecker et al. (2006) further show that the correlation between an earnings quality factor and the contemporaneous return is affected by a variety of proxies for earnings quality. Barth et al. (2013) extends the investigation to earnings transparency and find that earnings transparency is significantly negatively correlated with the expected cost of equity.</w:t>
      </w:r>
    </w:p>
    <w:p w:rsidR="004D0F5E" w:rsidRPr="003303F8" w:rsidRDefault="004D0F5E" w:rsidP="004D0F5E">
      <w:pPr>
        <w:widowControl/>
        <w:overflowPunct/>
        <w:autoSpaceDE/>
        <w:autoSpaceDN/>
        <w:adjustRightInd/>
        <w:spacing w:line="480" w:lineRule="auto"/>
        <w:ind w:firstLine="720"/>
        <w:rPr>
          <w:rFonts w:eastAsia="Times"/>
          <w:kern w:val="0"/>
          <w:sz w:val="24"/>
          <w:szCs w:val="24"/>
          <w:lang w:eastAsia="en-US"/>
        </w:rPr>
      </w:pPr>
      <w:r w:rsidRPr="003303F8">
        <w:rPr>
          <w:rFonts w:eastAsia="Times"/>
          <w:kern w:val="0"/>
          <w:sz w:val="24"/>
          <w:szCs w:val="24"/>
          <w:lang w:eastAsia="en-US"/>
        </w:rPr>
        <w:t xml:space="preserve">The studies above indicate that earnings quality is negatively correlated with the cost of equity, but other studies provide mixed findings. Cohen (2003) finds no association between earnings quality and a proxy for the implied cost of equity after controlling for a number of other firm characteristics. Moreover, Core, Guay, and Verdi (2008) challenge Francis et al. (2005) by arguing that an association with contemporaneous returns (traditional asset-pricing model, e.g., Fama and French [1993]) and accruals quality measure cannot provide support to the argument that earnings quality is related to lower implied cost of equity. </w:t>
      </w:r>
    </w:p>
    <w:p w:rsidR="004D0F5E" w:rsidRPr="003303F8" w:rsidRDefault="004D0F5E" w:rsidP="004D0F5E">
      <w:pPr>
        <w:widowControl/>
        <w:overflowPunct/>
        <w:autoSpaceDE/>
        <w:autoSpaceDN/>
        <w:adjustRightInd/>
        <w:spacing w:line="480" w:lineRule="auto"/>
        <w:ind w:firstLine="720"/>
        <w:rPr>
          <w:rFonts w:eastAsia="Times"/>
          <w:kern w:val="0"/>
          <w:sz w:val="24"/>
          <w:szCs w:val="24"/>
          <w:lang w:eastAsia="en-US"/>
        </w:rPr>
      </w:pPr>
      <w:r w:rsidRPr="003303F8">
        <w:rPr>
          <w:rFonts w:eastAsia="Times"/>
          <w:kern w:val="0"/>
          <w:sz w:val="24"/>
          <w:szCs w:val="24"/>
          <w:lang w:eastAsia="en-US"/>
        </w:rPr>
        <w:t>Using accounting information quality measures other than earnings quality, prior studies also provide evidence that accounting information quality can mitigate the implied cost of equity. Botosan (1997), Richardson and Welker (2001)  and Botosan and Plumlee (2002) note higher disclosure quality (measured based on the quantity of voluntary disclosures in 10k and AIMR scores) leads to lower the cost of equity. Botosan’s (1997) findings are limited to firms with low analyst following.</w:t>
      </w:r>
      <w:r w:rsidRPr="003303F8">
        <w:rPr>
          <w:rFonts w:eastAsia="Times"/>
          <w:kern w:val="0"/>
          <w:sz w:val="24"/>
          <w:szCs w:val="24"/>
          <w:vertAlign w:val="superscript"/>
          <w:lang w:eastAsia="en-US"/>
        </w:rPr>
        <w:t xml:space="preserve"> </w:t>
      </w:r>
      <w:r w:rsidRPr="003303F8">
        <w:rPr>
          <w:rFonts w:eastAsia="Times"/>
          <w:kern w:val="0"/>
          <w:sz w:val="24"/>
          <w:szCs w:val="24"/>
          <w:lang w:eastAsia="en-US"/>
        </w:rPr>
        <w:t xml:space="preserve">Botosan, Plumlee, and Xie (2004) extend Botosan (1997) to the precision of information. They find that higher public information precision lowers the cost of equity whereas more precise private information leads to higher implied cost of equity. Similarly, using data </w:t>
      </w:r>
      <w:r w:rsidRPr="003303F8">
        <w:rPr>
          <w:rFonts w:eastAsia="Times"/>
          <w:kern w:val="0"/>
          <w:sz w:val="24"/>
          <w:szCs w:val="24"/>
          <w:lang w:eastAsia="en-US"/>
        </w:rPr>
        <w:lastRenderedPageBreak/>
        <w:t xml:space="preserve">from the Swiss market, Hail (2002) notes a significantly negative effect of a firm's voluntary disclosure policy on its implied cost of equity. Another aspect considered in prior studies is the quality of accounting standards. Based on the conjecture that IAS or U.S. GAAP are higher quality standards than are German domestic accounting standards, Leuz and Verrecchia (2000) show that adoption of either IAS or U.S. GAAP reduces German firms’ cost of equity. Some other studies also investigate information risk and uncertainty. For example, Easley et al. (2002) show that stocks with greater information asymmetry, measured by a higher probabilities of information-based inside trading, </w:t>
      </w:r>
      <w:r w:rsidR="00E22853">
        <w:rPr>
          <w:rFonts w:eastAsia="Times"/>
          <w:kern w:val="0"/>
          <w:sz w:val="24"/>
          <w:szCs w:val="24"/>
          <w:lang w:eastAsia="en-US"/>
        </w:rPr>
        <w:t>face higher cost of equity, measured by realized future return</w:t>
      </w:r>
      <w:r w:rsidRPr="003303F8">
        <w:rPr>
          <w:rFonts w:eastAsia="Times"/>
          <w:kern w:val="0"/>
          <w:sz w:val="24"/>
          <w:szCs w:val="24"/>
          <w:lang w:eastAsia="en-US"/>
        </w:rPr>
        <w:t xml:space="preserve">. </w:t>
      </w:r>
      <w:r w:rsidR="00E22853">
        <w:rPr>
          <w:rFonts w:eastAsia="Times"/>
          <w:kern w:val="0"/>
          <w:sz w:val="24"/>
          <w:szCs w:val="24"/>
          <w:lang w:eastAsia="en-US"/>
        </w:rPr>
        <w:t xml:space="preserve">However, </w:t>
      </w:r>
      <w:proofErr w:type="spellStart"/>
      <w:r w:rsidR="00E22853" w:rsidRPr="00E22853">
        <w:rPr>
          <w:rFonts w:eastAsia="Times"/>
          <w:kern w:val="0"/>
          <w:sz w:val="24"/>
          <w:szCs w:val="24"/>
          <w:lang w:eastAsia="en-US"/>
        </w:rPr>
        <w:t>B</w:t>
      </w:r>
      <w:r w:rsidR="00E22853">
        <w:rPr>
          <w:rFonts w:eastAsia="Times"/>
          <w:kern w:val="0"/>
          <w:sz w:val="24"/>
          <w:szCs w:val="24"/>
          <w:lang w:eastAsia="en-US"/>
        </w:rPr>
        <w:t>otosan</w:t>
      </w:r>
      <w:proofErr w:type="spellEnd"/>
      <w:r w:rsidR="00E22853">
        <w:rPr>
          <w:rFonts w:eastAsia="Times"/>
          <w:kern w:val="0"/>
          <w:sz w:val="24"/>
          <w:szCs w:val="24"/>
          <w:lang w:eastAsia="en-US"/>
        </w:rPr>
        <w:t xml:space="preserve"> and </w:t>
      </w:r>
      <w:proofErr w:type="spellStart"/>
      <w:r w:rsidR="00E22853">
        <w:rPr>
          <w:rFonts w:eastAsia="Times"/>
          <w:kern w:val="0"/>
          <w:sz w:val="24"/>
          <w:szCs w:val="24"/>
          <w:lang w:eastAsia="en-US"/>
        </w:rPr>
        <w:t>Plumlee</w:t>
      </w:r>
      <w:proofErr w:type="spellEnd"/>
      <w:r w:rsidR="00E22853">
        <w:rPr>
          <w:rFonts w:eastAsia="Times"/>
          <w:kern w:val="0"/>
          <w:sz w:val="24"/>
          <w:szCs w:val="24"/>
          <w:lang w:eastAsia="en-US"/>
        </w:rPr>
        <w:t xml:space="preserve"> (2013) suggest the findings in </w:t>
      </w:r>
      <w:r w:rsidR="00E22853" w:rsidRPr="003303F8">
        <w:rPr>
          <w:rFonts w:eastAsia="Times"/>
          <w:kern w:val="0"/>
          <w:sz w:val="24"/>
          <w:szCs w:val="24"/>
          <w:lang w:eastAsia="en-US"/>
        </w:rPr>
        <w:t xml:space="preserve">Easley et al. (2002) </w:t>
      </w:r>
      <w:r w:rsidR="00E22853">
        <w:rPr>
          <w:rFonts w:eastAsia="Times"/>
          <w:kern w:val="0"/>
          <w:sz w:val="24"/>
          <w:szCs w:val="24"/>
          <w:lang w:eastAsia="en-US"/>
        </w:rPr>
        <w:t xml:space="preserve">are sensitive to using measures of implied cost of equity. </w:t>
      </w:r>
    </w:p>
    <w:p w:rsidR="00C174EA" w:rsidRPr="003303F8" w:rsidRDefault="00C174EA" w:rsidP="00C174EA">
      <w:pPr>
        <w:widowControl/>
        <w:overflowPunct/>
        <w:autoSpaceDE/>
        <w:autoSpaceDN/>
        <w:adjustRightInd/>
        <w:spacing w:line="480" w:lineRule="auto"/>
        <w:ind w:firstLine="720"/>
        <w:rPr>
          <w:rFonts w:eastAsia="Times"/>
          <w:kern w:val="0"/>
          <w:sz w:val="24"/>
          <w:szCs w:val="24"/>
          <w:lang w:eastAsia="en-US"/>
        </w:rPr>
      </w:pPr>
      <w:r w:rsidRPr="003303F8">
        <w:rPr>
          <w:rFonts w:eastAsia="Times"/>
          <w:kern w:val="0"/>
          <w:sz w:val="24"/>
          <w:szCs w:val="24"/>
          <w:lang w:eastAsia="en-US"/>
        </w:rPr>
        <w:t>Stud</w:t>
      </w:r>
      <w:r w:rsidRPr="003303F8">
        <w:rPr>
          <w:kern w:val="0"/>
          <w:sz w:val="24"/>
          <w:szCs w:val="24"/>
        </w:rPr>
        <w:t>ies</w:t>
      </w:r>
      <w:r w:rsidRPr="003303F8">
        <w:rPr>
          <w:rFonts w:eastAsia="Times"/>
          <w:kern w:val="0"/>
          <w:sz w:val="24"/>
          <w:szCs w:val="24"/>
          <w:lang w:eastAsia="en-US"/>
        </w:rPr>
        <w:t xml:space="preserve"> that </w:t>
      </w:r>
      <w:r w:rsidRPr="003303F8">
        <w:rPr>
          <w:kern w:val="0"/>
          <w:sz w:val="24"/>
          <w:szCs w:val="24"/>
        </w:rPr>
        <w:t>specifically</w:t>
      </w:r>
      <w:r w:rsidRPr="003303F8">
        <w:rPr>
          <w:rFonts w:eastAsia="Times"/>
          <w:kern w:val="0"/>
          <w:sz w:val="24"/>
          <w:szCs w:val="24"/>
          <w:lang w:eastAsia="en-US"/>
        </w:rPr>
        <w:t xml:space="preserve"> test the theoretical model of LLV provide mixed evidence.  Using internal control weaknesses (ICWs) under both SOX section 302 and section 404 as a proxy for low information quality, Ashbaugh-Skaife et al. (2009) find evidence in favor of LLV. They find ICW firms have higher systematic risk, idiosyncratic risk and cost of equity, after controlling for several firm characteristics and determinants of internal control quality. Subsequent remediations of ICWs lower the cost of equity. In contrast</w:t>
      </w:r>
      <w:r w:rsidRPr="003303F8">
        <w:rPr>
          <w:rFonts w:eastAsia="Times"/>
          <w:i/>
          <w:kern w:val="0"/>
          <w:sz w:val="24"/>
          <w:szCs w:val="24"/>
          <w:lang w:eastAsia="en-US"/>
        </w:rPr>
        <w:t>,</w:t>
      </w:r>
      <w:r w:rsidRPr="003303F8">
        <w:rPr>
          <w:rFonts w:eastAsia="Times"/>
          <w:kern w:val="0"/>
          <w:sz w:val="24"/>
          <w:szCs w:val="24"/>
          <w:lang w:eastAsia="en-US"/>
        </w:rPr>
        <w:t xml:space="preserve"> Ogneva et al. (2007) do not find similar results using ICW firms that file first-time Section 404 reports. Ashbaugh-Skaife et al. </w:t>
      </w:r>
      <w:r w:rsidR="002957C6" w:rsidRPr="003303F8">
        <w:rPr>
          <w:rFonts w:eastAsia="Times"/>
          <w:kern w:val="0"/>
          <w:sz w:val="24"/>
          <w:szCs w:val="24"/>
          <w:lang w:eastAsia="en-US"/>
        </w:rPr>
        <w:t>use</w:t>
      </w:r>
      <w:r w:rsidR="00616634" w:rsidRPr="003303F8">
        <w:rPr>
          <w:rFonts w:eastAsia="Times"/>
          <w:kern w:val="0"/>
          <w:sz w:val="24"/>
          <w:szCs w:val="24"/>
          <w:lang w:eastAsia="en-US"/>
        </w:rPr>
        <w:t xml:space="preserve"> an implied cost of equity measure derived </w:t>
      </w:r>
      <w:r w:rsidR="0069030D" w:rsidRPr="003303F8">
        <w:rPr>
          <w:rFonts w:eastAsia="Times"/>
          <w:kern w:val="0"/>
          <w:sz w:val="24"/>
          <w:szCs w:val="24"/>
          <w:lang w:eastAsia="en-US"/>
        </w:rPr>
        <w:t xml:space="preserve">from </w:t>
      </w:r>
      <w:r w:rsidR="00616634" w:rsidRPr="003303F8">
        <w:rPr>
          <w:rFonts w:eastAsia="Times"/>
          <w:kern w:val="0"/>
          <w:sz w:val="24"/>
          <w:szCs w:val="24"/>
          <w:lang w:eastAsia="en-US"/>
        </w:rPr>
        <w:t xml:space="preserve">analyst forecast data from </w:t>
      </w:r>
      <w:r w:rsidRPr="003303F8">
        <w:rPr>
          <w:rFonts w:eastAsia="Times"/>
          <w:kern w:val="0"/>
          <w:sz w:val="24"/>
          <w:szCs w:val="24"/>
          <w:lang w:eastAsia="en-US"/>
        </w:rPr>
        <w:t xml:space="preserve">ValueLine data. </w:t>
      </w:r>
      <w:r w:rsidR="00616634" w:rsidRPr="003303F8">
        <w:rPr>
          <w:rFonts w:eastAsia="Times"/>
          <w:kern w:val="0"/>
          <w:sz w:val="24"/>
          <w:szCs w:val="24"/>
          <w:lang w:eastAsia="en-US"/>
        </w:rPr>
        <w:t xml:space="preserve">Ogneva et al. find the ValueLine measure is negative correlated with realized future return. Using </w:t>
      </w:r>
      <w:r w:rsidR="00BF73F8" w:rsidRPr="003303F8">
        <w:rPr>
          <w:rFonts w:eastAsia="Times"/>
          <w:kern w:val="0"/>
          <w:sz w:val="24"/>
          <w:szCs w:val="24"/>
          <w:lang w:eastAsia="en-US"/>
        </w:rPr>
        <w:t>alternative</w:t>
      </w:r>
      <w:r w:rsidR="00616634" w:rsidRPr="003303F8">
        <w:rPr>
          <w:rFonts w:eastAsia="Times"/>
          <w:kern w:val="0"/>
          <w:sz w:val="24"/>
          <w:szCs w:val="24"/>
          <w:lang w:eastAsia="en-US"/>
        </w:rPr>
        <w:t xml:space="preserve"> implied cost of equity measure</w:t>
      </w:r>
      <w:r w:rsidR="00BF73F8" w:rsidRPr="003303F8">
        <w:rPr>
          <w:rFonts w:eastAsia="Times"/>
          <w:kern w:val="0"/>
          <w:sz w:val="24"/>
          <w:szCs w:val="24"/>
          <w:lang w:eastAsia="en-US"/>
        </w:rPr>
        <w:t>s</w:t>
      </w:r>
      <w:r w:rsidR="00616634" w:rsidRPr="003303F8">
        <w:rPr>
          <w:rFonts w:eastAsia="Times"/>
          <w:kern w:val="0"/>
          <w:sz w:val="24"/>
          <w:szCs w:val="24"/>
          <w:lang w:eastAsia="en-US"/>
        </w:rPr>
        <w:t xml:space="preserve"> based on analyst forecast</w:t>
      </w:r>
      <w:r w:rsidR="002957C6" w:rsidRPr="003303F8">
        <w:rPr>
          <w:rFonts w:eastAsia="Times"/>
          <w:kern w:val="0"/>
          <w:sz w:val="24"/>
          <w:szCs w:val="24"/>
          <w:lang w:eastAsia="en-US"/>
        </w:rPr>
        <w:t>s</w:t>
      </w:r>
      <w:r w:rsidR="00616634" w:rsidRPr="003303F8">
        <w:rPr>
          <w:rFonts w:eastAsia="Times"/>
          <w:kern w:val="0"/>
          <w:sz w:val="24"/>
          <w:szCs w:val="24"/>
          <w:lang w:eastAsia="en-US"/>
        </w:rPr>
        <w:t xml:space="preserve"> from I/B/E/S, Ogneva et al. do not find a cost of equity effect of ICW. Based on these </w:t>
      </w:r>
      <w:r w:rsidR="00616634" w:rsidRPr="003303F8">
        <w:rPr>
          <w:rFonts w:eastAsia="Times"/>
          <w:kern w:val="0"/>
          <w:sz w:val="24"/>
          <w:szCs w:val="24"/>
          <w:lang w:eastAsia="en-US"/>
        </w:rPr>
        <w:lastRenderedPageBreak/>
        <w:t xml:space="preserve">findings, </w:t>
      </w:r>
      <w:r w:rsidRPr="003303F8">
        <w:rPr>
          <w:rFonts w:eastAsia="Times"/>
          <w:kern w:val="0"/>
          <w:sz w:val="24"/>
          <w:szCs w:val="24"/>
          <w:lang w:eastAsia="en-US"/>
        </w:rPr>
        <w:t>Ogneva et al. attribute the findings of Ashbaugh-Skaife et al. to sample selection biases. In summary, empirical evidence provided by prior literature is mixed with respect to the prediction of LLV that high quality accounting information reduces the firm’s cost of equity.</w:t>
      </w:r>
    </w:p>
    <w:p w:rsidR="005865E2" w:rsidRPr="003303F8" w:rsidRDefault="005865E2" w:rsidP="005865E2">
      <w:pPr>
        <w:pStyle w:val="Heading2"/>
        <w:spacing w:before="0" w:line="480" w:lineRule="auto"/>
        <w:rPr>
          <w:szCs w:val="24"/>
        </w:rPr>
      </w:pPr>
      <w:bookmarkStart w:id="56" w:name="_Toc378087503"/>
      <w:bookmarkStart w:id="57" w:name="_Toc378087543"/>
      <w:bookmarkStart w:id="58" w:name="_Toc378088352"/>
      <w:bookmarkStart w:id="59" w:name="_Toc378088741"/>
      <w:bookmarkStart w:id="60" w:name="_Toc378088877"/>
    </w:p>
    <w:p w:rsidR="00C174EA" w:rsidRPr="003303F8" w:rsidRDefault="006E7CAB" w:rsidP="00931FD3">
      <w:pPr>
        <w:pStyle w:val="Heading2"/>
        <w:spacing w:line="480" w:lineRule="auto"/>
        <w:rPr>
          <w:szCs w:val="24"/>
        </w:rPr>
      </w:pPr>
      <w:r w:rsidRPr="003303F8">
        <w:rPr>
          <w:szCs w:val="24"/>
        </w:rPr>
        <w:t>Hypothesis</w:t>
      </w:r>
      <w:bookmarkEnd w:id="56"/>
      <w:bookmarkEnd w:id="57"/>
      <w:bookmarkEnd w:id="58"/>
      <w:bookmarkEnd w:id="59"/>
      <w:bookmarkEnd w:id="60"/>
      <w:r w:rsidR="00C174EA" w:rsidRPr="003303F8">
        <w:rPr>
          <w:szCs w:val="24"/>
        </w:rPr>
        <w:t xml:space="preserve"> </w:t>
      </w:r>
    </w:p>
    <w:p w:rsidR="00C174EA" w:rsidRPr="003303F8" w:rsidRDefault="00D86B5F" w:rsidP="00E07762">
      <w:pPr>
        <w:widowControl/>
        <w:overflowPunct/>
        <w:autoSpaceDE/>
        <w:autoSpaceDN/>
        <w:adjustRightInd/>
        <w:spacing w:line="480" w:lineRule="auto"/>
        <w:ind w:firstLine="720"/>
        <w:rPr>
          <w:kern w:val="0"/>
          <w:sz w:val="24"/>
          <w:szCs w:val="24"/>
        </w:rPr>
      </w:pPr>
      <w:r w:rsidRPr="00576667">
        <w:rPr>
          <w:rFonts w:eastAsia="Times"/>
          <w:kern w:val="0"/>
          <w:sz w:val="24"/>
          <w:lang w:eastAsia="en-US"/>
        </w:rPr>
        <w:t xml:space="preserve">As discussed earlier, the financial information of </w:t>
      </w:r>
      <w:r>
        <w:rPr>
          <w:rFonts w:eastAsia="Times"/>
          <w:kern w:val="0"/>
          <w:sz w:val="24"/>
          <w:lang w:eastAsia="en-US"/>
        </w:rPr>
        <w:t>peer</w:t>
      </w:r>
      <w:r w:rsidRPr="00576667">
        <w:rPr>
          <w:rFonts w:eastAsia="Times"/>
          <w:kern w:val="0"/>
          <w:sz w:val="24"/>
          <w:lang w:eastAsia="en-US"/>
        </w:rPr>
        <w:t xml:space="preserve"> firm</w:t>
      </w:r>
      <w:r>
        <w:rPr>
          <w:rFonts w:eastAsia="Times"/>
          <w:kern w:val="0"/>
          <w:sz w:val="24"/>
          <w:lang w:eastAsia="en-US"/>
        </w:rPr>
        <w:t>s</w:t>
      </w:r>
      <w:r w:rsidRPr="00576667">
        <w:rPr>
          <w:rFonts w:eastAsia="Times"/>
          <w:kern w:val="0"/>
          <w:sz w:val="24"/>
          <w:lang w:eastAsia="en-US"/>
        </w:rPr>
        <w:t xml:space="preserve"> is useful to investors in </w:t>
      </w:r>
      <w:r>
        <w:rPr>
          <w:rFonts w:eastAsia="Times"/>
          <w:kern w:val="0"/>
          <w:sz w:val="24"/>
          <w:lang w:eastAsia="en-US"/>
        </w:rPr>
        <w:t>assessing the covariance of the firm’s cash flows with the cash flows of peer firms</w:t>
      </w:r>
      <w:r w:rsidRPr="00576667">
        <w:rPr>
          <w:rFonts w:eastAsia="Times"/>
          <w:kern w:val="0"/>
          <w:sz w:val="24"/>
          <w:lang w:eastAsia="en-US"/>
        </w:rPr>
        <w:t xml:space="preserve">. Therefore, as the quality (or precision) of </w:t>
      </w:r>
      <w:r>
        <w:rPr>
          <w:rFonts w:eastAsia="Times"/>
          <w:kern w:val="0"/>
          <w:sz w:val="24"/>
          <w:lang w:eastAsia="en-US"/>
        </w:rPr>
        <w:t>peer</w:t>
      </w:r>
      <w:r w:rsidRPr="00576667">
        <w:rPr>
          <w:rFonts w:eastAsia="Times"/>
          <w:kern w:val="0"/>
          <w:sz w:val="24"/>
          <w:lang w:eastAsia="en-US"/>
        </w:rPr>
        <w:t>s’ financial information increases, investors’ assess</w:t>
      </w:r>
      <w:r>
        <w:rPr>
          <w:rFonts w:eastAsia="Times"/>
          <w:kern w:val="0"/>
          <w:sz w:val="24"/>
          <w:lang w:eastAsia="en-US"/>
        </w:rPr>
        <w:t xml:space="preserve">ment of the firm’s systematic risk </w:t>
      </w:r>
      <w:r w:rsidRPr="00576667">
        <w:rPr>
          <w:rFonts w:eastAsia="Times"/>
          <w:kern w:val="0"/>
          <w:sz w:val="24"/>
          <w:lang w:eastAsia="en-US"/>
        </w:rPr>
        <w:t>decrease</w:t>
      </w:r>
      <w:r>
        <w:rPr>
          <w:rFonts w:eastAsia="Times"/>
          <w:kern w:val="0"/>
          <w:sz w:val="24"/>
          <w:lang w:eastAsia="en-US"/>
        </w:rPr>
        <w:t>s</w:t>
      </w:r>
      <w:r w:rsidRPr="00576667">
        <w:rPr>
          <w:rFonts w:eastAsia="Times"/>
          <w:kern w:val="0"/>
          <w:sz w:val="24"/>
          <w:lang w:eastAsia="en-US"/>
        </w:rPr>
        <w:t xml:space="preserve"> (e.g., Dye </w:t>
      </w:r>
      <w:r>
        <w:rPr>
          <w:rFonts w:eastAsia="Times"/>
          <w:kern w:val="0"/>
          <w:sz w:val="24"/>
          <w:lang w:eastAsia="en-US"/>
        </w:rPr>
        <w:t>[</w:t>
      </w:r>
      <w:r w:rsidRPr="00576667">
        <w:rPr>
          <w:rFonts w:eastAsia="Times"/>
          <w:kern w:val="0"/>
          <w:sz w:val="24"/>
          <w:lang w:eastAsia="en-US"/>
        </w:rPr>
        <w:t>1990</w:t>
      </w:r>
      <w:r>
        <w:rPr>
          <w:rFonts w:eastAsia="Times"/>
          <w:kern w:val="0"/>
          <w:sz w:val="24"/>
          <w:lang w:eastAsia="en-US"/>
        </w:rPr>
        <w:t>]</w:t>
      </w:r>
      <w:r w:rsidRPr="00576667">
        <w:rPr>
          <w:rFonts w:eastAsia="Times"/>
          <w:kern w:val="0"/>
          <w:sz w:val="24"/>
          <w:lang w:eastAsia="en-US"/>
        </w:rPr>
        <w:t xml:space="preserve">; </w:t>
      </w:r>
      <w:proofErr w:type="spellStart"/>
      <w:r w:rsidRPr="00576667">
        <w:rPr>
          <w:rFonts w:eastAsia="Times"/>
          <w:kern w:val="0"/>
          <w:sz w:val="24"/>
          <w:lang w:eastAsia="en-US"/>
        </w:rPr>
        <w:t>Admati</w:t>
      </w:r>
      <w:proofErr w:type="spellEnd"/>
      <w:r w:rsidRPr="00576667">
        <w:rPr>
          <w:rFonts w:eastAsia="Times"/>
          <w:kern w:val="0"/>
          <w:sz w:val="24"/>
          <w:lang w:eastAsia="en-US"/>
        </w:rPr>
        <w:t xml:space="preserve"> and </w:t>
      </w:r>
      <w:proofErr w:type="spellStart"/>
      <w:r w:rsidRPr="00576667">
        <w:rPr>
          <w:rFonts w:eastAsia="Times"/>
          <w:kern w:val="0"/>
          <w:sz w:val="24"/>
          <w:lang w:eastAsia="en-US"/>
        </w:rPr>
        <w:t>Pfleiderer</w:t>
      </w:r>
      <w:proofErr w:type="spellEnd"/>
      <w:r w:rsidRPr="00576667">
        <w:rPr>
          <w:rFonts w:eastAsia="Times"/>
          <w:kern w:val="0"/>
          <w:sz w:val="24"/>
          <w:lang w:eastAsia="en-US"/>
        </w:rPr>
        <w:t xml:space="preserve"> </w:t>
      </w:r>
      <w:r>
        <w:rPr>
          <w:rFonts w:eastAsia="Times"/>
          <w:kern w:val="0"/>
          <w:sz w:val="24"/>
          <w:lang w:eastAsia="en-US"/>
        </w:rPr>
        <w:t>[</w:t>
      </w:r>
      <w:r w:rsidRPr="00576667">
        <w:rPr>
          <w:rFonts w:eastAsia="Times"/>
          <w:kern w:val="0"/>
          <w:sz w:val="24"/>
          <w:lang w:eastAsia="en-US"/>
        </w:rPr>
        <w:t>2000</w:t>
      </w:r>
      <w:r>
        <w:rPr>
          <w:rFonts w:eastAsia="Times"/>
          <w:kern w:val="0"/>
          <w:sz w:val="24"/>
          <w:lang w:eastAsia="en-US"/>
        </w:rPr>
        <w:t>]</w:t>
      </w:r>
      <w:r w:rsidRPr="00576667">
        <w:rPr>
          <w:rFonts w:eastAsia="Times"/>
          <w:kern w:val="0"/>
          <w:sz w:val="24"/>
          <w:lang w:eastAsia="en-US"/>
        </w:rPr>
        <w:t xml:space="preserve">; </w:t>
      </w:r>
      <w:r>
        <w:rPr>
          <w:rFonts w:eastAsia="Times"/>
          <w:kern w:val="0"/>
          <w:sz w:val="24"/>
          <w:lang w:eastAsia="en-US"/>
        </w:rPr>
        <w:t>LLV</w:t>
      </w:r>
      <w:r w:rsidRPr="00576667">
        <w:rPr>
          <w:rFonts w:eastAsia="Times"/>
          <w:kern w:val="0"/>
          <w:sz w:val="24"/>
          <w:lang w:eastAsia="en-US"/>
        </w:rPr>
        <w:t xml:space="preserve"> </w:t>
      </w:r>
      <w:r>
        <w:rPr>
          <w:rFonts w:eastAsia="Times"/>
          <w:kern w:val="0"/>
          <w:sz w:val="24"/>
          <w:lang w:eastAsia="en-US"/>
        </w:rPr>
        <w:t>[2007]</w:t>
      </w:r>
      <w:r w:rsidRPr="00576667">
        <w:rPr>
          <w:rFonts w:eastAsia="Times"/>
          <w:kern w:val="0"/>
          <w:sz w:val="24"/>
          <w:lang w:eastAsia="en-US"/>
        </w:rPr>
        <w:t>)</w:t>
      </w:r>
      <w:r>
        <w:rPr>
          <w:rFonts w:eastAsia="Times"/>
          <w:kern w:val="0"/>
          <w:sz w:val="24"/>
          <w:lang w:eastAsia="en-US"/>
        </w:rPr>
        <w:t xml:space="preserve">. </w:t>
      </w:r>
      <w:r w:rsidR="00C174EA" w:rsidRPr="003303F8">
        <w:rPr>
          <w:rFonts w:eastAsia="Times"/>
          <w:kern w:val="0"/>
          <w:sz w:val="24"/>
          <w:szCs w:val="24"/>
          <w:lang w:eastAsia="en-US"/>
        </w:rPr>
        <w:t xml:space="preserve">I summarize </w:t>
      </w:r>
      <w:r w:rsidR="00F825A1" w:rsidRPr="003303F8">
        <w:rPr>
          <w:rFonts w:eastAsia="Times"/>
          <w:kern w:val="0"/>
          <w:sz w:val="24"/>
          <w:szCs w:val="24"/>
          <w:lang w:eastAsia="en-US"/>
        </w:rPr>
        <w:t>this discussion</w:t>
      </w:r>
      <w:r w:rsidR="00C174EA" w:rsidRPr="003303F8">
        <w:rPr>
          <w:rFonts w:eastAsia="Times"/>
          <w:kern w:val="0"/>
          <w:sz w:val="24"/>
          <w:szCs w:val="24"/>
          <w:lang w:eastAsia="en-US"/>
        </w:rPr>
        <w:t xml:space="preserve"> into the following testable </w:t>
      </w:r>
      <w:r w:rsidR="00EA52AD" w:rsidRPr="003303F8">
        <w:rPr>
          <w:rFonts w:eastAsia="Times"/>
          <w:kern w:val="0"/>
          <w:sz w:val="24"/>
          <w:szCs w:val="24"/>
          <w:lang w:eastAsia="en-US"/>
        </w:rPr>
        <w:t>hypothesis</w:t>
      </w:r>
      <w:r w:rsidR="00EA52AD" w:rsidRPr="003303F8">
        <w:rPr>
          <w:kern w:val="0"/>
          <w:sz w:val="24"/>
          <w:szCs w:val="24"/>
        </w:rPr>
        <w:t xml:space="preserve"> </w:t>
      </w:r>
      <w:r w:rsidR="00C174EA" w:rsidRPr="003303F8">
        <w:rPr>
          <w:kern w:val="0"/>
          <w:sz w:val="24"/>
          <w:szCs w:val="24"/>
        </w:rPr>
        <w:t xml:space="preserve">related to the effects of peer firm earnings quality on </w:t>
      </w:r>
      <w:r w:rsidR="00F825A1" w:rsidRPr="003303F8">
        <w:rPr>
          <w:kern w:val="0"/>
          <w:sz w:val="24"/>
          <w:szCs w:val="24"/>
        </w:rPr>
        <w:t xml:space="preserve">the firm’s </w:t>
      </w:r>
      <w:r w:rsidR="00C174EA" w:rsidRPr="003303F8">
        <w:rPr>
          <w:kern w:val="0"/>
          <w:sz w:val="24"/>
          <w:szCs w:val="24"/>
        </w:rPr>
        <w:t>cost of equity</w:t>
      </w:r>
      <w:r w:rsidR="000E46F3" w:rsidRPr="003303F8">
        <w:rPr>
          <w:kern w:val="0"/>
          <w:sz w:val="24"/>
          <w:szCs w:val="24"/>
        </w:rPr>
        <w:t xml:space="preserve"> (</w:t>
      </w:r>
      <w:r w:rsidR="00C174EA" w:rsidRPr="003303F8">
        <w:rPr>
          <w:kern w:val="0"/>
          <w:sz w:val="24"/>
          <w:szCs w:val="24"/>
        </w:rPr>
        <w:t>stated in the alternative form</w:t>
      </w:r>
      <w:r w:rsidR="000E46F3" w:rsidRPr="003303F8">
        <w:rPr>
          <w:kern w:val="0"/>
          <w:sz w:val="24"/>
          <w:szCs w:val="24"/>
        </w:rPr>
        <w:t>)</w:t>
      </w:r>
      <w:r w:rsidR="00C174EA" w:rsidRPr="003303F8">
        <w:rPr>
          <w:kern w:val="0"/>
          <w:sz w:val="24"/>
          <w:szCs w:val="24"/>
        </w:rPr>
        <w:t>:</w:t>
      </w:r>
    </w:p>
    <w:p w:rsidR="00E53FBC" w:rsidRPr="003303F8" w:rsidRDefault="00E53FBC" w:rsidP="00E07762">
      <w:pPr>
        <w:widowControl/>
        <w:overflowPunct/>
        <w:autoSpaceDE/>
        <w:autoSpaceDN/>
        <w:adjustRightInd/>
        <w:spacing w:line="480" w:lineRule="auto"/>
        <w:ind w:firstLine="720"/>
        <w:rPr>
          <w:kern w:val="0"/>
          <w:sz w:val="24"/>
          <w:szCs w:val="24"/>
        </w:rPr>
      </w:pPr>
    </w:p>
    <w:p w:rsidR="00C174EA" w:rsidRPr="003303F8" w:rsidRDefault="00C174EA" w:rsidP="000770D7">
      <w:pPr>
        <w:widowControl/>
        <w:tabs>
          <w:tab w:val="left" w:pos="8640"/>
        </w:tabs>
        <w:overflowPunct/>
        <w:autoSpaceDE/>
        <w:autoSpaceDN/>
        <w:adjustRightInd/>
        <w:ind w:left="1181" w:right="299" w:hanging="461"/>
        <w:rPr>
          <w:rFonts w:eastAsia="Times"/>
          <w:kern w:val="0"/>
          <w:sz w:val="24"/>
          <w:szCs w:val="24"/>
          <w:lang w:eastAsia="en-US"/>
        </w:rPr>
      </w:pPr>
      <w:r w:rsidRPr="003303F8">
        <w:rPr>
          <w:rFonts w:eastAsia="Times"/>
          <w:b/>
          <w:kern w:val="0"/>
          <w:sz w:val="24"/>
          <w:szCs w:val="24"/>
          <w:lang w:eastAsia="en-US"/>
        </w:rPr>
        <w:t>H</w:t>
      </w:r>
      <w:r w:rsidRPr="003303F8">
        <w:rPr>
          <w:b/>
          <w:kern w:val="0"/>
          <w:sz w:val="24"/>
          <w:szCs w:val="24"/>
          <w:vertAlign w:val="subscript"/>
        </w:rPr>
        <w:t>1</w:t>
      </w:r>
      <w:r w:rsidRPr="003303F8">
        <w:rPr>
          <w:kern w:val="0"/>
          <w:sz w:val="24"/>
          <w:szCs w:val="24"/>
        </w:rPr>
        <w:t xml:space="preserve">: </w:t>
      </w:r>
      <w:r w:rsidR="00206288" w:rsidRPr="003303F8">
        <w:rPr>
          <w:kern w:val="0"/>
          <w:sz w:val="24"/>
          <w:szCs w:val="24"/>
        </w:rPr>
        <w:t xml:space="preserve">Higher </w:t>
      </w:r>
      <w:r w:rsidR="00206288" w:rsidRPr="003303F8">
        <w:rPr>
          <w:rFonts w:eastAsia="Times"/>
          <w:kern w:val="0"/>
          <w:sz w:val="24"/>
          <w:szCs w:val="24"/>
          <w:lang w:eastAsia="en-US"/>
        </w:rPr>
        <w:t>p</w:t>
      </w:r>
      <w:r w:rsidRPr="003303F8">
        <w:rPr>
          <w:rFonts w:eastAsia="Times"/>
          <w:kern w:val="0"/>
          <w:sz w:val="24"/>
          <w:szCs w:val="24"/>
          <w:lang w:eastAsia="en-US"/>
        </w:rPr>
        <w:t xml:space="preserve">eer firm earnings quality lowers </w:t>
      </w:r>
      <w:r w:rsidR="00206288" w:rsidRPr="003303F8">
        <w:rPr>
          <w:rFonts w:eastAsia="Times"/>
          <w:kern w:val="0"/>
          <w:sz w:val="24"/>
          <w:szCs w:val="24"/>
          <w:lang w:eastAsia="en-US"/>
        </w:rPr>
        <w:t>a</w:t>
      </w:r>
      <w:r w:rsidRPr="003303F8">
        <w:rPr>
          <w:rFonts w:eastAsia="Times"/>
          <w:kern w:val="0"/>
          <w:sz w:val="24"/>
          <w:szCs w:val="24"/>
          <w:lang w:eastAsia="en-US"/>
        </w:rPr>
        <w:t xml:space="preserve"> firm’s</w:t>
      </w:r>
      <w:r w:rsidRPr="003303F8">
        <w:rPr>
          <w:rFonts w:hint="eastAsia"/>
          <w:kern w:val="0"/>
          <w:sz w:val="24"/>
          <w:szCs w:val="24"/>
        </w:rPr>
        <w:t xml:space="preserve"> </w:t>
      </w:r>
      <w:r w:rsidRPr="003303F8">
        <w:rPr>
          <w:rFonts w:eastAsia="Times"/>
          <w:kern w:val="0"/>
          <w:sz w:val="24"/>
          <w:szCs w:val="24"/>
          <w:lang w:eastAsia="en-US"/>
        </w:rPr>
        <w:t>cost of equity.</w:t>
      </w:r>
    </w:p>
    <w:p w:rsidR="003664B4" w:rsidRPr="003303F8" w:rsidRDefault="003664B4" w:rsidP="000770D7">
      <w:pPr>
        <w:widowControl/>
        <w:tabs>
          <w:tab w:val="left" w:pos="8640"/>
        </w:tabs>
        <w:overflowPunct/>
        <w:autoSpaceDE/>
        <w:autoSpaceDN/>
        <w:adjustRightInd/>
        <w:ind w:left="1181" w:right="299" w:hanging="461"/>
        <w:rPr>
          <w:rFonts w:eastAsia="Times"/>
          <w:kern w:val="0"/>
          <w:sz w:val="24"/>
          <w:szCs w:val="24"/>
          <w:lang w:eastAsia="en-US"/>
        </w:rPr>
      </w:pPr>
    </w:p>
    <w:p w:rsidR="003664B4" w:rsidRPr="003303F8" w:rsidRDefault="003664B4" w:rsidP="000770D7">
      <w:pPr>
        <w:widowControl/>
        <w:tabs>
          <w:tab w:val="left" w:pos="8640"/>
        </w:tabs>
        <w:overflowPunct/>
        <w:autoSpaceDE/>
        <w:autoSpaceDN/>
        <w:adjustRightInd/>
        <w:ind w:left="1181" w:right="299" w:hanging="461"/>
        <w:rPr>
          <w:rFonts w:eastAsia="Times"/>
          <w:kern w:val="0"/>
          <w:sz w:val="24"/>
          <w:szCs w:val="24"/>
          <w:lang w:eastAsia="en-US"/>
        </w:rPr>
      </w:pPr>
    </w:p>
    <w:p w:rsidR="003664B4" w:rsidRPr="003303F8" w:rsidRDefault="003664B4" w:rsidP="000770D7">
      <w:pPr>
        <w:widowControl/>
        <w:tabs>
          <w:tab w:val="left" w:pos="8640"/>
        </w:tabs>
        <w:overflowPunct/>
        <w:autoSpaceDE/>
        <w:autoSpaceDN/>
        <w:adjustRightInd/>
        <w:ind w:left="1181" w:right="299" w:hanging="461"/>
        <w:rPr>
          <w:rFonts w:eastAsia="Times"/>
          <w:kern w:val="0"/>
          <w:sz w:val="24"/>
          <w:szCs w:val="24"/>
          <w:lang w:eastAsia="en-US"/>
        </w:rPr>
      </w:pPr>
    </w:p>
    <w:p w:rsidR="003664B4" w:rsidRPr="003303F8" w:rsidRDefault="003664B4" w:rsidP="000770D7">
      <w:pPr>
        <w:widowControl/>
        <w:tabs>
          <w:tab w:val="left" w:pos="8640"/>
        </w:tabs>
        <w:overflowPunct/>
        <w:autoSpaceDE/>
        <w:autoSpaceDN/>
        <w:adjustRightInd/>
        <w:ind w:left="1181" w:right="299" w:hanging="461"/>
        <w:rPr>
          <w:rFonts w:eastAsia="Times"/>
          <w:kern w:val="0"/>
          <w:sz w:val="24"/>
          <w:szCs w:val="24"/>
          <w:lang w:eastAsia="en-US"/>
        </w:rPr>
      </w:pPr>
    </w:p>
    <w:p w:rsidR="00C85932" w:rsidRPr="003303F8" w:rsidRDefault="00C85932">
      <w:pPr>
        <w:widowControl/>
        <w:overflowPunct/>
        <w:autoSpaceDE/>
        <w:autoSpaceDN/>
        <w:adjustRightInd/>
        <w:rPr>
          <w:rFonts w:ascii="Times" w:eastAsia="Times" w:hAnsi="Times"/>
          <w:b/>
          <w:kern w:val="0"/>
          <w:sz w:val="24"/>
          <w:szCs w:val="24"/>
          <w:lang w:eastAsia="en-US"/>
        </w:rPr>
      </w:pPr>
      <w:r w:rsidRPr="003303F8">
        <w:rPr>
          <w:sz w:val="24"/>
          <w:szCs w:val="24"/>
        </w:rPr>
        <w:br w:type="page"/>
      </w:r>
    </w:p>
    <w:p w:rsidR="003B29E2" w:rsidRPr="003303F8" w:rsidRDefault="003B29E2" w:rsidP="003B29E2">
      <w:pPr>
        <w:pStyle w:val="Heading1"/>
        <w:spacing w:line="480" w:lineRule="auto"/>
        <w:rPr>
          <w:szCs w:val="24"/>
        </w:rPr>
      </w:pPr>
      <w:bookmarkStart w:id="61" w:name="_Toc378087504"/>
      <w:bookmarkStart w:id="62" w:name="_Toc378087544"/>
      <w:bookmarkStart w:id="63" w:name="_Toc378088353"/>
      <w:bookmarkStart w:id="64" w:name="_Toc378088742"/>
      <w:bookmarkStart w:id="65" w:name="_Toc378088878"/>
      <w:proofErr w:type="gramStart"/>
      <w:r w:rsidRPr="003303F8">
        <w:rPr>
          <w:szCs w:val="24"/>
        </w:rPr>
        <w:lastRenderedPageBreak/>
        <w:t>CH</w:t>
      </w:r>
      <w:r w:rsidR="00D86B5F">
        <w:rPr>
          <w:szCs w:val="24"/>
        </w:rPr>
        <w:t>A</w:t>
      </w:r>
      <w:r w:rsidRPr="003303F8">
        <w:rPr>
          <w:szCs w:val="24"/>
        </w:rPr>
        <w:t>PTER III</w:t>
      </w:r>
      <w:r w:rsidR="00C174EA" w:rsidRPr="003303F8">
        <w:rPr>
          <w:szCs w:val="24"/>
        </w:rPr>
        <w:t>.</w:t>
      </w:r>
      <w:proofErr w:type="gramEnd"/>
      <w:r w:rsidR="00C174EA" w:rsidRPr="003303F8">
        <w:rPr>
          <w:szCs w:val="24"/>
        </w:rPr>
        <w:t xml:space="preserve"> </w:t>
      </w:r>
      <w:r w:rsidRPr="003303F8">
        <w:rPr>
          <w:szCs w:val="24"/>
        </w:rPr>
        <w:t>RESEARCH DESIGN</w:t>
      </w:r>
      <w:bookmarkEnd w:id="61"/>
      <w:bookmarkEnd w:id="62"/>
      <w:bookmarkEnd w:id="63"/>
      <w:bookmarkEnd w:id="64"/>
      <w:bookmarkEnd w:id="65"/>
    </w:p>
    <w:p w:rsidR="00C174EA" w:rsidRPr="003303F8" w:rsidRDefault="00C174EA" w:rsidP="00931FD3">
      <w:pPr>
        <w:pStyle w:val="Heading2"/>
        <w:spacing w:line="480" w:lineRule="auto"/>
        <w:rPr>
          <w:szCs w:val="24"/>
        </w:rPr>
      </w:pPr>
      <w:bookmarkStart w:id="66" w:name="_Toc378087505"/>
      <w:bookmarkStart w:id="67" w:name="_Toc378087545"/>
      <w:bookmarkStart w:id="68" w:name="_Toc378088354"/>
      <w:bookmarkStart w:id="69" w:name="_Toc378088743"/>
      <w:bookmarkStart w:id="70" w:name="_Toc378088879"/>
      <w:r w:rsidRPr="003303F8">
        <w:rPr>
          <w:szCs w:val="24"/>
        </w:rPr>
        <w:t>Earnings Quality</w:t>
      </w:r>
      <w:bookmarkEnd w:id="66"/>
      <w:bookmarkEnd w:id="67"/>
      <w:bookmarkEnd w:id="68"/>
      <w:bookmarkEnd w:id="69"/>
      <w:bookmarkEnd w:id="70"/>
    </w:p>
    <w:p w:rsidR="00C174EA" w:rsidRPr="003303F8" w:rsidRDefault="00C174EA" w:rsidP="00E07762">
      <w:pPr>
        <w:widowControl/>
        <w:overflowPunct/>
        <w:autoSpaceDE/>
        <w:autoSpaceDN/>
        <w:snapToGrid w:val="0"/>
        <w:spacing w:line="480" w:lineRule="auto"/>
        <w:ind w:firstLine="720"/>
        <w:rPr>
          <w:kern w:val="0"/>
          <w:sz w:val="24"/>
          <w:szCs w:val="24"/>
        </w:rPr>
      </w:pPr>
      <w:r w:rsidRPr="003303F8">
        <w:rPr>
          <w:kern w:val="0"/>
          <w:sz w:val="24"/>
          <w:szCs w:val="24"/>
        </w:rPr>
        <w:t>Prior empirical literature (e.g., Biddle et al. [1995]; Liu et al. [2002]) shows that earnings is the main source of firm-specific accounting information, so my study uses earnings quality as a proxy for information quality. My earnings quality measure is based on the model in Francis et al. (2005) which uses a combination of the Jones model (</w:t>
      </w:r>
      <w:r w:rsidR="00CB58E8" w:rsidRPr="003303F8">
        <w:rPr>
          <w:kern w:val="0"/>
          <w:sz w:val="24"/>
          <w:szCs w:val="24"/>
        </w:rPr>
        <w:t>Jones</w:t>
      </w:r>
      <w:r w:rsidRPr="003303F8">
        <w:rPr>
          <w:kern w:val="0"/>
          <w:sz w:val="24"/>
          <w:szCs w:val="24"/>
        </w:rPr>
        <w:t xml:space="preserve"> </w:t>
      </w:r>
      <w:r w:rsidR="00686EAB" w:rsidRPr="003303F8">
        <w:rPr>
          <w:kern w:val="0"/>
          <w:sz w:val="24"/>
          <w:szCs w:val="24"/>
        </w:rPr>
        <w:t>[</w:t>
      </w:r>
      <w:r w:rsidR="00CB58E8" w:rsidRPr="003303F8">
        <w:rPr>
          <w:kern w:val="0"/>
          <w:sz w:val="24"/>
          <w:szCs w:val="24"/>
        </w:rPr>
        <w:t>1991</w:t>
      </w:r>
      <w:r w:rsidR="00686EAB" w:rsidRPr="003303F8">
        <w:rPr>
          <w:kern w:val="0"/>
          <w:sz w:val="24"/>
          <w:szCs w:val="24"/>
        </w:rPr>
        <w:t>]</w:t>
      </w:r>
      <w:r w:rsidRPr="003303F8">
        <w:rPr>
          <w:kern w:val="0"/>
          <w:sz w:val="24"/>
          <w:szCs w:val="24"/>
        </w:rPr>
        <w:t xml:space="preserve">) and Dechow and Dichev’s (2002) model.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990"/>
      </w:tblGrid>
      <w:tr w:rsidR="00C174EA" w:rsidRPr="003303F8" w:rsidTr="00931FD3">
        <w:trPr>
          <w:trHeight w:val="864"/>
        </w:trPr>
        <w:tc>
          <w:tcPr>
            <w:tcW w:w="7218" w:type="dxa"/>
            <w:vAlign w:val="center"/>
          </w:tcPr>
          <w:p w:rsidR="00C174EA" w:rsidRPr="003303F8" w:rsidRDefault="00800C46" w:rsidP="006B4963">
            <w:pPr>
              <w:keepNext/>
              <w:widowControl/>
              <w:overflowPunct/>
              <w:autoSpaceDE/>
              <w:autoSpaceDN/>
              <w:snapToGrid w:val="0"/>
              <w:spacing w:before="100" w:beforeAutospacing="1" w:after="120" w:line="480" w:lineRule="auto"/>
              <w:jc w:val="center"/>
              <w:rPr>
                <w:kern w:val="0"/>
                <w:sz w:val="24"/>
                <w:szCs w:val="24"/>
              </w:rPr>
            </w:pPr>
            <w:r w:rsidRPr="003303F8">
              <w:rPr>
                <w:position w:val="-26"/>
                <w:sz w:val="24"/>
                <w:szCs w:val="24"/>
              </w:rPr>
              <w:object w:dxaOrig="7400" w:dyaOrig="600">
                <v:shape id="_x0000_i1028" type="#_x0000_t75" style="width:310.5pt;height:26.25pt" o:ole="">
                  <v:imagedata r:id="rId17" o:title=""/>
                </v:shape>
                <o:OLEObject Type="Embed" ProgID="Equation.3" ShapeID="_x0000_i1028" DrawAspect="Content" ObjectID="_1458832545" r:id="rId18"/>
              </w:object>
            </w:r>
          </w:p>
        </w:tc>
        <w:tc>
          <w:tcPr>
            <w:tcW w:w="990" w:type="dxa"/>
            <w:vAlign w:val="center"/>
          </w:tcPr>
          <w:p w:rsidR="00C174EA" w:rsidRPr="003303F8" w:rsidRDefault="00C174EA" w:rsidP="00B66DB9">
            <w:pPr>
              <w:keepNext/>
              <w:widowControl/>
              <w:overflowPunct/>
              <w:autoSpaceDE/>
              <w:autoSpaceDN/>
              <w:snapToGrid w:val="0"/>
              <w:spacing w:before="100" w:beforeAutospacing="1" w:after="120" w:line="480" w:lineRule="auto"/>
              <w:jc w:val="center"/>
              <w:rPr>
                <w:kern w:val="0"/>
                <w:sz w:val="24"/>
                <w:szCs w:val="24"/>
              </w:rPr>
            </w:pPr>
            <w:r w:rsidRPr="003303F8">
              <w:rPr>
                <w:kern w:val="0"/>
                <w:sz w:val="24"/>
                <w:szCs w:val="24"/>
              </w:rPr>
              <w:t>(</w:t>
            </w:r>
            <w:r w:rsidR="00B66DB9" w:rsidRPr="003303F8">
              <w:rPr>
                <w:kern w:val="0"/>
                <w:sz w:val="24"/>
                <w:szCs w:val="24"/>
              </w:rPr>
              <w:t>1</w:t>
            </w:r>
            <w:r w:rsidRPr="003303F8">
              <w:rPr>
                <w:kern w:val="0"/>
                <w:sz w:val="24"/>
                <w:szCs w:val="24"/>
              </w:rPr>
              <w:t>)</w:t>
            </w:r>
          </w:p>
        </w:tc>
      </w:tr>
    </w:tbl>
    <w:p w:rsidR="00C174EA" w:rsidRPr="003303F8" w:rsidRDefault="00C174EA" w:rsidP="00E07762">
      <w:pPr>
        <w:rPr>
          <w:kern w:val="0"/>
          <w:sz w:val="24"/>
          <w:szCs w:val="24"/>
        </w:rPr>
      </w:pPr>
      <w:r w:rsidRPr="003303F8">
        <w:rPr>
          <w:kern w:val="0"/>
          <w:sz w:val="24"/>
          <w:szCs w:val="24"/>
        </w:rPr>
        <w:t xml:space="preserve">Where: </w:t>
      </w:r>
    </w:p>
    <w:p w:rsidR="00C174EA" w:rsidRPr="003303F8" w:rsidRDefault="00C174EA" w:rsidP="00E07762">
      <w:pPr>
        <w:widowControl/>
        <w:tabs>
          <w:tab w:val="left" w:pos="720"/>
          <w:tab w:val="left" w:pos="1620"/>
        </w:tabs>
        <w:overflowPunct/>
        <w:autoSpaceDE/>
        <w:autoSpaceDN/>
        <w:adjustRightInd/>
        <w:ind w:left="1800" w:hanging="1800"/>
        <w:rPr>
          <w:kern w:val="0"/>
          <w:sz w:val="24"/>
          <w:szCs w:val="24"/>
        </w:rPr>
      </w:pPr>
      <w:r w:rsidRPr="003303F8">
        <w:rPr>
          <w:kern w:val="0"/>
          <w:sz w:val="24"/>
          <w:szCs w:val="24"/>
        </w:rPr>
        <w:tab/>
      </w:r>
      <w:r w:rsidRPr="003303F8">
        <w:rPr>
          <w:i/>
          <w:kern w:val="0"/>
          <w:sz w:val="24"/>
          <w:szCs w:val="24"/>
        </w:rPr>
        <w:t>TACC</w:t>
      </w:r>
      <w:r w:rsidRPr="003303F8">
        <w:rPr>
          <w:i/>
          <w:kern w:val="0"/>
          <w:sz w:val="24"/>
          <w:szCs w:val="24"/>
          <w:vertAlign w:val="subscript"/>
        </w:rPr>
        <w:t>it</w:t>
      </w:r>
      <w:r w:rsidRPr="003303F8">
        <w:rPr>
          <w:kern w:val="0"/>
          <w:sz w:val="24"/>
          <w:szCs w:val="24"/>
        </w:rPr>
        <w:t xml:space="preserve">   </w:t>
      </w:r>
      <w:r w:rsidRPr="003303F8">
        <w:rPr>
          <w:kern w:val="0"/>
          <w:sz w:val="24"/>
          <w:szCs w:val="24"/>
        </w:rPr>
        <w:tab/>
        <w:t>= total accruals for firm i in year t, defined as the difference between net income before extraordinary items and operating cash flow,</w:t>
      </w:r>
    </w:p>
    <w:p w:rsidR="00C174EA" w:rsidRPr="003303F8" w:rsidRDefault="00C174EA" w:rsidP="00E07762">
      <w:pPr>
        <w:widowControl/>
        <w:tabs>
          <w:tab w:val="left" w:pos="720"/>
          <w:tab w:val="left" w:pos="1620"/>
        </w:tabs>
        <w:overflowPunct/>
        <w:autoSpaceDE/>
        <w:autoSpaceDN/>
        <w:adjustRightInd/>
        <w:ind w:left="1800" w:hanging="1800"/>
        <w:rPr>
          <w:i/>
          <w:kern w:val="0"/>
          <w:sz w:val="24"/>
          <w:szCs w:val="24"/>
        </w:rPr>
      </w:pPr>
      <w:r w:rsidRPr="003303F8">
        <w:rPr>
          <w:i/>
          <w:kern w:val="0"/>
          <w:sz w:val="24"/>
          <w:szCs w:val="24"/>
        </w:rPr>
        <w:tab/>
        <w:t>ΔREV</w:t>
      </w:r>
      <w:r w:rsidRPr="003303F8">
        <w:rPr>
          <w:i/>
          <w:kern w:val="0"/>
          <w:sz w:val="24"/>
          <w:szCs w:val="24"/>
          <w:vertAlign w:val="subscript"/>
        </w:rPr>
        <w:t>it</w:t>
      </w:r>
      <w:r w:rsidRPr="003303F8">
        <w:rPr>
          <w:kern w:val="0"/>
          <w:sz w:val="24"/>
          <w:szCs w:val="24"/>
        </w:rPr>
        <w:t xml:space="preserve">    = change in revenue for firm i in year t,</w:t>
      </w:r>
    </w:p>
    <w:p w:rsidR="00C174EA" w:rsidRPr="003303F8" w:rsidRDefault="00C174EA" w:rsidP="00E07762">
      <w:pPr>
        <w:widowControl/>
        <w:tabs>
          <w:tab w:val="left" w:pos="720"/>
          <w:tab w:val="left" w:pos="1620"/>
        </w:tabs>
        <w:overflowPunct/>
        <w:autoSpaceDE/>
        <w:autoSpaceDN/>
        <w:adjustRightInd/>
        <w:ind w:left="1800" w:hanging="1800"/>
        <w:rPr>
          <w:kern w:val="0"/>
          <w:sz w:val="24"/>
          <w:szCs w:val="24"/>
        </w:rPr>
      </w:pPr>
      <w:r w:rsidRPr="003303F8">
        <w:rPr>
          <w:kern w:val="0"/>
          <w:sz w:val="24"/>
          <w:szCs w:val="24"/>
        </w:rPr>
        <w:tab/>
      </w:r>
      <w:r w:rsidRPr="003303F8">
        <w:rPr>
          <w:i/>
          <w:kern w:val="0"/>
          <w:sz w:val="24"/>
          <w:szCs w:val="24"/>
        </w:rPr>
        <w:t>PPE</w:t>
      </w:r>
      <w:r w:rsidRPr="003303F8">
        <w:rPr>
          <w:i/>
          <w:kern w:val="0"/>
          <w:sz w:val="24"/>
          <w:szCs w:val="24"/>
          <w:vertAlign w:val="subscript"/>
        </w:rPr>
        <w:t>it</w:t>
      </w:r>
      <w:r w:rsidRPr="003303F8">
        <w:rPr>
          <w:kern w:val="0"/>
          <w:sz w:val="24"/>
          <w:szCs w:val="24"/>
        </w:rPr>
        <w:tab/>
        <w:t>= gross property, plant and equipment for firm i in year t,</w:t>
      </w:r>
    </w:p>
    <w:p w:rsidR="00C174EA" w:rsidRPr="003303F8" w:rsidRDefault="00C174EA" w:rsidP="00E07762">
      <w:pPr>
        <w:widowControl/>
        <w:tabs>
          <w:tab w:val="left" w:pos="1620"/>
        </w:tabs>
        <w:overflowPunct/>
        <w:autoSpaceDE/>
        <w:autoSpaceDN/>
        <w:adjustRightInd/>
        <w:ind w:left="1800" w:hanging="1080"/>
        <w:rPr>
          <w:kern w:val="0"/>
          <w:sz w:val="24"/>
          <w:szCs w:val="24"/>
        </w:rPr>
      </w:pPr>
      <w:r w:rsidRPr="003303F8">
        <w:rPr>
          <w:i/>
          <w:kern w:val="0"/>
          <w:sz w:val="24"/>
          <w:szCs w:val="24"/>
        </w:rPr>
        <w:t>CFO</w:t>
      </w:r>
      <w:r w:rsidRPr="003303F8">
        <w:rPr>
          <w:i/>
          <w:kern w:val="0"/>
          <w:sz w:val="24"/>
          <w:szCs w:val="24"/>
          <w:vertAlign w:val="subscript"/>
        </w:rPr>
        <w:t>it</w:t>
      </w:r>
      <w:r w:rsidRPr="003303F8">
        <w:rPr>
          <w:kern w:val="0"/>
          <w:sz w:val="24"/>
          <w:szCs w:val="24"/>
        </w:rPr>
        <w:t xml:space="preserve"> </w:t>
      </w:r>
      <w:r w:rsidRPr="003303F8">
        <w:rPr>
          <w:kern w:val="0"/>
          <w:sz w:val="24"/>
          <w:szCs w:val="24"/>
        </w:rPr>
        <w:tab/>
        <w:t>= cash</w:t>
      </w:r>
      <w:r w:rsidR="002957C6" w:rsidRPr="003303F8">
        <w:rPr>
          <w:kern w:val="0"/>
          <w:sz w:val="24"/>
          <w:szCs w:val="24"/>
        </w:rPr>
        <w:t xml:space="preserve"> flow from operations in year </w:t>
      </w:r>
      <w:r w:rsidR="00536048" w:rsidRPr="003303F8">
        <w:rPr>
          <w:kern w:val="0"/>
          <w:sz w:val="24"/>
          <w:szCs w:val="24"/>
        </w:rPr>
        <w:t>t,</w:t>
      </w:r>
    </w:p>
    <w:p w:rsidR="00C174EA" w:rsidRPr="003303F8" w:rsidRDefault="00C174EA" w:rsidP="00E07762">
      <w:pPr>
        <w:widowControl/>
        <w:tabs>
          <w:tab w:val="left" w:pos="720"/>
          <w:tab w:val="left" w:pos="1620"/>
        </w:tabs>
        <w:overflowPunct/>
        <w:autoSpaceDE/>
        <w:autoSpaceDN/>
        <w:adjustRightInd/>
        <w:ind w:left="1800" w:hanging="1800"/>
        <w:rPr>
          <w:i/>
          <w:kern w:val="0"/>
          <w:sz w:val="24"/>
          <w:szCs w:val="24"/>
        </w:rPr>
      </w:pPr>
      <w:r w:rsidRPr="003303F8">
        <w:rPr>
          <w:i/>
          <w:kern w:val="0"/>
          <w:sz w:val="24"/>
          <w:szCs w:val="24"/>
        </w:rPr>
        <w:tab/>
        <w:t>TA</w:t>
      </w:r>
      <w:r w:rsidRPr="003303F8">
        <w:rPr>
          <w:i/>
          <w:kern w:val="0"/>
          <w:sz w:val="24"/>
          <w:szCs w:val="24"/>
          <w:vertAlign w:val="subscript"/>
        </w:rPr>
        <w:t>it</w:t>
      </w:r>
      <w:r w:rsidRPr="003303F8">
        <w:rPr>
          <w:kern w:val="0"/>
          <w:sz w:val="24"/>
          <w:szCs w:val="24"/>
          <w:vertAlign w:val="subscript"/>
        </w:rPr>
        <w:tab/>
      </w:r>
      <w:r w:rsidRPr="003303F8">
        <w:rPr>
          <w:kern w:val="0"/>
          <w:sz w:val="24"/>
          <w:szCs w:val="24"/>
        </w:rPr>
        <w:t xml:space="preserve">= </w:t>
      </w:r>
      <w:r w:rsidR="00196190" w:rsidRPr="003303F8">
        <w:rPr>
          <w:kern w:val="0"/>
          <w:sz w:val="24"/>
          <w:szCs w:val="24"/>
        </w:rPr>
        <w:t xml:space="preserve">average </w:t>
      </w:r>
      <w:r w:rsidRPr="003303F8">
        <w:rPr>
          <w:kern w:val="0"/>
          <w:sz w:val="24"/>
          <w:szCs w:val="24"/>
        </w:rPr>
        <w:t>total assets for firm i in year t.</w:t>
      </w:r>
    </w:p>
    <w:p w:rsidR="00C174EA" w:rsidRPr="003303F8" w:rsidRDefault="00C174EA" w:rsidP="00E07762">
      <w:pPr>
        <w:widowControl/>
        <w:overflowPunct/>
        <w:autoSpaceDE/>
        <w:autoSpaceDN/>
        <w:snapToGrid w:val="0"/>
        <w:ind w:left="2160" w:hanging="2160"/>
        <w:rPr>
          <w:kern w:val="0"/>
          <w:sz w:val="24"/>
          <w:szCs w:val="24"/>
        </w:rPr>
      </w:pPr>
      <w:r w:rsidRPr="003303F8">
        <w:rPr>
          <w:kern w:val="0"/>
          <w:sz w:val="24"/>
          <w:szCs w:val="24"/>
        </w:rPr>
        <w:t xml:space="preserve">             </w:t>
      </w:r>
    </w:p>
    <w:p w:rsidR="00C174EA" w:rsidRPr="003303F8" w:rsidRDefault="00C174EA" w:rsidP="00E07762">
      <w:pPr>
        <w:widowControl/>
        <w:overflowPunct/>
        <w:autoSpaceDE/>
        <w:autoSpaceDN/>
        <w:snapToGrid w:val="0"/>
        <w:spacing w:line="480" w:lineRule="auto"/>
        <w:ind w:firstLine="720"/>
        <w:rPr>
          <w:kern w:val="0"/>
          <w:sz w:val="24"/>
          <w:szCs w:val="24"/>
        </w:rPr>
      </w:pPr>
      <w:r w:rsidRPr="003303F8">
        <w:rPr>
          <w:kern w:val="0"/>
          <w:sz w:val="24"/>
          <w:szCs w:val="24"/>
        </w:rPr>
        <w:t>To estimate earnings quality, I first regress the model above by each industry-year. The residuals (abnormal accruals) reflect 1) estimation error in a firm’s accruals and 2) intentional accrual manipulations by the firm’s management. Therefore, this measure meets LLV’s definition of information quality.</w:t>
      </w:r>
      <w:r w:rsidRPr="003303F8">
        <w:rPr>
          <w:rStyle w:val="FootnoteReference"/>
          <w:kern w:val="0"/>
          <w:sz w:val="24"/>
          <w:szCs w:val="24"/>
        </w:rPr>
        <w:footnoteReference w:id="17"/>
      </w:r>
      <w:r w:rsidRPr="003303F8">
        <w:rPr>
          <w:kern w:val="0"/>
          <w:sz w:val="24"/>
          <w:szCs w:val="24"/>
        </w:rPr>
        <w:t xml:space="preserve"> Because the </w:t>
      </w:r>
      <w:r w:rsidR="000A0CC2" w:rsidRPr="003303F8">
        <w:rPr>
          <w:kern w:val="0"/>
          <w:sz w:val="24"/>
          <w:szCs w:val="24"/>
        </w:rPr>
        <w:t>magnitude</w:t>
      </w:r>
      <w:r w:rsidRPr="003303F8">
        <w:rPr>
          <w:kern w:val="0"/>
          <w:sz w:val="24"/>
          <w:szCs w:val="24"/>
        </w:rPr>
        <w:t xml:space="preserve"> of the residuals </w:t>
      </w:r>
      <w:r w:rsidR="000A0CC2" w:rsidRPr="003303F8">
        <w:rPr>
          <w:kern w:val="0"/>
          <w:sz w:val="24"/>
          <w:szCs w:val="24"/>
        </w:rPr>
        <w:t>is an inverse indicator</w:t>
      </w:r>
      <w:r w:rsidRPr="003303F8">
        <w:rPr>
          <w:kern w:val="0"/>
          <w:sz w:val="24"/>
          <w:szCs w:val="24"/>
        </w:rPr>
        <w:t xml:space="preserve"> of earnings quality, I use the </w:t>
      </w:r>
      <w:r w:rsidR="00504CF9" w:rsidRPr="003303F8">
        <w:rPr>
          <w:kern w:val="0"/>
          <w:sz w:val="24"/>
          <w:szCs w:val="24"/>
        </w:rPr>
        <w:t>negative of (</w:t>
      </w:r>
      <w:r w:rsidR="0072291D" w:rsidRPr="003303F8">
        <w:rPr>
          <w:kern w:val="0"/>
          <w:sz w:val="24"/>
          <w:szCs w:val="24"/>
        </w:rPr>
        <w:t>five-year</w:t>
      </w:r>
      <w:r w:rsidR="00504CF9" w:rsidRPr="003303F8">
        <w:rPr>
          <w:kern w:val="0"/>
          <w:sz w:val="24"/>
          <w:szCs w:val="24"/>
        </w:rPr>
        <w:t>)</w:t>
      </w:r>
      <w:r w:rsidR="0072291D" w:rsidRPr="003303F8">
        <w:rPr>
          <w:kern w:val="0"/>
          <w:sz w:val="24"/>
          <w:szCs w:val="24"/>
        </w:rPr>
        <w:t xml:space="preserve"> standard deviation </w:t>
      </w:r>
      <w:r w:rsidRPr="003303F8">
        <w:rPr>
          <w:kern w:val="0"/>
          <w:sz w:val="24"/>
          <w:szCs w:val="24"/>
        </w:rPr>
        <w:t>of the residuals as my measure of earnings quality (</w:t>
      </w:r>
      <w:r w:rsidRPr="003303F8">
        <w:rPr>
          <w:i/>
          <w:kern w:val="0"/>
          <w:sz w:val="24"/>
          <w:szCs w:val="24"/>
        </w:rPr>
        <w:t>EQ</w:t>
      </w:r>
      <w:r w:rsidRPr="003303F8">
        <w:rPr>
          <w:kern w:val="0"/>
          <w:sz w:val="24"/>
          <w:szCs w:val="24"/>
        </w:rPr>
        <w:t xml:space="preserve">), so that higher values of </w:t>
      </w:r>
      <w:r w:rsidRPr="003303F8">
        <w:rPr>
          <w:i/>
          <w:kern w:val="0"/>
          <w:sz w:val="24"/>
          <w:szCs w:val="24"/>
        </w:rPr>
        <w:t>EQ</w:t>
      </w:r>
      <w:r w:rsidRPr="003303F8">
        <w:rPr>
          <w:kern w:val="0"/>
          <w:sz w:val="24"/>
          <w:szCs w:val="24"/>
        </w:rPr>
        <w:t xml:space="preserve"> indicate higher earnings quality. </w:t>
      </w:r>
    </w:p>
    <w:p w:rsidR="00C174EA" w:rsidRPr="003303F8" w:rsidRDefault="00C174EA" w:rsidP="00E07762">
      <w:pPr>
        <w:widowControl/>
        <w:overflowPunct/>
        <w:autoSpaceDE/>
        <w:autoSpaceDN/>
        <w:snapToGrid w:val="0"/>
        <w:ind w:left="1350" w:right="936" w:hanging="630"/>
        <w:rPr>
          <w:kern w:val="0"/>
          <w:sz w:val="24"/>
          <w:szCs w:val="24"/>
        </w:rPr>
      </w:pPr>
      <w:r w:rsidRPr="003303F8">
        <w:rPr>
          <w:i/>
          <w:kern w:val="0"/>
          <w:sz w:val="24"/>
          <w:szCs w:val="24"/>
        </w:rPr>
        <w:t xml:space="preserve">EQ </w:t>
      </w:r>
      <w:r w:rsidR="00C97D18" w:rsidRPr="003303F8">
        <w:rPr>
          <w:i/>
          <w:kern w:val="0"/>
          <w:sz w:val="24"/>
          <w:szCs w:val="24"/>
        </w:rPr>
        <w:tab/>
      </w:r>
      <w:r w:rsidRPr="003303F8">
        <w:rPr>
          <w:kern w:val="0"/>
          <w:sz w:val="24"/>
          <w:szCs w:val="24"/>
        </w:rPr>
        <w:t xml:space="preserve">= Earnings quality, measured by the negative of </w:t>
      </w:r>
      <w:r w:rsidR="0059080C" w:rsidRPr="003303F8">
        <w:rPr>
          <w:kern w:val="0"/>
          <w:sz w:val="24"/>
          <w:szCs w:val="24"/>
        </w:rPr>
        <w:t xml:space="preserve">firm-specific five-year </w:t>
      </w:r>
      <w:r w:rsidR="00504CF9" w:rsidRPr="003303F8">
        <w:rPr>
          <w:kern w:val="0"/>
          <w:sz w:val="24"/>
          <w:szCs w:val="24"/>
        </w:rPr>
        <w:t xml:space="preserve">standard deviation of </w:t>
      </w:r>
      <w:r w:rsidRPr="003303F8">
        <w:rPr>
          <w:kern w:val="0"/>
          <w:sz w:val="24"/>
          <w:szCs w:val="24"/>
        </w:rPr>
        <w:t>residual</w:t>
      </w:r>
      <w:r w:rsidR="00504CF9" w:rsidRPr="003303F8">
        <w:rPr>
          <w:kern w:val="0"/>
          <w:sz w:val="24"/>
          <w:szCs w:val="24"/>
        </w:rPr>
        <w:t>s</w:t>
      </w:r>
      <w:r w:rsidRPr="003303F8">
        <w:rPr>
          <w:kern w:val="0"/>
          <w:sz w:val="24"/>
          <w:szCs w:val="24"/>
        </w:rPr>
        <w:t xml:space="preserve"> estimated from </w:t>
      </w:r>
      <w:r w:rsidR="00F825A1" w:rsidRPr="003303F8">
        <w:rPr>
          <w:kern w:val="0"/>
          <w:sz w:val="24"/>
          <w:szCs w:val="24"/>
        </w:rPr>
        <w:t>model (</w:t>
      </w:r>
      <w:r w:rsidR="00B66DB9" w:rsidRPr="003303F8">
        <w:rPr>
          <w:kern w:val="0"/>
          <w:sz w:val="24"/>
          <w:szCs w:val="24"/>
        </w:rPr>
        <w:t>1</w:t>
      </w:r>
      <w:r w:rsidR="00F825A1" w:rsidRPr="003303F8">
        <w:rPr>
          <w:kern w:val="0"/>
          <w:sz w:val="24"/>
          <w:szCs w:val="24"/>
        </w:rPr>
        <w:t>)</w:t>
      </w:r>
      <w:r w:rsidRPr="003303F8">
        <w:rPr>
          <w:kern w:val="0"/>
          <w:sz w:val="24"/>
          <w:szCs w:val="24"/>
        </w:rPr>
        <w:t>.</w:t>
      </w:r>
    </w:p>
    <w:p w:rsidR="00607214" w:rsidRPr="003303F8" w:rsidRDefault="00607214" w:rsidP="00607214">
      <w:pPr>
        <w:widowControl/>
        <w:overflowPunct/>
        <w:autoSpaceDE/>
        <w:autoSpaceDN/>
        <w:snapToGrid w:val="0"/>
        <w:spacing w:line="480" w:lineRule="auto"/>
        <w:rPr>
          <w:kern w:val="0"/>
          <w:sz w:val="24"/>
          <w:szCs w:val="24"/>
        </w:rPr>
      </w:pPr>
    </w:p>
    <w:p w:rsidR="00C174EA" w:rsidRPr="003303F8" w:rsidRDefault="00C174EA" w:rsidP="00931FD3">
      <w:pPr>
        <w:pStyle w:val="Heading2"/>
        <w:spacing w:line="480" w:lineRule="auto"/>
        <w:rPr>
          <w:szCs w:val="24"/>
        </w:rPr>
      </w:pPr>
      <w:bookmarkStart w:id="71" w:name="_Toc378087506"/>
      <w:bookmarkStart w:id="72" w:name="_Toc378087546"/>
      <w:bookmarkStart w:id="73" w:name="_Toc378088355"/>
      <w:bookmarkStart w:id="74" w:name="_Toc378088744"/>
      <w:bookmarkStart w:id="75" w:name="_Toc378088880"/>
      <w:r w:rsidRPr="003303F8">
        <w:rPr>
          <w:szCs w:val="24"/>
        </w:rPr>
        <w:lastRenderedPageBreak/>
        <w:t>Peer Firm Earnings Quality</w:t>
      </w:r>
      <w:bookmarkEnd w:id="71"/>
      <w:bookmarkEnd w:id="72"/>
      <w:bookmarkEnd w:id="73"/>
      <w:bookmarkEnd w:id="74"/>
      <w:bookmarkEnd w:id="75"/>
    </w:p>
    <w:p w:rsidR="00C174EA" w:rsidRPr="003303F8" w:rsidRDefault="00C174EA" w:rsidP="00E07762">
      <w:pPr>
        <w:widowControl/>
        <w:overflowPunct/>
        <w:autoSpaceDE/>
        <w:autoSpaceDN/>
        <w:snapToGrid w:val="0"/>
        <w:spacing w:line="480" w:lineRule="auto"/>
        <w:ind w:firstLine="720"/>
        <w:rPr>
          <w:kern w:val="0"/>
          <w:sz w:val="24"/>
          <w:szCs w:val="24"/>
        </w:rPr>
      </w:pPr>
      <w:r w:rsidRPr="003303F8">
        <w:rPr>
          <w:kern w:val="0"/>
          <w:sz w:val="24"/>
          <w:szCs w:val="24"/>
        </w:rPr>
        <w:t>Peer firm earnings quality (</w:t>
      </w:r>
      <w:r w:rsidRPr="003303F8">
        <w:rPr>
          <w:i/>
          <w:kern w:val="0"/>
          <w:sz w:val="24"/>
          <w:szCs w:val="24"/>
        </w:rPr>
        <w:t>P_EQ</w:t>
      </w:r>
      <w:r w:rsidRPr="003303F8">
        <w:rPr>
          <w:kern w:val="0"/>
          <w:sz w:val="24"/>
          <w:szCs w:val="24"/>
        </w:rPr>
        <w:t>) refers to the</w:t>
      </w:r>
      <w:r w:rsidRPr="003303F8">
        <w:rPr>
          <w:rFonts w:hint="eastAsia"/>
          <w:kern w:val="0"/>
          <w:sz w:val="24"/>
          <w:szCs w:val="24"/>
        </w:rPr>
        <w:t xml:space="preserve"> </w:t>
      </w:r>
      <w:r w:rsidRPr="003303F8">
        <w:rPr>
          <w:kern w:val="0"/>
          <w:sz w:val="24"/>
          <w:szCs w:val="24"/>
        </w:rPr>
        <w:t>equally</w:t>
      </w:r>
      <w:r w:rsidR="00F825A1" w:rsidRPr="003303F8">
        <w:rPr>
          <w:kern w:val="0"/>
          <w:sz w:val="24"/>
          <w:szCs w:val="24"/>
        </w:rPr>
        <w:t>-</w:t>
      </w:r>
      <w:r w:rsidRPr="003303F8">
        <w:rPr>
          <w:kern w:val="0"/>
          <w:sz w:val="24"/>
          <w:szCs w:val="24"/>
        </w:rPr>
        <w:t>weight</w:t>
      </w:r>
      <w:r w:rsidR="00BF73F8" w:rsidRPr="003303F8">
        <w:rPr>
          <w:kern w:val="0"/>
          <w:sz w:val="24"/>
          <w:szCs w:val="24"/>
        </w:rPr>
        <w:t>ed or market</w:t>
      </w:r>
      <w:r w:rsidR="00F825A1" w:rsidRPr="003303F8">
        <w:rPr>
          <w:kern w:val="0"/>
          <w:sz w:val="24"/>
          <w:szCs w:val="24"/>
        </w:rPr>
        <w:t>-</w:t>
      </w:r>
      <w:r w:rsidRPr="003303F8">
        <w:rPr>
          <w:kern w:val="0"/>
          <w:sz w:val="24"/>
          <w:szCs w:val="24"/>
        </w:rPr>
        <w:t>share</w:t>
      </w:r>
      <w:r w:rsidR="00F825A1" w:rsidRPr="003303F8">
        <w:rPr>
          <w:kern w:val="0"/>
          <w:sz w:val="24"/>
          <w:szCs w:val="24"/>
        </w:rPr>
        <w:t>-</w:t>
      </w:r>
      <w:r w:rsidRPr="003303F8">
        <w:rPr>
          <w:kern w:val="0"/>
          <w:sz w:val="24"/>
          <w:szCs w:val="24"/>
        </w:rPr>
        <w:t xml:space="preserve">weighted </w:t>
      </w:r>
      <w:r w:rsidR="00F825A1" w:rsidRPr="003303F8">
        <w:rPr>
          <w:kern w:val="0"/>
          <w:sz w:val="24"/>
          <w:szCs w:val="24"/>
        </w:rPr>
        <w:t xml:space="preserve">(revenue) </w:t>
      </w:r>
      <w:r w:rsidRPr="003303F8">
        <w:rPr>
          <w:kern w:val="0"/>
          <w:sz w:val="24"/>
          <w:szCs w:val="24"/>
        </w:rPr>
        <w:t xml:space="preserve">average </w:t>
      </w:r>
      <w:r w:rsidRPr="003303F8">
        <w:rPr>
          <w:i/>
          <w:kern w:val="0"/>
          <w:sz w:val="24"/>
          <w:szCs w:val="24"/>
        </w:rPr>
        <w:t>EQ</w:t>
      </w:r>
      <w:r w:rsidRPr="003303F8">
        <w:rPr>
          <w:kern w:val="0"/>
          <w:sz w:val="24"/>
          <w:szCs w:val="24"/>
        </w:rPr>
        <w:t xml:space="preserve"> of all the other firms in the industry (defined based on Fama-French 48 industry classification) except firm i.</w:t>
      </w:r>
      <w:r w:rsidR="00EA226B" w:rsidRPr="003303F8">
        <w:rPr>
          <w:rStyle w:val="FootnoteReference"/>
          <w:kern w:val="0"/>
          <w:sz w:val="24"/>
          <w:szCs w:val="24"/>
        </w:rPr>
        <w:footnoteReference w:id="18"/>
      </w:r>
      <w:r w:rsidR="00EA226B" w:rsidRPr="003303F8">
        <w:rPr>
          <w:kern w:val="0"/>
          <w:sz w:val="24"/>
          <w:szCs w:val="24"/>
          <w:vertAlign w:val="superscript"/>
        </w:rPr>
        <w:t>,</w:t>
      </w:r>
      <w:r w:rsidRPr="003303F8">
        <w:rPr>
          <w:rStyle w:val="FootnoteReference"/>
          <w:kern w:val="0"/>
          <w:sz w:val="24"/>
          <w:szCs w:val="24"/>
        </w:rPr>
        <w:footnoteReference w:id="19"/>
      </w:r>
      <w:r w:rsidRPr="003303F8">
        <w:rPr>
          <w:kern w:val="0"/>
          <w:sz w:val="24"/>
          <w:szCs w:val="24"/>
        </w:rPr>
        <w:t xml:space="preserve"> Higher values of </w:t>
      </w:r>
      <w:r w:rsidRPr="003303F8">
        <w:rPr>
          <w:i/>
          <w:kern w:val="0"/>
          <w:sz w:val="24"/>
          <w:szCs w:val="24"/>
        </w:rPr>
        <w:t>P_EQ</w:t>
      </w:r>
      <w:r w:rsidRPr="003303F8">
        <w:rPr>
          <w:kern w:val="0"/>
          <w:sz w:val="24"/>
          <w:szCs w:val="24"/>
        </w:rPr>
        <w:t xml:space="preserve"> indicate </w:t>
      </w:r>
      <w:r w:rsidR="00BF73F8" w:rsidRPr="003303F8">
        <w:rPr>
          <w:kern w:val="0"/>
          <w:sz w:val="24"/>
          <w:szCs w:val="24"/>
        </w:rPr>
        <w:t>higher</w:t>
      </w:r>
      <w:r w:rsidRPr="003303F8">
        <w:rPr>
          <w:kern w:val="0"/>
          <w:sz w:val="24"/>
          <w:szCs w:val="24"/>
        </w:rPr>
        <w:t xml:space="preserve"> earnings quality of other firms in the industry.</w:t>
      </w:r>
    </w:p>
    <w:p w:rsidR="00C174EA" w:rsidRPr="003303F8" w:rsidRDefault="00C174EA" w:rsidP="00E07762">
      <w:pPr>
        <w:widowControl/>
        <w:overflowPunct/>
        <w:autoSpaceDE/>
        <w:autoSpaceDN/>
        <w:snapToGrid w:val="0"/>
        <w:ind w:left="1980" w:right="662" w:hanging="1260"/>
        <w:rPr>
          <w:kern w:val="0"/>
          <w:sz w:val="24"/>
          <w:szCs w:val="24"/>
        </w:rPr>
      </w:pPr>
      <w:r w:rsidRPr="003303F8">
        <w:rPr>
          <w:i/>
          <w:kern w:val="0"/>
          <w:sz w:val="24"/>
          <w:szCs w:val="24"/>
        </w:rPr>
        <w:t>P_EQew</w:t>
      </w:r>
      <w:r w:rsidRPr="003303F8">
        <w:rPr>
          <w:kern w:val="0"/>
          <w:sz w:val="24"/>
          <w:szCs w:val="24"/>
        </w:rPr>
        <w:t xml:space="preserve"> </w:t>
      </w:r>
      <w:r w:rsidRPr="003303F8">
        <w:rPr>
          <w:rFonts w:hint="eastAsia"/>
          <w:kern w:val="0"/>
          <w:sz w:val="24"/>
          <w:szCs w:val="24"/>
        </w:rPr>
        <w:t xml:space="preserve">  </w:t>
      </w:r>
      <w:r w:rsidRPr="003303F8">
        <w:rPr>
          <w:kern w:val="0"/>
          <w:sz w:val="24"/>
          <w:szCs w:val="24"/>
        </w:rPr>
        <w:t xml:space="preserve">= Peer firm earnings </w:t>
      </w:r>
      <w:r w:rsidR="00BF73F8" w:rsidRPr="003303F8">
        <w:rPr>
          <w:kern w:val="0"/>
          <w:sz w:val="24"/>
          <w:szCs w:val="24"/>
        </w:rPr>
        <w:t>quality based on equally-</w:t>
      </w:r>
      <w:r w:rsidRPr="003303F8">
        <w:rPr>
          <w:kern w:val="0"/>
          <w:sz w:val="24"/>
          <w:szCs w:val="24"/>
        </w:rPr>
        <w:t xml:space="preserve">weighted </w:t>
      </w:r>
      <w:r w:rsidR="0059080C" w:rsidRPr="003303F8">
        <w:rPr>
          <w:i/>
          <w:kern w:val="0"/>
          <w:sz w:val="24"/>
          <w:szCs w:val="24"/>
        </w:rPr>
        <w:t>EQ</w:t>
      </w:r>
      <w:r w:rsidRPr="003303F8">
        <w:rPr>
          <w:kern w:val="0"/>
          <w:sz w:val="24"/>
          <w:szCs w:val="24"/>
        </w:rPr>
        <w:t xml:space="preserve"> of all other firms in the same industry during the fiscal year.</w:t>
      </w:r>
    </w:p>
    <w:p w:rsidR="00C174EA" w:rsidRPr="003303F8" w:rsidRDefault="00C174EA" w:rsidP="00E07762">
      <w:pPr>
        <w:widowControl/>
        <w:overflowPunct/>
        <w:autoSpaceDE/>
        <w:autoSpaceDN/>
        <w:snapToGrid w:val="0"/>
        <w:ind w:left="1980" w:right="662" w:hanging="1260"/>
        <w:rPr>
          <w:kern w:val="0"/>
          <w:sz w:val="24"/>
          <w:szCs w:val="24"/>
        </w:rPr>
      </w:pPr>
      <w:r w:rsidRPr="003303F8">
        <w:rPr>
          <w:i/>
          <w:kern w:val="0"/>
          <w:sz w:val="24"/>
          <w:szCs w:val="24"/>
        </w:rPr>
        <w:t>P_EQmsw</w:t>
      </w:r>
      <w:r w:rsidRPr="003303F8">
        <w:rPr>
          <w:kern w:val="0"/>
          <w:sz w:val="24"/>
          <w:szCs w:val="24"/>
        </w:rPr>
        <w:t xml:space="preserve"> = Peer firm earnings quality</w:t>
      </w:r>
      <w:r w:rsidR="00BF73F8" w:rsidRPr="003303F8">
        <w:rPr>
          <w:kern w:val="0"/>
          <w:sz w:val="24"/>
          <w:szCs w:val="24"/>
        </w:rPr>
        <w:t xml:space="preserve"> based on market-share-</w:t>
      </w:r>
      <w:r w:rsidRPr="003303F8">
        <w:rPr>
          <w:kern w:val="0"/>
          <w:sz w:val="24"/>
          <w:szCs w:val="24"/>
        </w:rPr>
        <w:t xml:space="preserve">weighted </w:t>
      </w:r>
      <w:r w:rsidR="0059080C" w:rsidRPr="003303F8">
        <w:rPr>
          <w:i/>
          <w:kern w:val="0"/>
          <w:sz w:val="24"/>
          <w:szCs w:val="24"/>
        </w:rPr>
        <w:t>EQ</w:t>
      </w:r>
      <w:r w:rsidRPr="003303F8">
        <w:rPr>
          <w:kern w:val="0"/>
          <w:sz w:val="24"/>
          <w:szCs w:val="24"/>
        </w:rPr>
        <w:t xml:space="preserve"> of all other firms in the same industry during the fiscal year.</w:t>
      </w:r>
    </w:p>
    <w:p w:rsidR="00E07762" w:rsidRPr="003303F8" w:rsidRDefault="00E07762" w:rsidP="00E07762">
      <w:pPr>
        <w:widowControl/>
        <w:overflowPunct/>
        <w:autoSpaceDE/>
        <w:autoSpaceDN/>
        <w:snapToGrid w:val="0"/>
        <w:ind w:left="1980" w:right="662" w:hanging="1260"/>
        <w:rPr>
          <w:kern w:val="0"/>
          <w:sz w:val="24"/>
          <w:szCs w:val="24"/>
        </w:rPr>
      </w:pPr>
    </w:p>
    <w:p w:rsidR="00C174EA" w:rsidRPr="003303F8" w:rsidRDefault="00C174EA" w:rsidP="00E07762">
      <w:pPr>
        <w:widowControl/>
        <w:overflowPunct/>
        <w:autoSpaceDE/>
        <w:autoSpaceDN/>
        <w:snapToGrid w:val="0"/>
        <w:spacing w:line="480" w:lineRule="auto"/>
        <w:ind w:firstLine="720"/>
        <w:rPr>
          <w:kern w:val="0"/>
          <w:sz w:val="24"/>
          <w:szCs w:val="24"/>
        </w:rPr>
      </w:pPr>
      <w:r w:rsidRPr="003303F8">
        <w:rPr>
          <w:sz w:val="24"/>
          <w:szCs w:val="24"/>
        </w:rPr>
        <w:t xml:space="preserve">By </w:t>
      </w:r>
      <w:r w:rsidRPr="003303F8">
        <w:rPr>
          <w:kern w:val="0"/>
          <w:sz w:val="24"/>
          <w:szCs w:val="24"/>
        </w:rPr>
        <w:t>giving the same weight to each observation,</w:t>
      </w:r>
      <w:r w:rsidRPr="003303F8">
        <w:rPr>
          <w:i/>
          <w:kern w:val="0"/>
          <w:sz w:val="24"/>
          <w:szCs w:val="24"/>
        </w:rPr>
        <w:t xml:space="preserve"> P_EQew</w:t>
      </w:r>
      <w:r w:rsidRPr="003303F8">
        <w:rPr>
          <w:kern w:val="0"/>
          <w:sz w:val="24"/>
          <w:szCs w:val="24"/>
        </w:rPr>
        <w:t xml:space="preserve"> more closely reflects the earnings quality </w:t>
      </w:r>
      <w:r w:rsidR="00F825A1" w:rsidRPr="003303F8">
        <w:rPr>
          <w:kern w:val="0"/>
          <w:sz w:val="24"/>
          <w:szCs w:val="24"/>
        </w:rPr>
        <w:t xml:space="preserve">of </w:t>
      </w:r>
      <w:r w:rsidRPr="003303F8">
        <w:rPr>
          <w:kern w:val="0"/>
          <w:sz w:val="24"/>
          <w:szCs w:val="24"/>
        </w:rPr>
        <w:t xml:space="preserve">a typical or average industry peer, but this measure is more likely to be affected by small firms with less economic importance. </w:t>
      </w:r>
      <w:r w:rsidRPr="003303F8">
        <w:rPr>
          <w:i/>
          <w:kern w:val="0"/>
          <w:sz w:val="24"/>
          <w:szCs w:val="24"/>
        </w:rPr>
        <w:t>P_EQmsw</w:t>
      </w:r>
      <w:r w:rsidRPr="003303F8">
        <w:rPr>
          <w:kern w:val="0"/>
          <w:sz w:val="24"/>
          <w:szCs w:val="24"/>
        </w:rPr>
        <w:t xml:space="preserve"> weighs large firms more heavily, and these industry “leaders” may be relatively more important for determining assessed covariances (Bratten, Payne, and Thomas </w:t>
      </w:r>
      <w:r w:rsidR="00111EA3" w:rsidRPr="003303F8">
        <w:rPr>
          <w:kern w:val="0"/>
          <w:sz w:val="24"/>
          <w:szCs w:val="24"/>
        </w:rPr>
        <w:t>[</w:t>
      </w:r>
      <w:r w:rsidR="003B6235" w:rsidRPr="003303F8">
        <w:rPr>
          <w:kern w:val="0"/>
          <w:sz w:val="24"/>
          <w:szCs w:val="24"/>
        </w:rPr>
        <w:t>2013</w:t>
      </w:r>
      <w:r w:rsidR="00111EA3" w:rsidRPr="003303F8">
        <w:rPr>
          <w:kern w:val="0"/>
          <w:sz w:val="24"/>
          <w:szCs w:val="24"/>
        </w:rPr>
        <w:t>]</w:t>
      </w:r>
      <w:r w:rsidRPr="003303F8">
        <w:rPr>
          <w:kern w:val="0"/>
          <w:sz w:val="24"/>
          <w:szCs w:val="24"/>
        </w:rPr>
        <w:t xml:space="preserve">). </w:t>
      </w:r>
    </w:p>
    <w:p w:rsidR="00DF0E0F" w:rsidRPr="003303F8" w:rsidRDefault="00DF0E0F" w:rsidP="005865E2">
      <w:pPr>
        <w:widowControl/>
        <w:overflowPunct/>
        <w:autoSpaceDE/>
        <w:autoSpaceDN/>
        <w:snapToGrid w:val="0"/>
        <w:ind w:firstLine="720"/>
        <w:rPr>
          <w:kern w:val="0"/>
          <w:sz w:val="24"/>
          <w:szCs w:val="24"/>
        </w:rPr>
      </w:pPr>
    </w:p>
    <w:p w:rsidR="00C174EA" w:rsidRPr="003303F8" w:rsidRDefault="00C174EA" w:rsidP="00931FD3">
      <w:pPr>
        <w:pStyle w:val="Heading2"/>
        <w:spacing w:before="0" w:line="480" w:lineRule="auto"/>
        <w:rPr>
          <w:szCs w:val="24"/>
        </w:rPr>
      </w:pPr>
      <w:bookmarkStart w:id="76" w:name="_Toc378087507"/>
      <w:bookmarkStart w:id="77" w:name="_Toc378087547"/>
      <w:bookmarkStart w:id="78" w:name="_Toc378088356"/>
      <w:bookmarkStart w:id="79" w:name="_Toc378088745"/>
      <w:bookmarkStart w:id="80" w:name="_Toc378088881"/>
      <w:r w:rsidRPr="003303F8">
        <w:rPr>
          <w:szCs w:val="24"/>
        </w:rPr>
        <w:t>Ex Ante Cost of Equity</w:t>
      </w:r>
      <w:bookmarkEnd w:id="76"/>
      <w:bookmarkEnd w:id="77"/>
      <w:bookmarkEnd w:id="78"/>
      <w:bookmarkEnd w:id="79"/>
      <w:bookmarkEnd w:id="80"/>
    </w:p>
    <w:p w:rsidR="00C174EA" w:rsidRPr="003303F8" w:rsidRDefault="00C174EA" w:rsidP="00E07762">
      <w:pPr>
        <w:widowControl/>
        <w:overflowPunct/>
        <w:autoSpaceDE/>
        <w:autoSpaceDN/>
        <w:snapToGrid w:val="0"/>
        <w:spacing w:line="480" w:lineRule="auto"/>
        <w:ind w:firstLine="720"/>
        <w:rPr>
          <w:kern w:val="0"/>
          <w:sz w:val="24"/>
          <w:szCs w:val="24"/>
        </w:rPr>
      </w:pPr>
      <w:r w:rsidRPr="003303F8">
        <w:rPr>
          <w:kern w:val="0"/>
          <w:sz w:val="24"/>
          <w:szCs w:val="24"/>
        </w:rPr>
        <w:t xml:space="preserve">I estimate the implied cost of equity </w:t>
      </w:r>
      <w:r w:rsidR="00BB3AC9" w:rsidRPr="003303F8">
        <w:rPr>
          <w:kern w:val="0"/>
          <w:sz w:val="24"/>
          <w:szCs w:val="24"/>
        </w:rPr>
        <w:t>using</w:t>
      </w:r>
      <w:r w:rsidRPr="003303F8">
        <w:rPr>
          <w:kern w:val="0"/>
          <w:sz w:val="24"/>
          <w:szCs w:val="24"/>
        </w:rPr>
        <w:t xml:space="preserve"> Easton</w:t>
      </w:r>
      <w:r w:rsidR="00BF73F8" w:rsidRPr="003303F8">
        <w:rPr>
          <w:kern w:val="0"/>
          <w:sz w:val="24"/>
          <w:szCs w:val="24"/>
        </w:rPr>
        <w:t>’s</w:t>
      </w:r>
      <w:r w:rsidRPr="003303F8">
        <w:rPr>
          <w:kern w:val="0"/>
          <w:sz w:val="24"/>
          <w:szCs w:val="24"/>
        </w:rPr>
        <w:t xml:space="preserve"> (2004) PEG method. </w:t>
      </w:r>
      <w:proofErr w:type="spellStart"/>
      <w:r w:rsidRPr="003303F8">
        <w:rPr>
          <w:kern w:val="0"/>
          <w:sz w:val="24"/>
          <w:szCs w:val="24"/>
        </w:rPr>
        <w:t>Botosan</w:t>
      </w:r>
      <w:proofErr w:type="spellEnd"/>
      <w:r w:rsidRPr="003303F8">
        <w:rPr>
          <w:kern w:val="0"/>
          <w:sz w:val="24"/>
          <w:szCs w:val="24"/>
        </w:rPr>
        <w:t xml:space="preserve"> and </w:t>
      </w:r>
      <w:proofErr w:type="spellStart"/>
      <w:r w:rsidRPr="003303F8">
        <w:rPr>
          <w:kern w:val="0"/>
          <w:sz w:val="24"/>
          <w:szCs w:val="24"/>
        </w:rPr>
        <w:t>Plumlee</w:t>
      </w:r>
      <w:proofErr w:type="spellEnd"/>
      <w:r w:rsidRPr="003303F8">
        <w:rPr>
          <w:kern w:val="0"/>
          <w:sz w:val="24"/>
          <w:szCs w:val="24"/>
        </w:rPr>
        <w:t xml:space="preserve"> (2005) </w:t>
      </w:r>
      <w:r w:rsidR="00936023">
        <w:rPr>
          <w:kern w:val="0"/>
          <w:sz w:val="24"/>
          <w:szCs w:val="24"/>
        </w:rPr>
        <w:t xml:space="preserve">and </w:t>
      </w:r>
      <w:proofErr w:type="spellStart"/>
      <w:r w:rsidR="00936023" w:rsidRPr="003303F8">
        <w:rPr>
          <w:sz w:val="24"/>
          <w:szCs w:val="24"/>
        </w:rPr>
        <w:t>Botosan</w:t>
      </w:r>
      <w:proofErr w:type="spellEnd"/>
      <w:r w:rsidR="00936023">
        <w:rPr>
          <w:sz w:val="24"/>
          <w:szCs w:val="24"/>
        </w:rPr>
        <w:t xml:space="preserve"> et al.</w:t>
      </w:r>
      <w:r w:rsidR="00936023" w:rsidRPr="00936023">
        <w:rPr>
          <w:sz w:val="24"/>
          <w:szCs w:val="24"/>
        </w:rPr>
        <w:t xml:space="preserve"> </w:t>
      </w:r>
      <w:r w:rsidR="00936023">
        <w:rPr>
          <w:sz w:val="24"/>
          <w:szCs w:val="24"/>
        </w:rPr>
        <w:t>(2011)</w:t>
      </w:r>
      <w:r w:rsidR="00936023" w:rsidRPr="00936023">
        <w:rPr>
          <w:sz w:val="24"/>
          <w:szCs w:val="24"/>
        </w:rPr>
        <w:t xml:space="preserve"> </w:t>
      </w:r>
      <w:r w:rsidR="00936023">
        <w:rPr>
          <w:kern w:val="0"/>
          <w:sz w:val="24"/>
          <w:szCs w:val="24"/>
        </w:rPr>
        <w:t>examine several</w:t>
      </w:r>
      <w:r w:rsidRPr="003303F8">
        <w:rPr>
          <w:kern w:val="0"/>
          <w:sz w:val="24"/>
          <w:szCs w:val="24"/>
        </w:rPr>
        <w:t xml:space="preserve"> different </w:t>
      </w:r>
      <w:proofErr w:type="gramStart"/>
      <w:r w:rsidRPr="003303F8">
        <w:rPr>
          <w:kern w:val="0"/>
          <w:sz w:val="24"/>
          <w:szCs w:val="24"/>
        </w:rPr>
        <w:t>cost</w:t>
      </w:r>
      <w:proofErr w:type="gramEnd"/>
      <w:r w:rsidRPr="003303F8">
        <w:rPr>
          <w:kern w:val="0"/>
          <w:sz w:val="24"/>
          <w:szCs w:val="24"/>
        </w:rPr>
        <w:t xml:space="preserve"> of equity capital </w:t>
      </w:r>
      <w:r w:rsidR="003D3224" w:rsidRPr="003303F8">
        <w:rPr>
          <w:kern w:val="0"/>
          <w:sz w:val="24"/>
          <w:szCs w:val="24"/>
        </w:rPr>
        <w:t>measure</w:t>
      </w:r>
      <w:r w:rsidR="00B5726E" w:rsidRPr="003303F8">
        <w:rPr>
          <w:kern w:val="0"/>
          <w:sz w:val="24"/>
          <w:szCs w:val="24"/>
        </w:rPr>
        <w:t>s</w:t>
      </w:r>
      <w:r w:rsidR="003D3224" w:rsidRPr="003303F8">
        <w:rPr>
          <w:kern w:val="0"/>
          <w:sz w:val="24"/>
          <w:szCs w:val="24"/>
        </w:rPr>
        <w:t xml:space="preserve"> </w:t>
      </w:r>
      <w:r w:rsidRPr="003303F8">
        <w:rPr>
          <w:kern w:val="0"/>
          <w:sz w:val="24"/>
          <w:szCs w:val="24"/>
        </w:rPr>
        <w:t xml:space="preserve">and </w:t>
      </w:r>
      <w:r w:rsidR="003D3224" w:rsidRPr="003303F8">
        <w:rPr>
          <w:kern w:val="0"/>
          <w:sz w:val="24"/>
          <w:szCs w:val="24"/>
        </w:rPr>
        <w:t>find</w:t>
      </w:r>
      <w:r w:rsidRPr="003303F8">
        <w:rPr>
          <w:kern w:val="0"/>
          <w:sz w:val="24"/>
          <w:szCs w:val="24"/>
        </w:rPr>
        <w:t xml:space="preserve"> that Easton</w:t>
      </w:r>
      <w:r w:rsidR="00BF73F8" w:rsidRPr="003303F8">
        <w:rPr>
          <w:kern w:val="0"/>
          <w:sz w:val="24"/>
          <w:szCs w:val="24"/>
        </w:rPr>
        <w:t>’s</w:t>
      </w:r>
      <w:r w:rsidRPr="003303F8">
        <w:rPr>
          <w:kern w:val="0"/>
          <w:sz w:val="24"/>
          <w:szCs w:val="24"/>
        </w:rPr>
        <w:t xml:space="preserve"> (2004) </w:t>
      </w:r>
      <w:r w:rsidR="003D3224" w:rsidRPr="003303F8">
        <w:rPr>
          <w:kern w:val="0"/>
          <w:sz w:val="24"/>
          <w:szCs w:val="24"/>
        </w:rPr>
        <w:t xml:space="preserve">measure </w:t>
      </w:r>
      <w:r w:rsidRPr="003303F8">
        <w:rPr>
          <w:kern w:val="0"/>
          <w:sz w:val="24"/>
          <w:szCs w:val="24"/>
        </w:rPr>
        <w:t>correlate</w:t>
      </w:r>
      <w:r w:rsidR="003D3224" w:rsidRPr="003303F8">
        <w:rPr>
          <w:kern w:val="0"/>
          <w:sz w:val="24"/>
          <w:szCs w:val="24"/>
        </w:rPr>
        <w:t>s</w:t>
      </w:r>
      <w:r w:rsidRPr="003303F8">
        <w:rPr>
          <w:kern w:val="0"/>
          <w:sz w:val="24"/>
          <w:szCs w:val="24"/>
        </w:rPr>
        <w:t xml:space="preserve"> with </w:t>
      </w:r>
      <w:r w:rsidR="00B5726E" w:rsidRPr="003303F8">
        <w:rPr>
          <w:kern w:val="0"/>
          <w:sz w:val="24"/>
          <w:szCs w:val="24"/>
        </w:rPr>
        <w:t xml:space="preserve">all the previously known </w:t>
      </w:r>
      <w:r w:rsidRPr="003303F8">
        <w:rPr>
          <w:kern w:val="0"/>
          <w:sz w:val="24"/>
          <w:szCs w:val="24"/>
        </w:rPr>
        <w:t xml:space="preserve">risk measures in </w:t>
      </w:r>
      <w:r w:rsidR="00B5726E" w:rsidRPr="003303F8">
        <w:rPr>
          <w:kern w:val="0"/>
          <w:sz w:val="24"/>
          <w:szCs w:val="24"/>
        </w:rPr>
        <w:t xml:space="preserve">theoretically </w:t>
      </w:r>
      <w:r w:rsidRPr="003303F8">
        <w:rPr>
          <w:kern w:val="0"/>
          <w:sz w:val="24"/>
          <w:szCs w:val="24"/>
        </w:rPr>
        <w:t>consistent direction</w:t>
      </w:r>
      <w:r w:rsidR="003D3224" w:rsidRPr="003303F8">
        <w:rPr>
          <w:kern w:val="0"/>
          <w:sz w:val="24"/>
          <w:szCs w:val="24"/>
        </w:rPr>
        <w:t>s</w:t>
      </w:r>
      <w:r w:rsidRPr="003303F8">
        <w:rPr>
          <w:kern w:val="0"/>
          <w:sz w:val="24"/>
          <w:szCs w:val="24"/>
        </w:rPr>
        <w:t>. Easton</w:t>
      </w:r>
      <w:r w:rsidR="00BF73F8" w:rsidRPr="003303F8">
        <w:rPr>
          <w:kern w:val="0"/>
          <w:sz w:val="24"/>
          <w:szCs w:val="24"/>
        </w:rPr>
        <w:t>’s (2004)</w:t>
      </w:r>
      <w:r w:rsidRPr="003303F8">
        <w:rPr>
          <w:kern w:val="0"/>
          <w:sz w:val="24"/>
          <w:szCs w:val="24"/>
        </w:rPr>
        <w:t xml:space="preserve"> implied cost of equity is imputed as </w:t>
      </w:r>
      <w:r w:rsidR="00D86B5F" w:rsidRPr="003303F8">
        <w:rPr>
          <w:kern w:val="0"/>
          <w:sz w:val="24"/>
          <w:szCs w:val="24"/>
        </w:rPr>
        <w:t>follow</w:t>
      </w:r>
      <w:r w:rsidR="00D86B5F">
        <w:rPr>
          <w:kern w:val="0"/>
          <w:sz w:val="24"/>
          <w:szCs w:val="24"/>
        </w:rPr>
        <w:t>s</w:t>
      </w:r>
      <w:r w:rsidRPr="003303F8">
        <w:rPr>
          <w:kern w:val="0"/>
          <w:sz w:val="24"/>
          <w:szCs w:val="24"/>
        </w:rPr>
        <w:t>:</w:t>
      </w:r>
    </w:p>
    <w:tbl>
      <w:tblPr>
        <w:tblStyle w:val="TableGrid"/>
        <w:tblW w:w="0" w:type="auto"/>
        <w:jc w:val="center"/>
        <w:tblInd w:w="18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5"/>
        <w:gridCol w:w="1429"/>
      </w:tblGrid>
      <w:tr w:rsidR="00C174EA" w:rsidRPr="003303F8" w:rsidTr="00931FD3">
        <w:trPr>
          <w:trHeight w:val="864"/>
          <w:jc w:val="center"/>
        </w:trPr>
        <w:tc>
          <w:tcPr>
            <w:tcW w:w="5490" w:type="dxa"/>
          </w:tcPr>
          <w:p w:rsidR="00C174EA" w:rsidRPr="003303F8" w:rsidRDefault="001E5F45" w:rsidP="00E07762">
            <w:pPr>
              <w:widowControl/>
              <w:overflowPunct/>
              <w:autoSpaceDE/>
              <w:autoSpaceDN/>
              <w:snapToGrid w:val="0"/>
              <w:spacing w:line="480" w:lineRule="auto"/>
              <w:jc w:val="center"/>
              <w:rPr>
                <w:kern w:val="0"/>
                <w:sz w:val="24"/>
                <w:szCs w:val="24"/>
              </w:rPr>
            </w:pPr>
            <w:r w:rsidRPr="003303F8">
              <w:rPr>
                <w:kern w:val="0"/>
                <w:position w:val="-32"/>
                <w:sz w:val="24"/>
                <w:szCs w:val="24"/>
              </w:rPr>
              <w:object w:dxaOrig="2940" w:dyaOrig="740">
                <v:shape id="_x0000_i1029" type="#_x0000_t75" style="width:150pt;height:37.5pt" o:ole="">
                  <v:imagedata r:id="rId19" o:title=""/>
                </v:shape>
                <o:OLEObject Type="Embed" ProgID="Equation.3" ShapeID="_x0000_i1029" DrawAspect="Content" ObjectID="_1458832546" r:id="rId20"/>
              </w:object>
            </w:r>
          </w:p>
        </w:tc>
        <w:tc>
          <w:tcPr>
            <w:tcW w:w="1440" w:type="dxa"/>
          </w:tcPr>
          <w:p w:rsidR="00C174EA" w:rsidRPr="003303F8" w:rsidRDefault="00C174EA" w:rsidP="00B66DB9">
            <w:pPr>
              <w:widowControl/>
              <w:overflowPunct/>
              <w:autoSpaceDE/>
              <w:autoSpaceDN/>
              <w:snapToGrid w:val="0"/>
              <w:spacing w:line="480" w:lineRule="auto"/>
              <w:jc w:val="center"/>
              <w:rPr>
                <w:kern w:val="0"/>
                <w:sz w:val="24"/>
                <w:szCs w:val="24"/>
              </w:rPr>
            </w:pPr>
            <w:r w:rsidRPr="003303F8">
              <w:rPr>
                <w:kern w:val="0"/>
                <w:sz w:val="24"/>
                <w:szCs w:val="24"/>
              </w:rPr>
              <w:t>(</w:t>
            </w:r>
            <w:r w:rsidR="00B66DB9" w:rsidRPr="003303F8">
              <w:rPr>
                <w:kern w:val="0"/>
                <w:sz w:val="24"/>
                <w:szCs w:val="24"/>
              </w:rPr>
              <w:t>2</w:t>
            </w:r>
            <w:r w:rsidRPr="003303F8">
              <w:rPr>
                <w:kern w:val="0"/>
                <w:sz w:val="24"/>
                <w:szCs w:val="24"/>
              </w:rPr>
              <w:t>)</w:t>
            </w:r>
          </w:p>
        </w:tc>
      </w:tr>
    </w:tbl>
    <w:p w:rsidR="00C174EA" w:rsidRPr="003303F8" w:rsidRDefault="00C174EA" w:rsidP="00E07762">
      <w:pPr>
        <w:overflowPunct/>
        <w:autoSpaceDE/>
        <w:autoSpaceDN/>
        <w:spacing w:line="480" w:lineRule="auto"/>
        <w:rPr>
          <w:color w:val="000000"/>
          <w:sz w:val="24"/>
          <w:szCs w:val="24"/>
        </w:rPr>
      </w:pPr>
      <w:r w:rsidRPr="003303F8">
        <w:rPr>
          <w:color w:val="000000"/>
          <w:sz w:val="24"/>
          <w:szCs w:val="24"/>
        </w:rPr>
        <w:t xml:space="preserve">where </w:t>
      </w:r>
      <w:r w:rsidRPr="003303F8">
        <w:rPr>
          <w:i/>
          <w:iCs/>
          <w:color w:val="000000"/>
          <w:sz w:val="24"/>
          <w:szCs w:val="24"/>
        </w:rPr>
        <w:t>EPS</w:t>
      </w:r>
      <w:r w:rsidRPr="003303F8">
        <w:rPr>
          <w:i/>
          <w:iCs/>
          <w:color w:val="000000"/>
          <w:sz w:val="24"/>
          <w:szCs w:val="24"/>
          <w:vertAlign w:val="subscript"/>
        </w:rPr>
        <w:t>j,t+k</w:t>
      </w:r>
      <w:r w:rsidRPr="003303F8">
        <w:rPr>
          <w:i/>
          <w:iCs/>
          <w:color w:val="000000"/>
          <w:sz w:val="24"/>
          <w:szCs w:val="24"/>
        </w:rPr>
        <w:t xml:space="preserve"> </w:t>
      </w:r>
      <w:r w:rsidRPr="003303F8">
        <w:rPr>
          <w:color w:val="000000"/>
          <w:sz w:val="24"/>
          <w:szCs w:val="24"/>
        </w:rPr>
        <w:t xml:space="preserve">is </w:t>
      </w:r>
      <w:r w:rsidR="006535C9" w:rsidRPr="003303F8">
        <w:rPr>
          <w:color w:val="000000"/>
          <w:sz w:val="24"/>
          <w:szCs w:val="24"/>
        </w:rPr>
        <w:t>the last mean consensus analyst earnings forecast</w:t>
      </w:r>
      <w:r w:rsidR="006535C9" w:rsidRPr="003303F8" w:rsidDel="00613842">
        <w:rPr>
          <w:color w:val="000000"/>
          <w:sz w:val="24"/>
          <w:szCs w:val="24"/>
        </w:rPr>
        <w:t xml:space="preserve"> </w:t>
      </w:r>
      <w:r w:rsidRPr="003303F8">
        <w:rPr>
          <w:color w:val="000000"/>
          <w:sz w:val="24"/>
          <w:szCs w:val="24"/>
        </w:rPr>
        <w:t xml:space="preserve">for year t+k for firm j. </w:t>
      </w:r>
      <w:r w:rsidRPr="003303F8">
        <w:rPr>
          <w:i/>
          <w:iCs/>
          <w:color w:val="000000"/>
          <w:sz w:val="24"/>
          <w:szCs w:val="24"/>
        </w:rPr>
        <w:t>P</w:t>
      </w:r>
      <w:r w:rsidRPr="003303F8">
        <w:rPr>
          <w:i/>
          <w:iCs/>
          <w:color w:val="000000"/>
          <w:sz w:val="24"/>
          <w:szCs w:val="24"/>
          <w:vertAlign w:val="subscript"/>
        </w:rPr>
        <w:t xml:space="preserve">j,t </w:t>
      </w:r>
      <w:r w:rsidRPr="003303F8">
        <w:rPr>
          <w:color w:val="000000"/>
          <w:sz w:val="24"/>
          <w:szCs w:val="24"/>
        </w:rPr>
        <w:t xml:space="preserve">is the stock price for firm j. To ensure that investors have impounded information in the firm’s and other </w:t>
      </w:r>
      <w:r w:rsidR="00BE3BAF" w:rsidRPr="003303F8">
        <w:rPr>
          <w:color w:val="000000"/>
          <w:sz w:val="24"/>
          <w:szCs w:val="24"/>
        </w:rPr>
        <w:t xml:space="preserve">firms’ </w:t>
      </w:r>
      <w:r w:rsidRPr="003303F8">
        <w:rPr>
          <w:color w:val="000000"/>
          <w:sz w:val="24"/>
          <w:szCs w:val="24"/>
        </w:rPr>
        <w:t xml:space="preserve">annual reports for fiscal year t, </w:t>
      </w:r>
      <w:r w:rsidR="00BE3BAF" w:rsidRPr="003303F8">
        <w:rPr>
          <w:color w:val="000000"/>
          <w:sz w:val="24"/>
          <w:szCs w:val="24"/>
        </w:rPr>
        <w:t>f</w:t>
      </w:r>
      <w:r w:rsidR="00206288" w:rsidRPr="003303F8">
        <w:rPr>
          <w:color w:val="000000"/>
          <w:sz w:val="24"/>
          <w:szCs w:val="24"/>
        </w:rPr>
        <w:t xml:space="preserve">ollowing prior studies (e.g., Fama and French, [1992]), </w:t>
      </w:r>
      <w:r w:rsidRPr="003303F8">
        <w:rPr>
          <w:i/>
          <w:iCs/>
          <w:color w:val="000000"/>
          <w:sz w:val="24"/>
          <w:szCs w:val="24"/>
        </w:rPr>
        <w:t>P</w:t>
      </w:r>
      <w:r w:rsidRPr="003303F8">
        <w:rPr>
          <w:i/>
          <w:iCs/>
          <w:color w:val="000000"/>
          <w:sz w:val="24"/>
          <w:szCs w:val="24"/>
          <w:vertAlign w:val="subscript"/>
        </w:rPr>
        <w:t xml:space="preserve">j,t </w:t>
      </w:r>
      <w:r w:rsidRPr="003303F8">
        <w:rPr>
          <w:color w:val="000000"/>
          <w:sz w:val="24"/>
          <w:szCs w:val="24"/>
        </w:rPr>
        <w:t>is measured on the last trading day of June in the calendar year t+1</w:t>
      </w:r>
      <w:r w:rsidR="00206288" w:rsidRPr="003303F8">
        <w:rPr>
          <w:color w:val="000000"/>
          <w:sz w:val="24"/>
          <w:szCs w:val="24"/>
        </w:rPr>
        <w:t>.</w:t>
      </w:r>
      <w:r w:rsidR="00206288" w:rsidRPr="003303F8">
        <w:rPr>
          <w:rStyle w:val="FootnoteReference"/>
          <w:color w:val="000000"/>
          <w:sz w:val="24"/>
          <w:szCs w:val="24"/>
        </w:rPr>
        <w:footnoteReference w:id="20"/>
      </w:r>
    </w:p>
    <w:p w:rsidR="00E91478" w:rsidRPr="003303F8" w:rsidRDefault="00E91478" w:rsidP="00931FD3">
      <w:pPr>
        <w:spacing w:line="480" w:lineRule="auto"/>
        <w:rPr>
          <w:b/>
          <w:sz w:val="24"/>
          <w:szCs w:val="24"/>
        </w:rPr>
      </w:pPr>
    </w:p>
    <w:p w:rsidR="00C174EA" w:rsidRPr="003303F8" w:rsidRDefault="00C174EA" w:rsidP="00931FD3">
      <w:pPr>
        <w:pStyle w:val="Heading2"/>
        <w:spacing w:before="0" w:line="480" w:lineRule="auto"/>
        <w:rPr>
          <w:szCs w:val="24"/>
        </w:rPr>
      </w:pPr>
      <w:bookmarkStart w:id="81" w:name="_Toc378087508"/>
      <w:bookmarkStart w:id="82" w:name="_Toc378087548"/>
      <w:bookmarkStart w:id="83" w:name="_Toc378088357"/>
      <w:bookmarkStart w:id="84" w:name="_Toc378088746"/>
      <w:bookmarkStart w:id="85" w:name="_Toc378088882"/>
      <w:r w:rsidRPr="003303F8">
        <w:rPr>
          <w:szCs w:val="24"/>
        </w:rPr>
        <w:t>Industry-Adjusted Earnings-Price Ratio</w:t>
      </w:r>
      <w:bookmarkEnd w:id="81"/>
      <w:bookmarkEnd w:id="82"/>
      <w:bookmarkEnd w:id="83"/>
      <w:bookmarkEnd w:id="84"/>
      <w:bookmarkEnd w:id="85"/>
    </w:p>
    <w:p w:rsidR="00C174EA" w:rsidRPr="003303F8" w:rsidRDefault="00C174EA" w:rsidP="00E07762">
      <w:pPr>
        <w:widowControl/>
        <w:tabs>
          <w:tab w:val="left" w:pos="1260"/>
        </w:tabs>
        <w:overflowPunct/>
        <w:snapToGrid w:val="0"/>
        <w:spacing w:line="480" w:lineRule="auto"/>
        <w:ind w:firstLine="720"/>
        <w:rPr>
          <w:kern w:val="0"/>
          <w:sz w:val="24"/>
          <w:szCs w:val="24"/>
        </w:rPr>
      </w:pPr>
      <w:r w:rsidRPr="003303F8">
        <w:rPr>
          <w:kern w:val="0"/>
          <w:sz w:val="24"/>
          <w:szCs w:val="24"/>
        </w:rPr>
        <w:t>Following Francis et al. (2005), I use the industry-adjusted earnings-price ratio (</w:t>
      </w:r>
      <w:r w:rsidRPr="003303F8">
        <w:rPr>
          <w:i/>
          <w:kern w:val="0"/>
          <w:sz w:val="24"/>
          <w:szCs w:val="24"/>
        </w:rPr>
        <w:t>IndEP</w:t>
      </w:r>
      <w:r w:rsidRPr="003303F8">
        <w:rPr>
          <w:kern w:val="0"/>
          <w:sz w:val="24"/>
          <w:szCs w:val="24"/>
        </w:rPr>
        <w:t xml:space="preserve">) as a summary of a firm’s comprehensive risk and an alternative indicator of the cost of equity. A lower earnings-price ratio implies a lower cost of equity, because “investors are willing to pay more for a given dollar of earnings” (Francis et al. [2005, </w:t>
      </w:r>
      <w:r w:rsidR="004B77BD" w:rsidRPr="003303F8">
        <w:rPr>
          <w:kern w:val="0"/>
          <w:sz w:val="24"/>
          <w:szCs w:val="24"/>
        </w:rPr>
        <w:t xml:space="preserve">page </w:t>
      </w:r>
      <w:r w:rsidRPr="003303F8">
        <w:rPr>
          <w:kern w:val="0"/>
          <w:sz w:val="24"/>
          <w:szCs w:val="24"/>
        </w:rPr>
        <w:t xml:space="preserve">311]). The earnings-price ratio is industry-adjusted, because Alford (1992) finds industry peers are a good matched portfolio in terms of </w:t>
      </w:r>
      <w:r w:rsidR="006535C9" w:rsidRPr="003303F8">
        <w:rPr>
          <w:kern w:val="0"/>
          <w:sz w:val="24"/>
          <w:szCs w:val="24"/>
        </w:rPr>
        <w:t xml:space="preserve">operational </w:t>
      </w:r>
      <w:r w:rsidRPr="003303F8">
        <w:rPr>
          <w:kern w:val="0"/>
          <w:sz w:val="24"/>
          <w:szCs w:val="24"/>
        </w:rPr>
        <w:t>risk and growth. To calculate industry-adjusted earnings-price ratios, I first calculate the earnings-price ratio for each firm</w:t>
      </w:r>
      <w:r w:rsidR="00544B0E" w:rsidRPr="003303F8">
        <w:rPr>
          <w:kern w:val="0"/>
          <w:sz w:val="24"/>
          <w:szCs w:val="24"/>
        </w:rPr>
        <w:t xml:space="preserve"> with positive earnings</w:t>
      </w:r>
      <w:r w:rsidRPr="003303F8">
        <w:rPr>
          <w:kern w:val="0"/>
          <w:sz w:val="24"/>
          <w:szCs w:val="24"/>
        </w:rPr>
        <w:t>, measured as the ratio of income before extraordinary items divided by the market value of equity.</w:t>
      </w:r>
      <w:r w:rsidRPr="003303F8">
        <w:rPr>
          <w:rStyle w:val="FootnoteReference"/>
          <w:kern w:val="0"/>
          <w:sz w:val="24"/>
          <w:szCs w:val="24"/>
        </w:rPr>
        <w:footnoteReference w:id="21"/>
      </w:r>
      <w:r w:rsidRPr="003303F8">
        <w:rPr>
          <w:kern w:val="0"/>
          <w:sz w:val="24"/>
          <w:szCs w:val="24"/>
        </w:rPr>
        <w:t xml:space="preserve"> Then, I calculate the me</w:t>
      </w:r>
      <w:r w:rsidR="006535C9" w:rsidRPr="003303F8">
        <w:rPr>
          <w:kern w:val="0"/>
          <w:sz w:val="24"/>
          <w:szCs w:val="24"/>
        </w:rPr>
        <w:t>di</w:t>
      </w:r>
      <w:r w:rsidRPr="003303F8">
        <w:rPr>
          <w:kern w:val="0"/>
          <w:sz w:val="24"/>
          <w:szCs w:val="24"/>
        </w:rPr>
        <w:t>an earnings-price ratio for each industry-year.</w:t>
      </w:r>
      <w:r w:rsidR="00544B0E" w:rsidRPr="003303F8">
        <w:rPr>
          <w:rStyle w:val="FootnoteReference"/>
          <w:kern w:val="0"/>
          <w:sz w:val="24"/>
          <w:szCs w:val="24"/>
        </w:rPr>
        <w:footnoteReference w:id="22"/>
      </w:r>
      <w:r w:rsidRPr="003303F8">
        <w:rPr>
          <w:kern w:val="0"/>
          <w:sz w:val="24"/>
          <w:szCs w:val="24"/>
        </w:rPr>
        <w:t xml:space="preserve"> Finally, for all firms with positive </w:t>
      </w:r>
      <w:r w:rsidRPr="003303F8">
        <w:rPr>
          <w:kern w:val="0"/>
          <w:sz w:val="24"/>
          <w:szCs w:val="24"/>
        </w:rPr>
        <w:lastRenderedPageBreak/>
        <w:t>earnings,</w:t>
      </w:r>
      <w:r w:rsidR="007823A6" w:rsidRPr="003303F8">
        <w:rPr>
          <w:rStyle w:val="FootnoteReference"/>
          <w:kern w:val="0"/>
          <w:sz w:val="24"/>
          <w:szCs w:val="24"/>
        </w:rPr>
        <w:footnoteReference w:id="23"/>
      </w:r>
      <w:r w:rsidRPr="003303F8">
        <w:rPr>
          <w:kern w:val="0"/>
          <w:sz w:val="24"/>
          <w:szCs w:val="24"/>
        </w:rPr>
        <w:t xml:space="preserve"> I calculate a firm’s industry-adjusted earnings-price ratio (</w:t>
      </w:r>
      <w:r w:rsidRPr="003303F8">
        <w:rPr>
          <w:i/>
          <w:kern w:val="0"/>
          <w:sz w:val="24"/>
          <w:szCs w:val="24"/>
        </w:rPr>
        <w:t>IndEP</w:t>
      </w:r>
      <w:r w:rsidRPr="003303F8">
        <w:rPr>
          <w:kern w:val="0"/>
          <w:sz w:val="24"/>
          <w:szCs w:val="24"/>
        </w:rPr>
        <w:t xml:space="preserve">) as the difference between its earnings-price ratio and the </w:t>
      </w:r>
      <w:r w:rsidR="006535C9" w:rsidRPr="003303F8">
        <w:rPr>
          <w:kern w:val="0"/>
          <w:sz w:val="24"/>
          <w:szCs w:val="24"/>
        </w:rPr>
        <w:t>median</w:t>
      </w:r>
      <w:r w:rsidR="006535C9" w:rsidRPr="003303F8" w:rsidDel="006535C9">
        <w:rPr>
          <w:kern w:val="0"/>
          <w:sz w:val="24"/>
          <w:szCs w:val="24"/>
        </w:rPr>
        <w:t xml:space="preserve"> </w:t>
      </w:r>
      <w:r w:rsidRPr="003303F8">
        <w:rPr>
          <w:kern w:val="0"/>
          <w:sz w:val="24"/>
          <w:szCs w:val="24"/>
        </w:rPr>
        <w:t xml:space="preserve">industry-year earnings-price ratio. </w:t>
      </w:r>
      <w:r w:rsidRPr="003303F8">
        <w:rPr>
          <w:rFonts w:hint="eastAsia"/>
          <w:kern w:val="0"/>
          <w:sz w:val="24"/>
          <w:szCs w:val="24"/>
        </w:rPr>
        <w:t>T</w:t>
      </w:r>
      <w:r w:rsidRPr="003303F8">
        <w:rPr>
          <w:kern w:val="0"/>
          <w:sz w:val="24"/>
          <w:szCs w:val="24"/>
        </w:rPr>
        <w:t>h</w:t>
      </w:r>
      <w:r w:rsidRPr="003303F8">
        <w:rPr>
          <w:rFonts w:hint="eastAsia"/>
          <w:kern w:val="0"/>
          <w:sz w:val="24"/>
          <w:szCs w:val="24"/>
        </w:rPr>
        <w:t>is</w:t>
      </w:r>
      <w:r w:rsidRPr="003303F8">
        <w:rPr>
          <w:kern w:val="0"/>
          <w:sz w:val="24"/>
          <w:szCs w:val="24"/>
        </w:rPr>
        <w:t xml:space="preserve"> earnings-price ratio is a positive proxy for the cost of equity. </w:t>
      </w:r>
      <w:r w:rsidRPr="003303F8">
        <w:rPr>
          <w:rFonts w:hint="eastAsia"/>
          <w:kern w:val="0"/>
          <w:sz w:val="24"/>
          <w:szCs w:val="24"/>
        </w:rPr>
        <w:t xml:space="preserve"> </w:t>
      </w:r>
      <w:r w:rsidRPr="003303F8">
        <w:rPr>
          <w:kern w:val="0"/>
          <w:sz w:val="24"/>
          <w:szCs w:val="24"/>
        </w:rPr>
        <w:t xml:space="preserve">This measure has the advantage of not </w:t>
      </w:r>
      <w:r w:rsidRPr="003303F8">
        <w:rPr>
          <w:rFonts w:hint="eastAsia"/>
          <w:kern w:val="0"/>
          <w:sz w:val="24"/>
          <w:szCs w:val="24"/>
        </w:rPr>
        <w:t xml:space="preserve">relying on </w:t>
      </w:r>
      <w:r w:rsidRPr="003303F8">
        <w:rPr>
          <w:kern w:val="0"/>
          <w:sz w:val="24"/>
          <w:szCs w:val="24"/>
        </w:rPr>
        <w:t xml:space="preserve">earnings forecast </w:t>
      </w:r>
      <w:r w:rsidRPr="003303F8">
        <w:rPr>
          <w:rFonts w:hint="eastAsia"/>
          <w:kern w:val="0"/>
          <w:sz w:val="24"/>
          <w:szCs w:val="24"/>
        </w:rPr>
        <w:t xml:space="preserve">data </w:t>
      </w:r>
      <w:r w:rsidRPr="003303F8">
        <w:rPr>
          <w:kern w:val="0"/>
          <w:sz w:val="24"/>
          <w:szCs w:val="24"/>
        </w:rPr>
        <w:t xml:space="preserve">to </w:t>
      </w:r>
      <w:r w:rsidR="006E7CAB" w:rsidRPr="003303F8">
        <w:rPr>
          <w:kern w:val="0"/>
          <w:sz w:val="24"/>
          <w:szCs w:val="24"/>
        </w:rPr>
        <w:t>measure</w:t>
      </w:r>
      <w:r w:rsidRPr="003303F8">
        <w:rPr>
          <w:kern w:val="0"/>
          <w:sz w:val="24"/>
          <w:szCs w:val="24"/>
        </w:rPr>
        <w:t xml:space="preserve"> the cost of equity capital.</w:t>
      </w:r>
    </w:p>
    <w:p w:rsidR="00DF0E0F" w:rsidRPr="003303F8" w:rsidRDefault="00DF0E0F" w:rsidP="00E07762">
      <w:pPr>
        <w:widowControl/>
        <w:tabs>
          <w:tab w:val="left" w:pos="1260"/>
        </w:tabs>
        <w:overflowPunct/>
        <w:snapToGrid w:val="0"/>
        <w:spacing w:line="480" w:lineRule="auto"/>
        <w:ind w:firstLine="720"/>
        <w:rPr>
          <w:kern w:val="0"/>
          <w:sz w:val="24"/>
          <w:szCs w:val="24"/>
        </w:rPr>
      </w:pPr>
    </w:p>
    <w:p w:rsidR="007F15F6" w:rsidRPr="003303F8" w:rsidRDefault="007F15F6" w:rsidP="00931FD3">
      <w:pPr>
        <w:pStyle w:val="Heading2"/>
        <w:spacing w:before="0" w:line="480" w:lineRule="auto"/>
        <w:rPr>
          <w:szCs w:val="24"/>
        </w:rPr>
      </w:pPr>
      <w:bookmarkStart w:id="86" w:name="_Toc378087509"/>
      <w:bookmarkStart w:id="87" w:name="_Toc378087549"/>
      <w:bookmarkStart w:id="88" w:name="_Toc378088358"/>
      <w:bookmarkStart w:id="89" w:name="_Toc378088747"/>
      <w:bookmarkStart w:id="90" w:name="_Toc378088883"/>
      <w:r w:rsidRPr="003303F8">
        <w:rPr>
          <w:szCs w:val="24"/>
        </w:rPr>
        <w:t>Market Risk Factor Test</w:t>
      </w:r>
      <w:bookmarkEnd w:id="86"/>
      <w:bookmarkEnd w:id="87"/>
      <w:bookmarkEnd w:id="88"/>
      <w:bookmarkEnd w:id="89"/>
      <w:bookmarkEnd w:id="90"/>
    </w:p>
    <w:p w:rsidR="00824249" w:rsidRPr="003303F8" w:rsidRDefault="007F15F6" w:rsidP="00824249">
      <w:pPr>
        <w:widowControl/>
        <w:overflowPunct/>
        <w:autoSpaceDE/>
        <w:autoSpaceDN/>
        <w:snapToGrid w:val="0"/>
        <w:spacing w:line="480" w:lineRule="auto"/>
        <w:ind w:firstLine="720"/>
        <w:rPr>
          <w:kern w:val="0"/>
          <w:sz w:val="24"/>
          <w:szCs w:val="24"/>
        </w:rPr>
      </w:pPr>
      <w:r w:rsidRPr="003303F8">
        <w:rPr>
          <w:kern w:val="0"/>
          <w:sz w:val="24"/>
          <w:szCs w:val="24"/>
        </w:rPr>
        <w:t>As discussed above, the effect of peer firm earnings quality on the cost of equity should occur through the market risk. Therefore, my first test uses the four-factor model (</w:t>
      </w:r>
      <w:r w:rsidR="00824249" w:rsidRPr="003303F8">
        <w:rPr>
          <w:kern w:val="0"/>
          <w:sz w:val="24"/>
          <w:szCs w:val="24"/>
        </w:rPr>
        <w:t>3</w:t>
      </w:r>
      <w:r w:rsidRPr="003303F8">
        <w:rPr>
          <w:kern w:val="0"/>
          <w:sz w:val="24"/>
          <w:szCs w:val="24"/>
        </w:rPr>
        <w:t>) to examine the effect of peer firm earnings quality on a firm’s market beta, the loading on market return. The dependent variable in equation (</w:t>
      </w:r>
      <w:r w:rsidR="00824249" w:rsidRPr="003303F8">
        <w:rPr>
          <w:kern w:val="0"/>
          <w:sz w:val="24"/>
          <w:szCs w:val="24"/>
        </w:rPr>
        <w:t>3</w:t>
      </w:r>
      <w:r w:rsidRPr="003303F8">
        <w:rPr>
          <w:kern w:val="0"/>
          <w:sz w:val="24"/>
          <w:szCs w:val="24"/>
        </w:rPr>
        <w:t xml:space="preserve">) is </w:t>
      </w:r>
      <w:r w:rsidRPr="003303F8">
        <w:rPr>
          <w:i/>
          <w:kern w:val="0"/>
          <w:sz w:val="24"/>
          <w:szCs w:val="24"/>
        </w:rPr>
        <w:t>EXRET</w:t>
      </w:r>
      <w:r w:rsidRPr="003303F8">
        <w:rPr>
          <w:i/>
          <w:kern w:val="0"/>
          <w:sz w:val="24"/>
          <w:szCs w:val="24"/>
          <w:vertAlign w:val="subscript"/>
        </w:rPr>
        <w:t>i.m,t</w:t>
      </w:r>
      <w:r w:rsidR="0050773C" w:rsidRPr="003303F8">
        <w:rPr>
          <w:i/>
          <w:kern w:val="0"/>
          <w:sz w:val="24"/>
          <w:szCs w:val="24"/>
          <w:vertAlign w:val="subscript"/>
        </w:rPr>
        <w:t>+1</w:t>
      </w:r>
      <w:r w:rsidRPr="003303F8">
        <w:rPr>
          <w:kern w:val="0"/>
          <w:sz w:val="24"/>
          <w:szCs w:val="24"/>
        </w:rPr>
        <w:t xml:space="preserve">, a firm’s monthly excess return in month m of fiscal year t+1. The independent variables include </w:t>
      </w:r>
      <w:r w:rsidRPr="003303F8">
        <w:rPr>
          <w:rStyle w:val="Emphasis"/>
          <w:sz w:val="24"/>
          <w:szCs w:val="24"/>
        </w:rPr>
        <w:t>MKTRF</w:t>
      </w:r>
      <w:r w:rsidRPr="003303F8">
        <w:rPr>
          <w:sz w:val="24"/>
          <w:szCs w:val="24"/>
        </w:rPr>
        <w:t xml:space="preserve">, </w:t>
      </w:r>
      <w:r w:rsidRPr="003303F8">
        <w:rPr>
          <w:rStyle w:val="Emphasis"/>
          <w:sz w:val="24"/>
          <w:szCs w:val="24"/>
        </w:rPr>
        <w:t>SMB</w:t>
      </w:r>
      <w:r w:rsidRPr="003303F8">
        <w:rPr>
          <w:sz w:val="24"/>
          <w:szCs w:val="24"/>
        </w:rPr>
        <w:t xml:space="preserve">, </w:t>
      </w:r>
      <w:r w:rsidRPr="003303F8">
        <w:rPr>
          <w:kern w:val="0"/>
          <w:sz w:val="24"/>
          <w:szCs w:val="24"/>
        </w:rPr>
        <w:t xml:space="preserve">and </w:t>
      </w:r>
      <w:r w:rsidRPr="003303F8">
        <w:rPr>
          <w:i/>
          <w:iCs/>
          <w:kern w:val="0"/>
          <w:sz w:val="24"/>
          <w:szCs w:val="24"/>
        </w:rPr>
        <w:t>HML</w:t>
      </w:r>
      <w:r w:rsidRPr="003303F8">
        <w:rPr>
          <w:kern w:val="0"/>
          <w:sz w:val="24"/>
          <w:szCs w:val="24"/>
        </w:rPr>
        <w:t xml:space="preserve"> which are the market risk factor, size factor, and value factor from </w:t>
      </w:r>
      <w:hyperlink r:id="rId21" w:anchor="bib19" w:history="1">
        <w:r w:rsidRPr="003303F8">
          <w:rPr>
            <w:kern w:val="0"/>
            <w:sz w:val="24"/>
            <w:szCs w:val="24"/>
          </w:rPr>
          <w:t>Fama and French (1993)</w:t>
        </w:r>
      </w:hyperlink>
      <w:r w:rsidRPr="003303F8">
        <w:rPr>
          <w:kern w:val="0"/>
          <w:sz w:val="24"/>
          <w:szCs w:val="24"/>
        </w:rPr>
        <w:t xml:space="preserve">. I also include </w:t>
      </w:r>
      <w:r w:rsidRPr="003303F8">
        <w:rPr>
          <w:i/>
          <w:kern w:val="0"/>
          <w:sz w:val="24"/>
          <w:szCs w:val="24"/>
        </w:rPr>
        <w:t>UMD</w:t>
      </w:r>
      <w:r w:rsidRPr="003303F8">
        <w:rPr>
          <w:kern w:val="0"/>
          <w:sz w:val="24"/>
          <w:szCs w:val="24"/>
        </w:rPr>
        <w:t xml:space="preserve"> as a momentum risk factor, which is</w:t>
      </w:r>
      <w:r w:rsidRPr="003303F8">
        <w:rPr>
          <w:sz w:val="24"/>
          <w:szCs w:val="24"/>
        </w:rPr>
        <w:t xml:space="preserve"> </w:t>
      </w:r>
      <w:r w:rsidRPr="003303F8">
        <w:rPr>
          <w:kern w:val="0"/>
          <w:sz w:val="24"/>
          <w:szCs w:val="24"/>
        </w:rPr>
        <w:t>publicly available from Kenneth</w:t>
      </w:r>
      <w:r w:rsidRPr="003303F8">
        <w:rPr>
          <w:sz w:val="24"/>
          <w:szCs w:val="24"/>
        </w:rPr>
        <w:t xml:space="preserve"> French’s website. </w:t>
      </w:r>
    </w:p>
    <w:tbl>
      <w:tblPr>
        <w:tblStyle w:val="TableGrid"/>
        <w:tblW w:w="8703" w:type="dxa"/>
        <w:jc w:val="center"/>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03"/>
      </w:tblGrid>
      <w:tr w:rsidR="002D65A3" w:rsidRPr="003303F8" w:rsidTr="00931FD3">
        <w:trPr>
          <w:trHeight w:val="1002"/>
          <w:jc w:val="center"/>
        </w:trPr>
        <w:tc>
          <w:tcPr>
            <w:tcW w:w="8703" w:type="dxa"/>
            <w:vAlign w:val="center"/>
          </w:tcPr>
          <w:p w:rsidR="002D65A3" w:rsidRPr="003303F8" w:rsidRDefault="002D65A3" w:rsidP="00931FD3">
            <w:pPr>
              <w:widowControl/>
              <w:overflowPunct/>
              <w:autoSpaceDE/>
              <w:autoSpaceDN/>
              <w:snapToGrid w:val="0"/>
              <w:spacing w:line="480" w:lineRule="auto"/>
              <w:ind w:right="360"/>
              <w:jc w:val="right"/>
              <w:rPr>
                <w:kern w:val="0"/>
                <w:sz w:val="24"/>
                <w:szCs w:val="24"/>
              </w:rPr>
            </w:pPr>
            <w:r w:rsidRPr="003303F8">
              <w:rPr>
                <w:kern w:val="0"/>
                <w:position w:val="-88"/>
                <w:sz w:val="24"/>
                <w:szCs w:val="24"/>
              </w:rPr>
              <w:object w:dxaOrig="8640" w:dyaOrig="1520">
                <v:shape id="_x0000_i1030" type="#_x0000_t75" style="width:396pt;height:69.75pt" o:ole="">
                  <v:imagedata r:id="rId22" o:title=""/>
                </v:shape>
                <o:OLEObject Type="Embed" ProgID="Equation.3" ShapeID="_x0000_i1030" DrawAspect="Content" ObjectID="_1458832547" r:id="rId23"/>
              </w:object>
            </w:r>
          </w:p>
          <w:p w:rsidR="002D65A3" w:rsidRPr="003303F8" w:rsidRDefault="002D65A3" w:rsidP="00931FD3">
            <w:pPr>
              <w:widowControl/>
              <w:overflowPunct/>
              <w:autoSpaceDE/>
              <w:autoSpaceDN/>
              <w:snapToGrid w:val="0"/>
              <w:spacing w:line="480" w:lineRule="auto"/>
              <w:ind w:right="765" w:firstLine="162"/>
              <w:jc w:val="right"/>
              <w:rPr>
                <w:bCs/>
                <w:kern w:val="0"/>
                <w:sz w:val="24"/>
                <w:szCs w:val="24"/>
              </w:rPr>
            </w:pPr>
            <w:r w:rsidRPr="003303F8">
              <w:rPr>
                <w:bCs/>
                <w:kern w:val="0"/>
                <w:sz w:val="24"/>
                <w:szCs w:val="24"/>
              </w:rPr>
              <w:t>(3)</w:t>
            </w:r>
          </w:p>
        </w:tc>
      </w:tr>
    </w:tbl>
    <w:p w:rsidR="002E1EA3" w:rsidRPr="003303F8" w:rsidRDefault="00250178" w:rsidP="005820F2">
      <w:pPr>
        <w:widowControl/>
        <w:overflowPunct/>
        <w:autoSpaceDE/>
        <w:autoSpaceDN/>
        <w:snapToGrid w:val="0"/>
        <w:spacing w:line="480" w:lineRule="auto"/>
        <w:ind w:firstLine="720"/>
        <w:rPr>
          <w:kern w:val="0"/>
          <w:sz w:val="24"/>
          <w:szCs w:val="24"/>
        </w:rPr>
      </w:pPr>
      <w:r w:rsidRPr="003303F8">
        <w:rPr>
          <w:kern w:val="0"/>
          <w:sz w:val="24"/>
          <w:szCs w:val="24"/>
        </w:rPr>
        <w:lastRenderedPageBreak/>
        <w:t xml:space="preserve">In equation (3), </w:t>
      </w:r>
      <w:r w:rsidRPr="003303F8">
        <w:rPr>
          <w:i/>
          <w:kern w:val="0"/>
          <w:sz w:val="24"/>
          <w:szCs w:val="24"/>
        </w:rPr>
        <w:t>H_P_EQ</w:t>
      </w:r>
      <w:r w:rsidRPr="003303F8">
        <w:rPr>
          <w:kern w:val="0"/>
          <w:sz w:val="24"/>
          <w:szCs w:val="24"/>
        </w:rPr>
        <w:t xml:space="preserve"> (</w:t>
      </w:r>
      <w:r w:rsidRPr="003303F8">
        <w:rPr>
          <w:i/>
          <w:kern w:val="0"/>
          <w:sz w:val="24"/>
          <w:szCs w:val="24"/>
        </w:rPr>
        <w:t>H_EQ</w:t>
      </w:r>
      <w:r w:rsidRPr="003303F8">
        <w:rPr>
          <w:kern w:val="0"/>
          <w:sz w:val="24"/>
          <w:szCs w:val="24"/>
        </w:rPr>
        <w:t>) is an indicator variable for observations with</w:t>
      </w:r>
      <w:r w:rsidRPr="003303F8">
        <w:rPr>
          <w:i/>
          <w:kern w:val="0"/>
          <w:sz w:val="24"/>
          <w:szCs w:val="24"/>
        </w:rPr>
        <w:t xml:space="preserve"> P_EQ </w:t>
      </w:r>
      <w:r w:rsidRPr="003303F8">
        <w:rPr>
          <w:kern w:val="0"/>
          <w:sz w:val="24"/>
          <w:szCs w:val="24"/>
        </w:rPr>
        <w:t>(</w:t>
      </w:r>
      <w:r w:rsidRPr="003303F8">
        <w:rPr>
          <w:i/>
          <w:kern w:val="0"/>
          <w:sz w:val="24"/>
          <w:szCs w:val="24"/>
        </w:rPr>
        <w:t>EQ</w:t>
      </w:r>
      <w:r w:rsidRPr="003303F8">
        <w:rPr>
          <w:kern w:val="0"/>
          <w:sz w:val="24"/>
          <w:szCs w:val="24"/>
        </w:rPr>
        <w:t>) above the median.</w:t>
      </w:r>
      <w:r w:rsidRPr="003303F8">
        <w:rPr>
          <w:rStyle w:val="FootnoteReference"/>
          <w:kern w:val="0"/>
          <w:sz w:val="24"/>
          <w:szCs w:val="24"/>
        </w:rPr>
        <w:footnoteReference w:id="24"/>
      </w:r>
      <w:r w:rsidRPr="003303F8">
        <w:rPr>
          <w:kern w:val="0"/>
          <w:sz w:val="24"/>
          <w:szCs w:val="24"/>
        </w:rPr>
        <w:t xml:space="preserve"> LLV predict </w:t>
      </w:r>
      <w:r w:rsidRPr="003303F8">
        <w:rPr>
          <w:i/>
          <w:kern w:val="0"/>
          <w:sz w:val="24"/>
          <w:szCs w:val="24"/>
        </w:rPr>
        <w:t xml:space="preserve">non-linear </w:t>
      </w:r>
      <w:r w:rsidRPr="003303F8">
        <w:rPr>
          <w:kern w:val="0"/>
          <w:sz w:val="24"/>
          <w:szCs w:val="24"/>
        </w:rPr>
        <w:t>relations between peer firm earnings quality and the cost of equity and between earnings quality and the cost of equity (see section 5.1 for details). Thus, using indicator variables instead of continuous variables alleviates concerns related to non-linearity.</w:t>
      </w:r>
      <w:r w:rsidRPr="003303F8">
        <w:rPr>
          <w:rStyle w:val="FootnoteReference"/>
          <w:kern w:val="0"/>
          <w:sz w:val="24"/>
          <w:szCs w:val="24"/>
        </w:rPr>
        <w:footnoteReference w:id="25"/>
      </w:r>
      <w:r w:rsidRPr="003303F8">
        <w:rPr>
          <w:kern w:val="0"/>
          <w:sz w:val="24"/>
          <w:szCs w:val="24"/>
        </w:rPr>
        <w:t xml:space="preserve">  </w:t>
      </w:r>
    </w:p>
    <w:p w:rsidR="00250178" w:rsidRPr="003303F8" w:rsidRDefault="00250178" w:rsidP="005820F2">
      <w:pPr>
        <w:widowControl/>
        <w:overflowPunct/>
        <w:autoSpaceDE/>
        <w:autoSpaceDN/>
        <w:snapToGrid w:val="0"/>
        <w:spacing w:line="480" w:lineRule="auto"/>
        <w:ind w:firstLine="720"/>
        <w:rPr>
          <w:kern w:val="0"/>
          <w:sz w:val="24"/>
          <w:szCs w:val="24"/>
        </w:rPr>
      </w:pPr>
      <w:r w:rsidRPr="003303F8">
        <w:rPr>
          <w:sz w:val="24"/>
          <w:szCs w:val="24"/>
        </w:rPr>
        <w:t xml:space="preserve">To test the effect of peer firm earnings quality on market beta, I interact </w:t>
      </w:r>
      <w:r w:rsidRPr="003303F8">
        <w:rPr>
          <w:i/>
          <w:kern w:val="0"/>
          <w:sz w:val="24"/>
          <w:szCs w:val="24"/>
        </w:rPr>
        <w:t>H_</w:t>
      </w:r>
      <w:r w:rsidRPr="003303F8">
        <w:rPr>
          <w:i/>
          <w:sz w:val="24"/>
          <w:szCs w:val="24"/>
        </w:rPr>
        <w:t>P_EQ</w:t>
      </w:r>
      <w:r w:rsidRPr="003303F8">
        <w:rPr>
          <w:sz w:val="24"/>
          <w:szCs w:val="24"/>
        </w:rPr>
        <w:t xml:space="preserve"> </w:t>
      </w:r>
      <w:r w:rsidR="008B38E6" w:rsidRPr="003303F8">
        <w:rPr>
          <w:sz w:val="24"/>
          <w:szCs w:val="24"/>
        </w:rPr>
        <w:t xml:space="preserve">(as well as </w:t>
      </w:r>
      <w:r w:rsidR="008B38E6" w:rsidRPr="003303F8">
        <w:rPr>
          <w:i/>
          <w:sz w:val="24"/>
          <w:szCs w:val="24"/>
        </w:rPr>
        <w:t>H_EQ</w:t>
      </w:r>
      <w:r w:rsidR="008B38E6" w:rsidRPr="003303F8">
        <w:rPr>
          <w:sz w:val="24"/>
          <w:szCs w:val="24"/>
        </w:rPr>
        <w:t xml:space="preserve"> </w:t>
      </w:r>
      <w:r w:rsidRPr="003303F8">
        <w:rPr>
          <w:sz w:val="24"/>
          <w:szCs w:val="24"/>
        </w:rPr>
        <w:t xml:space="preserve">and other </w:t>
      </w:r>
      <w:r w:rsidR="008B38E6" w:rsidRPr="003303F8">
        <w:rPr>
          <w:sz w:val="24"/>
          <w:szCs w:val="24"/>
        </w:rPr>
        <w:t xml:space="preserve">control </w:t>
      </w:r>
      <w:r w:rsidRPr="003303F8">
        <w:rPr>
          <w:sz w:val="24"/>
          <w:szCs w:val="24"/>
        </w:rPr>
        <w:t>variables</w:t>
      </w:r>
      <w:r w:rsidR="008B38E6" w:rsidRPr="003303F8">
        <w:rPr>
          <w:sz w:val="24"/>
          <w:szCs w:val="24"/>
        </w:rPr>
        <w:t>)</w:t>
      </w:r>
      <w:r w:rsidRPr="003303F8">
        <w:rPr>
          <w:sz w:val="24"/>
          <w:szCs w:val="24"/>
        </w:rPr>
        <w:t xml:space="preserve"> with </w:t>
      </w:r>
      <w:r w:rsidRPr="003303F8">
        <w:rPr>
          <w:rStyle w:val="Emphasis"/>
          <w:sz w:val="24"/>
          <w:szCs w:val="24"/>
        </w:rPr>
        <w:t>MKTRF</w:t>
      </w:r>
      <w:r w:rsidRPr="003303F8">
        <w:rPr>
          <w:rStyle w:val="Emphasis"/>
          <w:i w:val="0"/>
          <w:sz w:val="24"/>
          <w:szCs w:val="24"/>
        </w:rPr>
        <w:t xml:space="preserve">.  </w:t>
      </w:r>
      <w:r w:rsidR="008546F4" w:rsidRPr="003303F8">
        <w:rPr>
          <w:kern w:val="0"/>
          <w:sz w:val="24"/>
          <w:szCs w:val="24"/>
        </w:rPr>
        <w:t>The coefficient (</w:t>
      </w:r>
      <w:r w:rsidR="008546F4" w:rsidRPr="003303F8">
        <w:rPr>
          <w:position w:val="-10"/>
          <w:sz w:val="24"/>
          <w:szCs w:val="24"/>
        </w:rPr>
        <w:object w:dxaOrig="600" w:dyaOrig="380">
          <v:shape id="_x0000_i1031" type="#_x0000_t75" style="width:30pt;height:18.75pt" o:ole="">
            <v:imagedata r:id="rId24" o:title=""/>
          </v:shape>
          <o:OLEObject Type="Embed" ProgID="Equation.3" ShapeID="_x0000_i1031" DrawAspect="Content" ObjectID="_1458832548" r:id="rId25"/>
        </w:object>
      </w:r>
      <w:r w:rsidR="008546F4" w:rsidRPr="003303F8">
        <w:rPr>
          <w:sz w:val="24"/>
          <w:szCs w:val="24"/>
        </w:rPr>
        <w:t>)</w:t>
      </w:r>
      <w:r w:rsidR="008546F4" w:rsidRPr="003303F8">
        <w:rPr>
          <w:kern w:val="0"/>
          <w:sz w:val="24"/>
          <w:szCs w:val="24"/>
        </w:rPr>
        <w:t xml:space="preserve"> on</w:t>
      </w:r>
      <w:r w:rsidR="008546F4" w:rsidRPr="003303F8">
        <w:rPr>
          <w:position w:val="-12"/>
          <w:sz w:val="24"/>
          <w:szCs w:val="24"/>
        </w:rPr>
        <w:object w:dxaOrig="2480" w:dyaOrig="320">
          <v:shape id="_x0000_i1032" type="#_x0000_t75" style="width:123.75pt;height:18pt" o:ole="">
            <v:imagedata r:id="rId26" o:title=""/>
          </v:shape>
          <o:OLEObject Type="Embed" ProgID="Equation.3" ShapeID="_x0000_i1032" DrawAspect="Content" ObjectID="_1458832549" r:id="rId27"/>
        </w:object>
      </w:r>
      <w:r w:rsidR="008546F4" w:rsidRPr="003303F8">
        <w:rPr>
          <w:sz w:val="24"/>
          <w:szCs w:val="24"/>
        </w:rPr>
        <w:t xml:space="preserve"> refers to the effect of peer firm earnings quality on the market risk. </w:t>
      </w:r>
      <w:r w:rsidR="008546F4" w:rsidRPr="003303F8">
        <w:rPr>
          <w:kern w:val="0"/>
          <w:sz w:val="24"/>
          <w:szCs w:val="24"/>
        </w:rPr>
        <w:t xml:space="preserve">My hypothesis </w:t>
      </w:r>
      <w:r w:rsidRPr="003303F8">
        <w:rPr>
          <w:kern w:val="0"/>
          <w:sz w:val="24"/>
          <w:szCs w:val="24"/>
        </w:rPr>
        <w:t xml:space="preserve">predicts that peer firms’ high earnings quality reduces </w:t>
      </w:r>
      <w:r w:rsidR="008546F4" w:rsidRPr="003303F8">
        <w:rPr>
          <w:kern w:val="0"/>
          <w:sz w:val="24"/>
          <w:szCs w:val="24"/>
        </w:rPr>
        <w:t xml:space="preserve">the cost of equity via </w:t>
      </w:r>
      <w:r w:rsidRPr="003303F8">
        <w:rPr>
          <w:kern w:val="0"/>
          <w:sz w:val="24"/>
          <w:szCs w:val="24"/>
        </w:rPr>
        <w:t xml:space="preserve">a firm’s market risk. So, </w:t>
      </w:r>
      <w:r w:rsidR="008546F4" w:rsidRPr="003303F8">
        <w:rPr>
          <w:kern w:val="0"/>
          <w:sz w:val="24"/>
          <w:szCs w:val="24"/>
        </w:rPr>
        <w:t xml:space="preserve">I </w:t>
      </w:r>
      <w:r w:rsidRPr="003303F8">
        <w:rPr>
          <w:kern w:val="0"/>
          <w:sz w:val="24"/>
          <w:szCs w:val="24"/>
        </w:rPr>
        <w:t>predict a negative coefficient (</w:t>
      </w:r>
      <w:r w:rsidRPr="003303F8">
        <w:rPr>
          <w:position w:val="-10"/>
          <w:sz w:val="24"/>
          <w:szCs w:val="24"/>
        </w:rPr>
        <w:object w:dxaOrig="600" w:dyaOrig="380">
          <v:shape id="_x0000_i1033" type="#_x0000_t75" style="width:30pt;height:18.75pt" o:ole="">
            <v:imagedata r:id="rId24" o:title=""/>
          </v:shape>
          <o:OLEObject Type="Embed" ProgID="Equation.3" ShapeID="_x0000_i1033" DrawAspect="Content" ObjectID="_1458832550" r:id="rId28"/>
        </w:object>
      </w:r>
      <w:r w:rsidR="00630FF1" w:rsidRPr="003303F8">
        <w:rPr>
          <w:sz w:val="24"/>
          <w:szCs w:val="24"/>
        </w:rPr>
        <w:t>&lt; 0</w:t>
      </w:r>
      <w:r w:rsidRPr="003303F8">
        <w:rPr>
          <w:sz w:val="24"/>
          <w:szCs w:val="24"/>
        </w:rPr>
        <w:t>)</w:t>
      </w:r>
      <w:r w:rsidRPr="003303F8">
        <w:rPr>
          <w:kern w:val="0"/>
          <w:sz w:val="24"/>
          <w:szCs w:val="24"/>
        </w:rPr>
        <w:t xml:space="preserve"> on</w:t>
      </w:r>
      <w:r w:rsidRPr="003303F8">
        <w:rPr>
          <w:position w:val="-12"/>
          <w:sz w:val="24"/>
          <w:szCs w:val="24"/>
        </w:rPr>
        <w:object w:dxaOrig="2480" w:dyaOrig="320">
          <v:shape id="_x0000_i1034" type="#_x0000_t75" style="width:123.75pt;height:18pt" o:ole="">
            <v:imagedata r:id="rId26" o:title=""/>
          </v:shape>
          <o:OLEObject Type="Embed" ProgID="Equation.3" ShapeID="_x0000_i1034" DrawAspect="Content" ObjectID="_1458832551" r:id="rId29"/>
        </w:object>
      </w:r>
      <w:r w:rsidRPr="003303F8">
        <w:rPr>
          <w:sz w:val="24"/>
          <w:szCs w:val="24"/>
        </w:rPr>
        <w:t xml:space="preserve"> </w:t>
      </w:r>
      <w:r w:rsidRPr="003303F8">
        <w:rPr>
          <w:kern w:val="0"/>
          <w:sz w:val="24"/>
          <w:szCs w:val="24"/>
        </w:rPr>
        <w:t xml:space="preserve">in the equation (3). </w:t>
      </w:r>
      <w:r w:rsidR="008546F4" w:rsidRPr="003303F8">
        <w:rPr>
          <w:kern w:val="0"/>
          <w:sz w:val="24"/>
          <w:szCs w:val="24"/>
        </w:rPr>
        <w:t xml:space="preserve">In addition, </w:t>
      </w:r>
      <w:r w:rsidRPr="003303F8">
        <w:rPr>
          <w:kern w:val="0"/>
          <w:sz w:val="24"/>
          <w:szCs w:val="24"/>
        </w:rPr>
        <w:t>LLV also predict a negative coefficient (</w:t>
      </w:r>
      <w:r w:rsidRPr="003303F8">
        <w:rPr>
          <w:position w:val="-10"/>
          <w:sz w:val="24"/>
          <w:szCs w:val="24"/>
        </w:rPr>
        <w:object w:dxaOrig="600" w:dyaOrig="380">
          <v:shape id="_x0000_i1035" type="#_x0000_t75" style="width:30pt;height:18.75pt" o:ole="">
            <v:imagedata r:id="rId30" o:title=""/>
          </v:shape>
          <o:OLEObject Type="Embed" ProgID="Equation.3" ShapeID="_x0000_i1035" DrawAspect="Content" ObjectID="_1458832552" r:id="rId31"/>
        </w:object>
      </w:r>
      <w:r w:rsidRPr="003303F8">
        <w:rPr>
          <w:sz w:val="24"/>
          <w:szCs w:val="24"/>
        </w:rPr>
        <w:t xml:space="preserve">) </w:t>
      </w:r>
      <w:r w:rsidRPr="003303F8">
        <w:rPr>
          <w:kern w:val="0"/>
          <w:sz w:val="24"/>
          <w:szCs w:val="24"/>
        </w:rPr>
        <w:t>on</w:t>
      </w:r>
      <w:r w:rsidRPr="003303F8">
        <w:rPr>
          <w:position w:val="-12"/>
          <w:sz w:val="24"/>
          <w:szCs w:val="24"/>
        </w:rPr>
        <w:object w:dxaOrig="2160" w:dyaOrig="320">
          <v:shape id="_x0000_i1036" type="#_x0000_t75" style="width:109.5pt;height:18pt" o:ole="">
            <v:imagedata r:id="rId32" o:title=""/>
          </v:shape>
          <o:OLEObject Type="Embed" ProgID="Equation.3" ShapeID="_x0000_i1036" DrawAspect="Content" ObjectID="_1458832553" r:id="rId33"/>
        </w:object>
      </w:r>
      <w:r w:rsidRPr="003303F8">
        <w:rPr>
          <w:kern w:val="0"/>
          <w:sz w:val="24"/>
          <w:szCs w:val="24"/>
        </w:rPr>
        <w:t>.</w:t>
      </w:r>
    </w:p>
    <w:p w:rsidR="00824249" w:rsidRPr="003303F8" w:rsidRDefault="00250178" w:rsidP="006E7377">
      <w:pPr>
        <w:widowControl/>
        <w:overflowPunct/>
        <w:autoSpaceDE/>
        <w:autoSpaceDN/>
        <w:snapToGrid w:val="0"/>
        <w:spacing w:line="480" w:lineRule="auto"/>
        <w:ind w:firstLine="720"/>
        <w:rPr>
          <w:kern w:val="0"/>
          <w:sz w:val="24"/>
          <w:szCs w:val="24"/>
        </w:rPr>
      </w:pPr>
      <w:r w:rsidRPr="003303F8">
        <w:rPr>
          <w:kern w:val="0"/>
          <w:sz w:val="24"/>
          <w:szCs w:val="24"/>
        </w:rPr>
        <w:t>T</w:t>
      </w:r>
      <w:r w:rsidR="00824249" w:rsidRPr="003303F8">
        <w:rPr>
          <w:kern w:val="0"/>
          <w:sz w:val="24"/>
          <w:szCs w:val="24"/>
        </w:rPr>
        <w:t xml:space="preserve">o control for differences in firms’ innate characteristics in equation (3), I also adopt several control variables from prior literature (see Beaver et al. [1970]; Ashbaugh-Skaife et al. [2009]), including </w:t>
      </w:r>
      <w:r w:rsidR="00824249" w:rsidRPr="003303F8">
        <w:rPr>
          <w:i/>
          <w:kern w:val="0"/>
          <w:sz w:val="24"/>
          <w:szCs w:val="24"/>
        </w:rPr>
        <w:t>LnMV</w:t>
      </w:r>
      <w:r w:rsidR="00824249" w:rsidRPr="003303F8">
        <w:rPr>
          <w:kern w:val="0"/>
          <w:sz w:val="24"/>
          <w:szCs w:val="24"/>
        </w:rPr>
        <w:t xml:space="preserve">, </w:t>
      </w:r>
      <w:r w:rsidR="00824249" w:rsidRPr="003303F8">
        <w:rPr>
          <w:i/>
          <w:kern w:val="0"/>
          <w:sz w:val="24"/>
          <w:szCs w:val="24"/>
        </w:rPr>
        <w:t>BM</w:t>
      </w:r>
      <w:r w:rsidR="00824249" w:rsidRPr="003303F8">
        <w:rPr>
          <w:kern w:val="0"/>
          <w:sz w:val="24"/>
          <w:szCs w:val="24"/>
        </w:rPr>
        <w:t xml:space="preserve">, </w:t>
      </w:r>
      <w:r w:rsidR="00824249" w:rsidRPr="003303F8">
        <w:rPr>
          <w:i/>
          <w:kern w:val="0"/>
          <w:sz w:val="24"/>
          <w:szCs w:val="24"/>
        </w:rPr>
        <w:t>STDCFO</w:t>
      </w:r>
      <w:r w:rsidR="00824249" w:rsidRPr="003303F8">
        <w:rPr>
          <w:kern w:val="0"/>
          <w:sz w:val="24"/>
          <w:szCs w:val="24"/>
        </w:rPr>
        <w:t>,</w:t>
      </w:r>
      <w:r w:rsidR="00824249" w:rsidRPr="003303F8">
        <w:rPr>
          <w:i/>
          <w:kern w:val="0"/>
          <w:sz w:val="24"/>
          <w:szCs w:val="24"/>
        </w:rPr>
        <w:t xml:space="preserve"> LEV</w:t>
      </w:r>
      <w:r w:rsidR="00824249" w:rsidRPr="003303F8">
        <w:rPr>
          <w:kern w:val="0"/>
          <w:sz w:val="24"/>
          <w:szCs w:val="24"/>
        </w:rPr>
        <w:t xml:space="preserve">, and </w:t>
      </w:r>
      <w:r w:rsidR="00824249" w:rsidRPr="003303F8">
        <w:rPr>
          <w:i/>
          <w:kern w:val="0"/>
          <w:sz w:val="24"/>
          <w:szCs w:val="24"/>
        </w:rPr>
        <w:t>CFO</w:t>
      </w:r>
      <w:r w:rsidR="00824249" w:rsidRPr="003303F8">
        <w:rPr>
          <w:kern w:val="0"/>
          <w:sz w:val="24"/>
          <w:szCs w:val="24"/>
        </w:rPr>
        <w:t xml:space="preserve">, </w:t>
      </w:r>
      <w:r w:rsidR="00824249" w:rsidRPr="003303F8">
        <w:rPr>
          <w:sz w:val="24"/>
          <w:szCs w:val="24"/>
        </w:rPr>
        <w:t>which are measured at the end of fiscal year t</w:t>
      </w:r>
      <w:r w:rsidR="00824249" w:rsidRPr="003303F8">
        <w:rPr>
          <w:kern w:val="0"/>
          <w:sz w:val="24"/>
          <w:szCs w:val="24"/>
        </w:rPr>
        <w:t xml:space="preserve">.  </w:t>
      </w:r>
      <w:r w:rsidR="00824249" w:rsidRPr="003303F8">
        <w:rPr>
          <w:sz w:val="24"/>
          <w:szCs w:val="24"/>
        </w:rPr>
        <w:t xml:space="preserve">I include these control variables and their </w:t>
      </w:r>
      <w:r w:rsidR="00824249" w:rsidRPr="003303F8">
        <w:rPr>
          <w:i/>
          <w:sz w:val="24"/>
          <w:szCs w:val="24"/>
        </w:rPr>
        <w:t>interactions</w:t>
      </w:r>
      <w:r w:rsidR="00824249" w:rsidRPr="003303F8">
        <w:rPr>
          <w:sz w:val="24"/>
          <w:szCs w:val="24"/>
        </w:rPr>
        <w:t xml:space="preserve"> with </w:t>
      </w:r>
      <w:r w:rsidR="00824249" w:rsidRPr="003303F8">
        <w:rPr>
          <w:rStyle w:val="Emphasis"/>
          <w:sz w:val="24"/>
          <w:szCs w:val="24"/>
        </w:rPr>
        <w:t>MKTRF</w:t>
      </w:r>
      <w:r w:rsidR="00824249" w:rsidRPr="003303F8">
        <w:rPr>
          <w:sz w:val="24"/>
          <w:szCs w:val="24"/>
        </w:rPr>
        <w:t xml:space="preserve">. </w:t>
      </w:r>
      <w:r w:rsidR="00824249" w:rsidRPr="003303F8">
        <w:rPr>
          <w:i/>
          <w:kern w:val="0"/>
          <w:sz w:val="24"/>
          <w:szCs w:val="24"/>
        </w:rPr>
        <w:t>LnMV</w:t>
      </w:r>
      <w:r w:rsidR="00824249" w:rsidRPr="003303F8">
        <w:rPr>
          <w:kern w:val="0"/>
          <w:sz w:val="24"/>
          <w:szCs w:val="24"/>
        </w:rPr>
        <w:t xml:space="preserve"> is measured as the log of firm j’s market value at the end of fiscal year t. </w:t>
      </w:r>
      <w:r w:rsidR="0018776F" w:rsidRPr="003303F8">
        <w:rPr>
          <w:kern w:val="0"/>
          <w:sz w:val="24"/>
          <w:szCs w:val="24"/>
        </w:rPr>
        <w:t xml:space="preserve">Banz (1981) </w:t>
      </w:r>
      <w:r w:rsidR="002368F2" w:rsidRPr="003303F8">
        <w:rPr>
          <w:kern w:val="0"/>
          <w:sz w:val="24"/>
          <w:szCs w:val="24"/>
        </w:rPr>
        <w:t xml:space="preserve">finds a significant effect of </w:t>
      </w:r>
      <w:r w:rsidR="0018776F" w:rsidRPr="003303F8">
        <w:rPr>
          <w:kern w:val="0"/>
          <w:sz w:val="24"/>
          <w:szCs w:val="24"/>
        </w:rPr>
        <w:t>size</w:t>
      </w:r>
      <w:r w:rsidR="002368F2" w:rsidRPr="003303F8">
        <w:rPr>
          <w:kern w:val="0"/>
          <w:sz w:val="24"/>
          <w:szCs w:val="24"/>
        </w:rPr>
        <w:t xml:space="preserve"> (market value)</w:t>
      </w:r>
      <w:r w:rsidR="0018776F" w:rsidRPr="003303F8">
        <w:rPr>
          <w:kern w:val="0"/>
          <w:sz w:val="24"/>
          <w:szCs w:val="24"/>
        </w:rPr>
        <w:t xml:space="preserve"> </w:t>
      </w:r>
      <w:r w:rsidR="002368F2" w:rsidRPr="003303F8">
        <w:rPr>
          <w:kern w:val="0"/>
          <w:sz w:val="24"/>
          <w:szCs w:val="24"/>
        </w:rPr>
        <w:t xml:space="preserve">on stock return, and </w:t>
      </w:r>
      <w:r w:rsidR="0018776F" w:rsidRPr="003303F8">
        <w:rPr>
          <w:kern w:val="0"/>
          <w:sz w:val="24"/>
          <w:szCs w:val="24"/>
        </w:rPr>
        <w:t>large firms are less risk</w:t>
      </w:r>
      <w:r w:rsidR="002368F2" w:rsidRPr="003303F8">
        <w:rPr>
          <w:kern w:val="0"/>
          <w:sz w:val="24"/>
          <w:szCs w:val="24"/>
        </w:rPr>
        <w:t>y</w:t>
      </w:r>
      <w:r w:rsidR="0018776F" w:rsidRPr="003303F8">
        <w:rPr>
          <w:kern w:val="0"/>
          <w:sz w:val="24"/>
          <w:szCs w:val="24"/>
        </w:rPr>
        <w:t xml:space="preserve"> </w:t>
      </w:r>
      <w:r w:rsidR="002368F2" w:rsidRPr="003303F8">
        <w:rPr>
          <w:kern w:val="0"/>
          <w:sz w:val="24"/>
          <w:szCs w:val="24"/>
        </w:rPr>
        <w:t>than</w:t>
      </w:r>
      <w:r w:rsidR="0018776F" w:rsidRPr="003303F8">
        <w:rPr>
          <w:kern w:val="0"/>
          <w:sz w:val="24"/>
          <w:szCs w:val="24"/>
        </w:rPr>
        <w:t xml:space="preserve"> small firms. Also, </w:t>
      </w:r>
      <w:r w:rsidR="002368F2" w:rsidRPr="003303F8">
        <w:rPr>
          <w:kern w:val="0"/>
          <w:sz w:val="24"/>
          <w:szCs w:val="24"/>
        </w:rPr>
        <w:t xml:space="preserve">portfolio theory suggests </w:t>
      </w:r>
      <w:r w:rsidR="0018776F" w:rsidRPr="003303F8">
        <w:rPr>
          <w:kern w:val="0"/>
          <w:sz w:val="24"/>
          <w:szCs w:val="24"/>
        </w:rPr>
        <w:t xml:space="preserve">large firms’ stock prices are </w:t>
      </w:r>
      <w:r w:rsidR="00416C75" w:rsidRPr="003303F8">
        <w:rPr>
          <w:kern w:val="0"/>
          <w:sz w:val="24"/>
          <w:szCs w:val="24"/>
        </w:rPr>
        <w:t xml:space="preserve">more widely held and </w:t>
      </w:r>
      <w:r w:rsidR="0018776F" w:rsidRPr="003303F8">
        <w:rPr>
          <w:kern w:val="0"/>
          <w:sz w:val="24"/>
          <w:szCs w:val="24"/>
        </w:rPr>
        <w:t xml:space="preserve">therefore face a lower risk </w:t>
      </w:r>
      <w:r w:rsidR="0018776F" w:rsidRPr="003303F8">
        <w:rPr>
          <w:kern w:val="0"/>
          <w:sz w:val="24"/>
          <w:szCs w:val="24"/>
        </w:rPr>
        <w:lastRenderedPageBreak/>
        <w:t>of mispricing (</w:t>
      </w:r>
      <w:r w:rsidR="00416C75" w:rsidRPr="003303F8">
        <w:rPr>
          <w:kern w:val="0"/>
          <w:sz w:val="24"/>
          <w:szCs w:val="24"/>
        </w:rPr>
        <w:t xml:space="preserve">e.g., </w:t>
      </w:r>
      <w:r w:rsidR="0018776F" w:rsidRPr="003303F8">
        <w:rPr>
          <w:kern w:val="0"/>
          <w:sz w:val="24"/>
          <w:szCs w:val="24"/>
        </w:rPr>
        <w:t>Beaver et al. [1970]</w:t>
      </w:r>
      <w:r w:rsidR="00416C75" w:rsidRPr="003303F8">
        <w:rPr>
          <w:kern w:val="0"/>
          <w:sz w:val="24"/>
          <w:szCs w:val="24"/>
        </w:rPr>
        <w:t>; Klein and Bawa [1977]</w:t>
      </w:r>
      <w:r w:rsidR="0018776F" w:rsidRPr="003303F8">
        <w:rPr>
          <w:kern w:val="0"/>
          <w:sz w:val="24"/>
          <w:szCs w:val="24"/>
        </w:rPr>
        <w:t xml:space="preserve">). </w:t>
      </w:r>
      <w:r w:rsidR="00824249" w:rsidRPr="003303F8">
        <w:rPr>
          <w:i/>
          <w:kern w:val="0"/>
          <w:sz w:val="24"/>
          <w:szCs w:val="24"/>
        </w:rPr>
        <w:t xml:space="preserve">BM </w:t>
      </w:r>
      <w:r w:rsidR="00824249" w:rsidRPr="003303F8">
        <w:rPr>
          <w:kern w:val="0"/>
          <w:sz w:val="24"/>
          <w:szCs w:val="24"/>
        </w:rPr>
        <w:t>is measured as the log of the ratio of firm j’s book value to its market value at the end of fiscal year t.</w:t>
      </w:r>
      <w:r w:rsidR="006F5D71" w:rsidRPr="003303F8">
        <w:rPr>
          <w:rStyle w:val="FootnoteReference"/>
          <w:kern w:val="0"/>
          <w:sz w:val="24"/>
          <w:szCs w:val="24"/>
        </w:rPr>
        <w:footnoteReference w:id="26"/>
      </w:r>
      <w:r w:rsidR="006F5D71" w:rsidRPr="003303F8">
        <w:rPr>
          <w:kern w:val="0"/>
          <w:sz w:val="24"/>
          <w:szCs w:val="24"/>
        </w:rPr>
        <w:t xml:space="preserve"> Stattman (1980) finds BM significantly explains cross-sections of stock return.</w:t>
      </w:r>
      <w:r w:rsidR="00416C75" w:rsidRPr="003303F8">
        <w:rPr>
          <w:kern w:val="0"/>
          <w:sz w:val="24"/>
          <w:szCs w:val="24"/>
        </w:rPr>
        <w:t xml:space="preserve"> </w:t>
      </w:r>
      <w:r w:rsidR="002368F2" w:rsidRPr="003303F8">
        <w:rPr>
          <w:kern w:val="0"/>
          <w:sz w:val="24"/>
          <w:szCs w:val="24"/>
        </w:rPr>
        <w:t>Fama and French (2003</w:t>
      </w:r>
      <w:r w:rsidR="00416C75" w:rsidRPr="003303F8">
        <w:rPr>
          <w:kern w:val="0"/>
          <w:sz w:val="24"/>
          <w:szCs w:val="24"/>
        </w:rPr>
        <w:t>)</w:t>
      </w:r>
      <w:r w:rsidR="002368F2" w:rsidRPr="003303F8">
        <w:rPr>
          <w:kern w:val="0"/>
          <w:sz w:val="24"/>
          <w:szCs w:val="24"/>
        </w:rPr>
        <w:t xml:space="preserve"> </w:t>
      </w:r>
      <w:r w:rsidR="006F5D71" w:rsidRPr="003303F8">
        <w:rPr>
          <w:kern w:val="0"/>
          <w:sz w:val="24"/>
          <w:szCs w:val="24"/>
        </w:rPr>
        <w:t xml:space="preserve">further suggest </w:t>
      </w:r>
      <w:r w:rsidR="006F5D71" w:rsidRPr="003303F8">
        <w:rPr>
          <w:i/>
          <w:kern w:val="0"/>
          <w:sz w:val="24"/>
          <w:szCs w:val="24"/>
        </w:rPr>
        <w:t xml:space="preserve">BM </w:t>
      </w:r>
      <w:r w:rsidR="006F5D71" w:rsidRPr="003303F8">
        <w:rPr>
          <w:kern w:val="0"/>
          <w:sz w:val="24"/>
          <w:szCs w:val="24"/>
        </w:rPr>
        <w:t xml:space="preserve">reflects a firm’s relative distress and future earnings prospects. Firms with poor earnings prospects, signaled by low market value and high </w:t>
      </w:r>
      <w:r w:rsidR="006F5D71" w:rsidRPr="003303F8">
        <w:rPr>
          <w:i/>
          <w:kern w:val="0"/>
          <w:sz w:val="24"/>
          <w:szCs w:val="24"/>
        </w:rPr>
        <w:t>BM</w:t>
      </w:r>
      <w:r w:rsidR="006F5D71" w:rsidRPr="003303F8">
        <w:rPr>
          <w:kern w:val="0"/>
          <w:sz w:val="24"/>
          <w:szCs w:val="24"/>
        </w:rPr>
        <w:t>, would be penalized by higher cost of equity.</w:t>
      </w:r>
      <w:r w:rsidR="00824249" w:rsidRPr="003303F8">
        <w:rPr>
          <w:sz w:val="24"/>
          <w:szCs w:val="24"/>
        </w:rPr>
        <w:t xml:space="preserve"> </w:t>
      </w:r>
      <w:r w:rsidR="00824249" w:rsidRPr="003303F8">
        <w:rPr>
          <w:i/>
          <w:kern w:val="0"/>
          <w:sz w:val="24"/>
          <w:szCs w:val="24"/>
        </w:rPr>
        <w:t>LEV</w:t>
      </w:r>
      <w:r w:rsidR="00824249" w:rsidRPr="003303F8">
        <w:rPr>
          <w:kern w:val="0"/>
          <w:sz w:val="24"/>
          <w:szCs w:val="24"/>
        </w:rPr>
        <w:t xml:space="preserve"> is total debt divided by total assets at the end of fiscal year t. </w:t>
      </w:r>
      <w:r w:rsidR="00727B2C" w:rsidRPr="003303F8">
        <w:rPr>
          <w:kern w:val="0"/>
          <w:sz w:val="24"/>
          <w:szCs w:val="24"/>
        </w:rPr>
        <w:t>As a firm’s leverage increases, the earnings stream of stockholders become more risky, thus leading to a higher cost of equity (Modigliani and Miller</w:t>
      </w:r>
      <w:r w:rsidR="000D4B11" w:rsidRPr="003303F8">
        <w:rPr>
          <w:kern w:val="0"/>
          <w:sz w:val="24"/>
          <w:szCs w:val="24"/>
        </w:rPr>
        <w:t xml:space="preserve"> </w:t>
      </w:r>
      <w:r w:rsidR="00727B2C" w:rsidRPr="003303F8">
        <w:rPr>
          <w:kern w:val="0"/>
          <w:sz w:val="24"/>
          <w:szCs w:val="24"/>
        </w:rPr>
        <w:t>[1958];</w:t>
      </w:r>
      <w:r w:rsidR="000D4B11" w:rsidRPr="003303F8">
        <w:rPr>
          <w:kern w:val="0"/>
          <w:sz w:val="24"/>
          <w:szCs w:val="24"/>
        </w:rPr>
        <w:t xml:space="preserve"> </w:t>
      </w:r>
      <w:r w:rsidR="00727B2C" w:rsidRPr="003303F8">
        <w:rPr>
          <w:kern w:val="0"/>
          <w:sz w:val="24"/>
          <w:szCs w:val="24"/>
        </w:rPr>
        <w:t xml:space="preserve">Beaver et al. [1970]). </w:t>
      </w:r>
      <w:r w:rsidR="00824249" w:rsidRPr="003303F8">
        <w:rPr>
          <w:i/>
          <w:kern w:val="0"/>
          <w:sz w:val="24"/>
          <w:szCs w:val="24"/>
        </w:rPr>
        <w:t>CFO</w:t>
      </w:r>
      <w:r w:rsidR="00824249" w:rsidRPr="003303F8">
        <w:rPr>
          <w:kern w:val="0"/>
          <w:sz w:val="24"/>
          <w:szCs w:val="24"/>
        </w:rPr>
        <w:t xml:space="preserve"> is cash flow from operations divided by </w:t>
      </w:r>
      <w:r w:rsidR="005820F2" w:rsidRPr="003303F8">
        <w:rPr>
          <w:kern w:val="0"/>
          <w:sz w:val="24"/>
          <w:szCs w:val="24"/>
        </w:rPr>
        <w:t xml:space="preserve">average </w:t>
      </w:r>
      <w:r w:rsidR="00824249" w:rsidRPr="003303F8">
        <w:rPr>
          <w:kern w:val="0"/>
          <w:sz w:val="24"/>
          <w:szCs w:val="24"/>
        </w:rPr>
        <w:t xml:space="preserve">total assets, and </w:t>
      </w:r>
      <w:r w:rsidR="00824249" w:rsidRPr="003303F8">
        <w:rPr>
          <w:i/>
          <w:kern w:val="0"/>
          <w:sz w:val="24"/>
          <w:szCs w:val="24"/>
        </w:rPr>
        <w:t>STDCFO</w:t>
      </w:r>
      <w:r w:rsidR="00824249" w:rsidRPr="003303F8">
        <w:rPr>
          <w:kern w:val="0"/>
          <w:sz w:val="24"/>
          <w:szCs w:val="24"/>
        </w:rPr>
        <w:t xml:space="preserve"> is the standard deviation of cash flow from operations divided by total assets calculated using the most recent five fiscal years. </w:t>
      </w:r>
      <w:r w:rsidR="00727B2C" w:rsidRPr="003303F8">
        <w:rPr>
          <w:i/>
          <w:kern w:val="0"/>
          <w:sz w:val="24"/>
          <w:szCs w:val="24"/>
        </w:rPr>
        <w:t>CFO</w:t>
      </w:r>
      <w:r w:rsidR="00727B2C" w:rsidRPr="003303F8">
        <w:rPr>
          <w:kern w:val="0"/>
          <w:sz w:val="24"/>
          <w:szCs w:val="24"/>
        </w:rPr>
        <w:t xml:space="preserve"> is used to reflect a</w:t>
      </w:r>
      <w:r w:rsidR="006E7377" w:rsidRPr="003303F8">
        <w:rPr>
          <w:kern w:val="0"/>
          <w:sz w:val="24"/>
          <w:szCs w:val="24"/>
        </w:rPr>
        <w:t xml:space="preserve"> firm’s operational performance, and</w:t>
      </w:r>
      <w:r w:rsidR="00727B2C" w:rsidRPr="003303F8">
        <w:rPr>
          <w:kern w:val="0"/>
          <w:sz w:val="24"/>
          <w:szCs w:val="24"/>
        </w:rPr>
        <w:t xml:space="preserve"> </w:t>
      </w:r>
      <w:r w:rsidR="006E7377" w:rsidRPr="003303F8">
        <w:rPr>
          <w:i/>
          <w:kern w:val="0"/>
          <w:sz w:val="24"/>
          <w:szCs w:val="24"/>
        </w:rPr>
        <w:t>STDCFO</w:t>
      </w:r>
      <w:r w:rsidR="006E7377" w:rsidRPr="003303F8">
        <w:rPr>
          <w:kern w:val="0"/>
          <w:sz w:val="24"/>
          <w:szCs w:val="24"/>
        </w:rPr>
        <w:t xml:space="preserve"> measures the volatility of operation. Ashbaugh-Skaife et al. (2009) suggest </w:t>
      </w:r>
      <w:r w:rsidR="00293CBC" w:rsidRPr="003303F8">
        <w:rPr>
          <w:kern w:val="0"/>
          <w:sz w:val="24"/>
          <w:szCs w:val="24"/>
        </w:rPr>
        <w:t>firms with better</w:t>
      </w:r>
      <w:r w:rsidR="006E7377" w:rsidRPr="003303F8">
        <w:rPr>
          <w:kern w:val="0"/>
          <w:sz w:val="24"/>
          <w:szCs w:val="24"/>
        </w:rPr>
        <w:t xml:space="preserve"> and less volatile operating performance are expected to be less risky. </w:t>
      </w:r>
      <w:r w:rsidR="00824249" w:rsidRPr="003303F8">
        <w:rPr>
          <w:kern w:val="0"/>
          <w:sz w:val="24"/>
          <w:szCs w:val="24"/>
        </w:rPr>
        <w:t>The appendix includes details on variable measurements.</w:t>
      </w:r>
    </w:p>
    <w:p w:rsidR="00DF0E0F" w:rsidRPr="003303F8" w:rsidRDefault="00DF0E0F" w:rsidP="00F70D1C">
      <w:pPr>
        <w:widowControl/>
        <w:overflowPunct/>
        <w:autoSpaceDE/>
        <w:autoSpaceDN/>
        <w:snapToGrid w:val="0"/>
        <w:ind w:firstLine="720"/>
        <w:rPr>
          <w:kern w:val="0"/>
          <w:sz w:val="24"/>
          <w:szCs w:val="24"/>
        </w:rPr>
      </w:pPr>
    </w:p>
    <w:p w:rsidR="003B1367" w:rsidRPr="003303F8" w:rsidRDefault="003B1367" w:rsidP="00931FD3">
      <w:pPr>
        <w:pStyle w:val="Heading2"/>
        <w:spacing w:line="480" w:lineRule="auto"/>
        <w:rPr>
          <w:szCs w:val="24"/>
        </w:rPr>
      </w:pPr>
      <w:bookmarkStart w:id="91" w:name="_Toc378087510"/>
      <w:bookmarkStart w:id="92" w:name="_Toc378087550"/>
      <w:bookmarkStart w:id="93" w:name="_Toc378088359"/>
      <w:bookmarkStart w:id="94" w:name="_Toc378088748"/>
      <w:bookmarkStart w:id="95" w:name="_Toc378088884"/>
      <w:r w:rsidRPr="003303F8">
        <w:rPr>
          <w:szCs w:val="24"/>
        </w:rPr>
        <w:t>Implied Cost of Equity Test</w:t>
      </w:r>
      <w:bookmarkEnd w:id="91"/>
      <w:bookmarkEnd w:id="92"/>
      <w:bookmarkEnd w:id="93"/>
      <w:bookmarkEnd w:id="94"/>
      <w:bookmarkEnd w:id="95"/>
    </w:p>
    <w:p w:rsidR="003B1367" w:rsidRPr="003303F8" w:rsidRDefault="003B1367" w:rsidP="003B1367">
      <w:pPr>
        <w:widowControl/>
        <w:overflowPunct/>
        <w:autoSpaceDE/>
        <w:autoSpaceDN/>
        <w:snapToGrid w:val="0"/>
        <w:spacing w:line="480" w:lineRule="auto"/>
        <w:ind w:firstLine="720"/>
        <w:rPr>
          <w:kern w:val="0"/>
          <w:sz w:val="24"/>
          <w:szCs w:val="24"/>
        </w:rPr>
      </w:pPr>
      <w:r w:rsidRPr="003303F8">
        <w:rPr>
          <w:kern w:val="0"/>
          <w:sz w:val="24"/>
          <w:szCs w:val="24"/>
        </w:rPr>
        <w:t xml:space="preserve">I </w:t>
      </w:r>
      <w:r w:rsidR="00824249" w:rsidRPr="003303F8">
        <w:rPr>
          <w:kern w:val="0"/>
          <w:sz w:val="24"/>
          <w:szCs w:val="24"/>
        </w:rPr>
        <w:t xml:space="preserve">also </w:t>
      </w:r>
      <w:r w:rsidR="00630FF1" w:rsidRPr="003303F8">
        <w:rPr>
          <w:kern w:val="0"/>
          <w:sz w:val="24"/>
          <w:szCs w:val="24"/>
        </w:rPr>
        <w:t>use</w:t>
      </w:r>
      <w:r w:rsidRPr="003303F8">
        <w:rPr>
          <w:kern w:val="0"/>
          <w:sz w:val="24"/>
          <w:szCs w:val="24"/>
        </w:rPr>
        <w:t xml:space="preserve"> the following equation </w:t>
      </w:r>
      <w:r w:rsidR="00D77175" w:rsidRPr="003303F8">
        <w:rPr>
          <w:kern w:val="0"/>
          <w:sz w:val="24"/>
          <w:szCs w:val="24"/>
        </w:rPr>
        <w:t xml:space="preserve">as the second </w:t>
      </w:r>
      <w:r w:rsidRPr="003303F8">
        <w:rPr>
          <w:kern w:val="0"/>
          <w:sz w:val="24"/>
          <w:szCs w:val="24"/>
        </w:rPr>
        <w:t xml:space="preserve">test </w:t>
      </w:r>
      <w:r w:rsidR="00D77175" w:rsidRPr="003303F8">
        <w:rPr>
          <w:kern w:val="0"/>
          <w:sz w:val="24"/>
          <w:szCs w:val="24"/>
        </w:rPr>
        <w:t xml:space="preserve">of </w:t>
      </w:r>
      <w:r w:rsidRPr="003303F8">
        <w:rPr>
          <w:kern w:val="0"/>
          <w:sz w:val="24"/>
          <w:szCs w:val="24"/>
        </w:rPr>
        <w:t xml:space="preserve">my </w:t>
      </w:r>
      <w:r w:rsidR="006E7CAB" w:rsidRPr="003303F8">
        <w:rPr>
          <w:kern w:val="0"/>
          <w:sz w:val="24"/>
          <w:szCs w:val="24"/>
        </w:rPr>
        <w:t>hypothesis</w:t>
      </w:r>
      <w:r w:rsidRPr="003303F8">
        <w:rPr>
          <w:kern w:val="0"/>
          <w:sz w:val="24"/>
          <w:szCs w:val="24"/>
        </w:rPr>
        <w:t>. The</w:t>
      </w:r>
      <w:r w:rsidRPr="003303F8">
        <w:rPr>
          <w:rFonts w:hint="eastAsia"/>
          <w:kern w:val="0"/>
          <w:sz w:val="24"/>
          <w:szCs w:val="24"/>
        </w:rPr>
        <w:t xml:space="preserve"> </w:t>
      </w:r>
      <w:r w:rsidRPr="003303F8">
        <w:rPr>
          <w:kern w:val="0"/>
          <w:sz w:val="24"/>
          <w:szCs w:val="24"/>
        </w:rPr>
        <w:t xml:space="preserve">equation uses the cost of equity as </w:t>
      </w:r>
      <w:r w:rsidR="00630FF1" w:rsidRPr="003303F8">
        <w:rPr>
          <w:kern w:val="0"/>
          <w:sz w:val="24"/>
          <w:szCs w:val="24"/>
        </w:rPr>
        <w:t xml:space="preserve">a </w:t>
      </w:r>
      <w:r w:rsidRPr="003303F8">
        <w:rPr>
          <w:kern w:val="0"/>
          <w:sz w:val="24"/>
          <w:szCs w:val="24"/>
        </w:rPr>
        <w:t xml:space="preserve">comprehensive measure of firm risk and tests how peer firm earnings quality affects the cost of equity. </w:t>
      </w:r>
    </w:p>
    <w:tbl>
      <w:tblPr>
        <w:tblStyle w:val="TableGrid"/>
        <w:tblW w:w="8642" w:type="dxa"/>
        <w:jc w:val="center"/>
        <w:tblInd w:w="4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40"/>
        <w:gridCol w:w="1202"/>
      </w:tblGrid>
      <w:tr w:rsidR="003B1367" w:rsidRPr="003303F8" w:rsidTr="00931FD3">
        <w:trPr>
          <w:trHeight w:val="900"/>
          <w:jc w:val="center"/>
        </w:trPr>
        <w:tc>
          <w:tcPr>
            <w:tcW w:w="7440" w:type="dxa"/>
          </w:tcPr>
          <w:p w:rsidR="003B1367" w:rsidRPr="003303F8" w:rsidRDefault="00C97D18" w:rsidP="005B3D4F">
            <w:pPr>
              <w:widowControl/>
              <w:overflowPunct/>
              <w:autoSpaceDE/>
              <w:autoSpaceDN/>
              <w:snapToGrid w:val="0"/>
              <w:spacing w:line="480" w:lineRule="auto"/>
              <w:jc w:val="center"/>
              <w:rPr>
                <w:bCs/>
                <w:kern w:val="0"/>
                <w:sz w:val="24"/>
                <w:szCs w:val="24"/>
              </w:rPr>
            </w:pPr>
            <w:r w:rsidRPr="003303F8">
              <w:rPr>
                <w:kern w:val="0"/>
                <w:position w:val="-32"/>
                <w:sz w:val="24"/>
                <w:szCs w:val="24"/>
              </w:rPr>
              <w:object w:dxaOrig="5920" w:dyaOrig="560">
                <v:shape id="_x0000_i1037" type="#_x0000_t75" style="width:345pt;height:32.25pt" o:ole="">
                  <v:imagedata r:id="rId34" o:title=""/>
                </v:shape>
                <o:OLEObject Type="Embed" ProgID="Equation.3" ShapeID="_x0000_i1037" DrawAspect="Content" ObjectID="_1458832554" r:id="rId35"/>
              </w:object>
            </w:r>
          </w:p>
        </w:tc>
        <w:tc>
          <w:tcPr>
            <w:tcW w:w="1202" w:type="dxa"/>
          </w:tcPr>
          <w:p w:rsidR="003B1367" w:rsidRPr="003303F8" w:rsidRDefault="003B1367" w:rsidP="00824249">
            <w:pPr>
              <w:widowControl/>
              <w:overflowPunct/>
              <w:autoSpaceDE/>
              <w:autoSpaceDN/>
              <w:snapToGrid w:val="0"/>
              <w:spacing w:line="480" w:lineRule="auto"/>
              <w:ind w:hanging="108"/>
              <w:rPr>
                <w:bCs/>
                <w:kern w:val="0"/>
                <w:sz w:val="24"/>
                <w:szCs w:val="24"/>
              </w:rPr>
            </w:pPr>
            <w:r w:rsidRPr="003303F8">
              <w:rPr>
                <w:bCs/>
                <w:kern w:val="0"/>
                <w:sz w:val="24"/>
                <w:szCs w:val="24"/>
              </w:rPr>
              <w:t>(</w:t>
            </w:r>
            <w:r w:rsidR="00824249" w:rsidRPr="003303F8">
              <w:rPr>
                <w:bCs/>
                <w:kern w:val="0"/>
                <w:sz w:val="24"/>
                <w:szCs w:val="24"/>
              </w:rPr>
              <w:t>4</w:t>
            </w:r>
            <w:r w:rsidRPr="003303F8">
              <w:rPr>
                <w:bCs/>
                <w:kern w:val="0"/>
                <w:sz w:val="24"/>
                <w:szCs w:val="24"/>
              </w:rPr>
              <w:t>)</w:t>
            </w:r>
          </w:p>
        </w:tc>
      </w:tr>
    </w:tbl>
    <w:p w:rsidR="003B1367" w:rsidRPr="003303F8" w:rsidRDefault="001B20ED" w:rsidP="003B1367">
      <w:pPr>
        <w:widowControl/>
        <w:overflowPunct/>
        <w:autoSpaceDE/>
        <w:autoSpaceDN/>
        <w:snapToGrid w:val="0"/>
        <w:spacing w:line="480" w:lineRule="auto"/>
        <w:ind w:firstLine="720"/>
        <w:rPr>
          <w:kern w:val="0"/>
          <w:sz w:val="24"/>
          <w:szCs w:val="24"/>
        </w:rPr>
      </w:pPr>
      <w:r w:rsidRPr="003303F8">
        <w:rPr>
          <w:kern w:val="0"/>
          <w:sz w:val="24"/>
          <w:szCs w:val="24"/>
        </w:rPr>
        <w:t>The dependent variable in equation (</w:t>
      </w:r>
      <w:r w:rsidR="00824249" w:rsidRPr="003303F8">
        <w:rPr>
          <w:kern w:val="0"/>
          <w:sz w:val="24"/>
          <w:szCs w:val="24"/>
        </w:rPr>
        <w:t>4</w:t>
      </w:r>
      <w:r w:rsidRPr="003303F8">
        <w:rPr>
          <w:kern w:val="0"/>
          <w:sz w:val="24"/>
          <w:szCs w:val="24"/>
        </w:rPr>
        <w:t xml:space="preserve">) is the implied cost of equity. The primary independent variables are </w:t>
      </w:r>
      <w:r w:rsidRPr="003303F8">
        <w:rPr>
          <w:i/>
          <w:kern w:val="0"/>
          <w:sz w:val="24"/>
          <w:szCs w:val="24"/>
        </w:rPr>
        <w:t>H_P_EQ</w:t>
      </w:r>
      <w:r w:rsidR="00635980" w:rsidRPr="003303F8">
        <w:rPr>
          <w:i/>
          <w:kern w:val="0"/>
          <w:sz w:val="24"/>
          <w:szCs w:val="24"/>
        </w:rPr>
        <w:t xml:space="preserve"> </w:t>
      </w:r>
      <w:r w:rsidR="00635980" w:rsidRPr="003303F8">
        <w:rPr>
          <w:kern w:val="0"/>
          <w:sz w:val="24"/>
          <w:szCs w:val="24"/>
        </w:rPr>
        <w:t>and</w:t>
      </w:r>
      <w:r w:rsidR="00635980" w:rsidRPr="003303F8">
        <w:rPr>
          <w:i/>
          <w:kern w:val="0"/>
          <w:sz w:val="24"/>
          <w:szCs w:val="24"/>
        </w:rPr>
        <w:t xml:space="preserve"> H_EQ</w:t>
      </w:r>
      <w:r w:rsidRPr="003303F8">
        <w:rPr>
          <w:kern w:val="0"/>
          <w:sz w:val="24"/>
          <w:szCs w:val="24"/>
        </w:rPr>
        <w:t xml:space="preserve">.  </w:t>
      </w:r>
      <w:r w:rsidR="003B1367" w:rsidRPr="003303F8">
        <w:rPr>
          <w:kern w:val="0"/>
          <w:sz w:val="24"/>
          <w:szCs w:val="24"/>
        </w:rPr>
        <w:t>H</w:t>
      </w:r>
      <w:r w:rsidR="003B1367" w:rsidRPr="003303F8">
        <w:rPr>
          <w:kern w:val="0"/>
          <w:sz w:val="24"/>
          <w:szCs w:val="24"/>
          <w:vertAlign w:val="subscript"/>
        </w:rPr>
        <w:t>1</w:t>
      </w:r>
      <w:r w:rsidR="003B1367" w:rsidRPr="003303F8">
        <w:rPr>
          <w:kern w:val="0"/>
          <w:sz w:val="24"/>
          <w:szCs w:val="24"/>
        </w:rPr>
        <w:t xml:space="preserve"> suggests peer firms’ high earnings quality reduces a firm’s risk and cost of equity (i.e., </w:t>
      </w:r>
      <w:r w:rsidR="003B1367" w:rsidRPr="003303F8">
        <w:rPr>
          <w:position w:val="-10"/>
          <w:sz w:val="24"/>
          <w:szCs w:val="24"/>
        </w:rPr>
        <w:object w:dxaOrig="279" w:dyaOrig="340">
          <v:shape id="_x0000_i1038" type="#_x0000_t75" style="width:12pt;height:18pt" o:ole="">
            <v:imagedata r:id="rId36" o:title=""/>
          </v:shape>
          <o:OLEObject Type="Embed" ProgID="Equation.3" ShapeID="_x0000_i1038" DrawAspect="Content" ObjectID="_1458832555" r:id="rId37"/>
        </w:object>
      </w:r>
      <w:r w:rsidR="003B1367" w:rsidRPr="003303F8">
        <w:rPr>
          <w:sz w:val="24"/>
          <w:szCs w:val="24"/>
        </w:rPr>
        <w:t xml:space="preserve"> &lt; 0).</w:t>
      </w:r>
      <w:r w:rsidR="00815342" w:rsidRPr="003303F8">
        <w:rPr>
          <w:rStyle w:val="FootnoteReference"/>
          <w:sz w:val="24"/>
          <w:szCs w:val="24"/>
        </w:rPr>
        <w:footnoteReference w:id="27"/>
      </w:r>
      <w:r w:rsidR="003B1367" w:rsidRPr="003303F8">
        <w:rPr>
          <w:sz w:val="24"/>
          <w:szCs w:val="24"/>
        </w:rPr>
        <w:t xml:space="preserve"> </w:t>
      </w:r>
      <w:r w:rsidR="00F808B5" w:rsidRPr="003303F8">
        <w:rPr>
          <w:sz w:val="24"/>
          <w:szCs w:val="24"/>
        </w:rPr>
        <w:t xml:space="preserve"> </w:t>
      </w:r>
      <w:r w:rsidR="003B1367" w:rsidRPr="003303F8">
        <w:rPr>
          <w:sz w:val="24"/>
          <w:szCs w:val="24"/>
        </w:rPr>
        <w:t xml:space="preserve">Also, </w:t>
      </w:r>
      <w:r w:rsidR="003B1367" w:rsidRPr="003303F8">
        <w:rPr>
          <w:kern w:val="0"/>
          <w:sz w:val="24"/>
          <w:szCs w:val="24"/>
        </w:rPr>
        <w:t xml:space="preserve">according to LLV, a firm’s own earnings quality should reduce its risk and cost of equity (i.e., </w:t>
      </w:r>
      <w:r w:rsidR="003B1367" w:rsidRPr="003303F8">
        <w:rPr>
          <w:position w:val="-10"/>
          <w:sz w:val="24"/>
          <w:szCs w:val="24"/>
        </w:rPr>
        <w:object w:dxaOrig="260" w:dyaOrig="340">
          <v:shape id="_x0000_i1039" type="#_x0000_t75" style="width:12pt;height:18pt" o:ole="">
            <v:imagedata r:id="rId38" o:title=""/>
          </v:shape>
          <o:OLEObject Type="Embed" ProgID="Equation.3" ShapeID="_x0000_i1039" DrawAspect="Content" ObjectID="_1458832556" r:id="rId39"/>
        </w:object>
      </w:r>
      <w:r w:rsidR="003B1367" w:rsidRPr="003303F8">
        <w:rPr>
          <w:position w:val="-10"/>
          <w:sz w:val="24"/>
          <w:szCs w:val="24"/>
        </w:rPr>
        <w:t xml:space="preserve"> </w:t>
      </w:r>
      <w:r w:rsidR="003B1367" w:rsidRPr="003303F8">
        <w:rPr>
          <w:kern w:val="0"/>
          <w:sz w:val="24"/>
          <w:szCs w:val="24"/>
        </w:rPr>
        <w:t>&lt; 0).</w:t>
      </w:r>
      <w:r w:rsidR="00824249" w:rsidRPr="003303F8">
        <w:rPr>
          <w:sz w:val="24"/>
          <w:szCs w:val="24"/>
        </w:rPr>
        <w:t xml:space="preserve"> I include all the control variables from equation (3</w:t>
      </w:r>
      <w:r w:rsidR="00824249" w:rsidRPr="003303F8">
        <w:rPr>
          <w:kern w:val="0"/>
          <w:sz w:val="24"/>
          <w:szCs w:val="24"/>
        </w:rPr>
        <w:t>)</w:t>
      </w:r>
      <w:r w:rsidR="00824249" w:rsidRPr="003303F8">
        <w:rPr>
          <w:sz w:val="24"/>
          <w:szCs w:val="24"/>
        </w:rPr>
        <w:t>.</w:t>
      </w:r>
    </w:p>
    <w:p w:rsidR="003B1367" w:rsidRPr="003303F8" w:rsidRDefault="003B1367" w:rsidP="003B1367">
      <w:pPr>
        <w:widowControl/>
        <w:overflowPunct/>
        <w:autoSpaceDE/>
        <w:autoSpaceDN/>
        <w:snapToGrid w:val="0"/>
        <w:spacing w:line="480" w:lineRule="auto"/>
        <w:ind w:firstLine="720"/>
        <w:rPr>
          <w:kern w:val="0"/>
          <w:sz w:val="24"/>
          <w:szCs w:val="24"/>
        </w:rPr>
      </w:pPr>
      <w:r w:rsidRPr="003303F8">
        <w:rPr>
          <w:kern w:val="0"/>
          <w:sz w:val="24"/>
          <w:szCs w:val="24"/>
        </w:rPr>
        <w:t>T</w:t>
      </w:r>
      <w:r w:rsidRPr="003303F8">
        <w:rPr>
          <w:rFonts w:hint="eastAsia"/>
          <w:kern w:val="0"/>
          <w:sz w:val="24"/>
          <w:szCs w:val="24"/>
        </w:rPr>
        <w:t>he effect</w:t>
      </w:r>
      <w:r w:rsidRPr="003303F8">
        <w:rPr>
          <w:kern w:val="0"/>
          <w:sz w:val="24"/>
          <w:szCs w:val="24"/>
        </w:rPr>
        <w:t xml:space="preserve"> of earnings quality on cost of equity </w:t>
      </w:r>
      <w:r w:rsidRPr="003303F8">
        <w:rPr>
          <w:rFonts w:hint="eastAsia"/>
          <w:kern w:val="0"/>
          <w:sz w:val="24"/>
          <w:szCs w:val="24"/>
        </w:rPr>
        <w:t xml:space="preserve">predicted by LLV </w:t>
      </w:r>
      <w:r w:rsidRPr="003303F8">
        <w:rPr>
          <w:kern w:val="0"/>
          <w:sz w:val="24"/>
          <w:szCs w:val="24"/>
        </w:rPr>
        <w:t>should be captured by “</w:t>
      </w:r>
      <w:r w:rsidRPr="003303F8">
        <w:rPr>
          <w:sz w:val="24"/>
          <w:szCs w:val="24"/>
        </w:rPr>
        <w:t xml:space="preserve">an appropriately specified </w:t>
      </w:r>
      <w:r w:rsidRPr="003303F8">
        <w:rPr>
          <w:i/>
          <w:iCs/>
          <w:sz w:val="24"/>
          <w:szCs w:val="24"/>
        </w:rPr>
        <w:t xml:space="preserve">forward-looking beta </w:t>
      </w:r>
      <w:r w:rsidRPr="003303F8">
        <w:rPr>
          <w:iCs/>
          <w:sz w:val="24"/>
          <w:szCs w:val="24"/>
        </w:rPr>
        <w:t>and the</w:t>
      </w:r>
      <w:r w:rsidRPr="003303F8">
        <w:rPr>
          <w:i/>
          <w:iCs/>
          <w:sz w:val="24"/>
          <w:szCs w:val="24"/>
        </w:rPr>
        <w:t xml:space="preserve"> </w:t>
      </w:r>
      <w:r w:rsidRPr="003303F8">
        <w:rPr>
          <w:iCs/>
          <w:sz w:val="24"/>
          <w:szCs w:val="24"/>
        </w:rPr>
        <w:t>expected return on the market as a whole” (p. 388)</w:t>
      </w:r>
      <w:r w:rsidRPr="003303F8">
        <w:rPr>
          <w:sz w:val="24"/>
          <w:szCs w:val="24"/>
        </w:rPr>
        <w:t>.</w:t>
      </w:r>
      <w:r w:rsidRPr="003303F8">
        <w:rPr>
          <w:kern w:val="0"/>
          <w:sz w:val="24"/>
          <w:szCs w:val="24"/>
        </w:rPr>
        <w:t xml:space="preserve"> To test whether the effect of </w:t>
      </w:r>
      <w:r w:rsidR="00635980" w:rsidRPr="003303F8">
        <w:rPr>
          <w:i/>
          <w:kern w:val="0"/>
          <w:sz w:val="24"/>
          <w:szCs w:val="24"/>
        </w:rPr>
        <w:t>H_</w:t>
      </w:r>
      <w:r w:rsidRPr="003303F8">
        <w:rPr>
          <w:i/>
          <w:kern w:val="0"/>
          <w:sz w:val="24"/>
          <w:szCs w:val="24"/>
        </w:rPr>
        <w:t>P_EQ</w:t>
      </w:r>
      <w:r w:rsidRPr="003303F8">
        <w:rPr>
          <w:kern w:val="0"/>
          <w:sz w:val="24"/>
          <w:szCs w:val="24"/>
        </w:rPr>
        <w:t xml:space="preserve"> on </w:t>
      </w:r>
      <w:r w:rsidR="0050773C" w:rsidRPr="003303F8">
        <w:rPr>
          <w:i/>
          <w:kern w:val="0"/>
          <w:sz w:val="24"/>
          <w:szCs w:val="24"/>
        </w:rPr>
        <w:t>I</w:t>
      </w:r>
      <w:r w:rsidRPr="003303F8">
        <w:rPr>
          <w:i/>
          <w:kern w:val="0"/>
          <w:sz w:val="24"/>
          <w:szCs w:val="24"/>
        </w:rPr>
        <w:t>CoE</w:t>
      </w:r>
      <w:r w:rsidRPr="003303F8">
        <w:rPr>
          <w:kern w:val="0"/>
          <w:sz w:val="24"/>
          <w:szCs w:val="24"/>
        </w:rPr>
        <w:t xml:space="preserve"> occurs through </w:t>
      </w:r>
      <w:r w:rsidRPr="003303F8">
        <w:rPr>
          <w:i/>
          <w:kern w:val="0"/>
          <w:sz w:val="24"/>
          <w:szCs w:val="24"/>
        </w:rPr>
        <w:t>Beta</w:t>
      </w:r>
      <w:r w:rsidRPr="003303F8">
        <w:rPr>
          <w:kern w:val="0"/>
          <w:sz w:val="24"/>
          <w:szCs w:val="24"/>
        </w:rPr>
        <w:t xml:space="preserve">, I first estimate equation (4) without controlling for </w:t>
      </w:r>
      <w:r w:rsidRPr="003303F8">
        <w:rPr>
          <w:i/>
          <w:kern w:val="0"/>
          <w:sz w:val="24"/>
          <w:szCs w:val="24"/>
        </w:rPr>
        <w:t>Beta</w:t>
      </w:r>
      <w:r w:rsidRPr="003303F8">
        <w:rPr>
          <w:kern w:val="0"/>
          <w:sz w:val="24"/>
          <w:szCs w:val="24"/>
        </w:rPr>
        <w:t xml:space="preserve">. Then, I re-estimate equation (4) after controlling for </w:t>
      </w:r>
      <w:r w:rsidRPr="003303F8">
        <w:rPr>
          <w:i/>
          <w:kern w:val="0"/>
          <w:sz w:val="24"/>
          <w:szCs w:val="24"/>
        </w:rPr>
        <w:t>Beta</w:t>
      </w:r>
      <w:r w:rsidRPr="003303F8">
        <w:rPr>
          <w:kern w:val="0"/>
          <w:sz w:val="24"/>
          <w:szCs w:val="24"/>
        </w:rPr>
        <w:t xml:space="preserve">. </w:t>
      </w:r>
      <w:r w:rsidRPr="003303F8" w:rsidDel="00C21991">
        <w:rPr>
          <w:i/>
          <w:kern w:val="0"/>
          <w:sz w:val="24"/>
          <w:szCs w:val="24"/>
        </w:rPr>
        <w:t>Beta</w:t>
      </w:r>
      <w:r w:rsidRPr="003303F8" w:rsidDel="00C21991">
        <w:rPr>
          <w:i/>
          <w:iCs/>
          <w:color w:val="000000"/>
          <w:sz w:val="24"/>
          <w:szCs w:val="24"/>
          <w:vertAlign w:val="subscript"/>
        </w:rPr>
        <w:t>j,t</w:t>
      </w:r>
      <w:r w:rsidRPr="003303F8" w:rsidDel="00C21991">
        <w:rPr>
          <w:kern w:val="0"/>
          <w:sz w:val="24"/>
          <w:szCs w:val="24"/>
        </w:rPr>
        <w:t xml:space="preserve"> is estimated based on </w:t>
      </w:r>
      <w:r w:rsidR="00634D49" w:rsidRPr="003303F8">
        <w:rPr>
          <w:kern w:val="0"/>
          <w:sz w:val="24"/>
          <w:szCs w:val="24"/>
        </w:rPr>
        <w:t>daily</w:t>
      </w:r>
      <w:r w:rsidR="00634D49" w:rsidRPr="003303F8" w:rsidDel="00C21991">
        <w:rPr>
          <w:kern w:val="0"/>
          <w:sz w:val="24"/>
          <w:szCs w:val="24"/>
        </w:rPr>
        <w:t xml:space="preserve"> </w:t>
      </w:r>
      <w:r w:rsidRPr="003303F8" w:rsidDel="00C21991">
        <w:rPr>
          <w:kern w:val="0"/>
          <w:sz w:val="24"/>
          <w:szCs w:val="24"/>
        </w:rPr>
        <w:t>returns data over rolling two-year windows prior to the end of year t</w:t>
      </w:r>
      <w:r w:rsidRPr="003303F8" w:rsidDel="00C21991">
        <w:rPr>
          <w:sz w:val="24"/>
          <w:szCs w:val="24"/>
        </w:rPr>
        <w:t>; t</w:t>
      </w:r>
      <w:r w:rsidRPr="003303F8" w:rsidDel="00C21991">
        <w:rPr>
          <w:kern w:val="0"/>
          <w:sz w:val="24"/>
          <w:szCs w:val="24"/>
        </w:rPr>
        <w:t xml:space="preserve">he data to estimate </w:t>
      </w:r>
      <w:r w:rsidRPr="003303F8" w:rsidDel="00C21991">
        <w:rPr>
          <w:i/>
          <w:kern w:val="0"/>
          <w:sz w:val="24"/>
          <w:szCs w:val="24"/>
        </w:rPr>
        <w:t>Beta</w:t>
      </w:r>
      <w:r w:rsidRPr="003303F8" w:rsidDel="00C21991">
        <w:rPr>
          <w:kern w:val="0"/>
          <w:sz w:val="24"/>
          <w:szCs w:val="24"/>
        </w:rPr>
        <w:t xml:space="preserve"> are from </w:t>
      </w:r>
      <w:r w:rsidRPr="003303F8" w:rsidDel="00C21991">
        <w:rPr>
          <w:i/>
          <w:kern w:val="0"/>
          <w:sz w:val="24"/>
          <w:szCs w:val="24"/>
        </w:rPr>
        <w:t>CRSP</w:t>
      </w:r>
      <w:r w:rsidRPr="003303F8" w:rsidDel="00C21991">
        <w:rPr>
          <w:kern w:val="0"/>
          <w:sz w:val="24"/>
          <w:szCs w:val="24"/>
        </w:rPr>
        <w:t xml:space="preserve">.  </w:t>
      </w:r>
      <w:r w:rsidRPr="003303F8">
        <w:rPr>
          <w:kern w:val="0"/>
          <w:sz w:val="24"/>
          <w:szCs w:val="24"/>
        </w:rPr>
        <w:t xml:space="preserve">Measuring </w:t>
      </w:r>
      <w:r w:rsidRPr="003303F8">
        <w:rPr>
          <w:i/>
          <w:kern w:val="0"/>
          <w:sz w:val="24"/>
          <w:szCs w:val="24"/>
        </w:rPr>
        <w:t>Beta</w:t>
      </w:r>
      <w:r w:rsidRPr="003303F8">
        <w:rPr>
          <w:kern w:val="0"/>
          <w:sz w:val="24"/>
          <w:szCs w:val="24"/>
        </w:rPr>
        <w:t xml:space="preserve"> with ex post returns (instead of forward-looking information) indicates that measurement error may not allow </w:t>
      </w:r>
      <w:r w:rsidRPr="003303F8">
        <w:rPr>
          <w:i/>
          <w:kern w:val="0"/>
          <w:sz w:val="24"/>
          <w:szCs w:val="24"/>
        </w:rPr>
        <w:t>Beta</w:t>
      </w:r>
      <w:r w:rsidRPr="003303F8">
        <w:rPr>
          <w:kern w:val="0"/>
          <w:sz w:val="24"/>
          <w:szCs w:val="24"/>
        </w:rPr>
        <w:t xml:space="preserve"> to fully control for the impact of </w:t>
      </w:r>
      <w:r w:rsidR="00635980" w:rsidRPr="003303F8">
        <w:rPr>
          <w:i/>
          <w:kern w:val="0"/>
          <w:sz w:val="24"/>
          <w:szCs w:val="24"/>
        </w:rPr>
        <w:t>H_</w:t>
      </w:r>
      <w:r w:rsidRPr="003303F8">
        <w:rPr>
          <w:i/>
          <w:kern w:val="0"/>
          <w:sz w:val="24"/>
          <w:szCs w:val="24"/>
        </w:rPr>
        <w:t>P_EQ</w:t>
      </w:r>
      <w:r w:rsidR="00630FF1" w:rsidRPr="003303F8">
        <w:rPr>
          <w:kern w:val="0"/>
          <w:sz w:val="24"/>
          <w:szCs w:val="24"/>
        </w:rPr>
        <w:t xml:space="preserve"> on </w:t>
      </w:r>
      <w:r w:rsidR="00630FF1" w:rsidRPr="003303F8">
        <w:rPr>
          <w:i/>
          <w:kern w:val="0"/>
          <w:sz w:val="24"/>
          <w:szCs w:val="24"/>
        </w:rPr>
        <w:t>ICoE</w:t>
      </w:r>
      <w:r w:rsidR="004A72F9" w:rsidRPr="003303F8">
        <w:rPr>
          <w:kern w:val="0"/>
          <w:sz w:val="24"/>
          <w:szCs w:val="24"/>
        </w:rPr>
        <w:t>.</w:t>
      </w:r>
      <w:r w:rsidRPr="003303F8">
        <w:rPr>
          <w:kern w:val="0"/>
          <w:sz w:val="24"/>
          <w:szCs w:val="24"/>
        </w:rPr>
        <w:t xml:space="preserve"> Therefore, I expect the coefficients</w:t>
      </w:r>
      <w:r w:rsidRPr="003303F8">
        <w:rPr>
          <w:position w:val="-10"/>
          <w:sz w:val="24"/>
          <w:szCs w:val="24"/>
        </w:rPr>
        <w:object w:dxaOrig="260" w:dyaOrig="340">
          <v:shape id="_x0000_i1040" type="#_x0000_t75" style="width:12pt;height:18pt" o:ole="">
            <v:imagedata r:id="rId40" o:title=""/>
          </v:shape>
          <o:OLEObject Type="Embed" ProgID="Equation.3" ShapeID="_x0000_i1040" DrawAspect="Content" ObjectID="_1458832557" r:id="rId41"/>
        </w:object>
      </w:r>
      <w:r w:rsidRPr="003303F8">
        <w:rPr>
          <w:kern w:val="0"/>
          <w:sz w:val="24"/>
          <w:szCs w:val="24"/>
        </w:rPr>
        <w:t xml:space="preserve"> and </w:t>
      </w:r>
      <w:r w:rsidRPr="003303F8">
        <w:rPr>
          <w:position w:val="-10"/>
          <w:sz w:val="24"/>
          <w:szCs w:val="24"/>
        </w:rPr>
        <w:object w:dxaOrig="279" w:dyaOrig="340">
          <v:shape id="_x0000_i1041" type="#_x0000_t75" style="width:12pt;height:18pt" o:ole="">
            <v:imagedata r:id="rId42" o:title=""/>
          </v:shape>
          <o:OLEObject Type="Embed" ProgID="Equation.3" ShapeID="_x0000_i1041" DrawAspect="Content" ObjectID="_1458832558" r:id="rId43"/>
        </w:object>
      </w:r>
      <w:r w:rsidRPr="003303F8">
        <w:rPr>
          <w:kern w:val="0"/>
          <w:sz w:val="24"/>
          <w:szCs w:val="24"/>
        </w:rPr>
        <w:t xml:space="preserve">to be less negative after controlling for </w:t>
      </w:r>
      <w:r w:rsidRPr="003303F8">
        <w:rPr>
          <w:i/>
          <w:kern w:val="0"/>
          <w:sz w:val="24"/>
          <w:szCs w:val="24"/>
        </w:rPr>
        <w:t>Beta</w:t>
      </w:r>
      <w:r w:rsidRPr="003303F8">
        <w:rPr>
          <w:kern w:val="0"/>
          <w:sz w:val="24"/>
          <w:szCs w:val="24"/>
        </w:rPr>
        <w:t xml:space="preserve"> (but not necessarily equal to zero as LLV would predict).</w:t>
      </w:r>
    </w:p>
    <w:p w:rsidR="00DF0E0F" w:rsidRPr="003303F8" w:rsidRDefault="00DF0E0F" w:rsidP="003B1367">
      <w:pPr>
        <w:widowControl/>
        <w:overflowPunct/>
        <w:autoSpaceDE/>
        <w:autoSpaceDN/>
        <w:snapToGrid w:val="0"/>
        <w:spacing w:line="480" w:lineRule="auto"/>
        <w:ind w:firstLine="720"/>
        <w:rPr>
          <w:kern w:val="0"/>
          <w:sz w:val="24"/>
          <w:szCs w:val="24"/>
        </w:rPr>
      </w:pPr>
    </w:p>
    <w:p w:rsidR="003B1367" w:rsidRPr="003303F8" w:rsidRDefault="003B1367" w:rsidP="00931FD3">
      <w:pPr>
        <w:pStyle w:val="Heading2"/>
        <w:spacing w:line="480" w:lineRule="auto"/>
        <w:rPr>
          <w:szCs w:val="24"/>
        </w:rPr>
      </w:pPr>
      <w:bookmarkStart w:id="96" w:name="_Toc378087511"/>
      <w:bookmarkStart w:id="97" w:name="_Toc378087551"/>
      <w:bookmarkStart w:id="98" w:name="_Toc378088360"/>
      <w:bookmarkStart w:id="99" w:name="_Toc378088749"/>
      <w:bookmarkStart w:id="100" w:name="_Toc378088885"/>
      <w:r w:rsidRPr="003303F8">
        <w:rPr>
          <w:szCs w:val="24"/>
        </w:rPr>
        <w:t>Industry-Adjusted Earnings-Price Ratio Test</w:t>
      </w:r>
      <w:bookmarkEnd w:id="96"/>
      <w:bookmarkEnd w:id="97"/>
      <w:bookmarkEnd w:id="98"/>
      <w:bookmarkEnd w:id="99"/>
      <w:bookmarkEnd w:id="100"/>
    </w:p>
    <w:p w:rsidR="003B1367" w:rsidRPr="003303F8" w:rsidRDefault="003B1367" w:rsidP="003B1367">
      <w:pPr>
        <w:widowControl/>
        <w:overflowPunct/>
        <w:autoSpaceDE/>
        <w:autoSpaceDN/>
        <w:snapToGrid w:val="0"/>
        <w:spacing w:line="480" w:lineRule="auto"/>
        <w:ind w:firstLine="720"/>
        <w:rPr>
          <w:kern w:val="0"/>
          <w:sz w:val="24"/>
          <w:szCs w:val="24"/>
        </w:rPr>
      </w:pPr>
      <w:r w:rsidRPr="003303F8">
        <w:rPr>
          <w:kern w:val="0"/>
          <w:sz w:val="24"/>
          <w:szCs w:val="24"/>
        </w:rPr>
        <w:t xml:space="preserve">I </w:t>
      </w:r>
      <w:r w:rsidR="00630FF1" w:rsidRPr="003303F8">
        <w:rPr>
          <w:kern w:val="0"/>
          <w:sz w:val="24"/>
          <w:szCs w:val="24"/>
        </w:rPr>
        <w:t>employ</w:t>
      </w:r>
      <w:r w:rsidRPr="003303F8">
        <w:rPr>
          <w:kern w:val="0"/>
          <w:sz w:val="24"/>
          <w:szCs w:val="24"/>
        </w:rPr>
        <w:t xml:space="preserve"> the following equation (5) to </w:t>
      </w:r>
      <w:r w:rsidR="00824249" w:rsidRPr="003303F8">
        <w:rPr>
          <w:kern w:val="0"/>
          <w:sz w:val="24"/>
          <w:szCs w:val="24"/>
        </w:rPr>
        <w:t xml:space="preserve">further </w:t>
      </w:r>
      <w:r w:rsidRPr="003303F8">
        <w:rPr>
          <w:kern w:val="0"/>
          <w:sz w:val="24"/>
          <w:szCs w:val="24"/>
        </w:rPr>
        <w:t xml:space="preserve">test my </w:t>
      </w:r>
      <w:r w:rsidR="006E7CAB" w:rsidRPr="003303F8">
        <w:rPr>
          <w:kern w:val="0"/>
          <w:sz w:val="24"/>
          <w:szCs w:val="24"/>
        </w:rPr>
        <w:t>hypothesis</w:t>
      </w:r>
      <w:r w:rsidRPr="003303F8">
        <w:rPr>
          <w:kern w:val="0"/>
          <w:sz w:val="24"/>
          <w:szCs w:val="24"/>
        </w:rPr>
        <w:t>. The industry-adjusted earnings-price ratio (</w:t>
      </w:r>
      <w:r w:rsidRPr="003303F8">
        <w:rPr>
          <w:i/>
          <w:kern w:val="0"/>
          <w:sz w:val="24"/>
          <w:szCs w:val="24"/>
        </w:rPr>
        <w:t>IndEP</w:t>
      </w:r>
      <w:r w:rsidRPr="003303F8">
        <w:rPr>
          <w:kern w:val="0"/>
          <w:sz w:val="24"/>
          <w:szCs w:val="24"/>
        </w:rPr>
        <w:t xml:space="preserve">) is used as an indirect measure of the cost of equity. </w:t>
      </w:r>
    </w:p>
    <w:tbl>
      <w:tblPr>
        <w:tblStyle w:val="TableGrid"/>
        <w:tblW w:w="8399" w:type="dxa"/>
        <w:jc w:val="center"/>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67"/>
        <w:gridCol w:w="432"/>
      </w:tblGrid>
      <w:tr w:rsidR="003B1367" w:rsidRPr="003303F8" w:rsidTr="00931FD3">
        <w:trPr>
          <w:trHeight w:val="900"/>
          <w:jc w:val="center"/>
        </w:trPr>
        <w:tc>
          <w:tcPr>
            <w:tcW w:w="7967" w:type="dxa"/>
          </w:tcPr>
          <w:p w:rsidR="003B1367" w:rsidRPr="003303F8" w:rsidRDefault="00C97D18" w:rsidP="005B3D4F">
            <w:pPr>
              <w:widowControl/>
              <w:overflowPunct/>
              <w:autoSpaceDE/>
              <w:autoSpaceDN/>
              <w:snapToGrid w:val="0"/>
              <w:spacing w:line="480" w:lineRule="auto"/>
              <w:jc w:val="center"/>
              <w:rPr>
                <w:bCs/>
                <w:kern w:val="0"/>
                <w:sz w:val="24"/>
                <w:szCs w:val="24"/>
              </w:rPr>
            </w:pPr>
            <w:r w:rsidRPr="003303F8">
              <w:rPr>
                <w:kern w:val="0"/>
                <w:position w:val="-32"/>
                <w:sz w:val="24"/>
                <w:szCs w:val="24"/>
              </w:rPr>
              <w:object w:dxaOrig="5720" w:dyaOrig="560">
                <v:shape id="_x0000_i1042" type="#_x0000_t75" style="width:306.75pt;height:30pt" o:ole="">
                  <v:imagedata r:id="rId44" o:title=""/>
                </v:shape>
                <o:OLEObject Type="Embed" ProgID="Equation.3" ShapeID="_x0000_i1042" DrawAspect="Content" ObjectID="_1458832559" r:id="rId45"/>
              </w:object>
            </w:r>
          </w:p>
        </w:tc>
        <w:tc>
          <w:tcPr>
            <w:tcW w:w="432" w:type="dxa"/>
          </w:tcPr>
          <w:p w:rsidR="003B1367" w:rsidRPr="003303F8" w:rsidRDefault="003B1367" w:rsidP="005B3D4F">
            <w:pPr>
              <w:widowControl/>
              <w:overflowPunct/>
              <w:autoSpaceDE/>
              <w:autoSpaceDN/>
              <w:snapToGrid w:val="0"/>
              <w:spacing w:line="480" w:lineRule="auto"/>
              <w:ind w:hanging="108"/>
              <w:rPr>
                <w:bCs/>
                <w:kern w:val="0"/>
                <w:sz w:val="24"/>
                <w:szCs w:val="24"/>
              </w:rPr>
            </w:pPr>
            <w:r w:rsidRPr="003303F8">
              <w:rPr>
                <w:bCs/>
                <w:kern w:val="0"/>
                <w:sz w:val="24"/>
                <w:szCs w:val="24"/>
              </w:rPr>
              <w:t>(5)</w:t>
            </w:r>
          </w:p>
        </w:tc>
      </w:tr>
    </w:tbl>
    <w:p w:rsidR="003B1367" w:rsidRPr="003303F8" w:rsidRDefault="003B1367" w:rsidP="000770D7">
      <w:pPr>
        <w:widowControl/>
        <w:overflowPunct/>
        <w:autoSpaceDE/>
        <w:autoSpaceDN/>
        <w:snapToGrid w:val="0"/>
        <w:spacing w:line="480" w:lineRule="auto"/>
        <w:ind w:firstLine="720"/>
        <w:rPr>
          <w:kern w:val="0"/>
          <w:sz w:val="24"/>
          <w:szCs w:val="24"/>
        </w:rPr>
      </w:pPr>
      <w:r w:rsidRPr="003303F8">
        <w:rPr>
          <w:kern w:val="0"/>
          <w:sz w:val="24"/>
          <w:szCs w:val="24"/>
        </w:rPr>
        <w:t>Similar to the implied cost of equity test, I expect the coefficient (</w:t>
      </w:r>
      <w:r w:rsidRPr="003303F8">
        <w:rPr>
          <w:position w:val="-10"/>
          <w:sz w:val="24"/>
          <w:szCs w:val="24"/>
        </w:rPr>
        <w:object w:dxaOrig="279" w:dyaOrig="320">
          <v:shape id="_x0000_i1043" type="#_x0000_t75" style="width:12pt;height:18pt" o:ole="">
            <v:imagedata r:id="rId46" o:title=""/>
          </v:shape>
          <o:OLEObject Type="Embed" ProgID="Equation.3" ShapeID="_x0000_i1043" DrawAspect="Content" ObjectID="_1458832560" r:id="rId47"/>
        </w:object>
      </w:r>
      <w:r w:rsidRPr="003303F8">
        <w:rPr>
          <w:sz w:val="24"/>
          <w:szCs w:val="24"/>
        </w:rPr>
        <w:t>)</w:t>
      </w:r>
      <w:r w:rsidRPr="003303F8">
        <w:rPr>
          <w:kern w:val="0"/>
          <w:sz w:val="24"/>
          <w:szCs w:val="24"/>
        </w:rPr>
        <w:t xml:space="preserve"> on </w:t>
      </w:r>
      <w:r w:rsidR="00635980" w:rsidRPr="003303F8">
        <w:rPr>
          <w:i/>
          <w:kern w:val="0"/>
          <w:sz w:val="24"/>
          <w:szCs w:val="24"/>
        </w:rPr>
        <w:t>H_</w:t>
      </w:r>
      <w:r w:rsidRPr="003303F8">
        <w:rPr>
          <w:i/>
          <w:kern w:val="0"/>
          <w:sz w:val="24"/>
          <w:szCs w:val="24"/>
        </w:rPr>
        <w:t>EQ</w:t>
      </w:r>
      <w:r w:rsidRPr="003303F8">
        <w:rPr>
          <w:kern w:val="0"/>
          <w:sz w:val="24"/>
          <w:szCs w:val="24"/>
        </w:rPr>
        <w:t xml:space="preserve"> and the coefficient (</w:t>
      </w:r>
      <w:r w:rsidRPr="003303F8">
        <w:rPr>
          <w:position w:val="-10"/>
          <w:sz w:val="24"/>
          <w:szCs w:val="24"/>
        </w:rPr>
        <w:object w:dxaOrig="300" w:dyaOrig="340">
          <v:shape id="_x0000_i1044" type="#_x0000_t75" style="width:15pt;height:18pt" o:ole="">
            <v:imagedata r:id="rId48" o:title=""/>
          </v:shape>
          <o:OLEObject Type="Embed" ProgID="Equation.3" ShapeID="_x0000_i1044" DrawAspect="Content" ObjectID="_1458832561" r:id="rId49"/>
        </w:object>
      </w:r>
      <w:r w:rsidRPr="003303F8">
        <w:rPr>
          <w:sz w:val="24"/>
          <w:szCs w:val="24"/>
        </w:rPr>
        <w:t>)</w:t>
      </w:r>
      <w:r w:rsidRPr="003303F8">
        <w:rPr>
          <w:kern w:val="0"/>
          <w:sz w:val="24"/>
          <w:szCs w:val="24"/>
        </w:rPr>
        <w:t xml:space="preserve"> on </w:t>
      </w:r>
      <w:r w:rsidR="00635980" w:rsidRPr="003303F8">
        <w:rPr>
          <w:i/>
          <w:kern w:val="0"/>
          <w:sz w:val="24"/>
          <w:szCs w:val="24"/>
        </w:rPr>
        <w:t>H_</w:t>
      </w:r>
      <w:r w:rsidRPr="003303F8">
        <w:rPr>
          <w:i/>
          <w:kern w:val="0"/>
          <w:sz w:val="24"/>
          <w:szCs w:val="24"/>
        </w:rPr>
        <w:t>P_EQ</w:t>
      </w:r>
      <w:r w:rsidRPr="003303F8">
        <w:rPr>
          <w:kern w:val="0"/>
          <w:sz w:val="24"/>
          <w:szCs w:val="24"/>
        </w:rPr>
        <w:t xml:space="preserve"> to be negative. Also, I estimate question (5) both with and without controlling for </w:t>
      </w:r>
      <w:r w:rsidRPr="003303F8">
        <w:rPr>
          <w:i/>
          <w:kern w:val="0"/>
          <w:sz w:val="24"/>
          <w:szCs w:val="24"/>
        </w:rPr>
        <w:t>Beta</w:t>
      </w:r>
      <w:r w:rsidRPr="003303F8">
        <w:rPr>
          <w:kern w:val="0"/>
          <w:sz w:val="24"/>
          <w:szCs w:val="24"/>
        </w:rPr>
        <w:t xml:space="preserve">. In addition to all the controls variables from equation (4), equation (5) further includes </w:t>
      </w:r>
      <w:r w:rsidRPr="003303F8">
        <w:rPr>
          <w:i/>
          <w:kern w:val="0"/>
          <w:sz w:val="24"/>
          <w:szCs w:val="24"/>
        </w:rPr>
        <w:t>Grow</w:t>
      </w:r>
      <w:r w:rsidR="00385254" w:rsidRPr="003303F8">
        <w:rPr>
          <w:i/>
          <w:kern w:val="0"/>
          <w:sz w:val="24"/>
          <w:szCs w:val="24"/>
        </w:rPr>
        <w:t>th</w:t>
      </w:r>
      <w:r w:rsidRPr="003303F8">
        <w:rPr>
          <w:kern w:val="0"/>
          <w:sz w:val="24"/>
          <w:szCs w:val="24"/>
        </w:rPr>
        <w:t>, the growth rate of revenue. This is because higher-growth firms tend to have smaller earnings-price ratios (Francis et al. 2005).</w:t>
      </w:r>
    </w:p>
    <w:p w:rsidR="00C85932" w:rsidRPr="003303F8" w:rsidRDefault="00C85932">
      <w:pPr>
        <w:widowControl/>
        <w:overflowPunct/>
        <w:autoSpaceDE/>
        <w:autoSpaceDN/>
        <w:adjustRightInd/>
        <w:rPr>
          <w:rFonts w:ascii="Times" w:eastAsia="Times" w:hAnsi="Times"/>
          <w:b/>
          <w:kern w:val="0"/>
          <w:sz w:val="24"/>
          <w:szCs w:val="24"/>
          <w:lang w:eastAsia="en-US"/>
        </w:rPr>
      </w:pPr>
      <w:r w:rsidRPr="003303F8">
        <w:rPr>
          <w:sz w:val="24"/>
          <w:szCs w:val="24"/>
        </w:rPr>
        <w:br w:type="page"/>
      </w:r>
    </w:p>
    <w:p w:rsidR="00C174EA" w:rsidRPr="003303F8" w:rsidRDefault="00B45E58" w:rsidP="00931FD3">
      <w:pPr>
        <w:pStyle w:val="Heading1"/>
        <w:spacing w:line="480" w:lineRule="auto"/>
        <w:rPr>
          <w:szCs w:val="24"/>
        </w:rPr>
      </w:pPr>
      <w:bookmarkStart w:id="101" w:name="_Toc378087512"/>
      <w:bookmarkStart w:id="102" w:name="_Toc378087552"/>
      <w:bookmarkStart w:id="103" w:name="_Toc378088361"/>
      <w:bookmarkStart w:id="104" w:name="_Toc378088750"/>
      <w:bookmarkStart w:id="105" w:name="_Toc378088886"/>
      <w:r w:rsidRPr="003303F8">
        <w:rPr>
          <w:szCs w:val="24"/>
        </w:rPr>
        <w:lastRenderedPageBreak/>
        <w:t>CHAPTER IV</w:t>
      </w:r>
      <w:r w:rsidR="00C174EA" w:rsidRPr="003303F8">
        <w:rPr>
          <w:szCs w:val="24"/>
        </w:rPr>
        <w:t xml:space="preserve">. </w:t>
      </w:r>
      <w:bookmarkEnd w:id="101"/>
      <w:bookmarkEnd w:id="102"/>
      <w:bookmarkEnd w:id="103"/>
      <w:bookmarkEnd w:id="104"/>
      <w:bookmarkEnd w:id="105"/>
      <w:r w:rsidR="00D86B5F">
        <w:rPr>
          <w:szCs w:val="24"/>
        </w:rPr>
        <w:t>EMPIRICAL ANALYSES</w:t>
      </w:r>
    </w:p>
    <w:p w:rsidR="00C174EA" w:rsidRPr="003303F8" w:rsidRDefault="00C174EA" w:rsidP="00931FD3">
      <w:pPr>
        <w:pStyle w:val="Heading2"/>
        <w:spacing w:line="480" w:lineRule="auto"/>
        <w:rPr>
          <w:szCs w:val="24"/>
        </w:rPr>
      </w:pPr>
      <w:bookmarkStart w:id="106" w:name="_Toc378087513"/>
      <w:bookmarkStart w:id="107" w:name="_Toc378087553"/>
      <w:bookmarkStart w:id="108" w:name="_Toc378088362"/>
      <w:bookmarkStart w:id="109" w:name="_Toc378088751"/>
      <w:bookmarkStart w:id="110" w:name="_Toc378088887"/>
      <w:r w:rsidRPr="003303F8">
        <w:rPr>
          <w:szCs w:val="24"/>
        </w:rPr>
        <w:t>Sample Distribution and Descriptive</w:t>
      </w:r>
      <w:r w:rsidR="00607214" w:rsidRPr="003303F8">
        <w:rPr>
          <w:szCs w:val="24"/>
        </w:rPr>
        <w:t xml:space="preserve"> Statistic</w:t>
      </w:r>
      <w:r w:rsidRPr="003303F8">
        <w:rPr>
          <w:szCs w:val="24"/>
        </w:rPr>
        <w:t>s</w:t>
      </w:r>
      <w:bookmarkEnd w:id="106"/>
      <w:bookmarkEnd w:id="107"/>
      <w:bookmarkEnd w:id="108"/>
      <w:bookmarkEnd w:id="109"/>
      <w:bookmarkEnd w:id="110"/>
    </w:p>
    <w:p w:rsidR="001F4A44" w:rsidRPr="003303F8" w:rsidRDefault="00C174EA" w:rsidP="00931FD3">
      <w:pPr>
        <w:spacing w:line="480" w:lineRule="auto"/>
        <w:ind w:firstLine="720"/>
        <w:rPr>
          <w:sz w:val="24"/>
          <w:szCs w:val="24"/>
        </w:rPr>
      </w:pPr>
      <w:r w:rsidRPr="003303F8">
        <w:rPr>
          <w:kern w:val="0"/>
          <w:sz w:val="24"/>
          <w:szCs w:val="24"/>
        </w:rPr>
        <w:t xml:space="preserve">My sample includes U.S. firms in </w:t>
      </w:r>
      <w:r w:rsidRPr="003303F8">
        <w:rPr>
          <w:i/>
          <w:kern w:val="0"/>
          <w:sz w:val="24"/>
          <w:szCs w:val="24"/>
        </w:rPr>
        <w:t>Compustat</w:t>
      </w:r>
      <w:r w:rsidR="001B7822" w:rsidRPr="003303F8">
        <w:rPr>
          <w:kern w:val="0"/>
          <w:sz w:val="24"/>
          <w:szCs w:val="24"/>
        </w:rPr>
        <w:t xml:space="preserve">, </w:t>
      </w:r>
      <w:r w:rsidR="001B7822" w:rsidRPr="003303F8">
        <w:rPr>
          <w:i/>
          <w:kern w:val="0"/>
          <w:sz w:val="24"/>
          <w:szCs w:val="24"/>
        </w:rPr>
        <w:t xml:space="preserve">I/BE/S </w:t>
      </w:r>
      <w:r w:rsidRPr="003303F8">
        <w:rPr>
          <w:kern w:val="0"/>
          <w:sz w:val="24"/>
          <w:szCs w:val="24"/>
        </w:rPr>
        <w:t xml:space="preserve">and </w:t>
      </w:r>
      <w:r w:rsidRPr="003303F8">
        <w:rPr>
          <w:i/>
          <w:kern w:val="0"/>
          <w:sz w:val="24"/>
          <w:szCs w:val="24"/>
        </w:rPr>
        <w:t>CRSP</w:t>
      </w:r>
      <w:r w:rsidRPr="003303F8">
        <w:rPr>
          <w:kern w:val="0"/>
          <w:sz w:val="24"/>
          <w:szCs w:val="24"/>
        </w:rPr>
        <w:t xml:space="preserve"> from </w:t>
      </w:r>
      <w:r w:rsidR="006535C9" w:rsidRPr="003303F8">
        <w:rPr>
          <w:kern w:val="0"/>
          <w:sz w:val="24"/>
          <w:szCs w:val="24"/>
        </w:rPr>
        <w:t xml:space="preserve">1994 </w:t>
      </w:r>
      <w:r w:rsidR="001B7822" w:rsidRPr="003303F8">
        <w:rPr>
          <w:kern w:val="0"/>
          <w:sz w:val="24"/>
          <w:szCs w:val="24"/>
        </w:rPr>
        <w:t>to 2010.</w:t>
      </w:r>
      <w:r w:rsidR="0061426B" w:rsidRPr="003303F8">
        <w:rPr>
          <w:rStyle w:val="FootnoteReference"/>
          <w:kern w:val="0"/>
          <w:sz w:val="24"/>
          <w:szCs w:val="24"/>
        </w:rPr>
        <w:footnoteReference w:id="28"/>
      </w:r>
      <w:r w:rsidR="001B7822" w:rsidRPr="003303F8">
        <w:rPr>
          <w:kern w:val="0"/>
          <w:sz w:val="24"/>
          <w:szCs w:val="24"/>
        </w:rPr>
        <w:t xml:space="preserve"> </w:t>
      </w:r>
      <w:r w:rsidRPr="003303F8">
        <w:rPr>
          <w:kern w:val="0"/>
          <w:sz w:val="24"/>
          <w:szCs w:val="24"/>
        </w:rPr>
        <w:t xml:space="preserve">I delete observations with missing data to estimate measurements of </w:t>
      </w:r>
      <w:r w:rsidRPr="003303F8">
        <w:rPr>
          <w:i/>
          <w:kern w:val="0"/>
          <w:sz w:val="24"/>
          <w:szCs w:val="24"/>
        </w:rPr>
        <w:t>EQ, P_EQ,</w:t>
      </w:r>
      <w:r w:rsidRPr="003303F8">
        <w:rPr>
          <w:kern w:val="0"/>
          <w:sz w:val="24"/>
          <w:szCs w:val="24"/>
        </w:rPr>
        <w:t xml:space="preserve"> </w:t>
      </w:r>
      <w:r w:rsidRPr="003303F8">
        <w:rPr>
          <w:i/>
          <w:kern w:val="0"/>
          <w:sz w:val="24"/>
          <w:szCs w:val="24"/>
        </w:rPr>
        <w:t>LnMV</w:t>
      </w:r>
      <w:r w:rsidRPr="003303F8">
        <w:rPr>
          <w:kern w:val="0"/>
          <w:sz w:val="24"/>
          <w:szCs w:val="24"/>
        </w:rPr>
        <w:t xml:space="preserve">, </w:t>
      </w:r>
      <w:r w:rsidRPr="003303F8">
        <w:rPr>
          <w:i/>
          <w:kern w:val="0"/>
          <w:sz w:val="24"/>
          <w:szCs w:val="24"/>
        </w:rPr>
        <w:t>BM</w:t>
      </w:r>
      <w:r w:rsidRPr="003303F8">
        <w:rPr>
          <w:kern w:val="0"/>
          <w:sz w:val="24"/>
          <w:szCs w:val="24"/>
        </w:rPr>
        <w:t xml:space="preserve">, </w:t>
      </w:r>
      <w:r w:rsidRPr="003303F8">
        <w:rPr>
          <w:i/>
          <w:kern w:val="0"/>
          <w:sz w:val="24"/>
          <w:szCs w:val="24"/>
        </w:rPr>
        <w:t xml:space="preserve">LEV, Beta </w:t>
      </w:r>
      <w:r w:rsidRPr="003303F8">
        <w:rPr>
          <w:kern w:val="0"/>
          <w:sz w:val="24"/>
          <w:szCs w:val="24"/>
        </w:rPr>
        <w:t xml:space="preserve">and other variables. Further, I </w:t>
      </w:r>
      <w:r w:rsidR="00442C8F" w:rsidRPr="003303F8">
        <w:rPr>
          <w:kern w:val="0"/>
          <w:sz w:val="24"/>
          <w:szCs w:val="24"/>
        </w:rPr>
        <w:t>winsorize</w:t>
      </w:r>
      <w:r w:rsidRPr="003303F8">
        <w:rPr>
          <w:kern w:val="0"/>
          <w:sz w:val="24"/>
          <w:szCs w:val="24"/>
        </w:rPr>
        <w:t xml:space="preserve"> the sample at the 1% and 99% levels for all continuous variables, ex</w:t>
      </w:r>
      <w:r w:rsidR="0073516B" w:rsidRPr="003303F8">
        <w:rPr>
          <w:kern w:val="0"/>
          <w:sz w:val="24"/>
          <w:szCs w:val="24"/>
        </w:rPr>
        <w:t>c</w:t>
      </w:r>
      <w:r w:rsidRPr="003303F8">
        <w:rPr>
          <w:kern w:val="0"/>
          <w:sz w:val="24"/>
          <w:szCs w:val="24"/>
        </w:rPr>
        <w:t>e</w:t>
      </w:r>
      <w:r w:rsidR="0073516B" w:rsidRPr="003303F8">
        <w:rPr>
          <w:kern w:val="0"/>
          <w:sz w:val="24"/>
          <w:szCs w:val="24"/>
        </w:rPr>
        <w:t>p</w:t>
      </w:r>
      <w:r w:rsidRPr="003303F8">
        <w:rPr>
          <w:kern w:val="0"/>
          <w:sz w:val="24"/>
          <w:szCs w:val="24"/>
        </w:rPr>
        <w:t xml:space="preserve">t </w:t>
      </w:r>
      <w:r w:rsidRPr="003303F8">
        <w:rPr>
          <w:i/>
          <w:kern w:val="0"/>
          <w:sz w:val="24"/>
          <w:szCs w:val="24"/>
        </w:rPr>
        <w:t>MKTRF</w:t>
      </w:r>
      <w:r w:rsidRPr="003303F8">
        <w:rPr>
          <w:kern w:val="0"/>
          <w:sz w:val="24"/>
          <w:szCs w:val="24"/>
        </w:rPr>
        <w:t xml:space="preserve">, </w:t>
      </w:r>
      <w:r w:rsidRPr="003303F8">
        <w:rPr>
          <w:i/>
          <w:kern w:val="0"/>
          <w:sz w:val="24"/>
          <w:szCs w:val="24"/>
        </w:rPr>
        <w:t>SMB</w:t>
      </w:r>
      <w:r w:rsidRPr="003303F8">
        <w:rPr>
          <w:kern w:val="0"/>
          <w:sz w:val="24"/>
          <w:szCs w:val="24"/>
        </w:rPr>
        <w:t xml:space="preserve">, </w:t>
      </w:r>
      <w:r w:rsidRPr="003303F8">
        <w:rPr>
          <w:i/>
          <w:kern w:val="0"/>
          <w:sz w:val="24"/>
          <w:szCs w:val="24"/>
        </w:rPr>
        <w:t>HML</w:t>
      </w:r>
      <w:r w:rsidRPr="003303F8">
        <w:rPr>
          <w:kern w:val="0"/>
          <w:sz w:val="24"/>
          <w:szCs w:val="24"/>
        </w:rPr>
        <w:t xml:space="preserve">, and </w:t>
      </w:r>
      <w:r w:rsidRPr="003303F8">
        <w:rPr>
          <w:i/>
          <w:kern w:val="0"/>
          <w:sz w:val="24"/>
          <w:szCs w:val="24"/>
        </w:rPr>
        <w:t>UMD</w:t>
      </w:r>
      <w:r w:rsidRPr="003303F8">
        <w:rPr>
          <w:kern w:val="0"/>
          <w:sz w:val="24"/>
          <w:szCs w:val="24"/>
        </w:rPr>
        <w:t xml:space="preserve">. I identify </w:t>
      </w:r>
      <w:r w:rsidR="00824249" w:rsidRPr="003303F8">
        <w:rPr>
          <w:kern w:val="0"/>
          <w:sz w:val="24"/>
          <w:szCs w:val="24"/>
        </w:rPr>
        <w:t xml:space="preserve">593,728 firm-month observations for the test of equation (3), </w:t>
      </w:r>
      <w:r w:rsidR="00F941DE" w:rsidRPr="003303F8">
        <w:rPr>
          <w:kern w:val="0"/>
          <w:sz w:val="24"/>
          <w:szCs w:val="24"/>
        </w:rPr>
        <w:t>23,017</w:t>
      </w:r>
      <w:r w:rsidRPr="003303F8">
        <w:rPr>
          <w:kern w:val="0"/>
          <w:sz w:val="24"/>
          <w:szCs w:val="24"/>
        </w:rPr>
        <w:t xml:space="preserve"> firm-year observations for the test of equation (4</w:t>
      </w:r>
      <w:r w:rsidR="00824249" w:rsidRPr="003303F8">
        <w:rPr>
          <w:kern w:val="0"/>
          <w:sz w:val="24"/>
          <w:szCs w:val="24"/>
        </w:rPr>
        <w:t>), and</w:t>
      </w:r>
      <w:r w:rsidRPr="003303F8">
        <w:rPr>
          <w:kern w:val="0"/>
          <w:sz w:val="24"/>
          <w:szCs w:val="24"/>
        </w:rPr>
        <w:t xml:space="preserve"> </w:t>
      </w:r>
      <w:r w:rsidR="00F941DE" w:rsidRPr="003303F8">
        <w:rPr>
          <w:kern w:val="0"/>
          <w:sz w:val="24"/>
          <w:szCs w:val="24"/>
        </w:rPr>
        <w:t>40,102</w:t>
      </w:r>
      <w:r w:rsidRPr="003303F8">
        <w:rPr>
          <w:kern w:val="0"/>
          <w:sz w:val="24"/>
          <w:szCs w:val="24"/>
        </w:rPr>
        <w:t xml:space="preserve"> firm-year observations for the test of equation (5</w:t>
      </w:r>
      <w:r w:rsidR="00824249" w:rsidRPr="003303F8">
        <w:rPr>
          <w:kern w:val="0"/>
          <w:sz w:val="24"/>
          <w:szCs w:val="24"/>
        </w:rPr>
        <w:t>)</w:t>
      </w:r>
      <w:r w:rsidRPr="003303F8">
        <w:rPr>
          <w:kern w:val="0"/>
          <w:sz w:val="24"/>
          <w:szCs w:val="24"/>
        </w:rPr>
        <w:t xml:space="preserve">. </w:t>
      </w:r>
      <w:r w:rsidR="00C8676B" w:rsidRPr="003303F8">
        <w:rPr>
          <w:kern w:val="0"/>
          <w:sz w:val="24"/>
          <w:szCs w:val="24"/>
        </w:rPr>
        <w:t xml:space="preserve"> Table 1 summarizes the sample selection process.</w:t>
      </w:r>
      <w:r w:rsidR="00AD27A9" w:rsidRPr="003303F8">
        <w:rPr>
          <w:kern w:val="0"/>
          <w:sz w:val="24"/>
          <w:szCs w:val="24"/>
        </w:rPr>
        <w:t xml:space="preserve"> The bottom rows of Table 1 </w:t>
      </w:r>
      <w:r w:rsidR="00DD7A28" w:rsidRPr="003303F8">
        <w:rPr>
          <w:kern w:val="0"/>
          <w:sz w:val="24"/>
          <w:szCs w:val="24"/>
        </w:rPr>
        <w:t>decompose</w:t>
      </w:r>
      <w:r w:rsidR="001F4A44" w:rsidRPr="003303F8">
        <w:rPr>
          <w:kern w:val="0"/>
          <w:sz w:val="24"/>
          <w:szCs w:val="24"/>
        </w:rPr>
        <w:t xml:space="preserve"> the sample distribution across the sample years. The number of observations </w:t>
      </w:r>
      <w:r w:rsidR="00B75293" w:rsidRPr="003303F8">
        <w:rPr>
          <w:kern w:val="0"/>
          <w:sz w:val="24"/>
          <w:szCs w:val="24"/>
        </w:rPr>
        <w:t xml:space="preserve">generally </w:t>
      </w:r>
      <w:r w:rsidR="001F4A44" w:rsidRPr="003303F8">
        <w:rPr>
          <w:kern w:val="0"/>
          <w:sz w:val="24"/>
          <w:szCs w:val="24"/>
        </w:rPr>
        <w:t xml:space="preserve">increases for the implied cost of equity test from 1994 to 2010. For the earnings-price ratio test and the market risk factor test, the number of observations is relatively stable across the sample period. </w:t>
      </w:r>
    </w:p>
    <w:p w:rsidR="00F7491A" w:rsidRPr="003303F8" w:rsidRDefault="00F7491A" w:rsidP="00F7491A">
      <w:pPr>
        <w:widowControl/>
        <w:overflowPunct/>
        <w:autoSpaceDE/>
        <w:autoSpaceDN/>
        <w:snapToGrid w:val="0"/>
        <w:spacing w:line="480" w:lineRule="auto"/>
        <w:ind w:firstLine="720"/>
        <w:rPr>
          <w:kern w:val="0"/>
          <w:sz w:val="24"/>
          <w:szCs w:val="24"/>
        </w:rPr>
      </w:pPr>
      <w:r w:rsidRPr="003303F8">
        <w:rPr>
          <w:kern w:val="0"/>
          <w:sz w:val="24"/>
          <w:szCs w:val="24"/>
        </w:rPr>
        <w:t xml:space="preserve">Panels A, B, and C in Table 2 show the descriptive statistics along with Pearson correlations for the implied cost of equity test, the industry-adjusted earnings-price ratio test, and the market risk factor test.  The mean </w:t>
      </w:r>
      <w:r w:rsidR="00824249" w:rsidRPr="003303F8">
        <w:rPr>
          <w:i/>
          <w:kern w:val="0"/>
          <w:sz w:val="24"/>
          <w:szCs w:val="24"/>
        </w:rPr>
        <w:t>EXRET</w:t>
      </w:r>
      <w:r w:rsidR="00824249" w:rsidRPr="003303F8">
        <w:rPr>
          <w:kern w:val="0"/>
          <w:sz w:val="24"/>
          <w:szCs w:val="24"/>
        </w:rPr>
        <w:t xml:space="preserve">, </w:t>
      </w:r>
      <w:r w:rsidRPr="003303F8">
        <w:rPr>
          <w:i/>
          <w:kern w:val="0"/>
          <w:sz w:val="24"/>
          <w:szCs w:val="24"/>
        </w:rPr>
        <w:t>ICoE</w:t>
      </w:r>
      <w:r w:rsidR="00824249" w:rsidRPr="003303F8">
        <w:rPr>
          <w:kern w:val="0"/>
          <w:sz w:val="24"/>
          <w:szCs w:val="24"/>
        </w:rPr>
        <w:t xml:space="preserve"> and</w:t>
      </w:r>
      <w:r w:rsidRPr="003303F8">
        <w:rPr>
          <w:kern w:val="0"/>
          <w:sz w:val="24"/>
          <w:szCs w:val="24"/>
        </w:rPr>
        <w:t xml:space="preserve"> </w:t>
      </w:r>
      <w:r w:rsidRPr="003303F8">
        <w:rPr>
          <w:i/>
          <w:kern w:val="0"/>
          <w:sz w:val="24"/>
          <w:szCs w:val="24"/>
        </w:rPr>
        <w:t>IndEP</w:t>
      </w:r>
      <w:r w:rsidRPr="003303F8">
        <w:rPr>
          <w:kern w:val="0"/>
          <w:sz w:val="24"/>
          <w:szCs w:val="24"/>
        </w:rPr>
        <w:t xml:space="preserve"> are </w:t>
      </w:r>
      <w:r w:rsidR="00824249" w:rsidRPr="003303F8">
        <w:rPr>
          <w:kern w:val="0"/>
          <w:sz w:val="24"/>
          <w:szCs w:val="24"/>
        </w:rPr>
        <w:t xml:space="preserve">0.009, </w:t>
      </w:r>
      <w:r w:rsidRPr="003303F8">
        <w:rPr>
          <w:kern w:val="0"/>
          <w:sz w:val="24"/>
          <w:szCs w:val="24"/>
        </w:rPr>
        <w:t>0.</w:t>
      </w:r>
      <w:r w:rsidR="00B75293" w:rsidRPr="003303F8">
        <w:rPr>
          <w:kern w:val="0"/>
          <w:sz w:val="24"/>
          <w:szCs w:val="24"/>
        </w:rPr>
        <w:t xml:space="preserve">127 </w:t>
      </w:r>
      <w:r w:rsidR="00824249" w:rsidRPr="003303F8">
        <w:rPr>
          <w:kern w:val="0"/>
          <w:sz w:val="24"/>
          <w:szCs w:val="24"/>
        </w:rPr>
        <w:t>and</w:t>
      </w:r>
      <w:r w:rsidRPr="003303F8">
        <w:rPr>
          <w:kern w:val="0"/>
          <w:sz w:val="24"/>
          <w:szCs w:val="24"/>
        </w:rPr>
        <w:t xml:space="preserve"> 0.006</w:t>
      </w:r>
      <w:r w:rsidR="0061426B" w:rsidRPr="003303F8">
        <w:rPr>
          <w:kern w:val="0"/>
          <w:sz w:val="24"/>
          <w:szCs w:val="24"/>
        </w:rPr>
        <w:t>,</w:t>
      </w:r>
      <w:r w:rsidRPr="003303F8">
        <w:rPr>
          <w:kern w:val="0"/>
          <w:sz w:val="24"/>
          <w:szCs w:val="24"/>
        </w:rPr>
        <w:t xml:space="preserve"> respectively. These statistics are comparable to prior studies.</w:t>
      </w:r>
      <w:r w:rsidRPr="003303F8">
        <w:rPr>
          <w:rStyle w:val="FootnoteReference"/>
          <w:kern w:val="0"/>
          <w:sz w:val="24"/>
          <w:szCs w:val="24"/>
        </w:rPr>
        <w:footnoteReference w:id="29"/>
      </w:r>
      <w:r w:rsidRPr="003303F8">
        <w:rPr>
          <w:kern w:val="0"/>
          <w:sz w:val="24"/>
          <w:szCs w:val="24"/>
        </w:rPr>
        <w:t xml:space="preserve"> The average monthly market risk premium (</w:t>
      </w:r>
      <w:r w:rsidRPr="003303F8">
        <w:rPr>
          <w:i/>
          <w:kern w:val="0"/>
          <w:sz w:val="24"/>
          <w:szCs w:val="24"/>
        </w:rPr>
        <w:t>MKTRF</w:t>
      </w:r>
      <w:r w:rsidRPr="003303F8">
        <w:rPr>
          <w:kern w:val="0"/>
          <w:sz w:val="24"/>
          <w:szCs w:val="24"/>
        </w:rPr>
        <w:t xml:space="preserve">) is 0.005, so the annual market risk premium is </w:t>
      </w:r>
      <w:r w:rsidR="00475B46">
        <w:rPr>
          <w:kern w:val="0"/>
          <w:sz w:val="24"/>
          <w:szCs w:val="24"/>
        </w:rPr>
        <w:t xml:space="preserve">approximately </w:t>
      </w:r>
      <w:r w:rsidRPr="003303F8">
        <w:rPr>
          <w:kern w:val="0"/>
          <w:sz w:val="24"/>
          <w:szCs w:val="24"/>
        </w:rPr>
        <w:t xml:space="preserve">600 basis points </w:t>
      </w:r>
      <w:r w:rsidR="00287056">
        <w:rPr>
          <w:kern w:val="0"/>
          <w:sz w:val="24"/>
          <w:szCs w:val="24"/>
        </w:rPr>
        <w:t>(=0</w:t>
      </w:r>
      <w:r w:rsidRPr="003303F8">
        <w:rPr>
          <w:kern w:val="0"/>
          <w:sz w:val="24"/>
          <w:szCs w:val="24"/>
        </w:rPr>
        <w:t>.005</w:t>
      </w:r>
      <w:r w:rsidRPr="00475B46">
        <w:rPr>
          <w:kern w:val="0"/>
          <w:sz w:val="24"/>
          <w:szCs w:val="24"/>
          <w:vertAlign w:val="superscript"/>
        </w:rPr>
        <w:t>12</w:t>
      </w:r>
      <w:r w:rsidRPr="003303F8">
        <w:rPr>
          <w:kern w:val="0"/>
          <w:sz w:val="24"/>
          <w:szCs w:val="24"/>
        </w:rPr>
        <w:t>). As expected, the sample for the implied cost of equity test has higher average</w:t>
      </w:r>
      <w:r w:rsidRPr="003303F8">
        <w:rPr>
          <w:i/>
          <w:kern w:val="0"/>
          <w:sz w:val="24"/>
          <w:szCs w:val="24"/>
        </w:rPr>
        <w:t xml:space="preserve"> LnMV </w:t>
      </w:r>
      <w:r w:rsidRPr="003303F8">
        <w:rPr>
          <w:kern w:val="0"/>
          <w:sz w:val="24"/>
          <w:szCs w:val="24"/>
        </w:rPr>
        <w:t xml:space="preserve">than the samples for the other two </w:t>
      </w:r>
      <w:r w:rsidRPr="003303F8">
        <w:rPr>
          <w:kern w:val="0"/>
          <w:sz w:val="24"/>
          <w:szCs w:val="24"/>
        </w:rPr>
        <w:lastRenderedPageBreak/>
        <w:t xml:space="preserve">tests, because the estimation of </w:t>
      </w:r>
      <w:r w:rsidRPr="003303F8">
        <w:rPr>
          <w:i/>
          <w:kern w:val="0"/>
          <w:sz w:val="24"/>
          <w:szCs w:val="24"/>
        </w:rPr>
        <w:t>ICoE</w:t>
      </w:r>
      <w:r w:rsidRPr="003303F8">
        <w:rPr>
          <w:kern w:val="0"/>
          <w:sz w:val="24"/>
          <w:szCs w:val="24"/>
        </w:rPr>
        <w:t xml:space="preserve"> requires data on earnings forecasts by analyst who are more likely to follow large firms. The two alternative measures for peer firm earnings quality, </w:t>
      </w:r>
      <w:r w:rsidRPr="003303F8">
        <w:rPr>
          <w:i/>
          <w:kern w:val="0"/>
          <w:sz w:val="24"/>
          <w:szCs w:val="24"/>
        </w:rPr>
        <w:t>P_EQew</w:t>
      </w:r>
      <w:r w:rsidRPr="003303F8">
        <w:rPr>
          <w:kern w:val="0"/>
          <w:sz w:val="24"/>
          <w:szCs w:val="24"/>
        </w:rPr>
        <w:t xml:space="preserve"> and </w:t>
      </w:r>
      <w:r w:rsidRPr="003303F8">
        <w:rPr>
          <w:i/>
          <w:kern w:val="0"/>
          <w:sz w:val="24"/>
          <w:szCs w:val="24"/>
        </w:rPr>
        <w:t>P_EQmsw</w:t>
      </w:r>
      <w:r w:rsidRPr="003303F8">
        <w:rPr>
          <w:kern w:val="0"/>
          <w:sz w:val="24"/>
          <w:szCs w:val="24"/>
        </w:rPr>
        <w:t xml:space="preserve">, are highly correlated for all the three samples. Not surprisingly, </w:t>
      </w:r>
      <w:r w:rsidRPr="003303F8">
        <w:rPr>
          <w:i/>
          <w:kern w:val="0"/>
          <w:sz w:val="24"/>
          <w:szCs w:val="24"/>
        </w:rPr>
        <w:t>EQ</w:t>
      </w:r>
      <w:r w:rsidRPr="003303F8">
        <w:rPr>
          <w:kern w:val="0"/>
          <w:sz w:val="24"/>
          <w:szCs w:val="24"/>
        </w:rPr>
        <w:t xml:space="preserve"> is also highly correlated with both </w:t>
      </w:r>
      <w:r w:rsidRPr="003303F8">
        <w:rPr>
          <w:i/>
          <w:kern w:val="0"/>
          <w:sz w:val="24"/>
          <w:szCs w:val="24"/>
        </w:rPr>
        <w:t>P_EQew</w:t>
      </w:r>
      <w:r w:rsidRPr="003303F8">
        <w:rPr>
          <w:kern w:val="0"/>
          <w:sz w:val="24"/>
          <w:szCs w:val="24"/>
        </w:rPr>
        <w:t xml:space="preserve"> and </w:t>
      </w:r>
      <w:r w:rsidRPr="003303F8">
        <w:rPr>
          <w:i/>
          <w:kern w:val="0"/>
          <w:sz w:val="24"/>
          <w:szCs w:val="24"/>
        </w:rPr>
        <w:t>P_EQmsw</w:t>
      </w:r>
      <w:r w:rsidRPr="003303F8">
        <w:rPr>
          <w:kern w:val="0"/>
          <w:sz w:val="24"/>
          <w:szCs w:val="24"/>
        </w:rPr>
        <w:t xml:space="preserve">. Among others, the negative correlation between </w:t>
      </w:r>
      <w:r w:rsidRPr="003303F8">
        <w:rPr>
          <w:i/>
          <w:kern w:val="0"/>
          <w:sz w:val="24"/>
          <w:szCs w:val="24"/>
        </w:rPr>
        <w:t>LnMV</w:t>
      </w:r>
      <w:r w:rsidRPr="003303F8">
        <w:rPr>
          <w:kern w:val="0"/>
          <w:sz w:val="24"/>
          <w:szCs w:val="24"/>
        </w:rPr>
        <w:t xml:space="preserve"> and </w:t>
      </w:r>
      <w:r w:rsidR="00B75293" w:rsidRPr="003303F8">
        <w:rPr>
          <w:i/>
          <w:kern w:val="0"/>
          <w:sz w:val="24"/>
          <w:szCs w:val="24"/>
        </w:rPr>
        <w:t>BM</w:t>
      </w:r>
      <w:r w:rsidR="00B75293" w:rsidRPr="003303F8">
        <w:rPr>
          <w:kern w:val="0"/>
          <w:sz w:val="24"/>
          <w:szCs w:val="24"/>
        </w:rPr>
        <w:t xml:space="preserve"> </w:t>
      </w:r>
      <w:r w:rsidRPr="003303F8">
        <w:rPr>
          <w:kern w:val="0"/>
          <w:sz w:val="24"/>
          <w:szCs w:val="24"/>
        </w:rPr>
        <w:t xml:space="preserve">in Panel </w:t>
      </w:r>
      <w:r w:rsidR="00B75293" w:rsidRPr="003303F8">
        <w:rPr>
          <w:kern w:val="0"/>
          <w:sz w:val="24"/>
          <w:szCs w:val="24"/>
        </w:rPr>
        <w:t xml:space="preserve">C </w:t>
      </w:r>
      <w:r w:rsidRPr="003303F8">
        <w:rPr>
          <w:kern w:val="0"/>
          <w:sz w:val="24"/>
          <w:szCs w:val="24"/>
        </w:rPr>
        <w:t>is the largest (−0.</w:t>
      </w:r>
      <w:r w:rsidR="00B75293" w:rsidRPr="003303F8">
        <w:rPr>
          <w:kern w:val="0"/>
          <w:sz w:val="24"/>
          <w:szCs w:val="24"/>
        </w:rPr>
        <w:t>429</w:t>
      </w:r>
      <w:r w:rsidRPr="003303F8">
        <w:rPr>
          <w:kern w:val="0"/>
          <w:sz w:val="24"/>
          <w:szCs w:val="24"/>
        </w:rPr>
        <w:t>). None of these correlations are high enough to induce any concerns about multi-collinearity. Most importantly, I observe significant and reasonably large negative correlations between earnings quality (</w:t>
      </w:r>
      <w:r w:rsidRPr="003303F8">
        <w:rPr>
          <w:i/>
          <w:kern w:val="0"/>
          <w:sz w:val="24"/>
          <w:szCs w:val="24"/>
        </w:rPr>
        <w:t xml:space="preserve">EQ </w:t>
      </w:r>
      <w:r w:rsidRPr="003303F8">
        <w:rPr>
          <w:kern w:val="0"/>
          <w:sz w:val="24"/>
          <w:szCs w:val="24"/>
        </w:rPr>
        <w:t xml:space="preserve">and </w:t>
      </w:r>
      <w:r w:rsidRPr="003303F8">
        <w:rPr>
          <w:i/>
          <w:kern w:val="0"/>
          <w:sz w:val="24"/>
          <w:szCs w:val="24"/>
        </w:rPr>
        <w:t>P_EQ</w:t>
      </w:r>
      <w:r w:rsidRPr="003303F8">
        <w:rPr>
          <w:kern w:val="0"/>
          <w:sz w:val="24"/>
          <w:szCs w:val="24"/>
        </w:rPr>
        <w:t>) and proxies for the firm’s cost of equity (</w:t>
      </w:r>
      <w:r w:rsidR="00824249" w:rsidRPr="003303F8">
        <w:rPr>
          <w:i/>
          <w:kern w:val="0"/>
          <w:sz w:val="24"/>
          <w:szCs w:val="24"/>
        </w:rPr>
        <w:t xml:space="preserve">EXRET, </w:t>
      </w:r>
      <w:r w:rsidRPr="003303F8">
        <w:rPr>
          <w:i/>
          <w:kern w:val="0"/>
          <w:sz w:val="24"/>
          <w:szCs w:val="24"/>
        </w:rPr>
        <w:t>ICoE</w:t>
      </w:r>
      <w:r w:rsidR="00824249" w:rsidRPr="003303F8">
        <w:rPr>
          <w:kern w:val="0"/>
          <w:sz w:val="24"/>
          <w:szCs w:val="24"/>
        </w:rPr>
        <w:t xml:space="preserve"> and</w:t>
      </w:r>
      <w:r w:rsidR="00824249" w:rsidRPr="003303F8">
        <w:rPr>
          <w:i/>
          <w:kern w:val="0"/>
          <w:sz w:val="24"/>
          <w:szCs w:val="24"/>
        </w:rPr>
        <w:t xml:space="preserve"> </w:t>
      </w:r>
      <w:r w:rsidRPr="003303F8">
        <w:rPr>
          <w:i/>
          <w:kern w:val="0"/>
          <w:sz w:val="24"/>
          <w:szCs w:val="24"/>
        </w:rPr>
        <w:t>IndEP</w:t>
      </w:r>
      <w:r w:rsidRPr="003303F8">
        <w:rPr>
          <w:kern w:val="0"/>
          <w:sz w:val="24"/>
          <w:szCs w:val="24"/>
        </w:rPr>
        <w:t>).</w:t>
      </w:r>
    </w:p>
    <w:p w:rsidR="00901C6E" w:rsidRPr="003303F8" w:rsidRDefault="00901C6E">
      <w:pPr>
        <w:widowControl/>
        <w:overflowPunct/>
        <w:autoSpaceDE/>
        <w:autoSpaceDN/>
        <w:snapToGrid w:val="0"/>
        <w:spacing w:line="480" w:lineRule="auto"/>
        <w:ind w:firstLine="720"/>
        <w:rPr>
          <w:kern w:val="0"/>
          <w:sz w:val="24"/>
          <w:szCs w:val="24"/>
        </w:rPr>
      </w:pPr>
      <w:r w:rsidRPr="00D962E8">
        <w:rPr>
          <w:kern w:val="0"/>
          <w:sz w:val="24"/>
          <w:szCs w:val="24"/>
        </w:rPr>
        <w:t xml:space="preserve">Further, I employ a variance decomposition method to analyze the time-series and cross-sectional variations of </w:t>
      </w:r>
      <w:r w:rsidR="00BB7F61" w:rsidRPr="00D962E8">
        <w:rPr>
          <w:i/>
          <w:kern w:val="0"/>
          <w:sz w:val="24"/>
          <w:szCs w:val="24"/>
        </w:rPr>
        <w:t>I</w:t>
      </w:r>
      <w:r w:rsidRPr="00D962E8">
        <w:rPr>
          <w:i/>
          <w:kern w:val="0"/>
          <w:sz w:val="24"/>
          <w:szCs w:val="24"/>
        </w:rPr>
        <w:t>CoE</w:t>
      </w:r>
      <w:r w:rsidRPr="00D962E8">
        <w:rPr>
          <w:kern w:val="0"/>
          <w:sz w:val="24"/>
          <w:szCs w:val="24"/>
        </w:rPr>
        <w:t xml:space="preserve"> and </w:t>
      </w:r>
      <w:r w:rsidRPr="00D962E8">
        <w:rPr>
          <w:i/>
          <w:kern w:val="0"/>
          <w:sz w:val="24"/>
          <w:szCs w:val="24"/>
        </w:rPr>
        <w:t>EQ</w:t>
      </w:r>
      <w:r w:rsidRPr="00D962E8">
        <w:rPr>
          <w:kern w:val="0"/>
          <w:sz w:val="24"/>
          <w:szCs w:val="24"/>
        </w:rPr>
        <w:t xml:space="preserve"> or </w:t>
      </w:r>
      <w:r w:rsidRPr="00D962E8">
        <w:rPr>
          <w:i/>
          <w:kern w:val="0"/>
          <w:sz w:val="24"/>
          <w:szCs w:val="24"/>
        </w:rPr>
        <w:t>P_EQ</w:t>
      </w:r>
      <w:r w:rsidRPr="00D962E8">
        <w:rPr>
          <w:kern w:val="0"/>
          <w:sz w:val="24"/>
          <w:szCs w:val="24"/>
        </w:rPr>
        <w:t>.</w:t>
      </w:r>
      <w:r w:rsidRPr="00D962E8">
        <w:rPr>
          <w:rStyle w:val="FootnoteReference"/>
          <w:kern w:val="0"/>
          <w:sz w:val="24"/>
          <w:szCs w:val="24"/>
        </w:rPr>
        <w:footnoteReference w:id="30"/>
      </w:r>
      <w:r w:rsidRPr="00D962E8">
        <w:rPr>
          <w:kern w:val="0"/>
          <w:sz w:val="24"/>
          <w:szCs w:val="24"/>
        </w:rPr>
        <w:t xml:space="preserve">  For</w:t>
      </w:r>
      <w:r w:rsidRPr="00D962E8">
        <w:rPr>
          <w:i/>
          <w:kern w:val="0"/>
          <w:sz w:val="24"/>
          <w:szCs w:val="24"/>
        </w:rPr>
        <w:t xml:space="preserve"> </w:t>
      </w:r>
      <w:proofErr w:type="spellStart"/>
      <w:r w:rsidR="00E67A2E">
        <w:rPr>
          <w:i/>
          <w:kern w:val="0"/>
          <w:sz w:val="24"/>
          <w:szCs w:val="24"/>
        </w:rPr>
        <w:t>I</w:t>
      </w:r>
      <w:r w:rsidRPr="00D962E8">
        <w:rPr>
          <w:i/>
          <w:kern w:val="0"/>
          <w:sz w:val="24"/>
          <w:szCs w:val="24"/>
        </w:rPr>
        <w:t>CoE</w:t>
      </w:r>
      <w:proofErr w:type="spellEnd"/>
      <w:r w:rsidRPr="00D962E8">
        <w:rPr>
          <w:i/>
          <w:kern w:val="0"/>
          <w:sz w:val="24"/>
          <w:szCs w:val="24"/>
        </w:rPr>
        <w:t xml:space="preserve"> </w:t>
      </w:r>
      <w:r w:rsidRPr="00D962E8">
        <w:rPr>
          <w:kern w:val="0"/>
          <w:sz w:val="24"/>
          <w:szCs w:val="24"/>
        </w:rPr>
        <w:t>(</w:t>
      </w:r>
      <w:r w:rsidRPr="00D962E8">
        <w:rPr>
          <w:i/>
          <w:kern w:val="0"/>
          <w:sz w:val="24"/>
          <w:szCs w:val="24"/>
        </w:rPr>
        <w:t>EQ</w:t>
      </w:r>
      <w:r w:rsidRPr="00D962E8">
        <w:rPr>
          <w:kern w:val="0"/>
          <w:sz w:val="24"/>
          <w:szCs w:val="24"/>
        </w:rPr>
        <w:t>) [</w:t>
      </w:r>
      <w:r w:rsidRPr="00D962E8">
        <w:rPr>
          <w:i/>
          <w:kern w:val="0"/>
          <w:sz w:val="24"/>
          <w:szCs w:val="24"/>
        </w:rPr>
        <w:t>P_EQ</w:t>
      </w:r>
      <w:r w:rsidRPr="00D962E8">
        <w:rPr>
          <w:kern w:val="0"/>
          <w:sz w:val="24"/>
          <w:szCs w:val="24"/>
        </w:rPr>
        <w:t xml:space="preserve">], </w:t>
      </w:r>
      <w:r w:rsidRPr="00D962E8">
        <w:rPr>
          <w:rFonts w:hint="eastAsia"/>
          <w:kern w:val="0"/>
          <w:sz w:val="24"/>
          <w:szCs w:val="24"/>
        </w:rPr>
        <w:t>I find</w:t>
      </w:r>
      <w:r w:rsidRPr="00D962E8">
        <w:rPr>
          <w:kern w:val="0"/>
          <w:sz w:val="24"/>
          <w:szCs w:val="24"/>
        </w:rPr>
        <w:t xml:space="preserve"> 47%,48%,5%</w:t>
      </w:r>
      <w:r w:rsidRPr="00D962E8">
        <w:rPr>
          <w:rFonts w:hint="eastAsia"/>
          <w:kern w:val="0"/>
          <w:sz w:val="24"/>
          <w:szCs w:val="24"/>
        </w:rPr>
        <w:t xml:space="preserve"> </w:t>
      </w:r>
      <w:r w:rsidRPr="00D962E8">
        <w:rPr>
          <w:kern w:val="0"/>
          <w:sz w:val="24"/>
          <w:szCs w:val="24"/>
        </w:rPr>
        <w:t>;</w:t>
      </w:r>
      <w:r w:rsidRPr="00D962E8">
        <w:rPr>
          <w:rFonts w:hint="eastAsia"/>
          <w:kern w:val="0"/>
          <w:sz w:val="24"/>
          <w:szCs w:val="24"/>
        </w:rPr>
        <w:t>(</w:t>
      </w:r>
      <w:r w:rsidRPr="00D962E8">
        <w:rPr>
          <w:kern w:val="0"/>
          <w:sz w:val="24"/>
          <w:szCs w:val="24"/>
        </w:rPr>
        <w:t xml:space="preserve">65%,15%, 20%); </w:t>
      </w:r>
      <w:r w:rsidRPr="00D962E8">
        <w:rPr>
          <w:rFonts w:hint="eastAsia"/>
          <w:kern w:val="0"/>
          <w:sz w:val="24"/>
          <w:szCs w:val="24"/>
        </w:rPr>
        <w:t>[</w:t>
      </w:r>
      <w:r w:rsidRPr="00D962E8">
        <w:rPr>
          <w:kern w:val="0"/>
          <w:sz w:val="24"/>
          <w:szCs w:val="24"/>
        </w:rPr>
        <w:t>67</w:t>
      </w:r>
      <w:r w:rsidRPr="00D962E8">
        <w:rPr>
          <w:rFonts w:hint="eastAsia"/>
          <w:kern w:val="0"/>
          <w:sz w:val="24"/>
          <w:szCs w:val="24"/>
        </w:rPr>
        <w:t xml:space="preserve">% </w:t>
      </w:r>
      <w:r w:rsidRPr="00D962E8">
        <w:rPr>
          <w:kern w:val="0"/>
          <w:sz w:val="24"/>
          <w:szCs w:val="24"/>
        </w:rPr>
        <w:t>,6%, 27%</w:t>
      </w:r>
      <w:r w:rsidRPr="00D962E8">
        <w:rPr>
          <w:rFonts w:hint="eastAsia"/>
          <w:kern w:val="0"/>
          <w:sz w:val="24"/>
          <w:szCs w:val="24"/>
        </w:rPr>
        <w:t>] of the total variation is from within-firm variation, cross-firm-within-industry variation, and cross-firm-cross-industry variation.</w:t>
      </w:r>
    </w:p>
    <w:p w:rsidR="001F4A44" w:rsidRPr="003303F8" w:rsidRDefault="001F4A44" w:rsidP="00C614B7">
      <w:pPr>
        <w:widowControl/>
        <w:overflowPunct/>
        <w:autoSpaceDE/>
        <w:autoSpaceDN/>
        <w:snapToGrid w:val="0"/>
        <w:spacing w:line="480" w:lineRule="auto"/>
        <w:ind w:firstLine="720"/>
        <w:rPr>
          <w:kern w:val="0"/>
          <w:sz w:val="24"/>
          <w:szCs w:val="24"/>
        </w:rPr>
      </w:pPr>
      <w:r w:rsidRPr="003303F8">
        <w:rPr>
          <w:kern w:val="0"/>
          <w:sz w:val="24"/>
          <w:szCs w:val="24"/>
        </w:rPr>
        <w:t xml:space="preserve">Table </w:t>
      </w:r>
      <w:r w:rsidR="00F7491A" w:rsidRPr="003303F8">
        <w:rPr>
          <w:kern w:val="0"/>
          <w:sz w:val="24"/>
          <w:szCs w:val="24"/>
        </w:rPr>
        <w:t>3</w:t>
      </w:r>
      <w:r w:rsidRPr="003303F8">
        <w:rPr>
          <w:kern w:val="0"/>
          <w:sz w:val="24"/>
          <w:szCs w:val="24"/>
        </w:rPr>
        <w:t xml:space="preserve"> </w:t>
      </w:r>
      <w:r w:rsidR="00DD7A28" w:rsidRPr="003303F8">
        <w:rPr>
          <w:kern w:val="0"/>
          <w:sz w:val="24"/>
          <w:szCs w:val="24"/>
        </w:rPr>
        <w:t xml:space="preserve">shows </w:t>
      </w:r>
      <w:r w:rsidRPr="003303F8">
        <w:rPr>
          <w:kern w:val="0"/>
          <w:sz w:val="24"/>
          <w:szCs w:val="24"/>
        </w:rPr>
        <w:t xml:space="preserve">the sample distribution </w:t>
      </w:r>
      <w:r w:rsidR="00DD7A28" w:rsidRPr="003303F8">
        <w:rPr>
          <w:kern w:val="0"/>
          <w:sz w:val="24"/>
          <w:szCs w:val="24"/>
        </w:rPr>
        <w:t xml:space="preserve">and (mean) statistics across </w:t>
      </w:r>
      <w:r w:rsidRPr="003303F8">
        <w:rPr>
          <w:kern w:val="0"/>
          <w:sz w:val="24"/>
          <w:szCs w:val="24"/>
        </w:rPr>
        <w:t>Fama-French 48 industries. The three largest industries (based on the number of observations</w:t>
      </w:r>
      <w:r w:rsidR="00C614B7" w:rsidRPr="003303F8">
        <w:rPr>
          <w:kern w:val="0"/>
          <w:sz w:val="24"/>
          <w:szCs w:val="24"/>
        </w:rPr>
        <w:t xml:space="preserve"> in the implied cost of equity tests</w:t>
      </w:r>
      <w:r w:rsidRPr="003303F8">
        <w:rPr>
          <w:kern w:val="0"/>
          <w:sz w:val="24"/>
          <w:szCs w:val="24"/>
        </w:rPr>
        <w:t xml:space="preserve">) are Business Services, Electronic Equipment, and </w:t>
      </w:r>
      <w:r w:rsidR="00C614B7" w:rsidRPr="003303F8">
        <w:rPr>
          <w:kern w:val="0"/>
          <w:sz w:val="24"/>
          <w:szCs w:val="24"/>
        </w:rPr>
        <w:t>Pharmaceutical</w:t>
      </w:r>
      <w:r w:rsidRPr="003303F8">
        <w:rPr>
          <w:kern w:val="0"/>
          <w:sz w:val="24"/>
          <w:szCs w:val="24"/>
        </w:rPr>
        <w:t xml:space="preserve">.  </w:t>
      </w:r>
      <w:r w:rsidR="00AD27A9" w:rsidRPr="003303F8">
        <w:rPr>
          <w:kern w:val="0"/>
          <w:sz w:val="24"/>
          <w:szCs w:val="24"/>
        </w:rPr>
        <w:t xml:space="preserve">The bottom rows of Table </w:t>
      </w:r>
      <w:r w:rsidR="00F7491A" w:rsidRPr="003303F8">
        <w:rPr>
          <w:kern w:val="0"/>
          <w:sz w:val="24"/>
          <w:szCs w:val="24"/>
        </w:rPr>
        <w:t>3</w:t>
      </w:r>
      <w:r w:rsidR="00AD27A9" w:rsidRPr="003303F8">
        <w:rPr>
          <w:kern w:val="0"/>
          <w:sz w:val="24"/>
          <w:szCs w:val="24"/>
        </w:rPr>
        <w:t xml:space="preserve"> </w:t>
      </w:r>
      <w:r w:rsidR="00A131A3" w:rsidRPr="003303F8">
        <w:rPr>
          <w:kern w:val="0"/>
          <w:sz w:val="24"/>
          <w:szCs w:val="24"/>
        </w:rPr>
        <w:t>calculate</w:t>
      </w:r>
      <w:r w:rsidR="00AD27A9" w:rsidRPr="003303F8">
        <w:rPr>
          <w:kern w:val="0"/>
          <w:sz w:val="24"/>
          <w:szCs w:val="24"/>
        </w:rPr>
        <w:t xml:space="preserve"> (cross-industry) correlations between </w:t>
      </w:r>
      <w:r w:rsidR="00A131A3" w:rsidRPr="003303F8">
        <w:rPr>
          <w:kern w:val="0"/>
          <w:sz w:val="24"/>
          <w:szCs w:val="24"/>
        </w:rPr>
        <w:t>industry</w:t>
      </w:r>
      <w:r w:rsidR="00AD27A9" w:rsidRPr="003303F8">
        <w:rPr>
          <w:kern w:val="0"/>
          <w:sz w:val="24"/>
          <w:szCs w:val="24"/>
        </w:rPr>
        <w:t xml:space="preserve">-average </w:t>
      </w:r>
      <w:r w:rsidR="00AD27A9" w:rsidRPr="003303F8">
        <w:rPr>
          <w:i/>
          <w:kern w:val="0"/>
          <w:sz w:val="24"/>
          <w:szCs w:val="24"/>
        </w:rPr>
        <w:t xml:space="preserve">EQ </w:t>
      </w:r>
      <w:r w:rsidR="00AD27A9" w:rsidRPr="003303F8">
        <w:rPr>
          <w:kern w:val="0"/>
          <w:sz w:val="24"/>
          <w:szCs w:val="24"/>
        </w:rPr>
        <w:t>(</w:t>
      </w:r>
      <w:r w:rsidR="00AD27A9" w:rsidRPr="003303F8">
        <w:rPr>
          <w:i/>
          <w:kern w:val="0"/>
          <w:sz w:val="24"/>
          <w:szCs w:val="24"/>
        </w:rPr>
        <w:t>P_EQmsw</w:t>
      </w:r>
      <w:r w:rsidR="00AD27A9" w:rsidRPr="003303F8">
        <w:rPr>
          <w:kern w:val="0"/>
          <w:sz w:val="24"/>
          <w:szCs w:val="24"/>
        </w:rPr>
        <w:t xml:space="preserve">) and the </w:t>
      </w:r>
      <w:r w:rsidR="00A131A3" w:rsidRPr="003303F8">
        <w:rPr>
          <w:kern w:val="0"/>
          <w:sz w:val="24"/>
          <w:szCs w:val="24"/>
        </w:rPr>
        <w:t xml:space="preserve">industry </w:t>
      </w:r>
      <w:r w:rsidR="00AD27A9" w:rsidRPr="003303F8">
        <w:rPr>
          <w:kern w:val="0"/>
          <w:sz w:val="24"/>
          <w:szCs w:val="24"/>
        </w:rPr>
        <w:t>-average values of</w:t>
      </w:r>
      <w:r w:rsidR="00B75293" w:rsidRPr="003303F8">
        <w:rPr>
          <w:kern w:val="0"/>
          <w:sz w:val="24"/>
          <w:szCs w:val="24"/>
        </w:rPr>
        <w:t xml:space="preserve"> two </w:t>
      </w:r>
      <w:r w:rsidR="00AD27A9" w:rsidRPr="003303F8">
        <w:rPr>
          <w:kern w:val="0"/>
          <w:sz w:val="24"/>
          <w:szCs w:val="24"/>
        </w:rPr>
        <w:lastRenderedPageBreak/>
        <w:t xml:space="preserve">proxies for the cost of equity: </w:t>
      </w:r>
      <w:r w:rsidR="00824249" w:rsidRPr="003303F8">
        <w:rPr>
          <w:i/>
          <w:kern w:val="0"/>
          <w:sz w:val="24"/>
          <w:szCs w:val="24"/>
        </w:rPr>
        <w:t>ICoE</w:t>
      </w:r>
      <w:r w:rsidR="00824249" w:rsidRPr="003303F8">
        <w:rPr>
          <w:kern w:val="0"/>
          <w:sz w:val="24"/>
          <w:szCs w:val="24"/>
        </w:rPr>
        <w:t xml:space="preserve"> and</w:t>
      </w:r>
      <w:r w:rsidR="00824249" w:rsidRPr="003303F8">
        <w:rPr>
          <w:i/>
          <w:kern w:val="0"/>
          <w:sz w:val="24"/>
          <w:szCs w:val="24"/>
        </w:rPr>
        <w:t xml:space="preserve"> IndEP</w:t>
      </w:r>
      <w:r w:rsidR="00AD27A9" w:rsidRPr="003303F8">
        <w:rPr>
          <w:kern w:val="0"/>
          <w:sz w:val="24"/>
          <w:szCs w:val="24"/>
        </w:rPr>
        <w:t>.</w:t>
      </w:r>
      <w:r w:rsidR="00824249" w:rsidRPr="003303F8">
        <w:rPr>
          <w:kern w:val="0"/>
          <w:sz w:val="24"/>
          <w:szCs w:val="24"/>
        </w:rPr>
        <w:t xml:space="preserve"> </w:t>
      </w:r>
      <w:r w:rsidR="00AD27A9" w:rsidRPr="003303F8">
        <w:rPr>
          <w:i/>
          <w:kern w:val="0"/>
          <w:sz w:val="24"/>
          <w:szCs w:val="24"/>
        </w:rPr>
        <w:t xml:space="preserve">EQ </w:t>
      </w:r>
      <w:r w:rsidR="00AD27A9" w:rsidRPr="003303F8">
        <w:rPr>
          <w:kern w:val="0"/>
          <w:sz w:val="24"/>
          <w:szCs w:val="24"/>
        </w:rPr>
        <w:t>(</w:t>
      </w:r>
      <w:r w:rsidR="00AD27A9" w:rsidRPr="003303F8">
        <w:rPr>
          <w:i/>
          <w:kern w:val="0"/>
          <w:sz w:val="24"/>
          <w:szCs w:val="24"/>
        </w:rPr>
        <w:t>P_EQmsw</w:t>
      </w:r>
      <w:r w:rsidR="00AD27A9" w:rsidRPr="003303F8">
        <w:rPr>
          <w:kern w:val="0"/>
          <w:sz w:val="24"/>
          <w:szCs w:val="24"/>
        </w:rPr>
        <w:t xml:space="preserve">) is negatively correlated with </w:t>
      </w:r>
      <w:r w:rsidR="00AD27A9" w:rsidRPr="003303F8">
        <w:rPr>
          <w:i/>
          <w:kern w:val="0"/>
          <w:sz w:val="24"/>
          <w:szCs w:val="24"/>
        </w:rPr>
        <w:t>ICoE</w:t>
      </w:r>
      <w:r w:rsidR="00AD27A9" w:rsidRPr="003303F8">
        <w:rPr>
          <w:kern w:val="0"/>
          <w:sz w:val="24"/>
          <w:szCs w:val="24"/>
        </w:rPr>
        <w:t xml:space="preserve"> and</w:t>
      </w:r>
      <w:r w:rsidR="00AD27A9" w:rsidRPr="003303F8">
        <w:rPr>
          <w:i/>
          <w:kern w:val="0"/>
          <w:sz w:val="24"/>
          <w:szCs w:val="24"/>
        </w:rPr>
        <w:t xml:space="preserve"> IndEP</w:t>
      </w:r>
      <w:r w:rsidR="00AD27A9" w:rsidRPr="003303F8">
        <w:rPr>
          <w:kern w:val="0"/>
          <w:sz w:val="24"/>
          <w:szCs w:val="24"/>
        </w:rPr>
        <w:t>. All these findings are consistent with my hypothesis.</w:t>
      </w:r>
      <w:r w:rsidRPr="003303F8">
        <w:rPr>
          <w:rStyle w:val="FootnoteReference"/>
          <w:kern w:val="0"/>
          <w:sz w:val="24"/>
          <w:szCs w:val="24"/>
        </w:rPr>
        <w:footnoteReference w:id="31"/>
      </w:r>
    </w:p>
    <w:p w:rsidR="00DF0E0F" w:rsidRPr="003303F8" w:rsidRDefault="00DF0E0F" w:rsidP="00931FD3">
      <w:pPr>
        <w:rPr>
          <w:sz w:val="24"/>
          <w:szCs w:val="24"/>
        </w:rPr>
      </w:pPr>
    </w:p>
    <w:p w:rsidR="00C174EA" w:rsidRPr="003303F8" w:rsidRDefault="00C174EA" w:rsidP="00385254">
      <w:pPr>
        <w:pStyle w:val="Heading2"/>
        <w:spacing w:before="0" w:line="480" w:lineRule="auto"/>
        <w:rPr>
          <w:szCs w:val="24"/>
        </w:rPr>
      </w:pPr>
      <w:bookmarkStart w:id="111" w:name="_Toc378087514"/>
      <w:bookmarkStart w:id="112" w:name="_Toc378087554"/>
      <w:bookmarkStart w:id="113" w:name="_Toc378088363"/>
      <w:bookmarkStart w:id="114" w:name="_Toc378088752"/>
      <w:bookmarkStart w:id="115" w:name="_Toc378088888"/>
      <w:r w:rsidRPr="003303F8">
        <w:rPr>
          <w:szCs w:val="24"/>
        </w:rPr>
        <w:t>Portfolios Using Sorts on EQ and P_EQ</w:t>
      </w:r>
      <w:bookmarkEnd w:id="111"/>
      <w:bookmarkEnd w:id="112"/>
      <w:bookmarkEnd w:id="113"/>
      <w:bookmarkEnd w:id="114"/>
      <w:bookmarkEnd w:id="115"/>
    </w:p>
    <w:p w:rsidR="00C174EA" w:rsidRPr="003303F8" w:rsidRDefault="00C174EA" w:rsidP="004E65E1">
      <w:pPr>
        <w:widowControl/>
        <w:overflowPunct/>
        <w:autoSpaceDE/>
        <w:autoSpaceDN/>
        <w:snapToGrid w:val="0"/>
        <w:spacing w:line="480" w:lineRule="auto"/>
        <w:ind w:firstLine="720"/>
        <w:rPr>
          <w:kern w:val="0"/>
          <w:sz w:val="24"/>
          <w:szCs w:val="24"/>
        </w:rPr>
      </w:pPr>
      <w:r w:rsidRPr="003303F8">
        <w:rPr>
          <w:kern w:val="0"/>
          <w:sz w:val="24"/>
          <w:szCs w:val="24"/>
        </w:rPr>
        <w:t xml:space="preserve">In </w:t>
      </w:r>
      <w:r w:rsidR="004E65E1" w:rsidRPr="003303F8">
        <w:rPr>
          <w:kern w:val="0"/>
          <w:sz w:val="24"/>
          <w:szCs w:val="24"/>
        </w:rPr>
        <w:t xml:space="preserve">Panel A </w:t>
      </w:r>
      <w:r w:rsidRPr="003303F8">
        <w:rPr>
          <w:kern w:val="0"/>
          <w:sz w:val="24"/>
          <w:szCs w:val="24"/>
        </w:rPr>
        <w:t xml:space="preserve">Table 4, I test differences in </w:t>
      </w:r>
      <w:r w:rsidR="00686EAB" w:rsidRPr="003303F8">
        <w:rPr>
          <w:i/>
          <w:kern w:val="0"/>
          <w:sz w:val="24"/>
          <w:szCs w:val="24"/>
        </w:rPr>
        <w:t>ICoE</w:t>
      </w:r>
      <w:r w:rsidR="00686EAB" w:rsidRPr="003303F8">
        <w:rPr>
          <w:kern w:val="0"/>
          <w:sz w:val="24"/>
          <w:szCs w:val="24"/>
        </w:rPr>
        <w:t>,</w:t>
      </w:r>
      <w:r w:rsidR="00686EAB" w:rsidRPr="003303F8">
        <w:rPr>
          <w:i/>
          <w:kern w:val="0"/>
          <w:sz w:val="24"/>
          <w:szCs w:val="24"/>
        </w:rPr>
        <w:t xml:space="preserve"> </w:t>
      </w:r>
      <w:r w:rsidRPr="003303F8">
        <w:rPr>
          <w:i/>
          <w:kern w:val="0"/>
          <w:sz w:val="24"/>
          <w:szCs w:val="24"/>
        </w:rPr>
        <w:t>Beta</w:t>
      </w:r>
      <w:r w:rsidR="00824249" w:rsidRPr="003303F8">
        <w:rPr>
          <w:kern w:val="0"/>
          <w:sz w:val="24"/>
          <w:szCs w:val="24"/>
        </w:rPr>
        <w:t xml:space="preserve">, and </w:t>
      </w:r>
      <w:r w:rsidR="00016FDE" w:rsidRPr="003303F8">
        <w:rPr>
          <w:i/>
          <w:kern w:val="0"/>
          <w:sz w:val="24"/>
          <w:szCs w:val="24"/>
        </w:rPr>
        <w:t>IndEP</w:t>
      </w:r>
      <w:r w:rsidRPr="003303F8">
        <w:rPr>
          <w:kern w:val="0"/>
          <w:sz w:val="24"/>
          <w:szCs w:val="24"/>
        </w:rPr>
        <w:t xml:space="preserve"> between equally</w:t>
      </w:r>
      <w:r w:rsidR="00924C8A" w:rsidRPr="003303F8">
        <w:rPr>
          <w:kern w:val="0"/>
          <w:sz w:val="24"/>
          <w:szCs w:val="24"/>
        </w:rPr>
        <w:t>-</w:t>
      </w:r>
      <w:r w:rsidRPr="003303F8">
        <w:rPr>
          <w:kern w:val="0"/>
          <w:sz w:val="24"/>
          <w:szCs w:val="24"/>
        </w:rPr>
        <w:t xml:space="preserve">weighted portfolios using sorts based on </w:t>
      </w:r>
      <w:r w:rsidRPr="003303F8">
        <w:rPr>
          <w:i/>
          <w:kern w:val="0"/>
          <w:sz w:val="24"/>
          <w:szCs w:val="24"/>
        </w:rPr>
        <w:t>EQ</w:t>
      </w:r>
      <w:r w:rsidRPr="003303F8">
        <w:rPr>
          <w:kern w:val="0"/>
          <w:sz w:val="24"/>
          <w:szCs w:val="24"/>
        </w:rPr>
        <w:t xml:space="preserve"> and </w:t>
      </w:r>
      <w:r w:rsidRPr="003303F8">
        <w:rPr>
          <w:i/>
          <w:kern w:val="0"/>
          <w:sz w:val="24"/>
          <w:szCs w:val="24"/>
        </w:rPr>
        <w:t xml:space="preserve">P_EQ. </w:t>
      </w:r>
      <w:r w:rsidRPr="003303F8">
        <w:rPr>
          <w:kern w:val="0"/>
          <w:sz w:val="24"/>
          <w:szCs w:val="24"/>
        </w:rPr>
        <w:t>In</w:t>
      </w:r>
      <w:r w:rsidR="004E65E1" w:rsidRPr="003303F8">
        <w:rPr>
          <w:kern w:val="0"/>
          <w:sz w:val="24"/>
          <w:szCs w:val="24"/>
        </w:rPr>
        <w:t xml:space="preserve"> the first column</w:t>
      </w:r>
      <w:r w:rsidRPr="003303F8">
        <w:rPr>
          <w:kern w:val="0"/>
          <w:sz w:val="24"/>
          <w:szCs w:val="24"/>
        </w:rPr>
        <w:t xml:space="preserve">, I sort observations based on </w:t>
      </w:r>
      <w:r w:rsidRPr="003303F8">
        <w:rPr>
          <w:i/>
          <w:kern w:val="0"/>
          <w:sz w:val="24"/>
          <w:szCs w:val="24"/>
        </w:rPr>
        <w:t xml:space="preserve">EQ </w:t>
      </w:r>
      <w:r w:rsidR="004504AD" w:rsidRPr="003303F8">
        <w:rPr>
          <w:i/>
          <w:kern w:val="0"/>
          <w:sz w:val="24"/>
          <w:szCs w:val="24"/>
        </w:rPr>
        <w:t>(</w:t>
      </w:r>
      <w:r w:rsidR="00006DFB" w:rsidRPr="003303F8">
        <w:rPr>
          <w:kern w:val="0"/>
          <w:sz w:val="24"/>
          <w:szCs w:val="24"/>
        </w:rPr>
        <w:t>measured</w:t>
      </w:r>
      <w:r w:rsidR="00006DFB" w:rsidRPr="003303F8">
        <w:rPr>
          <w:i/>
          <w:kern w:val="0"/>
          <w:sz w:val="24"/>
          <w:szCs w:val="24"/>
        </w:rPr>
        <w:t xml:space="preserve"> </w:t>
      </w:r>
      <w:r w:rsidR="00006DFB" w:rsidRPr="003303F8">
        <w:rPr>
          <w:kern w:val="0"/>
          <w:sz w:val="24"/>
          <w:szCs w:val="24"/>
        </w:rPr>
        <w:t xml:space="preserve">at the end of </w:t>
      </w:r>
      <w:r w:rsidR="004504AD" w:rsidRPr="003303F8">
        <w:rPr>
          <w:kern w:val="0"/>
          <w:sz w:val="24"/>
          <w:szCs w:val="24"/>
        </w:rPr>
        <w:t xml:space="preserve">year t) </w:t>
      </w:r>
      <w:r w:rsidRPr="003303F8">
        <w:rPr>
          <w:kern w:val="0"/>
          <w:sz w:val="24"/>
          <w:szCs w:val="24"/>
        </w:rPr>
        <w:t>into quartiles. Then, I calculate the equally</w:t>
      </w:r>
      <w:r w:rsidR="00924C8A" w:rsidRPr="003303F8">
        <w:rPr>
          <w:kern w:val="0"/>
          <w:sz w:val="24"/>
          <w:szCs w:val="24"/>
        </w:rPr>
        <w:t>-</w:t>
      </w:r>
      <w:r w:rsidRPr="003303F8">
        <w:rPr>
          <w:kern w:val="0"/>
          <w:sz w:val="24"/>
          <w:szCs w:val="24"/>
        </w:rPr>
        <w:t>weighted average</w:t>
      </w:r>
      <w:r w:rsidRPr="003303F8">
        <w:rPr>
          <w:i/>
          <w:kern w:val="0"/>
          <w:sz w:val="24"/>
          <w:szCs w:val="24"/>
        </w:rPr>
        <w:t xml:space="preserve"> </w:t>
      </w:r>
      <w:r w:rsidR="00686EAB" w:rsidRPr="003303F8">
        <w:rPr>
          <w:i/>
          <w:kern w:val="0"/>
          <w:sz w:val="24"/>
          <w:szCs w:val="24"/>
        </w:rPr>
        <w:t>ICoE</w:t>
      </w:r>
      <w:r w:rsidR="00686EAB" w:rsidRPr="003303F8">
        <w:rPr>
          <w:kern w:val="0"/>
          <w:sz w:val="24"/>
          <w:szCs w:val="24"/>
        </w:rPr>
        <w:t>,</w:t>
      </w:r>
      <w:r w:rsidR="00686EAB" w:rsidRPr="003303F8">
        <w:rPr>
          <w:i/>
          <w:kern w:val="0"/>
          <w:sz w:val="24"/>
          <w:szCs w:val="24"/>
        </w:rPr>
        <w:t xml:space="preserve"> </w:t>
      </w:r>
      <w:r w:rsidR="00A131A3" w:rsidRPr="003303F8">
        <w:rPr>
          <w:i/>
          <w:kern w:val="0"/>
          <w:sz w:val="24"/>
          <w:szCs w:val="24"/>
        </w:rPr>
        <w:t xml:space="preserve">Beta </w:t>
      </w:r>
      <w:r w:rsidR="00A131A3" w:rsidRPr="003303F8">
        <w:rPr>
          <w:kern w:val="0"/>
          <w:sz w:val="24"/>
          <w:szCs w:val="24"/>
        </w:rPr>
        <w:t xml:space="preserve">and </w:t>
      </w:r>
      <w:r w:rsidR="004504AD" w:rsidRPr="003303F8">
        <w:rPr>
          <w:i/>
          <w:kern w:val="0"/>
          <w:sz w:val="24"/>
          <w:szCs w:val="24"/>
        </w:rPr>
        <w:t>IndEP</w:t>
      </w:r>
      <w:r w:rsidRPr="003303F8">
        <w:rPr>
          <w:kern w:val="0"/>
          <w:sz w:val="24"/>
          <w:szCs w:val="24"/>
        </w:rPr>
        <w:t xml:space="preserve"> </w:t>
      </w:r>
      <w:r w:rsidR="004504AD" w:rsidRPr="003303F8">
        <w:rPr>
          <w:kern w:val="0"/>
          <w:sz w:val="24"/>
          <w:szCs w:val="24"/>
        </w:rPr>
        <w:t>for year t</w:t>
      </w:r>
      <w:r w:rsidRPr="003303F8">
        <w:rPr>
          <w:kern w:val="0"/>
          <w:sz w:val="24"/>
          <w:szCs w:val="24"/>
        </w:rPr>
        <w:t xml:space="preserve">. The first column shows the portfolio with low </w:t>
      </w:r>
      <w:r w:rsidRPr="003303F8">
        <w:rPr>
          <w:i/>
          <w:kern w:val="0"/>
          <w:sz w:val="24"/>
          <w:szCs w:val="24"/>
        </w:rPr>
        <w:t>EQ</w:t>
      </w:r>
      <w:r w:rsidRPr="003303F8">
        <w:rPr>
          <w:kern w:val="0"/>
          <w:sz w:val="24"/>
          <w:szCs w:val="24"/>
        </w:rPr>
        <w:t xml:space="preserve"> (</w:t>
      </w:r>
      <w:r w:rsidRPr="003303F8">
        <w:rPr>
          <w:i/>
          <w:kern w:val="0"/>
          <w:sz w:val="24"/>
          <w:szCs w:val="24"/>
        </w:rPr>
        <w:t>EQ</w:t>
      </w:r>
      <w:r w:rsidRPr="003303F8">
        <w:rPr>
          <w:kern w:val="0"/>
          <w:sz w:val="24"/>
          <w:szCs w:val="24"/>
        </w:rPr>
        <w:t xml:space="preserve"> in the bottom quartile). The second column shows the portfolio with high </w:t>
      </w:r>
      <w:r w:rsidRPr="003303F8">
        <w:rPr>
          <w:i/>
          <w:kern w:val="0"/>
          <w:sz w:val="24"/>
          <w:szCs w:val="24"/>
        </w:rPr>
        <w:t>EQ</w:t>
      </w:r>
      <w:r w:rsidRPr="003303F8">
        <w:rPr>
          <w:kern w:val="0"/>
          <w:sz w:val="24"/>
          <w:szCs w:val="24"/>
        </w:rPr>
        <w:t xml:space="preserve"> (</w:t>
      </w:r>
      <w:r w:rsidRPr="003303F8">
        <w:rPr>
          <w:i/>
          <w:kern w:val="0"/>
          <w:sz w:val="24"/>
          <w:szCs w:val="24"/>
        </w:rPr>
        <w:t>EQ</w:t>
      </w:r>
      <w:r w:rsidRPr="003303F8">
        <w:rPr>
          <w:kern w:val="0"/>
          <w:sz w:val="24"/>
          <w:szCs w:val="24"/>
        </w:rPr>
        <w:t xml:space="preserve"> in the top quartile). The third column tests the mean difference between the two portfolios using </w:t>
      </w:r>
      <w:r w:rsidR="00BB7F61" w:rsidRPr="003303F8">
        <w:rPr>
          <w:kern w:val="0"/>
          <w:sz w:val="24"/>
          <w:szCs w:val="24"/>
        </w:rPr>
        <w:t>t</w:t>
      </w:r>
      <w:r w:rsidRPr="003303F8">
        <w:rPr>
          <w:kern w:val="0"/>
          <w:sz w:val="24"/>
          <w:szCs w:val="24"/>
        </w:rPr>
        <w:t xml:space="preserve">-statistics. The high </w:t>
      </w:r>
      <w:r w:rsidRPr="003303F8">
        <w:rPr>
          <w:i/>
          <w:kern w:val="0"/>
          <w:sz w:val="24"/>
          <w:szCs w:val="24"/>
        </w:rPr>
        <w:t>EQ</w:t>
      </w:r>
      <w:r w:rsidRPr="003303F8">
        <w:rPr>
          <w:kern w:val="0"/>
          <w:sz w:val="24"/>
          <w:szCs w:val="24"/>
        </w:rPr>
        <w:t xml:space="preserve"> portfolio has significantly lower </w:t>
      </w:r>
      <w:r w:rsidR="00686EAB" w:rsidRPr="003303F8">
        <w:rPr>
          <w:i/>
          <w:kern w:val="0"/>
          <w:sz w:val="24"/>
          <w:szCs w:val="24"/>
        </w:rPr>
        <w:t xml:space="preserve">ICoE </w:t>
      </w:r>
      <w:r w:rsidR="00686EAB" w:rsidRPr="003303F8">
        <w:rPr>
          <w:kern w:val="0"/>
          <w:sz w:val="24"/>
          <w:szCs w:val="24"/>
        </w:rPr>
        <w:t>(−0.</w:t>
      </w:r>
      <w:r w:rsidR="00B75293" w:rsidRPr="003303F8">
        <w:rPr>
          <w:kern w:val="0"/>
          <w:sz w:val="24"/>
          <w:szCs w:val="24"/>
        </w:rPr>
        <w:t>043</w:t>
      </w:r>
      <w:r w:rsidR="00686EAB" w:rsidRPr="003303F8">
        <w:rPr>
          <w:kern w:val="0"/>
          <w:sz w:val="24"/>
          <w:szCs w:val="24"/>
        </w:rPr>
        <w:t>),</w:t>
      </w:r>
      <w:r w:rsidR="00686EAB" w:rsidRPr="003303F8">
        <w:rPr>
          <w:i/>
          <w:kern w:val="0"/>
          <w:sz w:val="24"/>
          <w:szCs w:val="24"/>
        </w:rPr>
        <w:t xml:space="preserve"> </w:t>
      </w:r>
      <w:r w:rsidRPr="003303F8">
        <w:rPr>
          <w:i/>
          <w:kern w:val="0"/>
          <w:sz w:val="24"/>
          <w:szCs w:val="24"/>
        </w:rPr>
        <w:t xml:space="preserve">Beta </w:t>
      </w:r>
      <w:r w:rsidRPr="003303F8">
        <w:rPr>
          <w:kern w:val="0"/>
          <w:sz w:val="24"/>
          <w:szCs w:val="24"/>
        </w:rPr>
        <w:t>(−0.</w:t>
      </w:r>
      <w:r w:rsidR="00B75293" w:rsidRPr="003303F8">
        <w:rPr>
          <w:kern w:val="0"/>
          <w:sz w:val="24"/>
          <w:szCs w:val="24"/>
        </w:rPr>
        <w:t>301</w:t>
      </w:r>
      <w:r w:rsidRPr="003303F8">
        <w:rPr>
          <w:kern w:val="0"/>
          <w:sz w:val="24"/>
          <w:szCs w:val="24"/>
        </w:rPr>
        <w:t>)</w:t>
      </w:r>
      <w:r w:rsidRPr="003303F8">
        <w:rPr>
          <w:i/>
          <w:kern w:val="0"/>
          <w:sz w:val="24"/>
          <w:szCs w:val="24"/>
        </w:rPr>
        <w:t>,</w:t>
      </w:r>
      <w:r w:rsidR="00824249" w:rsidRPr="003303F8">
        <w:rPr>
          <w:kern w:val="0"/>
          <w:sz w:val="24"/>
          <w:szCs w:val="24"/>
        </w:rPr>
        <w:t xml:space="preserve"> and</w:t>
      </w:r>
      <w:r w:rsidRPr="003303F8">
        <w:rPr>
          <w:i/>
          <w:kern w:val="0"/>
          <w:sz w:val="24"/>
          <w:szCs w:val="24"/>
        </w:rPr>
        <w:t xml:space="preserve"> </w:t>
      </w:r>
      <w:r w:rsidR="00016FDE" w:rsidRPr="003303F8">
        <w:rPr>
          <w:i/>
          <w:kern w:val="0"/>
          <w:sz w:val="24"/>
          <w:szCs w:val="24"/>
        </w:rPr>
        <w:t xml:space="preserve">IndEP </w:t>
      </w:r>
      <w:r w:rsidRPr="003303F8">
        <w:rPr>
          <w:kern w:val="0"/>
          <w:sz w:val="24"/>
          <w:szCs w:val="24"/>
        </w:rPr>
        <w:t>(−0.</w:t>
      </w:r>
      <w:r w:rsidR="00B75293" w:rsidRPr="003303F8">
        <w:rPr>
          <w:kern w:val="0"/>
          <w:sz w:val="24"/>
          <w:szCs w:val="24"/>
        </w:rPr>
        <w:t>007</w:t>
      </w:r>
      <w:r w:rsidR="00824249" w:rsidRPr="003303F8">
        <w:rPr>
          <w:kern w:val="0"/>
          <w:sz w:val="24"/>
          <w:szCs w:val="24"/>
        </w:rPr>
        <w:t>)</w:t>
      </w:r>
      <w:r w:rsidRPr="003303F8">
        <w:rPr>
          <w:kern w:val="0"/>
          <w:sz w:val="24"/>
          <w:szCs w:val="24"/>
        </w:rPr>
        <w:t>.</w:t>
      </w:r>
      <w:r w:rsidR="004E65E1" w:rsidRPr="003303F8">
        <w:rPr>
          <w:kern w:val="0"/>
          <w:sz w:val="24"/>
          <w:szCs w:val="24"/>
        </w:rPr>
        <w:t xml:space="preserve"> The second and third columns sort</w:t>
      </w:r>
      <w:r w:rsidRPr="003303F8">
        <w:rPr>
          <w:kern w:val="0"/>
          <w:sz w:val="24"/>
          <w:szCs w:val="24"/>
        </w:rPr>
        <w:t xml:space="preserve"> observations based on </w:t>
      </w:r>
      <w:r w:rsidRPr="003303F8">
        <w:rPr>
          <w:i/>
          <w:kern w:val="0"/>
          <w:sz w:val="24"/>
          <w:szCs w:val="24"/>
        </w:rPr>
        <w:t>P</w:t>
      </w:r>
      <w:r w:rsidRPr="003303F8">
        <w:rPr>
          <w:kern w:val="0"/>
          <w:sz w:val="24"/>
          <w:szCs w:val="24"/>
        </w:rPr>
        <w:t>_</w:t>
      </w:r>
      <w:r w:rsidRPr="003303F8">
        <w:rPr>
          <w:i/>
          <w:kern w:val="0"/>
          <w:sz w:val="24"/>
          <w:szCs w:val="24"/>
        </w:rPr>
        <w:t>EQ</w:t>
      </w:r>
      <w:r w:rsidRPr="003303F8">
        <w:rPr>
          <w:kern w:val="0"/>
          <w:sz w:val="24"/>
          <w:szCs w:val="24"/>
        </w:rPr>
        <w:t xml:space="preserve"> (measured</w:t>
      </w:r>
      <w:r w:rsidRPr="003303F8">
        <w:rPr>
          <w:i/>
          <w:kern w:val="0"/>
          <w:sz w:val="24"/>
          <w:szCs w:val="24"/>
        </w:rPr>
        <w:t xml:space="preserve"> </w:t>
      </w:r>
      <w:r w:rsidRPr="003303F8">
        <w:rPr>
          <w:kern w:val="0"/>
          <w:sz w:val="24"/>
          <w:szCs w:val="24"/>
        </w:rPr>
        <w:t>at the end of year t) into quartiles.</w:t>
      </w:r>
      <w:r w:rsidR="00006DFB" w:rsidRPr="003303F8">
        <w:rPr>
          <w:rStyle w:val="FootnoteReference"/>
          <w:kern w:val="0"/>
          <w:sz w:val="24"/>
          <w:szCs w:val="24"/>
        </w:rPr>
        <w:footnoteReference w:id="32"/>
      </w:r>
      <w:r w:rsidRPr="003303F8">
        <w:rPr>
          <w:kern w:val="0"/>
          <w:sz w:val="24"/>
          <w:szCs w:val="24"/>
        </w:rPr>
        <w:t xml:space="preserve"> For both measures</w:t>
      </w:r>
      <w:r w:rsidR="004E65E1" w:rsidRPr="003303F8">
        <w:rPr>
          <w:kern w:val="0"/>
          <w:sz w:val="24"/>
          <w:szCs w:val="24"/>
        </w:rPr>
        <w:t xml:space="preserve"> of </w:t>
      </w:r>
      <w:r w:rsidR="004E65E1" w:rsidRPr="003303F8">
        <w:rPr>
          <w:i/>
          <w:kern w:val="0"/>
          <w:sz w:val="24"/>
          <w:szCs w:val="24"/>
        </w:rPr>
        <w:t>P</w:t>
      </w:r>
      <w:r w:rsidR="004E65E1" w:rsidRPr="003303F8">
        <w:rPr>
          <w:kern w:val="0"/>
          <w:sz w:val="24"/>
          <w:szCs w:val="24"/>
        </w:rPr>
        <w:t>_</w:t>
      </w:r>
      <w:r w:rsidR="004E65E1" w:rsidRPr="003303F8">
        <w:rPr>
          <w:i/>
          <w:kern w:val="0"/>
          <w:sz w:val="24"/>
          <w:szCs w:val="24"/>
        </w:rPr>
        <w:t>EQ</w:t>
      </w:r>
      <w:r w:rsidRPr="003303F8">
        <w:rPr>
          <w:kern w:val="0"/>
          <w:sz w:val="24"/>
          <w:szCs w:val="24"/>
        </w:rPr>
        <w:t xml:space="preserve">, I find </w:t>
      </w:r>
      <w:r w:rsidR="004E65E1" w:rsidRPr="003303F8">
        <w:rPr>
          <w:kern w:val="0"/>
          <w:sz w:val="24"/>
          <w:szCs w:val="24"/>
        </w:rPr>
        <w:t xml:space="preserve">the portfolio with high </w:t>
      </w:r>
      <w:r w:rsidR="004E65E1" w:rsidRPr="003303F8">
        <w:rPr>
          <w:i/>
          <w:kern w:val="0"/>
          <w:sz w:val="24"/>
          <w:szCs w:val="24"/>
        </w:rPr>
        <w:t>P</w:t>
      </w:r>
      <w:r w:rsidR="004E65E1" w:rsidRPr="003303F8">
        <w:rPr>
          <w:kern w:val="0"/>
          <w:sz w:val="24"/>
          <w:szCs w:val="24"/>
        </w:rPr>
        <w:t>_</w:t>
      </w:r>
      <w:r w:rsidR="004E65E1" w:rsidRPr="003303F8">
        <w:rPr>
          <w:i/>
          <w:kern w:val="0"/>
          <w:sz w:val="24"/>
          <w:szCs w:val="24"/>
        </w:rPr>
        <w:t>EQ</w:t>
      </w:r>
      <w:r w:rsidR="004E65E1" w:rsidRPr="003303F8">
        <w:rPr>
          <w:kern w:val="0"/>
          <w:sz w:val="24"/>
          <w:szCs w:val="24"/>
        </w:rPr>
        <w:t xml:space="preserve"> (</w:t>
      </w:r>
      <w:r w:rsidR="004E65E1" w:rsidRPr="003303F8">
        <w:rPr>
          <w:i/>
          <w:kern w:val="0"/>
          <w:sz w:val="24"/>
          <w:szCs w:val="24"/>
        </w:rPr>
        <w:t>P</w:t>
      </w:r>
      <w:r w:rsidR="004E65E1" w:rsidRPr="003303F8">
        <w:rPr>
          <w:kern w:val="0"/>
          <w:sz w:val="24"/>
          <w:szCs w:val="24"/>
        </w:rPr>
        <w:t>_</w:t>
      </w:r>
      <w:r w:rsidR="004E65E1" w:rsidRPr="003303F8">
        <w:rPr>
          <w:i/>
          <w:kern w:val="0"/>
          <w:sz w:val="24"/>
          <w:szCs w:val="24"/>
        </w:rPr>
        <w:t>EQ</w:t>
      </w:r>
      <w:r w:rsidR="004E65E1" w:rsidRPr="003303F8">
        <w:rPr>
          <w:kern w:val="0"/>
          <w:sz w:val="24"/>
          <w:szCs w:val="24"/>
        </w:rPr>
        <w:t xml:space="preserve"> in the top quartile)</w:t>
      </w:r>
      <w:r w:rsidRPr="003303F8">
        <w:rPr>
          <w:kern w:val="0"/>
          <w:sz w:val="24"/>
          <w:szCs w:val="24"/>
        </w:rPr>
        <w:t xml:space="preserve"> have significantly lower</w:t>
      </w:r>
      <w:r w:rsidR="00AA0FDE" w:rsidRPr="003303F8">
        <w:rPr>
          <w:i/>
          <w:kern w:val="0"/>
          <w:sz w:val="24"/>
          <w:szCs w:val="24"/>
        </w:rPr>
        <w:t xml:space="preserve"> </w:t>
      </w:r>
      <w:r w:rsidR="00686EAB" w:rsidRPr="003303F8">
        <w:rPr>
          <w:i/>
          <w:kern w:val="0"/>
          <w:sz w:val="24"/>
          <w:szCs w:val="24"/>
        </w:rPr>
        <w:t>ICoE</w:t>
      </w:r>
      <w:r w:rsidR="00686EAB" w:rsidRPr="003303F8">
        <w:rPr>
          <w:kern w:val="0"/>
          <w:sz w:val="24"/>
          <w:szCs w:val="24"/>
        </w:rPr>
        <w:t>,</w:t>
      </w:r>
      <w:r w:rsidR="00686EAB" w:rsidRPr="003303F8">
        <w:rPr>
          <w:i/>
          <w:kern w:val="0"/>
          <w:sz w:val="24"/>
          <w:szCs w:val="24"/>
        </w:rPr>
        <w:t xml:space="preserve"> </w:t>
      </w:r>
      <w:r w:rsidRPr="003303F8">
        <w:rPr>
          <w:i/>
          <w:kern w:val="0"/>
          <w:sz w:val="24"/>
          <w:szCs w:val="24"/>
        </w:rPr>
        <w:t xml:space="preserve">Beta, </w:t>
      </w:r>
      <w:r w:rsidRPr="003303F8">
        <w:rPr>
          <w:kern w:val="0"/>
          <w:sz w:val="24"/>
          <w:szCs w:val="24"/>
        </w:rPr>
        <w:t>and</w:t>
      </w:r>
      <w:r w:rsidR="00AA0FDE" w:rsidRPr="003303F8">
        <w:rPr>
          <w:kern w:val="0"/>
          <w:sz w:val="24"/>
          <w:szCs w:val="24"/>
        </w:rPr>
        <w:t xml:space="preserve"> </w:t>
      </w:r>
      <w:r w:rsidR="00AA0FDE" w:rsidRPr="003303F8">
        <w:rPr>
          <w:i/>
          <w:kern w:val="0"/>
          <w:sz w:val="24"/>
          <w:szCs w:val="24"/>
        </w:rPr>
        <w:t>IndEP</w:t>
      </w:r>
      <w:r w:rsidRPr="003303F8">
        <w:rPr>
          <w:kern w:val="0"/>
          <w:sz w:val="24"/>
          <w:szCs w:val="24"/>
        </w:rPr>
        <w:t>.</w:t>
      </w:r>
      <w:r w:rsidR="006A25B5" w:rsidRPr="003303F8">
        <w:rPr>
          <w:kern w:val="0"/>
          <w:sz w:val="24"/>
          <w:szCs w:val="24"/>
        </w:rPr>
        <w:t xml:space="preserve"> For example, the portfolio with high </w:t>
      </w:r>
      <w:r w:rsidR="006A25B5" w:rsidRPr="003303F8">
        <w:rPr>
          <w:i/>
          <w:kern w:val="0"/>
          <w:sz w:val="24"/>
          <w:szCs w:val="24"/>
        </w:rPr>
        <w:t>P_EQew</w:t>
      </w:r>
      <w:r w:rsidR="006A25B5" w:rsidRPr="003303F8">
        <w:rPr>
          <w:kern w:val="0"/>
          <w:sz w:val="24"/>
          <w:szCs w:val="24"/>
        </w:rPr>
        <w:t xml:space="preserve"> has a 0.</w:t>
      </w:r>
      <w:r w:rsidR="00B75293" w:rsidRPr="003303F8">
        <w:rPr>
          <w:kern w:val="0"/>
          <w:sz w:val="24"/>
          <w:szCs w:val="24"/>
        </w:rPr>
        <w:t xml:space="preserve">029 </w:t>
      </w:r>
      <w:r w:rsidR="006A25B5" w:rsidRPr="003303F8">
        <w:rPr>
          <w:kern w:val="0"/>
          <w:sz w:val="24"/>
          <w:szCs w:val="24"/>
        </w:rPr>
        <w:t xml:space="preserve">lower </w:t>
      </w:r>
      <w:r w:rsidR="006A25B5" w:rsidRPr="003303F8">
        <w:rPr>
          <w:i/>
          <w:kern w:val="0"/>
          <w:sz w:val="24"/>
          <w:szCs w:val="24"/>
        </w:rPr>
        <w:t>ICoE</w:t>
      </w:r>
      <w:r w:rsidR="006A25B5" w:rsidRPr="003303F8">
        <w:rPr>
          <w:kern w:val="0"/>
          <w:sz w:val="24"/>
          <w:szCs w:val="24"/>
        </w:rPr>
        <w:t>,</w:t>
      </w:r>
      <w:r w:rsidR="006A25B5" w:rsidRPr="003303F8">
        <w:rPr>
          <w:i/>
          <w:kern w:val="0"/>
          <w:sz w:val="24"/>
          <w:szCs w:val="24"/>
        </w:rPr>
        <w:t xml:space="preserve"> </w:t>
      </w:r>
      <w:r w:rsidR="006A25B5" w:rsidRPr="003303F8">
        <w:rPr>
          <w:kern w:val="0"/>
          <w:sz w:val="24"/>
          <w:szCs w:val="24"/>
        </w:rPr>
        <w:t xml:space="preserve">suggesting a </w:t>
      </w:r>
      <w:r w:rsidR="00B75293" w:rsidRPr="003303F8">
        <w:rPr>
          <w:kern w:val="0"/>
          <w:sz w:val="24"/>
          <w:szCs w:val="24"/>
        </w:rPr>
        <w:t xml:space="preserve">290 </w:t>
      </w:r>
      <w:r w:rsidR="006A25B5" w:rsidRPr="003303F8">
        <w:rPr>
          <w:kern w:val="0"/>
          <w:sz w:val="24"/>
          <w:szCs w:val="24"/>
        </w:rPr>
        <w:t>basis-point lower implied cost of equity.</w:t>
      </w:r>
    </w:p>
    <w:p w:rsidR="00263729" w:rsidRPr="003303F8" w:rsidRDefault="006A25B5" w:rsidP="00006DFB">
      <w:pPr>
        <w:widowControl/>
        <w:overflowPunct/>
        <w:autoSpaceDE/>
        <w:autoSpaceDN/>
        <w:snapToGrid w:val="0"/>
        <w:spacing w:line="480" w:lineRule="auto"/>
        <w:ind w:firstLine="720"/>
        <w:rPr>
          <w:kern w:val="0"/>
          <w:sz w:val="24"/>
          <w:szCs w:val="24"/>
        </w:rPr>
      </w:pPr>
      <w:r w:rsidRPr="003303F8">
        <w:rPr>
          <w:kern w:val="0"/>
          <w:sz w:val="24"/>
          <w:szCs w:val="24"/>
        </w:rPr>
        <w:t xml:space="preserve">Because </w:t>
      </w:r>
      <w:r w:rsidRPr="003303F8">
        <w:rPr>
          <w:i/>
          <w:kern w:val="0"/>
          <w:sz w:val="24"/>
          <w:szCs w:val="24"/>
        </w:rPr>
        <w:t>EQ</w:t>
      </w:r>
      <w:r w:rsidRPr="003303F8">
        <w:rPr>
          <w:kern w:val="0"/>
          <w:sz w:val="24"/>
          <w:szCs w:val="24"/>
        </w:rPr>
        <w:t xml:space="preserve"> and </w:t>
      </w:r>
      <w:r w:rsidRPr="003303F8">
        <w:rPr>
          <w:i/>
          <w:kern w:val="0"/>
          <w:sz w:val="24"/>
          <w:szCs w:val="24"/>
        </w:rPr>
        <w:t>P_EQ</w:t>
      </w:r>
      <w:r w:rsidRPr="003303F8">
        <w:rPr>
          <w:kern w:val="0"/>
          <w:sz w:val="24"/>
          <w:szCs w:val="24"/>
        </w:rPr>
        <w:t xml:space="preserve"> are highly correlated, </w:t>
      </w:r>
      <w:r w:rsidR="004E65E1" w:rsidRPr="003303F8">
        <w:rPr>
          <w:kern w:val="0"/>
          <w:sz w:val="24"/>
          <w:szCs w:val="24"/>
        </w:rPr>
        <w:t xml:space="preserve">I further provide </w:t>
      </w:r>
      <w:r w:rsidR="00006DFB" w:rsidRPr="003303F8">
        <w:rPr>
          <w:kern w:val="0"/>
          <w:sz w:val="24"/>
          <w:szCs w:val="24"/>
        </w:rPr>
        <w:t xml:space="preserve">residual sorts in </w:t>
      </w:r>
      <w:r w:rsidR="004E65E1" w:rsidRPr="003303F8">
        <w:rPr>
          <w:kern w:val="0"/>
          <w:sz w:val="24"/>
          <w:szCs w:val="24"/>
        </w:rPr>
        <w:t>Panel B</w:t>
      </w:r>
      <w:r w:rsidR="00C174EA" w:rsidRPr="003303F8">
        <w:rPr>
          <w:kern w:val="0"/>
          <w:sz w:val="24"/>
          <w:szCs w:val="24"/>
        </w:rPr>
        <w:t xml:space="preserve"> to isolate the effects of</w:t>
      </w:r>
      <w:r w:rsidR="00C174EA" w:rsidRPr="003303F8">
        <w:rPr>
          <w:i/>
          <w:kern w:val="0"/>
          <w:sz w:val="24"/>
          <w:szCs w:val="24"/>
        </w:rPr>
        <w:t xml:space="preserve"> EQ</w:t>
      </w:r>
      <w:r w:rsidR="00C174EA" w:rsidRPr="003303F8">
        <w:rPr>
          <w:kern w:val="0"/>
          <w:sz w:val="24"/>
          <w:szCs w:val="24"/>
        </w:rPr>
        <w:t xml:space="preserve"> and </w:t>
      </w:r>
      <w:r w:rsidR="00C174EA" w:rsidRPr="003303F8">
        <w:rPr>
          <w:i/>
          <w:kern w:val="0"/>
          <w:sz w:val="24"/>
          <w:szCs w:val="24"/>
        </w:rPr>
        <w:t>P_EQ</w:t>
      </w:r>
      <w:r w:rsidR="004E65E1" w:rsidRPr="003303F8">
        <w:rPr>
          <w:kern w:val="0"/>
          <w:sz w:val="24"/>
          <w:szCs w:val="24"/>
        </w:rPr>
        <w:t xml:space="preserve">. </w:t>
      </w:r>
      <w:r w:rsidR="00006DFB" w:rsidRPr="003303F8">
        <w:rPr>
          <w:kern w:val="0"/>
          <w:sz w:val="24"/>
          <w:szCs w:val="24"/>
        </w:rPr>
        <w:t xml:space="preserve">To conduct the residual sorts, I first regress </w:t>
      </w:r>
      <w:r w:rsidR="00AA0FDE" w:rsidRPr="003303F8">
        <w:rPr>
          <w:i/>
          <w:kern w:val="0"/>
          <w:sz w:val="24"/>
          <w:szCs w:val="24"/>
        </w:rPr>
        <w:t>ICoE</w:t>
      </w:r>
      <w:r w:rsidR="00AA0FDE" w:rsidRPr="003303F8">
        <w:rPr>
          <w:kern w:val="0"/>
          <w:sz w:val="24"/>
          <w:szCs w:val="24"/>
        </w:rPr>
        <w:t>,</w:t>
      </w:r>
      <w:r w:rsidR="00AA0FDE" w:rsidRPr="003303F8">
        <w:rPr>
          <w:i/>
          <w:kern w:val="0"/>
          <w:sz w:val="24"/>
          <w:szCs w:val="24"/>
        </w:rPr>
        <w:t xml:space="preserve"> Beta, </w:t>
      </w:r>
      <w:r w:rsidR="00AA0FDE" w:rsidRPr="003303F8">
        <w:rPr>
          <w:kern w:val="0"/>
          <w:sz w:val="24"/>
          <w:szCs w:val="24"/>
        </w:rPr>
        <w:t xml:space="preserve">and </w:t>
      </w:r>
      <w:r w:rsidR="00AA0FDE" w:rsidRPr="003303F8">
        <w:rPr>
          <w:i/>
          <w:kern w:val="0"/>
          <w:sz w:val="24"/>
          <w:szCs w:val="24"/>
        </w:rPr>
        <w:t>IndEP</w:t>
      </w:r>
      <w:r w:rsidR="00006DFB" w:rsidRPr="003303F8">
        <w:rPr>
          <w:kern w:val="0"/>
          <w:sz w:val="24"/>
          <w:szCs w:val="24"/>
        </w:rPr>
        <w:t xml:space="preserve"> on </w:t>
      </w:r>
      <w:r w:rsidR="00006DFB" w:rsidRPr="003303F8">
        <w:rPr>
          <w:i/>
          <w:kern w:val="0"/>
          <w:sz w:val="24"/>
          <w:szCs w:val="24"/>
        </w:rPr>
        <w:t>EQ</w:t>
      </w:r>
      <w:r w:rsidR="00006DFB" w:rsidRPr="003303F8">
        <w:rPr>
          <w:kern w:val="0"/>
          <w:sz w:val="24"/>
          <w:szCs w:val="24"/>
        </w:rPr>
        <w:t>, separately.</w:t>
      </w:r>
      <w:r w:rsidR="00121591" w:rsidRPr="003303F8">
        <w:rPr>
          <w:rStyle w:val="FootnoteReference"/>
          <w:kern w:val="0"/>
          <w:sz w:val="24"/>
          <w:szCs w:val="24"/>
        </w:rPr>
        <w:footnoteReference w:id="33"/>
      </w:r>
      <w:r w:rsidR="00006DFB" w:rsidRPr="003303F8">
        <w:rPr>
          <w:kern w:val="0"/>
          <w:sz w:val="24"/>
          <w:szCs w:val="24"/>
        </w:rPr>
        <w:t xml:space="preserve"> Then, I obtain the residuals from th</w:t>
      </w:r>
      <w:r w:rsidR="00121591" w:rsidRPr="003303F8">
        <w:rPr>
          <w:kern w:val="0"/>
          <w:sz w:val="24"/>
          <w:szCs w:val="24"/>
        </w:rPr>
        <w:t>e</w:t>
      </w:r>
      <w:r w:rsidR="00006DFB" w:rsidRPr="003303F8">
        <w:rPr>
          <w:kern w:val="0"/>
          <w:sz w:val="24"/>
          <w:szCs w:val="24"/>
        </w:rPr>
        <w:t>se regressions</w:t>
      </w:r>
      <w:r w:rsidR="00121591" w:rsidRPr="003303F8">
        <w:rPr>
          <w:kern w:val="0"/>
          <w:sz w:val="24"/>
          <w:szCs w:val="24"/>
        </w:rPr>
        <w:t xml:space="preserve">. Further, for each of the portfolios formed based on </w:t>
      </w:r>
      <w:r w:rsidR="00121591" w:rsidRPr="003303F8">
        <w:rPr>
          <w:i/>
          <w:kern w:val="0"/>
          <w:sz w:val="24"/>
          <w:szCs w:val="24"/>
        </w:rPr>
        <w:t>P_EQ</w:t>
      </w:r>
      <w:r w:rsidR="00121591" w:rsidRPr="003303F8">
        <w:rPr>
          <w:kern w:val="0"/>
          <w:sz w:val="24"/>
          <w:szCs w:val="24"/>
        </w:rPr>
        <w:t xml:space="preserve">, </w:t>
      </w:r>
      <w:r w:rsidR="00006DFB" w:rsidRPr="003303F8">
        <w:rPr>
          <w:kern w:val="0"/>
          <w:sz w:val="24"/>
          <w:szCs w:val="24"/>
        </w:rPr>
        <w:t>I calcula</w:t>
      </w:r>
      <w:r w:rsidR="00121591" w:rsidRPr="003303F8">
        <w:rPr>
          <w:kern w:val="0"/>
          <w:sz w:val="24"/>
          <w:szCs w:val="24"/>
        </w:rPr>
        <w:t xml:space="preserve">te </w:t>
      </w:r>
      <w:r w:rsidR="00121591" w:rsidRPr="003303F8">
        <w:rPr>
          <w:kern w:val="0"/>
          <w:sz w:val="24"/>
          <w:szCs w:val="24"/>
        </w:rPr>
        <w:lastRenderedPageBreak/>
        <w:t>the equally</w:t>
      </w:r>
      <w:r w:rsidR="00924C8A" w:rsidRPr="003303F8">
        <w:rPr>
          <w:kern w:val="0"/>
          <w:sz w:val="24"/>
          <w:szCs w:val="24"/>
        </w:rPr>
        <w:t>-</w:t>
      </w:r>
      <w:r w:rsidR="00121591" w:rsidRPr="003303F8">
        <w:rPr>
          <w:kern w:val="0"/>
          <w:sz w:val="24"/>
          <w:szCs w:val="24"/>
        </w:rPr>
        <w:t>weighted average values</w:t>
      </w:r>
      <w:r w:rsidR="00006DFB" w:rsidRPr="003303F8">
        <w:rPr>
          <w:kern w:val="0"/>
          <w:sz w:val="24"/>
          <w:szCs w:val="24"/>
        </w:rPr>
        <w:t xml:space="preserve"> of the</w:t>
      </w:r>
      <w:r w:rsidR="00121591" w:rsidRPr="003303F8">
        <w:rPr>
          <w:kern w:val="0"/>
          <w:sz w:val="24"/>
          <w:szCs w:val="24"/>
        </w:rPr>
        <w:t xml:space="preserve"> regression</w:t>
      </w:r>
      <w:r w:rsidR="00006DFB" w:rsidRPr="003303F8">
        <w:rPr>
          <w:kern w:val="0"/>
          <w:sz w:val="24"/>
          <w:szCs w:val="24"/>
        </w:rPr>
        <w:t xml:space="preserve"> residuals</w:t>
      </w:r>
      <w:r w:rsidR="004E65E1" w:rsidRPr="003303F8">
        <w:rPr>
          <w:kern w:val="0"/>
          <w:sz w:val="24"/>
          <w:szCs w:val="24"/>
        </w:rPr>
        <w:t xml:space="preserve">. </w:t>
      </w:r>
      <w:r w:rsidR="00C174EA" w:rsidRPr="003303F8">
        <w:rPr>
          <w:kern w:val="0"/>
          <w:sz w:val="24"/>
          <w:szCs w:val="24"/>
        </w:rPr>
        <w:t xml:space="preserve">All results remain consistent with expectation. </w:t>
      </w:r>
      <w:r w:rsidR="00AF3D9E" w:rsidRPr="003303F8">
        <w:rPr>
          <w:kern w:val="0"/>
          <w:sz w:val="24"/>
          <w:szCs w:val="24"/>
        </w:rPr>
        <w:t xml:space="preserve">Compared to multiple regressions, tests using sorts have the advantage that the relation between dependent variables and sort variables are not forced to be </w:t>
      </w:r>
      <w:r w:rsidR="00263729" w:rsidRPr="003303F8">
        <w:rPr>
          <w:kern w:val="0"/>
          <w:sz w:val="24"/>
          <w:szCs w:val="24"/>
        </w:rPr>
        <w:t>lin</w:t>
      </w:r>
      <w:r w:rsidR="00AF3D9E" w:rsidRPr="003303F8">
        <w:rPr>
          <w:kern w:val="0"/>
          <w:sz w:val="24"/>
          <w:szCs w:val="24"/>
        </w:rPr>
        <w:t>ear</w:t>
      </w:r>
      <w:r w:rsidR="00263729" w:rsidRPr="003303F8">
        <w:rPr>
          <w:kern w:val="0"/>
          <w:sz w:val="24"/>
          <w:szCs w:val="24"/>
        </w:rPr>
        <w:t xml:space="preserve">. </w:t>
      </w:r>
      <w:r w:rsidR="00AF3D9E" w:rsidRPr="003303F8">
        <w:rPr>
          <w:kern w:val="0"/>
          <w:sz w:val="24"/>
          <w:szCs w:val="24"/>
        </w:rPr>
        <w:t xml:space="preserve">Thus, results using sorts can complement the multiple regression tests later.   </w:t>
      </w:r>
    </w:p>
    <w:p w:rsidR="00DF0E0F" w:rsidRPr="003303F8" w:rsidRDefault="00DF0E0F" w:rsidP="00385254">
      <w:pPr>
        <w:pStyle w:val="Heading2"/>
        <w:spacing w:before="0"/>
        <w:rPr>
          <w:szCs w:val="24"/>
        </w:rPr>
      </w:pPr>
    </w:p>
    <w:p w:rsidR="00AA0FDE" w:rsidRPr="003303F8" w:rsidRDefault="00AA0FDE" w:rsidP="00BB7F61">
      <w:pPr>
        <w:pStyle w:val="Heading2"/>
        <w:spacing w:before="0" w:line="480" w:lineRule="auto"/>
        <w:rPr>
          <w:szCs w:val="24"/>
        </w:rPr>
      </w:pPr>
      <w:bookmarkStart w:id="116" w:name="_Toc378087515"/>
      <w:bookmarkStart w:id="117" w:name="_Toc378087555"/>
      <w:bookmarkStart w:id="118" w:name="_Toc378088364"/>
      <w:bookmarkStart w:id="119" w:name="_Toc378088753"/>
      <w:bookmarkStart w:id="120" w:name="_Toc378088889"/>
      <w:r w:rsidRPr="003303F8">
        <w:rPr>
          <w:szCs w:val="24"/>
        </w:rPr>
        <w:t>Market Risk Factor Test</w:t>
      </w:r>
      <w:bookmarkEnd w:id="116"/>
      <w:bookmarkEnd w:id="117"/>
      <w:bookmarkEnd w:id="118"/>
      <w:bookmarkEnd w:id="119"/>
      <w:bookmarkEnd w:id="120"/>
    </w:p>
    <w:p w:rsidR="00AA0FDE" w:rsidRPr="003303F8" w:rsidRDefault="00AA0FDE" w:rsidP="00AA0FDE">
      <w:pPr>
        <w:widowControl/>
        <w:overflowPunct/>
        <w:autoSpaceDE/>
        <w:autoSpaceDN/>
        <w:snapToGrid w:val="0"/>
        <w:spacing w:line="480" w:lineRule="auto"/>
        <w:ind w:firstLine="720"/>
        <w:rPr>
          <w:kern w:val="0"/>
          <w:sz w:val="24"/>
          <w:szCs w:val="24"/>
        </w:rPr>
      </w:pPr>
      <w:r w:rsidRPr="003303F8">
        <w:rPr>
          <w:kern w:val="0"/>
          <w:sz w:val="24"/>
          <w:szCs w:val="24"/>
        </w:rPr>
        <w:t xml:space="preserve">The four factor regression is estimated with firm-clustered standard errors in Table 5. As in equation (3), the regression includes four common risk factors </w:t>
      </w:r>
      <w:r w:rsidRPr="003303F8">
        <w:rPr>
          <w:rFonts w:eastAsia="Times"/>
          <w:kern w:val="0"/>
          <w:sz w:val="24"/>
          <w:szCs w:val="24"/>
          <w:lang w:eastAsia="en-US"/>
        </w:rPr>
        <w:t>(market factor [</w:t>
      </w:r>
      <w:r w:rsidRPr="003303F8">
        <w:rPr>
          <w:rFonts w:eastAsia="Times"/>
          <w:i/>
          <w:kern w:val="0"/>
          <w:sz w:val="24"/>
          <w:szCs w:val="24"/>
          <w:lang w:eastAsia="en-US"/>
        </w:rPr>
        <w:t>MKTRF</w:t>
      </w:r>
      <w:r w:rsidRPr="003303F8">
        <w:rPr>
          <w:rFonts w:eastAsia="Times"/>
          <w:kern w:val="0"/>
          <w:sz w:val="24"/>
          <w:szCs w:val="24"/>
          <w:lang w:eastAsia="en-US"/>
        </w:rPr>
        <w:t>], size factor [</w:t>
      </w:r>
      <w:r w:rsidRPr="003303F8">
        <w:rPr>
          <w:rFonts w:eastAsia="Times"/>
          <w:i/>
          <w:kern w:val="0"/>
          <w:sz w:val="24"/>
          <w:szCs w:val="24"/>
          <w:lang w:eastAsia="en-US"/>
        </w:rPr>
        <w:t>SMB</w:t>
      </w:r>
      <w:r w:rsidRPr="003303F8">
        <w:rPr>
          <w:rFonts w:eastAsia="Times"/>
          <w:kern w:val="0"/>
          <w:sz w:val="24"/>
          <w:szCs w:val="24"/>
          <w:lang w:eastAsia="en-US"/>
        </w:rPr>
        <w:t>], value factor [</w:t>
      </w:r>
      <w:r w:rsidRPr="003303F8">
        <w:rPr>
          <w:rFonts w:eastAsia="Times"/>
          <w:i/>
          <w:kern w:val="0"/>
          <w:sz w:val="24"/>
          <w:szCs w:val="24"/>
          <w:lang w:eastAsia="en-US"/>
        </w:rPr>
        <w:t>HML</w:t>
      </w:r>
      <w:r w:rsidRPr="003303F8">
        <w:rPr>
          <w:rFonts w:eastAsia="Times"/>
          <w:kern w:val="0"/>
          <w:sz w:val="24"/>
          <w:szCs w:val="24"/>
          <w:lang w:eastAsia="en-US"/>
        </w:rPr>
        <w:t>], momentum factor [</w:t>
      </w:r>
      <w:r w:rsidRPr="003303F8">
        <w:rPr>
          <w:rFonts w:eastAsia="Times"/>
          <w:i/>
          <w:kern w:val="0"/>
          <w:sz w:val="24"/>
          <w:szCs w:val="24"/>
          <w:lang w:eastAsia="en-US"/>
        </w:rPr>
        <w:t>UMD</w:t>
      </w:r>
      <w:r w:rsidRPr="003303F8">
        <w:rPr>
          <w:rFonts w:eastAsia="Times"/>
          <w:kern w:val="0"/>
          <w:sz w:val="24"/>
          <w:szCs w:val="24"/>
          <w:lang w:eastAsia="en-US"/>
        </w:rPr>
        <w:t>])</w:t>
      </w:r>
      <w:r w:rsidRPr="003303F8">
        <w:rPr>
          <w:kern w:val="0"/>
          <w:sz w:val="24"/>
          <w:szCs w:val="24"/>
        </w:rPr>
        <w:t xml:space="preserve">, several firm attributes, and their interactions. The first column in Table </w:t>
      </w:r>
      <w:r w:rsidR="008B7F2C" w:rsidRPr="003303F8">
        <w:rPr>
          <w:kern w:val="0"/>
          <w:sz w:val="24"/>
          <w:szCs w:val="24"/>
        </w:rPr>
        <w:t xml:space="preserve">5 </w:t>
      </w:r>
      <w:r w:rsidRPr="003303F8">
        <w:rPr>
          <w:kern w:val="0"/>
          <w:sz w:val="24"/>
          <w:szCs w:val="24"/>
        </w:rPr>
        <w:t xml:space="preserve">estimates a base model. As expected, I find a significant negative correlation between </w:t>
      </w:r>
      <w:r w:rsidRPr="003303F8">
        <w:rPr>
          <w:i/>
          <w:kern w:val="0"/>
          <w:sz w:val="24"/>
          <w:szCs w:val="24"/>
        </w:rPr>
        <w:t>EXRET</w:t>
      </w:r>
      <w:r w:rsidRPr="003303F8">
        <w:rPr>
          <w:kern w:val="0"/>
          <w:sz w:val="24"/>
          <w:szCs w:val="24"/>
        </w:rPr>
        <w:t xml:space="preserve"> and </w:t>
      </w:r>
      <w:r w:rsidRPr="003303F8">
        <w:rPr>
          <w:i/>
          <w:kern w:val="0"/>
          <w:sz w:val="24"/>
          <w:szCs w:val="24"/>
        </w:rPr>
        <w:t>H_EQ</w:t>
      </w:r>
      <w:r w:rsidRPr="003303F8">
        <w:rPr>
          <w:kern w:val="0"/>
          <w:sz w:val="24"/>
          <w:szCs w:val="24"/>
        </w:rPr>
        <w:t>×</w:t>
      </w:r>
      <w:r w:rsidRPr="003303F8">
        <w:rPr>
          <w:i/>
          <w:kern w:val="0"/>
          <w:sz w:val="24"/>
          <w:szCs w:val="24"/>
        </w:rPr>
        <w:t>MKTRF</w:t>
      </w:r>
      <w:r w:rsidRPr="003303F8">
        <w:rPr>
          <w:kern w:val="0"/>
          <w:sz w:val="24"/>
          <w:szCs w:val="24"/>
        </w:rPr>
        <w:t xml:space="preserve"> (−0.</w:t>
      </w:r>
      <w:r w:rsidR="00C72094" w:rsidRPr="003303F8">
        <w:rPr>
          <w:kern w:val="0"/>
          <w:sz w:val="24"/>
          <w:szCs w:val="24"/>
        </w:rPr>
        <w:t>229</w:t>
      </w:r>
      <w:r w:rsidRPr="003303F8">
        <w:rPr>
          <w:kern w:val="0"/>
          <w:sz w:val="24"/>
          <w:szCs w:val="24"/>
        </w:rPr>
        <w:t xml:space="preserve">; </w:t>
      </w:r>
      <w:r w:rsidR="000538F4" w:rsidRPr="003303F8">
        <w:rPr>
          <w:i/>
          <w:kern w:val="0"/>
          <w:sz w:val="24"/>
          <w:szCs w:val="24"/>
        </w:rPr>
        <w:t>t</w:t>
      </w:r>
      <w:r w:rsidR="000538F4" w:rsidRPr="003303F8">
        <w:rPr>
          <w:kern w:val="0"/>
          <w:sz w:val="24"/>
          <w:szCs w:val="24"/>
        </w:rPr>
        <w:t>-statistics=</w:t>
      </w:r>
      <w:r w:rsidRPr="003303F8">
        <w:rPr>
          <w:kern w:val="0"/>
          <w:sz w:val="24"/>
          <w:szCs w:val="24"/>
        </w:rPr>
        <w:t xml:space="preserve"> −</w:t>
      </w:r>
      <w:r w:rsidR="00C72094" w:rsidRPr="003303F8">
        <w:rPr>
          <w:kern w:val="0"/>
          <w:sz w:val="24"/>
          <w:szCs w:val="24"/>
        </w:rPr>
        <w:t>15.69</w:t>
      </w:r>
      <w:r w:rsidRPr="003303F8">
        <w:rPr>
          <w:kern w:val="0"/>
          <w:sz w:val="24"/>
          <w:szCs w:val="24"/>
        </w:rPr>
        <w:t xml:space="preserve">), consistent with earnings quality reducing a firm’s market risk (Ng [2011]). The second and third columns test the effects of peer firm earnings quality. I find significant negative coefficients on </w:t>
      </w:r>
      <w:r w:rsidRPr="003303F8">
        <w:rPr>
          <w:i/>
          <w:kern w:val="0"/>
          <w:sz w:val="24"/>
          <w:szCs w:val="24"/>
        </w:rPr>
        <w:t>H_P_EQ</w:t>
      </w:r>
      <w:r w:rsidRPr="003303F8">
        <w:rPr>
          <w:kern w:val="0"/>
          <w:sz w:val="24"/>
          <w:szCs w:val="24"/>
        </w:rPr>
        <w:t>×</w:t>
      </w:r>
      <w:r w:rsidRPr="003303F8">
        <w:rPr>
          <w:i/>
          <w:kern w:val="0"/>
          <w:sz w:val="24"/>
          <w:szCs w:val="24"/>
        </w:rPr>
        <w:t>MKTRF</w:t>
      </w:r>
      <w:r w:rsidRPr="003303F8">
        <w:rPr>
          <w:kern w:val="0"/>
          <w:sz w:val="24"/>
          <w:szCs w:val="24"/>
        </w:rPr>
        <w:t xml:space="preserve"> for the two alternative measures of </w:t>
      </w:r>
      <w:r w:rsidRPr="003303F8">
        <w:rPr>
          <w:i/>
          <w:kern w:val="0"/>
          <w:sz w:val="24"/>
          <w:szCs w:val="24"/>
        </w:rPr>
        <w:t>H_P_EQ</w:t>
      </w:r>
      <w:r w:rsidRPr="003303F8">
        <w:rPr>
          <w:kern w:val="0"/>
          <w:sz w:val="24"/>
          <w:szCs w:val="24"/>
        </w:rPr>
        <w:t xml:space="preserve">.  The coefficients on </w:t>
      </w:r>
      <w:r w:rsidRPr="003303F8">
        <w:rPr>
          <w:i/>
          <w:kern w:val="0"/>
          <w:sz w:val="24"/>
          <w:szCs w:val="24"/>
        </w:rPr>
        <w:t>H_EQ</w:t>
      </w:r>
      <w:r w:rsidRPr="003303F8">
        <w:rPr>
          <w:kern w:val="0"/>
          <w:sz w:val="24"/>
          <w:szCs w:val="24"/>
        </w:rPr>
        <w:t>×</w:t>
      </w:r>
      <w:r w:rsidRPr="003303F8">
        <w:rPr>
          <w:i/>
          <w:kern w:val="0"/>
          <w:sz w:val="24"/>
          <w:szCs w:val="24"/>
        </w:rPr>
        <w:t>MKTRF</w:t>
      </w:r>
      <w:r w:rsidRPr="003303F8">
        <w:rPr>
          <w:kern w:val="0"/>
          <w:sz w:val="24"/>
          <w:szCs w:val="24"/>
        </w:rPr>
        <w:t xml:space="preserve"> are still significantly negative. </w:t>
      </w:r>
    </w:p>
    <w:p w:rsidR="00AA0FDE" w:rsidRPr="003303F8" w:rsidRDefault="00AA0FDE" w:rsidP="00AA0FDE">
      <w:pPr>
        <w:widowControl/>
        <w:overflowPunct/>
        <w:autoSpaceDE/>
        <w:autoSpaceDN/>
        <w:snapToGrid w:val="0"/>
        <w:spacing w:line="480" w:lineRule="auto"/>
        <w:ind w:firstLine="720"/>
        <w:rPr>
          <w:kern w:val="0"/>
          <w:sz w:val="24"/>
          <w:szCs w:val="24"/>
        </w:rPr>
      </w:pPr>
      <w:r w:rsidRPr="003303F8">
        <w:rPr>
          <w:kern w:val="0"/>
          <w:sz w:val="24"/>
          <w:szCs w:val="24"/>
        </w:rPr>
        <w:t xml:space="preserve">In columns (a4) to (a7), I split the sample based on whether the market excess return is positive or negative. As shown in section 2.2.3, equation </w:t>
      </w:r>
      <w:r w:rsidRPr="003303F8">
        <w:rPr>
          <w:sz w:val="24"/>
          <w:szCs w:val="24"/>
        </w:rPr>
        <w:t>(6)</w:t>
      </w:r>
      <w:r w:rsidRPr="003303F8">
        <w:rPr>
          <w:kern w:val="0"/>
          <w:sz w:val="24"/>
          <w:szCs w:val="24"/>
        </w:rPr>
        <w:t xml:space="preserve"> from</w:t>
      </w:r>
      <w:r w:rsidRPr="003303F8">
        <w:rPr>
          <w:sz w:val="24"/>
          <w:szCs w:val="24"/>
        </w:rPr>
        <w:t xml:space="preserve"> LLV suggests the effect of earnings quality and that of peer firm earnings quality are greater when the unconditional covariance is greater. </w:t>
      </w:r>
      <w:r w:rsidRPr="003303F8">
        <w:rPr>
          <w:kern w:val="0"/>
          <w:sz w:val="24"/>
          <w:szCs w:val="24"/>
        </w:rPr>
        <w:t xml:space="preserve">Interestingly, recent finance studies (e.g., Ang and Chen, [2002]; Hong, Tu and Zhou, [2007]) find most stock returns are more highly correlated when the market goes down. Therefore, I expect </w:t>
      </w:r>
      <w:r w:rsidRPr="003303F8">
        <w:rPr>
          <w:i/>
          <w:kern w:val="0"/>
          <w:sz w:val="24"/>
          <w:szCs w:val="24"/>
        </w:rPr>
        <w:t>H_EQ</w:t>
      </w:r>
      <w:r w:rsidRPr="003303F8">
        <w:rPr>
          <w:kern w:val="0"/>
          <w:sz w:val="24"/>
          <w:szCs w:val="24"/>
        </w:rPr>
        <w:t xml:space="preserve"> and </w:t>
      </w:r>
      <w:r w:rsidRPr="003303F8">
        <w:rPr>
          <w:i/>
          <w:kern w:val="0"/>
          <w:sz w:val="24"/>
          <w:szCs w:val="24"/>
        </w:rPr>
        <w:t xml:space="preserve">H_P_EQ </w:t>
      </w:r>
      <w:r w:rsidRPr="003303F8">
        <w:rPr>
          <w:kern w:val="0"/>
          <w:sz w:val="24"/>
          <w:szCs w:val="24"/>
        </w:rPr>
        <w:t xml:space="preserve">to have greater impacts on beta when the market goes down. My results show that for </w:t>
      </w:r>
      <w:r w:rsidRPr="003303F8">
        <w:rPr>
          <w:kern w:val="0"/>
          <w:sz w:val="24"/>
          <w:szCs w:val="24"/>
        </w:rPr>
        <w:lastRenderedPageBreak/>
        <w:t xml:space="preserve">market-level bad news, the coefficients on </w:t>
      </w:r>
      <w:r w:rsidRPr="003303F8">
        <w:rPr>
          <w:i/>
          <w:kern w:val="0"/>
          <w:sz w:val="24"/>
          <w:szCs w:val="24"/>
        </w:rPr>
        <w:t>H_EQ</w:t>
      </w:r>
      <w:r w:rsidRPr="003303F8">
        <w:rPr>
          <w:kern w:val="0"/>
          <w:sz w:val="24"/>
          <w:szCs w:val="24"/>
        </w:rPr>
        <w:t>×</w:t>
      </w:r>
      <w:r w:rsidRPr="003303F8">
        <w:rPr>
          <w:i/>
          <w:kern w:val="0"/>
          <w:sz w:val="24"/>
          <w:szCs w:val="24"/>
        </w:rPr>
        <w:t>MKTRF</w:t>
      </w:r>
      <w:r w:rsidRPr="003303F8">
        <w:rPr>
          <w:kern w:val="0"/>
          <w:sz w:val="24"/>
          <w:szCs w:val="24"/>
        </w:rPr>
        <w:t xml:space="preserve"> and </w:t>
      </w:r>
      <w:r w:rsidRPr="003303F8">
        <w:rPr>
          <w:i/>
          <w:kern w:val="0"/>
          <w:sz w:val="24"/>
          <w:szCs w:val="24"/>
        </w:rPr>
        <w:t>H_P_EQ</w:t>
      </w:r>
      <w:r w:rsidRPr="003303F8">
        <w:rPr>
          <w:kern w:val="0"/>
          <w:sz w:val="24"/>
          <w:szCs w:val="24"/>
        </w:rPr>
        <w:t>×</w:t>
      </w:r>
      <w:r w:rsidRPr="003303F8">
        <w:rPr>
          <w:i/>
          <w:kern w:val="0"/>
          <w:sz w:val="24"/>
          <w:szCs w:val="24"/>
        </w:rPr>
        <w:t>MKTRF</w:t>
      </w:r>
      <w:r w:rsidRPr="003303F8">
        <w:rPr>
          <w:kern w:val="0"/>
          <w:sz w:val="24"/>
          <w:szCs w:val="24"/>
        </w:rPr>
        <w:t xml:space="preserve"> are highly significant. However, none of these effects are significant for market-level good news. Also, using Z-statistics, the coefficient on</w:t>
      </w:r>
      <w:r w:rsidRPr="003303F8">
        <w:rPr>
          <w:i/>
          <w:kern w:val="0"/>
          <w:sz w:val="24"/>
          <w:szCs w:val="24"/>
        </w:rPr>
        <w:t xml:space="preserve"> H_P_EQ</w:t>
      </w:r>
      <w:r w:rsidRPr="003303F8">
        <w:rPr>
          <w:kern w:val="0"/>
          <w:sz w:val="24"/>
          <w:szCs w:val="24"/>
        </w:rPr>
        <w:t>×</w:t>
      </w:r>
      <w:r w:rsidRPr="003303F8">
        <w:rPr>
          <w:i/>
          <w:kern w:val="0"/>
          <w:sz w:val="24"/>
          <w:szCs w:val="24"/>
        </w:rPr>
        <w:t>MKTRF</w:t>
      </w:r>
      <w:r w:rsidRPr="003303F8">
        <w:rPr>
          <w:kern w:val="0"/>
          <w:sz w:val="24"/>
          <w:szCs w:val="24"/>
        </w:rPr>
        <w:t xml:space="preserve"> is significantly more negative for negative market returns at the </w:t>
      </w:r>
      <w:r w:rsidR="001B7822" w:rsidRPr="003303F8">
        <w:rPr>
          <w:kern w:val="0"/>
          <w:sz w:val="24"/>
          <w:szCs w:val="24"/>
        </w:rPr>
        <w:t>1</w:t>
      </w:r>
      <w:r w:rsidRPr="003303F8">
        <w:rPr>
          <w:kern w:val="0"/>
          <w:sz w:val="24"/>
          <w:szCs w:val="24"/>
        </w:rPr>
        <w:t xml:space="preserve">% level (one tail test). In general, these findings are consistent with the theoretical framework of </w:t>
      </w:r>
      <w:r w:rsidRPr="003303F8">
        <w:rPr>
          <w:sz w:val="24"/>
          <w:szCs w:val="24"/>
        </w:rPr>
        <w:t>LLV.</w:t>
      </w:r>
      <w:r w:rsidRPr="003303F8">
        <w:rPr>
          <w:kern w:val="0"/>
          <w:sz w:val="24"/>
          <w:szCs w:val="24"/>
        </w:rPr>
        <w:t xml:space="preserve"> </w:t>
      </w:r>
      <w:r w:rsidR="00C72094" w:rsidRPr="003303F8">
        <w:rPr>
          <w:kern w:val="0"/>
          <w:sz w:val="24"/>
          <w:szCs w:val="24"/>
        </w:rPr>
        <w:t xml:space="preserve">To further </w:t>
      </w:r>
      <w:r w:rsidR="001B7822" w:rsidRPr="003303F8">
        <w:rPr>
          <w:kern w:val="0"/>
          <w:sz w:val="24"/>
          <w:szCs w:val="24"/>
        </w:rPr>
        <w:t>relive concerns about outliers,</w:t>
      </w:r>
      <w:r w:rsidR="00C72094" w:rsidRPr="003303F8">
        <w:rPr>
          <w:kern w:val="0"/>
          <w:sz w:val="24"/>
          <w:szCs w:val="24"/>
        </w:rPr>
        <w:t xml:space="preserve"> untabulated regressions </w:t>
      </w:r>
      <w:r w:rsidRPr="003303F8">
        <w:rPr>
          <w:kern w:val="0"/>
          <w:sz w:val="24"/>
          <w:szCs w:val="24"/>
        </w:rPr>
        <w:t>delet</w:t>
      </w:r>
      <w:r w:rsidR="00C72094" w:rsidRPr="003303F8">
        <w:rPr>
          <w:kern w:val="0"/>
          <w:sz w:val="24"/>
          <w:szCs w:val="24"/>
        </w:rPr>
        <w:t>e</w:t>
      </w:r>
      <w:r w:rsidRPr="003303F8">
        <w:rPr>
          <w:kern w:val="0"/>
          <w:sz w:val="24"/>
          <w:szCs w:val="24"/>
        </w:rPr>
        <w:t xml:space="preserve"> penny stocks (with stock prices &lt; $5), which are economically less important and also more likely to be affected by market micro-structure noises.</w:t>
      </w:r>
      <w:r w:rsidR="00C72094" w:rsidRPr="003303F8">
        <w:rPr>
          <w:kern w:val="0"/>
          <w:sz w:val="24"/>
          <w:szCs w:val="24"/>
        </w:rPr>
        <w:t xml:space="preserve"> My results remain robust.</w:t>
      </w:r>
      <w:r w:rsidRPr="003303F8">
        <w:rPr>
          <w:kern w:val="0"/>
          <w:sz w:val="24"/>
          <w:szCs w:val="24"/>
        </w:rPr>
        <w:t xml:space="preserve"> Overall, the findings support the hypothesis.</w:t>
      </w:r>
    </w:p>
    <w:p w:rsidR="00AA0FDE" w:rsidRPr="003303F8" w:rsidRDefault="00AA0FDE" w:rsidP="00AA0FDE">
      <w:pPr>
        <w:widowControl/>
        <w:overflowPunct/>
        <w:autoSpaceDE/>
        <w:autoSpaceDN/>
        <w:snapToGrid w:val="0"/>
        <w:spacing w:line="480" w:lineRule="auto"/>
        <w:ind w:firstLine="720"/>
        <w:rPr>
          <w:kern w:val="0"/>
          <w:sz w:val="24"/>
          <w:szCs w:val="24"/>
        </w:rPr>
      </w:pPr>
      <w:r w:rsidRPr="003303F8">
        <w:rPr>
          <w:kern w:val="0"/>
          <w:sz w:val="24"/>
          <w:szCs w:val="24"/>
        </w:rPr>
        <w:t xml:space="preserve">To further highlight the economic significance of my findings, I calculate the cost of equity effects of </w:t>
      </w:r>
      <w:r w:rsidRPr="003303F8">
        <w:rPr>
          <w:i/>
          <w:kern w:val="0"/>
          <w:sz w:val="24"/>
          <w:szCs w:val="24"/>
        </w:rPr>
        <w:t xml:space="preserve">H_P_EQ </w:t>
      </w:r>
      <w:r w:rsidRPr="003303F8">
        <w:rPr>
          <w:kern w:val="0"/>
          <w:sz w:val="24"/>
          <w:szCs w:val="24"/>
        </w:rPr>
        <w:t xml:space="preserve">via the market risk. Panel B details the calculation process. Based on section 4.1, the annual market risk premium is about 600 basis points. Results in the Panel A suggest that </w:t>
      </w:r>
      <w:r w:rsidRPr="003303F8">
        <w:rPr>
          <w:rFonts w:eastAsia="Times"/>
          <w:kern w:val="0"/>
          <w:sz w:val="24"/>
          <w:szCs w:val="24"/>
          <w:lang w:eastAsia="en-US"/>
        </w:rPr>
        <w:t xml:space="preserve">observations with </w:t>
      </w:r>
      <w:r w:rsidRPr="003303F8">
        <w:rPr>
          <w:i/>
          <w:kern w:val="0"/>
          <w:sz w:val="24"/>
          <w:szCs w:val="24"/>
        </w:rPr>
        <w:t>P_EQew</w:t>
      </w:r>
      <w:r w:rsidRPr="003303F8">
        <w:rPr>
          <w:kern w:val="0"/>
          <w:sz w:val="24"/>
          <w:szCs w:val="24"/>
          <w:vertAlign w:val="subscript"/>
        </w:rPr>
        <w:t xml:space="preserve"> </w:t>
      </w:r>
      <w:r w:rsidRPr="003303F8">
        <w:rPr>
          <w:kern w:val="0"/>
          <w:sz w:val="24"/>
          <w:szCs w:val="24"/>
        </w:rPr>
        <w:t>(</w:t>
      </w:r>
      <w:r w:rsidRPr="003303F8">
        <w:rPr>
          <w:i/>
          <w:kern w:val="0"/>
          <w:sz w:val="24"/>
          <w:szCs w:val="24"/>
        </w:rPr>
        <w:t>P_EQmsw</w:t>
      </w:r>
      <w:r w:rsidRPr="003303F8">
        <w:rPr>
          <w:kern w:val="0"/>
          <w:sz w:val="24"/>
          <w:szCs w:val="24"/>
        </w:rPr>
        <w:t>)</w:t>
      </w:r>
      <w:r w:rsidRPr="003303F8">
        <w:rPr>
          <w:kern w:val="0"/>
          <w:sz w:val="24"/>
          <w:szCs w:val="24"/>
          <w:vertAlign w:val="subscript"/>
        </w:rPr>
        <w:t xml:space="preserve"> </w:t>
      </w:r>
      <w:r w:rsidRPr="003303F8">
        <w:rPr>
          <w:rFonts w:eastAsia="Times"/>
          <w:kern w:val="0"/>
          <w:sz w:val="24"/>
          <w:szCs w:val="24"/>
          <w:lang w:eastAsia="en-US"/>
        </w:rPr>
        <w:t xml:space="preserve">above the median have a </w:t>
      </w:r>
      <w:r w:rsidR="00C72094" w:rsidRPr="003303F8">
        <w:rPr>
          <w:rFonts w:eastAsia="Times"/>
          <w:kern w:val="0"/>
          <w:sz w:val="24"/>
          <w:szCs w:val="24"/>
          <w:lang w:eastAsia="en-US"/>
        </w:rPr>
        <w:t>17.5</w:t>
      </w:r>
      <w:r w:rsidRPr="003303F8">
        <w:rPr>
          <w:rFonts w:eastAsia="Times"/>
          <w:kern w:val="0"/>
          <w:sz w:val="24"/>
          <w:szCs w:val="24"/>
          <w:lang w:eastAsia="en-US"/>
        </w:rPr>
        <w:t xml:space="preserve"> (</w:t>
      </w:r>
      <w:r w:rsidR="00C72094" w:rsidRPr="003303F8">
        <w:rPr>
          <w:rFonts w:eastAsia="Times"/>
          <w:kern w:val="0"/>
          <w:sz w:val="24"/>
          <w:szCs w:val="24"/>
          <w:lang w:eastAsia="en-US"/>
        </w:rPr>
        <w:t>14.5</w:t>
      </w:r>
      <w:r w:rsidRPr="003303F8">
        <w:rPr>
          <w:rFonts w:eastAsia="Times"/>
          <w:kern w:val="0"/>
          <w:sz w:val="24"/>
          <w:szCs w:val="24"/>
          <w:lang w:eastAsia="en-US"/>
        </w:rPr>
        <w:t xml:space="preserve">) percent lower market beta. </w:t>
      </w:r>
      <w:r w:rsidRPr="003303F8">
        <w:rPr>
          <w:kern w:val="0"/>
          <w:sz w:val="24"/>
          <w:szCs w:val="24"/>
        </w:rPr>
        <w:t xml:space="preserve">Thus, firms with </w:t>
      </w:r>
      <w:r w:rsidRPr="003303F8">
        <w:rPr>
          <w:i/>
          <w:kern w:val="0"/>
          <w:sz w:val="24"/>
          <w:szCs w:val="24"/>
        </w:rPr>
        <w:t>P_EQew</w:t>
      </w:r>
      <w:r w:rsidRPr="003303F8">
        <w:rPr>
          <w:kern w:val="0"/>
          <w:sz w:val="24"/>
          <w:szCs w:val="24"/>
          <w:vertAlign w:val="subscript"/>
        </w:rPr>
        <w:t xml:space="preserve"> </w:t>
      </w:r>
      <w:r w:rsidRPr="003303F8">
        <w:rPr>
          <w:kern w:val="0"/>
          <w:sz w:val="24"/>
          <w:szCs w:val="24"/>
        </w:rPr>
        <w:t>(</w:t>
      </w:r>
      <w:r w:rsidRPr="003303F8">
        <w:rPr>
          <w:i/>
          <w:kern w:val="0"/>
          <w:sz w:val="24"/>
          <w:szCs w:val="24"/>
        </w:rPr>
        <w:t>P_EQmsw</w:t>
      </w:r>
      <w:r w:rsidRPr="003303F8">
        <w:rPr>
          <w:kern w:val="0"/>
          <w:sz w:val="24"/>
          <w:szCs w:val="24"/>
        </w:rPr>
        <w:t>)</w:t>
      </w:r>
      <w:r w:rsidRPr="003303F8">
        <w:rPr>
          <w:kern w:val="0"/>
          <w:sz w:val="24"/>
          <w:szCs w:val="24"/>
          <w:vertAlign w:val="subscript"/>
        </w:rPr>
        <w:t xml:space="preserve"> </w:t>
      </w:r>
      <w:r w:rsidRPr="003303F8">
        <w:rPr>
          <w:kern w:val="0"/>
          <w:sz w:val="24"/>
          <w:szCs w:val="24"/>
        </w:rPr>
        <w:t xml:space="preserve">above the median have, on average, </w:t>
      </w:r>
      <w:r w:rsidR="00C72094" w:rsidRPr="003303F8">
        <w:rPr>
          <w:kern w:val="0"/>
          <w:sz w:val="24"/>
          <w:szCs w:val="24"/>
        </w:rPr>
        <w:t>105</w:t>
      </w:r>
      <w:r w:rsidRPr="003303F8">
        <w:rPr>
          <w:kern w:val="0"/>
          <w:sz w:val="24"/>
          <w:szCs w:val="24"/>
        </w:rPr>
        <w:t xml:space="preserve"> (</w:t>
      </w:r>
      <w:r w:rsidR="00C72094" w:rsidRPr="003303F8">
        <w:rPr>
          <w:rFonts w:eastAsia="Times New Roman"/>
          <w:sz w:val="24"/>
          <w:szCs w:val="24"/>
        </w:rPr>
        <w:t>87</w:t>
      </w:r>
      <w:r w:rsidRPr="003303F8">
        <w:rPr>
          <w:rFonts w:eastAsia="Times New Roman"/>
          <w:sz w:val="24"/>
          <w:szCs w:val="24"/>
        </w:rPr>
        <w:t>)</w:t>
      </w:r>
      <w:r w:rsidRPr="003303F8">
        <w:rPr>
          <w:kern w:val="0"/>
          <w:sz w:val="24"/>
          <w:szCs w:val="24"/>
        </w:rPr>
        <w:t xml:space="preserve"> basis-point lower cost of equity. </w:t>
      </w:r>
    </w:p>
    <w:p w:rsidR="00DF0E0F" w:rsidRPr="003303F8" w:rsidRDefault="00DF0E0F" w:rsidP="00385254">
      <w:pPr>
        <w:widowControl/>
        <w:overflowPunct/>
        <w:autoSpaceDE/>
        <w:autoSpaceDN/>
        <w:snapToGrid w:val="0"/>
        <w:ind w:firstLine="720"/>
        <w:rPr>
          <w:kern w:val="0"/>
          <w:sz w:val="24"/>
          <w:szCs w:val="24"/>
        </w:rPr>
      </w:pPr>
    </w:p>
    <w:p w:rsidR="00C174EA" w:rsidRPr="003303F8" w:rsidRDefault="00C174EA" w:rsidP="006D2541">
      <w:pPr>
        <w:pStyle w:val="Heading2"/>
        <w:spacing w:before="0" w:line="480" w:lineRule="auto"/>
        <w:rPr>
          <w:szCs w:val="24"/>
        </w:rPr>
      </w:pPr>
      <w:bookmarkStart w:id="121" w:name="_Toc378087516"/>
      <w:bookmarkStart w:id="122" w:name="_Toc378087556"/>
      <w:bookmarkStart w:id="123" w:name="_Toc378088365"/>
      <w:bookmarkStart w:id="124" w:name="_Toc378088754"/>
      <w:bookmarkStart w:id="125" w:name="_Toc378088890"/>
      <w:r w:rsidRPr="003303F8">
        <w:rPr>
          <w:szCs w:val="24"/>
        </w:rPr>
        <w:t>Implied Cost of Equity Test</w:t>
      </w:r>
      <w:bookmarkEnd w:id="121"/>
      <w:bookmarkEnd w:id="122"/>
      <w:bookmarkEnd w:id="123"/>
      <w:bookmarkEnd w:id="124"/>
      <w:bookmarkEnd w:id="125"/>
    </w:p>
    <w:p w:rsidR="00993F4F" w:rsidRPr="003303F8" w:rsidRDefault="00C174EA" w:rsidP="00E07762">
      <w:pPr>
        <w:widowControl/>
        <w:overflowPunct/>
        <w:autoSpaceDE/>
        <w:autoSpaceDN/>
        <w:snapToGrid w:val="0"/>
        <w:spacing w:line="480" w:lineRule="auto"/>
        <w:ind w:firstLine="720"/>
        <w:rPr>
          <w:kern w:val="0"/>
          <w:sz w:val="24"/>
          <w:szCs w:val="24"/>
        </w:rPr>
      </w:pPr>
      <w:r w:rsidRPr="003303F8">
        <w:rPr>
          <w:kern w:val="0"/>
          <w:sz w:val="24"/>
          <w:szCs w:val="24"/>
        </w:rPr>
        <w:t xml:space="preserve">Table </w:t>
      </w:r>
      <w:r w:rsidR="00AA0FDE" w:rsidRPr="003303F8">
        <w:rPr>
          <w:kern w:val="0"/>
          <w:sz w:val="24"/>
          <w:szCs w:val="24"/>
        </w:rPr>
        <w:t>6</w:t>
      </w:r>
      <w:r w:rsidRPr="003303F8">
        <w:rPr>
          <w:kern w:val="0"/>
          <w:sz w:val="24"/>
          <w:szCs w:val="24"/>
        </w:rPr>
        <w:t xml:space="preserve"> shows the estimation results of equation (</w:t>
      </w:r>
      <w:r w:rsidR="006D71F7" w:rsidRPr="003303F8">
        <w:rPr>
          <w:kern w:val="0"/>
          <w:sz w:val="24"/>
          <w:szCs w:val="24"/>
        </w:rPr>
        <w:t>4</w:t>
      </w:r>
      <w:r w:rsidRPr="003303F8">
        <w:rPr>
          <w:kern w:val="0"/>
          <w:sz w:val="24"/>
          <w:szCs w:val="24"/>
        </w:rPr>
        <w:t>) with firm-cluster</w:t>
      </w:r>
      <w:r w:rsidR="00EE0A19" w:rsidRPr="003303F8">
        <w:rPr>
          <w:kern w:val="0"/>
          <w:sz w:val="24"/>
          <w:szCs w:val="24"/>
        </w:rPr>
        <w:t>ed</w:t>
      </w:r>
      <w:r w:rsidRPr="003303F8">
        <w:rPr>
          <w:kern w:val="0"/>
          <w:sz w:val="24"/>
          <w:szCs w:val="24"/>
        </w:rPr>
        <w:t xml:space="preserve"> standard errors. To test the possible mediation role of </w:t>
      </w:r>
      <w:r w:rsidRPr="003303F8">
        <w:rPr>
          <w:i/>
          <w:kern w:val="0"/>
          <w:sz w:val="24"/>
          <w:szCs w:val="24"/>
        </w:rPr>
        <w:t>Beta</w:t>
      </w:r>
      <w:r w:rsidRPr="003303F8">
        <w:rPr>
          <w:kern w:val="0"/>
          <w:sz w:val="24"/>
          <w:szCs w:val="24"/>
        </w:rPr>
        <w:t xml:space="preserve">, I first estimate the model without controlling for </w:t>
      </w:r>
      <w:r w:rsidRPr="003303F8">
        <w:rPr>
          <w:i/>
          <w:kern w:val="0"/>
          <w:sz w:val="24"/>
          <w:szCs w:val="24"/>
        </w:rPr>
        <w:t xml:space="preserve">Beta </w:t>
      </w:r>
      <w:r w:rsidRPr="003303F8">
        <w:rPr>
          <w:kern w:val="0"/>
          <w:sz w:val="24"/>
          <w:szCs w:val="24"/>
        </w:rPr>
        <w:t xml:space="preserve">in Panel A, and then Panel B further controls for </w:t>
      </w:r>
      <w:r w:rsidRPr="003303F8">
        <w:rPr>
          <w:i/>
          <w:kern w:val="0"/>
          <w:sz w:val="24"/>
          <w:szCs w:val="24"/>
        </w:rPr>
        <w:t>Beta</w:t>
      </w:r>
      <w:r w:rsidRPr="003303F8">
        <w:rPr>
          <w:kern w:val="0"/>
          <w:sz w:val="24"/>
          <w:szCs w:val="24"/>
        </w:rPr>
        <w:t xml:space="preserve">. In the first column, a base model is estimated. </w:t>
      </w:r>
      <w:r w:rsidR="00820429" w:rsidRPr="003303F8">
        <w:rPr>
          <w:kern w:val="0"/>
          <w:sz w:val="24"/>
          <w:szCs w:val="24"/>
        </w:rPr>
        <w:t xml:space="preserve">Using </w:t>
      </w:r>
      <w:r w:rsidR="00820429" w:rsidRPr="003303F8">
        <w:rPr>
          <w:i/>
          <w:kern w:val="0"/>
          <w:sz w:val="24"/>
          <w:szCs w:val="24"/>
        </w:rPr>
        <w:t>ICoE</w:t>
      </w:r>
      <w:r w:rsidR="00820429" w:rsidRPr="003303F8">
        <w:rPr>
          <w:i/>
          <w:kern w:val="0"/>
          <w:sz w:val="24"/>
          <w:szCs w:val="24"/>
          <w:vertAlign w:val="subscript"/>
        </w:rPr>
        <w:t xml:space="preserve"> </w:t>
      </w:r>
      <w:r w:rsidR="00820429" w:rsidRPr="003303F8">
        <w:rPr>
          <w:kern w:val="0"/>
          <w:sz w:val="24"/>
          <w:szCs w:val="24"/>
        </w:rPr>
        <w:t>as the dependent variable, t</w:t>
      </w:r>
      <w:r w:rsidRPr="003303F8">
        <w:rPr>
          <w:kern w:val="0"/>
          <w:sz w:val="24"/>
          <w:szCs w:val="24"/>
        </w:rPr>
        <w:t xml:space="preserve">he coefficient on </w:t>
      </w:r>
      <w:r w:rsidR="00DD081F" w:rsidRPr="003303F8">
        <w:rPr>
          <w:i/>
          <w:kern w:val="0"/>
          <w:sz w:val="24"/>
          <w:szCs w:val="24"/>
        </w:rPr>
        <w:t>H_</w:t>
      </w:r>
      <w:r w:rsidRPr="003303F8">
        <w:rPr>
          <w:i/>
          <w:kern w:val="0"/>
          <w:sz w:val="24"/>
          <w:szCs w:val="24"/>
        </w:rPr>
        <w:t xml:space="preserve">EQ </w:t>
      </w:r>
      <w:r w:rsidRPr="003303F8">
        <w:rPr>
          <w:kern w:val="0"/>
          <w:sz w:val="24"/>
          <w:szCs w:val="24"/>
        </w:rPr>
        <w:t>is</w:t>
      </w:r>
      <w:r w:rsidRPr="003303F8">
        <w:rPr>
          <w:i/>
          <w:kern w:val="0"/>
          <w:sz w:val="24"/>
          <w:szCs w:val="24"/>
        </w:rPr>
        <w:t xml:space="preserve"> </w:t>
      </w:r>
      <w:r w:rsidR="00272571" w:rsidRPr="003303F8">
        <w:rPr>
          <w:kern w:val="0"/>
          <w:sz w:val="24"/>
          <w:szCs w:val="24"/>
        </w:rPr>
        <w:t>−</w:t>
      </w:r>
      <w:r w:rsidRPr="003303F8">
        <w:rPr>
          <w:kern w:val="0"/>
          <w:sz w:val="24"/>
          <w:szCs w:val="24"/>
        </w:rPr>
        <w:t>0.</w:t>
      </w:r>
      <w:r w:rsidR="00F70D1C" w:rsidRPr="003303F8">
        <w:rPr>
          <w:kern w:val="0"/>
          <w:sz w:val="24"/>
          <w:szCs w:val="24"/>
        </w:rPr>
        <w:t xml:space="preserve">006 </w:t>
      </w:r>
      <w:r w:rsidR="00C72094" w:rsidRPr="003303F8">
        <w:rPr>
          <w:kern w:val="0"/>
          <w:sz w:val="24"/>
          <w:szCs w:val="24"/>
        </w:rPr>
        <w:t>(</w:t>
      </w:r>
      <w:r w:rsidR="000538F4" w:rsidRPr="003303F8">
        <w:rPr>
          <w:i/>
          <w:kern w:val="0"/>
          <w:sz w:val="24"/>
          <w:szCs w:val="24"/>
        </w:rPr>
        <w:t>t</w:t>
      </w:r>
      <w:r w:rsidR="000538F4" w:rsidRPr="003303F8">
        <w:rPr>
          <w:kern w:val="0"/>
          <w:sz w:val="24"/>
          <w:szCs w:val="24"/>
        </w:rPr>
        <w:t>-statistics=</w:t>
      </w:r>
      <w:r w:rsidR="00C72094" w:rsidRPr="003303F8">
        <w:rPr>
          <w:kern w:val="0"/>
          <w:sz w:val="24"/>
          <w:szCs w:val="24"/>
        </w:rPr>
        <w:t xml:space="preserve"> −</w:t>
      </w:r>
      <w:r w:rsidR="00F70D1C" w:rsidRPr="003303F8">
        <w:rPr>
          <w:kern w:val="0"/>
          <w:sz w:val="24"/>
          <w:szCs w:val="24"/>
        </w:rPr>
        <w:t>8.84</w:t>
      </w:r>
      <w:r w:rsidR="00C72094" w:rsidRPr="003303F8">
        <w:rPr>
          <w:kern w:val="0"/>
          <w:sz w:val="24"/>
          <w:szCs w:val="24"/>
        </w:rPr>
        <w:t>)</w:t>
      </w:r>
      <w:r w:rsidRPr="003303F8">
        <w:rPr>
          <w:kern w:val="0"/>
          <w:sz w:val="24"/>
          <w:szCs w:val="24"/>
        </w:rPr>
        <w:t xml:space="preserve">, suggesting that </w:t>
      </w:r>
      <w:r w:rsidR="00EE0A19" w:rsidRPr="003303F8">
        <w:rPr>
          <w:kern w:val="0"/>
          <w:sz w:val="24"/>
          <w:szCs w:val="24"/>
        </w:rPr>
        <w:t>earnings quality</w:t>
      </w:r>
      <w:r w:rsidRPr="003303F8">
        <w:rPr>
          <w:kern w:val="0"/>
          <w:sz w:val="24"/>
          <w:szCs w:val="24"/>
        </w:rPr>
        <w:t xml:space="preserve"> </w:t>
      </w:r>
      <w:r w:rsidR="00EE0A19" w:rsidRPr="003303F8">
        <w:rPr>
          <w:kern w:val="0"/>
          <w:sz w:val="24"/>
          <w:szCs w:val="24"/>
        </w:rPr>
        <w:t xml:space="preserve">above median </w:t>
      </w:r>
      <w:r w:rsidR="00272571" w:rsidRPr="003303F8">
        <w:rPr>
          <w:kern w:val="0"/>
          <w:sz w:val="24"/>
          <w:szCs w:val="24"/>
        </w:rPr>
        <w:t>lowers the implied costs of equity</w:t>
      </w:r>
      <w:r w:rsidRPr="003303F8">
        <w:rPr>
          <w:kern w:val="0"/>
          <w:sz w:val="24"/>
          <w:szCs w:val="24"/>
        </w:rPr>
        <w:t xml:space="preserve"> </w:t>
      </w:r>
      <w:r w:rsidR="00272571" w:rsidRPr="003303F8">
        <w:rPr>
          <w:kern w:val="0"/>
          <w:sz w:val="24"/>
          <w:szCs w:val="24"/>
        </w:rPr>
        <w:t xml:space="preserve">by </w:t>
      </w:r>
      <w:r w:rsidR="00F70D1C" w:rsidRPr="003303F8">
        <w:rPr>
          <w:kern w:val="0"/>
          <w:sz w:val="24"/>
          <w:szCs w:val="24"/>
        </w:rPr>
        <w:t xml:space="preserve">60 </w:t>
      </w:r>
      <w:r w:rsidRPr="003303F8">
        <w:rPr>
          <w:kern w:val="0"/>
          <w:sz w:val="24"/>
          <w:szCs w:val="24"/>
        </w:rPr>
        <w:t xml:space="preserve">basis points. This effect is </w:t>
      </w:r>
      <w:r w:rsidR="00993F4F" w:rsidRPr="003303F8">
        <w:rPr>
          <w:kern w:val="0"/>
          <w:sz w:val="24"/>
          <w:szCs w:val="24"/>
        </w:rPr>
        <w:lastRenderedPageBreak/>
        <w:t xml:space="preserve">consistent with prior studies (Francis et al. 2004) which </w:t>
      </w:r>
      <w:r w:rsidRPr="003303F8">
        <w:rPr>
          <w:kern w:val="0"/>
          <w:sz w:val="24"/>
          <w:szCs w:val="24"/>
        </w:rPr>
        <w:t xml:space="preserve">find a </w:t>
      </w:r>
      <w:r w:rsidR="00993F4F" w:rsidRPr="003303F8">
        <w:rPr>
          <w:kern w:val="0"/>
          <w:sz w:val="24"/>
          <w:szCs w:val="24"/>
        </w:rPr>
        <w:t xml:space="preserve">negative effect of </w:t>
      </w:r>
      <w:r w:rsidRPr="003303F8">
        <w:rPr>
          <w:kern w:val="0"/>
          <w:sz w:val="24"/>
          <w:szCs w:val="24"/>
        </w:rPr>
        <w:t xml:space="preserve">earnings quality </w:t>
      </w:r>
      <w:r w:rsidR="00993F4F" w:rsidRPr="003303F8">
        <w:rPr>
          <w:kern w:val="0"/>
          <w:sz w:val="24"/>
          <w:szCs w:val="24"/>
        </w:rPr>
        <w:t>on the cost of equity</w:t>
      </w:r>
      <w:r w:rsidRPr="003303F8">
        <w:rPr>
          <w:kern w:val="0"/>
          <w:sz w:val="24"/>
          <w:szCs w:val="24"/>
        </w:rPr>
        <w:t>.</w:t>
      </w:r>
      <w:r w:rsidR="001F0969" w:rsidRPr="003303F8">
        <w:rPr>
          <w:kern w:val="0"/>
          <w:sz w:val="24"/>
          <w:szCs w:val="24"/>
        </w:rPr>
        <w:t xml:space="preserve"> </w:t>
      </w:r>
    </w:p>
    <w:p w:rsidR="00C174EA" w:rsidRPr="003303F8" w:rsidRDefault="00C174EA" w:rsidP="00E07762">
      <w:pPr>
        <w:widowControl/>
        <w:overflowPunct/>
        <w:autoSpaceDE/>
        <w:autoSpaceDN/>
        <w:snapToGrid w:val="0"/>
        <w:spacing w:line="480" w:lineRule="auto"/>
        <w:ind w:firstLine="720"/>
        <w:rPr>
          <w:kern w:val="0"/>
          <w:sz w:val="24"/>
          <w:szCs w:val="24"/>
        </w:rPr>
      </w:pPr>
      <w:r w:rsidRPr="003303F8">
        <w:rPr>
          <w:kern w:val="0"/>
          <w:sz w:val="24"/>
          <w:szCs w:val="24"/>
        </w:rPr>
        <w:t xml:space="preserve">The second </w:t>
      </w:r>
      <w:r w:rsidR="002C1327" w:rsidRPr="003303F8">
        <w:rPr>
          <w:kern w:val="0"/>
          <w:sz w:val="24"/>
          <w:szCs w:val="24"/>
        </w:rPr>
        <w:t xml:space="preserve">to seventh </w:t>
      </w:r>
      <w:r w:rsidRPr="003303F8">
        <w:rPr>
          <w:kern w:val="0"/>
          <w:sz w:val="24"/>
          <w:szCs w:val="24"/>
        </w:rPr>
        <w:t xml:space="preserve">columns test my </w:t>
      </w:r>
      <w:r w:rsidR="006E7CAB" w:rsidRPr="003303F8">
        <w:rPr>
          <w:kern w:val="0"/>
          <w:sz w:val="24"/>
          <w:szCs w:val="24"/>
        </w:rPr>
        <w:t>hypothesis</w:t>
      </w:r>
      <w:r w:rsidR="00820429" w:rsidRPr="003303F8">
        <w:rPr>
          <w:kern w:val="0"/>
          <w:sz w:val="24"/>
          <w:szCs w:val="24"/>
        </w:rPr>
        <w:t xml:space="preserve"> using </w:t>
      </w:r>
      <w:r w:rsidR="0050773C" w:rsidRPr="003303F8">
        <w:rPr>
          <w:i/>
          <w:kern w:val="0"/>
          <w:sz w:val="24"/>
          <w:szCs w:val="24"/>
        </w:rPr>
        <w:t>H_P_EQ</w:t>
      </w:r>
      <w:r w:rsidR="00C72094" w:rsidRPr="003303F8">
        <w:rPr>
          <w:i/>
          <w:kern w:val="0"/>
          <w:sz w:val="24"/>
          <w:szCs w:val="24"/>
        </w:rPr>
        <w:t xml:space="preserve"> </w:t>
      </w:r>
      <w:proofErr w:type="gramStart"/>
      <w:r w:rsidR="00820429" w:rsidRPr="003303F8">
        <w:rPr>
          <w:kern w:val="0"/>
          <w:sz w:val="24"/>
          <w:szCs w:val="24"/>
        </w:rPr>
        <w:t xml:space="preserve">as </w:t>
      </w:r>
      <w:r w:rsidR="00D86B5F">
        <w:rPr>
          <w:kern w:val="0"/>
          <w:sz w:val="24"/>
          <w:szCs w:val="24"/>
        </w:rPr>
        <w:t>an</w:t>
      </w:r>
      <w:proofErr w:type="gramEnd"/>
      <w:r w:rsidR="00D86B5F">
        <w:rPr>
          <w:kern w:val="0"/>
          <w:sz w:val="24"/>
          <w:szCs w:val="24"/>
        </w:rPr>
        <w:t xml:space="preserve"> </w:t>
      </w:r>
      <w:r w:rsidR="00820429" w:rsidRPr="003303F8">
        <w:rPr>
          <w:kern w:val="0"/>
          <w:sz w:val="24"/>
          <w:szCs w:val="24"/>
        </w:rPr>
        <w:t>independent variables</w:t>
      </w:r>
      <w:r w:rsidRPr="003303F8">
        <w:rPr>
          <w:kern w:val="0"/>
          <w:sz w:val="24"/>
          <w:szCs w:val="24"/>
        </w:rPr>
        <w:t xml:space="preserve">. Before controlling for </w:t>
      </w:r>
      <w:r w:rsidRPr="003303F8">
        <w:rPr>
          <w:i/>
          <w:kern w:val="0"/>
          <w:sz w:val="24"/>
          <w:szCs w:val="24"/>
        </w:rPr>
        <w:t>Beta</w:t>
      </w:r>
      <w:r w:rsidRPr="003303F8">
        <w:rPr>
          <w:kern w:val="0"/>
          <w:sz w:val="24"/>
          <w:szCs w:val="24"/>
        </w:rPr>
        <w:t xml:space="preserve">, </w:t>
      </w:r>
      <w:r w:rsidR="00C72094" w:rsidRPr="003303F8">
        <w:rPr>
          <w:kern w:val="0"/>
          <w:sz w:val="24"/>
          <w:szCs w:val="24"/>
        </w:rPr>
        <w:t>columns (</w:t>
      </w:r>
      <w:r w:rsidR="002C1327" w:rsidRPr="003303F8">
        <w:rPr>
          <w:kern w:val="0"/>
          <w:sz w:val="24"/>
          <w:szCs w:val="24"/>
        </w:rPr>
        <w:t>2</w:t>
      </w:r>
      <w:r w:rsidR="00C72094" w:rsidRPr="003303F8">
        <w:rPr>
          <w:kern w:val="0"/>
          <w:sz w:val="24"/>
          <w:szCs w:val="24"/>
        </w:rPr>
        <w:t>) and (</w:t>
      </w:r>
      <w:r w:rsidR="002C1327" w:rsidRPr="003303F8">
        <w:rPr>
          <w:kern w:val="0"/>
          <w:sz w:val="24"/>
          <w:szCs w:val="24"/>
        </w:rPr>
        <w:t>5</w:t>
      </w:r>
      <w:r w:rsidR="00C72094" w:rsidRPr="003303F8">
        <w:rPr>
          <w:kern w:val="0"/>
          <w:sz w:val="24"/>
          <w:szCs w:val="24"/>
        </w:rPr>
        <w:t>)</w:t>
      </w:r>
      <w:r w:rsidRPr="003303F8">
        <w:rPr>
          <w:kern w:val="0"/>
          <w:sz w:val="24"/>
          <w:szCs w:val="24"/>
        </w:rPr>
        <w:t xml:space="preserve"> show significant negative coefficients on </w:t>
      </w:r>
      <w:r w:rsidR="00E223F0" w:rsidRPr="003303F8">
        <w:rPr>
          <w:i/>
          <w:kern w:val="0"/>
          <w:sz w:val="24"/>
          <w:szCs w:val="24"/>
        </w:rPr>
        <w:t>H_</w:t>
      </w:r>
      <w:r w:rsidRPr="003303F8">
        <w:rPr>
          <w:i/>
          <w:kern w:val="0"/>
          <w:sz w:val="24"/>
          <w:szCs w:val="24"/>
        </w:rPr>
        <w:t xml:space="preserve">P_EQ </w:t>
      </w:r>
      <w:r w:rsidRPr="003303F8">
        <w:rPr>
          <w:kern w:val="0"/>
          <w:sz w:val="24"/>
          <w:szCs w:val="24"/>
        </w:rPr>
        <w:t xml:space="preserve">for the two alternative measures, consistent with expectations.  </w:t>
      </w:r>
      <w:r w:rsidR="00EE0A19" w:rsidRPr="003303F8">
        <w:rPr>
          <w:kern w:val="0"/>
          <w:sz w:val="24"/>
          <w:szCs w:val="24"/>
        </w:rPr>
        <w:t xml:space="preserve">These results suggest that peer firm earnings quality above </w:t>
      </w:r>
      <w:r w:rsidR="00A40979" w:rsidRPr="003303F8">
        <w:rPr>
          <w:kern w:val="0"/>
          <w:sz w:val="24"/>
          <w:szCs w:val="24"/>
        </w:rPr>
        <w:t xml:space="preserve">the </w:t>
      </w:r>
      <w:r w:rsidR="00EE0A19" w:rsidRPr="003303F8">
        <w:rPr>
          <w:kern w:val="0"/>
          <w:sz w:val="24"/>
          <w:szCs w:val="24"/>
        </w:rPr>
        <w:t xml:space="preserve">median lowers the implied costs of equity by </w:t>
      </w:r>
      <w:r w:rsidR="00C72094" w:rsidRPr="003303F8">
        <w:rPr>
          <w:kern w:val="0"/>
          <w:sz w:val="24"/>
          <w:szCs w:val="24"/>
        </w:rPr>
        <w:t>50</w:t>
      </w:r>
      <w:r w:rsidR="00EE0A19" w:rsidRPr="003303F8">
        <w:rPr>
          <w:kern w:val="0"/>
          <w:sz w:val="24"/>
          <w:szCs w:val="24"/>
        </w:rPr>
        <w:t xml:space="preserve"> basis points. </w:t>
      </w:r>
      <w:r w:rsidRPr="003303F8">
        <w:rPr>
          <w:kern w:val="0"/>
          <w:sz w:val="24"/>
          <w:szCs w:val="24"/>
        </w:rPr>
        <w:t xml:space="preserve">Interestingly, after including </w:t>
      </w:r>
      <w:r w:rsidRPr="003303F8">
        <w:rPr>
          <w:i/>
          <w:kern w:val="0"/>
          <w:sz w:val="24"/>
          <w:szCs w:val="24"/>
        </w:rPr>
        <w:t>Beta</w:t>
      </w:r>
      <w:r w:rsidRPr="003303F8">
        <w:rPr>
          <w:kern w:val="0"/>
          <w:sz w:val="24"/>
          <w:szCs w:val="24"/>
        </w:rPr>
        <w:t xml:space="preserve"> as a predictor, </w:t>
      </w:r>
      <w:r w:rsidR="00820429" w:rsidRPr="003303F8">
        <w:rPr>
          <w:kern w:val="0"/>
          <w:sz w:val="24"/>
          <w:szCs w:val="24"/>
        </w:rPr>
        <w:t xml:space="preserve">coefficients on </w:t>
      </w:r>
      <w:r w:rsidR="00E223F0" w:rsidRPr="003303F8">
        <w:rPr>
          <w:i/>
          <w:kern w:val="0"/>
          <w:sz w:val="24"/>
          <w:szCs w:val="24"/>
        </w:rPr>
        <w:t>H_</w:t>
      </w:r>
      <w:r w:rsidR="00820429" w:rsidRPr="003303F8">
        <w:rPr>
          <w:i/>
          <w:kern w:val="0"/>
          <w:sz w:val="24"/>
          <w:szCs w:val="24"/>
        </w:rPr>
        <w:t>P_EQ</w:t>
      </w:r>
      <w:r w:rsidR="00820429" w:rsidRPr="003303F8">
        <w:rPr>
          <w:kern w:val="0"/>
          <w:sz w:val="24"/>
          <w:szCs w:val="24"/>
        </w:rPr>
        <w:t xml:space="preserve"> reported in </w:t>
      </w:r>
      <w:r w:rsidR="00C72094" w:rsidRPr="003303F8">
        <w:rPr>
          <w:kern w:val="0"/>
          <w:sz w:val="24"/>
          <w:szCs w:val="24"/>
        </w:rPr>
        <w:t xml:space="preserve">columns (2) and (5) </w:t>
      </w:r>
      <w:r w:rsidR="00820429" w:rsidRPr="003303F8">
        <w:rPr>
          <w:kern w:val="0"/>
          <w:sz w:val="24"/>
          <w:szCs w:val="24"/>
        </w:rPr>
        <w:t xml:space="preserve">become </w:t>
      </w:r>
      <w:r w:rsidR="00A40979" w:rsidRPr="003303F8">
        <w:rPr>
          <w:kern w:val="0"/>
          <w:sz w:val="24"/>
          <w:szCs w:val="24"/>
        </w:rPr>
        <w:t xml:space="preserve">less negative and </w:t>
      </w:r>
      <w:r w:rsidR="00820429" w:rsidRPr="003303F8">
        <w:rPr>
          <w:kern w:val="0"/>
          <w:sz w:val="24"/>
          <w:szCs w:val="24"/>
        </w:rPr>
        <w:t>generally</w:t>
      </w:r>
      <w:r w:rsidRPr="003303F8">
        <w:rPr>
          <w:kern w:val="0"/>
          <w:sz w:val="24"/>
          <w:szCs w:val="24"/>
        </w:rPr>
        <w:t xml:space="preserve"> insignificant</w:t>
      </w:r>
      <w:r w:rsidR="00C72094" w:rsidRPr="003303F8">
        <w:rPr>
          <w:kern w:val="0"/>
          <w:sz w:val="24"/>
          <w:szCs w:val="24"/>
        </w:rPr>
        <w:t xml:space="preserve"> at the conventional level, suggesting that the effect of </w:t>
      </w:r>
      <w:r w:rsidR="00C72094" w:rsidRPr="003303F8">
        <w:rPr>
          <w:i/>
          <w:kern w:val="0"/>
          <w:sz w:val="24"/>
          <w:szCs w:val="24"/>
        </w:rPr>
        <w:t>H_P_EQ</w:t>
      </w:r>
      <w:r w:rsidR="00C72094" w:rsidRPr="003303F8">
        <w:rPr>
          <w:kern w:val="0"/>
          <w:sz w:val="24"/>
          <w:szCs w:val="24"/>
        </w:rPr>
        <w:t xml:space="preserve"> on </w:t>
      </w:r>
      <w:r w:rsidR="00C72094" w:rsidRPr="003303F8">
        <w:rPr>
          <w:i/>
          <w:kern w:val="0"/>
          <w:sz w:val="24"/>
          <w:szCs w:val="24"/>
        </w:rPr>
        <w:t>ICoE</w:t>
      </w:r>
      <w:r w:rsidR="00C72094" w:rsidRPr="003303F8">
        <w:rPr>
          <w:kern w:val="0"/>
          <w:sz w:val="24"/>
          <w:szCs w:val="24"/>
        </w:rPr>
        <w:t xml:space="preserve"> occurs through </w:t>
      </w:r>
      <w:r w:rsidR="00C72094" w:rsidRPr="003303F8">
        <w:rPr>
          <w:i/>
          <w:kern w:val="0"/>
          <w:sz w:val="24"/>
          <w:szCs w:val="24"/>
        </w:rPr>
        <w:t>Beta</w:t>
      </w:r>
      <w:r w:rsidRPr="003303F8">
        <w:rPr>
          <w:kern w:val="0"/>
          <w:sz w:val="24"/>
          <w:szCs w:val="24"/>
        </w:rPr>
        <w:t xml:space="preserve">. </w:t>
      </w:r>
      <w:r w:rsidR="00C72094" w:rsidRPr="003303F8">
        <w:rPr>
          <w:kern w:val="0"/>
          <w:sz w:val="24"/>
          <w:szCs w:val="24"/>
        </w:rPr>
        <w:t xml:space="preserve">However, columns (3) and (6) </w:t>
      </w:r>
      <w:r w:rsidRPr="003303F8">
        <w:rPr>
          <w:kern w:val="0"/>
          <w:sz w:val="24"/>
          <w:szCs w:val="24"/>
        </w:rPr>
        <w:t xml:space="preserve">further show the differences between coefficients on </w:t>
      </w:r>
      <w:r w:rsidR="00E223F0" w:rsidRPr="003303F8">
        <w:rPr>
          <w:i/>
          <w:kern w:val="0"/>
          <w:sz w:val="24"/>
          <w:szCs w:val="24"/>
        </w:rPr>
        <w:t>H_</w:t>
      </w:r>
      <w:r w:rsidRPr="003303F8">
        <w:rPr>
          <w:i/>
          <w:kern w:val="0"/>
          <w:sz w:val="24"/>
          <w:szCs w:val="24"/>
        </w:rPr>
        <w:t>P_EQ</w:t>
      </w:r>
      <w:r w:rsidRPr="003303F8">
        <w:rPr>
          <w:kern w:val="0"/>
          <w:sz w:val="24"/>
          <w:szCs w:val="24"/>
        </w:rPr>
        <w:t xml:space="preserve"> </w:t>
      </w:r>
      <w:r w:rsidR="00C72094" w:rsidRPr="003303F8">
        <w:rPr>
          <w:kern w:val="0"/>
          <w:sz w:val="24"/>
          <w:szCs w:val="24"/>
        </w:rPr>
        <w:t xml:space="preserve">before and after controlling for </w:t>
      </w:r>
      <w:r w:rsidR="00C72094" w:rsidRPr="003303F8">
        <w:rPr>
          <w:i/>
          <w:kern w:val="0"/>
          <w:sz w:val="24"/>
          <w:szCs w:val="24"/>
        </w:rPr>
        <w:t>Beta</w:t>
      </w:r>
      <w:r w:rsidRPr="003303F8">
        <w:rPr>
          <w:kern w:val="0"/>
          <w:sz w:val="24"/>
          <w:szCs w:val="24"/>
        </w:rPr>
        <w:t xml:space="preserve"> are </w:t>
      </w:r>
      <w:r w:rsidR="00C72094" w:rsidRPr="003303F8">
        <w:rPr>
          <w:kern w:val="0"/>
          <w:sz w:val="24"/>
          <w:szCs w:val="24"/>
        </w:rPr>
        <w:t>in</w:t>
      </w:r>
      <w:r w:rsidRPr="003303F8">
        <w:rPr>
          <w:kern w:val="0"/>
          <w:sz w:val="24"/>
          <w:szCs w:val="24"/>
        </w:rPr>
        <w:t xml:space="preserve">significant at </w:t>
      </w:r>
      <w:r w:rsidR="00C72094" w:rsidRPr="003303F8">
        <w:rPr>
          <w:kern w:val="0"/>
          <w:sz w:val="24"/>
          <w:szCs w:val="24"/>
        </w:rPr>
        <w:t>the conventional level</w:t>
      </w:r>
      <w:r w:rsidRPr="003303F8">
        <w:rPr>
          <w:kern w:val="0"/>
          <w:sz w:val="24"/>
          <w:szCs w:val="24"/>
        </w:rPr>
        <w:t xml:space="preserve">. </w:t>
      </w:r>
      <w:r w:rsidR="002C1327" w:rsidRPr="003303F8">
        <w:rPr>
          <w:kern w:val="0"/>
          <w:sz w:val="24"/>
          <w:szCs w:val="24"/>
        </w:rPr>
        <w:t xml:space="preserve">For the other variables, </w:t>
      </w:r>
      <w:r w:rsidR="002C1327" w:rsidRPr="003303F8">
        <w:rPr>
          <w:i/>
          <w:kern w:val="0"/>
          <w:sz w:val="24"/>
          <w:szCs w:val="24"/>
        </w:rPr>
        <w:t>ICoE</w:t>
      </w:r>
      <w:r w:rsidR="002C1327" w:rsidRPr="003303F8">
        <w:rPr>
          <w:kern w:val="0"/>
          <w:sz w:val="24"/>
          <w:szCs w:val="24"/>
        </w:rPr>
        <w:t xml:space="preserve"> is negatively correlated with </w:t>
      </w:r>
      <w:r w:rsidR="00F04081" w:rsidRPr="003303F8">
        <w:rPr>
          <w:i/>
          <w:kern w:val="0"/>
          <w:sz w:val="24"/>
          <w:szCs w:val="24"/>
        </w:rPr>
        <w:t>LnMV</w:t>
      </w:r>
      <w:r w:rsidR="002C1327" w:rsidRPr="003303F8">
        <w:rPr>
          <w:kern w:val="0"/>
          <w:sz w:val="24"/>
          <w:szCs w:val="24"/>
        </w:rPr>
        <w:t xml:space="preserve">, and </w:t>
      </w:r>
      <w:r w:rsidR="002C1327" w:rsidRPr="003303F8">
        <w:rPr>
          <w:i/>
          <w:kern w:val="0"/>
          <w:sz w:val="24"/>
          <w:szCs w:val="24"/>
        </w:rPr>
        <w:t>CFO</w:t>
      </w:r>
      <w:r w:rsidR="002C1327" w:rsidRPr="003303F8">
        <w:rPr>
          <w:kern w:val="0"/>
          <w:sz w:val="24"/>
          <w:szCs w:val="24"/>
        </w:rPr>
        <w:t xml:space="preserve"> and positively correlated with </w:t>
      </w:r>
      <w:r w:rsidR="00F04081" w:rsidRPr="003303F8">
        <w:rPr>
          <w:i/>
          <w:kern w:val="0"/>
          <w:sz w:val="24"/>
          <w:szCs w:val="24"/>
        </w:rPr>
        <w:t>BM</w:t>
      </w:r>
      <w:r w:rsidR="00F04081" w:rsidRPr="003303F8">
        <w:rPr>
          <w:kern w:val="0"/>
          <w:sz w:val="24"/>
          <w:szCs w:val="24"/>
        </w:rPr>
        <w:t xml:space="preserve">, </w:t>
      </w:r>
      <w:r w:rsidR="00F04081" w:rsidRPr="003303F8">
        <w:rPr>
          <w:i/>
          <w:kern w:val="0"/>
          <w:sz w:val="24"/>
          <w:szCs w:val="24"/>
        </w:rPr>
        <w:t>STD_CFO</w:t>
      </w:r>
      <w:r w:rsidR="00F04081" w:rsidRPr="003303F8" w:rsidDel="00F04081">
        <w:rPr>
          <w:i/>
          <w:kern w:val="0"/>
          <w:sz w:val="24"/>
          <w:szCs w:val="24"/>
        </w:rPr>
        <w:t xml:space="preserve"> </w:t>
      </w:r>
      <w:r w:rsidR="002C1327" w:rsidRPr="003303F8">
        <w:rPr>
          <w:kern w:val="0"/>
          <w:sz w:val="24"/>
          <w:szCs w:val="24"/>
        </w:rPr>
        <w:t>and</w:t>
      </w:r>
      <w:r w:rsidR="00F04081" w:rsidRPr="003303F8">
        <w:rPr>
          <w:kern w:val="0"/>
          <w:sz w:val="24"/>
          <w:szCs w:val="24"/>
        </w:rPr>
        <w:t xml:space="preserve"> </w:t>
      </w:r>
      <w:r w:rsidR="00F04081" w:rsidRPr="003303F8">
        <w:rPr>
          <w:i/>
          <w:kern w:val="0"/>
          <w:sz w:val="24"/>
          <w:szCs w:val="24"/>
        </w:rPr>
        <w:t>Lev</w:t>
      </w:r>
      <w:r w:rsidR="00F04081" w:rsidRPr="003303F8">
        <w:rPr>
          <w:kern w:val="0"/>
          <w:sz w:val="24"/>
          <w:szCs w:val="24"/>
        </w:rPr>
        <w:t>, all consistent with expectations</w:t>
      </w:r>
      <w:r w:rsidR="002C1327" w:rsidRPr="003303F8">
        <w:rPr>
          <w:kern w:val="0"/>
          <w:sz w:val="24"/>
          <w:szCs w:val="24"/>
        </w:rPr>
        <w:t>.</w:t>
      </w:r>
    </w:p>
    <w:p w:rsidR="001B7822" w:rsidRDefault="00AC0744" w:rsidP="001B7822">
      <w:pPr>
        <w:widowControl/>
        <w:overflowPunct/>
        <w:autoSpaceDE/>
        <w:autoSpaceDN/>
        <w:snapToGrid w:val="0"/>
        <w:spacing w:line="480" w:lineRule="auto"/>
        <w:ind w:firstLine="720"/>
        <w:rPr>
          <w:kern w:val="0"/>
          <w:sz w:val="24"/>
          <w:szCs w:val="24"/>
        </w:rPr>
      </w:pPr>
      <w:r w:rsidRPr="003303F8">
        <w:rPr>
          <w:sz w:val="24"/>
          <w:szCs w:val="24"/>
        </w:rPr>
        <w:t xml:space="preserve">I further use path analyses to test the mediation role of </w:t>
      </w:r>
      <w:r w:rsidRPr="003303F8">
        <w:rPr>
          <w:i/>
          <w:sz w:val="24"/>
          <w:szCs w:val="24"/>
        </w:rPr>
        <w:t>Beta</w:t>
      </w:r>
      <w:r w:rsidR="00A02551">
        <w:rPr>
          <w:i/>
          <w:sz w:val="24"/>
          <w:szCs w:val="24"/>
        </w:rPr>
        <w:t xml:space="preserve"> </w:t>
      </w:r>
      <w:r w:rsidR="00A02551">
        <w:rPr>
          <w:sz w:val="24"/>
          <w:szCs w:val="24"/>
        </w:rPr>
        <w:t xml:space="preserve">in the relation between </w:t>
      </w:r>
      <w:r w:rsidR="00A02551" w:rsidRPr="003303F8">
        <w:rPr>
          <w:i/>
          <w:kern w:val="0"/>
          <w:sz w:val="24"/>
          <w:szCs w:val="24"/>
        </w:rPr>
        <w:t>H_P_EQ</w:t>
      </w:r>
      <w:r w:rsidR="00A02551">
        <w:rPr>
          <w:i/>
          <w:kern w:val="0"/>
          <w:sz w:val="24"/>
          <w:szCs w:val="24"/>
        </w:rPr>
        <w:t xml:space="preserve"> </w:t>
      </w:r>
      <w:r w:rsidR="00A02551" w:rsidRPr="00A02551">
        <w:rPr>
          <w:kern w:val="0"/>
          <w:sz w:val="24"/>
          <w:szCs w:val="24"/>
        </w:rPr>
        <w:t xml:space="preserve">and </w:t>
      </w:r>
      <w:r w:rsidR="00A02551" w:rsidRPr="003303F8">
        <w:rPr>
          <w:i/>
          <w:kern w:val="0"/>
          <w:sz w:val="24"/>
          <w:szCs w:val="24"/>
        </w:rPr>
        <w:t>ICoE</w:t>
      </w:r>
      <w:r w:rsidR="00A02551">
        <w:rPr>
          <w:sz w:val="24"/>
          <w:szCs w:val="24"/>
        </w:rPr>
        <w:t xml:space="preserve">. </w:t>
      </w:r>
      <w:r w:rsidRPr="003303F8">
        <w:rPr>
          <w:sz w:val="24"/>
          <w:szCs w:val="24"/>
        </w:rPr>
        <w:t>I estimate a model with the paths</w:t>
      </w:r>
      <w:r w:rsidR="00C72094" w:rsidRPr="003303F8">
        <w:rPr>
          <w:sz w:val="24"/>
          <w:szCs w:val="24"/>
        </w:rPr>
        <w:t xml:space="preserve"> shown </w:t>
      </w:r>
      <w:r w:rsidR="00E91541" w:rsidRPr="003303F8">
        <w:rPr>
          <w:sz w:val="24"/>
          <w:szCs w:val="24"/>
        </w:rPr>
        <w:t>in Panel A Figure III</w:t>
      </w:r>
      <w:r w:rsidRPr="003303F8">
        <w:rPr>
          <w:sz w:val="24"/>
          <w:szCs w:val="24"/>
        </w:rPr>
        <w:t xml:space="preserve">. The theory would predict the effects of earnings quality and peer earnings quality on the cost of equity via </w:t>
      </w:r>
      <w:r w:rsidRPr="003303F8">
        <w:rPr>
          <w:i/>
          <w:sz w:val="24"/>
          <w:szCs w:val="24"/>
        </w:rPr>
        <w:t>Beta</w:t>
      </w:r>
      <w:r w:rsidRPr="003303F8">
        <w:rPr>
          <w:sz w:val="24"/>
          <w:szCs w:val="24"/>
        </w:rPr>
        <w:t xml:space="preserve"> to be negative. Consistent with the expectation, I </w:t>
      </w:r>
      <w:r w:rsidR="008410EE" w:rsidRPr="003303F8">
        <w:rPr>
          <w:sz w:val="24"/>
          <w:szCs w:val="24"/>
        </w:rPr>
        <w:t xml:space="preserve">find </w:t>
      </w:r>
      <w:r w:rsidRPr="003303F8">
        <w:rPr>
          <w:sz w:val="24"/>
          <w:szCs w:val="24"/>
        </w:rPr>
        <w:t xml:space="preserve">the effects of </w:t>
      </w:r>
      <w:r w:rsidR="00C72094" w:rsidRPr="003303F8">
        <w:rPr>
          <w:sz w:val="24"/>
          <w:szCs w:val="24"/>
        </w:rPr>
        <w:t>equally (market share) weighted peer earnings quality</w:t>
      </w:r>
      <w:r w:rsidRPr="003303F8">
        <w:rPr>
          <w:sz w:val="24"/>
          <w:szCs w:val="24"/>
        </w:rPr>
        <w:t xml:space="preserve"> on the cost of equity via </w:t>
      </w:r>
      <w:r w:rsidRPr="003303F8">
        <w:rPr>
          <w:i/>
          <w:sz w:val="24"/>
          <w:szCs w:val="24"/>
        </w:rPr>
        <w:t xml:space="preserve">Beta </w:t>
      </w:r>
      <w:r w:rsidRPr="003303F8">
        <w:rPr>
          <w:sz w:val="24"/>
          <w:szCs w:val="24"/>
        </w:rPr>
        <w:t xml:space="preserve">to be </w:t>
      </w:r>
      <w:r w:rsidR="00C72094" w:rsidRPr="003303F8">
        <w:rPr>
          <w:kern w:val="0"/>
          <w:sz w:val="24"/>
          <w:szCs w:val="24"/>
        </w:rPr>
        <w:t>−</w:t>
      </w:r>
      <w:r w:rsidR="002C1327" w:rsidRPr="003303F8">
        <w:rPr>
          <w:sz w:val="24"/>
          <w:szCs w:val="24"/>
        </w:rPr>
        <w:t>0.01</w:t>
      </w:r>
      <w:r w:rsidR="00A02551">
        <w:rPr>
          <w:sz w:val="24"/>
          <w:szCs w:val="24"/>
        </w:rPr>
        <w:t>8</w:t>
      </w:r>
      <w:r w:rsidRPr="003303F8">
        <w:rPr>
          <w:sz w:val="24"/>
          <w:szCs w:val="24"/>
        </w:rPr>
        <w:t xml:space="preserve"> (</w:t>
      </w:r>
      <w:r w:rsidR="00C72094" w:rsidRPr="003303F8">
        <w:rPr>
          <w:kern w:val="0"/>
          <w:sz w:val="24"/>
          <w:szCs w:val="24"/>
        </w:rPr>
        <w:t>−</w:t>
      </w:r>
      <w:r w:rsidR="002C1327" w:rsidRPr="003303F8">
        <w:rPr>
          <w:sz w:val="24"/>
          <w:szCs w:val="24"/>
        </w:rPr>
        <w:t>0.01</w:t>
      </w:r>
      <w:r w:rsidR="00A02551">
        <w:rPr>
          <w:sz w:val="24"/>
          <w:szCs w:val="24"/>
        </w:rPr>
        <w:t>6</w:t>
      </w:r>
      <w:r w:rsidRPr="003303F8">
        <w:rPr>
          <w:sz w:val="24"/>
          <w:szCs w:val="24"/>
        </w:rPr>
        <w:t>) with p-value=</w:t>
      </w:r>
      <w:r w:rsidR="00C72094" w:rsidRPr="003303F8">
        <w:rPr>
          <w:sz w:val="24"/>
          <w:szCs w:val="24"/>
        </w:rPr>
        <w:t xml:space="preserve"> </w:t>
      </w:r>
      <w:r w:rsidR="00C72094" w:rsidRPr="003303F8">
        <w:rPr>
          <w:kern w:val="0"/>
          <w:sz w:val="24"/>
          <w:szCs w:val="24"/>
        </w:rPr>
        <w:t>−</w:t>
      </w:r>
      <w:r w:rsidR="00A02551">
        <w:rPr>
          <w:sz w:val="24"/>
          <w:szCs w:val="24"/>
        </w:rPr>
        <w:t>13.94</w:t>
      </w:r>
      <w:r w:rsidRPr="003303F8">
        <w:rPr>
          <w:sz w:val="24"/>
          <w:szCs w:val="24"/>
        </w:rPr>
        <w:t xml:space="preserve"> (</w:t>
      </w:r>
      <w:r w:rsidR="00C72094" w:rsidRPr="003303F8">
        <w:rPr>
          <w:kern w:val="0"/>
          <w:sz w:val="24"/>
          <w:szCs w:val="24"/>
        </w:rPr>
        <w:t>−</w:t>
      </w:r>
      <w:r w:rsidR="00A02551">
        <w:rPr>
          <w:sz w:val="24"/>
          <w:szCs w:val="24"/>
        </w:rPr>
        <w:t>13.17</w:t>
      </w:r>
      <w:r w:rsidRPr="003303F8">
        <w:rPr>
          <w:sz w:val="24"/>
          <w:szCs w:val="24"/>
        </w:rPr>
        <w:t xml:space="preserve">). These results suggest significant mediation effect of </w:t>
      </w:r>
      <w:r w:rsidRPr="003303F8">
        <w:rPr>
          <w:i/>
          <w:sz w:val="24"/>
          <w:szCs w:val="24"/>
        </w:rPr>
        <w:t>Beta</w:t>
      </w:r>
      <w:r w:rsidRPr="003303F8">
        <w:rPr>
          <w:sz w:val="24"/>
          <w:szCs w:val="24"/>
        </w:rPr>
        <w:t>.</w:t>
      </w:r>
      <w:r w:rsidR="00A02551">
        <w:rPr>
          <w:rStyle w:val="FootnoteReference"/>
          <w:sz w:val="24"/>
          <w:szCs w:val="24"/>
        </w:rPr>
        <w:footnoteReference w:id="34"/>
      </w:r>
      <w:r w:rsidR="001B7822" w:rsidRPr="003303F8">
        <w:rPr>
          <w:kern w:val="0"/>
          <w:sz w:val="24"/>
          <w:szCs w:val="24"/>
        </w:rPr>
        <w:t xml:space="preserve"> </w:t>
      </w:r>
    </w:p>
    <w:p w:rsidR="00E223F0" w:rsidRPr="003303F8" w:rsidRDefault="007823A6">
      <w:pPr>
        <w:widowControl/>
        <w:overflowPunct/>
        <w:autoSpaceDE/>
        <w:autoSpaceDN/>
        <w:snapToGrid w:val="0"/>
        <w:spacing w:line="480" w:lineRule="auto"/>
        <w:ind w:firstLine="720"/>
        <w:rPr>
          <w:kern w:val="0"/>
          <w:sz w:val="24"/>
          <w:szCs w:val="24"/>
        </w:rPr>
      </w:pPr>
      <w:r w:rsidRPr="003303F8">
        <w:rPr>
          <w:kern w:val="0"/>
          <w:sz w:val="24"/>
          <w:szCs w:val="24"/>
        </w:rPr>
        <w:lastRenderedPageBreak/>
        <w:t>To further alleviate concerns related to biased</w:t>
      </w:r>
      <w:r w:rsidR="00C174EA" w:rsidRPr="003303F8">
        <w:rPr>
          <w:kern w:val="0"/>
          <w:sz w:val="24"/>
          <w:szCs w:val="24"/>
        </w:rPr>
        <w:t xml:space="preserve"> analyst forecasts</w:t>
      </w:r>
      <w:r w:rsidRPr="003303F8">
        <w:rPr>
          <w:kern w:val="0"/>
          <w:sz w:val="24"/>
          <w:szCs w:val="24"/>
        </w:rPr>
        <w:t>,</w:t>
      </w:r>
      <w:r w:rsidR="00C174EA" w:rsidRPr="003303F8">
        <w:rPr>
          <w:kern w:val="0"/>
          <w:sz w:val="24"/>
          <w:szCs w:val="24"/>
        </w:rPr>
        <w:t xml:space="preserve"> </w:t>
      </w:r>
      <w:r w:rsidR="00C72094" w:rsidRPr="003303F8">
        <w:rPr>
          <w:kern w:val="0"/>
          <w:sz w:val="24"/>
          <w:szCs w:val="24"/>
        </w:rPr>
        <w:t>untabualted additional tests</w:t>
      </w:r>
      <w:r w:rsidR="008B7F2C" w:rsidRPr="003303F8">
        <w:rPr>
          <w:kern w:val="0"/>
          <w:sz w:val="24"/>
          <w:szCs w:val="24"/>
        </w:rPr>
        <w:t xml:space="preserve"> </w:t>
      </w:r>
      <w:r w:rsidR="00C174EA" w:rsidRPr="003303F8">
        <w:rPr>
          <w:kern w:val="0"/>
          <w:sz w:val="24"/>
          <w:szCs w:val="24"/>
        </w:rPr>
        <w:t xml:space="preserve">delete observations with analyst forecast errors (based on </w:t>
      </w:r>
      <w:r w:rsidR="00C72094" w:rsidRPr="003303F8">
        <w:rPr>
          <w:kern w:val="0"/>
          <w:sz w:val="24"/>
          <w:szCs w:val="24"/>
        </w:rPr>
        <w:t xml:space="preserve">either </w:t>
      </w:r>
      <w:r w:rsidR="00C174EA" w:rsidRPr="003303F8">
        <w:rPr>
          <w:kern w:val="0"/>
          <w:sz w:val="24"/>
          <w:szCs w:val="24"/>
        </w:rPr>
        <w:t>one-year</w:t>
      </w:r>
      <w:r w:rsidR="007B567B" w:rsidRPr="003303F8">
        <w:rPr>
          <w:kern w:val="0"/>
          <w:sz w:val="24"/>
          <w:szCs w:val="24"/>
        </w:rPr>
        <w:t>-</w:t>
      </w:r>
      <w:r w:rsidR="00C174EA" w:rsidRPr="003303F8">
        <w:rPr>
          <w:kern w:val="0"/>
          <w:sz w:val="24"/>
          <w:szCs w:val="24"/>
        </w:rPr>
        <w:t>ahead earnings forecasts</w:t>
      </w:r>
      <w:r w:rsidR="00C72094" w:rsidRPr="003303F8">
        <w:rPr>
          <w:kern w:val="0"/>
          <w:sz w:val="24"/>
          <w:szCs w:val="24"/>
        </w:rPr>
        <w:t xml:space="preserve"> or two-year-ahead forecasts</w:t>
      </w:r>
      <w:r w:rsidR="00C174EA" w:rsidRPr="003303F8">
        <w:rPr>
          <w:kern w:val="0"/>
          <w:sz w:val="24"/>
          <w:szCs w:val="24"/>
        </w:rPr>
        <w:t xml:space="preserve">) in the top and bottom deciles. The findings remain robust. </w:t>
      </w:r>
      <w:r w:rsidR="00325AAF" w:rsidRPr="003303F8">
        <w:rPr>
          <w:kern w:val="0"/>
          <w:sz w:val="24"/>
          <w:szCs w:val="24"/>
        </w:rPr>
        <w:t xml:space="preserve">Also, my results are robust to </w:t>
      </w:r>
      <w:r w:rsidR="00B7351F" w:rsidRPr="003303F8">
        <w:rPr>
          <w:kern w:val="0"/>
          <w:sz w:val="24"/>
          <w:szCs w:val="24"/>
        </w:rPr>
        <w:t xml:space="preserve">further </w:t>
      </w:r>
      <w:r w:rsidR="00325AAF" w:rsidRPr="003303F8">
        <w:rPr>
          <w:kern w:val="0"/>
          <w:sz w:val="24"/>
          <w:szCs w:val="24"/>
        </w:rPr>
        <w:t>controlling for analyst forecast errors.</w:t>
      </w:r>
      <w:r w:rsidR="001B7822" w:rsidRPr="003303F8">
        <w:rPr>
          <w:kern w:val="0"/>
          <w:sz w:val="24"/>
          <w:szCs w:val="24"/>
        </w:rPr>
        <w:t xml:space="preserve"> </w:t>
      </w:r>
    </w:p>
    <w:p w:rsidR="00C174EA" w:rsidRPr="003303F8" w:rsidRDefault="00C174EA" w:rsidP="00E07762">
      <w:pPr>
        <w:widowControl/>
        <w:overflowPunct/>
        <w:autoSpaceDE/>
        <w:autoSpaceDN/>
        <w:snapToGrid w:val="0"/>
        <w:spacing w:line="480" w:lineRule="auto"/>
        <w:ind w:firstLine="720"/>
        <w:rPr>
          <w:kern w:val="0"/>
          <w:sz w:val="24"/>
          <w:szCs w:val="24"/>
        </w:rPr>
      </w:pPr>
      <w:r w:rsidRPr="003303F8">
        <w:rPr>
          <w:kern w:val="0"/>
          <w:sz w:val="24"/>
          <w:szCs w:val="24"/>
        </w:rPr>
        <w:t>In summary, the above findings are consistent with negative effects of a firm’s earnings quality and peer firm earnings quality on the implied cost of equity. The results are at least partially captured by a firm’s systematic risk</w:t>
      </w:r>
      <w:r w:rsidR="00BD0724" w:rsidRPr="003303F8">
        <w:rPr>
          <w:kern w:val="0"/>
          <w:sz w:val="24"/>
          <w:szCs w:val="24"/>
        </w:rPr>
        <w:t>.</w:t>
      </w:r>
      <w:r w:rsidRPr="003303F8">
        <w:rPr>
          <w:kern w:val="0"/>
          <w:sz w:val="24"/>
          <w:szCs w:val="24"/>
        </w:rPr>
        <w:t xml:space="preserve"> </w:t>
      </w:r>
    </w:p>
    <w:p w:rsidR="00C174EA" w:rsidRPr="003303F8" w:rsidRDefault="00C174EA" w:rsidP="00931FD3">
      <w:pPr>
        <w:pStyle w:val="Heading2"/>
        <w:spacing w:line="480" w:lineRule="auto"/>
        <w:rPr>
          <w:szCs w:val="24"/>
        </w:rPr>
      </w:pPr>
      <w:bookmarkStart w:id="126" w:name="_Toc378087517"/>
      <w:bookmarkStart w:id="127" w:name="_Toc378087557"/>
      <w:bookmarkStart w:id="128" w:name="_Toc378088366"/>
      <w:bookmarkStart w:id="129" w:name="_Toc378088755"/>
      <w:bookmarkStart w:id="130" w:name="_Toc378088891"/>
      <w:r w:rsidRPr="003303F8">
        <w:rPr>
          <w:szCs w:val="24"/>
        </w:rPr>
        <w:t>Industry-Adjusted Earnings-Price Ratio Test</w:t>
      </w:r>
      <w:bookmarkEnd w:id="126"/>
      <w:bookmarkEnd w:id="127"/>
      <w:bookmarkEnd w:id="128"/>
      <w:bookmarkEnd w:id="129"/>
      <w:bookmarkEnd w:id="130"/>
    </w:p>
    <w:p w:rsidR="00C174EA" w:rsidRPr="003303F8" w:rsidRDefault="00C174EA" w:rsidP="00BF7E99">
      <w:pPr>
        <w:widowControl/>
        <w:overflowPunct/>
        <w:autoSpaceDE/>
        <w:autoSpaceDN/>
        <w:snapToGrid w:val="0"/>
        <w:spacing w:line="480" w:lineRule="auto"/>
        <w:ind w:firstLine="720"/>
        <w:rPr>
          <w:kern w:val="0"/>
          <w:sz w:val="24"/>
          <w:szCs w:val="24"/>
        </w:rPr>
      </w:pPr>
      <w:r w:rsidRPr="003303F8">
        <w:rPr>
          <w:kern w:val="0"/>
          <w:sz w:val="24"/>
          <w:szCs w:val="24"/>
        </w:rPr>
        <w:t xml:space="preserve">Table </w:t>
      </w:r>
      <w:r w:rsidR="00AA0FDE" w:rsidRPr="003303F8">
        <w:rPr>
          <w:kern w:val="0"/>
          <w:sz w:val="24"/>
          <w:szCs w:val="24"/>
        </w:rPr>
        <w:t>7</w:t>
      </w:r>
      <w:r w:rsidRPr="003303F8">
        <w:rPr>
          <w:kern w:val="0"/>
          <w:sz w:val="24"/>
          <w:szCs w:val="24"/>
        </w:rPr>
        <w:t xml:space="preserve"> shows the estimation results of equation (</w:t>
      </w:r>
      <w:r w:rsidR="00B66DB9" w:rsidRPr="003303F8">
        <w:rPr>
          <w:kern w:val="0"/>
          <w:sz w:val="24"/>
          <w:szCs w:val="24"/>
        </w:rPr>
        <w:t>5</w:t>
      </w:r>
      <w:r w:rsidRPr="003303F8">
        <w:rPr>
          <w:kern w:val="0"/>
          <w:sz w:val="24"/>
          <w:szCs w:val="24"/>
        </w:rPr>
        <w:t>) with firm-</w:t>
      </w:r>
      <w:r w:rsidR="00BF7E99" w:rsidRPr="003303F8">
        <w:rPr>
          <w:kern w:val="0"/>
          <w:sz w:val="24"/>
          <w:szCs w:val="24"/>
        </w:rPr>
        <w:t xml:space="preserve">clustered </w:t>
      </w:r>
      <w:r w:rsidRPr="003303F8">
        <w:rPr>
          <w:kern w:val="0"/>
          <w:sz w:val="24"/>
          <w:szCs w:val="24"/>
        </w:rPr>
        <w:t xml:space="preserve">standard errors. The dependent variable is </w:t>
      </w:r>
      <w:r w:rsidRPr="003303F8">
        <w:rPr>
          <w:i/>
          <w:kern w:val="0"/>
          <w:sz w:val="24"/>
          <w:szCs w:val="24"/>
        </w:rPr>
        <w:t>IndEP</w:t>
      </w:r>
      <w:r w:rsidRPr="003303F8">
        <w:rPr>
          <w:kern w:val="0"/>
          <w:sz w:val="24"/>
          <w:szCs w:val="24"/>
        </w:rPr>
        <w:t xml:space="preserve">. Similar to Table </w:t>
      </w:r>
      <w:r w:rsidR="00AA0FDE" w:rsidRPr="003303F8">
        <w:rPr>
          <w:kern w:val="0"/>
          <w:sz w:val="24"/>
          <w:szCs w:val="24"/>
        </w:rPr>
        <w:t>6</w:t>
      </w:r>
      <w:r w:rsidRPr="003303F8">
        <w:rPr>
          <w:kern w:val="0"/>
          <w:sz w:val="24"/>
          <w:szCs w:val="24"/>
        </w:rPr>
        <w:t xml:space="preserve">, </w:t>
      </w:r>
      <w:r w:rsidR="00C72094" w:rsidRPr="003303F8">
        <w:rPr>
          <w:kern w:val="0"/>
          <w:sz w:val="24"/>
          <w:szCs w:val="24"/>
        </w:rPr>
        <w:t xml:space="preserve">columns (1) </w:t>
      </w:r>
      <w:r w:rsidRPr="003303F8">
        <w:rPr>
          <w:kern w:val="0"/>
          <w:sz w:val="24"/>
          <w:szCs w:val="24"/>
        </w:rPr>
        <w:t xml:space="preserve">estimates </w:t>
      </w:r>
      <w:r w:rsidR="002C1327" w:rsidRPr="003303F8">
        <w:rPr>
          <w:kern w:val="0"/>
          <w:sz w:val="24"/>
          <w:szCs w:val="24"/>
        </w:rPr>
        <w:t xml:space="preserve">a base model. </w:t>
      </w:r>
      <w:r w:rsidR="00CB6827" w:rsidRPr="003303F8">
        <w:rPr>
          <w:kern w:val="0"/>
          <w:sz w:val="24"/>
          <w:szCs w:val="24"/>
        </w:rPr>
        <w:t>Consistent</w:t>
      </w:r>
      <w:r w:rsidR="00385254" w:rsidRPr="003303F8">
        <w:rPr>
          <w:kern w:val="0"/>
          <w:sz w:val="24"/>
          <w:szCs w:val="24"/>
        </w:rPr>
        <w:t xml:space="preserve"> with expectation, </w:t>
      </w:r>
      <w:r w:rsidR="00385254" w:rsidRPr="003303F8">
        <w:rPr>
          <w:i/>
          <w:kern w:val="0"/>
          <w:sz w:val="24"/>
          <w:szCs w:val="24"/>
        </w:rPr>
        <w:t>IndEP</w:t>
      </w:r>
      <w:r w:rsidR="00385254" w:rsidRPr="003303F8">
        <w:rPr>
          <w:kern w:val="0"/>
          <w:sz w:val="24"/>
          <w:szCs w:val="24"/>
        </w:rPr>
        <w:t xml:space="preserve"> is negatively correlated with </w:t>
      </w:r>
      <w:r w:rsidR="00385254" w:rsidRPr="003303F8">
        <w:rPr>
          <w:i/>
          <w:kern w:val="0"/>
          <w:sz w:val="24"/>
          <w:szCs w:val="24"/>
        </w:rPr>
        <w:t xml:space="preserve">H_EQ </w:t>
      </w:r>
      <w:r w:rsidR="00385254" w:rsidRPr="003303F8">
        <w:rPr>
          <w:kern w:val="0"/>
          <w:sz w:val="24"/>
          <w:szCs w:val="24"/>
        </w:rPr>
        <w:t>(−0.</w:t>
      </w:r>
      <w:r w:rsidR="00F70D1C" w:rsidRPr="003303F8">
        <w:rPr>
          <w:kern w:val="0"/>
          <w:sz w:val="24"/>
          <w:szCs w:val="24"/>
        </w:rPr>
        <w:t>006</w:t>
      </w:r>
      <w:r w:rsidR="00385254" w:rsidRPr="003303F8">
        <w:rPr>
          <w:kern w:val="0"/>
          <w:sz w:val="24"/>
          <w:szCs w:val="24"/>
        </w:rPr>
        <w:t xml:space="preserve">, </w:t>
      </w:r>
      <w:r w:rsidR="000538F4" w:rsidRPr="003303F8">
        <w:rPr>
          <w:i/>
          <w:kern w:val="0"/>
          <w:sz w:val="24"/>
          <w:szCs w:val="24"/>
        </w:rPr>
        <w:t>t</w:t>
      </w:r>
      <w:r w:rsidR="000538F4" w:rsidRPr="003303F8">
        <w:rPr>
          <w:kern w:val="0"/>
          <w:sz w:val="24"/>
          <w:szCs w:val="24"/>
        </w:rPr>
        <w:t>-statistics=</w:t>
      </w:r>
      <w:r w:rsidR="00385254" w:rsidRPr="003303F8">
        <w:rPr>
          <w:kern w:val="0"/>
          <w:sz w:val="24"/>
          <w:szCs w:val="24"/>
        </w:rPr>
        <w:t xml:space="preserve"> −</w:t>
      </w:r>
      <w:r w:rsidR="00F70D1C" w:rsidRPr="003303F8">
        <w:rPr>
          <w:kern w:val="0"/>
          <w:sz w:val="24"/>
          <w:szCs w:val="24"/>
        </w:rPr>
        <w:t>11.40</w:t>
      </w:r>
      <w:r w:rsidR="00385254" w:rsidRPr="003303F8">
        <w:rPr>
          <w:kern w:val="0"/>
          <w:sz w:val="24"/>
          <w:szCs w:val="24"/>
        </w:rPr>
        <w:t xml:space="preserve">). Columns (2) and (5) estimate </w:t>
      </w:r>
      <w:r w:rsidRPr="003303F8">
        <w:rPr>
          <w:kern w:val="0"/>
          <w:sz w:val="24"/>
          <w:szCs w:val="24"/>
        </w:rPr>
        <w:t xml:space="preserve">the model without controlling for </w:t>
      </w:r>
      <w:r w:rsidRPr="003303F8">
        <w:rPr>
          <w:i/>
          <w:kern w:val="0"/>
          <w:sz w:val="24"/>
          <w:szCs w:val="24"/>
        </w:rPr>
        <w:t>Beta</w:t>
      </w:r>
      <w:r w:rsidRPr="003303F8">
        <w:rPr>
          <w:kern w:val="0"/>
          <w:sz w:val="24"/>
          <w:szCs w:val="24"/>
        </w:rPr>
        <w:t xml:space="preserve">; </w:t>
      </w:r>
      <w:r w:rsidR="00C72094" w:rsidRPr="003303F8">
        <w:rPr>
          <w:kern w:val="0"/>
          <w:sz w:val="24"/>
          <w:szCs w:val="24"/>
        </w:rPr>
        <w:t>columns (</w:t>
      </w:r>
      <w:r w:rsidR="00385254" w:rsidRPr="003303F8">
        <w:rPr>
          <w:kern w:val="0"/>
          <w:sz w:val="24"/>
          <w:szCs w:val="24"/>
        </w:rPr>
        <w:t>3</w:t>
      </w:r>
      <w:r w:rsidR="00C72094" w:rsidRPr="003303F8">
        <w:rPr>
          <w:kern w:val="0"/>
          <w:sz w:val="24"/>
          <w:szCs w:val="24"/>
        </w:rPr>
        <w:t>) and (</w:t>
      </w:r>
      <w:r w:rsidR="00385254" w:rsidRPr="003303F8">
        <w:rPr>
          <w:kern w:val="0"/>
          <w:sz w:val="24"/>
          <w:szCs w:val="24"/>
        </w:rPr>
        <w:t>6</w:t>
      </w:r>
      <w:r w:rsidR="00C72094" w:rsidRPr="003303F8">
        <w:rPr>
          <w:kern w:val="0"/>
          <w:sz w:val="24"/>
          <w:szCs w:val="24"/>
        </w:rPr>
        <w:t xml:space="preserve">) </w:t>
      </w:r>
      <w:r w:rsidRPr="003303F8">
        <w:rPr>
          <w:kern w:val="0"/>
          <w:sz w:val="24"/>
          <w:szCs w:val="24"/>
        </w:rPr>
        <w:t xml:space="preserve">further controls for </w:t>
      </w:r>
      <w:r w:rsidRPr="003303F8">
        <w:rPr>
          <w:i/>
          <w:kern w:val="0"/>
          <w:sz w:val="24"/>
          <w:szCs w:val="24"/>
        </w:rPr>
        <w:t>Beta</w:t>
      </w:r>
      <w:r w:rsidRPr="003303F8">
        <w:rPr>
          <w:kern w:val="0"/>
          <w:sz w:val="24"/>
          <w:szCs w:val="24"/>
        </w:rPr>
        <w:t xml:space="preserve">. </w:t>
      </w:r>
      <w:r w:rsidR="00BF7E99" w:rsidRPr="003303F8">
        <w:rPr>
          <w:kern w:val="0"/>
          <w:sz w:val="24"/>
          <w:szCs w:val="24"/>
        </w:rPr>
        <w:t xml:space="preserve">In </w:t>
      </w:r>
      <w:r w:rsidR="00C72094" w:rsidRPr="003303F8">
        <w:rPr>
          <w:kern w:val="0"/>
          <w:sz w:val="24"/>
          <w:szCs w:val="24"/>
        </w:rPr>
        <w:t>columns (</w:t>
      </w:r>
      <w:r w:rsidR="00385254" w:rsidRPr="003303F8">
        <w:rPr>
          <w:kern w:val="0"/>
          <w:sz w:val="24"/>
          <w:szCs w:val="24"/>
        </w:rPr>
        <w:t>2</w:t>
      </w:r>
      <w:r w:rsidR="00C72094" w:rsidRPr="003303F8">
        <w:rPr>
          <w:kern w:val="0"/>
          <w:sz w:val="24"/>
          <w:szCs w:val="24"/>
        </w:rPr>
        <w:t>) and (</w:t>
      </w:r>
      <w:r w:rsidR="00385254" w:rsidRPr="003303F8">
        <w:rPr>
          <w:kern w:val="0"/>
          <w:sz w:val="24"/>
          <w:szCs w:val="24"/>
        </w:rPr>
        <w:t>5</w:t>
      </w:r>
      <w:r w:rsidR="00C72094" w:rsidRPr="003303F8">
        <w:rPr>
          <w:kern w:val="0"/>
          <w:sz w:val="24"/>
          <w:szCs w:val="24"/>
        </w:rPr>
        <w:t>)</w:t>
      </w:r>
      <w:r w:rsidRPr="003303F8">
        <w:rPr>
          <w:kern w:val="0"/>
          <w:sz w:val="24"/>
          <w:szCs w:val="24"/>
        </w:rPr>
        <w:t>, I find significant negative coefficients on</w:t>
      </w:r>
      <w:r w:rsidRPr="003303F8">
        <w:rPr>
          <w:i/>
          <w:kern w:val="0"/>
          <w:sz w:val="24"/>
          <w:szCs w:val="24"/>
        </w:rPr>
        <w:t xml:space="preserve"> </w:t>
      </w:r>
      <w:r w:rsidR="00E223F0" w:rsidRPr="003303F8">
        <w:rPr>
          <w:i/>
          <w:kern w:val="0"/>
          <w:sz w:val="24"/>
          <w:szCs w:val="24"/>
        </w:rPr>
        <w:t>H_</w:t>
      </w:r>
      <w:r w:rsidRPr="003303F8">
        <w:rPr>
          <w:i/>
          <w:kern w:val="0"/>
          <w:sz w:val="24"/>
          <w:szCs w:val="24"/>
        </w:rPr>
        <w:t>EQ</w:t>
      </w:r>
      <w:r w:rsidR="000445A4" w:rsidRPr="003303F8">
        <w:rPr>
          <w:kern w:val="0"/>
          <w:sz w:val="24"/>
          <w:szCs w:val="24"/>
        </w:rPr>
        <w:t xml:space="preserve"> and</w:t>
      </w:r>
      <w:r w:rsidRPr="003303F8">
        <w:rPr>
          <w:kern w:val="0"/>
          <w:sz w:val="24"/>
          <w:szCs w:val="24"/>
        </w:rPr>
        <w:t xml:space="preserve"> </w:t>
      </w:r>
      <w:r w:rsidR="00E223F0" w:rsidRPr="003303F8">
        <w:rPr>
          <w:i/>
          <w:kern w:val="0"/>
          <w:sz w:val="24"/>
          <w:szCs w:val="24"/>
        </w:rPr>
        <w:t>H_</w:t>
      </w:r>
      <w:r w:rsidRPr="003303F8">
        <w:rPr>
          <w:i/>
          <w:kern w:val="0"/>
          <w:sz w:val="24"/>
          <w:szCs w:val="24"/>
        </w:rPr>
        <w:t>P_EQ</w:t>
      </w:r>
      <w:r w:rsidR="00BF7E99" w:rsidRPr="003303F8">
        <w:rPr>
          <w:kern w:val="0"/>
          <w:sz w:val="24"/>
          <w:szCs w:val="24"/>
        </w:rPr>
        <w:t xml:space="preserve">, suggesting observations with </w:t>
      </w:r>
      <w:r w:rsidR="00385254" w:rsidRPr="003303F8">
        <w:rPr>
          <w:i/>
          <w:kern w:val="0"/>
          <w:sz w:val="24"/>
          <w:szCs w:val="24"/>
        </w:rPr>
        <w:t>P_</w:t>
      </w:r>
      <w:r w:rsidR="00BF7E99" w:rsidRPr="003303F8">
        <w:rPr>
          <w:i/>
          <w:kern w:val="0"/>
          <w:sz w:val="24"/>
          <w:szCs w:val="24"/>
        </w:rPr>
        <w:t xml:space="preserve">EQ </w:t>
      </w:r>
      <w:r w:rsidR="00BF7E99" w:rsidRPr="003303F8">
        <w:rPr>
          <w:kern w:val="0"/>
          <w:sz w:val="24"/>
          <w:szCs w:val="24"/>
        </w:rPr>
        <w:t>(</w:t>
      </w:r>
      <w:r w:rsidR="00BF7E99" w:rsidRPr="003303F8">
        <w:rPr>
          <w:i/>
          <w:kern w:val="0"/>
          <w:sz w:val="24"/>
          <w:szCs w:val="24"/>
        </w:rPr>
        <w:t>EQ</w:t>
      </w:r>
      <w:r w:rsidR="00BF7E99" w:rsidRPr="003303F8">
        <w:rPr>
          <w:kern w:val="0"/>
          <w:sz w:val="24"/>
          <w:szCs w:val="24"/>
        </w:rPr>
        <w:t>) above median have 0.</w:t>
      </w:r>
      <w:r w:rsidR="00385254" w:rsidRPr="003303F8">
        <w:rPr>
          <w:kern w:val="0"/>
          <w:sz w:val="24"/>
          <w:szCs w:val="24"/>
        </w:rPr>
        <w:t>3</w:t>
      </w:r>
      <w:r w:rsidR="00C72094" w:rsidRPr="003303F8">
        <w:rPr>
          <w:kern w:val="0"/>
          <w:sz w:val="24"/>
          <w:szCs w:val="24"/>
        </w:rPr>
        <w:t xml:space="preserve"> </w:t>
      </w:r>
      <w:r w:rsidR="00BF7E99" w:rsidRPr="003303F8">
        <w:rPr>
          <w:kern w:val="0"/>
          <w:sz w:val="24"/>
          <w:szCs w:val="24"/>
        </w:rPr>
        <w:t>(0.</w:t>
      </w:r>
      <w:r w:rsidR="00385254" w:rsidRPr="003303F8">
        <w:rPr>
          <w:kern w:val="0"/>
          <w:sz w:val="24"/>
          <w:szCs w:val="24"/>
        </w:rPr>
        <w:t>4</w:t>
      </w:r>
      <w:r w:rsidR="00BF7E99" w:rsidRPr="003303F8">
        <w:rPr>
          <w:kern w:val="0"/>
          <w:sz w:val="24"/>
          <w:szCs w:val="24"/>
        </w:rPr>
        <w:t>) percent lower industry</w:t>
      </w:r>
      <w:r w:rsidR="006C7433" w:rsidRPr="003303F8">
        <w:rPr>
          <w:kern w:val="0"/>
          <w:sz w:val="24"/>
          <w:szCs w:val="24"/>
        </w:rPr>
        <w:t>-</w:t>
      </w:r>
      <w:r w:rsidR="00BF7E99" w:rsidRPr="003303F8">
        <w:rPr>
          <w:kern w:val="0"/>
          <w:sz w:val="24"/>
          <w:szCs w:val="24"/>
        </w:rPr>
        <w:t>adjusted earnings</w:t>
      </w:r>
      <w:r w:rsidR="006C7433" w:rsidRPr="003303F8">
        <w:rPr>
          <w:kern w:val="0"/>
          <w:sz w:val="24"/>
          <w:szCs w:val="24"/>
        </w:rPr>
        <w:t>-</w:t>
      </w:r>
      <w:r w:rsidR="00BF7E99" w:rsidRPr="003303F8">
        <w:rPr>
          <w:kern w:val="0"/>
          <w:sz w:val="24"/>
          <w:szCs w:val="24"/>
        </w:rPr>
        <w:t>price ratio</w:t>
      </w:r>
      <w:r w:rsidR="006C7433" w:rsidRPr="003303F8">
        <w:rPr>
          <w:kern w:val="0"/>
          <w:sz w:val="24"/>
          <w:szCs w:val="24"/>
        </w:rPr>
        <w:t>s</w:t>
      </w:r>
      <w:r w:rsidRPr="003303F8">
        <w:rPr>
          <w:kern w:val="0"/>
          <w:sz w:val="24"/>
          <w:szCs w:val="24"/>
        </w:rPr>
        <w:t xml:space="preserve">. </w:t>
      </w:r>
      <w:r w:rsidR="00BF7E99" w:rsidRPr="003303F8">
        <w:rPr>
          <w:kern w:val="0"/>
          <w:sz w:val="24"/>
          <w:szCs w:val="24"/>
        </w:rPr>
        <w:t xml:space="preserve">In </w:t>
      </w:r>
      <w:r w:rsidR="00C72094" w:rsidRPr="003303F8">
        <w:rPr>
          <w:kern w:val="0"/>
          <w:sz w:val="24"/>
          <w:szCs w:val="24"/>
        </w:rPr>
        <w:t>columns (</w:t>
      </w:r>
      <w:r w:rsidR="00385254" w:rsidRPr="003303F8">
        <w:rPr>
          <w:kern w:val="0"/>
          <w:sz w:val="24"/>
          <w:szCs w:val="24"/>
        </w:rPr>
        <w:t>3</w:t>
      </w:r>
      <w:r w:rsidR="00C72094" w:rsidRPr="003303F8">
        <w:rPr>
          <w:kern w:val="0"/>
          <w:sz w:val="24"/>
          <w:szCs w:val="24"/>
        </w:rPr>
        <w:t>) and (</w:t>
      </w:r>
      <w:r w:rsidR="00385254" w:rsidRPr="003303F8">
        <w:rPr>
          <w:kern w:val="0"/>
          <w:sz w:val="24"/>
          <w:szCs w:val="24"/>
        </w:rPr>
        <w:t>6</w:t>
      </w:r>
      <w:r w:rsidR="00C72094" w:rsidRPr="003303F8">
        <w:rPr>
          <w:kern w:val="0"/>
          <w:sz w:val="24"/>
          <w:szCs w:val="24"/>
        </w:rPr>
        <w:t>)</w:t>
      </w:r>
      <w:r w:rsidR="00BF7E99" w:rsidRPr="003303F8">
        <w:rPr>
          <w:kern w:val="0"/>
          <w:sz w:val="24"/>
          <w:szCs w:val="24"/>
        </w:rPr>
        <w:t>, a</w:t>
      </w:r>
      <w:r w:rsidRPr="003303F8">
        <w:rPr>
          <w:kern w:val="0"/>
          <w:sz w:val="24"/>
          <w:szCs w:val="24"/>
        </w:rPr>
        <w:t xml:space="preserve">ll of the negative coefficients become </w:t>
      </w:r>
      <w:r w:rsidR="00BF7E99" w:rsidRPr="003303F8">
        <w:rPr>
          <w:kern w:val="0"/>
          <w:sz w:val="24"/>
          <w:szCs w:val="24"/>
        </w:rPr>
        <w:t>less significant</w:t>
      </w:r>
      <w:r w:rsidRPr="003303F8">
        <w:rPr>
          <w:kern w:val="0"/>
          <w:sz w:val="24"/>
          <w:szCs w:val="24"/>
        </w:rPr>
        <w:t xml:space="preserve"> after controlling for </w:t>
      </w:r>
      <w:r w:rsidRPr="003303F8">
        <w:rPr>
          <w:i/>
          <w:kern w:val="0"/>
          <w:sz w:val="24"/>
          <w:szCs w:val="24"/>
        </w:rPr>
        <w:t>Beta</w:t>
      </w:r>
      <w:r w:rsidRPr="003303F8">
        <w:rPr>
          <w:kern w:val="0"/>
          <w:sz w:val="24"/>
          <w:szCs w:val="24"/>
        </w:rPr>
        <w:t xml:space="preserve">, though </w:t>
      </w:r>
      <w:r w:rsidR="007209B6" w:rsidRPr="003303F8">
        <w:rPr>
          <w:kern w:val="0"/>
          <w:sz w:val="24"/>
          <w:szCs w:val="24"/>
        </w:rPr>
        <w:t>columns (</w:t>
      </w:r>
      <w:r w:rsidR="00385254" w:rsidRPr="003303F8">
        <w:rPr>
          <w:kern w:val="0"/>
          <w:sz w:val="24"/>
          <w:szCs w:val="24"/>
        </w:rPr>
        <w:t>4</w:t>
      </w:r>
      <w:r w:rsidR="007209B6" w:rsidRPr="003303F8">
        <w:rPr>
          <w:kern w:val="0"/>
          <w:sz w:val="24"/>
          <w:szCs w:val="24"/>
        </w:rPr>
        <w:t>) and (</w:t>
      </w:r>
      <w:r w:rsidR="00385254" w:rsidRPr="003303F8">
        <w:rPr>
          <w:kern w:val="0"/>
          <w:sz w:val="24"/>
          <w:szCs w:val="24"/>
        </w:rPr>
        <w:t>7</w:t>
      </w:r>
      <w:r w:rsidR="007209B6" w:rsidRPr="003303F8">
        <w:rPr>
          <w:kern w:val="0"/>
          <w:sz w:val="24"/>
          <w:szCs w:val="24"/>
        </w:rPr>
        <w:t xml:space="preserve">) </w:t>
      </w:r>
      <w:r w:rsidRPr="003303F8">
        <w:rPr>
          <w:kern w:val="0"/>
          <w:sz w:val="24"/>
          <w:szCs w:val="24"/>
        </w:rPr>
        <w:t xml:space="preserve">suggests the changes </w:t>
      </w:r>
      <w:r w:rsidR="00103D15" w:rsidRPr="003303F8">
        <w:rPr>
          <w:kern w:val="0"/>
          <w:sz w:val="24"/>
          <w:szCs w:val="24"/>
        </w:rPr>
        <w:t xml:space="preserve">in coefficients </w:t>
      </w:r>
      <w:r w:rsidRPr="003303F8">
        <w:rPr>
          <w:kern w:val="0"/>
          <w:sz w:val="24"/>
          <w:szCs w:val="24"/>
        </w:rPr>
        <w:t>are insignificant. Collectively, these results are consistent with expectations.</w:t>
      </w:r>
    </w:p>
    <w:p w:rsidR="00AC0744" w:rsidRDefault="00AC0744" w:rsidP="00931FD3">
      <w:pPr>
        <w:spacing w:line="480" w:lineRule="auto"/>
        <w:ind w:firstLine="720"/>
        <w:rPr>
          <w:sz w:val="24"/>
          <w:szCs w:val="24"/>
        </w:rPr>
      </w:pPr>
      <w:r w:rsidRPr="003303F8">
        <w:rPr>
          <w:sz w:val="24"/>
          <w:szCs w:val="24"/>
        </w:rPr>
        <w:t xml:space="preserve">As in the implied cost of equity test, I further use path analyses to test the mediation role of </w:t>
      </w:r>
      <w:r w:rsidRPr="003303F8">
        <w:rPr>
          <w:i/>
          <w:sz w:val="24"/>
          <w:szCs w:val="24"/>
        </w:rPr>
        <w:t>Beta</w:t>
      </w:r>
      <w:r w:rsidR="00A02551">
        <w:rPr>
          <w:i/>
          <w:sz w:val="24"/>
          <w:szCs w:val="24"/>
        </w:rPr>
        <w:t xml:space="preserve"> </w:t>
      </w:r>
      <w:r w:rsidR="00A02551">
        <w:rPr>
          <w:sz w:val="24"/>
          <w:szCs w:val="24"/>
        </w:rPr>
        <w:t xml:space="preserve">in the relation between </w:t>
      </w:r>
      <w:r w:rsidR="00A02551" w:rsidRPr="003303F8">
        <w:rPr>
          <w:i/>
          <w:kern w:val="0"/>
          <w:sz w:val="24"/>
          <w:szCs w:val="24"/>
        </w:rPr>
        <w:t>H_P_EQ</w:t>
      </w:r>
      <w:r w:rsidR="00A02551">
        <w:rPr>
          <w:i/>
          <w:kern w:val="0"/>
          <w:sz w:val="24"/>
          <w:szCs w:val="24"/>
        </w:rPr>
        <w:t xml:space="preserve"> </w:t>
      </w:r>
      <w:r w:rsidR="00A02551" w:rsidRPr="00A02551">
        <w:rPr>
          <w:kern w:val="0"/>
          <w:sz w:val="24"/>
          <w:szCs w:val="24"/>
        </w:rPr>
        <w:t>and</w:t>
      </w:r>
      <w:r w:rsidR="00A02551" w:rsidRPr="00A02551">
        <w:rPr>
          <w:i/>
          <w:kern w:val="0"/>
          <w:sz w:val="24"/>
          <w:szCs w:val="24"/>
        </w:rPr>
        <w:t xml:space="preserve"> </w:t>
      </w:r>
      <w:r w:rsidR="00A02551" w:rsidRPr="003303F8">
        <w:rPr>
          <w:i/>
          <w:kern w:val="0"/>
          <w:sz w:val="24"/>
          <w:szCs w:val="24"/>
        </w:rPr>
        <w:t>IndEP</w:t>
      </w:r>
      <w:r w:rsidRPr="003303F8">
        <w:rPr>
          <w:sz w:val="24"/>
          <w:szCs w:val="24"/>
        </w:rPr>
        <w:t>.  I estimate a model with the paths</w:t>
      </w:r>
      <w:r w:rsidR="00E91541" w:rsidRPr="003303F8">
        <w:rPr>
          <w:sz w:val="24"/>
          <w:szCs w:val="24"/>
        </w:rPr>
        <w:t xml:space="preserve"> shown in Panel B Figure III</w:t>
      </w:r>
      <w:r w:rsidRPr="003303F8">
        <w:rPr>
          <w:sz w:val="24"/>
          <w:szCs w:val="24"/>
        </w:rPr>
        <w:t xml:space="preserve">. The theory would predict the effects of </w:t>
      </w:r>
      <w:r w:rsidRPr="003303F8">
        <w:rPr>
          <w:sz w:val="24"/>
          <w:szCs w:val="24"/>
        </w:rPr>
        <w:lastRenderedPageBreak/>
        <w:t xml:space="preserve">earnings quality and peer earnings quality on the cost of equity via </w:t>
      </w:r>
      <w:r w:rsidRPr="003303F8">
        <w:rPr>
          <w:i/>
          <w:sz w:val="24"/>
          <w:szCs w:val="24"/>
        </w:rPr>
        <w:t>Beta</w:t>
      </w:r>
      <w:r w:rsidRPr="003303F8">
        <w:rPr>
          <w:sz w:val="24"/>
          <w:szCs w:val="24"/>
        </w:rPr>
        <w:t xml:space="preserve"> to be negative. Consistent with the expectation, I think the effects of </w:t>
      </w:r>
      <w:r w:rsidR="007209B6" w:rsidRPr="003303F8">
        <w:rPr>
          <w:sz w:val="24"/>
          <w:szCs w:val="24"/>
        </w:rPr>
        <w:t xml:space="preserve">equally (market share) weighted peer earnings quality </w:t>
      </w:r>
      <w:r w:rsidRPr="003303F8">
        <w:rPr>
          <w:sz w:val="24"/>
          <w:szCs w:val="24"/>
        </w:rPr>
        <w:t xml:space="preserve">on the cost of equity via </w:t>
      </w:r>
      <w:r w:rsidRPr="003303F8">
        <w:rPr>
          <w:i/>
          <w:sz w:val="24"/>
          <w:szCs w:val="24"/>
        </w:rPr>
        <w:t>Beta</w:t>
      </w:r>
      <w:r w:rsidRPr="003303F8">
        <w:rPr>
          <w:sz w:val="24"/>
          <w:szCs w:val="24"/>
        </w:rPr>
        <w:t xml:space="preserve"> to be </w:t>
      </w:r>
      <w:r w:rsidR="007209B6" w:rsidRPr="003303F8">
        <w:rPr>
          <w:kern w:val="0"/>
          <w:sz w:val="24"/>
          <w:szCs w:val="24"/>
        </w:rPr>
        <w:t>−</w:t>
      </w:r>
      <w:r w:rsidR="00385254" w:rsidRPr="003303F8">
        <w:rPr>
          <w:sz w:val="24"/>
          <w:szCs w:val="24"/>
        </w:rPr>
        <w:t>0.00</w:t>
      </w:r>
      <w:r w:rsidR="00A02551">
        <w:rPr>
          <w:sz w:val="24"/>
          <w:szCs w:val="24"/>
        </w:rPr>
        <w:t>9</w:t>
      </w:r>
      <w:r w:rsidRPr="003303F8">
        <w:rPr>
          <w:sz w:val="24"/>
          <w:szCs w:val="24"/>
        </w:rPr>
        <w:t xml:space="preserve"> (</w:t>
      </w:r>
      <w:r w:rsidR="007209B6" w:rsidRPr="003303F8">
        <w:rPr>
          <w:kern w:val="0"/>
          <w:sz w:val="24"/>
          <w:szCs w:val="24"/>
        </w:rPr>
        <w:t>−</w:t>
      </w:r>
      <w:r w:rsidR="00385254" w:rsidRPr="003303F8">
        <w:rPr>
          <w:sz w:val="24"/>
          <w:szCs w:val="24"/>
        </w:rPr>
        <w:t>0.0</w:t>
      </w:r>
      <w:r w:rsidR="00A02551">
        <w:rPr>
          <w:sz w:val="24"/>
          <w:szCs w:val="24"/>
        </w:rPr>
        <w:t>10</w:t>
      </w:r>
      <w:r w:rsidRPr="003303F8">
        <w:rPr>
          <w:sz w:val="24"/>
          <w:szCs w:val="24"/>
        </w:rPr>
        <w:t>) with p-value=</w:t>
      </w:r>
      <w:r w:rsidR="007209B6" w:rsidRPr="003303F8">
        <w:rPr>
          <w:kern w:val="0"/>
          <w:sz w:val="24"/>
          <w:szCs w:val="24"/>
        </w:rPr>
        <w:t>−</w:t>
      </w:r>
      <w:r w:rsidR="00A02551">
        <w:rPr>
          <w:sz w:val="24"/>
          <w:szCs w:val="24"/>
        </w:rPr>
        <w:t>10.25</w:t>
      </w:r>
      <w:r w:rsidR="007209B6" w:rsidRPr="003303F8">
        <w:rPr>
          <w:sz w:val="24"/>
          <w:szCs w:val="24"/>
        </w:rPr>
        <w:t xml:space="preserve"> </w:t>
      </w:r>
      <w:r w:rsidRPr="003303F8">
        <w:rPr>
          <w:sz w:val="24"/>
          <w:szCs w:val="24"/>
        </w:rPr>
        <w:t>(</w:t>
      </w:r>
      <w:r w:rsidR="007209B6" w:rsidRPr="003303F8">
        <w:rPr>
          <w:kern w:val="0"/>
          <w:sz w:val="24"/>
          <w:szCs w:val="24"/>
        </w:rPr>
        <w:t>−</w:t>
      </w:r>
      <w:r w:rsidR="00A02551">
        <w:rPr>
          <w:sz w:val="24"/>
          <w:szCs w:val="24"/>
        </w:rPr>
        <w:t>10.33</w:t>
      </w:r>
      <w:r w:rsidRPr="003303F8">
        <w:rPr>
          <w:sz w:val="24"/>
          <w:szCs w:val="24"/>
        </w:rPr>
        <w:t>). These results suggest significant mediation effect of</w:t>
      </w:r>
      <w:r w:rsidRPr="003303F8">
        <w:rPr>
          <w:i/>
          <w:sz w:val="24"/>
          <w:szCs w:val="24"/>
        </w:rPr>
        <w:t xml:space="preserve"> Beta</w:t>
      </w:r>
      <w:r w:rsidRPr="003303F8">
        <w:rPr>
          <w:sz w:val="24"/>
          <w:szCs w:val="24"/>
        </w:rPr>
        <w:t>.</w:t>
      </w:r>
      <w:r w:rsidR="00A02551" w:rsidRPr="00A02551">
        <w:rPr>
          <w:sz w:val="24"/>
          <w:szCs w:val="24"/>
        </w:rPr>
        <w:t xml:space="preserve"> </w:t>
      </w:r>
      <w:r w:rsidR="00A02551">
        <w:rPr>
          <w:rStyle w:val="FootnoteReference"/>
          <w:sz w:val="24"/>
          <w:szCs w:val="24"/>
        </w:rPr>
        <w:footnoteReference w:id="35"/>
      </w:r>
    </w:p>
    <w:p w:rsidR="00C174EA" w:rsidRPr="003303F8" w:rsidRDefault="007823A6" w:rsidP="00E07762">
      <w:pPr>
        <w:widowControl/>
        <w:overflowPunct/>
        <w:autoSpaceDE/>
        <w:autoSpaceDN/>
        <w:snapToGrid w:val="0"/>
        <w:spacing w:line="480" w:lineRule="auto"/>
        <w:ind w:firstLine="720"/>
        <w:rPr>
          <w:kern w:val="0"/>
          <w:sz w:val="24"/>
          <w:szCs w:val="24"/>
        </w:rPr>
      </w:pPr>
      <w:r w:rsidRPr="003303F8">
        <w:rPr>
          <w:kern w:val="0"/>
          <w:sz w:val="24"/>
          <w:szCs w:val="24"/>
        </w:rPr>
        <w:t xml:space="preserve">In the primary analyses above, I deleted observations with negative </w:t>
      </w:r>
      <w:r w:rsidR="00D362B8" w:rsidRPr="003303F8">
        <w:rPr>
          <w:kern w:val="0"/>
          <w:sz w:val="24"/>
          <w:szCs w:val="24"/>
        </w:rPr>
        <w:t>earnings</w:t>
      </w:r>
      <w:r w:rsidRPr="003303F8">
        <w:rPr>
          <w:kern w:val="0"/>
          <w:sz w:val="24"/>
          <w:szCs w:val="24"/>
        </w:rPr>
        <w:t>, because the (</w:t>
      </w:r>
      <w:r w:rsidR="00F07838" w:rsidRPr="003303F8">
        <w:rPr>
          <w:kern w:val="0"/>
          <w:sz w:val="24"/>
          <w:szCs w:val="24"/>
        </w:rPr>
        <w:t>liquidation</w:t>
      </w:r>
      <w:r w:rsidRPr="003303F8">
        <w:rPr>
          <w:kern w:val="0"/>
          <w:sz w:val="24"/>
          <w:szCs w:val="24"/>
        </w:rPr>
        <w:t>) option-style valuation model</w:t>
      </w:r>
      <w:r w:rsidR="00F07838" w:rsidRPr="003303F8">
        <w:rPr>
          <w:kern w:val="0"/>
          <w:sz w:val="24"/>
          <w:szCs w:val="24"/>
        </w:rPr>
        <w:t xml:space="preserve"> </w:t>
      </w:r>
      <w:r w:rsidR="007062FE" w:rsidRPr="003303F8">
        <w:rPr>
          <w:kern w:val="0"/>
          <w:sz w:val="24"/>
          <w:szCs w:val="24"/>
        </w:rPr>
        <w:t>(e.g., Hayn [1995];</w:t>
      </w:r>
      <w:r w:rsidRPr="003303F8">
        <w:rPr>
          <w:kern w:val="0"/>
          <w:sz w:val="24"/>
          <w:szCs w:val="24"/>
        </w:rPr>
        <w:t xml:space="preserve"> Burgstahler and Dichev [1997]) suggests low-profit firms are</w:t>
      </w:r>
      <w:r w:rsidR="00F07838" w:rsidRPr="003303F8">
        <w:rPr>
          <w:kern w:val="0"/>
          <w:sz w:val="24"/>
          <w:szCs w:val="24"/>
        </w:rPr>
        <w:t xml:space="preserve"> valued based on their adaptation value (book value of equity) rather than recursion value (as a function of earnings). Thus, for firms with low profitability, earnings are</w:t>
      </w:r>
      <w:r w:rsidRPr="003303F8">
        <w:rPr>
          <w:kern w:val="0"/>
          <w:sz w:val="24"/>
          <w:szCs w:val="24"/>
        </w:rPr>
        <w:t xml:space="preserve"> a less important determinant of stock price. </w:t>
      </w:r>
      <w:r w:rsidR="00F07838" w:rsidRPr="003303F8">
        <w:rPr>
          <w:kern w:val="0"/>
          <w:sz w:val="24"/>
          <w:szCs w:val="24"/>
        </w:rPr>
        <w:t xml:space="preserve">As an </w:t>
      </w:r>
      <w:r w:rsidR="007209B6" w:rsidRPr="003303F8">
        <w:rPr>
          <w:kern w:val="0"/>
          <w:sz w:val="24"/>
          <w:szCs w:val="24"/>
        </w:rPr>
        <w:t xml:space="preserve">untabualted </w:t>
      </w:r>
      <w:r w:rsidR="00F07838" w:rsidRPr="003303F8">
        <w:rPr>
          <w:kern w:val="0"/>
          <w:sz w:val="24"/>
          <w:szCs w:val="24"/>
        </w:rPr>
        <w:t xml:space="preserve">additional test, I further deleted observations with profitability (measured by ROE) </w:t>
      </w:r>
      <w:r w:rsidR="00205DEC" w:rsidRPr="003303F8">
        <w:rPr>
          <w:kern w:val="0"/>
          <w:sz w:val="24"/>
          <w:szCs w:val="24"/>
        </w:rPr>
        <w:t xml:space="preserve">in the bottom decile. </w:t>
      </w:r>
      <w:r w:rsidR="007209B6" w:rsidRPr="003303F8">
        <w:rPr>
          <w:kern w:val="0"/>
          <w:sz w:val="24"/>
          <w:szCs w:val="24"/>
        </w:rPr>
        <w:t>My</w:t>
      </w:r>
      <w:r w:rsidR="00C174EA" w:rsidRPr="003303F8">
        <w:rPr>
          <w:kern w:val="0"/>
          <w:sz w:val="24"/>
          <w:szCs w:val="24"/>
        </w:rPr>
        <w:t xml:space="preserve"> findings </w:t>
      </w:r>
      <w:r w:rsidR="00272571" w:rsidRPr="003303F8">
        <w:rPr>
          <w:kern w:val="0"/>
          <w:sz w:val="24"/>
          <w:szCs w:val="24"/>
        </w:rPr>
        <w:t>remain</w:t>
      </w:r>
      <w:r w:rsidR="00C174EA" w:rsidRPr="003303F8">
        <w:rPr>
          <w:kern w:val="0"/>
          <w:sz w:val="24"/>
          <w:szCs w:val="24"/>
        </w:rPr>
        <w:t xml:space="preserve"> robust. </w:t>
      </w:r>
    </w:p>
    <w:p w:rsidR="00D362B8" w:rsidRPr="003303F8" w:rsidRDefault="00D362B8" w:rsidP="00272571">
      <w:pPr>
        <w:pStyle w:val="Heading1"/>
        <w:adjustRightInd w:val="0"/>
        <w:snapToGrid w:val="0"/>
        <w:spacing w:line="480" w:lineRule="auto"/>
        <w:jc w:val="left"/>
        <w:rPr>
          <w:rFonts w:ascii="Times New Roman" w:eastAsiaTheme="minorEastAsia" w:hAnsi="Times New Roman"/>
          <w:szCs w:val="24"/>
          <w:lang w:eastAsia="zh-CN"/>
        </w:rPr>
      </w:pPr>
    </w:p>
    <w:p w:rsidR="00C85932" w:rsidRPr="003303F8" w:rsidRDefault="00C85932">
      <w:pPr>
        <w:widowControl/>
        <w:overflowPunct/>
        <w:autoSpaceDE/>
        <w:autoSpaceDN/>
        <w:adjustRightInd/>
        <w:rPr>
          <w:rFonts w:ascii="Times" w:eastAsia="Times" w:hAnsi="Times"/>
          <w:b/>
          <w:kern w:val="0"/>
          <w:sz w:val="24"/>
          <w:szCs w:val="24"/>
          <w:lang w:eastAsia="en-US"/>
        </w:rPr>
      </w:pPr>
      <w:r w:rsidRPr="003303F8">
        <w:rPr>
          <w:sz w:val="24"/>
          <w:szCs w:val="24"/>
        </w:rPr>
        <w:br w:type="page"/>
      </w:r>
    </w:p>
    <w:p w:rsidR="00C174EA" w:rsidRPr="003303F8" w:rsidRDefault="00B45E58" w:rsidP="00931FD3">
      <w:pPr>
        <w:pStyle w:val="Heading1"/>
        <w:spacing w:line="480" w:lineRule="auto"/>
        <w:rPr>
          <w:szCs w:val="24"/>
        </w:rPr>
      </w:pPr>
      <w:bookmarkStart w:id="131" w:name="_Toc378087518"/>
      <w:bookmarkStart w:id="132" w:name="_Toc378087558"/>
      <w:bookmarkStart w:id="133" w:name="_Toc378088367"/>
      <w:bookmarkStart w:id="134" w:name="_Toc378088756"/>
      <w:bookmarkStart w:id="135" w:name="_Toc378088892"/>
      <w:r w:rsidRPr="003303F8">
        <w:rPr>
          <w:szCs w:val="24"/>
        </w:rPr>
        <w:lastRenderedPageBreak/>
        <w:t>CHAPTER VI</w:t>
      </w:r>
      <w:r w:rsidR="00C174EA" w:rsidRPr="003303F8">
        <w:rPr>
          <w:szCs w:val="24"/>
        </w:rPr>
        <w:t xml:space="preserve">. </w:t>
      </w:r>
      <w:r w:rsidR="00F27461" w:rsidRPr="003303F8">
        <w:rPr>
          <w:szCs w:val="24"/>
        </w:rPr>
        <w:t>ADDITIONAL ANALYSES</w:t>
      </w:r>
      <w:bookmarkEnd w:id="131"/>
      <w:bookmarkEnd w:id="132"/>
      <w:bookmarkEnd w:id="133"/>
      <w:bookmarkEnd w:id="134"/>
      <w:bookmarkEnd w:id="135"/>
    </w:p>
    <w:p w:rsidR="00D95250" w:rsidRPr="003303F8" w:rsidRDefault="004B2947" w:rsidP="00931FD3">
      <w:pPr>
        <w:pStyle w:val="Heading2"/>
        <w:spacing w:line="480" w:lineRule="auto"/>
        <w:rPr>
          <w:szCs w:val="24"/>
        </w:rPr>
      </w:pPr>
      <w:bookmarkStart w:id="136" w:name="_Toc378087519"/>
      <w:bookmarkStart w:id="137" w:name="_Toc378087559"/>
      <w:bookmarkStart w:id="138" w:name="_Toc378088368"/>
      <w:bookmarkStart w:id="139" w:name="_Toc378088757"/>
      <w:bookmarkStart w:id="140" w:name="_Toc378088893"/>
      <w:r w:rsidRPr="003303F8">
        <w:rPr>
          <w:szCs w:val="24"/>
        </w:rPr>
        <w:t>Increasing</w:t>
      </w:r>
      <w:r w:rsidR="00D95250" w:rsidRPr="003303F8">
        <w:rPr>
          <w:szCs w:val="24"/>
        </w:rPr>
        <w:t xml:space="preserve"> </w:t>
      </w:r>
      <w:r w:rsidR="001D2FBD" w:rsidRPr="003303F8">
        <w:rPr>
          <w:szCs w:val="24"/>
        </w:rPr>
        <w:t xml:space="preserve">Nonlinear </w:t>
      </w:r>
      <w:r w:rsidR="00D95250" w:rsidRPr="003303F8">
        <w:rPr>
          <w:szCs w:val="24"/>
        </w:rPr>
        <w:t>Effect of Peer Firm Earnings Quality</w:t>
      </w:r>
      <w:bookmarkEnd w:id="136"/>
      <w:bookmarkEnd w:id="137"/>
      <w:bookmarkEnd w:id="138"/>
      <w:bookmarkEnd w:id="139"/>
      <w:bookmarkEnd w:id="140"/>
    </w:p>
    <w:p w:rsidR="00164C9B" w:rsidRPr="003303F8" w:rsidRDefault="00164C9B" w:rsidP="00E07762">
      <w:pPr>
        <w:widowControl/>
        <w:overflowPunct/>
        <w:autoSpaceDE/>
        <w:autoSpaceDN/>
        <w:adjustRightInd/>
        <w:spacing w:line="480" w:lineRule="auto"/>
        <w:ind w:firstLine="720"/>
        <w:rPr>
          <w:kern w:val="0"/>
          <w:sz w:val="24"/>
          <w:szCs w:val="24"/>
        </w:rPr>
      </w:pPr>
      <w:r w:rsidRPr="003303F8">
        <w:rPr>
          <w:kern w:val="0"/>
          <w:sz w:val="24"/>
          <w:szCs w:val="24"/>
        </w:rPr>
        <w:t xml:space="preserve">In section 2.2.3, equation </w:t>
      </w:r>
      <w:r w:rsidRPr="003303F8">
        <w:rPr>
          <w:sz w:val="24"/>
          <w:szCs w:val="24"/>
        </w:rPr>
        <w:t>(6)</w:t>
      </w:r>
      <w:r w:rsidRPr="003303F8">
        <w:rPr>
          <w:kern w:val="0"/>
          <w:sz w:val="24"/>
          <w:szCs w:val="24"/>
        </w:rPr>
        <w:t xml:space="preserve"> from</w:t>
      </w:r>
      <w:r w:rsidRPr="003303F8">
        <w:rPr>
          <w:sz w:val="24"/>
          <w:szCs w:val="24"/>
        </w:rPr>
        <w:t xml:space="preserve"> LLV details </w:t>
      </w:r>
      <w:r w:rsidR="006D748C" w:rsidRPr="003303F8">
        <w:rPr>
          <w:sz w:val="24"/>
          <w:szCs w:val="24"/>
        </w:rPr>
        <w:t xml:space="preserve">the </w:t>
      </w:r>
      <w:r w:rsidRPr="003303F8">
        <w:rPr>
          <w:sz w:val="24"/>
          <w:szCs w:val="24"/>
        </w:rPr>
        <w:t xml:space="preserve">direct effect of </w:t>
      </w:r>
      <w:r w:rsidRPr="003303F8">
        <w:rPr>
          <w:kern w:val="0"/>
          <w:sz w:val="24"/>
          <w:szCs w:val="24"/>
        </w:rPr>
        <w:t xml:space="preserve">peer firm earnings quality. If we further differentiate equation </w:t>
      </w:r>
      <w:r w:rsidRPr="003303F8">
        <w:rPr>
          <w:sz w:val="24"/>
          <w:szCs w:val="24"/>
        </w:rPr>
        <w:t>(6)</w:t>
      </w:r>
      <w:r w:rsidRPr="003303F8">
        <w:rPr>
          <w:kern w:val="0"/>
          <w:sz w:val="24"/>
          <w:szCs w:val="24"/>
        </w:rPr>
        <w:t xml:space="preserve"> from</w:t>
      </w:r>
      <w:r w:rsidRPr="003303F8">
        <w:rPr>
          <w:sz w:val="24"/>
          <w:szCs w:val="24"/>
        </w:rPr>
        <w:t xml:space="preserve"> LLV by </w:t>
      </w:r>
      <w:r w:rsidRPr="003303F8">
        <w:rPr>
          <w:rFonts w:hint="eastAsia"/>
          <w:kern w:val="0"/>
          <w:sz w:val="24"/>
          <w:szCs w:val="24"/>
        </w:rPr>
        <w:t>peer firm earnings quality</w:t>
      </w:r>
      <w:r w:rsidRPr="003303F8">
        <w:rPr>
          <w:kern w:val="0"/>
          <w:sz w:val="24"/>
          <w:szCs w:val="24"/>
        </w:rPr>
        <w:t>, we get the</w:t>
      </w:r>
      <w:r w:rsidRPr="003303F8">
        <w:rPr>
          <w:rFonts w:hint="eastAsia"/>
          <w:kern w:val="0"/>
          <w:sz w:val="24"/>
          <w:szCs w:val="24"/>
        </w:rPr>
        <w:t xml:space="preserve"> </w:t>
      </w:r>
      <w:r w:rsidRPr="003303F8">
        <w:rPr>
          <w:kern w:val="0"/>
          <w:sz w:val="24"/>
          <w:szCs w:val="24"/>
        </w:rPr>
        <w:t>sensitivity</w:t>
      </w:r>
      <w:r w:rsidRPr="003303F8">
        <w:rPr>
          <w:rFonts w:hint="eastAsia"/>
          <w:kern w:val="0"/>
          <w:sz w:val="24"/>
          <w:szCs w:val="24"/>
        </w:rPr>
        <w:t xml:space="preserve"> of a firm</w:t>
      </w:r>
      <w:r w:rsidRPr="003303F8">
        <w:rPr>
          <w:kern w:val="0"/>
          <w:sz w:val="24"/>
          <w:szCs w:val="24"/>
        </w:rPr>
        <w:t>’</w:t>
      </w:r>
      <w:r w:rsidRPr="003303F8">
        <w:rPr>
          <w:rFonts w:hint="eastAsia"/>
          <w:kern w:val="0"/>
          <w:sz w:val="24"/>
          <w:szCs w:val="24"/>
        </w:rPr>
        <w:t xml:space="preserve">s </w:t>
      </w:r>
      <w:r w:rsidRPr="003303F8">
        <w:rPr>
          <w:kern w:val="0"/>
          <w:sz w:val="24"/>
          <w:szCs w:val="24"/>
        </w:rPr>
        <w:t xml:space="preserve">assessed covariance to </w:t>
      </w:r>
      <w:r w:rsidRPr="003303F8">
        <w:rPr>
          <w:rFonts w:hint="eastAsia"/>
          <w:kern w:val="0"/>
          <w:sz w:val="24"/>
          <w:szCs w:val="24"/>
        </w:rPr>
        <w:t xml:space="preserve">peer firm earnings quality </w:t>
      </w:r>
      <w:r w:rsidRPr="003303F8">
        <w:rPr>
          <w:kern w:val="0"/>
          <w:sz w:val="24"/>
          <w:szCs w:val="24"/>
        </w:rPr>
        <w:t>as in the equation (</w:t>
      </w:r>
      <w:r w:rsidR="00B66DB9" w:rsidRPr="003303F8">
        <w:rPr>
          <w:kern w:val="0"/>
          <w:sz w:val="24"/>
          <w:szCs w:val="24"/>
        </w:rPr>
        <w:t>7</w:t>
      </w:r>
      <w:r w:rsidRPr="003303F8">
        <w:rPr>
          <w:kern w:val="0"/>
          <w:sz w:val="24"/>
          <w:szCs w:val="24"/>
        </w:rPr>
        <w:t>).</w:t>
      </w:r>
      <w:r w:rsidR="007B4FBE" w:rsidRPr="003303F8">
        <w:rPr>
          <w:rStyle w:val="FootnoteReference"/>
          <w:kern w:val="0"/>
          <w:sz w:val="24"/>
          <w:szCs w:val="24"/>
        </w:rPr>
        <w:footnoteReference w:id="36"/>
      </w:r>
    </w:p>
    <w:tbl>
      <w:tblPr>
        <w:tblStyle w:val="TableGrid"/>
        <w:tblW w:w="85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03"/>
        <w:gridCol w:w="1165"/>
      </w:tblGrid>
      <w:tr w:rsidR="00164C9B" w:rsidRPr="003303F8" w:rsidTr="00931FD3">
        <w:trPr>
          <w:jc w:val="center"/>
        </w:trPr>
        <w:tc>
          <w:tcPr>
            <w:tcW w:w="7403" w:type="dxa"/>
            <w:vAlign w:val="center"/>
          </w:tcPr>
          <w:p w:rsidR="00164C9B" w:rsidRPr="003303F8" w:rsidRDefault="00164C9B" w:rsidP="00E07762">
            <w:pPr>
              <w:spacing w:line="480" w:lineRule="auto"/>
              <w:jc w:val="center"/>
              <w:rPr>
                <w:sz w:val="24"/>
                <w:szCs w:val="24"/>
              </w:rPr>
            </w:pPr>
            <w:r w:rsidRPr="003303F8">
              <w:rPr>
                <w:i/>
                <w:color w:val="000000"/>
                <w:position w:val="-68"/>
                <w:sz w:val="24"/>
                <w:szCs w:val="24"/>
              </w:rPr>
              <w:object w:dxaOrig="6520" w:dyaOrig="1400">
                <v:shape id="_x0000_i1045" type="#_x0000_t75" style="width:243.75pt;height:53.25pt" o:ole="">
                  <v:imagedata r:id="rId50" o:title=""/>
                </v:shape>
                <o:OLEObject Type="Embed" ProgID="Equation.3" ShapeID="_x0000_i1045" DrawAspect="Content" ObjectID="_1458832562" r:id="rId51"/>
              </w:object>
            </w:r>
          </w:p>
        </w:tc>
        <w:tc>
          <w:tcPr>
            <w:tcW w:w="1165" w:type="dxa"/>
            <w:vAlign w:val="center"/>
          </w:tcPr>
          <w:p w:rsidR="00164C9B" w:rsidRPr="003303F8" w:rsidRDefault="00164C9B" w:rsidP="00B66DB9">
            <w:pPr>
              <w:spacing w:line="480" w:lineRule="auto"/>
              <w:ind w:left="-108" w:right="-18"/>
              <w:rPr>
                <w:sz w:val="24"/>
                <w:szCs w:val="24"/>
              </w:rPr>
            </w:pPr>
            <w:r w:rsidRPr="003303F8">
              <w:rPr>
                <w:sz w:val="24"/>
                <w:szCs w:val="24"/>
              </w:rPr>
              <w:t>(</w:t>
            </w:r>
            <w:r w:rsidR="00B66DB9" w:rsidRPr="003303F8">
              <w:rPr>
                <w:sz w:val="24"/>
                <w:szCs w:val="24"/>
              </w:rPr>
              <w:t>7</w:t>
            </w:r>
            <w:r w:rsidRPr="003303F8">
              <w:rPr>
                <w:sz w:val="24"/>
                <w:szCs w:val="24"/>
              </w:rPr>
              <w:t>)</w:t>
            </w:r>
          </w:p>
        </w:tc>
      </w:tr>
    </w:tbl>
    <w:p w:rsidR="005B3D4F" w:rsidRPr="003303F8" w:rsidRDefault="00C330D9" w:rsidP="005B3D4F">
      <w:pPr>
        <w:widowControl/>
        <w:overflowPunct/>
        <w:autoSpaceDE/>
        <w:autoSpaceDN/>
        <w:adjustRightInd/>
        <w:spacing w:line="480" w:lineRule="auto"/>
        <w:ind w:firstLine="720"/>
        <w:rPr>
          <w:kern w:val="0"/>
          <w:sz w:val="24"/>
          <w:szCs w:val="24"/>
        </w:rPr>
      </w:pPr>
      <w:r w:rsidRPr="003303F8">
        <w:rPr>
          <w:kern w:val="0"/>
          <w:sz w:val="24"/>
          <w:szCs w:val="24"/>
        </w:rPr>
        <w:t>In Equation (</w:t>
      </w:r>
      <w:r w:rsidR="00B66DB9" w:rsidRPr="003303F8">
        <w:rPr>
          <w:kern w:val="0"/>
          <w:sz w:val="24"/>
          <w:szCs w:val="24"/>
        </w:rPr>
        <w:t>7</w:t>
      </w:r>
      <w:r w:rsidRPr="003303F8">
        <w:rPr>
          <w:kern w:val="0"/>
          <w:sz w:val="24"/>
          <w:szCs w:val="24"/>
        </w:rPr>
        <w:t xml:space="preserve">), the denominator is a positive function of the variance of peer firm’s earnings noise </w:t>
      </w:r>
      <w:r w:rsidR="009E02E1" w:rsidRPr="003303F8">
        <w:rPr>
          <w:kern w:val="0"/>
          <w:sz w:val="24"/>
          <w:szCs w:val="24"/>
        </w:rPr>
        <w:t>Var(ε</w:t>
      </w:r>
      <w:r w:rsidR="009E02E1" w:rsidRPr="003303F8">
        <w:rPr>
          <w:kern w:val="0"/>
          <w:sz w:val="24"/>
          <w:szCs w:val="24"/>
          <w:vertAlign w:val="subscript"/>
        </w:rPr>
        <w:t>j</w:t>
      </w:r>
      <w:r w:rsidR="009E02E1" w:rsidRPr="003303F8">
        <w:rPr>
          <w:kern w:val="0"/>
          <w:sz w:val="24"/>
          <w:szCs w:val="24"/>
        </w:rPr>
        <w:t xml:space="preserve">). </w:t>
      </w:r>
      <w:r w:rsidRPr="003303F8">
        <w:rPr>
          <w:kern w:val="0"/>
          <w:sz w:val="24"/>
          <w:szCs w:val="24"/>
        </w:rPr>
        <w:t xml:space="preserve">Thus, higher </w:t>
      </w:r>
      <w:r w:rsidRPr="003303F8">
        <w:rPr>
          <w:rFonts w:hint="eastAsia"/>
          <w:kern w:val="0"/>
          <w:sz w:val="24"/>
          <w:szCs w:val="24"/>
        </w:rPr>
        <w:t>peer firm earnings quality</w:t>
      </w:r>
      <w:r w:rsidRPr="003303F8">
        <w:rPr>
          <w:kern w:val="0"/>
          <w:sz w:val="24"/>
          <w:szCs w:val="24"/>
        </w:rPr>
        <w:t xml:space="preserve"> (i.e., lower variance) </w:t>
      </w:r>
      <w:r w:rsidR="00AE04B9" w:rsidRPr="003303F8">
        <w:rPr>
          <w:kern w:val="0"/>
          <w:sz w:val="24"/>
          <w:szCs w:val="24"/>
        </w:rPr>
        <w:t>would result in</w:t>
      </w:r>
      <w:r w:rsidRPr="003303F8">
        <w:rPr>
          <w:kern w:val="0"/>
          <w:sz w:val="24"/>
          <w:szCs w:val="24"/>
        </w:rPr>
        <w:t xml:space="preserve"> a smaller denominator.</w:t>
      </w:r>
      <w:r w:rsidR="00AE04B9" w:rsidRPr="003303F8">
        <w:rPr>
          <w:kern w:val="0"/>
          <w:sz w:val="24"/>
          <w:szCs w:val="24"/>
        </w:rPr>
        <w:t xml:space="preserve"> Consequently, </w:t>
      </w:r>
      <w:r w:rsidRPr="003303F8">
        <w:rPr>
          <w:kern w:val="0"/>
          <w:sz w:val="24"/>
          <w:szCs w:val="24"/>
        </w:rPr>
        <w:t>the</w:t>
      </w:r>
      <w:r w:rsidRPr="003303F8">
        <w:rPr>
          <w:rFonts w:hint="eastAsia"/>
          <w:kern w:val="0"/>
          <w:sz w:val="24"/>
          <w:szCs w:val="24"/>
        </w:rPr>
        <w:t xml:space="preserve"> </w:t>
      </w:r>
      <w:r w:rsidRPr="003303F8">
        <w:rPr>
          <w:kern w:val="0"/>
          <w:sz w:val="24"/>
          <w:szCs w:val="24"/>
        </w:rPr>
        <w:t>sensitivity</w:t>
      </w:r>
      <w:r w:rsidRPr="003303F8">
        <w:rPr>
          <w:rFonts w:hint="eastAsia"/>
          <w:kern w:val="0"/>
          <w:sz w:val="24"/>
          <w:szCs w:val="24"/>
        </w:rPr>
        <w:t xml:space="preserve"> of a firm</w:t>
      </w:r>
      <w:r w:rsidRPr="003303F8">
        <w:rPr>
          <w:kern w:val="0"/>
          <w:sz w:val="24"/>
          <w:szCs w:val="24"/>
        </w:rPr>
        <w:t>’</w:t>
      </w:r>
      <w:r w:rsidRPr="003303F8">
        <w:rPr>
          <w:rFonts w:hint="eastAsia"/>
          <w:kern w:val="0"/>
          <w:sz w:val="24"/>
          <w:szCs w:val="24"/>
        </w:rPr>
        <w:t xml:space="preserve">s </w:t>
      </w:r>
      <w:r w:rsidRPr="003303F8">
        <w:rPr>
          <w:kern w:val="0"/>
          <w:sz w:val="24"/>
          <w:szCs w:val="24"/>
        </w:rPr>
        <w:t xml:space="preserve">assessed covariance to </w:t>
      </w:r>
      <w:r w:rsidRPr="003303F8">
        <w:rPr>
          <w:rFonts w:hint="eastAsia"/>
          <w:kern w:val="0"/>
          <w:sz w:val="24"/>
          <w:szCs w:val="24"/>
        </w:rPr>
        <w:t>peer firm earnings quality</w:t>
      </w:r>
      <w:r w:rsidR="00AE04B9" w:rsidRPr="003303F8">
        <w:rPr>
          <w:kern w:val="0"/>
          <w:sz w:val="24"/>
          <w:szCs w:val="24"/>
        </w:rPr>
        <w:t xml:space="preserve"> (as in equation </w:t>
      </w:r>
      <w:r w:rsidR="00B66DB9" w:rsidRPr="003303F8">
        <w:rPr>
          <w:kern w:val="0"/>
          <w:sz w:val="24"/>
          <w:szCs w:val="24"/>
        </w:rPr>
        <w:t>7</w:t>
      </w:r>
      <w:r w:rsidR="00AE04B9" w:rsidRPr="003303F8">
        <w:rPr>
          <w:kern w:val="0"/>
          <w:sz w:val="24"/>
          <w:szCs w:val="24"/>
        </w:rPr>
        <w:t>)</w:t>
      </w:r>
      <w:r w:rsidRPr="003303F8">
        <w:rPr>
          <w:rFonts w:hint="eastAsia"/>
          <w:kern w:val="0"/>
          <w:sz w:val="24"/>
          <w:szCs w:val="24"/>
        </w:rPr>
        <w:t xml:space="preserve"> </w:t>
      </w:r>
      <w:r w:rsidR="00272571" w:rsidRPr="003303F8">
        <w:rPr>
          <w:kern w:val="0"/>
          <w:sz w:val="24"/>
          <w:szCs w:val="24"/>
        </w:rPr>
        <w:t>is</w:t>
      </w:r>
      <w:r w:rsidR="00164C9B" w:rsidRPr="003303F8">
        <w:rPr>
          <w:kern w:val="0"/>
          <w:sz w:val="24"/>
          <w:szCs w:val="24"/>
        </w:rPr>
        <w:t xml:space="preserve"> greater </w:t>
      </w:r>
      <w:r w:rsidR="00272571" w:rsidRPr="003303F8">
        <w:rPr>
          <w:kern w:val="0"/>
          <w:sz w:val="24"/>
          <w:szCs w:val="24"/>
        </w:rPr>
        <w:t>for higher levels of</w:t>
      </w:r>
      <w:r w:rsidR="00164C9B" w:rsidRPr="003303F8">
        <w:rPr>
          <w:rFonts w:hint="eastAsia"/>
          <w:kern w:val="0"/>
          <w:sz w:val="24"/>
          <w:szCs w:val="24"/>
        </w:rPr>
        <w:t xml:space="preserve"> peer firm earnings quality</w:t>
      </w:r>
      <w:r w:rsidR="00164C9B" w:rsidRPr="003303F8">
        <w:rPr>
          <w:kern w:val="0"/>
          <w:sz w:val="24"/>
          <w:szCs w:val="24"/>
        </w:rPr>
        <w:t xml:space="preserve">. In other words, </w:t>
      </w:r>
      <w:r w:rsidR="00164C9B" w:rsidRPr="003303F8">
        <w:rPr>
          <w:rFonts w:hint="eastAsia"/>
          <w:kern w:val="0"/>
          <w:sz w:val="24"/>
          <w:szCs w:val="24"/>
        </w:rPr>
        <w:t>peer firm</w:t>
      </w:r>
      <w:r w:rsidR="005B3D4F" w:rsidRPr="003303F8">
        <w:rPr>
          <w:kern w:val="0"/>
          <w:sz w:val="24"/>
          <w:szCs w:val="24"/>
        </w:rPr>
        <w:t>s’</w:t>
      </w:r>
      <w:r w:rsidR="00164C9B" w:rsidRPr="003303F8">
        <w:rPr>
          <w:rFonts w:hint="eastAsia"/>
          <w:kern w:val="0"/>
          <w:sz w:val="24"/>
          <w:szCs w:val="24"/>
        </w:rPr>
        <w:t xml:space="preserve"> </w:t>
      </w:r>
      <w:r w:rsidR="005B3D4F" w:rsidRPr="003303F8">
        <w:rPr>
          <w:kern w:val="0"/>
          <w:sz w:val="24"/>
          <w:szCs w:val="24"/>
        </w:rPr>
        <w:t xml:space="preserve">higher </w:t>
      </w:r>
      <w:r w:rsidR="00164C9B" w:rsidRPr="003303F8">
        <w:rPr>
          <w:rFonts w:hint="eastAsia"/>
          <w:kern w:val="0"/>
          <w:sz w:val="24"/>
          <w:szCs w:val="24"/>
        </w:rPr>
        <w:t>earnings quality</w:t>
      </w:r>
      <w:r w:rsidR="00164C9B" w:rsidRPr="003303F8">
        <w:rPr>
          <w:kern w:val="0"/>
          <w:sz w:val="24"/>
          <w:szCs w:val="24"/>
        </w:rPr>
        <w:t xml:space="preserve"> should </w:t>
      </w:r>
      <w:r w:rsidR="005B3D4F" w:rsidRPr="003303F8">
        <w:rPr>
          <w:kern w:val="0"/>
          <w:sz w:val="24"/>
          <w:szCs w:val="24"/>
        </w:rPr>
        <w:t>reduce a</w:t>
      </w:r>
      <w:r w:rsidR="00164C9B" w:rsidRPr="003303F8">
        <w:rPr>
          <w:kern w:val="0"/>
          <w:sz w:val="24"/>
          <w:szCs w:val="24"/>
        </w:rPr>
        <w:t xml:space="preserve"> </w:t>
      </w:r>
      <w:r w:rsidR="00272571" w:rsidRPr="003303F8">
        <w:rPr>
          <w:kern w:val="0"/>
          <w:sz w:val="24"/>
          <w:szCs w:val="24"/>
        </w:rPr>
        <w:t xml:space="preserve">firm’s </w:t>
      </w:r>
      <w:r w:rsidR="00164C9B" w:rsidRPr="003303F8">
        <w:rPr>
          <w:kern w:val="0"/>
          <w:sz w:val="24"/>
          <w:szCs w:val="24"/>
        </w:rPr>
        <w:t>cost of equity</w:t>
      </w:r>
      <w:r w:rsidR="005B3D4F" w:rsidRPr="003303F8">
        <w:rPr>
          <w:kern w:val="0"/>
          <w:sz w:val="24"/>
          <w:szCs w:val="24"/>
        </w:rPr>
        <w:t xml:space="preserve"> at an increasing </w:t>
      </w:r>
      <w:r w:rsidR="004164C1" w:rsidRPr="003303F8">
        <w:rPr>
          <w:sz w:val="24"/>
          <w:szCs w:val="24"/>
        </w:rPr>
        <w:t>marginal</w:t>
      </w:r>
      <w:r w:rsidR="004164C1" w:rsidRPr="003303F8">
        <w:rPr>
          <w:kern w:val="0"/>
          <w:sz w:val="24"/>
          <w:szCs w:val="24"/>
        </w:rPr>
        <w:t xml:space="preserve"> </w:t>
      </w:r>
      <w:r w:rsidR="005B3D4F" w:rsidRPr="003303F8">
        <w:rPr>
          <w:kern w:val="0"/>
          <w:sz w:val="24"/>
          <w:szCs w:val="24"/>
        </w:rPr>
        <w:t>rate</w:t>
      </w:r>
      <w:r w:rsidR="00164C9B" w:rsidRPr="003303F8">
        <w:rPr>
          <w:kern w:val="0"/>
          <w:sz w:val="24"/>
          <w:szCs w:val="24"/>
        </w:rPr>
        <w:t>.</w:t>
      </w:r>
      <w:r w:rsidR="00687A1A" w:rsidRPr="003303F8">
        <w:rPr>
          <w:kern w:val="0"/>
          <w:sz w:val="24"/>
          <w:szCs w:val="24"/>
        </w:rPr>
        <w:t xml:space="preserve"> In Figure </w:t>
      </w:r>
      <w:r w:rsidR="0046713E" w:rsidRPr="003303F8">
        <w:rPr>
          <w:kern w:val="0"/>
          <w:sz w:val="24"/>
          <w:szCs w:val="24"/>
        </w:rPr>
        <w:t>II</w:t>
      </w:r>
      <w:r w:rsidR="00687A1A" w:rsidRPr="003303F8">
        <w:rPr>
          <w:kern w:val="0"/>
          <w:sz w:val="24"/>
          <w:szCs w:val="24"/>
        </w:rPr>
        <w:t>, I also provide a 3D plot of equation (6) from LLV. The figure also indicates the same non-linear effect as predicted by equation (7).</w:t>
      </w:r>
    </w:p>
    <w:p w:rsidR="00D95250" w:rsidRPr="003303F8" w:rsidRDefault="00D95250" w:rsidP="00D95250">
      <w:pPr>
        <w:widowControl/>
        <w:overflowPunct/>
        <w:autoSpaceDE/>
        <w:autoSpaceDN/>
        <w:adjustRightInd/>
        <w:spacing w:line="480" w:lineRule="auto"/>
        <w:ind w:firstLine="720"/>
        <w:rPr>
          <w:kern w:val="0"/>
          <w:sz w:val="24"/>
          <w:szCs w:val="24"/>
        </w:rPr>
      </w:pPr>
      <w:r w:rsidRPr="003303F8">
        <w:rPr>
          <w:kern w:val="0"/>
          <w:sz w:val="24"/>
          <w:szCs w:val="24"/>
        </w:rPr>
        <w:t xml:space="preserve">Table 8 </w:t>
      </w:r>
      <w:r w:rsidR="00E253F0" w:rsidRPr="003303F8">
        <w:rPr>
          <w:kern w:val="0"/>
          <w:sz w:val="24"/>
          <w:szCs w:val="24"/>
        </w:rPr>
        <w:t xml:space="preserve">Panel A </w:t>
      </w:r>
      <w:r w:rsidR="007F7D1A" w:rsidRPr="003303F8">
        <w:rPr>
          <w:kern w:val="0"/>
          <w:sz w:val="24"/>
          <w:szCs w:val="24"/>
        </w:rPr>
        <w:t>and Panel B provide</w:t>
      </w:r>
      <w:r w:rsidRPr="003303F8">
        <w:rPr>
          <w:kern w:val="0"/>
          <w:sz w:val="24"/>
          <w:szCs w:val="24"/>
        </w:rPr>
        <w:t xml:space="preserve"> evidence consistent with this non-linear effect</w:t>
      </w:r>
      <w:r w:rsidR="007F7D1A" w:rsidRPr="003303F8">
        <w:rPr>
          <w:kern w:val="0"/>
          <w:sz w:val="24"/>
          <w:szCs w:val="24"/>
        </w:rPr>
        <w:t xml:space="preserve"> by using the two alternative measures of peer earnings quality, respectively</w:t>
      </w:r>
      <w:r w:rsidRPr="003303F8">
        <w:rPr>
          <w:kern w:val="0"/>
          <w:sz w:val="24"/>
          <w:szCs w:val="24"/>
        </w:rPr>
        <w:t>.</w:t>
      </w:r>
      <w:r w:rsidR="00430C9E" w:rsidRPr="003303F8">
        <w:rPr>
          <w:b/>
          <w:i/>
          <w:sz w:val="24"/>
          <w:szCs w:val="24"/>
        </w:rPr>
        <w:t xml:space="preserve"> </w:t>
      </w:r>
      <w:r w:rsidRPr="003303F8">
        <w:rPr>
          <w:kern w:val="0"/>
          <w:sz w:val="24"/>
          <w:szCs w:val="24"/>
        </w:rPr>
        <w:t xml:space="preserve">I split the sample into two subsamples based on </w:t>
      </w:r>
      <w:r w:rsidRPr="003303F8">
        <w:rPr>
          <w:i/>
          <w:kern w:val="0"/>
          <w:sz w:val="24"/>
          <w:szCs w:val="24"/>
        </w:rPr>
        <w:t>P_EQ</w:t>
      </w:r>
      <w:r w:rsidRPr="003303F8">
        <w:rPr>
          <w:kern w:val="0"/>
          <w:sz w:val="24"/>
          <w:szCs w:val="24"/>
        </w:rPr>
        <w:t>. Then,</w:t>
      </w:r>
      <w:r w:rsidRPr="003303F8">
        <w:rPr>
          <w:sz w:val="24"/>
          <w:szCs w:val="24"/>
        </w:rPr>
        <w:t xml:space="preserve"> </w:t>
      </w:r>
      <w:r w:rsidRPr="003303F8">
        <w:rPr>
          <w:kern w:val="0"/>
          <w:sz w:val="24"/>
          <w:szCs w:val="24"/>
        </w:rPr>
        <w:t>in each of the two subsamples, I re-estimate equations (</w:t>
      </w:r>
      <w:r w:rsidR="00AA0FDE" w:rsidRPr="003303F8">
        <w:rPr>
          <w:kern w:val="0"/>
          <w:sz w:val="24"/>
          <w:szCs w:val="24"/>
        </w:rPr>
        <w:t>3</w:t>
      </w:r>
      <w:r w:rsidRPr="003303F8">
        <w:rPr>
          <w:kern w:val="0"/>
          <w:sz w:val="24"/>
          <w:szCs w:val="24"/>
        </w:rPr>
        <w:t>), (</w:t>
      </w:r>
      <w:r w:rsidR="00AA0FDE" w:rsidRPr="003303F8">
        <w:rPr>
          <w:kern w:val="0"/>
          <w:sz w:val="24"/>
          <w:szCs w:val="24"/>
        </w:rPr>
        <w:t>4</w:t>
      </w:r>
      <w:r w:rsidRPr="003303F8">
        <w:rPr>
          <w:kern w:val="0"/>
          <w:sz w:val="24"/>
          <w:szCs w:val="24"/>
        </w:rPr>
        <w:t>), and (</w:t>
      </w:r>
      <w:r w:rsidR="00AA0FDE" w:rsidRPr="003303F8">
        <w:rPr>
          <w:kern w:val="0"/>
          <w:sz w:val="24"/>
          <w:szCs w:val="24"/>
        </w:rPr>
        <w:t>5</w:t>
      </w:r>
      <w:r w:rsidRPr="003303F8">
        <w:rPr>
          <w:kern w:val="0"/>
          <w:sz w:val="24"/>
          <w:szCs w:val="24"/>
        </w:rPr>
        <w:t>).</w:t>
      </w:r>
      <w:r w:rsidR="00BF7E99" w:rsidRPr="003303F8">
        <w:rPr>
          <w:rStyle w:val="FootnoteReference"/>
          <w:kern w:val="0"/>
          <w:sz w:val="24"/>
          <w:szCs w:val="24"/>
        </w:rPr>
        <w:footnoteReference w:id="37"/>
      </w:r>
      <w:r w:rsidRPr="003303F8">
        <w:rPr>
          <w:kern w:val="0"/>
          <w:sz w:val="24"/>
          <w:szCs w:val="24"/>
        </w:rPr>
        <w:t xml:space="preserve"> For all </w:t>
      </w:r>
      <w:r w:rsidR="000A3B06" w:rsidRPr="003303F8">
        <w:rPr>
          <w:kern w:val="0"/>
          <w:sz w:val="24"/>
          <w:szCs w:val="24"/>
        </w:rPr>
        <w:t xml:space="preserve">three </w:t>
      </w:r>
      <w:r w:rsidRPr="003303F8">
        <w:rPr>
          <w:kern w:val="0"/>
          <w:sz w:val="24"/>
          <w:szCs w:val="24"/>
        </w:rPr>
        <w:t xml:space="preserve">sets of tests, I find the coefficients on </w:t>
      </w:r>
      <w:r w:rsidR="00BF7E99" w:rsidRPr="003303F8">
        <w:rPr>
          <w:i/>
          <w:kern w:val="0"/>
          <w:sz w:val="24"/>
          <w:szCs w:val="24"/>
        </w:rPr>
        <w:t>H_</w:t>
      </w:r>
      <w:r w:rsidR="00881178" w:rsidRPr="003303F8">
        <w:rPr>
          <w:i/>
          <w:kern w:val="0"/>
          <w:sz w:val="24"/>
          <w:szCs w:val="24"/>
        </w:rPr>
        <w:t>P</w:t>
      </w:r>
      <w:r w:rsidRPr="003303F8">
        <w:rPr>
          <w:i/>
          <w:kern w:val="0"/>
          <w:sz w:val="24"/>
          <w:szCs w:val="24"/>
        </w:rPr>
        <w:t>_EQ</w:t>
      </w:r>
      <w:r w:rsidRPr="003303F8">
        <w:rPr>
          <w:kern w:val="0"/>
          <w:sz w:val="24"/>
          <w:szCs w:val="24"/>
        </w:rPr>
        <w:t xml:space="preserve"> are significantly more negative for the subsample with </w:t>
      </w:r>
      <w:r w:rsidRPr="003303F8">
        <w:rPr>
          <w:kern w:val="0"/>
          <w:sz w:val="24"/>
          <w:szCs w:val="24"/>
        </w:rPr>
        <w:lastRenderedPageBreak/>
        <w:t xml:space="preserve">higher </w:t>
      </w:r>
      <w:r w:rsidR="00BF7E99" w:rsidRPr="003303F8">
        <w:rPr>
          <w:i/>
          <w:kern w:val="0"/>
          <w:sz w:val="24"/>
          <w:szCs w:val="24"/>
        </w:rPr>
        <w:t>H_</w:t>
      </w:r>
      <w:r w:rsidRPr="003303F8">
        <w:rPr>
          <w:i/>
          <w:kern w:val="0"/>
          <w:sz w:val="24"/>
          <w:szCs w:val="24"/>
        </w:rPr>
        <w:t>P</w:t>
      </w:r>
      <w:r w:rsidRPr="003303F8">
        <w:rPr>
          <w:i/>
          <w:kern w:val="0"/>
          <w:sz w:val="24"/>
          <w:szCs w:val="24"/>
        </w:rPr>
        <w:softHyphen/>
        <w:t>_EQ</w:t>
      </w:r>
      <w:r w:rsidR="00881178" w:rsidRPr="003303F8">
        <w:rPr>
          <w:i/>
          <w:kern w:val="0"/>
          <w:sz w:val="24"/>
          <w:szCs w:val="24"/>
        </w:rPr>
        <w:t xml:space="preserve"> </w:t>
      </w:r>
      <w:r w:rsidR="00881178" w:rsidRPr="003303F8">
        <w:rPr>
          <w:kern w:val="0"/>
          <w:sz w:val="24"/>
          <w:szCs w:val="24"/>
        </w:rPr>
        <w:t>at 1% level (one tail</w:t>
      </w:r>
      <w:r w:rsidR="004A72F9" w:rsidRPr="003303F8">
        <w:rPr>
          <w:kern w:val="0"/>
          <w:sz w:val="24"/>
          <w:szCs w:val="24"/>
        </w:rPr>
        <w:t>ed</w:t>
      </w:r>
      <w:r w:rsidR="00881178" w:rsidRPr="003303F8">
        <w:rPr>
          <w:kern w:val="0"/>
          <w:sz w:val="24"/>
          <w:szCs w:val="24"/>
        </w:rPr>
        <w:t xml:space="preserve"> </w:t>
      </w:r>
      <w:r w:rsidR="00103D15" w:rsidRPr="003303F8">
        <w:rPr>
          <w:i/>
          <w:kern w:val="0"/>
          <w:sz w:val="24"/>
          <w:szCs w:val="24"/>
        </w:rPr>
        <w:t>Z</w:t>
      </w:r>
      <w:r w:rsidR="00881178" w:rsidRPr="003303F8">
        <w:rPr>
          <w:kern w:val="0"/>
          <w:sz w:val="24"/>
          <w:szCs w:val="24"/>
        </w:rPr>
        <w:t>-test)</w:t>
      </w:r>
      <w:r w:rsidRPr="003303F8">
        <w:rPr>
          <w:kern w:val="0"/>
          <w:sz w:val="24"/>
          <w:szCs w:val="24"/>
        </w:rPr>
        <w:t xml:space="preserve">, consistent with expectation of a non-linear direct effect. </w:t>
      </w:r>
    </w:p>
    <w:p w:rsidR="004B2947" w:rsidRPr="003303F8" w:rsidRDefault="0058719D" w:rsidP="00931FD3">
      <w:pPr>
        <w:pStyle w:val="Heading2"/>
        <w:spacing w:line="480" w:lineRule="auto"/>
        <w:rPr>
          <w:szCs w:val="24"/>
        </w:rPr>
      </w:pPr>
      <w:bookmarkStart w:id="141" w:name="_Toc378087520"/>
      <w:bookmarkStart w:id="142" w:name="_Toc378087560"/>
      <w:bookmarkStart w:id="143" w:name="_Toc378088369"/>
      <w:bookmarkStart w:id="144" w:name="_Toc378088758"/>
      <w:bookmarkStart w:id="145" w:name="_Toc378088894"/>
      <w:r w:rsidRPr="003303F8">
        <w:rPr>
          <w:szCs w:val="24"/>
        </w:rPr>
        <w:t xml:space="preserve">Moderating </w:t>
      </w:r>
      <w:r w:rsidR="004B2947" w:rsidRPr="003303F8">
        <w:rPr>
          <w:szCs w:val="24"/>
        </w:rPr>
        <w:t>Effect of Unconditional Covariance</w:t>
      </w:r>
      <w:bookmarkEnd w:id="141"/>
      <w:bookmarkEnd w:id="142"/>
      <w:bookmarkEnd w:id="143"/>
      <w:bookmarkEnd w:id="144"/>
      <w:bookmarkEnd w:id="145"/>
    </w:p>
    <w:p w:rsidR="000A3B06" w:rsidRPr="003303F8" w:rsidRDefault="003A7361" w:rsidP="000A3B06">
      <w:pPr>
        <w:widowControl/>
        <w:overflowPunct/>
        <w:autoSpaceDE/>
        <w:autoSpaceDN/>
        <w:adjustRightInd/>
        <w:spacing w:line="480" w:lineRule="auto"/>
        <w:ind w:firstLine="720"/>
        <w:rPr>
          <w:color w:val="FF0000"/>
          <w:kern w:val="0"/>
          <w:sz w:val="24"/>
          <w:szCs w:val="24"/>
        </w:rPr>
      </w:pPr>
      <w:r w:rsidRPr="003303F8">
        <w:rPr>
          <w:kern w:val="0"/>
          <w:sz w:val="24"/>
          <w:szCs w:val="24"/>
        </w:rPr>
        <w:t>Based on equation (7), we can also see the sensitivity</w:t>
      </w:r>
      <w:r w:rsidRPr="003303F8">
        <w:rPr>
          <w:rFonts w:hint="eastAsia"/>
          <w:kern w:val="0"/>
          <w:sz w:val="24"/>
          <w:szCs w:val="24"/>
        </w:rPr>
        <w:t xml:space="preserve"> of a firm</w:t>
      </w:r>
      <w:r w:rsidRPr="003303F8">
        <w:rPr>
          <w:kern w:val="0"/>
          <w:sz w:val="24"/>
          <w:szCs w:val="24"/>
        </w:rPr>
        <w:t>’</w:t>
      </w:r>
      <w:r w:rsidRPr="003303F8">
        <w:rPr>
          <w:rFonts w:hint="eastAsia"/>
          <w:kern w:val="0"/>
          <w:sz w:val="24"/>
          <w:szCs w:val="24"/>
        </w:rPr>
        <w:t xml:space="preserve">s </w:t>
      </w:r>
      <w:r w:rsidRPr="003303F8">
        <w:rPr>
          <w:kern w:val="0"/>
          <w:sz w:val="24"/>
          <w:szCs w:val="24"/>
        </w:rPr>
        <w:t xml:space="preserve">assessed covariance to </w:t>
      </w:r>
      <w:r w:rsidRPr="003303F8">
        <w:rPr>
          <w:rFonts w:hint="eastAsia"/>
          <w:kern w:val="0"/>
          <w:sz w:val="24"/>
          <w:szCs w:val="24"/>
        </w:rPr>
        <w:t>peer firm earnings quality</w:t>
      </w:r>
      <w:r w:rsidRPr="003303F8">
        <w:rPr>
          <w:kern w:val="0"/>
          <w:sz w:val="24"/>
          <w:szCs w:val="24"/>
        </w:rPr>
        <w:t xml:space="preserve"> is a positive function of the </w:t>
      </w:r>
      <w:r w:rsidRPr="003303F8">
        <w:rPr>
          <w:i/>
          <w:kern w:val="0"/>
          <w:sz w:val="24"/>
          <w:szCs w:val="24"/>
        </w:rPr>
        <w:t>unconditional</w:t>
      </w:r>
      <w:r w:rsidRPr="003303F8">
        <w:rPr>
          <w:kern w:val="0"/>
          <w:sz w:val="24"/>
          <w:szCs w:val="24"/>
        </w:rPr>
        <w:t xml:space="preserve"> covariances </w:t>
      </w:r>
      <w:r w:rsidR="0027458C" w:rsidRPr="003303F8">
        <w:rPr>
          <w:kern w:val="0"/>
          <w:sz w:val="24"/>
          <w:szCs w:val="24"/>
        </w:rPr>
        <w:t xml:space="preserve">of </w:t>
      </w:r>
      <w:r w:rsidR="0027458C" w:rsidRPr="003303F8">
        <w:rPr>
          <w:sz w:val="24"/>
          <w:szCs w:val="24"/>
        </w:rPr>
        <w:t>the firm’s expected future cash flows with that of other firms</w:t>
      </w:r>
      <w:r w:rsidR="0027458C" w:rsidRPr="003303F8">
        <w:rPr>
          <w:kern w:val="0"/>
          <w:sz w:val="24"/>
          <w:szCs w:val="24"/>
        </w:rPr>
        <w:t xml:space="preserve"> </w:t>
      </w:r>
      <w:r w:rsidRPr="003303F8">
        <w:rPr>
          <w:kern w:val="0"/>
          <w:sz w:val="24"/>
          <w:szCs w:val="24"/>
        </w:rPr>
        <w:t>Cov(V</w:t>
      </w:r>
      <w:r w:rsidRPr="003303F8">
        <w:rPr>
          <w:kern w:val="0"/>
          <w:sz w:val="24"/>
          <w:szCs w:val="24"/>
          <w:vertAlign w:val="subscript"/>
        </w:rPr>
        <w:t>j</w:t>
      </w:r>
      <w:r w:rsidRPr="003303F8">
        <w:rPr>
          <w:kern w:val="0"/>
          <w:sz w:val="24"/>
          <w:szCs w:val="24"/>
        </w:rPr>
        <w:t>,V</w:t>
      </w:r>
      <w:r w:rsidRPr="003303F8">
        <w:rPr>
          <w:kern w:val="0"/>
          <w:sz w:val="24"/>
          <w:szCs w:val="24"/>
          <w:vertAlign w:val="subscript"/>
        </w:rPr>
        <w:t>k</w:t>
      </w:r>
      <w:r w:rsidRPr="003303F8">
        <w:rPr>
          <w:kern w:val="0"/>
          <w:sz w:val="24"/>
          <w:szCs w:val="24"/>
        </w:rPr>
        <w:t xml:space="preserve">). Panels </w:t>
      </w:r>
      <w:r w:rsidR="007F7D1A" w:rsidRPr="003303F8">
        <w:rPr>
          <w:kern w:val="0"/>
          <w:sz w:val="24"/>
          <w:szCs w:val="24"/>
        </w:rPr>
        <w:t>C, D</w:t>
      </w:r>
      <w:r w:rsidRPr="003303F8">
        <w:rPr>
          <w:kern w:val="0"/>
          <w:sz w:val="24"/>
          <w:szCs w:val="24"/>
        </w:rPr>
        <w:t xml:space="preserve"> and </w:t>
      </w:r>
      <w:r w:rsidR="007F7D1A" w:rsidRPr="003303F8">
        <w:rPr>
          <w:kern w:val="0"/>
          <w:sz w:val="24"/>
          <w:szCs w:val="24"/>
        </w:rPr>
        <w:t>E</w:t>
      </w:r>
      <w:r w:rsidRPr="003303F8">
        <w:rPr>
          <w:kern w:val="0"/>
          <w:sz w:val="24"/>
          <w:szCs w:val="24"/>
        </w:rPr>
        <w:t xml:space="preserve"> of Table </w:t>
      </w:r>
      <w:r w:rsidR="000A3B06" w:rsidRPr="003303F8">
        <w:rPr>
          <w:kern w:val="0"/>
          <w:sz w:val="24"/>
          <w:szCs w:val="24"/>
        </w:rPr>
        <w:t>8</w:t>
      </w:r>
      <w:r w:rsidR="007F7D1A" w:rsidRPr="003303F8">
        <w:rPr>
          <w:kern w:val="0"/>
          <w:sz w:val="24"/>
          <w:szCs w:val="24"/>
        </w:rPr>
        <w:t xml:space="preserve"> provide</w:t>
      </w:r>
      <w:r w:rsidRPr="003303F8">
        <w:rPr>
          <w:kern w:val="0"/>
          <w:sz w:val="24"/>
          <w:szCs w:val="24"/>
        </w:rPr>
        <w:t xml:space="preserve"> tests of the role of unconditional covariances. </w:t>
      </w:r>
      <w:r w:rsidR="000A3B06" w:rsidRPr="003303F8">
        <w:rPr>
          <w:kern w:val="0"/>
          <w:sz w:val="24"/>
          <w:szCs w:val="24"/>
        </w:rPr>
        <w:t>Panel</w:t>
      </w:r>
      <w:r w:rsidR="007F7D1A" w:rsidRPr="003303F8">
        <w:rPr>
          <w:kern w:val="0"/>
          <w:sz w:val="24"/>
          <w:szCs w:val="24"/>
        </w:rPr>
        <w:t>s</w:t>
      </w:r>
      <w:r w:rsidR="000A3B06" w:rsidRPr="003303F8">
        <w:rPr>
          <w:kern w:val="0"/>
          <w:sz w:val="24"/>
          <w:szCs w:val="24"/>
        </w:rPr>
        <w:t xml:space="preserve"> </w:t>
      </w:r>
      <w:r w:rsidR="007F7D1A" w:rsidRPr="003303F8">
        <w:rPr>
          <w:kern w:val="0"/>
          <w:sz w:val="24"/>
          <w:szCs w:val="24"/>
        </w:rPr>
        <w:t>C and D</w:t>
      </w:r>
      <w:r w:rsidR="000A3B06" w:rsidRPr="003303F8">
        <w:rPr>
          <w:kern w:val="0"/>
          <w:sz w:val="24"/>
          <w:szCs w:val="24"/>
        </w:rPr>
        <w:t xml:space="preserve"> of Table 8 splits the sample into two subsamples based on whether a firm is a multinational firm or not. Multinational firms are geographically diversified and thus likely to have lower covariances with industry peers (i.e. Cov(V</w:t>
      </w:r>
      <w:r w:rsidR="000A3B06" w:rsidRPr="003303F8">
        <w:rPr>
          <w:kern w:val="0"/>
          <w:sz w:val="24"/>
          <w:szCs w:val="24"/>
          <w:vertAlign w:val="subscript"/>
        </w:rPr>
        <w:t>j</w:t>
      </w:r>
      <w:r w:rsidR="000A3B06" w:rsidRPr="003303F8">
        <w:rPr>
          <w:kern w:val="0"/>
          <w:sz w:val="24"/>
          <w:szCs w:val="24"/>
        </w:rPr>
        <w:t>,V</w:t>
      </w:r>
      <w:r w:rsidR="000A3B06" w:rsidRPr="003303F8">
        <w:rPr>
          <w:kern w:val="0"/>
          <w:sz w:val="24"/>
          <w:szCs w:val="24"/>
          <w:vertAlign w:val="subscript"/>
        </w:rPr>
        <w:t>k</w:t>
      </w:r>
      <w:r w:rsidR="000A3B06" w:rsidRPr="003303F8">
        <w:rPr>
          <w:kern w:val="0"/>
          <w:sz w:val="24"/>
          <w:szCs w:val="24"/>
        </w:rPr>
        <w:t xml:space="preserve">)). Therefore, I expect the effect to be mitigated by a firm’s multinational operation. For all three sets of tests, I find the coefficients on </w:t>
      </w:r>
      <w:r w:rsidR="000A3B06" w:rsidRPr="003303F8">
        <w:rPr>
          <w:i/>
          <w:kern w:val="0"/>
          <w:sz w:val="24"/>
          <w:szCs w:val="24"/>
        </w:rPr>
        <w:t>H_P</w:t>
      </w:r>
      <w:r w:rsidR="000A3B06" w:rsidRPr="003303F8">
        <w:rPr>
          <w:i/>
          <w:kern w:val="0"/>
          <w:sz w:val="24"/>
          <w:szCs w:val="24"/>
        </w:rPr>
        <w:softHyphen/>
        <w:t>_EQ</w:t>
      </w:r>
      <w:r w:rsidR="000A3B06" w:rsidRPr="003303F8">
        <w:rPr>
          <w:kern w:val="0"/>
          <w:sz w:val="24"/>
          <w:szCs w:val="24"/>
        </w:rPr>
        <w:t xml:space="preserve"> are generally less negative for multinational firms than for domestic firms.</w:t>
      </w:r>
      <w:r w:rsidR="00634BCA" w:rsidRPr="003303F8">
        <w:rPr>
          <w:kern w:val="0"/>
          <w:sz w:val="24"/>
          <w:szCs w:val="24"/>
          <w:vertAlign w:val="superscript"/>
        </w:rPr>
        <w:t xml:space="preserve"> </w:t>
      </w:r>
      <w:r w:rsidR="00634BCA" w:rsidRPr="003303F8">
        <w:rPr>
          <w:rStyle w:val="FootnoteReference"/>
          <w:kern w:val="0"/>
          <w:sz w:val="24"/>
          <w:szCs w:val="24"/>
        </w:rPr>
        <w:footnoteReference w:id="38"/>
      </w:r>
      <w:r w:rsidR="00103D15" w:rsidRPr="003303F8">
        <w:rPr>
          <w:kern w:val="0"/>
          <w:sz w:val="24"/>
          <w:szCs w:val="24"/>
          <w:vertAlign w:val="superscript"/>
        </w:rPr>
        <w:t>,</w:t>
      </w:r>
      <w:r w:rsidR="00103D15" w:rsidRPr="003303F8">
        <w:rPr>
          <w:rStyle w:val="FootnoteReference"/>
          <w:kern w:val="0"/>
          <w:sz w:val="24"/>
          <w:szCs w:val="24"/>
        </w:rPr>
        <w:footnoteReference w:id="39"/>
      </w:r>
      <w:r w:rsidR="000A3B06" w:rsidRPr="003303F8">
        <w:rPr>
          <w:kern w:val="0"/>
          <w:sz w:val="24"/>
          <w:szCs w:val="24"/>
        </w:rPr>
        <w:t xml:space="preserve"> These findings are consistent with the effect of peer firm earnings quality as expressed in Equation (7).</w:t>
      </w:r>
    </w:p>
    <w:p w:rsidR="003A7361" w:rsidRPr="003303F8" w:rsidRDefault="003A7361" w:rsidP="003A7361">
      <w:pPr>
        <w:widowControl/>
        <w:overflowPunct/>
        <w:autoSpaceDE/>
        <w:autoSpaceDN/>
        <w:adjustRightInd/>
        <w:spacing w:line="480" w:lineRule="auto"/>
        <w:ind w:firstLine="720"/>
        <w:rPr>
          <w:kern w:val="0"/>
          <w:sz w:val="24"/>
          <w:szCs w:val="24"/>
        </w:rPr>
      </w:pPr>
      <w:r w:rsidRPr="003303F8">
        <w:rPr>
          <w:kern w:val="0"/>
          <w:sz w:val="24"/>
          <w:szCs w:val="24"/>
        </w:rPr>
        <w:t xml:space="preserve">In Panel </w:t>
      </w:r>
      <w:r w:rsidR="007F7D1A" w:rsidRPr="003303F8">
        <w:rPr>
          <w:kern w:val="0"/>
          <w:sz w:val="24"/>
          <w:szCs w:val="24"/>
        </w:rPr>
        <w:t>E</w:t>
      </w:r>
      <w:r w:rsidRPr="003303F8">
        <w:rPr>
          <w:kern w:val="0"/>
          <w:sz w:val="24"/>
          <w:szCs w:val="24"/>
        </w:rPr>
        <w:t xml:space="preserve"> of Table </w:t>
      </w:r>
      <w:r w:rsidR="000A3B06" w:rsidRPr="003303F8">
        <w:rPr>
          <w:kern w:val="0"/>
          <w:sz w:val="24"/>
          <w:szCs w:val="24"/>
        </w:rPr>
        <w:t>8</w:t>
      </w:r>
      <w:r w:rsidRPr="003303F8">
        <w:rPr>
          <w:kern w:val="0"/>
          <w:sz w:val="24"/>
          <w:szCs w:val="24"/>
        </w:rPr>
        <w:t>, I split the sample into two subsamples based on a firm’s relative profitability, the rank of a firm’s return on equity with-in an industry-year. Using both Cournot and Bertrand competition models</w:t>
      </w:r>
      <w:r w:rsidRPr="003303F8">
        <w:rPr>
          <w:rFonts w:ascii="TimesNewRomanPSMT" w:hAnsi="TimesNewRomanPSMT" w:cs="TimesNewRomanPSMT"/>
          <w:kern w:val="0"/>
          <w:sz w:val="24"/>
          <w:szCs w:val="24"/>
        </w:rPr>
        <w:t>,</w:t>
      </w:r>
      <w:r w:rsidRPr="003303F8">
        <w:rPr>
          <w:kern w:val="0"/>
          <w:sz w:val="24"/>
          <w:szCs w:val="24"/>
        </w:rPr>
        <w:t xml:space="preserve"> Hao et al. (2011) show a firm’s profitability, relative to its industry peers, reduces its stock price covariances with its industry peers (i.e. Cov(V</w:t>
      </w:r>
      <w:r w:rsidRPr="003303F8">
        <w:rPr>
          <w:kern w:val="0"/>
          <w:sz w:val="24"/>
          <w:szCs w:val="24"/>
          <w:vertAlign w:val="subscript"/>
        </w:rPr>
        <w:t>j</w:t>
      </w:r>
      <w:r w:rsidRPr="003303F8">
        <w:rPr>
          <w:kern w:val="0"/>
          <w:sz w:val="24"/>
          <w:szCs w:val="24"/>
        </w:rPr>
        <w:t>,V</w:t>
      </w:r>
      <w:r w:rsidRPr="003303F8">
        <w:rPr>
          <w:kern w:val="0"/>
          <w:sz w:val="24"/>
          <w:szCs w:val="24"/>
          <w:vertAlign w:val="subscript"/>
        </w:rPr>
        <w:t>k</w:t>
      </w:r>
      <w:r w:rsidRPr="003303F8">
        <w:rPr>
          <w:kern w:val="0"/>
          <w:sz w:val="24"/>
          <w:szCs w:val="24"/>
        </w:rPr>
        <w:t xml:space="preserve">)). Therefore, I expect the direct effect to be mitigated by a firm’s profitability (relative to industry peers). Panel </w:t>
      </w:r>
      <w:r w:rsidR="000A3B06" w:rsidRPr="003303F8">
        <w:rPr>
          <w:kern w:val="0"/>
          <w:sz w:val="24"/>
          <w:szCs w:val="24"/>
        </w:rPr>
        <w:t>C</w:t>
      </w:r>
      <w:r w:rsidRPr="003303F8">
        <w:rPr>
          <w:kern w:val="0"/>
          <w:sz w:val="24"/>
          <w:szCs w:val="24"/>
        </w:rPr>
        <w:t xml:space="preserve"> of Table </w:t>
      </w:r>
      <w:r w:rsidR="000A3B06" w:rsidRPr="003303F8">
        <w:rPr>
          <w:kern w:val="0"/>
          <w:sz w:val="24"/>
          <w:szCs w:val="24"/>
        </w:rPr>
        <w:t>8</w:t>
      </w:r>
      <w:r w:rsidRPr="003303F8">
        <w:rPr>
          <w:kern w:val="0"/>
          <w:sz w:val="24"/>
          <w:szCs w:val="24"/>
        </w:rPr>
        <w:t xml:space="preserve"> find</w:t>
      </w:r>
      <w:r w:rsidR="000A3B06" w:rsidRPr="003303F8">
        <w:rPr>
          <w:kern w:val="0"/>
          <w:sz w:val="24"/>
          <w:szCs w:val="24"/>
        </w:rPr>
        <w:t>s that</w:t>
      </w:r>
      <w:r w:rsidRPr="003303F8">
        <w:rPr>
          <w:kern w:val="0"/>
          <w:sz w:val="24"/>
          <w:szCs w:val="24"/>
        </w:rPr>
        <w:t xml:space="preserve"> the </w:t>
      </w:r>
      <w:r w:rsidRPr="003303F8">
        <w:rPr>
          <w:kern w:val="0"/>
          <w:sz w:val="24"/>
          <w:szCs w:val="24"/>
        </w:rPr>
        <w:lastRenderedPageBreak/>
        <w:t xml:space="preserve">coefficients on </w:t>
      </w:r>
      <w:r w:rsidRPr="003303F8">
        <w:rPr>
          <w:i/>
          <w:kern w:val="0"/>
          <w:sz w:val="24"/>
          <w:szCs w:val="24"/>
        </w:rPr>
        <w:t>H_P</w:t>
      </w:r>
      <w:r w:rsidRPr="003303F8">
        <w:rPr>
          <w:i/>
          <w:kern w:val="0"/>
          <w:sz w:val="24"/>
          <w:szCs w:val="24"/>
        </w:rPr>
        <w:softHyphen/>
        <w:t>_EQ</w:t>
      </w:r>
      <w:r w:rsidRPr="003303F8">
        <w:rPr>
          <w:kern w:val="0"/>
          <w:sz w:val="24"/>
          <w:szCs w:val="24"/>
        </w:rPr>
        <w:t xml:space="preserve"> are more negative for the subsample with lower relative profitability, supporting a moderating role of </w:t>
      </w:r>
      <w:r w:rsidR="007F7D1A" w:rsidRPr="003303F8">
        <w:rPr>
          <w:kern w:val="0"/>
          <w:sz w:val="24"/>
          <w:szCs w:val="24"/>
        </w:rPr>
        <w:t xml:space="preserve">relative </w:t>
      </w:r>
      <w:r w:rsidRPr="003303F8">
        <w:rPr>
          <w:kern w:val="0"/>
          <w:sz w:val="24"/>
          <w:szCs w:val="24"/>
        </w:rPr>
        <w:t>profitability.</w:t>
      </w:r>
      <w:r w:rsidR="000A3B06" w:rsidRPr="003303F8">
        <w:rPr>
          <w:rStyle w:val="FootnoteReference"/>
          <w:kern w:val="0"/>
          <w:sz w:val="24"/>
          <w:szCs w:val="24"/>
        </w:rPr>
        <w:footnoteReference w:id="40"/>
      </w:r>
      <w:r w:rsidR="00103D15" w:rsidRPr="003303F8">
        <w:rPr>
          <w:kern w:val="0"/>
          <w:sz w:val="24"/>
          <w:szCs w:val="24"/>
          <w:vertAlign w:val="superscript"/>
        </w:rPr>
        <w:t xml:space="preserve"> </w:t>
      </w:r>
    </w:p>
    <w:p w:rsidR="00D31BFD" w:rsidRPr="003303F8" w:rsidRDefault="00D31BFD" w:rsidP="0053071E">
      <w:pPr>
        <w:widowControl/>
        <w:overflowPunct/>
        <w:autoSpaceDE/>
        <w:autoSpaceDN/>
        <w:adjustRightInd/>
        <w:spacing w:line="480" w:lineRule="auto"/>
        <w:rPr>
          <w:kern w:val="0"/>
          <w:sz w:val="24"/>
          <w:szCs w:val="24"/>
        </w:rPr>
      </w:pPr>
    </w:p>
    <w:p w:rsidR="000F0E7D" w:rsidRPr="003303F8" w:rsidRDefault="005C608C" w:rsidP="00931FD3">
      <w:pPr>
        <w:pStyle w:val="Heading2"/>
        <w:spacing w:before="0" w:line="480" w:lineRule="auto"/>
        <w:rPr>
          <w:szCs w:val="24"/>
        </w:rPr>
      </w:pPr>
      <w:bookmarkStart w:id="146" w:name="_Toc378087521"/>
      <w:bookmarkStart w:id="147" w:name="_Toc378087561"/>
      <w:bookmarkStart w:id="148" w:name="_Toc378088370"/>
      <w:bookmarkStart w:id="149" w:name="_Toc378088759"/>
      <w:bookmarkStart w:id="150" w:name="_Toc378088895"/>
      <w:r w:rsidRPr="003303F8">
        <w:rPr>
          <w:szCs w:val="24"/>
        </w:rPr>
        <w:t xml:space="preserve">Other </w:t>
      </w:r>
      <w:r w:rsidR="000F0E7D" w:rsidRPr="003303F8">
        <w:rPr>
          <w:szCs w:val="24"/>
        </w:rPr>
        <w:t xml:space="preserve">Additional Tests </w:t>
      </w:r>
      <w:r w:rsidR="00A3694F" w:rsidRPr="003303F8">
        <w:rPr>
          <w:szCs w:val="24"/>
        </w:rPr>
        <w:t>(Untabulated)</w:t>
      </w:r>
      <w:bookmarkEnd w:id="146"/>
      <w:bookmarkEnd w:id="147"/>
      <w:bookmarkEnd w:id="148"/>
      <w:bookmarkEnd w:id="149"/>
      <w:bookmarkEnd w:id="150"/>
    </w:p>
    <w:p w:rsidR="00EA0CCB" w:rsidRPr="003303F8" w:rsidRDefault="00EA0CCB" w:rsidP="00931FD3">
      <w:pPr>
        <w:pStyle w:val="Heading3"/>
        <w:spacing w:before="0" w:line="480" w:lineRule="auto"/>
        <w:rPr>
          <w:i/>
          <w:sz w:val="24"/>
          <w:szCs w:val="24"/>
        </w:rPr>
      </w:pPr>
      <w:bookmarkStart w:id="151" w:name="_Toc378087522"/>
      <w:bookmarkStart w:id="152" w:name="_Toc378087562"/>
      <w:bookmarkStart w:id="153" w:name="_Toc378088371"/>
      <w:bookmarkStart w:id="154" w:name="_Toc378088760"/>
      <w:bookmarkStart w:id="155" w:name="_Toc378088896"/>
      <w:r w:rsidRPr="003303F8">
        <w:rPr>
          <w:rFonts w:ascii="Times New Roman" w:hAnsi="Times New Roman" w:cs="Times New Roman"/>
          <w:b w:val="0"/>
          <w:i/>
          <w:color w:val="auto"/>
          <w:sz w:val="24"/>
          <w:szCs w:val="24"/>
        </w:rPr>
        <w:t>Alternative Implied Cost of Equity Measure</w:t>
      </w:r>
      <w:bookmarkEnd w:id="151"/>
      <w:bookmarkEnd w:id="152"/>
      <w:bookmarkEnd w:id="153"/>
      <w:bookmarkEnd w:id="154"/>
      <w:bookmarkEnd w:id="155"/>
      <w:r w:rsidRPr="003303F8">
        <w:rPr>
          <w:rFonts w:ascii="Times New Roman" w:hAnsi="Times New Roman" w:cs="Times New Roman"/>
          <w:b w:val="0"/>
          <w:i/>
          <w:color w:val="auto"/>
          <w:sz w:val="24"/>
          <w:szCs w:val="24"/>
        </w:rPr>
        <w:t xml:space="preserve"> </w:t>
      </w:r>
    </w:p>
    <w:p w:rsidR="00EA0CCB" w:rsidRPr="003303F8" w:rsidRDefault="00EA0CCB" w:rsidP="000A3B06">
      <w:pPr>
        <w:overflowPunct/>
        <w:autoSpaceDE/>
        <w:autoSpaceDN/>
        <w:spacing w:line="480" w:lineRule="auto"/>
        <w:ind w:firstLine="720"/>
        <w:rPr>
          <w:color w:val="000000"/>
          <w:sz w:val="24"/>
          <w:szCs w:val="24"/>
        </w:rPr>
      </w:pPr>
      <w:r w:rsidRPr="003303F8">
        <w:rPr>
          <w:color w:val="000000"/>
          <w:sz w:val="24"/>
          <w:szCs w:val="24"/>
        </w:rPr>
        <w:t xml:space="preserve">To mitigate concerns about biased analyst forecasts, I deleted observations with large analyst forecast errors in my primary tests. In this section, I further use </w:t>
      </w:r>
      <w:r w:rsidRPr="003303F8">
        <w:rPr>
          <w:i/>
          <w:iCs/>
          <w:color w:val="000000"/>
          <w:sz w:val="24"/>
          <w:szCs w:val="24"/>
        </w:rPr>
        <w:t>ICoE</w:t>
      </w:r>
      <w:r w:rsidRPr="003303F8">
        <w:rPr>
          <w:iCs/>
          <w:color w:val="000000"/>
          <w:sz w:val="24"/>
          <w:szCs w:val="24"/>
          <w:vertAlign w:val="subscript"/>
        </w:rPr>
        <w:t>CS</w:t>
      </w:r>
      <w:r w:rsidRPr="003303F8">
        <w:rPr>
          <w:color w:val="000000"/>
          <w:sz w:val="24"/>
          <w:szCs w:val="24"/>
        </w:rPr>
        <w:t xml:space="preserve"> as a second measure of implied cost of equity which does not use analyst forecasts as inputs. For the calculation of</w:t>
      </w:r>
      <w:r w:rsidRPr="003303F8">
        <w:rPr>
          <w:i/>
          <w:iCs/>
          <w:color w:val="000000"/>
          <w:sz w:val="24"/>
          <w:szCs w:val="24"/>
        </w:rPr>
        <w:t xml:space="preserve"> ICoE</w:t>
      </w:r>
      <w:r w:rsidRPr="003303F8">
        <w:rPr>
          <w:iCs/>
          <w:color w:val="000000"/>
          <w:sz w:val="24"/>
          <w:szCs w:val="24"/>
          <w:vertAlign w:val="subscript"/>
        </w:rPr>
        <w:t>CS</w:t>
      </w:r>
      <w:r w:rsidRPr="003303F8">
        <w:rPr>
          <w:iCs/>
          <w:color w:val="000000"/>
          <w:sz w:val="24"/>
          <w:szCs w:val="24"/>
        </w:rPr>
        <w:t>,</w:t>
      </w:r>
      <w:r w:rsidRPr="003303F8">
        <w:rPr>
          <w:color w:val="000000"/>
          <w:sz w:val="24"/>
          <w:szCs w:val="24"/>
        </w:rPr>
        <w:t xml:space="preserve"> earnings forecasts are generated by a cross-sectional model adopted from Hou et al. (2012). Hou et al. (2012) find the cross-sectional-model-based implied cost of equity estimate is a reliable predictor of future returns. Specifically, for each year between 1994 to 2010, the following cross-sectional model is estimated using the previous ten years (t-10 to t-1) of data:  </w:t>
      </w:r>
    </w:p>
    <w:tbl>
      <w:tblPr>
        <w:tblStyle w:val="TableGrid"/>
        <w:tblW w:w="8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8"/>
      </w:tblGrid>
      <w:tr w:rsidR="007F7D1A" w:rsidRPr="003303F8" w:rsidTr="007F7D1A">
        <w:trPr>
          <w:trHeight w:val="864"/>
        </w:trPr>
        <w:tc>
          <w:tcPr>
            <w:tcW w:w="8118" w:type="dxa"/>
            <w:vAlign w:val="center"/>
          </w:tcPr>
          <w:p w:rsidR="007F7D1A" w:rsidRPr="003303F8" w:rsidRDefault="007F7D1A" w:rsidP="00E80B95">
            <w:pPr>
              <w:widowControl/>
              <w:overflowPunct/>
              <w:autoSpaceDE/>
              <w:autoSpaceDN/>
              <w:snapToGrid w:val="0"/>
              <w:spacing w:line="480" w:lineRule="auto"/>
              <w:jc w:val="center"/>
              <w:rPr>
                <w:sz w:val="24"/>
                <w:szCs w:val="24"/>
              </w:rPr>
            </w:pPr>
            <w:r w:rsidRPr="003303F8">
              <w:rPr>
                <w:position w:val="-10"/>
                <w:sz w:val="24"/>
                <w:szCs w:val="24"/>
              </w:rPr>
              <w:object w:dxaOrig="8660" w:dyaOrig="320">
                <v:shape id="_x0000_i1046" type="#_x0000_t75" style="width:394.5pt;height:13.5pt" o:ole="">
                  <v:imagedata r:id="rId52" o:title=""/>
                </v:shape>
                <o:OLEObject Type="Embed" ProgID="Equation.3" ShapeID="_x0000_i1046" DrawAspect="Content" ObjectID="_1458832563" r:id="rId53"/>
              </w:object>
            </w:r>
          </w:p>
          <w:p w:rsidR="007F7D1A" w:rsidRPr="003303F8" w:rsidRDefault="007F7D1A" w:rsidP="00931FD3">
            <w:pPr>
              <w:widowControl/>
              <w:overflowPunct/>
              <w:autoSpaceDE/>
              <w:autoSpaceDN/>
              <w:snapToGrid w:val="0"/>
              <w:spacing w:line="480" w:lineRule="auto"/>
              <w:jc w:val="right"/>
              <w:rPr>
                <w:kern w:val="0"/>
                <w:sz w:val="24"/>
                <w:szCs w:val="24"/>
              </w:rPr>
            </w:pPr>
            <w:r w:rsidRPr="003303F8">
              <w:rPr>
                <w:kern w:val="0"/>
                <w:sz w:val="24"/>
                <w:szCs w:val="24"/>
              </w:rPr>
              <w:t>(8)</w:t>
            </w:r>
          </w:p>
        </w:tc>
      </w:tr>
    </w:tbl>
    <w:p w:rsidR="00EA0CCB" w:rsidRPr="003303F8" w:rsidRDefault="00EA0CCB" w:rsidP="00EA0CCB">
      <w:pPr>
        <w:overflowPunct/>
        <w:autoSpaceDE/>
        <w:autoSpaceDN/>
        <w:spacing w:line="480" w:lineRule="auto"/>
        <w:rPr>
          <w:color w:val="000000"/>
          <w:sz w:val="24"/>
          <w:szCs w:val="24"/>
        </w:rPr>
      </w:pPr>
      <w:r w:rsidRPr="003303F8">
        <w:rPr>
          <w:color w:val="000000"/>
          <w:sz w:val="24"/>
          <w:szCs w:val="24"/>
        </w:rPr>
        <w:t xml:space="preserve">Where </w:t>
      </w:r>
      <w:r w:rsidRPr="003303F8">
        <w:rPr>
          <w:i/>
          <w:color w:val="000000"/>
          <w:sz w:val="24"/>
          <w:szCs w:val="24"/>
        </w:rPr>
        <w:t>EARN</w:t>
      </w:r>
      <w:r w:rsidRPr="003303F8">
        <w:rPr>
          <w:color w:val="000000"/>
          <w:sz w:val="24"/>
          <w:szCs w:val="24"/>
          <w:vertAlign w:val="subscript"/>
        </w:rPr>
        <w:t xml:space="preserve">it+k </w:t>
      </w:r>
      <w:r w:rsidRPr="003303F8">
        <w:rPr>
          <w:color w:val="000000"/>
          <w:sz w:val="24"/>
          <w:szCs w:val="24"/>
        </w:rPr>
        <w:t xml:space="preserve">denotes the earnings of firm i in year t+k (k=0, 1 or 2), </w:t>
      </w:r>
      <w:r w:rsidRPr="003303F8">
        <w:rPr>
          <w:i/>
          <w:color w:val="000000"/>
          <w:sz w:val="24"/>
          <w:szCs w:val="24"/>
        </w:rPr>
        <w:t>TA</w:t>
      </w:r>
      <w:r w:rsidRPr="003303F8">
        <w:rPr>
          <w:color w:val="000000"/>
          <w:sz w:val="24"/>
          <w:szCs w:val="24"/>
          <w:vertAlign w:val="subscript"/>
        </w:rPr>
        <w:t xml:space="preserve">it </w:t>
      </w:r>
      <w:r w:rsidRPr="003303F8">
        <w:rPr>
          <w:color w:val="000000"/>
          <w:sz w:val="24"/>
          <w:szCs w:val="24"/>
        </w:rPr>
        <w:t xml:space="preserve">is the total assets, </w:t>
      </w:r>
      <w:r w:rsidRPr="003303F8">
        <w:rPr>
          <w:i/>
          <w:color w:val="000000"/>
          <w:sz w:val="24"/>
          <w:szCs w:val="24"/>
        </w:rPr>
        <w:t>Div</w:t>
      </w:r>
      <w:r w:rsidRPr="003303F8">
        <w:rPr>
          <w:color w:val="000000"/>
          <w:sz w:val="24"/>
          <w:szCs w:val="24"/>
          <w:vertAlign w:val="subscript"/>
        </w:rPr>
        <w:t xml:space="preserve">it </w:t>
      </w:r>
      <w:r w:rsidRPr="003303F8">
        <w:rPr>
          <w:color w:val="000000"/>
          <w:sz w:val="24"/>
          <w:szCs w:val="24"/>
        </w:rPr>
        <w:t xml:space="preserve">is the dividend payment, </w:t>
      </w:r>
      <w:r w:rsidRPr="003303F8">
        <w:rPr>
          <w:i/>
          <w:color w:val="000000"/>
          <w:sz w:val="24"/>
          <w:szCs w:val="24"/>
        </w:rPr>
        <w:t>DivDum</w:t>
      </w:r>
      <w:r w:rsidRPr="003303F8">
        <w:rPr>
          <w:color w:val="000000"/>
          <w:sz w:val="24"/>
          <w:szCs w:val="24"/>
          <w:vertAlign w:val="subscript"/>
        </w:rPr>
        <w:t xml:space="preserve">it </w:t>
      </w:r>
      <w:r w:rsidRPr="003303F8">
        <w:rPr>
          <w:color w:val="000000"/>
          <w:sz w:val="24"/>
          <w:szCs w:val="24"/>
        </w:rPr>
        <w:t xml:space="preserve">is a dummy variable set to 1 for dividend payers and 0 otherwise, </w:t>
      </w:r>
      <w:r w:rsidRPr="003303F8">
        <w:rPr>
          <w:i/>
          <w:color w:val="000000"/>
          <w:sz w:val="24"/>
          <w:szCs w:val="24"/>
        </w:rPr>
        <w:t>NegEARN</w:t>
      </w:r>
      <w:r w:rsidRPr="003303F8">
        <w:rPr>
          <w:color w:val="000000"/>
          <w:sz w:val="24"/>
          <w:szCs w:val="24"/>
          <w:vertAlign w:val="subscript"/>
        </w:rPr>
        <w:t xml:space="preserve">it </w:t>
      </w:r>
      <w:r w:rsidRPr="003303F8">
        <w:rPr>
          <w:color w:val="000000"/>
          <w:sz w:val="24"/>
          <w:szCs w:val="24"/>
        </w:rPr>
        <w:t xml:space="preserve">is a dummy variable set to 1 for firms with negative net income and 0 otherwise, </w:t>
      </w:r>
      <w:r w:rsidRPr="003303F8">
        <w:rPr>
          <w:i/>
          <w:color w:val="000000"/>
          <w:sz w:val="24"/>
          <w:szCs w:val="24"/>
        </w:rPr>
        <w:t>TACC</w:t>
      </w:r>
      <w:r w:rsidRPr="003303F8">
        <w:rPr>
          <w:color w:val="000000"/>
          <w:sz w:val="24"/>
          <w:szCs w:val="24"/>
          <w:vertAlign w:val="subscript"/>
        </w:rPr>
        <w:t xml:space="preserve">it </w:t>
      </w:r>
      <w:r w:rsidRPr="003303F8">
        <w:rPr>
          <w:color w:val="000000"/>
          <w:sz w:val="24"/>
          <w:szCs w:val="24"/>
        </w:rPr>
        <w:t xml:space="preserve">is total accruals. All of these variables are measured on a per share basis (in raw dollar values). </w:t>
      </w:r>
    </w:p>
    <w:p w:rsidR="00EA0CCB" w:rsidRPr="003303F8" w:rsidRDefault="00EA0CCB" w:rsidP="00EA0CCB">
      <w:pPr>
        <w:overflowPunct/>
        <w:autoSpaceDE/>
        <w:autoSpaceDN/>
        <w:spacing w:line="480" w:lineRule="auto"/>
        <w:ind w:firstLine="810"/>
        <w:rPr>
          <w:color w:val="000000"/>
          <w:sz w:val="24"/>
          <w:szCs w:val="24"/>
        </w:rPr>
      </w:pPr>
      <w:r w:rsidRPr="003303F8">
        <w:rPr>
          <w:color w:val="000000"/>
          <w:sz w:val="24"/>
          <w:szCs w:val="24"/>
        </w:rPr>
        <w:t xml:space="preserve">For each year t during my sample period (1994 to 2010), I compute earnings forecasts for the future two years by multiplying the independent variables as of year t </w:t>
      </w:r>
      <w:r w:rsidRPr="003303F8">
        <w:rPr>
          <w:color w:val="000000"/>
          <w:sz w:val="24"/>
          <w:szCs w:val="24"/>
        </w:rPr>
        <w:lastRenderedPageBreak/>
        <w:t xml:space="preserve">with the coefficients from the pooled regression estimated using the previous ten years (t-10 to t-1) of data. This procedure ensures that earnings forecasts are out of sample. </w:t>
      </w:r>
    </w:p>
    <w:p w:rsidR="00EA0CCB" w:rsidRPr="003303F8" w:rsidRDefault="00EA0CCB" w:rsidP="00EA0CCB">
      <w:pPr>
        <w:overflowPunct/>
        <w:autoSpaceDE/>
        <w:autoSpaceDN/>
        <w:spacing w:line="480" w:lineRule="auto"/>
        <w:ind w:firstLine="810"/>
        <w:rPr>
          <w:color w:val="000000"/>
          <w:sz w:val="24"/>
          <w:szCs w:val="24"/>
        </w:rPr>
      </w:pPr>
      <w:r w:rsidRPr="003303F8">
        <w:rPr>
          <w:color w:val="000000"/>
          <w:sz w:val="24"/>
          <w:szCs w:val="24"/>
        </w:rPr>
        <w:t>During my sample year, I find</w:t>
      </w:r>
      <w:r w:rsidRPr="003303F8">
        <w:rPr>
          <w:color w:val="FF0000"/>
          <w:sz w:val="24"/>
          <w:szCs w:val="24"/>
        </w:rPr>
        <w:t xml:space="preserve"> </w:t>
      </w:r>
      <w:r w:rsidR="00C614B7" w:rsidRPr="003303F8">
        <w:rPr>
          <w:sz w:val="24"/>
          <w:szCs w:val="24"/>
        </w:rPr>
        <w:t>8,</w:t>
      </w:r>
      <w:r w:rsidR="00C944BF" w:rsidRPr="003303F8">
        <w:rPr>
          <w:sz w:val="24"/>
          <w:szCs w:val="24"/>
        </w:rPr>
        <w:t xml:space="preserve">563 </w:t>
      </w:r>
      <w:r w:rsidRPr="003303F8">
        <w:rPr>
          <w:color w:val="000000"/>
          <w:sz w:val="24"/>
          <w:szCs w:val="24"/>
        </w:rPr>
        <w:t xml:space="preserve">observations for tests using </w:t>
      </w:r>
      <w:r w:rsidRPr="003303F8">
        <w:rPr>
          <w:i/>
          <w:iCs/>
          <w:color w:val="000000"/>
          <w:sz w:val="24"/>
          <w:szCs w:val="24"/>
        </w:rPr>
        <w:t>ICoE</w:t>
      </w:r>
      <w:r w:rsidRPr="003303F8">
        <w:rPr>
          <w:iCs/>
          <w:color w:val="000000"/>
          <w:sz w:val="24"/>
          <w:szCs w:val="24"/>
          <w:vertAlign w:val="subscript"/>
        </w:rPr>
        <w:t xml:space="preserve">CS, </w:t>
      </w:r>
      <w:r w:rsidRPr="003303F8">
        <w:rPr>
          <w:iCs/>
          <w:color w:val="000000"/>
          <w:sz w:val="24"/>
          <w:szCs w:val="24"/>
        </w:rPr>
        <w:t>smaller than the sample in my primary tests</w:t>
      </w:r>
      <w:r w:rsidR="002543C9" w:rsidRPr="003303F8">
        <w:rPr>
          <w:iCs/>
          <w:color w:val="000000"/>
          <w:sz w:val="24"/>
          <w:szCs w:val="24"/>
          <w:vertAlign w:val="subscript"/>
        </w:rPr>
        <w:t>.</w:t>
      </w:r>
      <w:r w:rsidR="00C944BF" w:rsidRPr="003303F8">
        <w:rPr>
          <w:rStyle w:val="FootnoteReference"/>
          <w:iCs/>
          <w:color w:val="000000"/>
          <w:sz w:val="24"/>
          <w:szCs w:val="24"/>
        </w:rPr>
        <w:footnoteReference w:id="41"/>
      </w:r>
      <w:r w:rsidR="002543C9" w:rsidRPr="003303F8">
        <w:rPr>
          <w:iCs/>
          <w:color w:val="000000"/>
          <w:sz w:val="24"/>
          <w:szCs w:val="24"/>
          <w:vertAlign w:val="subscript"/>
        </w:rPr>
        <w:t xml:space="preserve"> </w:t>
      </w:r>
      <w:r w:rsidRPr="003303F8">
        <w:rPr>
          <w:iCs/>
          <w:color w:val="000000"/>
          <w:sz w:val="24"/>
          <w:szCs w:val="24"/>
        </w:rPr>
        <w:t>The mean of</w:t>
      </w:r>
      <w:r w:rsidRPr="003303F8">
        <w:rPr>
          <w:iCs/>
          <w:color w:val="000000"/>
          <w:sz w:val="24"/>
          <w:szCs w:val="24"/>
          <w:vertAlign w:val="subscript"/>
        </w:rPr>
        <w:t xml:space="preserve"> </w:t>
      </w:r>
      <w:r w:rsidRPr="003303F8">
        <w:rPr>
          <w:color w:val="000000"/>
          <w:sz w:val="24"/>
          <w:szCs w:val="24"/>
        </w:rPr>
        <w:t xml:space="preserve"> </w:t>
      </w:r>
      <w:r w:rsidRPr="003303F8">
        <w:rPr>
          <w:i/>
          <w:iCs/>
          <w:color w:val="000000"/>
          <w:sz w:val="24"/>
          <w:szCs w:val="24"/>
        </w:rPr>
        <w:t>ICoE</w:t>
      </w:r>
      <w:r w:rsidRPr="003303F8">
        <w:rPr>
          <w:iCs/>
          <w:color w:val="000000"/>
          <w:sz w:val="24"/>
          <w:szCs w:val="24"/>
          <w:vertAlign w:val="subscript"/>
        </w:rPr>
        <w:t>CS</w:t>
      </w:r>
      <w:r w:rsidRPr="003303F8">
        <w:rPr>
          <w:color w:val="000000"/>
          <w:sz w:val="24"/>
          <w:szCs w:val="24"/>
        </w:rPr>
        <w:t xml:space="preserve"> is </w:t>
      </w:r>
      <w:r w:rsidRPr="003303F8">
        <w:rPr>
          <w:sz w:val="24"/>
          <w:szCs w:val="24"/>
        </w:rPr>
        <w:t>0.</w:t>
      </w:r>
      <w:r w:rsidR="00C944BF" w:rsidRPr="003303F8">
        <w:rPr>
          <w:sz w:val="24"/>
          <w:szCs w:val="24"/>
        </w:rPr>
        <w:t>137</w:t>
      </w:r>
      <w:r w:rsidRPr="003303F8">
        <w:rPr>
          <w:color w:val="000000"/>
          <w:sz w:val="24"/>
          <w:szCs w:val="24"/>
        </w:rPr>
        <w:t xml:space="preserve">, higher than that of </w:t>
      </w:r>
      <w:r w:rsidRPr="003303F8">
        <w:rPr>
          <w:i/>
          <w:iCs/>
          <w:color w:val="000000"/>
          <w:sz w:val="24"/>
          <w:szCs w:val="24"/>
        </w:rPr>
        <w:t xml:space="preserve">ICoE. </w:t>
      </w:r>
      <w:r w:rsidR="00A3694F" w:rsidRPr="003303F8">
        <w:rPr>
          <w:iCs/>
          <w:color w:val="000000"/>
          <w:sz w:val="24"/>
          <w:szCs w:val="24"/>
        </w:rPr>
        <w:t xml:space="preserve">In unreported tests, </w:t>
      </w:r>
      <w:r w:rsidRPr="003303F8">
        <w:rPr>
          <w:color w:val="000000"/>
          <w:sz w:val="24"/>
          <w:szCs w:val="24"/>
        </w:rPr>
        <w:t xml:space="preserve">I still find significant negative coefficients on both </w:t>
      </w:r>
      <w:r w:rsidRPr="003303F8">
        <w:rPr>
          <w:i/>
          <w:color w:val="000000"/>
          <w:sz w:val="24"/>
          <w:szCs w:val="24"/>
        </w:rPr>
        <w:t>H</w:t>
      </w:r>
      <w:r w:rsidRPr="003303F8">
        <w:rPr>
          <w:i/>
          <w:kern w:val="0"/>
          <w:sz w:val="24"/>
          <w:szCs w:val="24"/>
        </w:rPr>
        <w:t>_EQ</w:t>
      </w:r>
      <w:r w:rsidRPr="003303F8">
        <w:rPr>
          <w:color w:val="000000"/>
          <w:sz w:val="24"/>
          <w:szCs w:val="24"/>
        </w:rPr>
        <w:t xml:space="preserve"> </w:t>
      </w:r>
      <w:r w:rsidR="005C608C" w:rsidRPr="003303F8">
        <w:rPr>
          <w:color w:val="000000"/>
          <w:sz w:val="24"/>
          <w:szCs w:val="24"/>
        </w:rPr>
        <w:t>(</w:t>
      </w:r>
      <w:r w:rsidR="005C608C" w:rsidRPr="003303F8">
        <w:rPr>
          <w:sz w:val="24"/>
          <w:szCs w:val="24"/>
        </w:rPr>
        <w:t>−0.026,</w:t>
      </w:r>
      <w:r w:rsidR="000538F4" w:rsidRPr="003303F8">
        <w:rPr>
          <w:i/>
          <w:sz w:val="24"/>
          <w:szCs w:val="24"/>
        </w:rPr>
        <w:t xml:space="preserve"> t</w:t>
      </w:r>
      <w:r w:rsidR="000538F4" w:rsidRPr="003303F8">
        <w:rPr>
          <w:sz w:val="24"/>
          <w:szCs w:val="24"/>
        </w:rPr>
        <w:t>-statistics=</w:t>
      </w:r>
      <w:r w:rsidR="005C608C" w:rsidRPr="003303F8">
        <w:rPr>
          <w:sz w:val="24"/>
          <w:szCs w:val="24"/>
        </w:rPr>
        <w:t xml:space="preserve">−8.32) </w:t>
      </w:r>
      <w:r w:rsidRPr="003303F8">
        <w:rPr>
          <w:color w:val="000000"/>
          <w:sz w:val="24"/>
          <w:szCs w:val="24"/>
        </w:rPr>
        <w:t xml:space="preserve">and </w:t>
      </w:r>
      <w:r w:rsidRPr="003303F8">
        <w:rPr>
          <w:i/>
          <w:color w:val="000000"/>
          <w:sz w:val="24"/>
          <w:szCs w:val="24"/>
        </w:rPr>
        <w:t>H</w:t>
      </w:r>
      <w:r w:rsidRPr="003303F8">
        <w:rPr>
          <w:i/>
          <w:kern w:val="0"/>
          <w:sz w:val="24"/>
          <w:szCs w:val="24"/>
        </w:rPr>
        <w:t>_</w:t>
      </w:r>
      <w:r w:rsidRPr="003303F8">
        <w:rPr>
          <w:i/>
          <w:color w:val="000000"/>
          <w:sz w:val="24"/>
          <w:szCs w:val="24"/>
        </w:rPr>
        <w:t xml:space="preserve"> P</w:t>
      </w:r>
      <w:r w:rsidRPr="003303F8">
        <w:rPr>
          <w:i/>
          <w:kern w:val="0"/>
          <w:sz w:val="24"/>
          <w:szCs w:val="24"/>
        </w:rPr>
        <w:t>_EQ</w:t>
      </w:r>
      <w:r w:rsidR="005C608C" w:rsidRPr="003303F8">
        <w:rPr>
          <w:i/>
          <w:kern w:val="0"/>
          <w:sz w:val="24"/>
          <w:szCs w:val="24"/>
          <w:vertAlign w:val="subscript"/>
        </w:rPr>
        <w:t xml:space="preserve">ew </w:t>
      </w:r>
      <w:r w:rsidR="005C608C" w:rsidRPr="003303F8">
        <w:rPr>
          <w:color w:val="000000"/>
          <w:sz w:val="24"/>
          <w:szCs w:val="24"/>
        </w:rPr>
        <w:t>(</w:t>
      </w:r>
      <w:r w:rsidR="005C608C" w:rsidRPr="003303F8">
        <w:rPr>
          <w:sz w:val="24"/>
          <w:szCs w:val="24"/>
        </w:rPr>
        <w:t>−0.027,</w:t>
      </w:r>
      <w:r w:rsidR="000538F4" w:rsidRPr="003303F8">
        <w:rPr>
          <w:sz w:val="24"/>
          <w:szCs w:val="24"/>
        </w:rPr>
        <w:t xml:space="preserve"> </w:t>
      </w:r>
      <w:r w:rsidR="000538F4" w:rsidRPr="003303F8">
        <w:rPr>
          <w:i/>
          <w:sz w:val="24"/>
          <w:szCs w:val="24"/>
        </w:rPr>
        <w:t>t</w:t>
      </w:r>
      <w:r w:rsidR="000538F4" w:rsidRPr="003303F8">
        <w:rPr>
          <w:sz w:val="24"/>
          <w:szCs w:val="24"/>
        </w:rPr>
        <w:t>-statistics=</w:t>
      </w:r>
      <w:r w:rsidR="005C608C" w:rsidRPr="003303F8">
        <w:rPr>
          <w:sz w:val="24"/>
          <w:szCs w:val="24"/>
        </w:rPr>
        <w:t xml:space="preserve">−8.40) </w:t>
      </w:r>
      <w:r w:rsidR="005C608C" w:rsidRPr="003303F8">
        <w:rPr>
          <w:kern w:val="0"/>
          <w:sz w:val="24"/>
          <w:szCs w:val="24"/>
        </w:rPr>
        <w:t>[</w:t>
      </w:r>
      <w:r w:rsidR="005C608C" w:rsidRPr="003303F8">
        <w:rPr>
          <w:i/>
          <w:color w:val="000000"/>
          <w:sz w:val="24"/>
          <w:szCs w:val="24"/>
        </w:rPr>
        <w:t>H</w:t>
      </w:r>
      <w:r w:rsidR="005C608C" w:rsidRPr="003303F8">
        <w:rPr>
          <w:i/>
          <w:kern w:val="0"/>
          <w:sz w:val="24"/>
          <w:szCs w:val="24"/>
        </w:rPr>
        <w:t>_</w:t>
      </w:r>
      <w:r w:rsidR="005C608C" w:rsidRPr="003303F8">
        <w:rPr>
          <w:i/>
          <w:color w:val="000000"/>
          <w:sz w:val="24"/>
          <w:szCs w:val="24"/>
        </w:rPr>
        <w:t xml:space="preserve"> P</w:t>
      </w:r>
      <w:r w:rsidR="005C608C" w:rsidRPr="003303F8">
        <w:rPr>
          <w:i/>
          <w:kern w:val="0"/>
          <w:sz w:val="24"/>
          <w:szCs w:val="24"/>
        </w:rPr>
        <w:t>_EQ</w:t>
      </w:r>
      <w:r w:rsidR="005C608C" w:rsidRPr="003303F8">
        <w:rPr>
          <w:i/>
          <w:kern w:val="0"/>
          <w:sz w:val="24"/>
          <w:szCs w:val="24"/>
          <w:vertAlign w:val="subscript"/>
        </w:rPr>
        <w:t xml:space="preserve">msw </w:t>
      </w:r>
      <w:r w:rsidR="005C608C" w:rsidRPr="003303F8">
        <w:rPr>
          <w:color w:val="000000"/>
          <w:sz w:val="24"/>
          <w:szCs w:val="24"/>
        </w:rPr>
        <w:t>(</w:t>
      </w:r>
      <w:r w:rsidR="005C608C" w:rsidRPr="003303F8">
        <w:rPr>
          <w:sz w:val="24"/>
          <w:szCs w:val="24"/>
        </w:rPr>
        <w:t>−0.030,</w:t>
      </w:r>
      <w:r w:rsidR="000538F4" w:rsidRPr="003303F8">
        <w:rPr>
          <w:i/>
          <w:sz w:val="24"/>
          <w:szCs w:val="24"/>
        </w:rPr>
        <w:t>t</w:t>
      </w:r>
      <w:r w:rsidR="000538F4" w:rsidRPr="003303F8">
        <w:rPr>
          <w:sz w:val="24"/>
          <w:szCs w:val="24"/>
        </w:rPr>
        <w:t>-statistics=</w:t>
      </w:r>
      <w:r w:rsidR="005C608C" w:rsidRPr="003303F8">
        <w:rPr>
          <w:sz w:val="24"/>
          <w:szCs w:val="24"/>
        </w:rPr>
        <w:t>−9.96)</w:t>
      </w:r>
      <w:r w:rsidRPr="003303F8">
        <w:rPr>
          <w:i/>
          <w:kern w:val="0"/>
          <w:sz w:val="24"/>
          <w:szCs w:val="24"/>
        </w:rPr>
        <w:t xml:space="preserve">, </w:t>
      </w:r>
      <w:r w:rsidRPr="003303F8">
        <w:rPr>
          <w:kern w:val="0"/>
          <w:sz w:val="24"/>
          <w:szCs w:val="24"/>
        </w:rPr>
        <w:t xml:space="preserve">significantly </w:t>
      </w:r>
      <w:r w:rsidRPr="003303F8">
        <w:rPr>
          <w:color w:val="000000"/>
          <w:sz w:val="24"/>
          <w:szCs w:val="24"/>
        </w:rPr>
        <w:t>reducing concerns about biased analyst forecasts.</w:t>
      </w:r>
      <w:r w:rsidR="00C614B7" w:rsidRPr="003303F8">
        <w:rPr>
          <w:rStyle w:val="FootnoteReference"/>
          <w:color w:val="000000"/>
          <w:sz w:val="24"/>
          <w:szCs w:val="24"/>
        </w:rPr>
        <w:footnoteReference w:id="42"/>
      </w:r>
      <w:r w:rsidRPr="003303F8">
        <w:rPr>
          <w:color w:val="000000"/>
          <w:sz w:val="24"/>
          <w:szCs w:val="24"/>
        </w:rPr>
        <w:t xml:space="preserve"> </w:t>
      </w:r>
    </w:p>
    <w:p w:rsidR="006B2B54" w:rsidRPr="003303F8" w:rsidRDefault="006B2B54" w:rsidP="00931FD3">
      <w:pPr>
        <w:pStyle w:val="Heading3"/>
        <w:spacing w:before="100" w:beforeAutospacing="1" w:line="480" w:lineRule="auto"/>
        <w:rPr>
          <w:i/>
          <w:sz w:val="24"/>
          <w:szCs w:val="24"/>
        </w:rPr>
      </w:pPr>
      <w:bookmarkStart w:id="156" w:name="_Toc378087523"/>
      <w:bookmarkStart w:id="157" w:name="_Toc378087563"/>
      <w:bookmarkStart w:id="158" w:name="_Toc378088372"/>
      <w:bookmarkStart w:id="159" w:name="_Toc378088761"/>
      <w:bookmarkStart w:id="160" w:name="_Toc378088897"/>
      <w:r w:rsidRPr="003303F8">
        <w:rPr>
          <w:rFonts w:ascii="Times New Roman" w:hAnsi="Times New Roman" w:cs="Times New Roman"/>
          <w:b w:val="0"/>
          <w:i/>
          <w:color w:val="auto"/>
          <w:sz w:val="24"/>
          <w:szCs w:val="24"/>
        </w:rPr>
        <w:t>Influential Peer versus Similar Peer Firms</w:t>
      </w:r>
      <w:bookmarkEnd w:id="156"/>
      <w:bookmarkEnd w:id="157"/>
      <w:bookmarkEnd w:id="158"/>
      <w:bookmarkEnd w:id="159"/>
      <w:bookmarkEnd w:id="160"/>
    </w:p>
    <w:p w:rsidR="00D86B5F" w:rsidRPr="00F27461" w:rsidRDefault="006B2B54" w:rsidP="00D86B5F">
      <w:pPr>
        <w:widowControl/>
        <w:overflowPunct/>
        <w:autoSpaceDE/>
        <w:autoSpaceDN/>
        <w:adjustRightInd/>
        <w:spacing w:line="480" w:lineRule="auto"/>
        <w:ind w:firstLine="720"/>
        <w:rPr>
          <w:sz w:val="24"/>
          <w:szCs w:val="24"/>
        </w:rPr>
      </w:pPr>
      <w:r w:rsidRPr="003303F8">
        <w:rPr>
          <w:sz w:val="24"/>
          <w:szCs w:val="24"/>
        </w:rPr>
        <w:t xml:space="preserve">The tests above use all the industry peers in measuring </w:t>
      </w:r>
      <w:r w:rsidRPr="003303F8">
        <w:rPr>
          <w:i/>
          <w:sz w:val="24"/>
          <w:szCs w:val="24"/>
        </w:rPr>
        <w:t>P_EQ</w:t>
      </w:r>
      <w:r w:rsidRPr="003303F8">
        <w:rPr>
          <w:sz w:val="24"/>
          <w:szCs w:val="24"/>
        </w:rPr>
        <w:t xml:space="preserve">. This section further asks whether influential peer firms or similar peer firms have greater effects on the cost of equity. For each industry-year, I first calculate the quartile rank of my sample firms based on market value. Then, a firm’s similar peers refer to other peer firms in the same quartile, and influential peers are defined as peer firms in the top quartile (with the largest market value). I </w:t>
      </w:r>
      <w:r w:rsidRPr="003303F8">
        <w:rPr>
          <w:kern w:val="0"/>
          <w:sz w:val="24"/>
          <w:szCs w:val="24"/>
        </w:rPr>
        <w:t xml:space="preserve">re-estimates equations (4), (5), and (6) </w:t>
      </w:r>
      <w:r w:rsidRPr="003303F8">
        <w:rPr>
          <w:sz w:val="24"/>
          <w:szCs w:val="24"/>
        </w:rPr>
        <w:t xml:space="preserve">by </w:t>
      </w:r>
      <w:r w:rsidR="00A3694F" w:rsidRPr="003303F8">
        <w:rPr>
          <w:sz w:val="24"/>
          <w:szCs w:val="24"/>
        </w:rPr>
        <w:t xml:space="preserve">including two variables instead of </w:t>
      </w:r>
      <w:r w:rsidR="00A3694F" w:rsidRPr="003303F8">
        <w:rPr>
          <w:i/>
          <w:sz w:val="24"/>
          <w:szCs w:val="24"/>
        </w:rPr>
        <w:t>P_EQ</w:t>
      </w:r>
      <w:r w:rsidR="00A3694F" w:rsidRPr="003303F8">
        <w:rPr>
          <w:sz w:val="24"/>
          <w:szCs w:val="24"/>
        </w:rPr>
        <w:t>:</w:t>
      </w:r>
      <w:r w:rsidRPr="003303F8">
        <w:rPr>
          <w:sz w:val="24"/>
          <w:szCs w:val="24"/>
        </w:rPr>
        <w:t xml:space="preserve"> the equally-weighted average earnings quality of influential peers </w:t>
      </w:r>
      <w:r w:rsidR="00AC560C" w:rsidRPr="003303F8">
        <w:rPr>
          <w:sz w:val="24"/>
          <w:szCs w:val="24"/>
        </w:rPr>
        <w:t>(</w:t>
      </w:r>
      <w:r w:rsidR="00AC560C" w:rsidRPr="003303F8">
        <w:rPr>
          <w:i/>
          <w:sz w:val="24"/>
          <w:szCs w:val="24"/>
        </w:rPr>
        <w:t>P_EQ</w:t>
      </w:r>
      <w:r w:rsidR="00AC560C" w:rsidRPr="003303F8">
        <w:rPr>
          <w:i/>
          <w:sz w:val="24"/>
          <w:szCs w:val="24"/>
          <w:vertAlign w:val="subscript"/>
        </w:rPr>
        <w:t>influential</w:t>
      </w:r>
      <w:r w:rsidR="00AC560C" w:rsidRPr="003303F8">
        <w:rPr>
          <w:sz w:val="24"/>
          <w:szCs w:val="24"/>
        </w:rPr>
        <w:t xml:space="preserve">) </w:t>
      </w:r>
      <w:r w:rsidRPr="003303F8">
        <w:rPr>
          <w:sz w:val="24"/>
          <w:szCs w:val="24"/>
        </w:rPr>
        <w:t>and that of similar peers</w:t>
      </w:r>
      <w:r w:rsidR="00AC560C" w:rsidRPr="003303F8">
        <w:rPr>
          <w:sz w:val="24"/>
          <w:szCs w:val="24"/>
        </w:rPr>
        <w:t xml:space="preserve"> (</w:t>
      </w:r>
      <w:r w:rsidR="00AC560C" w:rsidRPr="003303F8">
        <w:rPr>
          <w:i/>
          <w:sz w:val="24"/>
          <w:szCs w:val="24"/>
        </w:rPr>
        <w:t>P_EQ</w:t>
      </w:r>
      <w:r w:rsidR="00AC560C" w:rsidRPr="003303F8">
        <w:rPr>
          <w:i/>
          <w:sz w:val="24"/>
          <w:szCs w:val="24"/>
          <w:vertAlign w:val="subscript"/>
        </w:rPr>
        <w:t>similiar</w:t>
      </w:r>
      <w:r w:rsidR="00AC560C" w:rsidRPr="003303F8">
        <w:rPr>
          <w:sz w:val="24"/>
          <w:szCs w:val="24"/>
        </w:rPr>
        <w:t>)</w:t>
      </w:r>
      <w:r w:rsidRPr="003303F8">
        <w:rPr>
          <w:sz w:val="24"/>
          <w:szCs w:val="24"/>
        </w:rPr>
        <w:t xml:space="preserve">. </w:t>
      </w:r>
      <w:r w:rsidR="00DD1AD3" w:rsidRPr="003303F8">
        <w:rPr>
          <w:sz w:val="24"/>
          <w:szCs w:val="24"/>
        </w:rPr>
        <w:t xml:space="preserve">For the market risk factor test </w:t>
      </w:r>
      <w:r w:rsidR="00F27461" w:rsidRPr="003303F8">
        <w:rPr>
          <w:sz w:val="24"/>
          <w:szCs w:val="24"/>
        </w:rPr>
        <w:t>[</w:t>
      </w:r>
      <w:r w:rsidR="00DD1AD3" w:rsidRPr="003303F8">
        <w:rPr>
          <w:sz w:val="24"/>
          <w:szCs w:val="24"/>
        </w:rPr>
        <w:t>the industry-adjusted tests</w:t>
      </w:r>
      <w:r w:rsidR="00F27461" w:rsidRPr="003303F8">
        <w:rPr>
          <w:sz w:val="24"/>
          <w:szCs w:val="24"/>
        </w:rPr>
        <w:t>]</w:t>
      </w:r>
      <w:r w:rsidR="00DD1AD3" w:rsidRPr="003303F8">
        <w:rPr>
          <w:sz w:val="24"/>
          <w:szCs w:val="24"/>
        </w:rPr>
        <w:t>, t</w:t>
      </w:r>
      <w:r w:rsidRPr="003303F8">
        <w:rPr>
          <w:sz w:val="24"/>
          <w:szCs w:val="24"/>
        </w:rPr>
        <w:t xml:space="preserve">he results suggest </w:t>
      </w:r>
      <w:r w:rsidR="00AC560C" w:rsidRPr="003303F8">
        <w:rPr>
          <w:sz w:val="24"/>
          <w:szCs w:val="24"/>
        </w:rPr>
        <w:t xml:space="preserve">the coefficients on </w:t>
      </w:r>
      <w:r w:rsidR="002543C9" w:rsidRPr="003303F8">
        <w:rPr>
          <w:i/>
          <w:sz w:val="24"/>
          <w:szCs w:val="24"/>
        </w:rPr>
        <w:t>H_</w:t>
      </w:r>
      <w:r w:rsidR="00AC560C" w:rsidRPr="003303F8">
        <w:rPr>
          <w:i/>
          <w:sz w:val="24"/>
          <w:szCs w:val="24"/>
        </w:rPr>
        <w:t>P_EQ</w:t>
      </w:r>
      <w:r w:rsidR="00AC560C" w:rsidRPr="003303F8">
        <w:rPr>
          <w:i/>
          <w:sz w:val="24"/>
          <w:szCs w:val="24"/>
          <w:vertAlign w:val="subscript"/>
        </w:rPr>
        <w:t>similiar</w:t>
      </w:r>
      <w:r w:rsidR="00AC560C" w:rsidRPr="003303F8">
        <w:rPr>
          <w:sz w:val="24"/>
          <w:szCs w:val="24"/>
        </w:rPr>
        <w:t xml:space="preserve"> </w:t>
      </w:r>
      <w:r w:rsidR="00F27461" w:rsidRPr="003303F8">
        <w:rPr>
          <w:sz w:val="24"/>
          <w:szCs w:val="24"/>
        </w:rPr>
        <w:t>×</w:t>
      </w:r>
      <w:r w:rsidR="00F27461" w:rsidRPr="003303F8">
        <w:rPr>
          <w:i/>
          <w:sz w:val="24"/>
          <w:szCs w:val="24"/>
        </w:rPr>
        <w:t xml:space="preserve">MKTRF </w:t>
      </w:r>
      <w:r w:rsidR="00F27461" w:rsidRPr="003303F8">
        <w:rPr>
          <w:sz w:val="24"/>
          <w:szCs w:val="24"/>
        </w:rPr>
        <w:t xml:space="preserve"> [</w:t>
      </w:r>
      <w:r w:rsidR="002543C9" w:rsidRPr="003303F8">
        <w:rPr>
          <w:i/>
          <w:sz w:val="24"/>
          <w:szCs w:val="24"/>
        </w:rPr>
        <w:t>H_</w:t>
      </w:r>
      <w:r w:rsidR="00F27461" w:rsidRPr="003303F8">
        <w:rPr>
          <w:i/>
          <w:sz w:val="24"/>
          <w:szCs w:val="24"/>
        </w:rPr>
        <w:t>P_EQ</w:t>
      </w:r>
      <w:r w:rsidR="00F27461" w:rsidRPr="003303F8">
        <w:rPr>
          <w:i/>
          <w:sz w:val="24"/>
          <w:szCs w:val="24"/>
          <w:vertAlign w:val="subscript"/>
        </w:rPr>
        <w:t>similiar</w:t>
      </w:r>
      <w:r w:rsidR="00F27461" w:rsidRPr="003303F8">
        <w:rPr>
          <w:sz w:val="24"/>
          <w:szCs w:val="24"/>
        </w:rPr>
        <w:t>]</w:t>
      </w:r>
      <w:r w:rsidR="00AC560C" w:rsidRPr="003303F8">
        <w:rPr>
          <w:sz w:val="24"/>
          <w:szCs w:val="24"/>
        </w:rPr>
        <w:t xml:space="preserve"> is significantly </w:t>
      </w:r>
      <w:r w:rsidR="00567352">
        <w:rPr>
          <w:sz w:val="24"/>
          <w:szCs w:val="24"/>
        </w:rPr>
        <w:t>less</w:t>
      </w:r>
      <w:r w:rsidR="00AC560C" w:rsidRPr="003303F8">
        <w:rPr>
          <w:sz w:val="24"/>
          <w:szCs w:val="24"/>
        </w:rPr>
        <w:t xml:space="preserve"> negative than those on </w:t>
      </w:r>
      <w:r w:rsidR="002543C9" w:rsidRPr="003303F8">
        <w:rPr>
          <w:i/>
          <w:sz w:val="24"/>
          <w:szCs w:val="24"/>
        </w:rPr>
        <w:t>H_</w:t>
      </w:r>
      <w:r w:rsidR="00AC560C" w:rsidRPr="003303F8">
        <w:rPr>
          <w:i/>
          <w:sz w:val="24"/>
          <w:szCs w:val="24"/>
        </w:rPr>
        <w:t>P_EQ</w:t>
      </w:r>
      <w:r w:rsidR="00AC560C" w:rsidRPr="003303F8">
        <w:rPr>
          <w:i/>
          <w:sz w:val="24"/>
          <w:szCs w:val="24"/>
          <w:vertAlign w:val="subscript"/>
        </w:rPr>
        <w:t>influential</w:t>
      </w:r>
      <w:r w:rsidR="00F27461" w:rsidRPr="003303F8">
        <w:rPr>
          <w:i/>
          <w:sz w:val="24"/>
          <w:szCs w:val="24"/>
          <w:vertAlign w:val="subscript"/>
        </w:rPr>
        <w:t xml:space="preserve"> </w:t>
      </w:r>
      <w:r w:rsidR="00F27461" w:rsidRPr="003303F8">
        <w:rPr>
          <w:sz w:val="24"/>
          <w:szCs w:val="24"/>
        </w:rPr>
        <w:t>×</w:t>
      </w:r>
      <w:r w:rsidR="00F27461" w:rsidRPr="003303F8">
        <w:rPr>
          <w:i/>
          <w:sz w:val="24"/>
          <w:szCs w:val="24"/>
        </w:rPr>
        <w:t xml:space="preserve"> MKTRF </w:t>
      </w:r>
      <w:r w:rsidR="00F27461" w:rsidRPr="003303F8">
        <w:rPr>
          <w:sz w:val="24"/>
          <w:szCs w:val="24"/>
        </w:rPr>
        <w:t>[</w:t>
      </w:r>
      <w:r w:rsidR="002543C9" w:rsidRPr="003303F8">
        <w:rPr>
          <w:i/>
          <w:sz w:val="24"/>
          <w:szCs w:val="24"/>
        </w:rPr>
        <w:t>H_</w:t>
      </w:r>
      <w:r w:rsidR="00F27461" w:rsidRPr="003303F8">
        <w:rPr>
          <w:i/>
          <w:sz w:val="24"/>
          <w:szCs w:val="24"/>
        </w:rPr>
        <w:t>P_EQ</w:t>
      </w:r>
      <w:r w:rsidR="00F27461" w:rsidRPr="003303F8">
        <w:rPr>
          <w:i/>
          <w:sz w:val="24"/>
          <w:szCs w:val="24"/>
          <w:vertAlign w:val="subscript"/>
        </w:rPr>
        <w:t>influential</w:t>
      </w:r>
      <w:r w:rsidR="00F27461" w:rsidRPr="003303F8">
        <w:rPr>
          <w:sz w:val="24"/>
          <w:szCs w:val="24"/>
        </w:rPr>
        <w:t>] at the 5% level</w:t>
      </w:r>
      <w:r w:rsidR="00AC560C" w:rsidRPr="003303F8">
        <w:rPr>
          <w:sz w:val="24"/>
          <w:szCs w:val="24"/>
        </w:rPr>
        <w:t>, suggesting that</w:t>
      </w:r>
      <w:r w:rsidR="00567352">
        <w:rPr>
          <w:sz w:val="24"/>
          <w:szCs w:val="24"/>
        </w:rPr>
        <w:t xml:space="preserve"> influential</w:t>
      </w:r>
      <w:r w:rsidRPr="003303F8">
        <w:rPr>
          <w:sz w:val="24"/>
          <w:szCs w:val="24"/>
        </w:rPr>
        <w:t xml:space="preserve"> </w:t>
      </w:r>
      <w:r w:rsidRPr="003303F8">
        <w:rPr>
          <w:sz w:val="24"/>
          <w:szCs w:val="24"/>
        </w:rPr>
        <w:lastRenderedPageBreak/>
        <w:t xml:space="preserve">peers’ earnings quality plays a more important role in determining the cost of equity. </w:t>
      </w:r>
      <w:r w:rsidR="00DD1AD3" w:rsidRPr="003303F8">
        <w:rPr>
          <w:sz w:val="24"/>
          <w:szCs w:val="24"/>
        </w:rPr>
        <w:t>However, for the implied cost of equity test</w:t>
      </w:r>
      <w:r w:rsidR="00F27461" w:rsidRPr="003303F8">
        <w:rPr>
          <w:sz w:val="24"/>
          <w:szCs w:val="24"/>
        </w:rPr>
        <w:t xml:space="preserve">, the coefficients on </w:t>
      </w:r>
      <w:proofErr w:type="spellStart"/>
      <w:r w:rsidR="002543C9" w:rsidRPr="003303F8">
        <w:rPr>
          <w:i/>
          <w:sz w:val="24"/>
          <w:szCs w:val="24"/>
        </w:rPr>
        <w:t>H_</w:t>
      </w:r>
      <w:r w:rsidR="00F27461" w:rsidRPr="003303F8">
        <w:rPr>
          <w:i/>
          <w:sz w:val="24"/>
          <w:szCs w:val="24"/>
        </w:rPr>
        <w:t>P_EQ</w:t>
      </w:r>
      <w:r w:rsidR="00F27461" w:rsidRPr="003303F8">
        <w:rPr>
          <w:i/>
          <w:sz w:val="24"/>
          <w:szCs w:val="24"/>
          <w:vertAlign w:val="subscript"/>
        </w:rPr>
        <w:t>similiar</w:t>
      </w:r>
      <w:proofErr w:type="spellEnd"/>
      <w:r w:rsidR="002543C9" w:rsidRPr="003303F8">
        <w:rPr>
          <w:sz w:val="24"/>
          <w:szCs w:val="24"/>
        </w:rPr>
        <w:t xml:space="preserve"> </w:t>
      </w:r>
      <w:r w:rsidR="00F27461" w:rsidRPr="003303F8">
        <w:rPr>
          <w:sz w:val="24"/>
          <w:szCs w:val="24"/>
        </w:rPr>
        <w:t>(−0.005</w:t>
      </w:r>
      <w:proofErr w:type="gramStart"/>
      <w:r w:rsidR="00F27461" w:rsidRPr="003303F8">
        <w:rPr>
          <w:sz w:val="24"/>
          <w:szCs w:val="24"/>
        </w:rPr>
        <w:t>,</w:t>
      </w:r>
      <w:r w:rsidR="000538F4" w:rsidRPr="003303F8">
        <w:rPr>
          <w:i/>
          <w:sz w:val="24"/>
          <w:szCs w:val="24"/>
        </w:rPr>
        <w:t>t</w:t>
      </w:r>
      <w:proofErr w:type="gramEnd"/>
      <w:r w:rsidR="000538F4" w:rsidRPr="003303F8">
        <w:rPr>
          <w:sz w:val="24"/>
          <w:szCs w:val="24"/>
        </w:rPr>
        <w:t>-statistics=</w:t>
      </w:r>
      <w:r w:rsidR="00F27461" w:rsidRPr="003303F8">
        <w:rPr>
          <w:sz w:val="24"/>
          <w:szCs w:val="24"/>
        </w:rPr>
        <w:t>−2.54)</w:t>
      </w:r>
      <w:r w:rsidR="00D86B5F">
        <w:rPr>
          <w:sz w:val="24"/>
          <w:szCs w:val="24"/>
        </w:rPr>
        <w:t xml:space="preserve"> and </w:t>
      </w:r>
      <w:proofErr w:type="spellStart"/>
      <w:r w:rsidR="00D86B5F" w:rsidRPr="002543C9">
        <w:rPr>
          <w:i/>
          <w:sz w:val="24"/>
          <w:szCs w:val="24"/>
        </w:rPr>
        <w:t>H_</w:t>
      </w:r>
      <w:r w:rsidR="00D86B5F" w:rsidRPr="0073407F">
        <w:rPr>
          <w:i/>
          <w:sz w:val="24"/>
          <w:szCs w:val="24"/>
        </w:rPr>
        <w:t>P_EQ</w:t>
      </w:r>
      <w:r w:rsidR="00D86B5F" w:rsidRPr="0073407F">
        <w:rPr>
          <w:i/>
          <w:sz w:val="24"/>
          <w:szCs w:val="24"/>
          <w:vertAlign w:val="subscript"/>
        </w:rPr>
        <w:t>inf</w:t>
      </w:r>
      <w:r w:rsidR="00D86B5F">
        <w:rPr>
          <w:i/>
          <w:sz w:val="24"/>
          <w:szCs w:val="24"/>
          <w:vertAlign w:val="subscript"/>
        </w:rPr>
        <w:t>luential</w:t>
      </w:r>
      <w:proofErr w:type="spellEnd"/>
      <w:r w:rsidR="00D86B5F">
        <w:rPr>
          <w:i/>
          <w:sz w:val="24"/>
          <w:szCs w:val="24"/>
        </w:rPr>
        <w:t xml:space="preserve"> </w:t>
      </w:r>
      <w:r w:rsidR="00D86B5F">
        <w:rPr>
          <w:sz w:val="24"/>
          <w:szCs w:val="24"/>
        </w:rPr>
        <w:t>(−0.007,</w:t>
      </w:r>
      <w:r w:rsidR="00D86B5F" w:rsidRPr="000538F4">
        <w:rPr>
          <w:i/>
          <w:sz w:val="24"/>
          <w:szCs w:val="24"/>
        </w:rPr>
        <w:t>t</w:t>
      </w:r>
      <w:r w:rsidR="00D86B5F" w:rsidRPr="000538F4">
        <w:rPr>
          <w:sz w:val="24"/>
          <w:szCs w:val="24"/>
        </w:rPr>
        <w:t>-statistics=</w:t>
      </w:r>
      <w:r w:rsidR="00D86B5F">
        <w:rPr>
          <w:sz w:val="24"/>
          <w:szCs w:val="24"/>
        </w:rPr>
        <w:t>−3.49) are not statistically different</w:t>
      </w:r>
      <w:r w:rsidR="00D86B5F" w:rsidRPr="00F27461">
        <w:rPr>
          <w:sz w:val="24"/>
          <w:szCs w:val="24"/>
        </w:rPr>
        <w:t>.</w:t>
      </w:r>
    </w:p>
    <w:p w:rsidR="005C608C" w:rsidRPr="003303F8" w:rsidRDefault="005C608C" w:rsidP="004D0F5E">
      <w:pPr>
        <w:pStyle w:val="Heading3"/>
        <w:spacing w:before="100" w:beforeAutospacing="1" w:line="480" w:lineRule="auto"/>
        <w:rPr>
          <w:rFonts w:ascii="Times New Roman" w:hAnsi="Times New Roman" w:cs="Times New Roman"/>
          <w:b w:val="0"/>
          <w:i/>
          <w:color w:val="auto"/>
          <w:sz w:val="24"/>
          <w:szCs w:val="24"/>
        </w:rPr>
      </w:pPr>
      <w:bookmarkStart w:id="161" w:name="_Toc378087524"/>
      <w:bookmarkStart w:id="162" w:name="_Toc378087564"/>
      <w:bookmarkStart w:id="163" w:name="_Toc378088373"/>
      <w:bookmarkStart w:id="164" w:name="_Toc378088762"/>
      <w:bookmarkStart w:id="165" w:name="_Toc378088898"/>
      <w:r w:rsidRPr="003303F8">
        <w:rPr>
          <w:rFonts w:ascii="Times New Roman" w:hAnsi="Times New Roman" w:cs="Times New Roman"/>
          <w:b w:val="0"/>
          <w:i/>
          <w:color w:val="auto"/>
          <w:sz w:val="24"/>
          <w:szCs w:val="24"/>
        </w:rPr>
        <w:t>Alternative Industry Classification</w:t>
      </w:r>
      <w:bookmarkEnd w:id="161"/>
      <w:bookmarkEnd w:id="162"/>
      <w:bookmarkEnd w:id="163"/>
      <w:bookmarkEnd w:id="164"/>
      <w:bookmarkEnd w:id="165"/>
    </w:p>
    <w:p w:rsidR="005C608C" w:rsidRPr="003303F8" w:rsidRDefault="005C608C" w:rsidP="005C608C">
      <w:pPr>
        <w:widowControl/>
        <w:overflowPunct/>
        <w:autoSpaceDE/>
        <w:autoSpaceDN/>
        <w:snapToGrid w:val="0"/>
        <w:spacing w:line="480" w:lineRule="auto"/>
        <w:ind w:firstLine="720"/>
        <w:rPr>
          <w:kern w:val="0"/>
          <w:sz w:val="24"/>
          <w:szCs w:val="24"/>
        </w:rPr>
      </w:pPr>
      <w:r w:rsidRPr="003303F8">
        <w:rPr>
          <w:sz w:val="24"/>
          <w:szCs w:val="24"/>
        </w:rPr>
        <w:t xml:space="preserve">My primary industry definition is based on Fama-French 48 industry classification, because Fama-French industry classification consistently outperforms other methods in explaining firm-level return co-movement (Chan et al. 2007). </w:t>
      </w:r>
      <w:proofErr w:type="gramStart"/>
      <w:r w:rsidRPr="003303F8">
        <w:rPr>
          <w:sz w:val="24"/>
          <w:szCs w:val="24"/>
        </w:rPr>
        <w:t xml:space="preserve">This section further uses </w:t>
      </w:r>
      <w:r w:rsidR="00D86B5F">
        <w:rPr>
          <w:sz w:val="24"/>
          <w:szCs w:val="24"/>
        </w:rPr>
        <w:t>two-</w:t>
      </w:r>
      <w:r w:rsidRPr="003303F8">
        <w:rPr>
          <w:sz w:val="24"/>
          <w:szCs w:val="24"/>
        </w:rPr>
        <w:t>digit Standard Industrial Classification (SIC)</w:t>
      </w:r>
      <w:r w:rsidR="00D86B5F">
        <w:rPr>
          <w:sz w:val="24"/>
          <w:szCs w:val="24"/>
        </w:rPr>
        <w:t xml:space="preserve"> codes</w:t>
      </w:r>
      <w:r w:rsidRPr="003303F8">
        <w:rPr>
          <w:sz w:val="24"/>
          <w:szCs w:val="24"/>
        </w:rPr>
        <w:t>.</w:t>
      </w:r>
      <w:proofErr w:type="gramEnd"/>
      <w:r w:rsidRPr="003303F8">
        <w:rPr>
          <w:sz w:val="24"/>
          <w:szCs w:val="24"/>
        </w:rPr>
        <w:t xml:space="preserve"> SIC </w:t>
      </w:r>
      <w:r w:rsidR="00D86B5F">
        <w:rPr>
          <w:sz w:val="24"/>
          <w:szCs w:val="24"/>
        </w:rPr>
        <w:t>codes</w:t>
      </w:r>
      <w:r w:rsidR="00D86B5F" w:rsidRPr="003303F8">
        <w:rPr>
          <w:sz w:val="24"/>
          <w:szCs w:val="24"/>
        </w:rPr>
        <w:t xml:space="preserve"> </w:t>
      </w:r>
      <w:r w:rsidR="00D86B5F">
        <w:rPr>
          <w:sz w:val="24"/>
          <w:szCs w:val="24"/>
        </w:rPr>
        <w:t>are</w:t>
      </w:r>
      <w:r w:rsidR="00D86B5F" w:rsidRPr="003303F8">
        <w:rPr>
          <w:sz w:val="24"/>
          <w:szCs w:val="24"/>
        </w:rPr>
        <w:t xml:space="preserve"> </w:t>
      </w:r>
      <w:r w:rsidRPr="003303F8">
        <w:rPr>
          <w:sz w:val="24"/>
          <w:szCs w:val="24"/>
        </w:rPr>
        <w:t xml:space="preserve">used by US government agencies (e.g. U.S. Securities and Exchange Commission) to classify industry areas. Untabulated results </w:t>
      </w:r>
      <w:r w:rsidRPr="003303F8">
        <w:rPr>
          <w:kern w:val="0"/>
          <w:sz w:val="24"/>
          <w:szCs w:val="24"/>
        </w:rPr>
        <w:t>suggest my results are robust for all tests.</w:t>
      </w:r>
    </w:p>
    <w:p w:rsidR="00C174EA" w:rsidRPr="003303F8" w:rsidRDefault="008E4950" w:rsidP="004D0F5E">
      <w:pPr>
        <w:pStyle w:val="Heading3"/>
        <w:spacing w:before="100" w:beforeAutospacing="1" w:line="480" w:lineRule="auto"/>
        <w:rPr>
          <w:i/>
          <w:sz w:val="24"/>
          <w:szCs w:val="24"/>
        </w:rPr>
      </w:pPr>
      <w:bookmarkStart w:id="166" w:name="_Toc378087525"/>
      <w:bookmarkStart w:id="167" w:name="_Toc378087565"/>
      <w:bookmarkStart w:id="168" w:name="_Toc378088374"/>
      <w:bookmarkStart w:id="169" w:name="_Toc378088763"/>
      <w:bookmarkStart w:id="170" w:name="_Toc378088899"/>
      <w:r w:rsidRPr="003303F8">
        <w:rPr>
          <w:rFonts w:ascii="Times New Roman" w:hAnsi="Times New Roman" w:cs="Times New Roman"/>
          <w:b w:val="0"/>
          <w:i/>
          <w:color w:val="auto"/>
          <w:sz w:val="24"/>
          <w:szCs w:val="24"/>
        </w:rPr>
        <w:t>Robustness Test</w:t>
      </w:r>
      <w:r w:rsidR="00EA0CCB" w:rsidRPr="003303F8">
        <w:rPr>
          <w:rFonts w:ascii="Times New Roman" w:hAnsi="Times New Roman" w:cs="Times New Roman"/>
          <w:b w:val="0"/>
          <w:i/>
          <w:color w:val="auto"/>
          <w:sz w:val="24"/>
          <w:szCs w:val="24"/>
        </w:rPr>
        <w:t>s</w:t>
      </w:r>
      <w:bookmarkEnd w:id="166"/>
      <w:bookmarkEnd w:id="167"/>
      <w:bookmarkEnd w:id="168"/>
      <w:bookmarkEnd w:id="169"/>
      <w:bookmarkEnd w:id="170"/>
    </w:p>
    <w:p w:rsidR="00C85932" w:rsidRPr="000B20EA" w:rsidRDefault="00C1595E" w:rsidP="000B20EA">
      <w:pPr>
        <w:spacing w:line="480" w:lineRule="auto"/>
        <w:ind w:firstLine="720"/>
        <w:rPr>
          <w:sz w:val="24"/>
          <w:szCs w:val="24"/>
        </w:rPr>
      </w:pPr>
      <w:r w:rsidRPr="003303F8">
        <w:rPr>
          <w:kern w:val="0"/>
          <w:sz w:val="24"/>
          <w:szCs w:val="24"/>
        </w:rPr>
        <w:t>I examine the sensitivity of my findings to several measurement and econometrics concerns: variable specification, model specification, estimation procedure, and sample selection process. With respect to variable specification,</w:t>
      </w:r>
      <w:r w:rsidR="004044D8" w:rsidRPr="003303F8">
        <w:rPr>
          <w:kern w:val="0"/>
          <w:sz w:val="24"/>
          <w:szCs w:val="24"/>
        </w:rPr>
        <w:t xml:space="preserve"> </w:t>
      </w:r>
      <w:r w:rsidR="000A0CC2" w:rsidRPr="003303F8">
        <w:rPr>
          <w:kern w:val="0"/>
          <w:sz w:val="24"/>
          <w:szCs w:val="24"/>
        </w:rPr>
        <w:t xml:space="preserve">I </w:t>
      </w:r>
      <w:r w:rsidR="004044D8" w:rsidRPr="003303F8">
        <w:rPr>
          <w:kern w:val="0"/>
          <w:sz w:val="24"/>
          <w:szCs w:val="24"/>
        </w:rPr>
        <w:t xml:space="preserve">use alternative definitions of </w:t>
      </w:r>
      <w:r w:rsidR="004044D8" w:rsidRPr="003303F8">
        <w:rPr>
          <w:i/>
          <w:kern w:val="0"/>
          <w:sz w:val="24"/>
          <w:szCs w:val="24"/>
        </w:rPr>
        <w:t>H_P_EQ</w:t>
      </w:r>
      <w:r w:rsidR="004044D8" w:rsidRPr="003303F8">
        <w:rPr>
          <w:kern w:val="0"/>
          <w:sz w:val="24"/>
          <w:szCs w:val="24"/>
        </w:rPr>
        <w:t xml:space="preserve">. For example, </w:t>
      </w:r>
      <w:r w:rsidR="003A7D60" w:rsidRPr="003303F8">
        <w:rPr>
          <w:i/>
          <w:kern w:val="0"/>
          <w:sz w:val="24"/>
          <w:szCs w:val="24"/>
        </w:rPr>
        <w:t>H_P_EQ</w:t>
      </w:r>
      <w:r w:rsidR="003A7D60" w:rsidRPr="003303F8">
        <w:rPr>
          <w:kern w:val="0"/>
          <w:sz w:val="24"/>
          <w:szCs w:val="24"/>
        </w:rPr>
        <w:t xml:space="preserve"> is alternatively defined as the top quartile of peer firm earnings quality. </w:t>
      </w:r>
      <w:r w:rsidR="00DE4CFD" w:rsidRPr="003303F8">
        <w:rPr>
          <w:kern w:val="0"/>
          <w:sz w:val="24"/>
          <w:szCs w:val="24"/>
        </w:rPr>
        <w:t xml:space="preserve">I find similar results for the implied cost of equity test and the market risk factor test. </w:t>
      </w:r>
      <w:r w:rsidR="003A7D60" w:rsidRPr="003303F8">
        <w:rPr>
          <w:kern w:val="0"/>
          <w:sz w:val="24"/>
          <w:szCs w:val="24"/>
        </w:rPr>
        <w:t xml:space="preserve">Also, </w:t>
      </w:r>
      <w:r w:rsidRPr="003303F8">
        <w:rPr>
          <w:kern w:val="0"/>
          <w:sz w:val="24"/>
          <w:szCs w:val="24"/>
        </w:rPr>
        <w:t xml:space="preserve">I use the market-value-weighted average of peer firms’ earnings quality. </w:t>
      </w:r>
      <w:r w:rsidR="003A7D60" w:rsidRPr="003303F8">
        <w:rPr>
          <w:kern w:val="0"/>
          <w:sz w:val="24"/>
          <w:szCs w:val="24"/>
        </w:rPr>
        <w:t xml:space="preserve">Further, </w:t>
      </w:r>
      <w:r w:rsidRPr="003303F8">
        <w:rPr>
          <w:kern w:val="0"/>
          <w:sz w:val="24"/>
          <w:szCs w:val="24"/>
        </w:rPr>
        <w:t>I employ several other alternative earnings quality measure specifications (see the appendix</w:t>
      </w:r>
      <w:r w:rsidR="00631AD4" w:rsidRPr="003303F8">
        <w:rPr>
          <w:kern w:val="0"/>
          <w:sz w:val="24"/>
          <w:szCs w:val="24"/>
        </w:rPr>
        <w:t xml:space="preserve"> II</w:t>
      </w:r>
      <w:r w:rsidRPr="003303F8">
        <w:rPr>
          <w:kern w:val="0"/>
          <w:sz w:val="24"/>
          <w:szCs w:val="24"/>
        </w:rPr>
        <w:t>).</w:t>
      </w:r>
      <w:r w:rsidR="00206767" w:rsidRPr="003303F8">
        <w:rPr>
          <w:rStyle w:val="FootnoteReference"/>
          <w:kern w:val="0"/>
          <w:sz w:val="24"/>
          <w:szCs w:val="24"/>
        </w:rPr>
        <w:footnoteReference w:id="43"/>
      </w:r>
      <w:r w:rsidRPr="003303F8">
        <w:rPr>
          <w:kern w:val="0"/>
          <w:sz w:val="24"/>
          <w:szCs w:val="24"/>
        </w:rPr>
        <w:t xml:space="preserve"> </w:t>
      </w:r>
      <w:r w:rsidR="00DE4CFD" w:rsidRPr="003303F8">
        <w:rPr>
          <w:kern w:val="0"/>
          <w:sz w:val="24"/>
          <w:szCs w:val="24"/>
        </w:rPr>
        <w:t xml:space="preserve">In addition, I also use </w:t>
      </w:r>
      <w:r w:rsidR="00C85932" w:rsidRPr="003303F8">
        <w:rPr>
          <w:kern w:val="0"/>
          <w:sz w:val="24"/>
          <w:szCs w:val="24"/>
        </w:rPr>
        <w:t>two</w:t>
      </w:r>
      <w:r w:rsidR="00DE4CFD" w:rsidRPr="003303F8">
        <w:rPr>
          <w:kern w:val="0"/>
          <w:sz w:val="24"/>
          <w:szCs w:val="24"/>
        </w:rPr>
        <w:t xml:space="preserve"> additional </w:t>
      </w:r>
      <w:r w:rsidR="00DE4CFD" w:rsidRPr="003303F8">
        <w:rPr>
          <w:sz w:val="24"/>
          <w:szCs w:val="24"/>
        </w:rPr>
        <w:t>measure</w:t>
      </w:r>
      <w:r w:rsidR="00C85932" w:rsidRPr="003303F8">
        <w:rPr>
          <w:sz w:val="24"/>
          <w:szCs w:val="24"/>
        </w:rPr>
        <w:t>s</w:t>
      </w:r>
      <w:r w:rsidR="00DE4CFD" w:rsidRPr="003303F8">
        <w:rPr>
          <w:kern w:val="0"/>
          <w:sz w:val="24"/>
          <w:szCs w:val="24"/>
        </w:rPr>
        <w:t xml:space="preserve"> of</w:t>
      </w:r>
      <w:r w:rsidR="00DE4CFD" w:rsidRPr="003303F8">
        <w:rPr>
          <w:sz w:val="24"/>
          <w:szCs w:val="24"/>
        </w:rPr>
        <w:t xml:space="preserve"> earnings predictability</w:t>
      </w:r>
      <w:r w:rsidR="00C85932" w:rsidRPr="003303F8">
        <w:rPr>
          <w:sz w:val="24"/>
          <w:szCs w:val="24"/>
        </w:rPr>
        <w:t xml:space="preserve"> (e.g., Dichev, and Tang, 2009): 1) </w:t>
      </w:r>
      <w:r w:rsidR="00C85932" w:rsidRPr="003303F8">
        <w:rPr>
          <w:i/>
          <w:sz w:val="24"/>
          <w:szCs w:val="24"/>
        </w:rPr>
        <w:lastRenderedPageBreak/>
        <w:t>EarnPred</w:t>
      </w:r>
      <w:r w:rsidR="00C85932" w:rsidRPr="003303F8">
        <w:rPr>
          <w:sz w:val="24"/>
          <w:szCs w:val="24"/>
        </w:rPr>
        <w:t xml:space="preserve"> which </w:t>
      </w:r>
      <w:r w:rsidR="00DE4CFD" w:rsidRPr="003303F8">
        <w:rPr>
          <w:sz w:val="24"/>
          <w:szCs w:val="24"/>
        </w:rPr>
        <w:t>is the negative of the 10-year standard deviation residuals from a model which regress the current year’s earnings onto prior year’s earning</w:t>
      </w:r>
      <w:r w:rsidR="000B20EA">
        <w:rPr>
          <w:sz w:val="24"/>
          <w:szCs w:val="24"/>
        </w:rPr>
        <w:t>s</w:t>
      </w:r>
      <w:r w:rsidR="00C85932" w:rsidRPr="003303F8">
        <w:rPr>
          <w:sz w:val="24"/>
          <w:szCs w:val="24"/>
        </w:rPr>
        <w:t>;</w:t>
      </w:r>
      <w:r w:rsidR="00C85932" w:rsidRPr="003303F8">
        <w:rPr>
          <w:rStyle w:val="FootnoteReference"/>
          <w:sz w:val="24"/>
          <w:szCs w:val="24"/>
        </w:rPr>
        <w:footnoteReference w:id="44"/>
      </w:r>
      <w:r w:rsidR="002543C9" w:rsidRPr="003303F8">
        <w:rPr>
          <w:sz w:val="24"/>
          <w:szCs w:val="24"/>
        </w:rPr>
        <w:t xml:space="preserve"> </w:t>
      </w:r>
      <w:r w:rsidR="00C85932" w:rsidRPr="003303F8">
        <w:rPr>
          <w:sz w:val="24"/>
          <w:szCs w:val="24"/>
        </w:rPr>
        <w:t xml:space="preserve">2) </w:t>
      </w:r>
      <w:proofErr w:type="spellStart"/>
      <w:r w:rsidR="00C85932" w:rsidRPr="003303F8">
        <w:rPr>
          <w:i/>
          <w:sz w:val="24"/>
          <w:szCs w:val="24"/>
        </w:rPr>
        <w:t>AFDisp</w:t>
      </w:r>
      <w:proofErr w:type="spellEnd"/>
      <w:r w:rsidR="00C85932" w:rsidRPr="003303F8">
        <w:rPr>
          <w:sz w:val="24"/>
          <w:szCs w:val="24"/>
        </w:rPr>
        <w:t>, which is</w:t>
      </w:r>
      <w:r w:rsidR="00DE4CFD" w:rsidRPr="003303F8">
        <w:rPr>
          <w:sz w:val="24"/>
          <w:szCs w:val="24"/>
        </w:rPr>
        <w:t xml:space="preserve"> the negative of the standard deviation of analyst earnings forecast </w:t>
      </w:r>
      <w:r w:rsidR="00C85932" w:rsidRPr="003303F8">
        <w:rPr>
          <w:sz w:val="24"/>
          <w:szCs w:val="24"/>
        </w:rPr>
        <w:t>scaled by stock price</w:t>
      </w:r>
      <w:r w:rsidR="00DE4CFD" w:rsidRPr="003303F8">
        <w:rPr>
          <w:sz w:val="24"/>
          <w:szCs w:val="24"/>
        </w:rPr>
        <w:t>.</w:t>
      </w:r>
      <w:r w:rsidR="00DE4CFD" w:rsidRPr="003303F8">
        <w:rPr>
          <w:rStyle w:val="FootnoteReference"/>
          <w:sz w:val="24"/>
          <w:szCs w:val="24"/>
        </w:rPr>
        <w:footnoteReference w:id="45"/>
      </w:r>
      <w:r w:rsidR="00DE4CFD" w:rsidRPr="003303F8">
        <w:rPr>
          <w:sz w:val="24"/>
          <w:szCs w:val="24"/>
        </w:rPr>
        <w:t xml:space="preserve"> </w:t>
      </w:r>
      <w:r w:rsidR="00C85932" w:rsidRPr="003303F8">
        <w:rPr>
          <w:sz w:val="24"/>
          <w:szCs w:val="24"/>
        </w:rPr>
        <w:t xml:space="preserve">Results suggest the results are generally robust to using </w:t>
      </w:r>
      <w:r w:rsidR="00C85932" w:rsidRPr="003303F8">
        <w:rPr>
          <w:i/>
          <w:sz w:val="24"/>
          <w:szCs w:val="24"/>
        </w:rPr>
        <w:t>AFDisp</w:t>
      </w:r>
      <w:r w:rsidR="00C85932" w:rsidRPr="003303F8">
        <w:rPr>
          <w:sz w:val="24"/>
          <w:szCs w:val="24"/>
        </w:rPr>
        <w:t xml:space="preserve"> as an alternative measure. </w:t>
      </w:r>
      <w:r w:rsidR="00D86B5F">
        <w:rPr>
          <w:sz w:val="24"/>
          <w:szCs w:val="24"/>
        </w:rPr>
        <w:t>F</w:t>
      </w:r>
      <w:r w:rsidR="00C85932" w:rsidRPr="003303F8">
        <w:rPr>
          <w:sz w:val="24"/>
          <w:szCs w:val="24"/>
        </w:rPr>
        <w:t>or tests using</w:t>
      </w:r>
      <w:r w:rsidR="00C85932" w:rsidRPr="003303F8">
        <w:rPr>
          <w:i/>
          <w:sz w:val="24"/>
          <w:szCs w:val="24"/>
        </w:rPr>
        <w:t xml:space="preserve"> </w:t>
      </w:r>
      <w:proofErr w:type="spellStart"/>
      <w:r w:rsidR="00C85932" w:rsidRPr="003303F8">
        <w:rPr>
          <w:i/>
          <w:sz w:val="24"/>
          <w:szCs w:val="24"/>
        </w:rPr>
        <w:t>EarnPred</w:t>
      </w:r>
      <w:proofErr w:type="spellEnd"/>
      <w:r w:rsidR="00C85932" w:rsidRPr="003303F8">
        <w:rPr>
          <w:i/>
          <w:sz w:val="24"/>
          <w:szCs w:val="24"/>
        </w:rPr>
        <w:t xml:space="preserve"> </w:t>
      </w:r>
      <w:r w:rsidR="00C85932" w:rsidRPr="003303F8">
        <w:rPr>
          <w:sz w:val="24"/>
          <w:szCs w:val="24"/>
        </w:rPr>
        <w:t xml:space="preserve">as the alternative measure, results are only significant for the implied cost of equity tests. </w:t>
      </w:r>
      <w:r w:rsidRPr="003303F8">
        <w:rPr>
          <w:kern w:val="0"/>
          <w:sz w:val="24"/>
          <w:szCs w:val="24"/>
        </w:rPr>
        <w:t>With respect to estimation procedure</w:t>
      </w:r>
      <w:r w:rsidR="00E75CF9" w:rsidRPr="003303F8">
        <w:rPr>
          <w:kern w:val="0"/>
          <w:sz w:val="24"/>
          <w:szCs w:val="24"/>
        </w:rPr>
        <w:t xml:space="preserve"> and model specification</w:t>
      </w:r>
      <w:r w:rsidRPr="003303F8">
        <w:rPr>
          <w:kern w:val="0"/>
          <w:sz w:val="24"/>
          <w:szCs w:val="24"/>
        </w:rPr>
        <w:t xml:space="preserve">, I repeat my tests by using standard errors </w:t>
      </w:r>
      <w:r w:rsidR="000F0E7D" w:rsidRPr="003303F8">
        <w:rPr>
          <w:kern w:val="0"/>
          <w:sz w:val="24"/>
          <w:szCs w:val="24"/>
        </w:rPr>
        <w:t xml:space="preserve">clustered </w:t>
      </w:r>
      <w:r w:rsidRPr="003303F8">
        <w:rPr>
          <w:kern w:val="0"/>
          <w:sz w:val="24"/>
          <w:szCs w:val="24"/>
        </w:rPr>
        <w:t xml:space="preserve">by </w:t>
      </w:r>
      <w:r w:rsidR="002543C9" w:rsidRPr="003303F8">
        <w:rPr>
          <w:kern w:val="0"/>
          <w:sz w:val="24"/>
          <w:szCs w:val="24"/>
        </w:rPr>
        <w:t>firm</w:t>
      </w:r>
      <w:r w:rsidR="000F0E7D" w:rsidRPr="003303F8">
        <w:rPr>
          <w:kern w:val="0"/>
          <w:sz w:val="24"/>
          <w:szCs w:val="24"/>
        </w:rPr>
        <w:t xml:space="preserve"> </w:t>
      </w:r>
      <w:r w:rsidRPr="003303F8">
        <w:rPr>
          <w:kern w:val="0"/>
          <w:sz w:val="24"/>
          <w:szCs w:val="24"/>
        </w:rPr>
        <w:t xml:space="preserve">and year. My results remain qualitatively similar. </w:t>
      </w:r>
      <w:r w:rsidR="00206767" w:rsidRPr="003303F8">
        <w:rPr>
          <w:kern w:val="0"/>
          <w:sz w:val="24"/>
          <w:szCs w:val="24"/>
        </w:rPr>
        <w:t xml:space="preserve">Further, </w:t>
      </w:r>
      <w:r w:rsidR="006B2B54" w:rsidRPr="003303F8">
        <w:rPr>
          <w:kern w:val="0"/>
          <w:sz w:val="24"/>
          <w:szCs w:val="24"/>
        </w:rPr>
        <w:t>I control for several additional variables: the number of firms in the industry (</w:t>
      </w:r>
      <w:r w:rsidR="006B2B54" w:rsidRPr="003303F8">
        <w:rPr>
          <w:i/>
          <w:kern w:val="0"/>
          <w:sz w:val="24"/>
          <w:szCs w:val="24"/>
        </w:rPr>
        <w:t>#Peer</w:t>
      </w:r>
      <w:r w:rsidR="006B2B54" w:rsidRPr="003303F8">
        <w:rPr>
          <w:kern w:val="0"/>
          <w:sz w:val="24"/>
          <w:szCs w:val="24"/>
        </w:rPr>
        <w:t>)</w:t>
      </w:r>
      <w:r w:rsidR="006B2B54" w:rsidRPr="003303F8">
        <w:rPr>
          <w:sz w:val="24"/>
          <w:szCs w:val="24"/>
        </w:rPr>
        <w:t xml:space="preserve">, the average </w:t>
      </w:r>
      <w:r w:rsidR="006B2B54" w:rsidRPr="003303F8">
        <w:rPr>
          <w:i/>
          <w:sz w:val="24"/>
          <w:szCs w:val="24"/>
        </w:rPr>
        <w:t>LnMV</w:t>
      </w:r>
      <w:r w:rsidR="006B2B54" w:rsidRPr="003303F8">
        <w:rPr>
          <w:sz w:val="24"/>
          <w:szCs w:val="24"/>
        </w:rPr>
        <w:t xml:space="preserve"> for all other firms in the industry (</w:t>
      </w:r>
      <w:r w:rsidR="006B2B54" w:rsidRPr="003303F8">
        <w:rPr>
          <w:i/>
          <w:sz w:val="24"/>
          <w:szCs w:val="24"/>
        </w:rPr>
        <w:t>P_LnMV</w:t>
      </w:r>
      <w:r w:rsidR="006B2B54" w:rsidRPr="003303F8">
        <w:rPr>
          <w:sz w:val="24"/>
          <w:szCs w:val="24"/>
        </w:rPr>
        <w:t>)</w:t>
      </w:r>
      <w:r w:rsidR="006B2B54" w:rsidRPr="003303F8">
        <w:rPr>
          <w:i/>
          <w:sz w:val="24"/>
          <w:szCs w:val="24"/>
        </w:rPr>
        <w:t>,</w:t>
      </w:r>
      <w:r w:rsidR="006B2B54" w:rsidRPr="003303F8">
        <w:rPr>
          <w:sz w:val="24"/>
          <w:szCs w:val="24"/>
        </w:rPr>
        <w:t xml:space="preserve"> the average </w:t>
      </w:r>
      <w:r w:rsidR="006B2B54" w:rsidRPr="003303F8">
        <w:rPr>
          <w:i/>
          <w:sz w:val="24"/>
          <w:szCs w:val="24"/>
        </w:rPr>
        <w:t>BM</w:t>
      </w:r>
      <w:r w:rsidR="006B2B54" w:rsidRPr="003303F8">
        <w:rPr>
          <w:sz w:val="24"/>
          <w:szCs w:val="24"/>
        </w:rPr>
        <w:t xml:space="preserve"> for all other firms in the industry (</w:t>
      </w:r>
      <w:r w:rsidR="006B2B54" w:rsidRPr="003303F8">
        <w:rPr>
          <w:i/>
          <w:sz w:val="24"/>
          <w:szCs w:val="24"/>
        </w:rPr>
        <w:t>P_BM),</w:t>
      </w:r>
      <w:r w:rsidR="006B2B54" w:rsidRPr="003303F8">
        <w:rPr>
          <w:sz w:val="24"/>
          <w:szCs w:val="24"/>
        </w:rPr>
        <w:t xml:space="preserve"> the average </w:t>
      </w:r>
      <w:r w:rsidR="006B2B54" w:rsidRPr="003303F8">
        <w:rPr>
          <w:i/>
          <w:sz w:val="24"/>
          <w:szCs w:val="24"/>
        </w:rPr>
        <w:t xml:space="preserve">STDCFO </w:t>
      </w:r>
      <w:r w:rsidR="006B2B54" w:rsidRPr="003303F8">
        <w:rPr>
          <w:sz w:val="24"/>
          <w:szCs w:val="24"/>
        </w:rPr>
        <w:t>for all other firms in the industry (</w:t>
      </w:r>
      <w:r w:rsidR="006B2B54" w:rsidRPr="003303F8">
        <w:rPr>
          <w:i/>
          <w:sz w:val="24"/>
          <w:szCs w:val="24"/>
        </w:rPr>
        <w:t>P_STDCFO),</w:t>
      </w:r>
      <w:r w:rsidR="006B2B54" w:rsidRPr="003303F8">
        <w:rPr>
          <w:sz w:val="24"/>
          <w:szCs w:val="24"/>
        </w:rPr>
        <w:t xml:space="preserve"> the average </w:t>
      </w:r>
      <w:r w:rsidR="006B2B54" w:rsidRPr="003303F8">
        <w:rPr>
          <w:i/>
          <w:sz w:val="24"/>
          <w:szCs w:val="24"/>
        </w:rPr>
        <w:t xml:space="preserve">LEV </w:t>
      </w:r>
      <w:r w:rsidR="006B2B54" w:rsidRPr="003303F8">
        <w:rPr>
          <w:sz w:val="24"/>
          <w:szCs w:val="24"/>
        </w:rPr>
        <w:t>for all other firms in the industry (</w:t>
      </w:r>
      <w:r w:rsidR="006B2B54" w:rsidRPr="003303F8">
        <w:rPr>
          <w:i/>
          <w:sz w:val="24"/>
          <w:szCs w:val="24"/>
        </w:rPr>
        <w:t>P_LEV),</w:t>
      </w:r>
      <w:r w:rsidR="006A0A6D">
        <w:rPr>
          <w:sz w:val="24"/>
          <w:szCs w:val="24"/>
        </w:rPr>
        <w:t xml:space="preserve"> and </w:t>
      </w:r>
      <w:r w:rsidR="006B2B54" w:rsidRPr="003303F8">
        <w:rPr>
          <w:sz w:val="24"/>
          <w:szCs w:val="24"/>
        </w:rPr>
        <w:t xml:space="preserve">the average </w:t>
      </w:r>
      <w:r w:rsidR="006B2B54" w:rsidRPr="003303F8">
        <w:rPr>
          <w:i/>
          <w:sz w:val="24"/>
          <w:szCs w:val="24"/>
        </w:rPr>
        <w:t xml:space="preserve">CFO </w:t>
      </w:r>
      <w:r w:rsidR="006B2B54" w:rsidRPr="003303F8">
        <w:rPr>
          <w:sz w:val="24"/>
          <w:szCs w:val="24"/>
        </w:rPr>
        <w:t>for all other firms in the industry (</w:t>
      </w:r>
      <w:r w:rsidR="006B2B54" w:rsidRPr="003303F8">
        <w:rPr>
          <w:i/>
          <w:sz w:val="24"/>
          <w:szCs w:val="24"/>
        </w:rPr>
        <w:t>P_CFO)</w:t>
      </w:r>
      <w:r w:rsidR="006B2B54" w:rsidRPr="003303F8">
        <w:rPr>
          <w:rFonts w:eastAsia="Times New Roman"/>
          <w:i/>
          <w:kern w:val="0"/>
          <w:sz w:val="24"/>
          <w:szCs w:val="24"/>
          <w:lang w:eastAsia="en-US"/>
        </w:rPr>
        <w:t>.</w:t>
      </w:r>
      <w:r w:rsidR="006B2B54" w:rsidRPr="003303F8">
        <w:rPr>
          <w:rFonts w:eastAsia="Times New Roman"/>
          <w:kern w:val="0"/>
          <w:sz w:val="24"/>
          <w:szCs w:val="24"/>
          <w:lang w:eastAsia="en-US"/>
        </w:rPr>
        <w:t xml:space="preserve"> Untabualted results suggest results are not sensitive to these additional control variables for the implied cost of equity tests and market risk factor tests.</w:t>
      </w:r>
      <w:r w:rsidR="006B2B54" w:rsidRPr="003303F8">
        <w:rPr>
          <w:rStyle w:val="FootnoteReference"/>
          <w:rFonts w:eastAsia="Times New Roman"/>
          <w:kern w:val="0"/>
          <w:sz w:val="24"/>
          <w:szCs w:val="24"/>
          <w:lang w:eastAsia="en-US"/>
        </w:rPr>
        <w:footnoteReference w:id="46"/>
      </w:r>
      <w:r w:rsidR="006B2B54" w:rsidRPr="003303F8">
        <w:rPr>
          <w:rFonts w:eastAsia="Times New Roman"/>
          <w:kern w:val="0"/>
          <w:sz w:val="24"/>
          <w:szCs w:val="24"/>
          <w:lang w:eastAsia="en-US"/>
        </w:rPr>
        <w:t xml:space="preserve"> </w:t>
      </w:r>
      <w:r w:rsidRPr="003303F8">
        <w:rPr>
          <w:kern w:val="0"/>
          <w:sz w:val="24"/>
          <w:szCs w:val="24"/>
        </w:rPr>
        <w:t xml:space="preserve">Finally, I add </w:t>
      </w:r>
      <w:r w:rsidR="002543C9" w:rsidRPr="003303F8">
        <w:rPr>
          <w:kern w:val="0"/>
          <w:sz w:val="24"/>
          <w:szCs w:val="24"/>
        </w:rPr>
        <w:t>three</w:t>
      </w:r>
      <w:r w:rsidR="00F16D67" w:rsidRPr="003303F8">
        <w:rPr>
          <w:kern w:val="0"/>
          <w:sz w:val="24"/>
          <w:szCs w:val="24"/>
        </w:rPr>
        <w:t xml:space="preserve"> </w:t>
      </w:r>
      <w:r w:rsidRPr="003303F8">
        <w:rPr>
          <w:kern w:val="0"/>
          <w:sz w:val="24"/>
          <w:szCs w:val="24"/>
        </w:rPr>
        <w:t xml:space="preserve">additional sample selection requirements: 1) I truncate the sample at the top and bottom </w:t>
      </w:r>
      <w:r w:rsidR="00206767" w:rsidRPr="003303F8">
        <w:rPr>
          <w:kern w:val="0"/>
          <w:sz w:val="24"/>
          <w:szCs w:val="24"/>
        </w:rPr>
        <w:t>1</w:t>
      </w:r>
      <w:r w:rsidRPr="003303F8">
        <w:rPr>
          <w:kern w:val="0"/>
          <w:sz w:val="24"/>
          <w:szCs w:val="24"/>
        </w:rPr>
        <w:t xml:space="preserve">% levels for all continuous firm-level variables; 2) I delete observations in three industries (i.e., </w:t>
      </w:r>
      <w:r w:rsidR="00206767" w:rsidRPr="003303F8">
        <w:rPr>
          <w:kern w:val="0"/>
          <w:sz w:val="24"/>
          <w:szCs w:val="24"/>
        </w:rPr>
        <w:t xml:space="preserve">Financial </w:t>
      </w:r>
      <w:r w:rsidRPr="003303F8">
        <w:rPr>
          <w:kern w:val="0"/>
          <w:sz w:val="24"/>
          <w:szCs w:val="24"/>
        </w:rPr>
        <w:t>Banking</w:t>
      </w:r>
      <w:r w:rsidR="00206767" w:rsidRPr="003303F8">
        <w:rPr>
          <w:kern w:val="0"/>
          <w:sz w:val="24"/>
          <w:szCs w:val="24"/>
        </w:rPr>
        <w:t>,</w:t>
      </w:r>
      <w:r w:rsidRPr="003303F8">
        <w:rPr>
          <w:kern w:val="0"/>
          <w:sz w:val="24"/>
          <w:szCs w:val="24"/>
        </w:rPr>
        <w:t xml:space="preserve"> Insurance</w:t>
      </w:r>
      <w:r w:rsidR="00206767" w:rsidRPr="003303F8">
        <w:rPr>
          <w:kern w:val="0"/>
          <w:sz w:val="24"/>
          <w:szCs w:val="24"/>
        </w:rPr>
        <w:t>, and Investment Banking</w:t>
      </w:r>
      <w:r w:rsidRPr="003303F8">
        <w:rPr>
          <w:kern w:val="0"/>
          <w:sz w:val="24"/>
          <w:szCs w:val="24"/>
        </w:rPr>
        <w:t>); 3) I delete observations in 2002 and 2008 when the s</w:t>
      </w:r>
      <w:r w:rsidR="00506865" w:rsidRPr="003303F8">
        <w:rPr>
          <w:kern w:val="0"/>
          <w:sz w:val="24"/>
          <w:szCs w:val="24"/>
        </w:rPr>
        <w:t xml:space="preserve">tock market declines severely. </w:t>
      </w:r>
      <w:r w:rsidRPr="003303F8">
        <w:rPr>
          <w:kern w:val="0"/>
          <w:sz w:val="24"/>
          <w:szCs w:val="24"/>
        </w:rPr>
        <w:t xml:space="preserve">My </w:t>
      </w:r>
      <w:r w:rsidR="00DE4CFD" w:rsidRPr="003303F8">
        <w:rPr>
          <w:kern w:val="0"/>
          <w:sz w:val="24"/>
          <w:szCs w:val="24"/>
        </w:rPr>
        <w:t xml:space="preserve">primary </w:t>
      </w:r>
      <w:r w:rsidRPr="003303F8">
        <w:rPr>
          <w:kern w:val="0"/>
          <w:sz w:val="24"/>
          <w:szCs w:val="24"/>
        </w:rPr>
        <w:t xml:space="preserve">results are </w:t>
      </w:r>
      <w:r w:rsidR="00DE4CFD" w:rsidRPr="003303F8">
        <w:rPr>
          <w:kern w:val="0"/>
          <w:sz w:val="24"/>
          <w:szCs w:val="24"/>
        </w:rPr>
        <w:t xml:space="preserve">generally </w:t>
      </w:r>
      <w:r w:rsidR="000848D0" w:rsidRPr="003303F8">
        <w:rPr>
          <w:kern w:val="0"/>
          <w:sz w:val="24"/>
          <w:szCs w:val="24"/>
        </w:rPr>
        <w:t>robust</w:t>
      </w:r>
      <w:r w:rsidRPr="003303F8">
        <w:rPr>
          <w:kern w:val="0"/>
          <w:sz w:val="24"/>
          <w:szCs w:val="24"/>
        </w:rPr>
        <w:t xml:space="preserve"> to these sample selection requirements. </w:t>
      </w:r>
      <w:r w:rsidR="00C85932" w:rsidRPr="003303F8">
        <w:rPr>
          <w:sz w:val="24"/>
          <w:szCs w:val="24"/>
        </w:rPr>
        <w:br w:type="page"/>
      </w:r>
    </w:p>
    <w:p w:rsidR="00C174EA" w:rsidRPr="003303F8" w:rsidRDefault="00B45E58" w:rsidP="00931FD3">
      <w:pPr>
        <w:pStyle w:val="Heading1"/>
        <w:spacing w:line="480" w:lineRule="auto"/>
        <w:rPr>
          <w:szCs w:val="24"/>
        </w:rPr>
      </w:pPr>
      <w:bookmarkStart w:id="171" w:name="_Toc378087526"/>
      <w:bookmarkStart w:id="172" w:name="_Toc378087566"/>
      <w:bookmarkStart w:id="173" w:name="_Toc378088375"/>
      <w:bookmarkStart w:id="174" w:name="_Toc378088764"/>
      <w:bookmarkStart w:id="175" w:name="_Toc378088900"/>
      <w:r w:rsidRPr="003303F8">
        <w:rPr>
          <w:szCs w:val="24"/>
        </w:rPr>
        <w:lastRenderedPageBreak/>
        <w:t>CHAPTER VI</w:t>
      </w:r>
      <w:r w:rsidR="00C174EA" w:rsidRPr="003303F8">
        <w:rPr>
          <w:szCs w:val="24"/>
        </w:rPr>
        <w:t xml:space="preserve">. </w:t>
      </w:r>
      <w:r w:rsidR="003B29E2" w:rsidRPr="003303F8">
        <w:rPr>
          <w:szCs w:val="24"/>
        </w:rPr>
        <w:t>CONCLUSIONS</w:t>
      </w:r>
      <w:bookmarkEnd w:id="171"/>
      <w:bookmarkEnd w:id="172"/>
      <w:bookmarkEnd w:id="173"/>
      <w:bookmarkEnd w:id="174"/>
      <w:bookmarkEnd w:id="175"/>
    </w:p>
    <w:p w:rsidR="00A12755" w:rsidRPr="003303F8" w:rsidRDefault="00A12755" w:rsidP="00E07762">
      <w:pPr>
        <w:spacing w:line="480" w:lineRule="auto"/>
        <w:ind w:firstLine="720"/>
        <w:rPr>
          <w:kern w:val="0"/>
          <w:sz w:val="24"/>
          <w:szCs w:val="24"/>
        </w:rPr>
      </w:pPr>
      <w:r w:rsidRPr="003303F8">
        <w:rPr>
          <w:kern w:val="0"/>
          <w:sz w:val="24"/>
          <w:szCs w:val="24"/>
        </w:rPr>
        <w:t>First, using Lambert, Leuz, and Verrecchia (2007) as a theoretical basis, I predict and provide evidence on a negative association between a firm’s cost of equity and industry peer firms’ earnings quality. Second,</w:t>
      </w:r>
      <w:r w:rsidR="00DB344C" w:rsidRPr="003303F8">
        <w:rPr>
          <w:kern w:val="0"/>
          <w:sz w:val="24"/>
          <w:szCs w:val="24"/>
        </w:rPr>
        <w:t xml:space="preserve"> I find that industry peers’ higher earnings quality reduces the firm’s cost of equity at an increasing marginal rate</w:t>
      </w:r>
      <w:r w:rsidRPr="003303F8">
        <w:rPr>
          <w:kern w:val="0"/>
          <w:sz w:val="24"/>
          <w:szCs w:val="24"/>
        </w:rPr>
        <w:t xml:space="preserve">. </w:t>
      </w:r>
      <w:r w:rsidR="0027458C" w:rsidRPr="003303F8">
        <w:rPr>
          <w:kern w:val="0"/>
          <w:sz w:val="24"/>
          <w:szCs w:val="24"/>
        </w:rPr>
        <w:t>Third, the cost of equity effect of industry peer firm earnings quality is mitigated by multinational operations</w:t>
      </w:r>
      <w:r w:rsidR="00DB344C" w:rsidRPr="003303F8">
        <w:rPr>
          <w:kern w:val="0"/>
          <w:sz w:val="24"/>
          <w:szCs w:val="24"/>
        </w:rPr>
        <w:t xml:space="preserve"> and</w:t>
      </w:r>
      <w:r w:rsidR="0027458C" w:rsidRPr="003303F8">
        <w:rPr>
          <w:kern w:val="0"/>
          <w:sz w:val="24"/>
          <w:szCs w:val="24"/>
        </w:rPr>
        <w:t xml:space="preserve"> higher profitability (relative to industry peers</w:t>
      </w:r>
      <w:r w:rsidR="00DB344C" w:rsidRPr="003303F8">
        <w:rPr>
          <w:kern w:val="0"/>
          <w:sz w:val="24"/>
          <w:szCs w:val="24"/>
        </w:rPr>
        <w:t>)</w:t>
      </w:r>
      <w:r w:rsidR="0027458C" w:rsidRPr="003303F8">
        <w:rPr>
          <w:kern w:val="0"/>
          <w:sz w:val="24"/>
          <w:szCs w:val="24"/>
        </w:rPr>
        <w:t xml:space="preserve">. </w:t>
      </w:r>
      <w:r w:rsidRPr="003303F8">
        <w:rPr>
          <w:kern w:val="0"/>
          <w:sz w:val="24"/>
          <w:szCs w:val="24"/>
        </w:rPr>
        <w:t xml:space="preserve">These findings are consistent with the theory that </w:t>
      </w:r>
      <w:r w:rsidR="001A36BD" w:rsidRPr="003303F8">
        <w:rPr>
          <w:kern w:val="0"/>
          <w:sz w:val="24"/>
          <w:szCs w:val="24"/>
        </w:rPr>
        <w:t xml:space="preserve">industry </w:t>
      </w:r>
      <w:r w:rsidRPr="003303F8">
        <w:rPr>
          <w:kern w:val="0"/>
          <w:sz w:val="24"/>
          <w:szCs w:val="24"/>
        </w:rPr>
        <w:t>peer firms’ earnings quality change</w:t>
      </w:r>
      <w:r w:rsidR="00C270F3" w:rsidRPr="003303F8">
        <w:rPr>
          <w:kern w:val="0"/>
          <w:sz w:val="24"/>
          <w:szCs w:val="24"/>
        </w:rPr>
        <w:t>s</w:t>
      </w:r>
      <w:r w:rsidRPr="003303F8">
        <w:rPr>
          <w:kern w:val="0"/>
          <w:sz w:val="24"/>
          <w:szCs w:val="24"/>
        </w:rPr>
        <w:t xml:space="preserve"> the cost of equity by affecting investors’ </w:t>
      </w:r>
      <w:r w:rsidR="00657EAE" w:rsidRPr="003303F8">
        <w:rPr>
          <w:kern w:val="0"/>
          <w:sz w:val="24"/>
          <w:szCs w:val="24"/>
        </w:rPr>
        <w:t>assessed</w:t>
      </w:r>
      <w:r w:rsidRPr="003303F8">
        <w:rPr>
          <w:kern w:val="0"/>
          <w:sz w:val="24"/>
          <w:szCs w:val="24"/>
        </w:rPr>
        <w:t xml:space="preserve"> covariance of the firm’s cash flows with that of other firms. </w:t>
      </w:r>
    </w:p>
    <w:p w:rsidR="00C174EA" w:rsidRPr="00576667" w:rsidRDefault="00C174EA" w:rsidP="00B7351F">
      <w:pPr>
        <w:spacing w:line="480" w:lineRule="auto"/>
        <w:ind w:firstLine="720"/>
        <w:rPr>
          <w:b/>
          <w:bCs/>
          <w:kern w:val="0"/>
          <w:sz w:val="24"/>
          <w:szCs w:val="24"/>
        </w:rPr>
      </w:pPr>
      <w:r w:rsidRPr="003303F8">
        <w:rPr>
          <w:kern w:val="0"/>
          <w:sz w:val="24"/>
          <w:szCs w:val="24"/>
        </w:rPr>
        <w:t xml:space="preserve">I acknowledge that my study has weaknesses, and I need to make several caveats. First, I acknowledge that my arguments rely </w:t>
      </w:r>
      <w:r w:rsidRPr="003303F8">
        <w:rPr>
          <w:rFonts w:hint="eastAsia"/>
          <w:kern w:val="0"/>
          <w:sz w:val="24"/>
          <w:szCs w:val="24"/>
        </w:rPr>
        <w:t xml:space="preserve">on </w:t>
      </w:r>
      <w:r w:rsidRPr="003303F8">
        <w:rPr>
          <w:kern w:val="0"/>
          <w:sz w:val="24"/>
          <w:szCs w:val="24"/>
        </w:rPr>
        <w:t xml:space="preserve">the validity of my proxies for earnings quality and peer firm earnings quality. My results are robust to using alternative measures. Second, like any other archival study, the current study cannot control for every potential confounding effect. </w:t>
      </w:r>
      <w:r w:rsidR="00D86B5F">
        <w:rPr>
          <w:kern w:val="0"/>
          <w:sz w:val="24"/>
          <w:szCs w:val="24"/>
        </w:rPr>
        <w:t xml:space="preserve">However, </w:t>
      </w:r>
      <w:r w:rsidRPr="003303F8">
        <w:rPr>
          <w:kern w:val="0"/>
          <w:sz w:val="24"/>
          <w:szCs w:val="24"/>
        </w:rPr>
        <w:t xml:space="preserve">as discussed earlier, </w:t>
      </w:r>
      <w:r w:rsidR="00A12755" w:rsidRPr="003303F8">
        <w:rPr>
          <w:kern w:val="0"/>
          <w:sz w:val="24"/>
          <w:szCs w:val="24"/>
        </w:rPr>
        <w:t>testing</w:t>
      </w:r>
      <w:r w:rsidRPr="003303F8">
        <w:rPr>
          <w:kern w:val="0"/>
          <w:sz w:val="24"/>
          <w:szCs w:val="24"/>
        </w:rPr>
        <w:t xml:space="preserve"> </w:t>
      </w:r>
      <w:r w:rsidR="00A12755" w:rsidRPr="003303F8">
        <w:rPr>
          <w:kern w:val="0"/>
          <w:sz w:val="24"/>
          <w:szCs w:val="24"/>
        </w:rPr>
        <w:t>the</w:t>
      </w:r>
      <w:r w:rsidR="0054769F" w:rsidRPr="003303F8">
        <w:rPr>
          <w:kern w:val="0"/>
          <w:sz w:val="24"/>
          <w:szCs w:val="24"/>
        </w:rPr>
        <w:t xml:space="preserve"> </w:t>
      </w:r>
      <w:r w:rsidR="000C520B" w:rsidRPr="003303F8">
        <w:rPr>
          <w:kern w:val="0"/>
          <w:sz w:val="24"/>
          <w:szCs w:val="24"/>
        </w:rPr>
        <w:t>non-linear</w:t>
      </w:r>
      <w:r w:rsidR="00A12755" w:rsidRPr="003303F8">
        <w:rPr>
          <w:kern w:val="0"/>
          <w:sz w:val="24"/>
          <w:szCs w:val="24"/>
        </w:rPr>
        <w:t xml:space="preserve"> </w:t>
      </w:r>
      <w:r w:rsidRPr="003303F8">
        <w:rPr>
          <w:kern w:val="0"/>
          <w:sz w:val="24"/>
          <w:szCs w:val="24"/>
        </w:rPr>
        <w:t>effect</w:t>
      </w:r>
      <w:r w:rsidR="000C520B" w:rsidRPr="003303F8">
        <w:rPr>
          <w:kern w:val="0"/>
          <w:sz w:val="24"/>
          <w:szCs w:val="24"/>
        </w:rPr>
        <w:t xml:space="preserve"> and the moderating roles of multinational operations</w:t>
      </w:r>
      <w:r w:rsidR="00D86B5F">
        <w:rPr>
          <w:kern w:val="0"/>
          <w:sz w:val="24"/>
          <w:szCs w:val="24"/>
        </w:rPr>
        <w:t xml:space="preserve"> or </w:t>
      </w:r>
      <w:r w:rsidR="000C520B" w:rsidRPr="003303F8">
        <w:rPr>
          <w:kern w:val="0"/>
          <w:sz w:val="24"/>
          <w:szCs w:val="24"/>
        </w:rPr>
        <w:t>relative profitability</w:t>
      </w:r>
      <w:r w:rsidRPr="003303F8">
        <w:rPr>
          <w:kern w:val="0"/>
          <w:sz w:val="24"/>
          <w:szCs w:val="24"/>
        </w:rPr>
        <w:t xml:space="preserve"> makes it more difficult to propose alternative arguments and also mitigates problems of potential omitted variables (see Rajan and Zingales [1998]; Lang and Maffett [2010]). </w:t>
      </w:r>
      <w:r w:rsidR="00397B30" w:rsidRPr="003303F8">
        <w:rPr>
          <w:kern w:val="0"/>
          <w:sz w:val="24"/>
          <w:szCs w:val="24"/>
        </w:rPr>
        <w:t>Third</w:t>
      </w:r>
      <w:r w:rsidRPr="003303F8">
        <w:rPr>
          <w:kern w:val="0"/>
          <w:sz w:val="24"/>
          <w:szCs w:val="24"/>
        </w:rPr>
        <w:t xml:space="preserve">, </w:t>
      </w:r>
      <w:r w:rsidR="006974D4" w:rsidRPr="003303F8">
        <w:rPr>
          <w:kern w:val="0"/>
          <w:sz w:val="24"/>
          <w:szCs w:val="24"/>
        </w:rPr>
        <w:t xml:space="preserve">LLV’s theory is applicable to all the firms whose values are correlated. My study concentrates on industry peer firms because of the noted </w:t>
      </w:r>
      <w:r w:rsidR="002E18DE" w:rsidRPr="003303F8">
        <w:rPr>
          <w:kern w:val="0"/>
          <w:sz w:val="24"/>
          <w:szCs w:val="24"/>
        </w:rPr>
        <w:t>significant</w:t>
      </w:r>
      <w:r w:rsidR="006974D4" w:rsidRPr="003303F8">
        <w:rPr>
          <w:kern w:val="0"/>
          <w:sz w:val="24"/>
          <w:szCs w:val="24"/>
        </w:rPr>
        <w:t xml:space="preserve"> </w:t>
      </w:r>
      <w:r w:rsidR="0037260B" w:rsidRPr="003303F8">
        <w:rPr>
          <w:kern w:val="0"/>
          <w:sz w:val="24"/>
          <w:szCs w:val="24"/>
        </w:rPr>
        <w:t xml:space="preserve">positive </w:t>
      </w:r>
      <w:r w:rsidR="006974D4" w:rsidRPr="003303F8">
        <w:rPr>
          <w:kern w:val="0"/>
          <w:sz w:val="24"/>
          <w:szCs w:val="24"/>
        </w:rPr>
        <w:t xml:space="preserve">correlations between </w:t>
      </w:r>
      <w:r w:rsidR="00546C18" w:rsidRPr="003303F8">
        <w:rPr>
          <w:kern w:val="0"/>
          <w:sz w:val="24"/>
          <w:szCs w:val="24"/>
        </w:rPr>
        <w:t xml:space="preserve">industry </w:t>
      </w:r>
      <w:r w:rsidR="006974D4" w:rsidRPr="003303F8">
        <w:rPr>
          <w:kern w:val="0"/>
          <w:sz w:val="24"/>
          <w:szCs w:val="24"/>
        </w:rPr>
        <w:t>peer firms</w:t>
      </w:r>
      <w:r w:rsidR="00546C18" w:rsidRPr="003303F8">
        <w:rPr>
          <w:kern w:val="0"/>
          <w:sz w:val="24"/>
          <w:szCs w:val="24"/>
        </w:rPr>
        <w:t>’ values</w:t>
      </w:r>
      <w:r w:rsidR="006974D4" w:rsidRPr="003303F8">
        <w:rPr>
          <w:kern w:val="0"/>
          <w:sz w:val="24"/>
          <w:szCs w:val="24"/>
        </w:rPr>
        <w:t xml:space="preserve"> </w:t>
      </w:r>
      <w:r w:rsidR="00546C18" w:rsidRPr="003303F8">
        <w:rPr>
          <w:kern w:val="0"/>
          <w:sz w:val="24"/>
          <w:szCs w:val="24"/>
        </w:rPr>
        <w:t>(e.g., Foster [1981])</w:t>
      </w:r>
      <w:r w:rsidR="006974D4" w:rsidRPr="003303F8">
        <w:rPr>
          <w:kern w:val="0"/>
          <w:sz w:val="24"/>
          <w:szCs w:val="24"/>
        </w:rPr>
        <w:t xml:space="preserve">. Of course, </w:t>
      </w:r>
      <w:r w:rsidR="002E18DE" w:rsidRPr="003303F8">
        <w:rPr>
          <w:kern w:val="0"/>
          <w:sz w:val="24"/>
          <w:szCs w:val="24"/>
        </w:rPr>
        <w:t>a firm’s expected cash flows can be correlated with non-industry-peer firms</w:t>
      </w:r>
      <w:r w:rsidR="0037260B" w:rsidRPr="003303F8">
        <w:rPr>
          <w:kern w:val="0"/>
          <w:sz w:val="24"/>
          <w:szCs w:val="24"/>
        </w:rPr>
        <w:t>; rivals’ expected cash flows can even be negatively correlated</w:t>
      </w:r>
      <w:r w:rsidR="00F16D67" w:rsidRPr="003303F8">
        <w:rPr>
          <w:kern w:val="0"/>
          <w:sz w:val="24"/>
          <w:szCs w:val="24"/>
        </w:rPr>
        <w:t xml:space="preserve"> (Kim, Lagina </w:t>
      </w:r>
      <w:r w:rsidR="00F16D67" w:rsidRPr="003303F8">
        <w:rPr>
          <w:kern w:val="0"/>
          <w:sz w:val="24"/>
          <w:szCs w:val="24"/>
        </w:rPr>
        <w:lastRenderedPageBreak/>
        <w:t>and Park [2010])</w:t>
      </w:r>
      <w:r w:rsidR="002E18DE" w:rsidRPr="003303F8">
        <w:rPr>
          <w:kern w:val="0"/>
          <w:sz w:val="24"/>
          <w:szCs w:val="24"/>
        </w:rPr>
        <w:t xml:space="preserve">. </w:t>
      </w:r>
      <w:r w:rsidR="006974D4" w:rsidRPr="003303F8">
        <w:rPr>
          <w:kern w:val="0"/>
          <w:sz w:val="24"/>
          <w:szCs w:val="24"/>
        </w:rPr>
        <w:t xml:space="preserve">I leave it for future </w:t>
      </w:r>
      <w:r w:rsidR="00546C18" w:rsidRPr="003303F8">
        <w:rPr>
          <w:kern w:val="0"/>
          <w:sz w:val="24"/>
          <w:szCs w:val="24"/>
        </w:rPr>
        <w:t xml:space="preserve">research to examine the cost of equity effects of </w:t>
      </w:r>
      <w:r w:rsidR="002E18DE" w:rsidRPr="003303F8">
        <w:rPr>
          <w:kern w:val="0"/>
          <w:sz w:val="24"/>
          <w:szCs w:val="24"/>
        </w:rPr>
        <w:t>non-industry-peer</w:t>
      </w:r>
      <w:r w:rsidR="00546C18" w:rsidRPr="003303F8">
        <w:rPr>
          <w:kern w:val="0"/>
          <w:sz w:val="24"/>
          <w:szCs w:val="24"/>
        </w:rPr>
        <w:t xml:space="preserve"> firms’ </w:t>
      </w:r>
      <w:r w:rsidR="0037260B" w:rsidRPr="003303F8">
        <w:rPr>
          <w:kern w:val="0"/>
          <w:sz w:val="24"/>
          <w:szCs w:val="24"/>
        </w:rPr>
        <w:t xml:space="preserve">and rivals’ </w:t>
      </w:r>
      <w:r w:rsidR="00546C18" w:rsidRPr="003303F8">
        <w:rPr>
          <w:kern w:val="0"/>
          <w:sz w:val="24"/>
          <w:szCs w:val="24"/>
        </w:rPr>
        <w:t xml:space="preserve">information quality. </w:t>
      </w:r>
      <w:r w:rsidR="00397B30" w:rsidRPr="003303F8">
        <w:rPr>
          <w:kern w:val="0"/>
          <w:sz w:val="24"/>
          <w:szCs w:val="24"/>
        </w:rPr>
        <w:t xml:space="preserve">Finally, </w:t>
      </w:r>
      <w:r w:rsidR="00630907" w:rsidRPr="003303F8">
        <w:rPr>
          <w:kern w:val="0"/>
          <w:sz w:val="24"/>
          <w:szCs w:val="24"/>
        </w:rPr>
        <w:t xml:space="preserve">Gao (2010) suggests </w:t>
      </w:r>
      <w:r w:rsidR="00D97B59" w:rsidRPr="003303F8">
        <w:rPr>
          <w:kern w:val="0"/>
          <w:sz w:val="24"/>
          <w:szCs w:val="24"/>
        </w:rPr>
        <w:t xml:space="preserve">the </w:t>
      </w:r>
      <w:r w:rsidR="00630907" w:rsidRPr="003303F8">
        <w:rPr>
          <w:kern w:val="0"/>
          <w:sz w:val="24"/>
          <w:szCs w:val="24"/>
        </w:rPr>
        <w:t>cost of capital may not move parallel with investor welfare. Therefore, in cases where the cost of capital moves in opposition to investors’ welfare, readers should interpret these results with caution.</w:t>
      </w:r>
      <w:r w:rsidR="00630907">
        <w:rPr>
          <w:kern w:val="0"/>
          <w:sz w:val="24"/>
        </w:rPr>
        <w:t xml:space="preserve"> </w:t>
      </w:r>
      <w:r w:rsidRPr="00576667">
        <w:rPr>
          <w:b/>
          <w:bCs/>
          <w:kern w:val="0"/>
          <w:sz w:val="24"/>
          <w:szCs w:val="24"/>
        </w:rPr>
        <w:br w:type="page"/>
      </w:r>
    </w:p>
    <w:p w:rsidR="00EE25C8" w:rsidRPr="00430C9E" w:rsidRDefault="003B29E2" w:rsidP="00931FD3">
      <w:pPr>
        <w:pStyle w:val="Heading1"/>
        <w:spacing w:line="480" w:lineRule="auto"/>
        <w:rPr>
          <w:szCs w:val="24"/>
        </w:rPr>
      </w:pPr>
      <w:bookmarkStart w:id="176" w:name="_Toc378087527"/>
      <w:bookmarkStart w:id="177" w:name="_Toc378087567"/>
      <w:bookmarkStart w:id="178" w:name="_Toc378088376"/>
      <w:bookmarkStart w:id="179" w:name="_Toc378088765"/>
      <w:bookmarkStart w:id="180" w:name="_Toc378088901"/>
      <w:r>
        <w:rPr>
          <w:szCs w:val="24"/>
        </w:rPr>
        <w:lastRenderedPageBreak/>
        <w:t>REFERENCES</w:t>
      </w:r>
      <w:bookmarkEnd w:id="176"/>
      <w:bookmarkEnd w:id="177"/>
      <w:bookmarkEnd w:id="178"/>
      <w:bookmarkEnd w:id="179"/>
      <w:bookmarkEnd w:id="180"/>
    </w:p>
    <w:p w:rsidR="00164C9B" w:rsidRPr="003303F8" w:rsidRDefault="00164C9B" w:rsidP="00B310E0">
      <w:pPr>
        <w:overflowPunct/>
        <w:adjustRightInd/>
        <w:snapToGrid w:val="0"/>
        <w:ind w:left="720" w:hanging="720"/>
        <w:rPr>
          <w:kern w:val="0"/>
          <w:sz w:val="24"/>
          <w:szCs w:val="24"/>
        </w:rPr>
      </w:pPr>
      <w:r w:rsidRPr="003303F8">
        <w:rPr>
          <w:kern w:val="0"/>
          <w:sz w:val="24"/>
          <w:szCs w:val="24"/>
        </w:rPr>
        <w:t>Admati, A., and P. Pfleiderer</w:t>
      </w:r>
      <w:r w:rsidR="001E4414" w:rsidRPr="003303F8">
        <w:rPr>
          <w:kern w:val="0"/>
          <w:sz w:val="24"/>
          <w:szCs w:val="24"/>
        </w:rPr>
        <w:t xml:space="preserve">. </w:t>
      </w:r>
      <w:r w:rsidR="00B63033" w:rsidRPr="003303F8">
        <w:rPr>
          <w:kern w:val="0"/>
          <w:sz w:val="24"/>
          <w:szCs w:val="24"/>
        </w:rPr>
        <w:t>2000</w:t>
      </w:r>
      <w:r w:rsidR="001E4414" w:rsidRPr="003303F8">
        <w:rPr>
          <w:kern w:val="0"/>
          <w:sz w:val="24"/>
          <w:szCs w:val="24"/>
        </w:rPr>
        <w:t>.</w:t>
      </w:r>
      <w:r w:rsidRPr="003303F8">
        <w:rPr>
          <w:kern w:val="0"/>
          <w:sz w:val="24"/>
          <w:szCs w:val="24"/>
        </w:rPr>
        <w:t xml:space="preserve"> Forcing Firms to Talk: Financial Disclosure Regulation and Externalities. </w:t>
      </w:r>
      <w:r w:rsidRPr="003303F8">
        <w:rPr>
          <w:i/>
          <w:kern w:val="0"/>
          <w:sz w:val="24"/>
          <w:szCs w:val="24"/>
        </w:rPr>
        <w:t>Review of Financial Studies</w:t>
      </w:r>
      <w:r w:rsidRPr="003303F8">
        <w:rPr>
          <w:kern w:val="0"/>
          <w:sz w:val="24"/>
          <w:szCs w:val="24"/>
        </w:rPr>
        <w:t xml:space="preserve"> 13</w:t>
      </w:r>
      <w:r w:rsidR="00B63033" w:rsidRPr="003303F8">
        <w:rPr>
          <w:kern w:val="0"/>
          <w:sz w:val="24"/>
          <w:szCs w:val="24"/>
        </w:rPr>
        <w:t xml:space="preserve">: </w:t>
      </w:r>
      <w:r w:rsidRPr="003303F8">
        <w:rPr>
          <w:kern w:val="0"/>
          <w:sz w:val="24"/>
          <w:szCs w:val="24"/>
        </w:rPr>
        <w:t xml:space="preserve">479-515. </w:t>
      </w:r>
    </w:p>
    <w:p w:rsidR="00164C9B" w:rsidRPr="003303F8" w:rsidRDefault="00164C9B" w:rsidP="00931FD3">
      <w:pPr>
        <w:overflowPunct/>
        <w:adjustRightInd/>
        <w:snapToGrid w:val="0"/>
        <w:spacing w:before="240"/>
        <w:ind w:left="720" w:hanging="720"/>
        <w:rPr>
          <w:kern w:val="0"/>
          <w:sz w:val="24"/>
          <w:szCs w:val="24"/>
        </w:rPr>
      </w:pPr>
      <w:r w:rsidRPr="003303F8">
        <w:rPr>
          <w:kern w:val="0"/>
          <w:sz w:val="24"/>
          <w:szCs w:val="24"/>
        </w:rPr>
        <w:t>Alford, A</w:t>
      </w:r>
      <w:r w:rsidR="001E4414" w:rsidRPr="003303F8">
        <w:rPr>
          <w:kern w:val="0"/>
          <w:sz w:val="24"/>
          <w:szCs w:val="24"/>
        </w:rPr>
        <w:t>.</w:t>
      </w:r>
      <w:r w:rsidRPr="003303F8">
        <w:rPr>
          <w:kern w:val="0"/>
          <w:sz w:val="24"/>
          <w:szCs w:val="24"/>
        </w:rPr>
        <w:t xml:space="preserve"> </w:t>
      </w:r>
      <w:r w:rsidR="00B63033" w:rsidRPr="003303F8">
        <w:rPr>
          <w:kern w:val="0"/>
          <w:sz w:val="24"/>
          <w:szCs w:val="24"/>
        </w:rPr>
        <w:t>1992</w:t>
      </w:r>
      <w:r w:rsidR="001E4414" w:rsidRPr="003303F8">
        <w:rPr>
          <w:kern w:val="0"/>
          <w:sz w:val="24"/>
          <w:szCs w:val="24"/>
        </w:rPr>
        <w:t>.</w:t>
      </w:r>
      <w:r w:rsidR="00B63033" w:rsidRPr="003303F8">
        <w:rPr>
          <w:kern w:val="0"/>
          <w:sz w:val="24"/>
          <w:szCs w:val="24"/>
        </w:rPr>
        <w:t xml:space="preserve"> </w:t>
      </w:r>
      <w:r w:rsidRPr="003303F8">
        <w:rPr>
          <w:kern w:val="0"/>
          <w:sz w:val="24"/>
          <w:szCs w:val="24"/>
        </w:rPr>
        <w:t xml:space="preserve">The effect of the set of comparable firms on the accuracy of the price–earnings valuation method. </w:t>
      </w:r>
      <w:r w:rsidRPr="003303F8">
        <w:rPr>
          <w:i/>
          <w:kern w:val="0"/>
          <w:sz w:val="24"/>
          <w:szCs w:val="24"/>
        </w:rPr>
        <w:t>Journal of Accounting Research</w:t>
      </w:r>
      <w:r w:rsidRPr="003303F8">
        <w:rPr>
          <w:kern w:val="0"/>
          <w:sz w:val="24"/>
          <w:szCs w:val="24"/>
        </w:rPr>
        <w:t xml:space="preserve"> </w:t>
      </w:r>
      <w:r w:rsidR="0080655A" w:rsidRPr="003303F8">
        <w:rPr>
          <w:kern w:val="0"/>
          <w:sz w:val="24"/>
          <w:szCs w:val="24"/>
        </w:rPr>
        <w:t xml:space="preserve"> </w:t>
      </w:r>
      <w:r w:rsidRPr="003303F8">
        <w:rPr>
          <w:kern w:val="0"/>
          <w:sz w:val="24"/>
          <w:szCs w:val="24"/>
        </w:rPr>
        <w:t>30</w:t>
      </w:r>
      <w:r w:rsidR="00B63033" w:rsidRPr="003303F8">
        <w:rPr>
          <w:kern w:val="0"/>
          <w:sz w:val="24"/>
          <w:szCs w:val="24"/>
        </w:rPr>
        <w:t xml:space="preserve">: </w:t>
      </w:r>
      <w:r w:rsidRPr="003303F8">
        <w:rPr>
          <w:kern w:val="0"/>
          <w:sz w:val="24"/>
          <w:szCs w:val="24"/>
        </w:rPr>
        <w:t xml:space="preserve">94–108. </w:t>
      </w:r>
    </w:p>
    <w:p w:rsidR="00164C9B" w:rsidRPr="003303F8" w:rsidRDefault="00164C9B" w:rsidP="00931FD3">
      <w:pPr>
        <w:overflowPunct/>
        <w:adjustRightInd/>
        <w:snapToGrid w:val="0"/>
        <w:spacing w:before="240"/>
        <w:ind w:left="720" w:hanging="720"/>
        <w:rPr>
          <w:kern w:val="0"/>
          <w:sz w:val="24"/>
          <w:szCs w:val="24"/>
        </w:rPr>
      </w:pPr>
      <w:r w:rsidRPr="003303F8">
        <w:rPr>
          <w:kern w:val="0"/>
          <w:sz w:val="24"/>
          <w:szCs w:val="24"/>
        </w:rPr>
        <w:t>Amihud, Y. and H. Mendelson</w:t>
      </w:r>
      <w:r w:rsidR="001E4414" w:rsidRPr="003303F8">
        <w:rPr>
          <w:kern w:val="0"/>
          <w:sz w:val="24"/>
          <w:szCs w:val="24"/>
        </w:rPr>
        <w:t>.</w:t>
      </w:r>
      <w:r w:rsidR="00B03CDA" w:rsidRPr="003303F8">
        <w:rPr>
          <w:kern w:val="0"/>
          <w:sz w:val="24"/>
          <w:szCs w:val="24"/>
        </w:rPr>
        <w:t xml:space="preserve"> </w:t>
      </w:r>
      <w:r w:rsidR="00B63033" w:rsidRPr="003303F8">
        <w:rPr>
          <w:kern w:val="0"/>
          <w:sz w:val="24"/>
          <w:szCs w:val="24"/>
        </w:rPr>
        <w:t>1986</w:t>
      </w:r>
      <w:r w:rsidR="001E4414" w:rsidRPr="003303F8">
        <w:rPr>
          <w:kern w:val="0"/>
          <w:sz w:val="24"/>
          <w:szCs w:val="24"/>
        </w:rPr>
        <w:t>.</w:t>
      </w:r>
      <w:r w:rsidR="00B63033" w:rsidRPr="003303F8">
        <w:rPr>
          <w:kern w:val="0"/>
          <w:sz w:val="24"/>
          <w:szCs w:val="24"/>
        </w:rPr>
        <w:t xml:space="preserve"> </w:t>
      </w:r>
      <w:r w:rsidRPr="003303F8">
        <w:rPr>
          <w:kern w:val="0"/>
          <w:sz w:val="24"/>
          <w:szCs w:val="24"/>
        </w:rPr>
        <w:t xml:space="preserve">The Effects of Beta, Bid-Ask Spread, Residual Risk and Size on Stock Returns. </w:t>
      </w:r>
      <w:r w:rsidRPr="003303F8">
        <w:rPr>
          <w:i/>
          <w:kern w:val="0"/>
          <w:sz w:val="24"/>
          <w:szCs w:val="24"/>
        </w:rPr>
        <w:t>Journal of Finance</w:t>
      </w:r>
      <w:r w:rsidRPr="003303F8">
        <w:rPr>
          <w:kern w:val="0"/>
          <w:sz w:val="24"/>
          <w:szCs w:val="24"/>
        </w:rPr>
        <w:t xml:space="preserve"> </w:t>
      </w:r>
      <w:r w:rsidR="00B63033" w:rsidRPr="003303F8">
        <w:rPr>
          <w:kern w:val="0"/>
          <w:sz w:val="24"/>
          <w:szCs w:val="24"/>
        </w:rPr>
        <w:t>44:</w:t>
      </w:r>
      <w:r w:rsidR="0080655A" w:rsidRPr="003303F8">
        <w:rPr>
          <w:kern w:val="0"/>
          <w:sz w:val="24"/>
          <w:szCs w:val="24"/>
        </w:rPr>
        <w:t xml:space="preserve"> </w:t>
      </w:r>
      <w:r w:rsidRPr="003303F8">
        <w:rPr>
          <w:kern w:val="0"/>
          <w:sz w:val="24"/>
          <w:szCs w:val="24"/>
        </w:rPr>
        <w:t>479-486.</w:t>
      </w:r>
    </w:p>
    <w:p w:rsidR="00164C9B" w:rsidRPr="003303F8" w:rsidRDefault="00164C9B" w:rsidP="00931FD3">
      <w:pPr>
        <w:overflowPunct/>
        <w:adjustRightInd/>
        <w:snapToGrid w:val="0"/>
        <w:spacing w:before="240"/>
        <w:ind w:left="720" w:hanging="720"/>
        <w:rPr>
          <w:sz w:val="24"/>
          <w:szCs w:val="24"/>
        </w:rPr>
      </w:pPr>
      <w:r w:rsidRPr="003303F8">
        <w:rPr>
          <w:sz w:val="24"/>
          <w:szCs w:val="24"/>
        </w:rPr>
        <w:t>Ang, A., and J. Chen</w:t>
      </w:r>
      <w:r w:rsidR="001E4414" w:rsidRPr="003303F8">
        <w:rPr>
          <w:sz w:val="24"/>
          <w:szCs w:val="24"/>
        </w:rPr>
        <w:t>.</w:t>
      </w:r>
      <w:r w:rsidR="00B63033" w:rsidRPr="003303F8">
        <w:rPr>
          <w:sz w:val="24"/>
          <w:szCs w:val="24"/>
        </w:rPr>
        <w:t xml:space="preserve"> 2002</w:t>
      </w:r>
      <w:r w:rsidR="001E4414" w:rsidRPr="003303F8">
        <w:rPr>
          <w:sz w:val="24"/>
          <w:szCs w:val="24"/>
        </w:rPr>
        <w:t>.</w:t>
      </w:r>
      <w:r w:rsidRPr="003303F8">
        <w:rPr>
          <w:sz w:val="24"/>
          <w:szCs w:val="24"/>
        </w:rPr>
        <w:t xml:space="preserve"> Asymmetric Correlations of Equity Portfolios</w:t>
      </w:r>
      <w:r w:rsidR="00B63033" w:rsidRPr="003303F8">
        <w:rPr>
          <w:sz w:val="24"/>
          <w:szCs w:val="24"/>
        </w:rPr>
        <w:t xml:space="preserve">. </w:t>
      </w:r>
      <w:r w:rsidRPr="003303F8">
        <w:rPr>
          <w:i/>
          <w:sz w:val="24"/>
          <w:szCs w:val="24"/>
        </w:rPr>
        <w:t xml:space="preserve">Journal of Financial Economics </w:t>
      </w:r>
      <w:r w:rsidR="0080655A" w:rsidRPr="003303F8">
        <w:rPr>
          <w:sz w:val="24"/>
          <w:szCs w:val="24"/>
        </w:rPr>
        <w:t xml:space="preserve"> </w:t>
      </w:r>
      <w:r w:rsidRPr="003303F8">
        <w:rPr>
          <w:sz w:val="24"/>
          <w:szCs w:val="24"/>
        </w:rPr>
        <w:t>63</w:t>
      </w:r>
      <w:r w:rsidR="00B63033" w:rsidRPr="003303F8">
        <w:rPr>
          <w:sz w:val="24"/>
          <w:szCs w:val="24"/>
        </w:rPr>
        <w:t xml:space="preserve">: </w:t>
      </w:r>
      <w:r w:rsidRPr="003303F8">
        <w:rPr>
          <w:sz w:val="24"/>
          <w:szCs w:val="24"/>
        </w:rPr>
        <w:t>443-494.</w:t>
      </w:r>
    </w:p>
    <w:p w:rsidR="00164C9B" w:rsidRPr="003303F8" w:rsidRDefault="00164C9B" w:rsidP="00931FD3">
      <w:pPr>
        <w:overflowPunct/>
        <w:adjustRightInd/>
        <w:snapToGrid w:val="0"/>
        <w:spacing w:before="240"/>
        <w:ind w:left="720" w:hanging="720"/>
        <w:rPr>
          <w:kern w:val="0"/>
          <w:sz w:val="24"/>
          <w:szCs w:val="24"/>
        </w:rPr>
      </w:pPr>
      <w:r w:rsidRPr="003303F8">
        <w:rPr>
          <w:sz w:val="24"/>
          <w:szCs w:val="24"/>
        </w:rPr>
        <w:t xml:space="preserve">Ashbaugh-Skaife, H., D. Collins, W.Kinney,  </w:t>
      </w:r>
      <w:r w:rsidRPr="003303F8">
        <w:rPr>
          <w:rStyle w:val="searchword"/>
          <w:sz w:val="24"/>
          <w:szCs w:val="24"/>
        </w:rPr>
        <w:t>and</w:t>
      </w:r>
      <w:r w:rsidRPr="003303F8">
        <w:rPr>
          <w:sz w:val="24"/>
          <w:szCs w:val="24"/>
        </w:rPr>
        <w:t xml:space="preserve"> R.</w:t>
      </w:r>
      <w:r w:rsidR="001E4414" w:rsidRPr="003303F8">
        <w:rPr>
          <w:sz w:val="24"/>
          <w:szCs w:val="24"/>
        </w:rPr>
        <w:t xml:space="preserve"> </w:t>
      </w:r>
      <w:r w:rsidRPr="003303F8">
        <w:rPr>
          <w:sz w:val="24"/>
          <w:szCs w:val="24"/>
        </w:rPr>
        <w:t>LaFond</w:t>
      </w:r>
      <w:r w:rsidR="001E4414" w:rsidRPr="003303F8">
        <w:rPr>
          <w:sz w:val="24"/>
          <w:szCs w:val="24"/>
        </w:rPr>
        <w:t>.</w:t>
      </w:r>
      <w:r w:rsidR="00B63033" w:rsidRPr="003303F8">
        <w:rPr>
          <w:kern w:val="0"/>
          <w:sz w:val="24"/>
          <w:szCs w:val="24"/>
        </w:rPr>
        <w:t xml:space="preserve"> 2009</w:t>
      </w:r>
      <w:r w:rsidR="001E4414" w:rsidRPr="003303F8">
        <w:rPr>
          <w:kern w:val="0"/>
          <w:sz w:val="24"/>
          <w:szCs w:val="24"/>
        </w:rPr>
        <w:t>.</w:t>
      </w:r>
      <w:r w:rsidRPr="003303F8">
        <w:rPr>
          <w:sz w:val="24"/>
          <w:szCs w:val="24"/>
        </w:rPr>
        <w:t xml:space="preserve"> </w:t>
      </w:r>
      <w:r w:rsidRPr="003303F8">
        <w:rPr>
          <w:kern w:val="0"/>
          <w:sz w:val="24"/>
          <w:szCs w:val="24"/>
        </w:rPr>
        <w:t xml:space="preserve">The Effect of SOX Internal Control Deficiencies on Firm Risk and Cost of Equity. </w:t>
      </w:r>
      <w:r w:rsidRPr="003303F8">
        <w:rPr>
          <w:i/>
          <w:kern w:val="0"/>
          <w:sz w:val="24"/>
          <w:szCs w:val="24"/>
        </w:rPr>
        <w:t>Journal of Accounting Research</w:t>
      </w:r>
      <w:r w:rsidR="00B63033" w:rsidRPr="003303F8">
        <w:rPr>
          <w:i/>
          <w:kern w:val="0"/>
          <w:sz w:val="24"/>
          <w:szCs w:val="24"/>
        </w:rPr>
        <w:t xml:space="preserve"> </w:t>
      </w:r>
      <w:r w:rsidRPr="003303F8">
        <w:rPr>
          <w:kern w:val="0"/>
          <w:sz w:val="24"/>
          <w:szCs w:val="24"/>
        </w:rPr>
        <w:t xml:space="preserve">47: 1–43. </w:t>
      </w:r>
    </w:p>
    <w:p w:rsidR="00164C9B" w:rsidRPr="003303F8" w:rsidRDefault="00164C9B" w:rsidP="00931FD3">
      <w:pPr>
        <w:adjustRightInd/>
        <w:spacing w:before="240"/>
        <w:ind w:left="720" w:hanging="720"/>
        <w:rPr>
          <w:sz w:val="24"/>
          <w:szCs w:val="24"/>
        </w:rPr>
      </w:pPr>
      <w:r w:rsidRPr="003303F8">
        <w:rPr>
          <w:sz w:val="24"/>
          <w:szCs w:val="24"/>
        </w:rPr>
        <w:t>Barth M., Y. Konchitchki, and W. Landsman</w:t>
      </w:r>
      <w:r w:rsidR="001E4414" w:rsidRPr="003303F8">
        <w:rPr>
          <w:sz w:val="24"/>
          <w:szCs w:val="24"/>
        </w:rPr>
        <w:t>.</w:t>
      </w:r>
      <w:r w:rsidR="00B63033" w:rsidRPr="003303F8">
        <w:rPr>
          <w:sz w:val="24"/>
          <w:szCs w:val="24"/>
        </w:rPr>
        <w:t xml:space="preserve"> 20</w:t>
      </w:r>
      <w:r w:rsidR="00486B81" w:rsidRPr="003303F8">
        <w:rPr>
          <w:sz w:val="24"/>
          <w:szCs w:val="24"/>
        </w:rPr>
        <w:t>13</w:t>
      </w:r>
      <w:r w:rsidR="001E4414" w:rsidRPr="003303F8">
        <w:rPr>
          <w:sz w:val="24"/>
          <w:szCs w:val="24"/>
        </w:rPr>
        <w:t>.</w:t>
      </w:r>
      <w:r w:rsidRPr="003303F8">
        <w:rPr>
          <w:sz w:val="24"/>
          <w:szCs w:val="24"/>
        </w:rPr>
        <w:t xml:space="preserve"> Cost of equity and Earnings Transparency</w:t>
      </w:r>
      <w:r w:rsidR="00B63033" w:rsidRPr="003303F8">
        <w:rPr>
          <w:sz w:val="24"/>
          <w:szCs w:val="24"/>
        </w:rPr>
        <w:t xml:space="preserve">. </w:t>
      </w:r>
      <w:r w:rsidR="00486B81" w:rsidRPr="003303F8">
        <w:rPr>
          <w:i/>
          <w:sz w:val="24"/>
          <w:szCs w:val="24"/>
        </w:rPr>
        <w:t>Journal of Accounting and Economics</w:t>
      </w:r>
      <w:r w:rsidR="00486B81" w:rsidRPr="003303F8">
        <w:rPr>
          <w:sz w:val="24"/>
          <w:szCs w:val="24"/>
        </w:rPr>
        <w:t xml:space="preserve"> 55: 206-224.</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Baginski, S</w:t>
      </w:r>
      <w:r w:rsidR="001E4414" w:rsidRPr="003303F8">
        <w:rPr>
          <w:kern w:val="0"/>
          <w:sz w:val="24"/>
          <w:szCs w:val="24"/>
        </w:rPr>
        <w:t>.</w:t>
      </w:r>
      <w:r w:rsidR="00B63033" w:rsidRPr="003303F8">
        <w:rPr>
          <w:kern w:val="0"/>
          <w:sz w:val="24"/>
          <w:szCs w:val="24"/>
        </w:rPr>
        <w:t xml:space="preserve"> 1987</w:t>
      </w:r>
      <w:r w:rsidR="001E4414" w:rsidRPr="003303F8">
        <w:rPr>
          <w:kern w:val="0"/>
          <w:sz w:val="24"/>
          <w:szCs w:val="24"/>
        </w:rPr>
        <w:t>.</w:t>
      </w:r>
      <w:r w:rsidRPr="003303F8">
        <w:rPr>
          <w:kern w:val="0"/>
          <w:sz w:val="24"/>
          <w:szCs w:val="24"/>
        </w:rPr>
        <w:t xml:space="preserve"> Intra-industry information transfer associated with management forecasts of earnings</w:t>
      </w:r>
      <w:r w:rsidR="00B63033" w:rsidRPr="003303F8">
        <w:rPr>
          <w:kern w:val="0"/>
          <w:sz w:val="24"/>
          <w:szCs w:val="24"/>
        </w:rPr>
        <w:t xml:space="preserve">. </w:t>
      </w:r>
      <w:r w:rsidRPr="003303F8">
        <w:rPr>
          <w:i/>
          <w:kern w:val="0"/>
          <w:sz w:val="24"/>
          <w:szCs w:val="24"/>
        </w:rPr>
        <w:t>Journal of Accounting Research</w:t>
      </w:r>
      <w:r w:rsidRPr="003303F8">
        <w:rPr>
          <w:kern w:val="0"/>
          <w:sz w:val="24"/>
          <w:szCs w:val="24"/>
        </w:rPr>
        <w:t xml:space="preserve"> </w:t>
      </w:r>
      <w:r w:rsidR="00B63033" w:rsidRPr="003303F8">
        <w:rPr>
          <w:kern w:val="0"/>
          <w:sz w:val="24"/>
          <w:szCs w:val="24"/>
        </w:rPr>
        <w:t>13</w:t>
      </w:r>
      <w:r w:rsidRPr="003303F8">
        <w:rPr>
          <w:kern w:val="0"/>
          <w:sz w:val="24"/>
          <w:szCs w:val="24"/>
        </w:rPr>
        <w:t>: 196-219.</w:t>
      </w:r>
    </w:p>
    <w:p w:rsidR="002368F2" w:rsidRPr="003303F8" w:rsidRDefault="002368F2" w:rsidP="00931FD3">
      <w:pPr>
        <w:overflowPunct/>
        <w:adjustRightInd/>
        <w:spacing w:before="240"/>
        <w:ind w:left="720" w:hanging="720"/>
        <w:rPr>
          <w:rFonts w:eastAsia="Times New Roman"/>
          <w:sz w:val="24"/>
          <w:szCs w:val="24"/>
        </w:rPr>
      </w:pPr>
      <w:r w:rsidRPr="003303F8">
        <w:rPr>
          <w:rFonts w:eastAsia="Times New Roman"/>
          <w:sz w:val="24"/>
          <w:szCs w:val="24"/>
        </w:rPr>
        <w:t>Banz, R</w:t>
      </w:r>
      <w:r w:rsidR="001E4414" w:rsidRPr="003303F8">
        <w:rPr>
          <w:rFonts w:eastAsia="Times New Roman"/>
          <w:sz w:val="24"/>
          <w:szCs w:val="24"/>
        </w:rPr>
        <w:t>.</w:t>
      </w:r>
      <w:r w:rsidR="00B63033" w:rsidRPr="003303F8">
        <w:rPr>
          <w:rFonts w:eastAsia="Times New Roman"/>
          <w:sz w:val="24"/>
          <w:szCs w:val="24"/>
        </w:rPr>
        <w:t xml:space="preserve"> 1981</w:t>
      </w:r>
      <w:r w:rsidR="001E4414" w:rsidRPr="003303F8">
        <w:rPr>
          <w:rFonts w:eastAsia="Times New Roman"/>
          <w:sz w:val="24"/>
          <w:szCs w:val="24"/>
        </w:rPr>
        <w:t>.</w:t>
      </w:r>
      <w:r w:rsidRPr="003303F8">
        <w:rPr>
          <w:rFonts w:eastAsia="Times New Roman"/>
          <w:sz w:val="24"/>
          <w:szCs w:val="24"/>
        </w:rPr>
        <w:t xml:space="preserve"> The relationship between return and market value of common stocks</w:t>
      </w:r>
      <w:r w:rsidR="00B63033" w:rsidRPr="003303F8">
        <w:rPr>
          <w:rFonts w:eastAsia="Times New Roman"/>
          <w:sz w:val="24"/>
          <w:szCs w:val="24"/>
        </w:rPr>
        <w:t xml:space="preserve">. </w:t>
      </w:r>
      <w:r w:rsidRPr="003303F8">
        <w:rPr>
          <w:rFonts w:eastAsia="Times New Roman"/>
          <w:i/>
          <w:sz w:val="24"/>
          <w:szCs w:val="24"/>
        </w:rPr>
        <w:t>Journal of Financial Economics</w:t>
      </w:r>
      <w:r w:rsidR="00B63033" w:rsidRPr="003303F8">
        <w:rPr>
          <w:rFonts w:eastAsia="Times New Roman"/>
          <w:sz w:val="24"/>
          <w:szCs w:val="24"/>
        </w:rPr>
        <w:t xml:space="preserve"> </w:t>
      </w:r>
      <w:r w:rsidRPr="003303F8">
        <w:rPr>
          <w:rFonts w:eastAsia="Times New Roman"/>
          <w:sz w:val="24"/>
          <w:szCs w:val="24"/>
        </w:rPr>
        <w:t>9</w:t>
      </w:r>
      <w:r w:rsidR="00177334" w:rsidRPr="003303F8">
        <w:rPr>
          <w:rFonts w:eastAsia="Times New Roman"/>
          <w:sz w:val="24"/>
          <w:szCs w:val="24"/>
        </w:rPr>
        <w:t xml:space="preserve">: </w:t>
      </w:r>
      <w:r w:rsidRPr="003303F8">
        <w:rPr>
          <w:rFonts w:eastAsia="Times New Roman"/>
          <w:sz w:val="24"/>
          <w:szCs w:val="24"/>
        </w:rPr>
        <w:t>3-18</w:t>
      </w:r>
      <w:r w:rsidR="00B63033" w:rsidRPr="003303F8">
        <w:rPr>
          <w:rFonts w:eastAsia="Times New Roman"/>
          <w:sz w:val="24"/>
          <w:szCs w:val="24"/>
        </w:rPr>
        <w:t>.</w:t>
      </w:r>
    </w:p>
    <w:p w:rsidR="00164C9B" w:rsidRPr="003303F8" w:rsidRDefault="00164C9B" w:rsidP="00931FD3">
      <w:pPr>
        <w:overflowPunct/>
        <w:adjustRightInd/>
        <w:spacing w:before="240"/>
        <w:ind w:left="720" w:hanging="720"/>
        <w:rPr>
          <w:rFonts w:eastAsia="Times New Roman"/>
          <w:sz w:val="24"/>
          <w:szCs w:val="24"/>
        </w:rPr>
      </w:pPr>
      <w:r w:rsidRPr="003303F8">
        <w:rPr>
          <w:rFonts w:eastAsia="Times New Roman"/>
          <w:sz w:val="24"/>
          <w:szCs w:val="24"/>
        </w:rPr>
        <w:t>Barone,</w:t>
      </w:r>
      <w:r w:rsidR="00B63033" w:rsidRPr="003303F8">
        <w:rPr>
          <w:rFonts w:eastAsia="Times New Roman"/>
          <w:sz w:val="24"/>
          <w:szCs w:val="24"/>
        </w:rPr>
        <w:t xml:space="preserve"> </w:t>
      </w:r>
      <w:r w:rsidRPr="003303F8">
        <w:rPr>
          <w:rFonts w:eastAsia="Times New Roman"/>
          <w:sz w:val="24"/>
          <w:szCs w:val="24"/>
        </w:rPr>
        <w:t>J</w:t>
      </w:r>
      <w:r w:rsidR="001E4414" w:rsidRPr="003303F8">
        <w:rPr>
          <w:rFonts w:eastAsia="Times New Roman"/>
          <w:sz w:val="24"/>
          <w:szCs w:val="24"/>
        </w:rPr>
        <w:t>.</w:t>
      </w:r>
      <w:r w:rsidR="00B63033" w:rsidRPr="003303F8">
        <w:rPr>
          <w:rFonts w:eastAsia="Times New Roman"/>
          <w:sz w:val="24"/>
          <w:szCs w:val="24"/>
        </w:rPr>
        <w:t xml:space="preserve"> 2003</w:t>
      </w:r>
      <w:r w:rsidR="001E4414" w:rsidRPr="003303F8">
        <w:rPr>
          <w:rFonts w:eastAsia="Times New Roman"/>
          <w:sz w:val="24"/>
          <w:szCs w:val="24"/>
        </w:rPr>
        <w:t>.</w:t>
      </w:r>
      <w:r w:rsidRPr="003303F8">
        <w:rPr>
          <w:rFonts w:eastAsia="Times New Roman"/>
          <w:sz w:val="24"/>
          <w:szCs w:val="24"/>
        </w:rPr>
        <w:t xml:space="preserve"> Perceptions of earnings quality and their association with the cost of equity capital</w:t>
      </w:r>
      <w:r w:rsidR="00B63033" w:rsidRPr="003303F8">
        <w:rPr>
          <w:rFonts w:eastAsia="Times New Roman"/>
          <w:sz w:val="24"/>
          <w:szCs w:val="24"/>
        </w:rPr>
        <w:t xml:space="preserve">. </w:t>
      </w:r>
      <w:r w:rsidRPr="003303F8">
        <w:rPr>
          <w:rFonts w:eastAsia="Times New Roman"/>
          <w:sz w:val="24"/>
          <w:szCs w:val="24"/>
        </w:rPr>
        <w:t>Working paper</w:t>
      </w:r>
      <w:r w:rsidR="001E4414" w:rsidRPr="003303F8">
        <w:rPr>
          <w:rFonts w:eastAsia="Times New Roman"/>
          <w:sz w:val="24"/>
          <w:szCs w:val="24"/>
        </w:rPr>
        <w:t>.</w:t>
      </w:r>
      <w:r w:rsidRPr="003303F8">
        <w:rPr>
          <w:rFonts w:eastAsia="Times New Roman"/>
          <w:sz w:val="24"/>
          <w:szCs w:val="24"/>
        </w:rPr>
        <w:t xml:space="preserve"> The University of Texas at Austin.</w:t>
      </w:r>
    </w:p>
    <w:p w:rsidR="00164C9B" w:rsidRPr="003303F8" w:rsidRDefault="00164C9B" w:rsidP="00931FD3">
      <w:pPr>
        <w:overflowPunct/>
        <w:adjustRightInd/>
        <w:spacing w:before="240"/>
        <w:ind w:left="720" w:hanging="720"/>
        <w:rPr>
          <w:sz w:val="24"/>
          <w:szCs w:val="24"/>
        </w:rPr>
      </w:pPr>
      <w:r w:rsidRPr="003303F8">
        <w:rPr>
          <w:sz w:val="24"/>
          <w:szCs w:val="24"/>
        </w:rPr>
        <w:t>Beaver, W., P. Kettler, and M. Scholes</w:t>
      </w:r>
      <w:r w:rsidR="001E4414" w:rsidRPr="003303F8">
        <w:rPr>
          <w:sz w:val="24"/>
          <w:szCs w:val="24"/>
        </w:rPr>
        <w:t>.</w:t>
      </w:r>
      <w:r w:rsidR="00B63033" w:rsidRPr="003303F8">
        <w:rPr>
          <w:sz w:val="24"/>
          <w:szCs w:val="24"/>
        </w:rPr>
        <w:t xml:space="preserve"> 1970</w:t>
      </w:r>
      <w:r w:rsidR="001E4414" w:rsidRPr="003303F8">
        <w:rPr>
          <w:sz w:val="24"/>
          <w:szCs w:val="24"/>
        </w:rPr>
        <w:t>.</w:t>
      </w:r>
      <w:r w:rsidR="00B63033" w:rsidRPr="003303F8">
        <w:rPr>
          <w:sz w:val="24"/>
          <w:szCs w:val="24"/>
        </w:rPr>
        <w:t xml:space="preserve"> </w:t>
      </w:r>
      <w:r w:rsidRPr="003303F8">
        <w:rPr>
          <w:sz w:val="24"/>
          <w:szCs w:val="24"/>
        </w:rPr>
        <w:t xml:space="preserve">The Association Between Market Determined and Accounting Determined Risk Measures. </w:t>
      </w:r>
      <w:r w:rsidRPr="003303F8">
        <w:rPr>
          <w:i/>
          <w:iCs/>
          <w:sz w:val="24"/>
          <w:szCs w:val="24"/>
        </w:rPr>
        <w:t>The Accounting Review</w:t>
      </w:r>
      <w:r w:rsidR="0080655A" w:rsidRPr="003303F8">
        <w:rPr>
          <w:sz w:val="24"/>
          <w:szCs w:val="24"/>
        </w:rPr>
        <w:t xml:space="preserve"> </w:t>
      </w:r>
      <w:r w:rsidRPr="003303F8">
        <w:rPr>
          <w:sz w:val="24"/>
          <w:szCs w:val="24"/>
        </w:rPr>
        <w:t>45: 654-</w:t>
      </w:r>
      <w:r w:rsidR="005F2E89" w:rsidRPr="003303F8">
        <w:rPr>
          <w:sz w:val="24"/>
          <w:szCs w:val="24"/>
        </w:rPr>
        <w:t>6</w:t>
      </w:r>
      <w:r w:rsidRPr="003303F8">
        <w:rPr>
          <w:sz w:val="24"/>
          <w:szCs w:val="24"/>
        </w:rPr>
        <w:t xml:space="preserve">82. </w:t>
      </w:r>
    </w:p>
    <w:p w:rsidR="00164C9B" w:rsidRPr="003303F8" w:rsidRDefault="00164C9B" w:rsidP="00931FD3">
      <w:pPr>
        <w:overflowPunct/>
        <w:adjustRightInd/>
        <w:spacing w:before="240"/>
        <w:ind w:left="720" w:hanging="720"/>
        <w:rPr>
          <w:sz w:val="24"/>
          <w:szCs w:val="24"/>
        </w:rPr>
      </w:pPr>
      <w:r w:rsidRPr="003303F8">
        <w:rPr>
          <w:sz w:val="24"/>
          <w:szCs w:val="24"/>
        </w:rPr>
        <w:t>Beyer, A., D.Cohen, T. Lys, and B.Walther</w:t>
      </w:r>
      <w:r w:rsidR="001E4414" w:rsidRPr="003303F8">
        <w:rPr>
          <w:sz w:val="24"/>
          <w:szCs w:val="24"/>
        </w:rPr>
        <w:t>.</w:t>
      </w:r>
      <w:r w:rsidRPr="003303F8">
        <w:rPr>
          <w:sz w:val="24"/>
          <w:szCs w:val="24"/>
        </w:rPr>
        <w:t xml:space="preserve"> </w:t>
      </w:r>
      <w:r w:rsidR="00B63033" w:rsidRPr="003303F8">
        <w:rPr>
          <w:sz w:val="24"/>
          <w:szCs w:val="24"/>
        </w:rPr>
        <w:t>2010</w:t>
      </w:r>
      <w:r w:rsidR="001E4414" w:rsidRPr="003303F8">
        <w:rPr>
          <w:sz w:val="24"/>
          <w:szCs w:val="24"/>
        </w:rPr>
        <w:t>.</w:t>
      </w:r>
      <w:r w:rsidR="00B63033" w:rsidRPr="003303F8">
        <w:rPr>
          <w:sz w:val="24"/>
          <w:szCs w:val="24"/>
        </w:rPr>
        <w:t xml:space="preserve"> </w:t>
      </w:r>
      <w:r w:rsidRPr="003303F8">
        <w:rPr>
          <w:sz w:val="24"/>
          <w:szCs w:val="24"/>
        </w:rPr>
        <w:t xml:space="preserve">The Financial </w:t>
      </w:r>
      <w:r w:rsidRPr="003303F8">
        <w:rPr>
          <w:rStyle w:val="searchword"/>
          <w:sz w:val="24"/>
          <w:szCs w:val="24"/>
        </w:rPr>
        <w:t>Reporting</w:t>
      </w:r>
      <w:r w:rsidRPr="003303F8">
        <w:rPr>
          <w:sz w:val="24"/>
          <w:szCs w:val="24"/>
        </w:rPr>
        <w:t xml:space="preserve"> Environment: Review of the Recent Literature</w:t>
      </w:r>
      <w:r w:rsidR="00B63033" w:rsidRPr="003303F8">
        <w:rPr>
          <w:sz w:val="24"/>
          <w:szCs w:val="24"/>
        </w:rPr>
        <w:t>.</w:t>
      </w:r>
      <w:r w:rsidRPr="003303F8">
        <w:rPr>
          <w:sz w:val="24"/>
          <w:szCs w:val="24"/>
        </w:rPr>
        <w:t xml:space="preserve"> </w:t>
      </w:r>
      <w:r w:rsidRPr="003303F8">
        <w:rPr>
          <w:bCs/>
          <w:i/>
          <w:sz w:val="24"/>
          <w:szCs w:val="24"/>
        </w:rPr>
        <w:t>Journal of Accounting and Economics</w:t>
      </w:r>
      <w:r w:rsidR="0080655A" w:rsidRPr="003303F8">
        <w:rPr>
          <w:sz w:val="24"/>
          <w:szCs w:val="24"/>
        </w:rPr>
        <w:t xml:space="preserve"> </w:t>
      </w:r>
      <w:r w:rsidRPr="003303F8">
        <w:rPr>
          <w:sz w:val="24"/>
          <w:szCs w:val="24"/>
        </w:rPr>
        <w:t>50</w:t>
      </w:r>
      <w:r w:rsidR="00177334" w:rsidRPr="003303F8">
        <w:rPr>
          <w:sz w:val="24"/>
          <w:szCs w:val="24"/>
        </w:rPr>
        <w:t>:</w:t>
      </w:r>
      <w:r w:rsidRPr="003303F8">
        <w:rPr>
          <w:sz w:val="24"/>
          <w:szCs w:val="24"/>
        </w:rPr>
        <w:t xml:space="preserve"> 296-343</w:t>
      </w:r>
      <w:r w:rsidR="00B63033" w:rsidRPr="003303F8">
        <w:rPr>
          <w:sz w:val="24"/>
          <w:szCs w:val="24"/>
        </w:rPr>
        <w:t>.</w:t>
      </w:r>
      <w:r w:rsidRPr="003303F8">
        <w:rPr>
          <w:sz w:val="24"/>
          <w:szCs w:val="24"/>
        </w:rPr>
        <w:t xml:space="preserve"> </w:t>
      </w:r>
    </w:p>
    <w:p w:rsidR="00164C9B" w:rsidRPr="003303F8" w:rsidRDefault="00164C9B" w:rsidP="00931FD3">
      <w:pPr>
        <w:overflowPunct/>
        <w:adjustRightInd/>
        <w:spacing w:before="240"/>
        <w:ind w:left="720" w:hanging="720"/>
        <w:rPr>
          <w:sz w:val="24"/>
          <w:szCs w:val="24"/>
        </w:rPr>
      </w:pPr>
      <w:r w:rsidRPr="003303F8">
        <w:rPr>
          <w:sz w:val="24"/>
          <w:szCs w:val="24"/>
        </w:rPr>
        <w:t>Biddle, G. G, Seow, and A.Siegel</w:t>
      </w:r>
      <w:r w:rsidR="001E4414" w:rsidRPr="003303F8">
        <w:rPr>
          <w:sz w:val="24"/>
          <w:szCs w:val="24"/>
        </w:rPr>
        <w:t>.</w:t>
      </w:r>
      <w:r w:rsidR="00B63033" w:rsidRPr="003303F8">
        <w:rPr>
          <w:sz w:val="24"/>
          <w:szCs w:val="24"/>
        </w:rPr>
        <w:t xml:space="preserve"> 1995</w:t>
      </w:r>
      <w:r w:rsidR="001E4414" w:rsidRPr="003303F8">
        <w:rPr>
          <w:sz w:val="24"/>
          <w:szCs w:val="24"/>
        </w:rPr>
        <w:t>.</w:t>
      </w:r>
      <w:r w:rsidR="00B63033" w:rsidRPr="003303F8">
        <w:rPr>
          <w:sz w:val="24"/>
          <w:szCs w:val="24"/>
        </w:rPr>
        <w:t xml:space="preserve"> </w:t>
      </w:r>
      <w:r w:rsidRPr="003303F8">
        <w:rPr>
          <w:sz w:val="24"/>
          <w:szCs w:val="24"/>
        </w:rPr>
        <w:t xml:space="preserve">Relative versus incremental information content. </w:t>
      </w:r>
      <w:r w:rsidRPr="003303F8">
        <w:rPr>
          <w:i/>
          <w:sz w:val="24"/>
          <w:szCs w:val="24"/>
        </w:rPr>
        <w:t>Contemporary Accounting Research</w:t>
      </w:r>
      <w:r w:rsidRPr="003303F8">
        <w:rPr>
          <w:sz w:val="24"/>
          <w:szCs w:val="24"/>
        </w:rPr>
        <w:t xml:space="preserve"> 12:1-23</w:t>
      </w:r>
      <w:r w:rsidR="00B63033" w:rsidRPr="003303F8">
        <w:rPr>
          <w:sz w:val="24"/>
          <w:szCs w:val="24"/>
        </w:rPr>
        <w:t>.</w:t>
      </w:r>
    </w:p>
    <w:p w:rsidR="00164C9B" w:rsidRPr="003303F8" w:rsidRDefault="00164C9B" w:rsidP="00931FD3">
      <w:pPr>
        <w:overflowPunct/>
        <w:adjustRightInd/>
        <w:spacing w:before="240"/>
        <w:ind w:left="720" w:hanging="720"/>
        <w:rPr>
          <w:sz w:val="24"/>
          <w:szCs w:val="24"/>
        </w:rPr>
      </w:pPr>
      <w:r w:rsidRPr="003303F8">
        <w:rPr>
          <w:sz w:val="24"/>
          <w:szCs w:val="24"/>
        </w:rPr>
        <w:t>Botosan, C</w:t>
      </w:r>
      <w:r w:rsidR="001E4414" w:rsidRPr="003303F8">
        <w:rPr>
          <w:sz w:val="24"/>
          <w:szCs w:val="24"/>
        </w:rPr>
        <w:t>.</w:t>
      </w:r>
      <w:r w:rsidRPr="003303F8">
        <w:rPr>
          <w:sz w:val="24"/>
          <w:szCs w:val="24"/>
        </w:rPr>
        <w:t xml:space="preserve"> </w:t>
      </w:r>
      <w:r w:rsidR="00B63033" w:rsidRPr="003303F8">
        <w:rPr>
          <w:sz w:val="24"/>
          <w:szCs w:val="24"/>
        </w:rPr>
        <w:t>1997</w:t>
      </w:r>
      <w:r w:rsidR="001E4414" w:rsidRPr="003303F8">
        <w:rPr>
          <w:sz w:val="24"/>
          <w:szCs w:val="24"/>
        </w:rPr>
        <w:t>.</w:t>
      </w:r>
      <w:r w:rsidR="00B63033" w:rsidRPr="003303F8">
        <w:rPr>
          <w:sz w:val="24"/>
          <w:szCs w:val="24"/>
        </w:rPr>
        <w:t xml:space="preserve"> </w:t>
      </w:r>
      <w:r w:rsidRPr="003303F8">
        <w:rPr>
          <w:sz w:val="24"/>
          <w:szCs w:val="24"/>
        </w:rPr>
        <w:t xml:space="preserve">Disclosure Level and the Cost of Equity Capital. </w:t>
      </w:r>
      <w:r w:rsidRPr="003303F8">
        <w:rPr>
          <w:i/>
          <w:iCs/>
          <w:sz w:val="24"/>
          <w:szCs w:val="24"/>
        </w:rPr>
        <w:t xml:space="preserve">The Accounting Review </w:t>
      </w:r>
      <w:r w:rsidR="0080655A" w:rsidRPr="003303F8">
        <w:rPr>
          <w:sz w:val="24"/>
          <w:szCs w:val="24"/>
        </w:rPr>
        <w:t xml:space="preserve"> </w:t>
      </w:r>
      <w:r w:rsidRPr="003303F8">
        <w:rPr>
          <w:sz w:val="24"/>
          <w:szCs w:val="24"/>
        </w:rPr>
        <w:t>72: 323</w:t>
      </w:r>
      <w:r w:rsidR="00D97B59" w:rsidRPr="003303F8">
        <w:rPr>
          <w:sz w:val="24"/>
          <w:szCs w:val="24"/>
        </w:rPr>
        <w:t>-</w:t>
      </w:r>
      <w:r w:rsidRPr="003303F8">
        <w:rPr>
          <w:sz w:val="24"/>
          <w:szCs w:val="24"/>
        </w:rPr>
        <w:t>349.</w:t>
      </w:r>
    </w:p>
    <w:p w:rsidR="00164C9B" w:rsidRPr="003303F8" w:rsidRDefault="00164C9B" w:rsidP="00931FD3">
      <w:pPr>
        <w:overflowPunct/>
        <w:adjustRightInd/>
        <w:spacing w:before="240"/>
        <w:ind w:left="720" w:hanging="720"/>
        <w:rPr>
          <w:sz w:val="24"/>
          <w:szCs w:val="24"/>
        </w:rPr>
      </w:pPr>
      <w:r w:rsidRPr="003303F8">
        <w:rPr>
          <w:sz w:val="24"/>
          <w:szCs w:val="24"/>
        </w:rPr>
        <w:t xml:space="preserve">Botosan, C., and M. Plumlee. </w:t>
      </w:r>
      <w:r w:rsidR="00B63033" w:rsidRPr="003303F8">
        <w:rPr>
          <w:sz w:val="24"/>
          <w:szCs w:val="24"/>
        </w:rPr>
        <w:t>2002</w:t>
      </w:r>
      <w:r w:rsidR="001E4414" w:rsidRPr="003303F8">
        <w:rPr>
          <w:sz w:val="24"/>
          <w:szCs w:val="24"/>
        </w:rPr>
        <w:t>.</w:t>
      </w:r>
      <w:r w:rsidR="00B63033" w:rsidRPr="003303F8">
        <w:rPr>
          <w:sz w:val="24"/>
          <w:szCs w:val="24"/>
        </w:rPr>
        <w:t xml:space="preserve"> </w:t>
      </w:r>
      <w:r w:rsidRPr="003303F8">
        <w:rPr>
          <w:sz w:val="24"/>
          <w:szCs w:val="24"/>
        </w:rPr>
        <w:t xml:space="preserve">A Re-examination of Disclosure Level and the Expected Cost of Equity Capital. </w:t>
      </w:r>
      <w:r w:rsidRPr="003303F8">
        <w:rPr>
          <w:i/>
          <w:iCs/>
          <w:sz w:val="24"/>
          <w:szCs w:val="24"/>
        </w:rPr>
        <w:t>Journal of Accounting Research</w:t>
      </w:r>
      <w:r w:rsidR="0080655A" w:rsidRPr="003303F8">
        <w:rPr>
          <w:sz w:val="24"/>
          <w:szCs w:val="24"/>
        </w:rPr>
        <w:t xml:space="preserve"> </w:t>
      </w:r>
      <w:r w:rsidRPr="003303F8">
        <w:rPr>
          <w:sz w:val="24"/>
          <w:szCs w:val="24"/>
        </w:rPr>
        <w:t>40: 21-40.</w:t>
      </w:r>
    </w:p>
    <w:p w:rsidR="00164C9B" w:rsidRPr="003303F8" w:rsidRDefault="00164C9B" w:rsidP="00931FD3">
      <w:pPr>
        <w:overflowPunct/>
        <w:adjustRightInd/>
        <w:spacing w:before="240"/>
        <w:ind w:left="720" w:hanging="720"/>
        <w:rPr>
          <w:sz w:val="24"/>
          <w:szCs w:val="24"/>
        </w:rPr>
      </w:pPr>
      <w:r w:rsidRPr="003303F8">
        <w:rPr>
          <w:sz w:val="24"/>
          <w:szCs w:val="24"/>
        </w:rPr>
        <w:t>Botosan, C. and M . Plumlee</w:t>
      </w:r>
      <w:r w:rsidR="001E4414" w:rsidRPr="003303F8">
        <w:rPr>
          <w:sz w:val="24"/>
          <w:szCs w:val="24"/>
        </w:rPr>
        <w:t>.</w:t>
      </w:r>
      <w:r w:rsidR="00B63033" w:rsidRPr="003303F8">
        <w:rPr>
          <w:sz w:val="24"/>
          <w:szCs w:val="24"/>
        </w:rPr>
        <w:t xml:space="preserve"> 2005</w:t>
      </w:r>
      <w:r w:rsidR="001E4414" w:rsidRPr="003303F8">
        <w:rPr>
          <w:sz w:val="24"/>
          <w:szCs w:val="24"/>
        </w:rPr>
        <w:t>.</w:t>
      </w:r>
      <w:r w:rsidRPr="003303F8">
        <w:rPr>
          <w:sz w:val="24"/>
          <w:szCs w:val="24"/>
        </w:rPr>
        <w:t xml:space="preserve"> </w:t>
      </w:r>
      <w:hyperlink r:id="rId54" w:history="1">
        <w:r w:rsidRPr="003303F8">
          <w:rPr>
            <w:sz w:val="24"/>
            <w:szCs w:val="24"/>
          </w:rPr>
          <w:t xml:space="preserve">Assessing Alternative Proxies for the Expected </w:t>
        </w:r>
        <w:r w:rsidRPr="003303F8">
          <w:rPr>
            <w:sz w:val="24"/>
            <w:szCs w:val="24"/>
          </w:rPr>
          <w:lastRenderedPageBreak/>
          <w:t>Risk Premium</w:t>
        </w:r>
      </w:hyperlink>
      <w:r w:rsidR="00B63033" w:rsidRPr="003303F8">
        <w:rPr>
          <w:sz w:val="24"/>
          <w:szCs w:val="24"/>
        </w:rPr>
        <w:t>.</w:t>
      </w:r>
      <w:r w:rsidRPr="003303F8">
        <w:rPr>
          <w:sz w:val="24"/>
          <w:szCs w:val="24"/>
        </w:rPr>
        <w:t xml:space="preserve"> </w:t>
      </w:r>
      <w:hyperlink r:id="rId55" w:history="1">
        <w:r w:rsidRPr="003303F8">
          <w:rPr>
            <w:i/>
            <w:sz w:val="24"/>
            <w:szCs w:val="24"/>
          </w:rPr>
          <w:t>The Accounting Review</w:t>
        </w:r>
        <w:r w:rsidRPr="003303F8">
          <w:rPr>
            <w:sz w:val="24"/>
            <w:szCs w:val="24"/>
          </w:rPr>
          <w:t xml:space="preserve"> </w:t>
        </w:r>
      </w:hyperlink>
      <w:r w:rsidRPr="003303F8">
        <w:rPr>
          <w:sz w:val="24"/>
          <w:szCs w:val="24"/>
        </w:rPr>
        <w:t>80</w:t>
      </w:r>
      <w:r w:rsidR="00B63033" w:rsidRPr="003303F8">
        <w:rPr>
          <w:sz w:val="24"/>
          <w:szCs w:val="24"/>
        </w:rPr>
        <w:t xml:space="preserve">: </w:t>
      </w:r>
      <w:r w:rsidRPr="003303F8">
        <w:rPr>
          <w:sz w:val="24"/>
          <w:szCs w:val="24"/>
        </w:rPr>
        <w:t xml:space="preserve">21-53 </w:t>
      </w:r>
    </w:p>
    <w:p w:rsidR="00936023" w:rsidRDefault="00936023" w:rsidP="00931FD3">
      <w:pPr>
        <w:overflowPunct/>
        <w:adjustRightInd/>
        <w:spacing w:before="240"/>
        <w:ind w:left="720" w:hanging="720"/>
        <w:rPr>
          <w:sz w:val="24"/>
          <w:szCs w:val="24"/>
        </w:rPr>
      </w:pPr>
      <w:proofErr w:type="spellStart"/>
      <w:proofErr w:type="gramStart"/>
      <w:r w:rsidRPr="00936023">
        <w:rPr>
          <w:sz w:val="24"/>
          <w:szCs w:val="24"/>
        </w:rPr>
        <w:t>Botosan</w:t>
      </w:r>
      <w:proofErr w:type="spellEnd"/>
      <w:r w:rsidRPr="00936023">
        <w:rPr>
          <w:sz w:val="24"/>
          <w:szCs w:val="24"/>
        </w:rPr>
        <w:t>,</w:t>
      </w:r>
      <w:r>
        <w:rPr>
          <w:sz w:val="24"/>
          <w:szCs w:val="24"/>
        </w:rPr>
        <w:t xml:space="preserve"> C., and M. </w:t>
      </w:r>
      <w:proofErr w:type="spellStart"/>
      <w:r>
        <w:rPr>
          <w:sz w:val="24"/>
          <w:szCs w:val="24"/>
        </w:rPr>
        <w:t>Plumlee</w:t>
      </w:r>
      <w:proofErr w:type="spellEnd"/>
      <w:r>
        <w:rPr>
          <w:sz w:val="24"/>
          <w:szCs w:val="24"/>
        </w:rPr>
        <w:t>.</w:t>
      </w:r>
      <w:proofErr w:type="gramEnd"/>
      <w:r>
        <w:rPr>
          <w:sz w:val="24"/>
          <w:szCs w:val="24"/>
        </w:rPr>
        <w:t xml:space="preserve"> 2013.</w:t>
      </w:r>
      <w:r w:rsidRPr="00936023">
        <w:rPr>
          <w:sz w:val="24"/>
          <w:szCs w:val="24"/>
        </w:rPr>
        <w:t xml:space="preserve"> Are</w:t>
      </w:r>
      <w:r>
        <w:rPr>
          <w:sz w:val="24"/>
          <w:szCs w:val="24"/>
        </w:rPr>
        <w:t xml:space="preserve"> Information Attributes Priced?</w:t>
      </w:r>
      <w:r w:rsidRPr="00936023">
        <w:rPr>
          <w:sz w:val="24"/>
          <w:szCs w:val="24"/>
        </w:rPr>
        <w:t xml:space="preserve"> </w:t>
      </w:r>
      <w:r w:rsidRPr="00936023">
        <w:rPr>
          <w:i/>
          <w:sz w:val="24"/>
          <w:szCs w:val="24"/>
        </w:rPr>
        <w:t xml:space="preserve">Journal of Business Finance </w:t>
      </w:r>
      <w:r w:rsidR="00E22853">
        <w:rPr>
          <w:i/>
          <w:sz w:val="24"/>
          <w:szCs w:val="24"/>
        </w:rPr>
        <w:t>and</w:t>
      </w:r>
      <w:r w:rsidRPr="00936023">
        <w:rPr>
          <w:i/>
          <w:sz w:val="24"/>
          <w:szCs w:val="24"/>
        </w:rPr>
        <w:t xml:space="preserve"> Accounting</w:t>
      </w:r>
      <w:r w:rsidRPr="00936023">
        <w:rPr>
          <w:sz w:val="24"/>
          <w:szCs w:val="24"/>
        </w:rPr>
        <w:t xml:space="preserve"> 40: 1045–1067</w:t>
      </w:r>
    </w:p>
    <w:p w:rsidR="00936023" w:rsidRDefault="00936023" w:rsidP="00931FD3">
      <w:pPr>
        <w:overflowPunct/>
        <w:adjustRightInd/>
        <w:spacing w:before="240"/>
        <w:ind w:left="720" w:hanging="720"/>
        <w:rPr>
          <w:sz w:val="24"/>
          <w:szCs w:val="24"/>
        </w:rPr>
      </w:pPr>
      <w:proofErr w:type="spellStart"/>
      <w:r w:rsidRPr="003303F8">
        <w:rPr>
          <w:sz w:val="24"/>
          <w:szCs w:val="24"/>
        </w:rPr>
        <w:t>Botosan</w:t>
      </w:r>
      <w:proofErr w:type="spellEnd"/>
      <w:r w:rsidRPr="003303F8">
        <w:rPr>
          <w:sz w:val="24"/>
          <w:szCs w:val="24"/>
        </w:rPr>
        <w:t xml:space="preserve">, C., M. </w:t>
      </w:r>
      <w:proofErr w:type="spellStart"/>
      <w:r w:rsidRPr="003303F8">
        <w:rPr>
          <w:sz w:val="24"/>
          <w:szCs w:val="24"/>
        </w:rPr>
        <w:t>Plumlee</w:t>
      </w:r>
      <w:proofErr w:type="spellEnd"/>
      <w:r w:rsidRPr="003303F8">
        <w:rPr>
          <w:sz w:val="24"/>
          <w:szCs w:val="24"/>
        </w:rPr>
        <w:t xml:space="preserve">, </w:t>
      </w:r>
      <w:r w:rsidRPr="003303F8">
        <w:rPr>
          <w:kern w:val="0"/>
          <w:sz w:val="24"/>
          <w:szCs w:val="24"/>
        </w:rPr>
        <w:t xml:space="preserve">and </w:t>
      </w:r>
      <w:r w:rsidRPr="00936023">
        <w:rPr>
          <w:sz w:val="24"/>
          <w:szCs w:val="24"/>
        </w:rPr>
        <w:t xml:space="preserve">H. Wen, </w:t>
      </w:r>
      <w:r>
        <w:rPr>
          <w:sz w:val="24"/>
          <w:szCs w:val="24"/>
        </w:rPr>
        <w:t>2011</w:t>
      </w:r>
      <w:r w:rsidRPr="00936023">
        <w:rPr>
          <w:sz w:val="24"/>
          <w:szCs w:val="24"/>
        </w:rPr>
        <w:t xml:space="preserve">, </w:t>
      </w:r>
      <w:proofErr w:type="gramStart"/>
      <w:r w:rsidRPr="00936023">
        <w:rPr>
          <w:sz w:val="24"/>
          <w:szCs w:val="24"/>
        </w:rPr>
        <w:t>The</w:t>
      </w:r>
      <w:proofErr w:type="gramEnd"/>
      <w:r w:rsidRPr="00936023">
        <w:rPr>
          <w:sz w:val="24"/>
          <w:szCs w:val="24"/>
        </w:rPr>
        <w:t xml:space="preserve"> Relation between Expected Returns, Realized Returns, and Firm Risk Characteristics. </w:t>
      </w:r>
      <w:r w:rsidRPr="00936023">
        <w:rPr>
          <w:i/>
          <w:sz w:val="24"/>
          <w:szCs w:val="24"/>
        </w:rPr>
        <w:t>Contemporary Accounting Research</w:t>
      </w:r>
      <w:r>
        <w:rPr>
          <w:sz w:val="24"/>
          <w:szCs w:val="24"/>
        </w:rPr>
        <w:t xml:space="preserve"> 28: 1085–1122</w:t>
      </w:r>
    </w:p>
    <w:p w:rsidR="00164C9B" w:rsidRPr="003303F8" w:rsidRDefault="00164C9B" w:rsidP="00931FD3">
      <w:pPr>
        <w:overflowPunct/>
        <w:adjustRightInd/>
        <w:spacing w:before="240"/>
        <w:ind w:left="720" w:hanging="720"/>
        <w:rPr>
          <w:sz w:val="24"/>
          <w:szCs w:val="24"/>
        </w:rPr>
      </w:pPr>
      <w:proofErr w:type="spellStart"/>
      <w:proofErr w:type="gramStart"/>
      <w:r w:rsidRPr="003303F8">
        <w:rPr>
          <w:sz w:val="24"/>
          <w:szCs w:val="24"/>
        </w:rPr>
        <w:t>Botosan</w:t>
      </w:r>
      <w:proofErr w:type="spellEnd"/>
      <w:r w:rsidRPr="003303F8">
        <w:rPr>
          <w:sz w:val="24"/>
          <w:szCs w:val="24"/>
        </w:rPr>
        <w:t xml:space="preserve">, C., M. Plumlee, </w:t>
      </w:r>
      <w:r w:rsidRPr="003303F8">
        <w:rPr>
          <w:kern w:val="0"/>
          <w:sz w:val="24"/>
          <w:szCs w:val="24"/>
        </w:rPr>
        <w:t>and Y. Xie</w:t>
      </w:r>
      <w:r w:rsidR="001E4414" w:rsidRPr="003303F8">
        <w:rPr>
          <w:kern w:val="0"/>
          <w:sz w:val="24"/>
          <w:szCs w:val="24"/>
        </w:rPr>
        <w:t>.</w:t>
      </w:r>
      <w:proofErr w:type="gramEnd"/>
      <w:r w:rsidR="00B63033" w:rsidRPr="003303F8">
        <w:rPr>
          <w:kern w:val="0"/>
          <w:sz w:val="24"/>
          <w:szCs w:val="24"/>
        </w:rPr>
        <w:t xml:space="preserve"> 2004</w:t>
      </w:r>
      <w:r w:rsidR="001E4414" w:rsidRPr="003303F8">
        <w:rPr>
          <w:kern w:val="0"/>
          <w:sz w:val="24"/>
          <w:szCs w:val="24"/>
        </w:rPr>
        <w:t>.</w:t>
      </w:r>
      <w:r w:rsidR="00B63033" w:rsidRPr="003303F8">
        <w:rPr>
          <w:kern w:val="0"/>
          <w:sz w:val="24"/>
          <w:szCs w:val="24"/>
        </w:rPr>
        <w:t xml:space="preserve"> </w:t>
      </w:r>
      <w:r w:rsidRPr="003303F8">
        <w:rPr>
          <w:kern w:val="0"/>
          <w:sz w:val="24"/>
          <w:szCs w:val="24"/>
        </w:rPr>
        <w:t xml:space="preserve">The Role of Information Precision in Determining Expected Risk Premium. </w:t>
      </w:r>
      <w:r w:rsidRPr="003303F8">
        <w:rPr>
          <w:i/>
          <w:kern w:val="0"/>
          <w:sz w:val="24"/>
          <w:szCs w:val="24"/>
        </w:rPr>
        <w:t>Review of Accounting Studies</w:t>
      </w:r>
      <w:r w:rsidR="00E0251D" w:rsidRPr="003303F8">
        <w:rPr>
          <w:i/>
          <w:kern w:val="0"/>
          <w:sz w:val="24"/>
          <w:szCs w:val="24"/>
        </w:rPr>
        <w:t xml:space="preserve"> </w:t>
      </w:r>
      <w:r w:rsidR="00E0251D" w:rsidRPr="003303F8">
        <w:rPr>
          <w:kern w:val="0"/>
          <w:sz w:val="24"/>
          <w:szCs w:val="24"/>
        </w:rPr>
        <w:t xml:space="preserve">9: </w:t>
      </w:r>
      <w:r w:rsidRPr="003303F8">
        <w:rPr>
          <w:kern w:val="0"/>
          <w:sz w:val="24"/>
          <w:szCs w:val="24"/>
        </w:rPr>
        <w:t>233-259</w:t>
      </w:r>
    </w:p>
    <w:p w:rsidR="00164C9B" w:rsidRPr="003303F8" w:rsidRDefault="00164C9B" w:rsidP="00931FD3">
      <w:pPr>
        <w:overflowPunct/>
        <w:adjustRightInd/>
        <w:spacing w:before="240"/>
        <w:ind w:left="720" w:hanging="720"/>
        <w:rPr>
          <w:kern w:val="0"/>
          <w:sz w:val="24"/>
          <w:szCs w:val="24"/>
        </w:rPr>
      </w:pPr>
      <w:proofErr w:type="gramStart"/>
      <w:r w:rsidRPr="003303F8">
        <w:rPr>
          <w:kern w:val="0"/>
          <w:sz w:val="24"/>
          <w:szCs w:val="24"/>
        </w:rPr>
        <w:t>Bowen, R., R. Castanias, and L. Daley</w:t>
      </w:r>
      <w:r w:rsidR="001E4414" w:rsidRPr="003303F8">
        <w:rPr>
          <w:kern w:val="0"/>
          <w:sz w:val="24"/>
          <w:szCs w:val="24"/>
        </w:rPr>
        <w:t>.</w:t>
      </w:r>
      <w:proofErr w:type="gramEnd"/>
      <w:r w:rsidRPr="003303F8">
        <w:rPr>
          <w:kern w:val="0"/>
          <w:sz w:val="24"/>
          <w:szCs w:val="24"/>
        </w:rPr>
        <w:t xml:space="preserve"> </w:t>
      </w:r>
      <w:r w:rsidR="00E0251D" w:rsidRPr="003303F8">
        <w:rPr>
          <w:kern w:val="0"/>
          <w:sz w:val="24"/>
          <w:szCs w:val="24"/>
        </w:rPr>
        <w:t>1983</w:t>
      </w:r>
      <w:r w:rsidR="001E4414" w:rsidRPr="003303F8">
        <w:rPr>
          <w:kern w:val="0"/>
          <w:sz w:val="24"/>
          <w:szCs w:val="24"/>
        </w:rPr>
        <w:t>.</w:t>
      </w:r>
      <w:r w:rsidR="00E0251D" w:rsidRPr="003303F8">
        <w:rPr>
          <w:kern w:val="0"/>
          <w:sz w:val="24"/>
          <w:szCs w:val="24"/>
        </w:rPr>
        <w:t xml:space="preserve"> </w:t>
      </w:r>
      <w:r w:rsidRPr="003303F8">
        <w:rPr>
          <w:kern w:val="0"/>
          <w:sz w:val="24"/>
          <w:szCs w:val="24"/>
        </w:rPr>
        <w:t>Intra-Industry Effects of the Accident at Three Mile Island</w:t>
      </w:r>
      <w:r w:rsidR="00E0251D" w:rsidRPr="003303F8">
        <w:rPr>
          <w:kern w:val="0"/>
          <w:sz w:val="24"/>
          <w:szCs w:val="24"/>
        </w:rPr>
        <w:t>.</w:t>
      </w:r>
      <w:r w:rsidR="00E0251D" w:rsidRPr="003303F8">
        <w:rPr>
          <w:i/>
          <w:kern w:val="0"/>
          <w:sz w:val="24"/>
          <w:szCs w:val="24"/>
        </w:rPr>
        <w:t xml:space="preserve"> </w:t>
      </w:r>
      <w:r w:rsidRPr="003303F8">
        <w:rPr>
          <w:i/>
          <w:kern w:val="0"/>
          <w:sz w:val="24"/>
          <w:szCs w:val="24"/>
        </w:rPr>
        <w:t xml:space="preserve">Journal of Financial and Quantitative Analysis </w:t>
      </w:r>
      <w:r w:rsidR="00E0251D" w:rsidRPr="003303F8">
        <w:rPr>
          <w:kern w:val="0"/>
          <w:sz w:val="24"/>
          <w:szCs w:val="24"/>
        </w:rPr>
        <w:t>18</w:t>
      </w:r>
      <w:r w:rsidRPr="003303F8">
        <w:rPr>
          <w:kern w:val="0"/>
          <w:sz w:val="24"/>
          <w:szCs w:val="24"/>
        </w:rPr>
        <w:t>: 87-112.</w:t>
      </w:r>
    </w:p>
    <w:p w:rsidR="00E0251D" w:rsidRPr="003303F8" w:rsidRDefault="00561B52" w:rsidP="00E0251D">
      <w:pPr>
        <w:overflowPunct/>
        <w:adjustRightInd/>
        <w:spacing w:before="240"/>
        <w:ind w:left="720" w:hanging="720"/>
        <w:rPr>
          <w:rFonts w:eastAsia="Times New Roman"/>
          <w:sz w:val="24"/>
          <w:szCs w:val="24"/>
        </w:rPr>
      </w:pPr>
      <w:r w:rsidRPr="003303F8">
        <w:rPr>
          <w:sz w:val="24"/>
          <w:szCs w:val="24"/>
        </w:rPr>
        <w:t xml:space="preserve">Bratten, B., </w:t>
      </w:r>
      <w:r w:rsidR="00E0251D" w:rsidRPr="003303F8">
        <w:rPr>
          <w:sz w:val="24"/>
          <w:szCs w:val="24"/>
        </w:rPr>
        <w:t xml:space="preserve">J. </w:t>
      </w:r>
      <w:r w:rsidRPr="003303F8">
        <w:rPr>
          <w:sz w:val="24"/>
          <w:szCs w:val="24"/>
        </w:rPr>
        <w:t xml:space="preserve">Payne, and </w:t>
      </w:r>
      <w:r w:rsidR="00E0251D" w:rsidRPr="003303F8">
        <w:rPr>
          <w:sz w:val="24"/>
          <w:szCs w:val="24"/>
        </w:rPr>
        <w:t>W.</w:t>
      </w:r>
      <w:r w:rsidRPr="003303F8">
        <w:rPr>
          <w:sz w:val="24"/>
          <w:szCs w:val="24"/>
        </w:rPr>
        <w:t>Thomas</w:t>
      </w:r>
      <w:r w:rsidR="001E4414" w:rsidRPr="003303F8">
        <w:rPr>
          <w:sz w:val="24"/>
          <w:szCs w:val="24"/>
        </w:rPr>
        <w:t>.</w:t>
      </w:r>
      <w:r w:rsidRPr="003303F8">
        <w:rPr>
          <w:sz w:val="24"/>
          <w:szCs w:val="24"/>
        </w:rPr>
        <w:t xml:space="preserve"> </w:t>
      </w:r>
      <w:r w:rsidR="00E0251D" w:rsidRPr="003303F8">
        <w:rPr>
          <w:sz w:val="24"/>
          <w:szCs w:val="24"/>
        </w:rPr>
        <w:t>201</w:t>
      </w:r>
      <w:r w:rsidR="003B6235" w:rsidRPr="003303F8">
        <w:rPr>
          <w:sz w:val="24"/>
          <w:szCs w:val="24"/>
        </w:rPr>
        <w:t>3</w:t>
      </w:r>
      <w:r w:rsidR="001E4414" w:rsidRPr="003303F8">
        <w:rPr>
          <w:sz w:val="24"/>
          <w:szCs w:val="24"/>
        </w:rPr>
        <w:t>.</w:t>
      </w:r>
      <w:r w:rsidR="00E0251D" w:rsidRPr="003303F8">
        <w:rPr>
          <w:sz w:val="24"/>
          <w:szCs w:val="24"/>
        </w:rPr>
        <w:t xml:space="preserve"> </w:t>
      </w:r>
      <w:r w:rsidRPr="003303F8">
        <w:rPr>
          <w:sz w:val="24"/>
          <w:szCs w:val="24"/>
        </w:rPr>
        <w:t xml:space="preserve">Earning Management: Do Firms Play 'Follow the Leader'?. </w:t>
      </w:r>
      <w:r w:rsidR="00E0251D" w:rsidRPr="003303F8">
        <w:rPr>
          <w:rFonts w:eastAsia="Times New Roman"/>
          <w:sz w:val="24"/>
          <w:szCs w:val="24"/>
        </w:rPr>
        <w:t>Working paper</w:t>
      </w:r>
      <w:r w:rsidR="001E4414" w:rsidRPr="003303F8">
        <w:rPr>
          <w:rFonts w:eastAsia="Times New Roman"/>
          <w:sz w:val="24"/>
          <w:szCs w:val="24"/>
        </w:rPr>
        <w:t>.</w:t>
      </w:r>
      <w:r w:rsidR="00E0251D" w:rsidRPr="003303F8">
        <w:rPr>
          <w:rFonts w:eastAsia="Times New Roman"/>
          <w:sz w:val="24"/>
          <w:szCs w:val="24"/>
        </w:rPr>
        <w:t xml:space="preserve"> The University of Kentucky.</w:t>
      </w:r>
    </w:p>
    <w:p w:rsidR="00561B52" w:rsidRPr="003303F8" w:rsidRDefault="00561B52" w:rsidP="00931FD3">
      <w:pPr>
        <w:adjustRightInd/>
        <w:spacing w:before="240"/>
        <w:ind w:left="720" w:hanging="720"/>
        <w:rPr>
          <w:sz w:val="24"/>
          <w:szCs w:val="24"/>
        </w:rPr>
      </w:pPr>
      <w:r w:rsidRPr="003303F8">
        <w:rPr>
          <w:sz w:val="24"/>
          <w:szCs w:val="24"/>
        </w:rPr>
        <w:t>Burgstahler, D., and I. Dichev.</w:t>
      </w:r>
      <w:r w:rsidR="00E0251D" w:rsidRPr="003303F8">
        <w:rPr>
          <w:sz w:val="24"/>
          <w:szCs w:val="24"/>
        </w:rPr>
        <w:t xml:space="preserve"> 1997</w:t>
      </w:r>
      <w:r w:rsidR="001E4414" w:rsidRPr="003303F8">
        <w:rPr>
          <w:sz w:val="24"/>
          <w:szCs w:val="24"/>
        </w:rPr>
        <w:t>.</w:t>
      </w:r>
      <w:r w:rsidRPr="003303F8">
        <w:rPr>
          <w:sz w:val="24"/>
          <w:szCs w:val="24"/>
        </w:rPr>
        <w:t xml:space="preserve"> </w:t>
      </w:r>
      <w:r w:rsidR="00E75EC9" w:rsidRPr="003303F8">
        <w:rPr>
          <w:sz w:val="24"/>
          <w:szCs w:val="24"/>
        </w:rPr>
        <w:t>Earnings, Adaptation and Equity Value</w:t>
      </w:r>
      <w:r w:rsidRPr="003303F8">
        <w:rPr>
          <w:sz w:val="24"/>
          <w:szCs w:val="24"/>
        </w:rPr>
        <w:t xml:space="preserve">. </w:t>
      </w:r>
      <w:r w:rsidR="00E75EC9" w:rsidRPr="003303F8">
        <w:rPr>
          <w:i/>
          <w:sz w:val="24"/>
          <w:szCs w:val="24"/>
        </w:rPr>
        <w:t>The Accounting Review</w:t>
      </w:r>
      <w:r w:rsidR="0080655A" w:rsidRPr="003303F8">
        <w:rPr>
          <w:sz w:val="24"/>
          <w:szCs w:val="24"/>
        </w:rPr>
        <w:t xml:space="preserve"> </w:t>
      </w:r>
      <w:r w:rsidR="00E75EC9" w:rsidRPr="003303F8">
        <w:rPr>
          <w:i/>
          <w:sz w:val="24"/>
          <w:szCs w:val="24"/>
        </w:rPr>
        <w:t>72</w:t>
      </w:r>
      <w:r w:rsidRPr="003303F8">
        <w:rPr>
          <w:sz w:val="24"/>
          <w:szCs w:val="24"/>
        </w:rPr>
        <w:t xml:space="preserve">: </w:t>
      </w:r>
      <w:r w:rsidR="00E75EC9" w:rsidRPr="003303F8">
        <w:rPr>
          <w:sz w:val="24"/>
          <w:szCs w:val="24"/>
        </w:rPr>
        <w:t>187-215</w:t>
      </w:r>
      <w:r w:rsidRPr="003303F8">
        <w:rPr>
          <w:sz w:val="24"/>
          <w:szCs w:val="24"/>
        </w:rPr>
        <w:t>.</w:t>
      </w:r>
    </w:p>
    <w:p w:rsidR="00164C9B" w:rsidRPr="003303F8" w:rsidRDefault="00164C9B" w:rsidP="00931FD3">
      <w:pPr>
        <w:overflowPunct/>
        <w:adjustRightInd/>
        <w:spacing w:before="240"/>
        <w:ind w:left="720" w:hanging="720"/>
        <w:rPr>
          <w:sz w:val="24"/>
          <w:szCs w:val="24"/>
        </w:rPr>
      </w:pPr>
      <w:proofErr w:type="spellStart"/>
      <w:r w:rsidRPr="003303F8">
        <w:rPr>
          <w:sz w:val="24"/>
          <w:szCs w:val="24"/>
        </w:rPr>
        <w:t>Coase</w:t>
      </w:r>
      <w:proofErr w:type="spellEnd"/>
      <w:r w:rsidRPr="003303F8">
        <w:rPr>
          <w:sz w:val="24"/>
          <w:szCs w:val="24"/>
        </w:rPr>
        <w:t>, R.</w:t>
      </w:r>
      <w:r w:rsidR="00E0251D" w:rsidRPr="003303F8">
        <w:rPr>
          <w:sz w:val="24"/>
          <w:szCs w:val="24"/>
        </w:rPr>
        <w:t>1960</w:t>
      </w:r>
      <w:r w:rsidR="001E4414" w:rsidRPr="003303F8">
        <w:rPr>
          <w:sz w:val="24"/>
          <w:szCs w:val="24"/>
        </w:rPr>
        <w:t>.</w:t>
      </w:r>
      <w:r w:rsidRPr="003303F8">
        <w:rPr>
          <w:sz w:val="24"/>
          <w:szCs w:val="24"/>
        </w:rPr>
        <w:t>The Problem of Social Cost</w:t>
      </w:r>
      <w:r w:rsidR="00E0251D" w:rsidRPr="003303F8">
        <w:rPr>
          <w:sz w:val="24"/>
          <w:szCs w:val="24"/>
        </w:rPr>
        <w:t>.</w:t>
      </w:r>
      <w:r w:rsidRPr="003303F8">
        <w:rPr>
          <w:sz w:val="24"/>
          <w:szCs w:val="24"/>
        </w:rPr>
        <w:t xml:space="preserve"> </w:t>
      </w:r>
      <w:r w:rsidRPr="003303F8">
        <w:rPr>
          <w:i/>
          <w:iCs/>
          <w:sz w:val="24"/>
          <w:szCs w:val="24"/>
        </w:rPr>
        <w:t>Journal of Law and Economics</w:t>
      </w:r>
      <w:r w:rsidR="0080655A" w:rsidRPr="003303F8">
        <w:rPr>
          <w:sz w:val="24"/>
          <w:szCs w:val="24"/>
        </w:rPr>
        <w:t xml:space="preserve"> </w:t>
      </w:r>
      <w:r w:rsidRPr="003303F8">
        <w:rPr>
          <w:sz w:val="24"/>
          <w:szCs w:val="24"/>
        </w:rPr>
        <w:t>3</w:t>
      </w:r>
      <w:r w:rsidR="001E4414" w:rsidRPr="003303F8">
        <w:rPr>
          <w:sz w:val="24"/>
          <w:szCs w:val="24"/>
        </w:rPr>
        <w:t xml:space="preserve">: </w:t>
      </w:r>
      <w:r w:rsidRPr="003303F8">
        <w:rPr>
          <w:sz w:val="24"/>
          <w:szCs w:val="24"/>
        </w:rPr>
        <w:t xml:space="preserve">1-44 </w:t>
      </w:r>
    </w:p>
    <w:p w:rsidR="00164C9B" w:rsidRPr="003303F8" w:rsidRDefault="00164C9B" w:rsidP="00931FD3">
      <w:pPr>
        <w:overflowPunct/>
        <w:adjustRightInd/>
        <w:spacing w:before="240"/>
        <w:ind w:left="720" w:hanging="720"/>
        <w:rPr>
          <w:sz w:val="24"/>
          <w:szCs w:val="24"/>
        </w:rPr>
      </w:pPr>
      <w:r w:rsidRPr="003303F8">
        <w:rPr>
          <w:sz w:val="24"/>
          <w:szCs w:val="24"/>
        </w:rPr>
        <w:t>Cohen, D</w:t>
      </w:r>
      <w:r w:rsidR="001E4414" w:rsidRPr="003303F8">
        <w:rPr>
          <w:sz w:val="24"/>
          <w:szCs w:val="24"/>
        </w:rPr>
        <w:t>.</w:t>
      </w:r>
      <w:r w:rsidR="00E0251D" w:rsidRPr="003303F8">
        <w:rPr>
          <w:sz w:val="24"/>
          <w:szCs w:val="24"/>
        </w:rPr>
        <w:t xml:space="preserve"> 2003</w:t>
      </w:r>
      <w:r w:rsidR="001E4414" w:rsidRPr="003303F8">
        <w:rPr>
          <w:sz w:val="24"/>
          <w:szCs w:val="24"/>
        </w:rPr>
        <w:t>.</w:t>
      </w:r>
      <w:r w:rsidRPr="003303F8">
        <w:rPr>
          <w:sz w:val="24"/>
          <w:szCs w:val="24"/>
        </w:rPr>
        <w:t xml:space="preserve"> Quality of Financial Reporting Choice: Determinants and Economic Consequences. Working paper</w:t>
      </w:r>
      <w:r w:rsidR="001E4414" w:rsidRPr="003303F8">
        <w:rPr>
          <w:sz w:val="24"/>
          <w:szCs w:val="24"/>
        </w:rPr>
        <w:t>.</w:t>
      </w:r>
      <w:r w:rsidRPr="003303F8">
        <w:rPr>
          <w:sz w:val="24"/>
          <w:szCs w:val="24"/>
        </w:rPr>
        <w:t xml:space="preserve"> Northwestern University</w:t>
      </w:r>
    </w:p>
    <w:p w:rsidR="00164C9B" w:rsidRPr="003303F8" w:rsidRDefault="00164C9B" w:rsidP="00931FD3">
      <w:pPr>
        <w:overflowPunct/>
        <w:adjustRightInd/>
        <w:spacing w:before="240"/>
        <w:ind w:left="720" w:hanging="720"/>
        <w:rPr>
          <w:sz w:val="24"/>
          <w:szCs w:val="24"/>
        </w:rPr>
      </w:pPr>
      <w:r w:rsidRPr="003303F8">
        <w:rPr>
          <w:sz w:val="24"/>
          <w:szCs w:val="24"/>
        </w:rPr>
        <w:t>Core, J., W. Guay, and R. Verdi</w:t>
      </w:r>
      <w:r w:rsidR="001E4414" w:rsidRPr="003303F8">
        <w:rPr>
          <w:sz w:val="24"/>
          <w:szCs w:val="24"/>
        </w:rPr>
        <w:t>.</w:t>
      </w:r>
      <w:r w:rsidR="00E0251D" w:rsidRPr="003303F8">
        <w:rPr>
          <w:sz w:val="24"/>
          <w:szCs w:val="24"/>
        </w:rPr>
        <w:t xml:space="preserve"> 2008</w:t>
      </w:r>
      <w:r w:rsidR="001E4414" w:rsidRPr="003303F8">
        <w:rPr>
          <w:sz w:val="24"/>
          <w:szCs w:val="24"/>
        </w:rPr>
        <w:t>.</w:t>
      </w:r>
      <w:r w:rsidR="00E0251D" w:rsidRPr="003303F8">
        <w:rPr>
          <w:sz w:val="24"/>
          <w:szCs w:val="24"/>
        </w:rPr>
        <w:t xml:space="preserve"> </w:t>
      </w:r>
      <w:r w:rsidRPr="003303F8">
        <w:rPr>
          <w:sz w:val="24"/>
          <w:szCs w:val="24"/>
        </w:rPr>
        <w:t xml:space="preserve">Is Accruals Quality a Priced Risk Factor? </w:t>
      </w:r>
      <w:r w:rsidRPr="003303F8">
        <w:rPr>
          <w:i/>
          <w:iCs/>
          <w:sz w:val="24"/>
          <w:szCs w:val="24"/>
        </w:rPr>
        <w:t xml:space="preserve">Journal of Accounting and Economics </w:t>
      </w:r>
      <w:r w:rsidRPr="003303F8">
        <w:rPr>
          <w:sz w:val="24"/>
          <w:szCs w:val="24"/>
        </w:rPr>
        <w:t>46</w:t>
      </w:r>
      <w:r w:rsidR="001E4414" w:rsidRPr="003303F8">
        <w:rPr>
          <w:sz w:val="24"/>
          <w:szCs w:val="24"/>
        </w:rPr>
        <w:t xml:space="preserve">: </w:t>
      </w:r>
      <w:r w:rsidRPr="003303F8">
        <w:rPr>
          <w:sz w:val="24"/>
          <w:szCs w:val="24"/>
        </w:rPr>
        <w:t>2-22.</w:t>
      </w:r>
    </w:p>
    <w:p w:rsidR="00EA226B" w:rsidRPr="003303F8" w:rsidRDefault="00EA226B" w:rsidP="00931FD3">
      <w:pPr>
        <w:overflowPunct/>
        <w:adjustRightInd/>
        <w:spacing w:before="240"/>
        <w:ind w:left="720" w:hanging="720"/>
        <w:rPr>
          <w:sz w:val="24"/>
          <w:szCs w:val="24"/>
        </w:rPr>
      </w:pPr>
      <w:r w:rsidRPr="003303F8">
        <w:rPr>
          <w:sz w:val="24"/>
          <w:szCs w:val="24"/>
        </w:rPr>
        <w:t>Chan, L., J. Lakonishok, and B. Swaminathan</w:t>
      </w:r>
      <w:r w:rsidR="001E4414" w:rsidRPr="003303F8">
        <w:rPr>
          <w:sz w:val="24"/>
          <w:szCs w:val="24"/>
        </w:rPr>
        <w:t>.</w:t>
      </w:r>
      <w:r w:rsidR="00E0251D" w:rsidRPr="003303F8">
        <w:rPr>
          <w:sz w:val="24"/>
          <w:szCs w:val="24"/>
        </w:rPr>
        <w:t xml:space="preserve"> 2007</w:t>
      </w:r>
      <w:r w:rsidR="001E4414" w:rsidRPr="003303F8">
        <w:rPr>
          <w:sz w:val="24"/>
          <w:szCs w:val="24"/>
        </w:rPr>
        <w:t>.</w:t>
      </w:r>
      <w:r w:rsidRPr="003303F8">
        <w:rPr>
          <w:sz w:val="24"/>
          <w:szCs w:val="24"/>
        </w:rPr>
        <w:t xml:space="preserve"> Industry classifications and return comovement. </w:t>
      </w:r>
      <w:r w:rsidRPr="003303F8">
        <w:rPr>
          <w:i/>
          <w:sz w:val="24"/>
          <w:szCs w:val="24"/>
        </w:rPr>
        <w:t>Financial Analysts Journal</w:t>
      </w:r>
      <w:r w:rsidRPr="003303F8">
        <w:rPr>
          <w:sz w:val="24"/>
          <w:szCs w:val="24"/>
        </w:rPr>
        <w:t xml:space="preserve"> </w:t>
      </w:r>
      <w:r w:rsidR="0080655A" w:rsidRPr="003303F8">
        <w:rPr>
          <w:sz w:val="24"/>
          <w:szCs w:val="24"/>
        </w:rPr>
        <w:t xml:space="preserve"> </w:t>
      </w:r>
      <w:r w:rsidRPr="003303F8">
        <w:rPr>
          <w:sz w:val="24"/>
          <w:szCs w:val="24"/>
        </w:rPr>
        <w:t>63: 56-70.</w:t>
      </w:r>
    </w:p>
    <w:p w:rsidR="00164C9B" w:rsidRPr="003303F8" w:rsidRDefault="00164C9B" w:rsidP="00931FD3">
      <w:pPr>
        <w:overflowPunct/>
        <w:adjustRightInd/>
        <w:spacing w:before="240"/>
        <w:ind w:left="720" w:hanging="720"/>
        <w:rPr>
          <w:sz w:val="24"/>
          <w:szCs w:val="24"/>
        </w:rPr>
      </w:pPr>
      <w:r w:rsidRPr="003303F8">
        <w:rPr>
          <w:sz w:val="24"/>
          <w:szCs w:val="24"/>
        </w:rPr>
        <w:t>Dechow P. and  I. Dichev</w:t>
      </w:r>
      <w:r w:rsidR="001E4414" w:rsidRPr="003303F8">
        <w:rPr>
          <w:sz w:val="24"/>
          <w:szCs w:val="24"/>
        </w:rPr>
        <w:t>.</w:t>
      </w:r>
      <w:r w:rsidR="00E0251D" w:rsidRPr="003303F8">
        <w:rPr>
          <w:sz w:val="24"/>
          <w:szCs w:val="24"/>
        </w:rPr>
        <w:t xml:space="preserve"> 2002</w:t>
      </w:r>
      <w:r w:rsidR="001E4414" w:rsidRPr="003303F8">
        <w:rPr>
          <w:sz w:val="24"/>
          <w:szCs w:val="24"/>
        </w:rPr>
        <w:t>.</w:t>
      </w:r>
      <w:r w:rsidRPr="003303F8">
        <w:rPr>
          <w:sz w:val="24"/>
          <w:szCs w:val="24"/>
        </w:rPr>
        <w:t xml:space="preserve"> The Quality of Accruals and Earnings: The Role of Accrual Estimation Errors. </w:t>
      </w:r>
      <w:r w:rsidRPr="003303F8">
        <w:rPr>
          <w:i/>
          <w:iCs/>
          <w:sz w:val="24"/>
          <w:szCs w:val="24"/>
        </w:rPr>
        <w:t xml:space="preserve">The Accounting Review </w:t>
      </w:r>
      <w:r w:rsidR="0080655A" w:rsidRPr="003303F8">
        <w:rPr>
          <w:sz w:val="24"/>
          <w:szCs w:val="24"/>
        </w:rPr>
        <w:t xml:space="preserve"> </w:t>
      </w:r>
      <w:r w:rsidRPr="003303F8">
        <w:rPr>
          <w:sz w:val="24"/>
          <w:szCs w:val="24"/>
        </w:rPr>
        <w:t>77: 35-59.</w:t>
      </w:r>
    </w:p>
    <w:p w:rsidR="00931F8F" w:rsidRPr="003303F8" w:rsidRDefault="00931F8F" w:rsidP="00931FD3">
      <w:pPr>
        <w:overflowPunct/>
        <w:adjustRightInd/>
        <w:spacing w:before="240"/>
        <w:ind w:left="720" w:hanging="720"/>
        <w:rPr>
          <w:sz w:val="24"/>
          <w:szCs w:val="24"/>
        </w:rPr>
      </w:pPr>
      <w:r w:rsidRPr="003303F8">
        <w:rPr>
          <w:sz w:val="24"/>
          <w:szCs w:val="24"/>
        </w:rPr>
        <w:t xml:space="preserve">Dichev, I.  and </w:t>
      </w:r>
      <w:r w:rsidR="00E0251D" w:rsidRPr="003303F8">
        <w:rPr>
          <w:sz w:val="24"/>
          <w:szCs w:val="24"/>
        </w:rPr>
        <w:t xml:space="preserve">V. </w:t>
      </w:r>
      <w:r w:rsidRPr="003303F8">
        <w:rPr>
          <w:sz w:val="24"/>
          <w:szCs w:val="24"/>
        </w:rPr>
        <w:t>Tang</w:t>
      </w:r>
      <w:r w:rsidR="001E4414" w:rsidRPr="003303F8">
        <w:rPr>
          <w:sz w:val="24"/>
          <w:szCs w:val="24"/>
        </w:rPr>
        <w:t>.</w:t>
      </w:r>
      <w:r w:rsidRPr="003303F8">
        <w:rPr>
          <w:sz w:val="24"/>
          <w:szCs w:val="24"/>
        </w:rPr>
        <w:t xml:space="preserve"> </w:t>
      </w:r>
      <w:r w:rsidR="00E0251D" w:rsidRPr="003303F8">
        <w:rPr>
          <w:sz w:val="24"/>
          <w:szCs w:val="24"/>
        </w:rPr>
        <w:t>2009</w:t>
      </w:r>
      <w:r w:rsidR="001E4414" w:rsidRPr="003303F8">
        <w:rPr>
          <w:sz w:val="24"/>
          <w:szCs w:val="24"/>
        </w:rPr>
        <w:t>.</w:t>
      </w:r>
      <w:r w:rsidR="00E0251D" w:rsidRPr="003303F8">
        <w:rPr>
          <w:sz w:val="24"/>
          <w:szCs w:val="24"/>
        </w:rPr>
        <w:t xml:space="preserve"> </w:t>
      </w:r>
      <w:r w:rsidRPr="003303F8">
        <w:rPr>
          <w:sz w:val="24"/>
          <w:szCs w:val="24"/>
        </w:rPr>
        <w:t>Earnings volatility and earnings predictability</w:t>
      </w:r>
      <w:r w:rsidR="001E4414" w:rsidRPr="003303F8">
        <w:rPr>
          <w:sz w:val="24"/>
          <w:szCs w:val="24"/>
        </w:rPr>
        <w:t>.</w:t>
      </w:r>
      <w:r w:rsidRPr="003303F8">
        <w:rPr>
          <w:sz w:val="24"/>
          <w:szCs w:val="24"/>
        </w:rPr>
        <w:t xml:space="preserve"> </w:t>
      </w:r>
      <w:r w:rsidRPr="003303F8">
        <w:rPr>
          <w:i/>
          <w:sz w:val="24"/>
          <w:szCs w:val="24"/>
        </w:rPr>
        <w:t xml:space="preserve"> Journal of Accounting and Economics</w:t>
      </w:r>
      <w:r w:rsidRPr="003303F8">
        <w:rPr>
          <w:sz w:val="24"/>
          <w:szCs w:val="24"/>
        </w:rPr>
        <w:t xml:space="preserve"> 47</w:t>
      </w:r>
      <w:r w:rsidR="00E0251D" w:rsidRPr="003303F8">
        <w:rPr>
          <w:sz w:val="24"/>
          <w:szCs w:val="24"/>
        </w:rPr>
        <w:t xml:space="preserve">: </w:t>
      </w:r>
      <w:r w:rsidRPr="003303F8">
        <w:rPr>
          <w:sz w:val="24"/>
          <w:szCs w:val="24"/>
        </w:rPr>
        <w:t>160-181</w:t>
      </w:r>
    </w:p>
    <w:p w:rsidR="00164C9B" w:rsidRPr="003303F8" w:rsidRDefault="00164C9B" w:rsidP="00931FD3">
      <w:pPr>
        <w:overflowPunct/>
        <w:adjustRightInd/>
        <w:spacing w:before="240"/>
        <w:ind w:left="720" w:hanging="720"/>
        <w:rPr>
          <w:sz w:val="24"/>
          <w:szCs w:val="24"/>
        </w:rPr>
      </w:pPr>
      <w:r w:rsidRPr="003303F8">
        <w:rPr>
          <w:sz w:val="24"/>
          <w:szCs w:val="24"/>
        </w:rPr>
        <w:t>Durnev, A. and C. Mangen</w:t>
      </w:r>
      <w:r w:rsidR="001E4414" w:rsidRPr="003303F8">
        <w:rPr>
          <w:sz w:val="24"/>
          <w:szCs w:val="24"/>
        </w:rPr>
        <w:t>.</w:t>
      </w:r>
      <w:r w:rsidRPr="003303F8">
        <w:rPr>
          <w:sz w:val="24"/>
          <w:szCs w:val="24"/>
        </w:rPr>
        <w:t xml:space="preserve"> </w:t>
      </w:r>
      <w:r w:rsidR="00E0251D" w:rsidRPr="003303F8">
        <w:rPr>
          <w:sz w:val="24"/>
          <w:szCs w:val="24"/>
        </w:rPr>
        <w:t>2009</w:t>
      </w:r>
      <w:r w:rsidR="001E4414" w:rsidRPr="003303F8">
        <w:rPr>
          <w:sz w:val="24"/>
          <w:szCs w:val="24"/>
        </w:rPr>
        <w:t xml:space="preserve">. </w:t>
      </w:r>
      <w:r w:rsidRPr="003303F8">
        <w:rPr>
          <w:sz w:val="24"/>
          <w:szCs w:val="24"/>
        </w:rPr>
        <w:t xml:space="preserve">Corporate Investments: Learning from Restatements. </w:t>
      </w:r>
      <w:r w:rsidRPr="003303F8">
        <w:rPr>
          <w:i/>
          <w:sz w:val="24"/>
          <w:szCs w:val="24"/>
        </w:rPr>
        <w:t>Journal of Accounting Research</w:t>
      </w:r>
      <w:r w:rsidR="0080655A" w:rsidRPr="003303F8">
        <w:rPr>
          <w:sz w:val="24"/>
          <w:szCs w:val="24"/>
        </w:rPr>
        <w:t xml:space="preserve"> </w:t>
      </w:r>
      <w:r w:rsidRPr="003303F8">
        <w:rPr>
          <w:sz w:val="24"/>
          <w:szCs w:val="24"/>
        </w:rPr>
        <w:t xml:space="preserve">47: 679-720. </w:t>
      </w:r>
    </w:p>
    <w:p w:rsidR="00164C9B" w:rsidRPr="003303F8" w:rsidRDefault="00164C9B" w:rsidP="00931FD3">
      <w:pPr>
        <w:overflowPunct/>
        <w:adjustRightInd/>
        <w:spacing w:before="240"/>
        <w:ind w:left="720" w:hanging="720"/>
        <w:rPr>
          <w:sz w:val="24"/>
          <w:szCs w:val="24"/>
        </w:rPr>
      </w:pPr>
      <w:r w:rsidRPr="003303F8">
        <w:rPr>
          <w:sz w:val="24"/>
          <w:szCs w:val="24"/>
        </w:rPr>
        <w:t>Dye, R</w:t>
      </w:r>
      <w:r w:rsidR="001E4414" w:rsidRPr="003303F8">
        <w:rPr>
          <w:sz w:val="24"/>
          <w:szCs w:val="24"/>
        </w:rPr>
        <w:t>.</w:t>
      </w:r>
      <w:r w:rsidRPr="003303F8">
        <w:rPr>
          <w:sz w:val="24"/>
          <w:szCs w:val="24"/>
        </w:rPr>
        <w:t xml:space="preserve"> </w:t>
      </w:r>
      <w:r w:rsidR="00E0251D" w:rsidRPr="003303F8">
        <w:rPr>
          <w:sz w:val="24"/>
          <w:szCs w:val="24"/>
        </w:rPr>
        <w:t>1990</w:t>
      </w:r>
      <w:r w:rsidR="001E4414" w:rsidRPr="003303F8">
        <w:rPr>
          <w:sz w:val="24"/>
          <w:szCs w:val="24"/>
        </w:rPr>
        <w:t>.</w:t>
      </w:r>
      <w:r w:rsidR="00E0251D" w:rsidRPr="003303F8">
        <w:rPr>
          <w:sz w:val="24"/>
          <w:szCs w:val="24"/>
        </w:rPr>
        <w:t xml:space="preserve"> </w:t>
      </w:r>
      <w:r w:rsidRPr="003303F8">
        <w:rPr>
          <w:sz w:val="24"/>
          <w:szCs w:val="24"/>
        </w:rPr>
        <w:t xml:space="preserve">Mandatory Versus Voluntary Disclosures: The Cases of Financial and Real Externalities. </w:t>
      </w:r>
      <w:r w:rsidRPr="003303F8">
        <w:rPr>
          <w:i/>
          <w:sz w:val="24"/>
          <w:szCs w:val="24"/>
        </w:rPr>
        <w:t xml:space="preserve">The Accounting Review </w:t>
      </w:r>
      <w:r w:rsidR="0080655A" w:rsidRPr="003303F8">
        <w:rPr>
          <w:sz w:val="24"/>
          <w:szCs w:val="24"/>
        </w:rPr>
        <w:t xml:space="preserve"> </w:t>
      </w:r>
      <w:r w:rsidRPr="003303F8">
        <w:rPr>
          <w:sz w:val="24"/>
          <w:szCs w:val="24"/>
        </w:rPr>
        <w:t>65</w:t>
      </w:r>
      <w:r w:rsidR="00E0251D" w:rsidRPr="003303F8">
        <w:rPr>
          <w:sz w:val="24"/>
          <w:szCs w:val="24"/>
        </w:rPr>
        <w:t xml:space="preserve">: </w:t>
      </w:r>
      <w:r w:rsidRPr="003303F8">
        <w:rPr>
          <w:sz w:val="24"/>
          <w:szCs w:val="24"/>
        </w:rPr>
        <w:t xml:space="preserve">1-24. </w:t>
      </w:r>
    </w:p>
    <w:p w:rsidR="00164C9B" w:rsidRPr="003303F8" w:rsidRDefault="00164C9B" w:rsidP="00931FD3">
      <w:pPr>
        <w:overflowPunct/>
        <w:adjustRightInd/>
        <w:spacing w:before="240"/>
        <w:ind w:left="720" w:hanging="720"/>
        <w:rPr>
          <w:sz w:val="24"/>
          <w:szCs w:val="24"/>
        </w:rPr>
      </w:pPr>
      <w:r w:rsidRPr="003303F8">
        <w:rPr>
          <w:sz w:val="24"/>
          <w:szCs w:val="24"/>
        </w:rPr>
        <w:t>Easton, P</w:t>
      </w:r>
      <w:r w:rsidR="001E4414" w:rsidRPr="003303F8">
        <w:rPr>
          <w:sz w:val="24"/>
          <w:szCs w:val="24"/>
        </w:rPr>
        <w:t xml:space="preserve">. </w:t>
      </w:r>
      <w:r w:rsidR="00E0251D" w:rsidRPr="003303F8">
        <w:rPr>
          <w:sz w:val="24"/>
          <w:szCs w:val="24"/>
        </w:rPr>
        <w:t>2004</w:t>
      </w:r>
      <w:r w:rsidR="001E4414" w:rsidRPr="003303F8">
        <w:rPr>
          <w:sz w:val="24"/>
          <w:szCs w:val="24"/>
        </w:rPr>
        <w:t>.</w:t>
      </w:r>
      <w:r w:rsidR="00E0251D" w:rsidRPr="003303F8">
        <w:rPr>
          <w:sz w:val="24"/>
          <w:szCs w:val="24"/>
        </w:rPr>
        <w:t xml:space="preserve"> </w:t>
      </w:r>
      <w:r w:rsidRPr="003303F8">
        <w:rPr>
          <w:sz w:val="24"/>
          <w:szCs w:val="24"/>
        </w:rPr>
        <w:t xml:space="preserve">PE Ratios, PEG Ratios, and Estimating the Implied Expected Rate of Return on Equity Capital. </w:t>
      </w:r>
      <w:r w:rsidRPr="003303F8">
        <w:rPr>
          <w:i/>
          <w:iCs/>
          <w:sz w:val="24"/>
          <w:szCs w:val="24"/>
        </w:rPr>
        <w:t xml:space="preserve">The Accounting Review </w:t>
      </w:r>
      <w:r w:rsidR="0080655A" w:rsidRPr="003303F8">
        <w:rPr>
          <w:sz w:val="24"/>
          <w:szCs w:val="24"/>
        </w:rPr>
        <w:t xml:space="preserve"> </w:t>
      </w:r>
      <w:r w:rsidRPr="003303F8">
        <w:rPr>
          <w:sz w:val="24"/>
          <w:szCs w:val="24"/>
        </w:rPr>
        <w:t>79</w:t>
      </w:r>
      <w:r w:rsidR="00E0251D" w:rsidRPr="003303F8">
        <w:rPr>
          <w:sz w:val="24"/>
          <w:szCs w:val="24"/>
        </w:rPr>
        <w:t xml:space="preserve">: </w:t>
      </w:r>
      <w:r w:rsidRPr="003303F8">
        <w:rPr>
          <w:sz w:val="24"/>
          <w:szCs w:val="24"/>
        </w:rPr>
        <w:t>73-95.</w:t>
      </w:r>
    </w:p>
    <w:p w:rsidR="00164C9B" w:rsidRPr="003303F8" w:rsidRDefault="00164C9B" w:rsidP="00931FD3">
      <w:pPr>
        <w:overflowPunct/>
        <w:adjustRightInd/>
        <w:spacing w:before="240"/>
        <w:ind w:left="720" w:hanging="720"/>
        <w:rPr>
          <w:sz w:val="24"/>
          <w:szCs w:val="24"/>
        </w:rPr>
      </w:pPr>
      <w:r w:rsidRPr="003303F8">
        <w:rPr>
          <w:sz w:val="24"/>
          <w:szCs w:val="24"/>
        </w:rPr>
        <w:t>Easley, D. and M. O’Hara.</w:t>
      </w:r>
      <w:r w:rsidR="00E0251D" w:rsidRPr="003303F8">
        <w:rPr>
          <w:sz w:val="24"/>
          <w:szCs w:val="24"/>
        </w:rPr>
        <w:t xml:space="preserve"> 2004</w:t>
      </w:r>
      <w:r w:rsidR="001E4414" w:rsidRPr="003303F8">
        <w:rPr>
          <w:sz w:val="24"/>
          <w:szCs w:val="24"/>
        </w:rPr>
        <w:t>.</w:t>
      </w:r>
      <w:r w:rsidRPr="003303F8">
        <w:rPr>
          <w:sz w:val="24"/>
          <w:szCs w:val="24"/>
        </w:rPr>
        <w:t xml:space="preserve"> Information and the Cost of equity. </w:t>
      </w:r>
      <w:r w:rsidRPr="003303F8">
        <w:rPr>
          <w:i/>
          <w:iCs/>
          <w:sz w:val="24"/>
          <w:szCs w:val="24"/>
        </w:rPr>
        <w:t xml:space="preserve">Journal of </w:t>
      </w:r>
      <w:proofErr w:type="gramStart"/>
      <w:r w:rsidRPr="003303F8">
        <w:rPr>
          <w:i/>
          <w:iCs/>
          <w:sz w:val="24"/>
          <w:szCs w:val="24"/>
        </w:rPr>
        <w:t>Finance</w:t>
      </w:r>
      <w:r w:rsidR="0080655A" w:rsidRPr="003303F8">
        <w:rPr>
          <w:iCs/>
          <w:sz w:val="24"/>
          <w:szCs w:val="24"/>
        </w:rPr>
        <w:t xml:space="preserve"> </w:t>
      </w:r>
      <w:r w:rsidR="004F536B" w:rsidRPr="003303F8">
        <w:rPr>
          <w:sz w:val="24"/>
          <w:szCs w:val="24"/>
        </w:rPr>
        <w:t xml:space="preserve"> </w:t>
      </w:r>
      <w:r w:rsidR="00E0251D" w:rsidRPr="003303F8">
        <w:rPr>
          <w:sz w:val="24"/>
          <w:szCs w:val="24"/>
        </w:rPr>
        <w:t>59:</w:t>
      </w:r>
      <w:r w:rsidR="004F536B" w:rsidRPr="003303F8">
        <w:rPr>
          <w:sz w:val="24"/>
          <w:szCs w:val="24"/>
        </w:rPr>
        <w:t>1553</w:t>
      </w:r>
      <w:proofErr w:type="gramEnd"/>
      <w:r w:rsidR="004F536B" w:rsidRPr="003303F8">
        <w:rPr>
          <w:sz w:val="24"/>
          <w:szCs w:val="24"/>
        </w:rPr>
        <w:t>-1583</w:t>
      </w:r>
    </w:p>
    <w:p w:rsidR="00164C9B" w:rsidRPr="003303F8" w:rsidRDefault="00164C9B" w:rsidP="00931FD3">
      <w:pPr>
        <w:overflowPunct/>
        <w:adjustRightInd/>
        <w:spacing w:before="240"/>
        <w:ind w:left="720" w:hanging="720"/>
        <w:rPr>
          <w:sz w:val="24"/>
          <w:szCs w:val="24"/>
        </w:rPr>
      </w:pPr>
      <w:r w:rsidRPr="003303F8">
        <w:rPr>
          <w:sz w:val="24"/>
          <w:szCs w:val="24"/>
        </w:rPr>
        <w:lastRenderedPageBreak/>
        <w:t xml:space="preserve">Easley, </w:t>
      </w:r>
      <w:r w:rsidR="004F536B" w:rsidRPr="003303F8">
        <w:rPr>
          <w:sz w:val="24"/>
          <w:szCs w:val="24"/>
        </w:rPr>
        <w:t>D., S. Hvidkjaer, and M. O’Hara</w:t>
      </w:r>
      <w:r w:rsidRPr="003303F8">
        <w:rPr>
          <w:sz w:val="24"/>
          <w:szCs w:val="24"/>
        </w:rPr>
        <w:t>.</w:t>
      </w:r>
      <w:r w:rsidR="00E0251D" w:rsidRPr="003303F8">
        <w:rPr>
          <w:sz w:val="24"/>
          <w:szCs w:val="24"/>
        </w:rPr>
        <w:t xml:space="preserve"> 2002</w:t>
      </w:r>
      <w:r w:rsidR="001E4414" w:rsidRPr="003303F8">
        <w:rPr>
          <w:sz w:val="24"/>
          <w:szCs w:val="24"/>
        </w:rPr>
        <w:t>.</w:t>
      </w:r>
      <w:r w:rsidRPr="003303F8">
        <w:rPr>
          <w:sz w:val="24"/>
          <w:szCs w:val="24"/>
        </w:rPr>
        <w:t xml:space="preserve"> Is Information Risk a Determinant of Assets Returns? </w:t>
      </w:r>
      <w:r w:rsidRPr="003303F8">
        <w:rPr>
          <w:i/>
          <w:iCs/>
          <w:sz w:val="24"/>
          <w:szCs w:val="24"/>
        </w:rPr>
        <w:t xml:space="preserve">Journal of Finance </w:t>
      </w:r>
      <w:r w:rsidR="004F536B" w:rsidRPr="003303F8">
        <w:rPr>
          <w:sz w:val="24"/>
          <w:szCs w:val="24"/>
        </w:rPr>
        <w:t xml:space="preserve"> </w:t>
      </w:r>
      <w:r w:rsidRPr="003303F8">
        <w:rPr>
          <w:sz w:val="24"/>
          <w:szCs w:val="24"/>
        </w:rPr>
        <w:t>57: 2185-2221.</w:t>
      </w:r>
    </w:p>
    <w:p w:rsidR="00164C9B" w:rsidRPr="003303F8" w:rsidRDefault="00164C9B" w:rsidP="00931FD3">
      <w:pPr>
        <w:overflowPunct/>
        <w:adjustRightInd/>
        <w:spacing w:before="240"/>
        <w:ind w:left="720" w:hanging="720"/>
        <w:rPr>
          <w:sz w:val="24"/>
          <w:szCs w:val="24"/>
        </w:rPr>
      </w:pPr>
      <w:r w:rsidRPr="003303F8">
        <w:rPr>
          <w:sz w:val="24"/>
          <w:szCs w:val="24"/>
        </w:rPr>
        <w:t xml:space="preserve">Ecker, F., J. Francis, I. Kim, P.M. Olsson, and K. Schipper. </w:t>
      </w:r>
      <w:r w:rsidR="00E0251D" w:rsidRPr="003303F8">
        <w:rPr>
          <w:sz w:val="24"/>
          <w:szCs w:val="24"/>
        </w:rPr>
        <w:t>2006</w:t>
      </w:r>
      <w:r w:rsidR="001E4414" w:rsidRPr="003303F8">
        <w:rPr>
          <w:sz w:val="24"/>
          <w:szCs w:val="24"/>
        </w:rPr>
        <w:t>.</w:t>
      </w:r>
      <w:r w:rsidR="00E0251D" w:rsidRPr="003303F8">
        <w:rPr>
          <w:sz w:val="24"/>
          <w:szCs w:val="24"/>
        </w:rPr>
        <w:t xml:space="preserve"> </w:t>
      </w:r>
      <w:r w:rsidRPr="003303F8">
        <w:rPr>
          <w:sz w:val="24"/>
          <w:szCs w:val="24"/>
        </w:rPr>
        <w:t xml:space="preserve">A Returns-Based Representation of Earnings Quality. </w:t>
      </w:r>
      <w:r w:rsidRPr="003303F8">
        <w:rPr>
          <w:i/>
          <w:iCs/>
          <w:sz w:val="24"/>
          <w:szCs w:val="24"/>
        </w:rPr>
        <w:t xml:space="preserve">The Accounting Review </w:t>
      </w:r>
      <w:r w:rsidR="004F536B" w:rsidRPr="003303F8">
        <w:rPr>
          <w:sz w:val="24"/>
          <w:szCs w:val="24"/>
        </w:rPr>
        <w:t xml:space="preserve"> </w:t>
      </w:r>
      <w:r w:rsidRPr="003303F8">
        <w:rPr>
          <w:sz w:val="24"/>
          <w:szCs w:val="24"/>
        </w:rPr>
        <w:t>81</w:t>
      </w:r>
      <w:r w:rsidR="00E0251D" w:rsidRPr="003303F8">
        <w:rPr>
          <w:sz w:val="24"/>
          <w:szCs w:val="24"/>
        </w:rPr>
        <w:t xml:space="preserve">: </w:t>
      </w:r>
      <w:r w:rsidRPr="003303F8">
        <w:rPr>
          <w:sz w:val="24"/>
          <w:szCs w:val="24"/>
        </w:rPr>
        <w:t>749-780.</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Eckbo, E</w:t>
      </w:r>
      <w:r w:rsidR="001E4414" w:rsidRPr="003303F8">
        <w:rPr>
          <w:kern w:val="0"/>
          <w:sz w:val="24"/>
          <w:szCs w:val="24"/>
        </w:rPr>
        <w:t>.</w:t>
      </w:r>
      <w:r w:rsidR="00E0251D" w:rsidRPr="003303F8">
        <w:rPr>
          <w:kern w:val="0"/>
          <w:sz w:val="24"/>
          <w:szCs w:val="24"/>
        </w:rPr>
        <w:t xml:space="preserve"> 1983</w:t>
      </w:r>
      <w:r w:rsidR="001E4414" w:rsidRPr="003303F8">
        <w:rPr>
          <w:kern w:val="0"/>
          <w:sz w:val="24"/>
          <w:szCs w:val="24"/>
        </w:rPr>
        <w:t>.</w:t>
      </w:r>
      <w:r w:rsidR="00E0251D" w:rsidRPr="003303F8">
        <w:rPr>
          <w:kern w:val="0"/>
          <w:sz w:val="24"/>
          <w:szCs w:val="24"/>
        </w:rPr>
        <w:t xml:space="preserve"> </w:t>
      </w:r>
      <w:r w:rsidRPr="003303F8">
        <w:rPr>
          <w:kern w:val="0"/>
          <w:sz w:val="24"/>
          <w:szCs w:val="24"/>
        </w:rPr>
        <w:t>Horizontal Mergers, Collusion, and Stockholder Wealth</w:t>
      </w:r>
      <w:r w:rsidR="00E0251D" w:rsidRPr="003303F8">
        <w:rPr>
          <w:kern w:val="0"/>
          <w:sz w:val="24"/>
          <w:szCs w:val="24"/>
        </w:rPr>
        <w:t>.</w:t>
      </w:r>
      <w:r w:rsidR="00E0251D" w:rsidRPr="003303F8">
        <w:rPr>
          <w:i/>
          <w:kern w:val="0"/>
          <w:sz w:val="24"/>
          <w:szCs w:val="24"/>
        </w:rPr>
        <w:t xml:space="preserve"> </w:t>
      </w:r>
      <w:r w:rsidRPr="003303F8">
        <w:rPr>
          <w:i/>
          <w:kern w:val="0"/>
          <w:sz w:val="24"/>
          <w:szCs w:val="24"/>
        </w:rPr>
        <w:t>Journal of Financial Economics</w:t>
      </w:r>
      <w:r w:rsidRPr="003303F8">
        <w:rPr>
          <w:kern w:val="0"/>
          <w:sz w:val="24"/>
          <w:szCs w:val="24"/>
        </w:rPr>
        <w:t xml:space="preserve"> </w:t>
      </w:r>
      <w:r w:rsidR="00E0251D" w:rsidRPr="003303F8">
        <w:rPr>
          <w:kern w:val="0"/>
          <w:sz w:val="24"/>
          <w:szCs w:val="24"/>
        </w:rPr>
        <w:t>11:</w:t>
      </w:r>
      <w:r w:rsidRPr="003303F8">
        <w:rPr>
          <w:kern w:val="0"/>
          <w:sz w:val="24"/>
          <w:szCs w:val="24"/>
        </w:rPr>
        <w:t>241-273.</w:t>
      </w:r>
    </w:p>
    <w:p w:rsidR="00561B52" w:rsidRPr="003303F8" w:rsidRDefault="00561B52" w:rsidP="00931FD3">
      <w:pPr>
        <w:adjustRightInd/>
        <w:spacing w:before="240"/>
        <w:ind w:left="720" w:hanging="720"/>
        <w:rPr>
          <w:sz w:val="24"/>
          <w:szCs w:val="24"/>
        </w:rPr>
      </w:pPr>
      <w:r w:rsidRPr="003303F8">
        <w:rPr>
          <w:sz w:val="24"/>
          <w:szCs w:val="24"/>
        </w:rPr>
        <w:t>Elton, J</w:t>
      </w:r>
      <w:r w:rsidR="001E4414" w:rsidRPr="003303F8">
        <w:rPr>
          <w:sz w:val="24"/>
          <w:szCs w:val="24"/>
        </w:rPr>
        <w:t>.</w:t>
      </w:r>
      <w:r w:rsidRPr="003303F8">
        <w:rPr>
          <w:sz w:val="24"/>
          <w:szCs w:val="24"/>
        </w:rPr>
        <w:t xml:space="preserve"> </w:t>
      </w:r>
      <w:r w:rsidR="00E0251D" w:rsidRPr="003303F8">
        <w:rPr>
          <w:sz w:val="24"/>
          <w:szCs w:val="24"/>
        </w:rPr>
        <w:t>1999</w:t>
      </w:r>
      <w:r w:rsidR="001E4414" w:rsidRPr="003303F8">
        <w:rPr>
          <w:sz w:val="24"/>
          <w:szCs w:val="24"/>
        </w:rPr>
        <w:t>.</w:t>
      </w:r>
      <w:r w:rsidR="00E0251D" w:rsidRPr="003303F8">
        <w:rPr>
          <w:sz w:val="24"/>
          <w:szCs w:val="24"/>
        </w:rPr>
        <w:t xml:space="preserve"> </w:t>
      </w:r>
      <w:r w:rsidRPr="003303F8">
        <w:rPr>
          <w:sz w:val="24"/>
          <w:szCs w:val="24"/>
        </w:rPr>
        <w:t>Expected Return, Realized Return, and Asset Pricing Tests</w:t>
      </w:r>
      <w:r w:rsidR="00E0251D" w:rsidRPr="003303F8">
        <w:rPr>
          <w:sz w:val="24"/>
          <w:szCs w:val="24"/>
        </w:rPr>
        <w:t xml:space="preserve">. </w:t>
      </w:r>
      <w:r w:rsidRPr="003303F8">
        <w:rPr>
          <w:i/>
          <w:iCs/>
          <w:sz w:val="24"/>
          <w:szCs w:val="24"/>
        </w:rPr>
        <w:t>Journal of Finance</w:t>
      </w:r>
      <w:r w:rsidR="00E0251D" w:rsidRPr="003303F8">
        <w:rPr>
          <w:sz w:val="24"/>
          <w:szCs w:val="24"/>
        </w:rPr>
        <w:t xml:space="preserve"> </w:t>
      </w:r>
      <w:r w:rsidRPr="003303F8">
        <w:rPr>
          <w:sz w:val="24"/>
          <w:szCs w:val="24"/>
        </w:rPr>
        <w:t>54</w:t>
      </w:r>
      <w:r w:rsidR="00E0251D" w:rsidRPr="003303F8">
        <w:rPr>
          <w:sz w:val="24"/>
          <w:szCs w:val="24"/>
        </w:rPr>
        <w:t xml:space="preserve">: </w:t>
      </w:r>
      <w:r w:rsidRPr="003303F8">
        <w:rPr>
          <w:sz w:val="24"/>
          <w:szCs w:val="24"/>
        </w:rPr>
        <w:t>1199-1220.</w:t>
      </w:r>
    </w:p>
    <w:p w:rsidR="00164C9B" w:rsidRPr="003303F8" w:rsidRDefault="00164C9B" w:rsidP="00931FD3">
      <w:pPr>
        <w:widowControl/>
        <w:overflowPunct/>
        <w:autoSpaceDE/>
        <w:autoSpaceDN/>
        <w:adjustRightInd/>
        <w:spacing w:before="240"/>
        <w:ind w:left="720" w:hanging="720"/>
        <w:rPr>
          <w:rFonts w:eastAsia="Times New Roman"/>
          <w:kern w:val="0"/>
          <w:sz w:val="24"/>
          <w:szCs w:val="24"/>
          <w:lang w:eastAsia="en-US"/>
        </w:rPr>
      </w:pPr>
      <w:r w:rsidRPr="003303F8">
        <w:rPr>
          <w:sz w:val="24"/>
          <w:szCs w:val="24"/>
        </w:rPr>
        <w:t>Fama, E.F. and K. French</w:t>
      </w:r>
      <w:r w:rsidR="001E4414" w:rsidRPr="003303F8">
        <w:rPr>
          <w:sz w:val="24"/>
          <w:szCs w:val="24"/>
        </w:rPr>
        <w:t>.</w:t>
      </w:r>
      <w:r w:rsidR="00E0251D" w:rsidRPr="003303F8">
        <w:rPr>
          <w:sz w:val="24"/>
          <w:szCs w:val="24"/>
        </w:rPr>
        <w:t xml:space="preserve"> 1992</w:t>
      </w:r>
      <w:r w:rsidR="001E4414" w:rsidRPr="003303F8">
        <w:rPr>
          <w:sz w:val="24"/>
          <w:szCs w:val="24"/>
        </w:rPr>
        <w:t>.</w:t>
      </w:r>
      <w:r w:rsidR="00E0251D" w:rsidRPr="003303F8">
        <w:rPr>
          <w:sz w:val="24"/>
          <w:szCs w:val="24"/>
        </w:rPr>
        <w:t xml:space="preserve"> </w:t>
      </w:r>
      <w:r w:rsidRPr="003303F8">
        <w:rPr>
          <w:rFonts w:eastAsia="Times New Roman"/>
          <w:kern w:val="0"/>
          <w:sz w:val="24"/>
          <w:szCs w:val="24"/>
          <w:lang w:eastAsia="en-US"/>
        </w:rPr>
        <w:t>The Cross-Section of Expected Stock Returns.</w:t>
      </w:r>
      <w:r w:rsidR="004F536B" w:rsidRPr="003303F8">
        <w:rPr>
          <w:rFonts w:eastAsia="Times New Roman"/>
          <w:kern w:val="0"/>
          <w:sz w:val="24"/>
          <w:szCs w:val="24"/>
          <w:lang w:eastAsia="en-US"/>
        </w:rPr>
        <w:t xml:space="preserve"> </w:t>
      </w:r>
      <w:r w:rsidRPr="003303F8">
        <w:rPr>
          <w:rFonts w:eastAsia="Times New Roman"/>
          <w:i/>
          <w:iCs/>
          <w:kern w:val="0"/>
          <w:sz w:val="24"/>
          <w:szCs w:val="24"/>
          <w:lang w:eastAsia="en-US"/>
        </w:rPr>
        <w:t>The Journal of Finance</w:t>
      </w:r>
      <w:r w:rsidRPr="003303F8">
        <w:rPr>
          <w:rFonts w:eastAsia="Times New Roman"/>
          <w:kern w:val="0"/>
          <w:sz w:val="24"/>
          <w:szCs w:val="24"/>
          <w:lang w:eastAsia="en-US"/>
        </w:rPr>
        <w:t xml:space="preserve"> 47</w:t>
      </w:r>
      <w:r w:rsidR="00E0251D" w:rsidRPr="003303F8">
        <w:rPr>
          <w:rFonts w:eastAsia="Times New Roman"/>
          <w:kern w:val="0"/>
          <w:sz w:val="24"/>
          <w:szCs w:val="24"/>
          <w:lang w:eastAsia="en-US"/>
        </w:rPr>
        <w:t>:</w:t>
      </w:r>
      <w:r w:rsidRPr="003303F8">
        <w:rPr>
          <w:rFonts w:eastAsia="Times New Roman"/>
          <w:kern w:val="0"/>
          <w:sz w:val="24"/>
          <w:szCs w:val="24"/>
          <w:lang w:eastAsia="en-US"/>
        </w:rPr>
        <w:t xml:space="preserve"> 427-465 </w:t>
      </w:r>
    </w:p>
    <w:p w:rsidR="00164C9B" w:rsidRPr="003303F8" w:rsidRDefault="00164C9B" w:rsidP="00931FD3">
      <w:pPr>
        <w:overflowPunct/>
        <w:adjustRightInd/>
        <w:spacing w:before="240"/>
        <w:ind w:left="720" w:hanging="720"/>
        <w:rPr>
          <w:sz w:val="24"/>
          <w:szCs w:val="24"/>
        </w:rPr>
      </w:pPr>
      <w:r w:rsidRPr="003303F8">
        <w:rPr>
          <w:sz w:val="24"/>
          <w:szCs w:val="24"/>
        </w:rPr>
        <w:t xml:space="preserve">Fama, E.F. and K. French. </w:t>
      </w:r>
      <w:r w:rsidR="00E0251D" w:rsidRPr="003303F8">
        <w:rPr>
          <w:sz w:val="24"/>
          <w:szCs w:val="24"/>
        </w:rPr>
        <w:t>1993</w:t>
      </w:r>
      <w:r w:rsidR="001E4414" w:rsidRPr="003303F8">
        <w:rPr>
          <w:sz w:val="24"/>
          <w:szCs w:val="24"/>
        </w:rPr>
        <w:t>.</w:t>
      </w:r>
      <w:r w:rsidR="00E0251D" w:rsidRPr="003303F8">
        <w:rPr>
          <w:sz w:val="24"/>
          <w:szCs w:val="24"/>
        </w:rPr>
        <w:t xml:space="preserve"> </w:t>
      </w:r>
      <w:r w:rsidRPr="003303F8">
        <w:rPr>
          <w:sz w:val="24"/>
          <w:szCs w:val="24"/>
        </w:rPr>
        <w:t xml:space="preserve">Common Risk Factors in the Returns on Stocks and Bonds. </w:t>
      </w:r>
      <w:r w:rsidRPr="003303F8">
        <w:rPr>
          <w:i/>
          <w:iCs/>
          <w:sz w:val="24"/>
          <w:szCs w:val="24"/>
        </w:rPr>
        <w:t xml:space="preserve">Journal of Financial Economics </w:t>
      </w:r>
      <w:r w:rsidRPr="003303F8">
        <w:rPr>
          <w:sz w:val="24"/>
          <w:szCs w:val="24"/>
        </w:rPr>
        <w:t>33: 3-56</w:t>
      </w:r>
    </w:p>
    <w:p w:rsidR="00164C9B" w:rsidRPr="003303F8" w:rsidRDefault="00164C9B" w:rsidP="00931FD3">
      <w:pPr>
        <w:overflowPunct/>
        <w:adjustRightInd/>
        <w:spacing w:before="240"/>
        <w:ind w:left="720" w:hanging="720"/>
        <w:rPr>
          <w:kern w:val="0"/>
          <w:sz w:val="24"/>
          <w:szCs w:val="24"/>
        </w:rPr>
      </w:pPr>
      <w:proofErr w:type="gramStart"/>
      <w:r w:rsidRPr="003303F8">
        <w:rPr>
          <w:kern w:val="0"/>
          <w:sz w:val="24"/>
          <w:szCs w:val="24"/>
        </w:rPr>
        <w:t>Firth, M.</w:t>
      </w:r>
      <w:r w:rsidR="00E0251D" w:rsidRPr="003303F8">
        <w:rPr>
          <w:kern w:val="0"/>
          <w:sz w:val="24"/>
          <w:szCs w:val="24"/>
        </w:rPr>
        <w:t xml:space="preserve"> 1996</w:t>
      </w:r>
      <w:r w:rsidR="001E4414" w:rsidRPr="003303F8">
        <w:rPr>
          <w:kern w:val="0"/>
          <w:sz w:val="24"/>
          <w:szCs w:val="24"/>
        </w:rPr>
        <w:t>.</w:t>
      </w:r>
      <w:proofErr w:type="gramEnd"/>
      <w:r w:rsidRPr="003303F8">
        <w:rPr>
          <w:kern w:val="0"/>
          <w:sz w:val="24"/>
          <w:szCs w:val="24"/>
        </w:rPr>
        <w:t xml:space="preserve"> The Transmission of Corporate Financial Information across National Borders and Equity Market Linkages. </w:t>
      </w:r>
      <w:r w:rsidRPr="003303F8">
        <w:rPr>
          <w:i/>
          <w:kern w:val="0"/>
          <w:sz w:val="24"/>
          <w:szCs w:val="24"/>
        </w:rPr>
        <w:t xml:space="preserve">Review of Accounting Studies </w:t>
      </w:r>
      <w:r w:rsidR="004F536B" w:rsidRPr="003303F8">
        <w:rPr>
          <w:kern w:val="0"/>
          <w:sz w:val="24"/>
          <w:szCs w:val="24"/>
        </w:rPr>
        <w:t xml:space="preserve"> </w:t>
      </w:r>
      <w:r w:rsidRPr="003303F8">
        <w:rPr>
          <w:kern w:val="0"/>
          <w:sz w:val="24"/>
          <w:szCs w:val="24"/>
        </w:rPr>
        <w:t>1:</w:t>
      </w:r>
      <w:r w:rsidR="00E0251D" w:rsidRPr="003303F8">
        <w:rPr>
          <w:kern w:val="0"/>
          <w:sz w:val="24"/>
          <w:szCs w:val="24"/>
        </w:rPr>
        <w:t xml:space="preserve"> </w:t>
      </w:r>
      <w:r w:rsidRPr="003303F8">
        <w:rPr>
          <w:kern w:val="0"/>
          <w:sz w:val="24"/>
          <w:szCs w:val="24"/>
        </w:rPr>
        <w:t>309-337.</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Fishman, M., and K. Hagerty</w:t>
      </w:r>
      <w:r w:rsidR="001E4414" w:rsidRPr="003303F8">
        <w:rPr>
          <w:kern w:val="0"/>
          <w:sz w:val="24"/>
          <w:szCs w:val="24"/>
        </w:rPr>
        <w:t>.</w:t>
      </w:r>
      <w:r w:rsidR="00E0251D" w:rsidRPr="003303F8">
        <w:rPr>
          <w:kern w:val="0"/>
          <w:sz w:val="24"/>
          <w:szCs w:val="24"/>
        </w:rPr>
        <w:t>1989</w:t>
      </w:r>
      <w:r w:rsidR="001E4414" w:rsidRPr="003303F8">
        <w:rPr>
          <w:kern w:val="0"/>
          <w:sz w:val="24"/>
          <w:szCs w:val="24"/>
        </w:rPr>
        <w:t>.</w:t>
      </w:r>
      <w:r w:rsidRPr="003303F8">
        <w:rPr>
          <w:kern w:val="0"/>
          <w:sz w:val="24"/>
          <w:szCs w:val="24"/>
        </w:rPr>
        <w:t xml:space="preserve"> Disclosure Decisions by Firms and the Competition for Price Efficiency. </w:t>
      </w:r>
      <w:r w:rsidRPr="003303F8">
        <w:rPr>
          <w:i/>
          <w:kern w:val="0"/>
          <w:sz w:val="24"/>
          <w:szCs w:val="24"/>
        </w:rPr>
        <w:t xml:space="preserve">Journal of Finance </w:t>
      </w:r>
      <w:r w:rsidRPr="003303F8">
        <w:rPr>
          <w:kern w:val="0"/>
          <w:sz w:val="24"/>
          <w:szCs w:val="24"/>
        </w:rPr>
        <w:t>44</w:t>
      </w:r>
      <w:r w:rsidR="00E0251D" w:rsidRPr="003303F8">
        <w:rPr>
          <w:kern w:val="0"/>
          <w:sz w:val="24"/>
          <w:szCs w:val="24"/>
        </w:rPr>
        <w:t xml:space="preserve">: </w:t>
      </w:r>
      <w:r w:rsidRPr="003303F8">
        <w:rPr>
          <w:kern w:val="0"/>
          <w:sz w:val="24"/>
          <w:szCs w:val="24"/>
        </w:rPr>
        <w:t xml:space="preserve">633-646. </w:t>
      </w:r>
    </w:p>
    <w:p w:rsidR="00164C9B" w:rsidRPr="003303F8" w:rsidRDefault="00164C9B" w:rsidP="00931FD3">
      <w:pPr>
        <w:overflowPunct/>
        <w:autoSpaceDE/>
        <w:autoSpaceDN/>
        <w:adjustRightInd/>
        <w:spacing w:before="240"/>
        <w:ind w:left="720" w:hanging="720"/>
        <w:rPr>
          <w:rFonts w:eastAsia="AdvTimes"/>
          <w:sz w:val="24"/>
          <w:szCs w:val="24"/>
        </w:rPr>
      </w:pPr>
      <w:r w:rsidRPr="003303F8">
        <w:rPr>
          <w:rFonts w:eastAsia="AdvTimes"/>
          <w:sz w:val="24"/>
          <w:szCs w:val="24"/>
        </w:rPr>
        <w:t>Francis, J., R.</w:t>
      </w:r>
      <w:r w:rsidRPr="003303F8">
        <w:rPr>
          <w:sz w:val="24"/>
          <w:szCs w:val="24"/>
        </w:rPr>
        <w:t xml:space="preserve"> </w:t>
      </w:r>
      <w:r w:rsidRPr="003303F8">
        <w:rPr>
          <w:rFonts w:eastAsia="AdvTimes"/>
          <w:sz w:val="24"/>
          <w:szCs w:val="24"/>
        </w:rPr>
        <w:t>LaFond,  P.</w:t>
      </w:r>
      <w:r w:rsidRPr="003303F8">
        <w:rPr>
          <w:sz w:val="24"/>
          <w:szCs w:val="24"/>
        </w:rPr>
        <w:t xml:space="preserve"> </w:t>
      </w:r>
      <w:r w:rsidRPr="003303F8">
        <w:rPr>
          <w:rFonts w:eastAsia="AdvTimes"/>
          <w:sz w:val="24"/>
          <w:szCs w:val="24"/>
        </w:rPr>
        <w:t xml:space="preserve">Olsson, </w:t>
      </w:r>
      <w:r w:rsidRPr="003303F8">
        <w:rPr>
          <w:sz w:val="24"/>
          <w:szCs w:val="24"/>
        </w:rPr>
        <w:t xml:space="preserve"> and </w:t>
      </w:r>
      <w:r w:rsidRPr="003303F8">
        <w:rPr>
          <w:rFonts w:eastAsia="AdvTimes"/>
          <w:sz w:val="24"/>
          <w:szCs w:val="24"/>
        </w:rPr>
        <w:t>K.Schipper</w:t>
      </w:r>
      <w:r w:rsidR="001E4414" w:rsidRPr="003303F8">
        <w:rPr>
          <w:rFonts w:eastAsia="AdvTimes"/>
          <w:sz w:val="24"/>
          <w:szCs w:val="24"/>
        </w:rPr>
        <w:t>.</w:t>
      </w:r>
      <w:r w:rsidR="00E0251D" w:rsidRPr="003303F8">
        <w:rPr>
          <w:rFonts w:eastAsia="AdvTimes"/>
          <w:sz w:val="24"/>
          <w:szCs w:val="24"/>
        </w:rPr>
        <w:t xml:space="preserve"> 2004</w:t>
      </w:r>
      <w:r w:rsidR="001E4414" w:rsidRPr="003303F8">
        <w:rPr>
          <w:rFonts w:eastAsia="AdvTimes"/>
          <w:sz w:val="24"/>
          <w:szCs w:val="24"/>
        </w:rPr>
        <w:t>.</w:t>
      </w:r>
      <w:r w:rsidRPr="003303F8">
        <w:rPr>
          <w:rFonts w:eastAsia="AdvTimes"/>
          <w:sz w:val="24"/>
          <w:szCs w:val="24"/>
        </w:rPr>
        <w:t xml:space="preserve"> Costs of equity and earnings attributes. </w:t>
      </w:r>
      <w:r w:rsidRPr="003303F8">
        <w:rPr>
          <w:rFonts w:eastAsia="AdvTimes"/>
          <w:i/>
          <w:sz w:val="24"/>
          <w:szCs w:val="24"/>
        </w:rPr>
        <w:t>The Accounting Review</w:t>
      </w:r>
      <w:r w:rsidRPr="003303F8">
        <w:rPr>
          <w:rFonts w:eastAsia="AdvTimes"/>
          <w:sz w:val="24"/>
          <w:szCs w:val="24"/>
        </w:rPr>
        <w:t xml:space="preserve"> </w:t>
      </w:r>
      <w:r w:rsidR="004F536B" w:rsidRPr="003303F8">
        <w:rPr>
          <w:rFonts w:eastAsia="AdvTimes"/>
          <w:sz w:val="24"/>
          <w:szCs w:val="24"/>
        </w:rPr>
        <w:t xml:space="preserve"> </w:t>
      </w:r>
      <w:r w:rsidRPr="003303F8">
        <w:rPr>
          <w:rFonts w:eastAsia="AdvTimes"/>
          <w:sz w:val="24"/>
          <w:szCs w:val="24"/>
        </w:rPr>
        <w:t>79</w:t>
      </w:r>
      <w:r w:rsidR="00E0251D" w:rsidRPr="003303F8">
        <w:rPr>
          <w:rFonts w:eastAsia="AdvTimes"/>
          <w:sz w:val="24"/>
          <w:szCs w:val="24"/>
        </w:rPr>
        <w:t xml:space="preserve">: </w:t>
      </w:r>
      <w:r w:rsidRPr="003303F8">
        <w:rPr>
          <w:rFonts w:eastAsia="AdvTimes"/>
          <w:sz w:val="24"/>
          <w:szCs w:val="24"/>
        </w:rPr>
        <w:t>967-1010.</w:t>
      </w:r>
    </w:p>
    <w:p w:rsidR="00164C9B" w:rsidRPr="003303F8" w:rsidRDefault="00164C9B" w:rsidP="00931FD3">
      <w:pPr>
        <w:overflowPunct/>
        <w:autoSpaceDE/>
        <w:autoSpaceDN/>
        <w:adjustRightInd/>
        <w:spacing w:before="240"/>
        <w:ind w:left="720" w:hanging="720"/>
        <w:rPr>
          <w:kern w:val="0"/>
          <w:sz w:val="24"/>
          <w:szCs w:val="24"/>
        </w:rPr>
      </w:pPr>
      <w:r w:rsidRPr="003303F8">
        <w:rPr>
          <w:kern w:val="0"/>
          <w:sz w:val="24"/>
          <w:szCs w:val="24"/>
        </w:rPr>
        <w:t>Francis, J. , R. LaFond,  P. Olsson, and K. Schipper</w:t>
      </w:r>
      <w:r w:rsidR="001E4414" w:rsidRPr="003303F8">
        <w:rPr>
          <w:kern w:val="0"/>
          <w:sz w:val="24"/>
          <w:szCs w:val="24"/>
        </w:rPr>
        <w:t>.</w:t>
      </w:r>
      <w:r w:rsidRPr="003303F8">
        <w:rPr>
          <w:kern w:val="0"/>
          <w:sz w:val="24"/>
          <w:szCs w:val="24"/>
        </w:rPr>
        <w:t xml:space="preserve"> </w:t>
      </w:r>
      <w:r w:rsidR="00E0251D" w:rsidRPr="003303F8">
        <w:rPr>
          <w:rFonts w:eastAsia="AdvTimes"/>
          <w:sz w:val="24"/>
          <w:szCs w:val="24"/>
        </w:rPr>
        <w:t>2005</w:t>
      </w:r>
      <w:r w:rsidR="001E4414" w:rsidRPr="003303F8">
        <w:rPr>
          <w:rFonts w:eastAsia="AdvTimes"/>
          <w:sz w:val="24"/>
          <w:szCs w:val="24"/>
        </w:rPr>
        <w:t>.</w:t>
      </w:r>
      <w:r w:rsidRPr="003303F8">
        <w:rPr>
          <w:rFonts w:eastAsia="DAIAJL+TimesNewRoman,Bold"/>
          <w:color w:val="000000"/>
          <w:sz w:val="24"/>
          <w:szCs w:val="24"/>
        </w:rPr>
        <w:t>The Market Pricing of Accrual Quality</w:t>
      </w:r>
      <w:r w:rsidRPr="003303F8">
        <w:rPr>
          <w:kern w:val="0"/>
          <w:sz w:val="24"/>
          <w:szCs w:val="24"/>
        </w:rPr>
        <w:t xml:space="preserve"> </w:t>
      </w:r>
      <w:r w:rsidRPr="003303F8">
        <w:rPr>
          <w:rFonts w:eastAsia="AdvTimes"/>
          <w:i/>
          <w:sz w:val="24"/>
          <w:szCs w:val="24"/>
        </w:rPr>
        <w:t>Journal of Accounting and Economics</w:t>
      </w:r>
      <w:r w:rsidR="004F536B" w:rsidRPr="003303F8">
        <w:rPr>
          <w:rFonts w:eastAsia="AdvTimes"/>
          <w:sz w:val="24"/>
          <w:szCs w:val="24"/>
        </w:rPr>
        <w:t xml:space="preserve"> </w:t>
      </w:r>
      <w:r w:rsidRPr="003303F8">
        <w:rPr>
          <w:rFonts w:eastAsia="AdvTimes"/>
          <w:sz w:val="24"/>
          <w:szCs w:val="24"/>
        </w:rPr>
        <w:t>39</w:t>
      </w:r>
      <w:r w:rsidR="001E4414" w:rsidRPr="003303F8">
        <w:rPr>
          <w:rFonts w:eastAsia="AdvTimes"/>
          <w:sz w:val="24"/>
          <w:szCs w:val="24"/>
        </w:rPr>
        <w:t xml:space="preserve">:  </w:t>
      </w:r>
      <w:r w:rsidRPr="003303F8">
        <w:rPr>
          <w:rFonts w:eastAsia="AdvTimes"/>
          <w:sz w:val="24"/>
          <w:szCs w:val="24"/>
        </w:rPr>
        <w:t>295-327</w:t>
      </w:r>
      <w:r w:rsidR="00E0251D" w:rsidRPr="003303F8">
        <w:rPr>
          <w:rFonts w:eastAsia="AdvTimes"/>
          <w:sz w:val="24"/>
          <w:szCs w:val="24"/>
        </w:rPr>
        <w:t>.</w:t>
      </w:r>
    </w:p>
    <w:p w:rsidR="00164C9B" w:rsidRPr="003303F8" w:rsidRDefault="004F536B" w:rsidP="00931FD3">
      <w:pPr>
        <w:overflowPunct/>
        <w:adjustRightInd/>
        <w:spacing w:before="240"/>
        <w:ind w:left="720" w:hanging="720"/>
        <w:rPr>
          <w:kern w:val="0"/>
          <w:sz w:val="24"/>
          <w:szCs w:val="24"/>
        </w:rPr>
      </w:pPr>
      <w:r w:rsidRPr="003303F8">
        <w:rPr>
          <w:kern w:val="0"/>
          <w:sz w:val="24"/>
          <w:szCs w:val="24"/>
        </w:rPr>
        <w:t>Foster, G</w:t>
      </w:r>
      <w:r w:rsidR="001E4414" w:rsidRPr="003303F8">
        <w:rPr>
          <w:kern w:val="0"/>
          <w:sz w:val="24"/>
          <w:szCs w:val="24"/>
        </w:rPr>
        <w:t>.</w:t>
      </w:r>
      <w:r w:rsidR="00164C9B" w:rsidRPr="003303F8">
        <w:rPr>
          <w:kern w:val="0"/>
          <w:sz w:val="24"/>
          <w:szCs w:val="24"/>
        </w:rPr>
        <w:t xml:space="preserve"> </w:t>
      </w:r>
      <w:r w:rsidR="00F559D2" w:rsidRPr="003303F8">
        <w:rPr>
          <w:kern w:val="0"/>
          <w:sz w:val="24"/>
          <w:szCs w:val="24"/>
        </w:rPr>
        <w:t>1981</w:t>
      </w:r>
      <w:r w:rsidR="001E4414" w:rsidRPr="003303F8">
        <w:rPr>
          <w:kern w:val="0"/>
          <w:sz w:val="24"/>
          <w:szCs w:val="24"/>
        </w:rPr>
        <w:t>.</w:t>
      </w:r>
      <w:r w:rsidR="00F559D2" w:rsidRPr="003303F8">
        <w:rPr>
          <w:kern w:val="0"/>
          <w:sz w:val="24"/>
          <w:szCs w:val="24"/>
        </w:rPr>
        <w:t xml:space="preserve"> </w:t>
      </w:r>
      <w:r w:rsidR="00164C9B" w:rsidRPr="003303F8">
        <w:rPr>
          <w:kern w:val="0"/>
          <w:sz w:val="24"/>
          <w:szCs w:val="24"/>
        </w:rPr>
        <w:t>Intra-Industry Information Transfers Associated with Earnings Releases</w:t>
      </w:r>
      <w:r w:rsidR="00F559D2" w:rsidRPr="003303F8">
        <w:rPr>
          <w:kern w:val="0"/>
          <w:sz w:val="24"/>
          <w:szCs w:val="24"/>
        </w:rPr>
        <w:t xml:space="preserve">.  </w:t>
      </w:r>
      <w:r w:rsidR="00164C9B" w:rsidRPr="003303F8">
        <w:rPr>
          <w:i/>
          <w:kern w:val="0"/>
          <w:sz w:val="24"/>
          <w:szCs w:val="24"/>
        </w:rPr>
        <w:t>Journal of Accounting and Economics</w:t>
      </w:r>
      <w:r w:rsidR="00F559D2" w:rsidRPr="003303F8">
        <w:rPr>
          <w:i/>
          <w:kern w:val="0"/>
          <w:sz w:val="24"/>
          <w:szCs w:val="24"/>
        </w:rPr>
        <w:t xml:space="preserve"> </w:t>
      </w:r>
      <w:r w:rsidR="00F559D2" w:rsidRPr="003303F8">
        <w:rPr>
          <w:kern w:val="0"/>
          <w:sz w:val="24"/>
          <w:szCs w:val="24"/>
        </w:rPr>
        <w:t>3</w:t>
      </w:r>
      <w:r w:rsidR="00164C9B" w:rsidRPr="003303F8">
        <w:rPr>
          <w:kern w:val="0"/>
          <w:sz w:val="24"/>
          <w:szCs w:val="24"/>
        </w:rPr>
        <w:t>: 201-232.</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Gao, P</w:t>
      </w:r>
      <w:r w:rsidR="001E4414" w:rsidRPr="003303F8">
        <w:rPr>
          <w:kern w:val="0"/>
          <w:sz w:val="24"/>
          <w:szCs w:val="24"/>
        </w:rPr>
        <w:t>.</w:t>
      </w:r>
      <w:r w:rsidRPr="003303F8">
        <w:rPr>
          <w:kern w:val="0"/>
          <w:sz w:val="24"/>
          <w:szCs w:val="24"/>
        </w:rPr>
        <w:t xml:space="preserve"> </w:t>
      </w:r>
      <w:r w:rsidR="00F559D2" w:rsidRPr="003303F8">
        <w:rPr>
          <w:kern w:val="0"/>
          <w:sz w:val="24"/>
          <w:szCs w:val="24"/>
        </w:rPr>
        <w:t>2010</w:t>
      </w:r>
      <w:r w:rsidR="001E4414" w:rsidRPr="003303F8">
        <w:rPr>
          <w:kern w:val="0"/>
          <w:sz w:val="24"/>
          <w:szCs w:val="24"/>
        </w:rPr>
        <w:t>.</w:t>
      </w:r>
      <w:r w:rsidR="00F559D2" w:rsidRPr="003303F8">
        <w:rPr>
          <w:kern w:val="0"/>
          <w:sz w:val="24"/>
          <w:szCs w:val="24"/>
        </w:rPr>
        <w:t xml:space="preserve"> </w:t>
      </w:r>
      <w:r w:rsidRPr="003303F8">
        <w:rPr>
          <w:kern w:val="0"/>
          <w:sz w:val="24"/>
          <w:szCs w:val="24"/>
        </w:rPr>
        <w:t xml:space="preserve">Disclosure Quality, Cost of Capital, and Investors’ Welfare </w:t>
      </w:r>
      <w:r w:rsidRPr="003303F8">
        <w:rPr>
          <w:i/>
          <w:kern w:val="0"/>
          <w:sz w:val="24"/>
          <w:szCs w:val="24"/>
        </w:rPr>
        <w:t>The Accounting Review</w:t>
      </w:r>
      <w:r w:rsidRPr="003303F8">
        <w:rPr>
          <w:kern w:val="0"/>
          <w:sz w:val="24"/>
          <w:szCs w:val="24"/>
        </w:rPr>
        <w:t xml:space="preserve"> </w:t>
      </w:r>
      <w:r w:rsidR="004F536B" w:rsidRPr="003303F8">
        <w:rPr>
          <w:kern w:val="0"/>
          <w:sz w:val="24"/>
          <w:szCs w:val="24"/>
        </w:rPr>
        <w:t xml:space="preserve"> </w:t>
      </w:r>
      <w:r w:rsidRPr="003303F8">
        <w:rPr>
          <w:kern w:val="0"/>
          <w:sz w:val="24"/>
          <w:szCs w:val="24"/>
        </w:rPr>
        <w:t>85</w:t>
      </w:r>
      <w:r w:rsidR="00F559D2" w:rsidRPr="003303F8">
        <w:rPr>
          <w:kern w:val="0"/>
          <w:sz w:val="24"/>
          <w:szCs w:val="24"/>
        </w:rPr>
        <w:t xml:space="preserve">: </w:t>
      </w:r>
      <w:r w:rsidRPr="003303F8">
        <w:rPr>
          <w:kern w:val="0"/>
          <w:sz w:val="24"/>
          <w:szCs w:val="24"/>
        </w:rPr>
        <w:t>1-29.</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Garleanu, N., and L. Pedersen</w:t>
      </w:r>
      <w:r w:rsidR="001E4414" w:rsidRPr="003303F8">
        <w:rPr>
          <w:kern w:val="0"/>
          <w:sz w:val="24"/>
          <w:szCs w:val="24"/>
        </w:rPr>
        <w:t>.</w:t>
      </w:r>
      <w:r w:rsidRPr="003303F8">
        <w:rPr>
          <w:kern w:val="0"/>
          <w:sz w:val="24"/>
          <w:szCs w:val="24"/>
        </w:rPr>
        <w:t xml:space="preserve"> </w:t>
      </w:r>
      <w:r w:rsidR="00F559D2" w:rsidRPr="003303F8">
        <w:rPr>
          <w:kern w:val="0"/>
          <w:sz w:val="24"/>
          <w:szCs w:val="24"/>
        </w:rPr>
        <w:t>2004</w:t>
      </w:r>
      <w:r w:rsidR="001E4414" w:rsidRPr="003303F8">
        <w:rPr>
          <w:kern w:val="0"/>
          <w:sz w:val="24"/>
          <w:szCs w:val="24"/>
        </w:rPr>
        <w:t>.</w:t>
      </w:r>
      <w:r w:rsidR="00F559D2" w:rsidRPr="003303F8">
        <w:rPr>
          <w:kern w:val="0"/>
          <w:sz w:val="24"/>
          <w:szCs w:val="24"/>
        </w:rPr>
        <w:t xml:space="preserve"> </w:t>
      </w:r>
      <w:r w:rsidRPr="003303F8">
        <w:rPr>
          <w:kern w:val="0"/>
          <w:sz w:val="24"/>
          <w:szCs w:val="24"/>
        </w:rPr>
        <w:t xml:space="preserve">Adverse Selection and the Required Return. </w:t>
      </w:r>
      <w:r w:rsidRPr="003303F8">
        <w:rPr>
          <w:i/>
          <w:kern w:val="0"/>
          <w:sz w:val="24"/>
          <w:szCs w:val="24"/>
        </w:rPr>
        <w:t>Review of Financial Studies</w:t>
      </w:r>
      <w:r w:rsidRPr="003303F8">
        <w:rPr>
          <w:kern w:val="0"/>
          <w:sz w:val="24"/>
          <w:szCs w:val="24"/>
        </w:rPr>
        <w:t xml:space="preserve"> 17</w:t>
      </w:r>
      <w:r w:rsidR="00F559D2" w:rsidRPr="003303F8">
        <w:rPr>
          <w:kern w:val="0"/>
          <w:sz w:val="24"/>
          <w:szCs w:val="24"/>
        </w:rPr>
        <w:t xml:space="preserve">: </w:t>
      </w:r>
      <w:r w:rsidRPr="003303F8">
        <w:rPr>
          <w:kern w:val="0"/>
          <w:sz w:val="24"/>
          <w:szCs w:val="24"/>
        </w:rPr>
        <w:t>643-665.</w:t>
      </w:r>
    </w:p>
    <w:p w:rsidR="00FD0E0B" w:rsidRPr="003303F8" w:rsidRDefault="00FD0E0B" w:rsidP="00931FD3">
      <w:pPr>
        <w:widowControl/>
        <w:tabs>
          <w:tab w:val="left" w:pos="720"/>
        </w:tabs>
        <w:overflowPunct/>
        <w:adjustRightInd/>
        <w:spacing w:before="240"/>
        <w:ind w:left="720" w:hanging="720"/>
        <w:rPr>
          <w:i/>
          <w:iCs/>
          <w:kern w:val="0"/>
          <w:sz w:val="24"/>
          <w:szCs w:val="24"/>
        </w:rPr>
      </w:pPr>
      <w:r w:rsidRPr="003303F8">
        <w:rPr>
          <w:kern w:val="0"/>
          <w:sz w:val="24"/>
          <w:szCs w:val="24"/>
        </w:rPr>
        <w:t>Grinold, R., A. Rudd, and D. Stefek</w:t>
      </w:r>
      <w:r w:rsidR="001E4414" w:rsidRPr="003303F8">
        <w:rPr>
          <w:kern w:val="0"/>
          <w:sz w:val="24"/>
          <w:szCs w:val="24"/>
        </w:rPr>
        <w:t>.</w:t>
      </w:r>
      <w:r w:rsidR="00F559D2" w:rsidRPr="003303F8">
        <w:rPr>
          <w:kern w:val="0"/>
          <w:sz w:val="24"/>
          <w:szCs w:val="24"/>
        </w:rPr>
        <w:t xml:space="preserve"> 1989</w:t>
      </w:r>
      <w:r w:rsidR="001E4414" w:rsidRPr="003303F8">
        <w:rPr>
          <w:kern w:val="0"/>
          <w:sz w:val="24"/>
          <w:szCs w:val="24"/>
        </w:rPr>
        <w:t>.</w:t>
      </w:r>
      <w:r w:rsidRPr="003303F8">
        <w:rPr>
          <w:kern w:val="0"/>
          <w:sz w:val="24"/>
          <w:szCs w:val="24"/>
        </w:rPr>
        <w:t xml:space="preserve"> Global factors: Fact or fiction? </w:t>
      </w:r>
      <w:r w:rsidRPr="003303F8">
        <w:rPr>
          <w:i/>
          <w:iCs/>
          <w:kern w:val="0"/>
          <w:sz w:val="24"/>
          <w:szCs w:val="24"/>
        </w:rPr>
        <w:t>Journal of Portfolio Management</w:t>
      </w:r>
      <w:r w:rsidRPr="003303F8">
        <w:rPr>
          <w:kern w:val="0"/>
          <w:sz w:val="24"/>
          <w:szCs w:val="24"/>
        </w:rPr>
        <w:t xml:space="preserve"> 79</w:t>
      </w:r>
      <w:r w:rsidR="00F559D2" w:rsidRPr="003303F8">
        <w:rPr>
          <w:kern w:val="0"/>
          <w:sz w:val="24"/>
          <w:szCs w:val="24"/>
        </w:rPr>
        <w:t>-</w:t>
      </w:r>
      <w:r w:rsidRPr="003303F8">
        <w:rPr>
          <w:kern w:val="0"/>
          <w:sz w:val="24"/>
          <w:szCs w:val="24"/>
        </w:rPr>
        <w:t>88.</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Grossman, S.</w:t>
      </w:r>
      <w:r w:rsidR="00F559D2" w:rsidRPr="003303F8">
        <w:rPr>
          <w:kern w:val="0"/>
          <w:sz w:val="24"/>
          <w:szCs w:val="24"/>
        </w:rPr>
        <w:t xml:space="preserve"> 1981</w:t>
      </w:r>
      <w:r w:rsidR="001E4414" w:rsidRPr="003303F8">
        <w:rPr>
          <w:kern w:val="0"/>
          <w:sz w:val="24"/>
          <w:szCs w:val="24"/>
        </w:rPr>
        <w:t>.</w:t>
      </w:r>
      <w:r w:rsidRPr="003303F8">
        <w:rPr>
          <w:kern w:val="0"/>
          <w:sz w:val="24"/>
          <w:szCs w:val="24"/>
        </w:rPr>
        <w:t xml:space="preserve"> The Informational Role of Warranties and Private Disclosure about Product Quality.</w:t>
      </w:r>
      <w:r w:rsidRPr="003303F8">
        <w:rPr>
          <w:i/>
          <w:kern w:val="0"/>
          <w:sz w:val="24"/>
          <w:szCs w:val="24"/>
        </w:rPr>
        <w:t xml:space="preserve"> Journal of Law and Economics</w:t>
      </w:r>
      <w:r w:rsidRPr="003303F8">
        <w:rPr>
          <w:kern w:val="0"/>
          <w:sz w:val="24"/>
          <w:szCs w:val="24"/>
        </w:rPr>
        <w:t xml:space="preserve"> 24</w:t>
      </w:r>
      <w:r w:rsidR="00F559D2" w:rsidRPr="003303F8">
        <w:rPr>
          <w:kern w:val="0"/>
          <w:sz w:val="24"/>
          <w:szCs w:val="24"/>
        </w:rPr>
        <w:t xml:space="preserve">: </w:t>
      </w:r>
      <w:r w:rsidRPr="003303F8">
        <w:rPr>
          <w:kern w:val="0"/>
          <w:sz w:val="24"/>
          <w:szCs w:val="24"/>
        </w:rPr>
        <w:t xml:space="preserve">461-483. </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Gleason, C., N. Jenkins, and W. Johnson</w:t>
      </w:r>
      <w:r w:rsidR="001E4414" w:rsidRPr="003303F8">
        <w:rPr>
          <w:kern w:val="0"/>
          <w:sz w:val="24"/>
          <w:szCs w:val="24"/>
        </w:rPr>
        <w:t>.</w:t>
      </w:r>
      <w:r w:rsidR="00F559D2" w:rsidRPr="003303F8">
        <w:rPr>
          <w:kern w:val="0"/>
          <w:sz w:val="24"/>
          <w:szCs w:val="24"/>
        </w:rPr>
        <w:t xml:space="preserve"> 2008</w:t>
      </w:r>
      <w:r w:rsidR="001E4414" w:rsidRPr="003303F8">
        <w:rPr>
          <w:kern w:val="0"/>
          <w:sz w:val="24"/>
          <w:szCs w:val="24"/>
        </w:rPr>
        <w:t>.</w:t>
      </w:r>
      <w:r w:rsidRPr="003303F8">
        <w:rPr>
          <w:kern w:val="0"/>
          <w:sz w:val="24"/>
          <w:szCs w:val="24"/>
        </w:rPr>
        <w:t xml:space="preserve"> The Contagion Effects of Accounting Restatements </w:t>
      </w:r>
      <w:r w:rsidRPr="003303F8">
        <w:rPr>
          <w:i/>
          <w:kern w:val="0"/>
          <w:sz w:val="24"/>
          <w:szCs w:val="24"/>
        </w:rPr>
        <w:t>The Accounting Review</w:t>
      </w:r>
      <w:r w:rsidRPr="003303F8">
        <w:rPr>
          <w:kern w:val="0"/>
          <w:sz w:val="24"/>
          <w:szCs w:val="24"/>
        </w:rPr>
        <w:t xml:space="preserve"> 83</w:t>
      </w:r>
      <w:r w:rsidR="00F559D2" w:rsidRPr="003303F8">
        <w:rPr>
          <w:kern w:val="0"/>
          <w:sz w:val="24"/>
          <w:szCs w:val="24"/>
        </w:rPr>
        <w:t xml:space="preserve">: </w:t>
      </w:r>
      <w:r w:rsidRPr="003303F8">
        <w:rPr>
          <w:kern w:val="0"/>
          <w:sz w:val="24"/>
          <w:szCs w:val="24"/>
        </w:rPr>
        <w:t>183-110</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Hao, S., Q. Jin, and G. Zhang</w:t>
      </w:r>
      <w:r w:rsidR="001E4414" w:rsidRPr="003303F8">
        <w:rPr>
          <w:kern w:val="0"/>
          <w:sz w:val="24"/>
          <w:szCs w:val="24"/>
        </w:rPr>
        <w:t>.</w:t>
      </w:r>
      <w:r w:rsidR="00F559D2" w:rsidRPr="003303F8">
        <w:rPr>
          <w:kern w:val="0"/>
          <w:sz w:val="24"/>
          <w:szCs w:val="24"/>
        </w:rPr>
        <w:t xml:space="preserve"> 2011</w:t>
      </w:r>
      <w:r w:rsidR="001E4414" w:rsidRPr="003303F8">
        <w:rPr>
          <w:kern w:val="0"/>
          <w:sz w:val="24"/>
          <w:szCs w:val="24"/>
        </w:rPr>
        <w:t>.</w:t>
      </w:r>
      <w:r w:rsidRPr="003303F8">
        <w:rPr>
          <w:kern w:val="0"/>
          <w:sz w:val="24"/>
          <w:szCs w:val="24"/>
        </w:rPr>
        <w:t xml:space="preserve"> Relative Firm Profitability and Stock Return </w:t>
      </w:r>
      <w:r w:rsidRPr="003303F8">
        <w:rPr>
          <w:kern w:val="0"/>
          <w:sz w:val="24"/>
          <w:szCs w:val="24"/>
        </w:rPr>
        <w:lastRenderedPageBreak/>
        <w:t xml:space="preserve">Sensitivity to Industry-Level News. </w:t>
      </w:r>
      <w:r w:rsidRPr="003303F8">
        <w:rPr>
          <w:i/>
          <w:kern w:val="0"/>
          <w:sz w:val="24"/>
          <w:szCs w:val="24"/>
        </w:rPr>
        <w:t>Accounting Review</w:t>
      </w:r>
      <w:r w:rsidRPr="003303F8">
        <w:rPr>
          <w:kern w:val="0"/>
          <w:sz w:val="24"/>
          <w:szCs w:val="24"/>
        </w:rPr>
        <w:t xml:space="preserve"> 86</w:t>
      </w:r>
      <w:r w:rsidR="00F559D2" w:rsidRPr="003303F8">
        <w:rPr>
          <w:kern w:val="0"/>
          <w:sz w:val="24"/>
          <w:szCs w:val="24"/>
        </w:rPr>
        <w:t xml:space="preserve">: 1321-1349 </w:t>
      </w:r>
    </w:p>
    <w:p w:rsidR="00375C0A" w:rsidRPr="003303F8" w:rsidRDefault="00375C0A" w:rsidP="00931FD3">
      <w:pPr>
        <w:overflowPunct/>
        <w:adjustRightInd/>
        <w:spacing w:before="240"/>
        <w:ind w:left="720" w:hanging="720"/>
        <w:rPr>
          <w:rFonts w:eastAsia="Times New Roman"/>
          <w:sz w:val="24"/>
          <w:szCs w:val="24"/>
        </w:rPr>
      </w:pPr>
      <w:r w:rsidRPr="003303F8">
        <w:rPr>
          <w:rFonts w:eastAsia="Times New Roman"/>
          <w:sz w:val="24"/>
          <w:szCs w:val="24"/>
        </w:rPr>
        <w:t>Hou</w:t>
      </w:r>
      <w:r w:rsidR="00AA73B6" w:rsidRPr="003303F8">
        <w:rPr>
          <w:rFonts w:eastAsia="Times New Roman"/>
          <w:sz w:val="24"/>
          <w:szCs w:val="24"/>
        </w:rPr>
        <w:t>,</w:t>
      </w:r>
      <w:r w:rsidRPr="003303F8">
        <w:rPr>
          <w:rFonts w:eastAsia="Times New Roman"/>
          <w:sz w:val="24"/>
          <w:szCs w:val="24"/>
        </w:rPr>
        <w:t xml:space="preserve"> K., M. A. van Dijk , and Y.Zhang</w:t>
      </w:r>
      <w:r w:rsidR="001E4414" w:rsidRPr="003303F8">
        <w:rPr>
          <w:rFonts w:eastAsia="Times New Roman"/>
          <w:sz w:val="24"/>
          <w:szCs w:val="24"/>
        </w:rPr>
        <w:t>.</w:t>
      </w:r>
      <w:r w:rsidR="00F559D2" w:rsidRPr="003303F8">
        <w:rPr>
          <w:rFonts w:eastAsia="Times New Roman"/>
          <w:sz w:val="24"/>
          <w:szCs w:val="24"/>
        </w:rPr>
        <w:t xml:space="preserve"> 2012</w:t>
      </w:r>
      <w:r w:rsidR="001E4414" w:rsidRPr="003303F8">
        <w:rPr>
          <w:rFonts w:eastAsia="Times New Roman"/>
          <w:sz w:val="24"/>
          <w:szCs w:val="24"/>
        </w:rPr>
        <w:t>.</w:t>
      </w:r>
      <w:r w:rsidR="00F559D2" w:rsidRPr="003303F8">
        <w:rPr>
          <w:rFonts w:eastAsia="Times New Roman"/>
          <w:sz w:val="24"/>
          <w:szCs w:val="24"/>
        </w:rPr>
        <w:t xml:space="preserve"> </w:t>
      </w:r>
      <w:r w:rsidRPr="003303F8">
        <w:rPr>
          <w:rFonts w:eastAsia="Times New Roman"/>
          <w:sz w:val="24"/>
          <w:szCs w:val="24"/>
        </w:rPr>
        <w:t>The implied cost of capital: A new approach</w:t>
      </w:r>
      <w:r w:rsidR="00F559D2" w:rsidRPr="003303F8">
        <w:rPr>
          <w:rFonts w:eastAsia="Times New Roman"/>
          <w:sz w:val="24"/>
          <w:szCs w:val="24"/>
        </w:rPr>
        <w:t xml:space="preserve">. </w:t>
      </w:r>
      <w:r w:rsidRPr="003303F8">
        <w:rPr>
          <w:rFonts w:eastAsia="Times New Roman"/>
          <w:i/>
          <w:sz w:val="24"/>
          <w:szCs w:val="24"/>
        </w:rPr>
        <w:t>Journal of Accounting and Economics</w:t>
      </w:r>
      <w:r w:rsidRPr="003303F8">
        <w:rPr>
          <w:rFonts w:eastAsia="Times New Roman"/>
          <w:sz w:val="24"/>
          <w:szCs w:val="24"/>
        </w:rPr>
        <w:t xml:space="preserve"> 53: 504-526</w:t>
      </w:r>
    </w:p>
    <w:p w:rsidR="00164C9B" w:rsidRPr="003303F8" w:rsidRDefault="00164C9B" w:rsidP="00931FD3">
      <w:pPr>
        <w:overflowPunct/>
        <w:adjustRightInd/>
        <w:spacing w:before="240"/>
        <w:ind w:left="720" w:hanging="720"/>
        <w:rPr>
          <w:rFonts w:eastAsia="Times New Roman"/>
          <w:sz w:val="24"/>
          <w:szCs w:val="24"/>
        </w:rPr>
      </w:pPr>
      <w:r w:rsidRPr="003303F8">
        <w:rPr>
          <w:rFonts w:eastAsia="Times New Roman"/>
          <w:sz w:val="24"/>
          <w:szCs w:val="24"/>
        </w:rPr>
        <w:t>Hail, L</w:t>
      </w:r>
      <w:r w:rsidR="001E4414" w:rsidRPr="003303F8">
        <w:rPr>
          <w:rFonts w:eastAsia="Times New Roman"/>
          <w:sz w:val="24"/>
          <w:szCs w:val="24"/>
        </w:rPr>
        <w:t>.</w:t>
      </w:r>
      <w:r w:rsidR="00F559D2" w:rsidRPr="003303F8">
        <w:rPr>
          <w:rFonts w:eastAsia="Times New Roman"/>
          <w:sz w:val="24"/>
          <w:szCs w:val="24"/>
        </w:rPr>
        <w:t xml:space="preserve"> 2002</w:t>
      </w:r>
      <w:r w:rsidR="001E4414" w:rsidRPr="003303F8">
        <w:rPr>
          <w:rFonts w:eastAsia="Times New Roman"/>
          <w:sz w:val="24"/>
          <w:szCs w:val="24"/>
        </w:rPr>
        <w:t>.</w:t>
      </w:r>
      <w:r w:rsidR="00F559D2" w:rsidRPr="003303F8">
        <w:rPr>
          <w:rFonts w:eastAsia="Times New Roman"/>
          <w:sz w:val="24"/>
          <w:szCs w:val="24"/>
        </w:rPr>
        <w:t xml:space="preserve"> </w:t>
      </w:r>
      <w:r w:rsidRPr="003303F8">
        <w:rPr>
          <w:rFonts w:eastAsia="Times New Roman"/>
          <w:sz w:val="24"/>
          <w:szCs w:val="24"/>
        </w:rPr>
        <w:t xml:space="preserve">The impact of voluntary </w:t>
      </w:r>
      <w:r w:rsidR="00561B52" w:rsidRPr="003303F8">
        <w:rPr>
          <w:rFonts w:eastAsia="Times New Roman"/>
          <w:sz w:val="24"/>
          <w:szCs w:val="24"/>
        </w:rPr>
        <w:t>corporate disclosures on the ex-</w:t>
      </w:r>
      <w:r w:rsidRPr="003303F8">
        <w:rPr>
          <w:rFonts w:eastAsia="Times New Roman"/>
          <w:sz w:val="24"/>
          <w:szCs w:val="24"/>
        </w:rPr>
        <w:t>ante cost of equity for Swiss firms.</w:t>
      </w:r>
      <w:r w:rsidRPr="003303F8">
        <w:rPr>
          <w:rFonts w:eastAsia="Times New Roman"/>
          <w:i/>
          <w:sz w:val="24"/>
          <w:szCs w:val="24"/>
        </w:rPr>
        <w:t xml:space="preserve"> European Accounting Review</w:t>
      </w:r>
      <w:r w:rsidR="004F536B" w:rsidRPr="003303F8">
        <w:rPr>
          <w:rFonts w:eastAsia="Times New Roman"/>
          <w:sz w:val="24"/>
          <w:szCs w:val="24"/>
        </w:rPr>
        <w:t xml:space="preserve"> </w:t>
      </w:r>
      <w:r w:rsidRPr="003303F8">
        <w:rPr>
          <w:rFonts w:eastAsia="Times New Roman"/>
          <w:sz w:val="24"/>
          <w:szCs w:val="24"/>
        </w:rPr>
        <w:t>11:741</w:t>
      </w:r>
      <w:r w:rsidRPr="003303F8">
        <w:rPr>
          <w:sz w:val="24"/>
          <w:szCs w:val="24"/>
        </w:rPr>
        <w:t>-</w:t>
      </w:r>
      <w:r w:rsidRPr="003303F8">
        <w:rPr>
          <w:rFonts w:eastAsia="Times New Roman"/>
          <w:sz w:val="24"/>
          <w:szCs w:val="24"/>
        </w:rPr>
        <w:t>773</w:t>
      </w:r>
    </w:p>
    <w:p w:rsidR="00561B52" w:rsidRPr="003303F8" w:rsidRDefault="00561B52" w:rsidP="00931FD3">
      <w:pPr>
        <w:adjustRightInd/>
        <w:spacing w:before="240"/>
        <w:ind w:left="720" w:hanging="720"/>
        <w:rPr>
          <w:sz w:val="24"/>
          <w:szCs w:val="24"/>
        </w:rPr>
      </w:pPr>
      <w:r w:rsidRPr="003303F8">
        <w:rPr>
          <w:sz w:val="24"/>
          <w:szCs w:val="24"/>
        </w:rPr>
        <w:t>Hayn, C</w:t>
      </w:r>
      <w:r w:rsidR="001E4414" w:rsidRPr="003303F8">
        <w:rPr>
          <w:sz w:val="24"/>
          <w:szCs w:val="24"/>
        </w:rPr>
        <w:t>.</w:t>
      </w:r>
      <w:r w:rsidR="00F559D2" w:rsidRPr="003303F8">
        <w:rPr>
          <w:sz w:val="24"/>
          <w:szCs w:val="24"/>
        </w:rPr>
        <w:t xml:space="preserve"> 1995</w:t>
      </w:r>
      <w:r w:rsidR="001E4414" w:rsidRPr="003303F8">
        <w:rPr>
          <w:sz w:val="24"/>
          <w:szCs w:val="24"/>
        </w:rPr>
        <w:t>.</w:t>
      </w:r>
      <w:r w:rsidRPr="003303F8">
        <w:rPr>
          <w:sz w:val="24"/>
          <w:szCs w:val="24"/>
        </w:rPr>
        <w:t xml:space="preserve"> The Information Content of Losses. </w:t>
      </w:r>
      <w:r w:rsidRPr="003303F8">
        <w:rPr>
          <w:i/>
          <w:iCs/>
          <w:sz w:val="24"/>
          <w:szCs w:val="24"/>
        </w:rPr>
        <w:t>Journal of Accounting and Economics</w:t>
      </w:r>
      <w:r w:rsidR="00F559D2" w:rsidRPr="003303F8">
        <w:rPr>
          <w:i/>
          <w:iCs/>
          <w:sz w:val="24"/>
          <w:szCs w:val="24"/>
        </w:rPr>
        <w:t xml:space="preserve"> </w:t>
      </w:r>
      <w:r w:rsidRPr="003303F8">
        <w:rPr>
          <w:sz w:val="24"/>
          <w:szCs w:val="24"/>
        </w:rPr>
        <w:t>20</w:t>
      </w:r>
      <w:r w:rsidR="00F559D2" w:rsidRPr="003303F8">
        <w:rPr>
          <w:sz w:val="24"/>
          <w:szCs w:val="24"/>
        </w:rPr>
        <w:t>:</w:t>
      </w:r>
      <w:r w:rsidRPr="003303F8">
        <w:rPr>
          <w:sz w:val="24"/>
          <w:szCs w:val="24"/>
        </w:rPr>
        <w:t>125-153</w:t>
      </w:r>
    </w:p>
    <w:p w:rsidR="00164C9B" w:rsidRPr="003303F8" w:rsidRDefault="00164C9B" w:rsidP="00931FD3">
      <w:pPr>
        <w:overflowPunct/>
        <w:adjustRightInd/>
        <w:spacing w:before="240"/>
        <w:ind w:left="720" w:hanging="720"/>
        <w:rPr>
          <w:sz w:val="24"/>
          <w:szCs w:val="24"/>
        </w:rPr>
      </w:pPr>
      <w:r w:rsidRPr="003303F8">
        <w:rPr>
          <w:sz w:val="24"/>
          <w:szCs w:val="24"/>
        </w:rPr>
        <w:t>Hong, Y., J. Tu, and G. Zhou</w:t>
      </w:r>
      <w:r w:rsidR="001E4414" w:rsidRPr="003303F8">
        <w:rPr>
          <w:sz w:val="24"/>
          <w:szCs w:val="24"/>
        </w:rPr>
        <w:t>.</w:t>
      </w:r>
      <w:r w:rsidR="00F559D2" w:rsidRPr="003303F8">
        <w:rPr>
          <w:rFonts w:eastAsia="Times New Roman"/>
          <w:sz w:val="24"/>
          <w:szCs w:val="24"/>
        </w:rPr>
        <w:t xml:space="preserve"> 2007</w:t>
      </w:r>
      <w:r w:rsidR="001E4414" w:rsidRPr="003303F8">
        <w:rPr>
          <w:rFonts w:eastAsia="Times New Roman"/>
          <w:sz w:val="24"/>
          <w:szCs w:val="24"/>
        </w:rPr>
        <w:t>.</w:t>
      </w:r>
      <w:r w:rsidRPr="003303F8">
        <w:rPr>
          <w:sz w:val="24"/>
          <w:szCs w:val="24"/>
        </w:rPr>
        <w:t xml:space="preserve"> Asymmetries in Stock Returns: Statistical Tests and Economic Evaluation</w:t>
      </w:r>
      <w:r w:rsidR="001E4414" w:rsidRPr="003303F8">
        <w:rPr>
          <w:sz w:val="24"/>
          <w:szCs w:val="24"/>
        </w:rPr>
        <w:t>.</w:t>
      </w:r>
      <w:r w:rsidRPr="003303F8">
        <w:rPr>
          <w:sz w:val="24"/>
          <w:szCs w:val="24"/>
        </w:rPr>
        <w:t xml:space="preserve"> </w:t>
      </w:r>
      <w:r w:rsidRPr="003303F8">
        <w:rPr>
          <w:i/>
          <w:sz w:val="24"/>
          <w:szCs w:val="24"/>
        </w:rPr>
        <w:t>Review of Financial Studies</w:t>
      </w:r>
      <w:r w:rsidRPr="003303F8">
        <w:rPr>
          <w:sz w:val="24"/>
          <w:szCs w:val="24"/>
        </w:rPr>
        <w:t xml:space="preserve"> </w:t>
      </w:r>
      <w:r w:rsidR="004F536B" w:rsidRPr="003303F8">
        <w:rPr>
          <w:rFonts w:eastAsia="Times New Roman"/>
          <w:sz w:val="24"/>
          <w:szCs w:val="24"/>
        </w:rPr>
        <w:t xml:space="preserve"> </w:t>
      </w:r>
      <w:r w:rsidRPr="003303F8">
        <w:rPr>
          <w:sz w:val="24"/>
          <w:szCs w:val="24"/>
        </w:rPr>
        <w:t>20</w:t>
      </w:r>
      <w:r w:rsidR="00F559D2" w:rsidRPr="003303F8">
        <w:rPr>
          <w:sz w:val="24"/>
          <w:szCs w:val="24"/>
        </w:rPr>
        <w:t xml:space="preserve">: </w:t>
      </w:r>
      <w:r w:rsidRPr="003303F8">
        <w:rPr>
          <w:sz w:val="24"/>
          <w:szCs w:val="24"/>
        </w:rPr>
        <w:t>1547-1581.</w:t>
      </w:r>
    </w:p>
    <w:p w:rsidR="0015739B" w:rsidRPr="003303F8" w:rsidRDefault="0015739B" w:rsidP="00931FD3">
      <w:pPr>
        <w:overflowPunct/>
        <w:adjustRightInd/>
        <w:spacing w:before="240"/>
        <w:ind w:left="720" w:hanging="720"/>
        <w:rPr>
          <w:sz w:val="24"/>
          <w:szCs w:val="24"/>
        </w:rPr>
      </w:pPr>
      <w:r w:rsidRPr="003303F8">
        <w:rPr>
          <w:sz w:val="24"/>
          <w:szCs w:val="24"/>
        </w:rPr>
        <w:t>Hughes, J., J. Liu, and J. Liu</w:t>
      </w:r>
      <w:r w:rsidR="001E4414" w:rsidRPr="003303F8">
        <w:rPr>
          <w:sz w:val="24"/>
          <w:szCs w:val="24"/>
        </w:rPr>
        <w:t xml:space="preserve">. </w:t>
      </w:r>
      <w:r w:rsidR="00F559D2" w:rsidRPr="003303F8">
        <w:rPr>
          <w:sz w:val="24"/>
          <w:szCs w:val="24"/>
        </w:rPr>
        <w:t>2007</w:t>
      </w:r>
      <w:r w:rsidR="001E4414" w:rsidRPr="003303F8">
        <w:rPr>
          <w:sz w:val="24"/>
          <w:szCs w:val="24"/>
        </w:rPr>
        <w:t>.</w:t>
      </w:r>
      <w:r w:rsidRPr="003303F8">
        <w:rPr>
          <w:sz w:val="24"/>
          <w:szCs w:val="24"/>
        </w:rPr>
        <w:t xml:space="preserve"> Information Asymmetry, Diversification, and Cost of Capital. </w:t>
      </w:r>
      <w:r w:rsidRPr="003303F8">
        <w:rPr>
          <w:i/>
          <w:sz w:val="24"/>
          <w:szCs w:val="24"/>
        </w:rPr>
        <w:t>The Accounting Review</w:t>
      </w:r>
      <w:r w:rsidRPr="003303F8">
        <w:rPr>
          <w:sz w:val="24"/>
          <w:szCs w:val="24"/>
        </w:rPr>
        <w:t xml:space="preserve"> 82</w:t>
      </w:r>
      <w:r w:rsidR="00F559D2" w:rsidRPr="003303F8">
        <w:rPr>
          <w:sz w:val="24"/>
          <w:szCs w:val="24"/>
        </w:rPr>
        <w:t xml:space="preserve">: </w:t>
      </w:r>
      <w:r w:rsidRPr="003303F8">
        <w:rPr>
          <w:sz w:val="24"/>
          <w:szCs w:val="24"/>
        </w:rPr>
        <w:t xml:space="preserve">705-729. </w:t>
      </w:r>
    </w:p>
    <w:p w:rsidR="00164C9B" w:rsidRPr="003303F8" w:rsidRDefault="00164C9B" w:rsidP="00931FD3">
      <w:pPr>
        <w:overflowPunct/>
        <w:adjustRightInd/>
        <w:spacing w:before="240"/>
        <w:ind w:left="720" w:hanging="720"/>
        <w:rPr>
          <w:sz w:val="24"/>
          <w:szCs w:val="24"/>
        </w:rPr>
      </w:pPr>
      <w:r w:rsidRPr="003303F8">
        <w:rPr>
          <w:sz w:val="24"/>
          <w:szCs w:val="24"/>
        </w:rPr>
        <w:t>Jones, J</w:t>
      </w:r>
      <w:r w:rsidR="001E4414" w:rsidRPr="003303F8">
        <w:rPr>
          <w:sz w:val="24"/>
          <w:szCs w:val="24"/>
        </w:rPr>
        <w:t>.</w:t>
      </w:r>
      <w:r w:rsidRPr="003303F8">
        <w:rPr>
          <w:sz w:val="24"/>
          <w:szCs w:val="24"/>
        </w:rPr>
        <w:t xml:space="preserve"> </w:t>
      </w:r>
      <w:r w:rsidR="00F559D2" w:rsidRPr="003303F8">
        <w:rPr>
          <w:sz w:val="24"/>
          <w:szCs w:val="24"/>
        </w:rPr>
        <w:t>1991</w:t>
      </w:r>
      <w:r w:rsidR="001E4414" w:rsidRPr="003303F8">
        <w:rPr>
          <w:sz w:val="24"/>
          <w:szCs w:val="24"/>
        </w:rPr>
        <w:t>.</w:t>
      </w:r>
      <w:r w:rsidR="00F559D2" w:rsidRPr="003303F8">
        <w:rPr>
          <w:sz w:val="24"/>
          <w:szCs w:val="24"/>
        </w:rPr>
        <w:t xml:space="preserve"> </w:t>
      </w:r>
      <w:r w:rsidRPr="003303F8">
        <w:rPr>
          <w:sz w:val="24"/>
          <w:szCs w:val="24"/>
        </w:rPr>
        <w:t xml:space="preserve">Earnings management during import relief investigations. </w:t>
      </w:r>
      <w:r w:rsidRPr="003303F8">
        <w:rPr>
          <w:i/>
          <w:iCs/>
          <w:sz w:val="24"/>
          <w:szCs w:val="24"/>
        </w:rPr>
        <w:t xml:space="preserve">Journal of Accounting Research </w:t>
      </w:r>
      <w:r w:rsidRPr="003303F8">
        <w:rPr>
          <w:sz w:val="24"/>
          <w:szCs w:val="24"/>
        </w:rPr>
        <w:t>29: 193-228.</w:t>
      </w:r>
    </w:p>
    <w:p w:rsidR="00FD0E0B" w:rsidRPr="003303F8" w:rsidRDefault="00FD0E0B" w:rsidP="00931FD3">
      <w:pPr>
        <w:overflowPunct/>
        <w:adjustRightInd/>
        <w:spacing w:before="240"/>
        <w:ind w:left="720" w:hanging="720"/>
        <w:rPr>
          <w:sz w:val="24"/>
          <w:szCs w:val="24"/>
        </w:rPr>
      </w:pPr>
      <w:r w:rsidRPr="003303F8">
        <w:rPr>
          <w:sz w:val="24"/>
          <w:szCs w:val="24"/>
        </w:rPr>
        <w:t>King, E</w:t>
      </w:r>
      <w:r w:rsidR="001E4414" w:rsidRPr="003303F8">
        <w:rPr>
          <w:sz w:val="24"/>
          <w:szCs w:val="24"/>
        </w:rPr>
        <w:t>.</w:t>
      </w:r>
      <w:r w:rsidR="00F559D2" w:rsidRPr="003303F8">
        <w:rPr>
          <w:sz w:val="24"/>
          <w:szCs w:val="24"/>
        </w:rPr>
        <w:t xml:space="preserve"> 1966</w:t>
      </w:r>
      <w:r w:rsidR="001E4414" w:rsidRPr="003303F8">
        <w:rPr>
          <w:sz w:val="24"/>
          <w:szCs w:val="24"/>
        </w:rPr>
        <w:t>.</w:t>
      </w:r>
      <w:r w:rsidRPr="003303F8">
        <w:rPr>
          <w:sz w:val="24"/>
          <w:szCs w:val="24"/>
        </w:rPr>
        <w:t xml:space="preserve"> Market and industry factors in stock price behavior</w:t>
      </w:r>
      <w:r w:rsidR="001E4414" w:rsidRPr="003303F8">
        <w:rPr>
          <w:sz w:val="24"/>
          <w:szCs w:val="24"/>
        </w:rPr>
        <w:t>.</w:t>
      </w:r>
      <w:r w:rsidRPr="003303F8">
        <w:rPr>
          <w:sz w:val="24"/>
          <w:szCs w:val="24"/>
        </w:rPr>
        <w:t xml:space="preserve"> </w:t>
      </w:r>
      <w:r w:rsidRPr="003303F8">
        <w:rPr>
          <w:i/>
          <w:sz w:val="24"/>
          <w:szCs w:val="24"/>
        </w:rPr>
        <w:t>Journal of Business</w:t>
      </w:r>
      <w:r w:rsidR="00AA73B6" w:rsidRPr="003303F8">
        <w:rPr>
          <w:sz w:val="24"/>
          <w:szCs w:val="24"/>
        </w:rPr>
        <w:t xml:space="preserve"> </w:t>
      </w:r>
      <w:r w:rsidR="004F536B" w:rsidRPr="003303F8">
        <w:rPr>
          <w:sz w:val="24"/>
          <w:szCs w:val="24"/>
        </w:rPr>
        <w:t xml:space="preserve"> </w:t>
      </w:r>
      <w:r w:rsidRPr="003303F8">
        <w:rPr>
          <w:sz w:val="24"/>
          <w:szCs w:val="24"/>
        </w:rPr>
        <w:t>39</w:t>
      </w:r>
      <w:r w:rsidR="00F559D2" w:rsidRPr="003303F8">
        <w:rPr>
          <w:sz w:val="24"/>
          <w:szCs w:val="24"/>
        </w:rPr>
        <w:t>:</w:t>
      </w:r>
      <w:r w:rsidRPr="003303F8">
        <w:rPr>
          <w:sz w:val="24"/>
          <w:szCs w:val="24"/>
        </w:rPr>
        <w:t>139</w:t>
      </w:r>
      <w:r w:rsidR="00F559D2" w:rsidRPr="003303F8">
        <w:rPr>
          <w:sz w:val="24"/>
          <w:szCs w:val="24"/>
        </w:rPr>
        <w:t>-</w:t>
      </w:r>
      <w:r w:rsidRPr="003303F8">
        <w:rPr>
          <w:sz w:val="24"/>
          <w:szCs w:val="24"/>
        </w:rPr>
        <w:t>1</w:t>
      </w:r>
      <w:r w:rsidR="00F559D2" w:rsidRPr="003303F8">
        <w:rPr>
          <w:sz w:val="24"/>
          <w:szCs w:val="24"/>
        </w:rPr>
        <w:t>9</w:t>
      </w:r>
      <w:r w:rsidRPr="003303F8">
        <w:rPr>
          <w:sz w:val="24"/>
          <w:szCs w:val="24"/>
        </w:rPr>
        <w:t xml:space="preserve">0 </w:t>
      </w:r>
    </w:p>
    <w:p w:rsidR="006508D3" w:rsidRPr="003303F8" w:rsidRDefault="006508D3" w:rsidP="00931FD3">
      <w:pPr>
        <w:overflowPunct/>
        <w:adjustRightInd/>
        <w:spacing w:before="240"/>
        <w:ind w:left="720" w:hanging="720"/>
        <w:rPr>
          <w:kern w:val="0"/>
          <w:sz w:val="24"/>
          <w:szCs w:val="24"/>
        </w:rPr>
      </w:pPr>
      <w:r w:rsidRPr="003303F8">
        <w:rPr>
          <w:kern w:val="0"/>
          <w:sz w:val="24"/>
          <w:szCs w:val="24"/>
        </w:rPr>
        <w:t xml:space="preserve">Kim, </w:t>
      </w:r>
      <w:r w:rsidR="00691388" w:rsidRPr="003303F8">
        <w:rPr>
          <w:kern w:val="0"/>
          <w:sz w:val="24"/>
          <w:szCs w:val="24"/>
        </w:rPr>
        <w:t>Y</w:t>
      </w:r>
      <w:r w:rsidRPr="003303F8">
        <w:rPr>
          <w:kern w:val="0"/>
          <w:sz w:val="24"/>
          <w:szCs w:val="24"/>
        </w:rPr>
        <w:t xml:space="preserve">., </w:t>
      </w:r>
      <w:r w:rsidR="00691388" w:rsidRPr="003303F8">
        <w:rPr>
          <w:kern w:val="0"/>
          <w:sz w:val="24"/>
          <w:szCs w:val="24"/>
        </w:rPr>
        <w:t>M. Lagina</w:t>
      </w:r>
      <w:r w:rsidR="00F559D2" w:rsidRPr="003303F8">
        <w:rPr>
          <w:kern w:val="0"/>
          <w:sz w:val="24"/>
          <w:szCs w:val="24"/>
        </w:rPr>
        <w:t>,</w:t>
      </w:r>
      <w:r w:rsidR="00691388" w:rsidRPr="003303F8">
        <w:rPr>
          <w:kern w:val="0"/>
          <w:sz w:val="24"/>
          <w:szCs w:val="24"/>
        </w:rPr>
        <w:t xml:space="preserve"> </w:t>
      </w:r>
      <w:r w:rsidRPr="003303F8">
        <w:rPr>
          <w:kern w:val="0"/>
          <w:sz w:val="24"/>
          <w:szCs w:val="24"/>
        </w:rPr>
        <w:t xml:space="preserve">and </w:t>
      </w:r>
      <w:r w:rsidR="00691388" w:rsidRPr="003303F8">
        <w:rPr>
          <w:kern w:val="0"/>
          <w:sz w:val="24"/>
          <w:szCs w:val="24"/>
        </w:rPr>
        <w:t>M</w:t>
      </w:r>
      <w:r w:rsidRPr="003303F8">
        <w:rPr>
          <w:kern w:val="0"/>
          <w:sz w:val="24"/>
          <w:szCs w:val="24"/>
        </w:rPr>
        <w:t xml:space="preserve">. </w:t>
      </w:r>
      <w:r w:rsidR="00691388" w:rsidRPr="003303F8">
        <w:rPr>
          <w:kern w:val="0"/>
          <w:sz w:val="24"/>
          <w:szCs w:val="24"/>
        </w:rPr>
        <w:t>Park</w:t>
      </w:r>
      <w:r w:rsidR="001E4414" w:rsidRPr="003303F8">
        <w:rPr>
          <w:kern w:val="0"/>
          <w:sz w:val="24"/>
          <w:szCs w:val="24"/>
        </w:rPr>
        <w:t>.</w:t>
      </w:r>
      <w:r w:rsidR="00F559D2" w:rsidRPr="003303F8">
        <w:rPr>
          <w:kern w:val="0"/>
          <w:sz w:val="24"/>
          <w:szCs w:val="24"/>
        </w:rPr>
        <w:t xml:space="preserve"> 2010</w:t>
      </w:r>
      <w:r w:rsidR="001E4414" w:rsidRPr="003303F8">
        <w:rPr>
          <w:kern w:val="0"/>
          <w:sz w:val="24"/>
          <w:szCs w:val="24"/>
        </w:rPr>
        <w:t>.</w:t>
      </w:r>
      <w:r w:rsidRPr="003303F8">
        <w:rPr>
          <w:kern w:val="0"/>
          <w:sz w:val="24"/>
          <w:szCs w:val="24"/>
        </w:rPr>
        <w:t xml:space="preserve"> </w:t>
      </w:r>
      <w:r w:rsidR="00691388" w:rsidRPr="003303F8">
        <w:rPr>
          <w:kern w:val="0"/>
          <w:sz w:val="24"/>
          <w:szCs w:val="24"/>
        </w:rPr>
        <w:t>Positive and Negative Information Transfers from Management Forecasts</w:t>
      </w:r>
      <w:r w:rsidRPr="003303F8">
        <w:rPr>
          <w:kern w:val="0"/>
          <w:sz w:val="24"/>
          <w:szCs w:val="24"/>
        </w:rPr>
        <w:t xml:space="preserve">. </w:t>
      </w:r>
      <w:r w:rsidR="00691388" w:rsidRPr="003303F8">
        <w:rPr>
          <w:i/>
          <w:kern w:val="0"/>
          <w:sz w:val="24"/>
          <w:szCs w:val="24"/>
        </w:rPr>
        <w:t>Journal of Accounting Research</w:t>
      </w:r>
      <w:r w:rsidR="008C0BE0" w:rsidRPr="003303F8">
        <w:rPr>
          <w:kern w:val="0"/>
          <w:sz w:val="24"/>
          <w:szCs w:val="24"/>
        </w:rPr>
        <w:t xml:space="preserve">. </w:t>
      </w:r>
      <w:r w:rsidR="00691388" w:rsidRPr="003303F8">
        <w:rPr>
          <w:kern w:val="0"/>
          <w:sz w:val="24"/>
          <w:szCs w:val="24"/>
        </w:rPr>
        <w:t>46</w:t>
      </w:r>
      <w:r w:rsidRPr="003303F8">
        <w:rPr>
          <w:kern w:val="0"/>
          <w:sz w:val="24"/>
          <w:szCs w:val="24"/>
        </w:rPr>
        <w:t xml:space="preserve">: </w:t>
      </w:r>
      <w:r w:rsidR="00691388" w:rsidRPr="003303F8">
        <w:rPr>
          <w:kern w:val="0"/>
          <w:sz w:val="24"/>
          <w:szCs w:val="24"/>
        </w:rPr>
        <w:t>885</w:t>
      </w:r>
      <w:r w:rsidRPr="003303F8">
        <w:rPr>
          <w:kern w:val="0"/>
          <w:sz w:val="24"/>
          <w:szCs w:val="24"/>
        </w:rPr>
        <w:t>-9</w:t>
      </w:r>
      <w:r w:rsidR="00691388" w:rsidRPr="003303F8">
        <w:rPr>
          <w:kern w:val="0"/>
          <w:sz w:val="24"/>
          <w:szCs w:val="24"/>
        </w:rPr>
        <w:t>0</w:t>
      </w:r>
      <w:r w:rsidRPr="003303F8">
        <w:rPr>
          <w:kern w:val="0"/>
          <w:sz w:val="24"/>
          <w:szCs w:val="24"/>
        </w:rPr>
        <w:t>8.</w:t>
      </w:r>
    </w:p>
    <w:p w:rsidR="00416C75" w:rsidRPr="003303F8" w:rsidRDefault="00416C75" w:rsidP="00931FD3">
      <w:pPr>
        <w:overflowPunct/>
        <w:adjustRightInd/>
        <w:spacing w:before="240"/>
        <w:ind w:left="720" w:hanging="720"/>
        <w:rPr>
          <w:rFonts w:eastAsia="Times New Roman"/>
          <w:sz w:val="24"/>
          <w:szCs w:val="24"/>
        </w:rPr>
      </w:pPr>
      <w:r w:rsidRPr="003303F8">
        <w:rPr>
          <w:rFonts w:eastAsia="Times New Roman"/>
          <w:sz w:val="24"/>
          <w:szCs w:val="24"/>
        </w:rPr>
        <w:t>Klein, R.</w:t>
      </w:r>
      <w:r w:rsidR="00F559D2" w:rsidRPr="003303F8">
        <w:rPr>
          <w:rFonts w:eastAsia="Times New Roman"/>
          <w:sz w:val="24"/>
          <w:szCs w:val="24"/>
        </w:rPr>
        <w:t>,</w:t>
      </w:r>
      <w:r w:rsidRPr="003303F8">
        <w:rPr>
          <w:rFonts w:eastAsia="Times New Roman"/>
          <w:sz w:val="24"/>
          <w:szCs w:val="24"/>
        </w:rPr>
        <w:t xml:space="preserve"> and </w:t>
      </w:r>
      <w:r w:rsidR="00F559D2" w:rsidRPr="003303F8">
        <w:rPr>
          <w:rFonts w:eastAsia="Times New Roman"/>
          <w:sz w:val="24"/>
          <w:szCs w:val="24"/>
        </w:rPr>
        <w:t xml:space="preserve">V. </w:t>
      </w:r>
      <w:r w:rsidRPr="003303F8">
        <w:rPr>
          <w:rFonts w:eastAsia="Times New Roman"/>
          <w:sz w:val="24"/>
          <w:szCs w:val="24"/>
        </w:rPr>
        <w:t>Bawa</w:t>
      </w:r>
      <w:r w:rsidR="001E4414" w:rsidRPr="003303F8">
        <w:rPr>
          <w:rFonts w:eastAsia="Times New Roman"/>
          <w:sz w:val="24"/>
          <w:szCs w:val="24"/>
        </w:rPr>
        <w:t>.</w:t>
      </w:r>
      <w:r w:rsidR="00F559D2" w:rsidRPr="003303F8" w:rsidDel="00F559D2">
        <w:rPr>
          <w:rFonts w:eastAsia="Times New Roman"/>
          <w:sz w:val="24"/>
          <w:szCs w:val="24"/>
        </w:rPr>
        <w:t xml:space="preserve"> </w:t>
      </w:r>
      <w:r w:rsidR="00F559D2" w:rsidRPr="003303F8">
        <w:rPr>
          <w:rFonts w:eastAsia="Times New Roman"/>
          <w:sz w:val="24"/>
          <w:szCs w:val="24"/>
        </w:rPr>
        <w:t>1977</w:t>
      </w:r>
      <w:r w:rsidR="001E4414" w:rsidRPr="003303F8">
        <w:rPr>
          <w:rFonts w:eastAsia="Times New Roman"/>
          <w:sz w:val="24"/>
          <w:szCs w:val="24"/>
        </w:rPr>
        <w:t>.</w:t>
      </w:r>
      <w:r w:rsidRPr="003303F8">
        <w:rPr>
          <w:rFonts w:eastAsia="Times New Roman"/>
          <w:sz w:val="24"/>
          <w:szCs w:val="24"/>
        </w:rPr>
        <w:t xml:space="preserve"> The effect of limited information and estimation risk on optimal portfolio diversification</w:t>
      </w:r>
      <w:r w:rsidR="00F559D2" w:rsidRPr="003303F8">
        <w:rPr>
          <w:rFonts w:eastAsia="Times New Roman"/>
          <w:sz w:val="24"/>
          <w:szCs w:val="24"/>
        </w:rPr>
        <w:t>.</w:t>
      </w:r>
      <w:r w:rsidRPr="003303F8">
        <w:rPr>
          <w:rFonts w:eastAsia="Times New Roman"/>
          <w:i/>
          <w:sz w:val="24"/>
          <w:szCs w:val="24"/>
        </w:rPr>
        <w:t>Journal of Financial Economics</w:t>
      </w:r>
      <w:r w:rsidRPr="003303F8">
        <w:rPr>
          <w:rFonts w:eastAsia="Times New Roman"/>
          <w:sz w:val="24"/>
          <w:szCs w:val="24"/>
        </w:rPr>
        <w:t xml:space="preserve"> 5</w:t>
      </w:r>
      <w:r w:rsidR="00F559D2" w:rsidRPr="003303F8">
        <w:rPr>
          <w:rFonts w:eastAsia="Times New Roman"/>
          <w:sz w:val="24"/>
          <w:szCs w:val="24"/>
        </w:rPr>
        <w:t>:</w:t>
      </w:r>
      <w:r w:rsidRPr="003303F8">
        <w:rPr>
          <w:rFonts w:eastAsia="Times New Roman"/>
          <w:sz w:val="24"/>
          <w:szCs w:val="24"/>
        </w:rPr>
        <w:t xml:space="preserve"> 89-111</w:t>
      </w:r>
    </w:p>
    <w:p w:rsidR="00164C9B" w:rsidRPr="003303F8" w:rsidRDefault="00164C9B" w:rsidP="00931FD3">
      <w:pPr>
        <w:overflowPunct/>
        <w:adjustRightInd/>
        <w:spacing w:before="240"/>
        <w:ind w:left="720" w:hanging="720"/>
        <w:rPr>
          <w:rFonts w:eastAsia="Times New Roman"/>
          <w:sz w:val="24"/>
          <w:szCs w:val="24"/>
        </w:rPr>
      </w:pPr>
      <w:r w:rsidRPr="003303F8">
        <w:rPr>
          <w:rFonts w:eastAsia="Times New Roman"/>
          <w:sz w:val="24"/>
          <w:szCs w:val="24"/>
        </w:rPr>
        <w:t xml:space="preserve">Kothari, S., Leone, A., </w:t>
      </w:r>
      <w:r w:rsidR="00D9165C" w:rsidRPr="003303F8">
        <w:rPr>
          <w:rFonts w:eastAsia="Times New Roman"/>
          <w:sz w:val="24"/>
          <w:szCs w:val="24"/>
        </w:rPr>
        <w:t xml:space="preserve">and </w:t>
      </w:r>
      <w:r w:rsidRPr="003303F8">
        <w:rPr>
          <w:rFonts w:eastAsia="Times New Roman"/>
          <w:sz w:val="24"/>
          <w:szCs w:val="24"/>
        </w:rPr>
        <w:t>C.</w:t>
      </w:r>
      <w:r w:rsidR="004A0D7D" w:rsidRPr="003303F8">
        <w:rPr>
          <w:rFonts w:eastAsia="Times New Roman"/>
          <w:sz w:val="24"/>
          <w:szCs w:val="24"/>
        </w:rPr>
        <w:t xml:space="preserve"> </w:t>
      </w:r>
      <w:r w:rsidR="00D9165C" w:rsidRPr="003303F8">
        <w:rPr>
          <w:rFonts w:eastAsia="Times New Roman"/>
          <w:sz w:val="24"/>
          <w:szCs w:val="24"/>
        </w:rPr>
        <w:t>Wasley</w:t>
      </w:r>
      <w:r w:rsidR="001E4414" w:rsidRPr="003303F8">
        <w:rPr>
          <w:rFonts w:eastAsia="Times New Roman"/>
          <w:sz w:val="24"/>
          <w:szCs w:val="24"/>
        </w:rPr>
        <w:t>.</w:t>
      </w:r>
      <w:r w:rsidR="00F559D2" w:rsidRPr="003303F8">
        <w:rPr>
          <w:rFonts w:eastAsia="Times New Roman"/>
          <w:sz w:val="24"/>
          <w:szCs w:val="24"/>
        </w:rPr>
        <w:t xml:space="preserve"> 2005</w:t>
      </w:r>
      <w:r w:rsidR="001E4414" w:rsidRPr="003303F8">
        <w:rPr>
          <w:rFonts w:eastAsia="Times New Roman"/>
          <w:sz w:val="24"/>
          <w:szCs w:val="24"/>
        </w:rPr>
        <w:t>.</w:t>
      </w:r>
      <w:r w:rsidR="00D9165C" w:rsidRPr="003303F8">
        <w:rPr>
          <w:rFonts w:eastAsia="Times New Roman"/>
          <w:sz w:val="24"/>
          <w:szCs w:val="24"/>
        </w:rPr>
        <w:t xml:space="preserve"> </w:t>
      </w:r>
      <w:r w:rsidRPr="003303F8">
        <w:rPr>
          <w:rFonts w:eastAsia="Times New Roman"/>
          <w:sz w:val="24"/>
          <w:szCs w:val="24"/>
        </w:rPr>
        <w:t>Performance Matched Discretionary Accrual Measures</w:t>
      </w:r>
      <w:r w:rsidR="004A0D7D" w:rsidRPr="003303F8">
        <w:rPr>
          <w:rFonts w:eastAsia="Times New Roman"/>
          <w:sz w:val="24"/>
          <w:szCs w:val="24"/>
        </w:rPr>
        <w:t xml:space="preserve">. </w:t>
      </w:r>
      <w:r w:rsidRPr="003303F8">
        <w:rPr>
          <w:rFonts w:eastAsia="Times New Roman"/>
          <w:i/>
          <w:sz w:val="24"/>
          <w:szCs w:val="24"/>
        </w:rPr>
        <w:t xml:space="preserve">Journal of Accounting </w:t>
      </w:r>
      <w:r w:rsidR="001D3DFC">
        <w:rPr>
          <w:rFonts w:eastAsia="Times New Roman"/>
          <w:i/>
          <w:sz w:val="24"/>
          <w:szCs w:val="24"/>
        </w:rPr>
        <w:t>and</w:t>
      </w:r>
      <w:r w:rsidR="001D3DFC" w:rsidRPr="003303F8">
        <w:rPr>
          <w:rFonts w:eastAsia="Times New Roman"/>
          <w:i/>
          <w:sz w:val="24"/>
          <w:szCs w:val="24"/>
        </w:rPr>
        <w:t xml:space="preserve"> </w:t>
      </w:r>
      <w:proofErr w:type="gramStart"/>
      <w:r w:rsidRPr="003303F8">
        <w:rPr>
          <w:rFonts w:eastAsia="Times New Roman"/>
          <w:i/>
          <w:sz w:val="24"/>
          <w:szCs w:val="24"/>
        </w:rPr>
        <w:t xml:space="preserve">Economics </w:t>
      </w:r>
      <w:r w:rsidR="008C0BE0" w:rsidRPr="003303F8">
        <w:rPr>
          <w:rFonts w:eastAsia="Times New Roman"/>
          <w:sz w:val="24"/>
          <w:szCs w:val="24"/>
        </w:rPr>
        <w:t xml:space="preserve"> </w:t>
      </w:r>
      <w:r w:rsidRPr="003303F8">
        <w:rPr>
          <w:rFonts w:eastAsia="Times New Roman"/>
          <w:sz w:val="24"/>
          <w:szCs w:val="24"/>
        </w:rPr>
        <w:t>39</w:t>
      </w:r>
      <w:proofErr w:type="gramEnd"/>
      <w:r w:rsidR="00F559D2" w:rsidRPr="003303F8">
        <w:rPr>
          <w:rFonts w:eastAsia="Times New Roman"/>
          <w:sz w:val="24"/>
          <w:szCs w:val="24"/>
        </w:rPr>
        <w:t xml:space="preserve">: </w:t>
      </w:r>
      <w:r w:rsidRPr="003303F8">
        <w:rPr>
          <w:rFonts w:eastAsia="Times New Roman"/>
          <w:sz w:val="24"/>
          <w:szCs w:val="24"/>
        </w:rPr>
        <w:t>163-197.</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 xml:space="preserve">Lang, M., and </w:t>
      </w:r>
      <w:r w:rsidR="004A0D7D" w:rsidRPr="003303F8">
        <w:rPr>
          <w:kern w:val="0"/>
          <w:sz w:val="24"/>
          <w:szCs w:val="24"/>
        </w:rPr>
        <w:t xml:space="preserve">M. </w:t>
      </w:r>
      <w:r w:rsidRPr="003303F8">
        <w:rPr>
          <w:kern w:val="0"/>
          <w:sz w:val="24"/>
          <w:szCs w:val="24"/>
        </w:rPr>
        <w:t>Maffett</w:t>
      </w:r>
      <w:r w:rsidR="001E4414" w:rsidRPr="003303F8">
        <w:rPr>
          <w:kern w:val="0"/>
          <w:sz w:val="24"/>
          <w:szCs w:val="24"/>
        </w:rPr>
        <w:t>.</w:t>
      </w:r>
      <w:r w:rsidRPr="003303F8">
        <w:rPr>
          <w:kern w:val="0"/>
          <w:sz w:val="24"/>
          <w:szCs w:val="24"/>
        </w:rPr>
        <w:t xml:space="preserve"> </w:t>
      </w:r>
      <w:r w:rsidR="004A0D7D" w:rsidRPr="003303F8">
        <w:rPr>
          <w:kern w:val="0"/>
          <w:sz w:val="24"/>
          <w:szCs w:val="24"/>
        </w:rPr>
        <w:t xml:space="preserve">2010. </w:t>
      </w:r>
      <w:r w:rsidRPr="003303F8">
        <w:rPr>
          <w:kern w:val="0"/>
          <w:sz w:val="24"/>
          <w:szCs w:val="24"/>
        </w:rPr>
        <w:t>Transparency and liquidity uncertainty in crisis periods. Working Paper</w:t>
      </w:r>
      <w:r w:rsidR="001E4414" w:rsidRPr="003303F8">
        <w:rPr>
          <w:kern w:val="0"/>
          <w:sz w:val="24"/>
          <w:szCs w:val="24"/>
        </w:rPr>
        <w:t>.</w:t>
      </w:r>
      <w:r w:rsidR="008C0BE0" w:rsidRPr="003303F8">
        <w:rPr>
          <w:kern w:val="0"/>
          <w:sz w:val="24"/>
          <w:szCs w:val="24"/>
        </w:rPr>
        <w:t xml:space="preserve"> </w:t>
      </w:r>
      <w:r w:rsidRPr="003303F8">
        <w:rPr>
          <w:kern w:val="0"/>
          <w:sz w:val="24"/>
          <w:szCs w:val="24"/>
        </w:rPr>
        <w:t>University of North Carolina at Chapel Hill.</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Laux, P., L.</w:t>
      </w:r>
      <w:r w:rsidR="00AA73B6" w:rsidRPr="003303F8">
        <w:rPr>
          <w:kern w:val="0"/>
          <w:sz w:val="24"/>
          <w:szCs w:val="24"/>
        </w:rPr>
        <w:t xml:space="preserve"> </w:t>
      </w:r>
      <w:r w:rsidRPr="003303F8">
        <w:rPr>
          <w:kern w:val="0"/>
          <w:sz w:val="24"/>
          <w:szCs w:val="24"/>
        </w:rPr>
        <w:t>Starks, and P. Yoon</w:t>
      </w:r>
      <w:r w:rsidR="001E4414" w:rsidRPr="003303F8">
        <w:rPr>
          <w:kern w:val="0"/>
          <w:sz w:val="24"/>
          <w:szCs w:val="24"/>
        </w:rPr>
        <w:t>.</w:t>
      </w:r>
      <w:r w:rsidR="004A0D7D" w:rsidRPr="003303F8">
        <w:rPr>
          <w:kern w:val="0"/>
          <w:sz w:val="24"/>
          <w:szCs w:val="24"/>
        </w:rPr>
        <w:t xml:space="preserve"> 1998</w:t>
      </w:r>
      <w:r w:rsidR="001E4414" w:rsidRPr="003303F8">
        <w:rPr>
          <w:kern w:val="0"/>
          <w:sz w:val="24"/>
          <w:szCs w:val="24"/>
        </w:rPr>
        <w:t>.</w:t>
      </w:r>
      <w:r w:rsidRPr="003303F8">
        <w:rPr>
          <w:kern w:val="0"/>
          <w:sz w:val="24"/>
          <w:szCs w:val="24"/>
        </w:rPr>
        <w:t xml:space="preserve"> The Relative Importance of Competition and Contagion in Intra-Industry Information Transfers: An Investigation of Dividend Announcements</w:t>
      </w:r>
      <w:r w:rsidR="004A0D7D" w:rsidRPr="003303F8">
        <w:rPr>
          <w:kern w:val="0"/>
          <w:sz w:val="24"/>
          <w:szCs w:val="24"/>
        </w:rPr>
        <w:t>.</w:t>
      </w:r>
      <w:r w:rsidRPr="003303F8">
        <w:rPr>
          <w:i/>
          <w:kern w:val="0"/>
          <w:sz w:val="24"/>
          <w:szCs w:val="24"/>
        </w:rPr>
        <w:t xml:space="preserve"> Financial Management</w:t>
      </w:r>
      <w:r w:rsidRPr="003303F8">
        <w:rPr>
          <w:kern w:val="0"/>
          <w:sz w:val="24"/>
          <w:szCs w:val="24"/>
        </w:rPr>
        <w:t xml:space="preserve"> </w:t>
      </w:r>
      <w:r w:rsidR="004A0D7D" w:rsidRPr="003303F8">
        <w:rPr>
          <w:kern w:val="0"/>
          <w:sz w:val="24"/>
          <w:szCs w:val="24"/>
        </w:rPr>
        <w:t>27</w:t>
      </w:r>
      <w:r w:rsidRPr="003303F8">
        <w:rPr>
          <w:kern w:val="0"/>
          <w:sz w:val="24"/>
          <w:szCs w:val="24"/>
        </w:rPr>
        <w:t>: 5-16.</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Lambert, R., C. Leuz, and R. Verrecchia</w:t>
      </w:r>
      <w:r w:rsidR="001E4414" w:rsidRPr="003303F8">
        <w:rPr>
          <w:kern w:val="0"/>
          <w:sz w:val="24"/>
          <w:szCs w:val="24"/>
        </w:rPr>
        <w:t>.</w:t>
      </w:r>
      <w:r w:rsidRPr="003303F8">
        <w:rPr>
          <w:kern w:val="0"/>
          <w:sz w:val="24"/>
          <w:szCs w:val="24"/>
        </w:rPr>
        <w:t xml:space="preserve"> </w:t>
      </w:r>
      <w:r w:rsidR="004A0D7D" w:rsidRPr="003303F8">
        <w:rPr>
          <w:kern w:val="0"/>
          <w:sz w:val="24"/>
          <w:szCs w:val="24"/>
        </w:rPr>
        <w:t>2007</w:t>
      </w:r>
      <w:r w:rsidR="001E4414" w:rsidRPr="003303F8">
        <w:rPr>
          <w:kern w:val="0"/>
          <w:sz w:val="24"/>
          <w:szCs w:val="24"/>
        </w:rPr>
        <w:t>.</w:t>
      </w:r>
      <w:r w:rsidR="004A0D7D" w:rsidRPr="003303F8">
        <w:rPr>
          <w:kern w:val="0"/>
          <w:sz w:val="24"/>
          <w:szCs w:val="24"/>
        </w:rPr>
        <w:t xml:space="preserve"> </w:t>
      </w:r>
      <w:r w:rsidRPr="003303F8">
        <w:rPr>
          <w:kern w:val="0"/>
          <w:sz w:val="24"/>
          <w:szCs w:val="24"/>
        </w:rPr>
        <w:t xml:space="preserve">Accounting Information, Disclosure, and the Cost of equity. </w:t>
      </w:r>
      <w:r w:rsidRPr="003303F8">
        <w:rPr>
          <w:i/>
          <w:kern w:val="0"/>
          <w:sz w:val="24"/>
          <w:szCs w:val="24"/>
        </w:rPr>
        <w:t>Journal of Accounting Research</w:t>
      </w:r>
      <w:r w:rsidRPr="003303F8">
        <w:rPr>
          <w:kern w:val="0"/>
          <w:sz w:val="24"/>
          <w:szCs w:val="24"/>
        </w:rPr>
        <w:t xml:space="preserve"> </w:t>
      </w:r>
      <w:r w:rsidR="008C0BE0" w:rsidRPr="003303F8">
        <w:rPr>
          <w:kern w:val="0"/>
          <w:sz w:val="24"/>
          <w:szCs w:val="24"/>
        </w:rPr>
        <w:t xml:space="preserve"> </w:t>
      </w:r>
      <w:r w:rsidRPr="003303F8">
        <w:rPr>
          <w:kern w:val="0"/>
          <w:sz w:val="24"/>
          <w:szCs w:val="24"/>
        </w:rPr>
        <w:t>45</w:t>
      </w:r>
      <w:r w:rsidR="004A0D7D" w:rsidRPr="003303F8">
        <w:rPr>
          <w:kern w:val="0"/>
          <w:sz w:val="24"/>
          <w:szCs w:val="24"/>
        </w:rPr>
        <w:t xml:space="preserve">: </w:t>
      </w:r>
      <w:r w:rsidRPr="003303F8">
        <w:rPr>
          <w:kern w:val="0"/>
          <w:sz w:val="24"/>
          <w:szCs w:val="24"/>
        </w:rPr>
        <w:t>385-420.</w:t>
      </w:r>
    </w:p>
    <w:p w:rsidR="00164C9B" w:rsidRPr="003303F8" w:rsidRDefault="00164C9B" w:rsidP="00931FD3">
      <w:pPr>
        <w:overflowPunct/>
        <w:adjustRightInd/>
        <w:spacing w:before="240"/>
        <w:ind w:left="720" w:hanging="720"/>
        <w:rPr>
          <w:sz w:val="24"/>
          <w:szCs w:val="24"/>
        </w:rPr>
      </w:pPr>
      <w:r w:rsidRPr="003303F8">
        <w:rPr>
          <w:sz w:val="24"/>
          <w:szCs w:val="24"/>
        </w:rPr>
        <w:t>Leary , M. and M. Roberts</w:t>
      </w:r>
      <w:r w:rsidR="001E4414" w:rsidRPr="003303F8">
        <w:rPr>
          <w:sz w:val="24"/>
          <w:szCs w:val="24"/>
        </w:rPr>
        <w:t>.</w:t>
      </w:r>
      <w:r w:rsidRPr="003303F8">
        <w:rPr>
          <w:sz w:val="24"/>
          <w:szCs w:val="24"/>
        </w:rPr>
        <w:t xml:space="preserve"> </w:t>
      </w:r>
      <w:r w:rsidR="003B6235" w:rsidRPr="003303F8">
        <w:rPr>
          <w:sz w:val="24"/>
          <w:szCs w:val="24"/>
        </w:rPr>
        <w:t>2014</w:t>
      </w:r>
      <w:r w:rsidR="001E4414" w:rsidRPr="003303F8">
        <w:rPr>
          <w:sz w:val="24"/>
          <w:szCs w:val="24"/>
        </w:rPr>
        <w:t>.</w:t>
      </w:r>
      <w:r w:rsidR="003B6235" w:rsidRPr="003303F8">
        <w:rPr>
          <w:sz w:val="24"/>
          <w:szCs w:val="24"/>
        </w:rPr>
        <w:t xml:space="preserve"> </w:t>
      </w:r>
      <w:r w:rsidRPr="003303F8">
        <w:rPr>
          <w:sz w:val="24"/>
          <w:szCs w:val="24"/>
        </w:rPr>
        <w:t xml:space="preserve">Do Peer Firms Affect Corporate Financial Policy? </w:t>
      </w:r>
      <w:r w:rsidR="003B6235" w:rsidRPr="001D3DFC">
        <w:rPr>
          <w:i/>
          <w:sz w:val="24"/>
          <w:szCs w:val="24"/>
        </w:rPr>
        <w:t>Journal of Finance</w:t>
      </w:r>
      <w:r w:rsidR="003B6235" w:rsidRPr="003303F8">
        <w:rPr>
          <w:sz w:val="24"/>
          <w:szCs w:val="24"/>
        </w:rPr>
        <w:t xml:space="preserve"> 69: 139–178</w:t>
      </w:r>
    </w:p>
    <w:p w:rsidR="00164C9B" w:rsidRPr="003303F8" w:rsidRDefault="00164C9B" w:rsidP="00931FD3">
      <w:pPr>
        <w:overflowPunct/>
        <w:adjustRightInd/>
        <w:spacing w:before="240"/>
        <w:ind w:left="720" w:hanging="720"/>
        <w:rPr>
          <w:sz w:val="24"/>
          <w:szCs w:val="24"/>
        </w:rPr>
      </w:pPr>
      <w:r w:rsidRPr="003303F8">
        <w:rPr>
          <w:sz w:val="24"/>
          <w:szCs w:val="24"/>
        </w:rPr>
        <w:t>Leuz, C. and R. Verrecchia</w:t>
      </w:r>
      <w:r w:rsidR="001E4414" w:rsidRPr="003303F8">
        <w:rPr>
          <w:sz w:val="24"/>
          <w:szCs w:val="24"/>
        </w:rPr>
        <w:t>.</w:t>
      </w:r>
      <w:r w:rsidR="00C97FF2" w:rsidRPr="003303F8">
        <w:rPr>
          <w:sz w:val="24"/>
          <w:szCs w:val="24"/>
        </w:rPr>
        <w:t xml:space="preserve"> 2000</w:t>
      </w:r>
      <w:r w:rsidR="001E4414" w:rsidRPr="003303F8">
        <w:rPr>
          <w:sz w:val="24"/>
          <w:szCs w:val="24"/>
        </w:rPr>
        <w:t>.</w:t>
      </w:r>
      <w:r w:rsidRPr="003303F8">
        <w:rPr>
          <w:sz w:val="24"/>
          <w:szCs w:val="24"/>
        </w:rPr>
        <w:t xml:space="preserve"> The Economic Consequences of Increased Disclosure</w:t>
      </w:r>
      <w:r w:rsidR="001E4414" w:rsidRPr="003303F8">
        <w:rPr>
          <w:sz w:val="24"/>
          <w:szCs w:val="24"/>
        </w:rPr>
        <w:t>.</w:t>
      </w:r>
      <w:r w:rsidR="00C97FF2" w:rsidRPr="003303F8">
        <w:rPr>
          <w:sz w:val="24"/>
          <w:szCs w:val="24"/>
        </w:rPr>
        <w:t xml:space="preserve"> </w:t>
      </w:r>
      <w:r w:rsidRPr="003303F8">
        <w:rPr>
          <w:i/>
          <w:iCs/>
          <w:sz w:val="24"/>
          <w:szCs w:val="24"/>
        </w:rPr>
        <w:t>Journal of Accounting Research</w:t>
      </w:r>
      <w:r w:rsidR="008C0BE0" w:rsidRPr="003303F8">
        <w:rPr>
          <w:sz w:val="24"/>
          <w:szCs w:val="24"/>
        </w:rPr>
        <w:t xml:space="preserve"> </w:t>
      </w:r>
      <w:r w:rsidRPr="003303F8">
        <w:rPr>
          <w:sz w:val="24"/>
          <w:szCs w:val="24"/>
        </w:rPr>
        <w:t>38</w:t>
      </w:r>
      <w:r w:rsidR="00C97FF2" w:rsidRPr="003303F8">
        <w:rPr>
          <w:sz w:val="24"/>
          <w:szCs w:val="24"/>
        </w:rPr>
        <w:t>:</w:t>
      </w:r>
      <w:r w:rsidRPr="003303F8">
        <w:rPr>
          <w:sz w:val="24"/>
          <w:szCs w:val="24"/>
        </w:rPr>
        <w:t xml:space="preserve"> 91-124.</w:t>
      </w:r>
    </w:p>
    <w:p w:rsidR="00164C9B" w:rsidRPr="003303F8" w:rsidRDefault="00164C9B" w:rsidP="00931FD3">
      <w:pPr>
        <w:overflowPunct/>
        <w:adjustRightInd/>
        <w:spacing w:before="240"/>
        <w:ind w:left="720" w:hanging="720"/>
        <w:rPr>
          <w:sz w:val="24"/>
          <w:szCs w:val="24"/>
        </w:rPr>
      </w:pPr>
      <w:r w:rsidRPr="003303F8">
        <w:rPr>
          <w:color w:val="000000"/>
          <w:sz w:val="24"/>
          <w:szCs w:val="24"/>
        </w:rPr>
        <w:t>Leuz ,C.  and P. Wysock</w:t>
      </w:r>
      <w:r w:rsidR="001E4414" w:rsidRPr="003303F8">
        <w:rPr>
          <w:color w:val="000000"/>
          <w:sz w:val="24"/>
          <w:szCs w:val="24"/>
        </w:rPr>
        <w:t>.</w:t>
      </w:r>
      <w:r w:rsidR="00C97FF2" w:rsidRPr="003303F8">
        <w:rPr>
          <w:sz w:val="24"/>
          <w:szCs w:val="24"/>
        </w:rPr>
        <w:t xml:space="preserve"> 2008</w:t>
      </w:r>
      <w:r w:rsidR="001E4414" w:rsidRPr="003303F8">
        <w:rPr>
          <w:sz w:val="24"/>
          <w:szCs w:val="24"/>
        </w:rPr>
        <w:t>.</w:t>
      </w:r>
      <w:r w:rsidR="00C97FF2" w:rsidRPr="003303F8">
        <w:rPr>
          <w:sz w:val="24"/>
          <w:szCs w:val="24"/>
        </w:rPr>
        <w:t xml:space="preserve"> </w:t>
      </w:r>
      <w:r w:rsidRPr="003303F8">
        <w:rPr>
          <w:sz w:val="24"/>
          <w:szCs w:val="24"/>
        </w:rPr>
        <w:t xml:space="preserve">Economic Consequences of Financial Reporting and </w:t>
      </w:r>
      <w:r w:rsidRPr="003303F8">
        <w:rPr>
          <w:sz w:val="24"/>
          <w:szCs w:val="24"/>
        </w:rPr>
        <w:lastRenderedPageBreak/>
        <w:t>Disclosure Regulation: A Review and Suggestions for Future Research</w:t>
      </w:r>
      <w:r w:rsidR="001E4414" w:rsidRPr="003303F8">
        <w:rPr>
          <w:sz w:val="24"/>
          <w:szCs w:val="24"/>
        </w:rPr>
        <w:t>.</w:t>
      </w:r>
      <w:r w:rsidRPr="003303F8">
        <w:rPr>
          <w:sz w:val="24"/>
          <w:szCs w:val="24"/>
        </w:rPr>
        <w:t xml:space="preserve"> Working paper</w:t>
      </w:r>
      <w:r w:rsidR="001E4414" w:rsidRPr="003303F8">
        <w:rPr>
          <w:sz w:val="24"/>
          <w:szCs w:val="24"/>
        </w:rPr>
        <w:t>.</w:t>
      </w:r>
      <w:r w:rsidRPr="003303F8">
        <w:rPr>
          <w:sz w:val="24"/>
          <w:szCs w:val="24"/>
        </w:rPr>
        <w:t xml:space="preserve"> University of Chicago and MIT Sloan School of Management. </w:t>
      </w:r>
    </w:p>
    <w:p w:rsidR="007062FE" w:rsidRPr="003303F8" w:rsidRDefault="007062FE" w:rsidP="00931FD3">
      <w:pPr>
        <w:overflowPunct/>
        <w:adjustRightInd/>
        <w:spacing w:before="240"/>
        <w:ind w:left="720" w:hanging="720"/>
        <w:rPr>
          <w:sz w:val="24"/>
          <w:szCs w:val="24"/>
        </w:rPr>
      </w:pPr>
      <w:r w:rsidRPr="003303F8">
        <w:rPr>
          <w:sz w:val="24"/>
          <w:szCs w:val="24"/>
        </w:rPr>
        <w:t>Levitt, A</w:t>
      </w:r>
      <w:r w:rsidR="001E4414" w:rsidRPr="003303F8">
        <w:rPr>
          <w:sz w:val="24"/>
          <w:szCs w:val="24"/>
        </w:rPr>
        <w:t>.</w:t>
      </w:r>
      <w:r w:rsidRPr="003303F8">
        <w:rPr>
          <w:sz w:val="24"/>
          <w:szCs w:val="24"/>
        </w:rPr>
        <w:t xml:space="preserve"> </w:t>
      </w:r>
      <w:r w:rsidR="00C97FF2" w:rsidRPr="003303F8">
        <w:rPr>
          <w:sz w:val="24"/>
          <w:szCs w:val="24"/>
        </w:rPr>
        <w:t>1998</w:t>
      </w:r>
      <w:r w:rsidR="001E4414" w:rsidRPr="003303F8">
        <w:rPr>
          <w:sz w:val="24"/>
          <w:szCs w:val="24"/>
        </w:rPr>
        <w:t>.</w:t>
      </w:r>
      <w:r w:rsidR="00C97FF2" w:rsidRPr="003303F8">
        <w:rPr>
          <w:sz w:val="24"/>
          <w:szCs w:val="24"/>
        </w:rPr>
        <w:t xml:space="preserve"> </w:t>
      </w:r>
      <w:r w:rsidRPr="003303F8">
        <w:rPr>
          <w:sz w:val="24"/>
          <w:szCs w:val="24"/>
        </w:rPr>
        <w:t>The Importance of High Quality Accounting Standards</w:t>
      </w:r>
      <w:r w:rsidR="001E4414" w:rsidRPr="003303F8">
        <w:rPr>
          <w:sz w:val="24"/>
          <w:szCs w:val="24"/>
        </w:rPr>
        <w:t>.</w:t>
      </w:r>
      <w:r w:rsidR="00C97FF2" w:rsidRPr="003303F8">
        <w:rPr>
          <w:sz w:val="24"/>
          <w:szCs w:val="24"/>
        </w:rPr>
        <w:t xml:space="preserve"> </w:t>
      </w:r>
      <w:r w:rsidRPr="003303F8">
        <w:rPr>
          <w:i/>
          <w:sz w:val="24"/>
          <w:szCs w:val="24"/>
        </w:rPr>
        <w:t>Accounting Horizons</w:t>
      </w:r>
      <w:r w:rsidRPr="003303F8">
        <w:rPr>
          <w:sz w:val="24"/>
          <w:szCs w:val="24"/>
        </w:rPr>
        <w:t xml:space="preserve"> 12: 79–82.</w:t>
      </w:r>
    </w:p>
    <w:p w:rsidR="00164C9B" w:rsidRPr="003303F8" w:rsidRDefault="00164C9B" w:rsidP="00931FD3">
      <w:pPr>
        <w:overflowPunct/>
        <w:adjustRightInd/>
        <w:spacing w:before="240"/>
        <w:ind w:left="720" w:hanging="720"/>
        <w:rPr>
          <w:sz w:val="24"/>
          <w:szCs w:val="24"/>
        </w:rPr>
      </w:pPr>
      <w:r w:rsidRPr="003303F8">
        <w:rPr>
          <w:sz w:val="24"/>
          <w:szCs w:val="24"/>
        </w:rPr>
        <w:t>Liu J., D. Nissim, and J</w:t>
      </w:r>
      <w:r w:rsidR="001E4414" w:rsidRPr="003303F8">
        <w:rPr>
          <w:sz w:val="24"/>
          <w:szCs w:val="24"/>
        </w:rPr>
        <w:t>.</w:t>
      </w:r>
      <w:r w:rsidRPr="003303F8">
        <w:rPr>
          <w:sz w:val="24"/>
          <w:szCs w:val="24"/>
        </w:rPr>
        <w:t xml:space="preserve"> Thomas</w:t>
      </w:r>
      <w:r w:rsidR="001E4414" w:rsidRPr="003303F8">
        <w:rPr>
          <w:sz w:val="24"/>
          <w:szCs w:val="24"/>
        </w:rPr>
        <w:t>.</w:t>
      </w:r>
      <w:r w:rsidR="00C97FF2" w:rsidRPr="003303F8">
        <w:rPr>
          <w:sz w:val="24"/>
          <w:szCs w:val="24"/>
        </w:rPr>
        <w:t xml:space="preserve"> 2002</w:t>
      </w:r>
      <w:r w:rsidR="001E4414" w:rsidRPr="003303F8">
        <w:rPr>
          <w:sz w:val="24"/>
          <w:szCs w:val="24"/>
        </w:rPr>
        <w:t>.</w:t>
      </w:r>
      <w:r w:rsidR="00C97FF2" w:rsidRPr="003303F8">
        <w:rPr>
          <w:sz w:val="24"/>
          <w:szCs w:val="24"/>
        </w:rPr>
        <w:t xml:space="preserve"> </w:t>
      </w:r>
      <w:r w:rsidRPr="003303F8">
        <w:rPr>
          <w:sz w:val="24"/>
          <w:szCs w:val="24"/>
        </w:rPr>
        <w:t>Equity valuation using multiples</w:t>
      </w:r>
      <w:r w:rsidR="001E4414" w:rsidRPr="003303F8">
        <w:rPr>
          <w:sz w:val="24"/>
          <w:szCs w:val="24"/>
        </w:rPr>
        <w:t>.</w:t>
      </w:r>
      <w:r w:rsidR="00C97FF2" w:rsidRPr="003303F8">
        <w:rPr>
          <w:sz w:val="24"/>
          <w:szCs w:val="24"/>
        </w:rPr>
        <w:t xml:space="preserve"> </w:t>
      </w:r>
      <w:r w:rsidRPr="003303F8">
        <w:rPr>
          <w:i/>
          <w:sz w:val="24"/>
          <w:szCs w:val="24"/>
        </w:rPr>
        <w:t>Journal of Accounting Research</w:t>
      </w:r>
      <w:r w:rsidR="008C0BE0" w:rsidRPr="003303F8">
        <w:rPr>
          <w:sz w:val="24"/>
          <w:szCs w:val="24"/>
        </w:rPr>
        <w:t xml:space="preserve"> </w:t>
      </w:r>
      <w:r w:rsidRPr="003303F8">
        <w:rPr>
          <w:sz w:val="24"/>
          <w:szCs w:val="24"/>
        </w:rPr>
        <w:t>40:135-172</w:t>
      </w:r>
    </w:p>
    <w:p w:rsidR="00164C9B" w:rsidRPr="003303F8" w:rsidRDefault="008C0BE0" w:rsidP="00931FD3">
      <w:pPr>
        <w:overflowPunct/>
        <w:adjustRightInd/>
        <w:spacing w:before="240"/>
        <w:ind w:left="720" w:hanging="720"/>
        <w:rPr>
          <w:kern w:val="0"/>
          <w:sz w:val="24"/>
          <w:szCs w:val="24"/>
        </w:rPr>
      </w:pPr>
      <w:r w:rsidRPr="003303F8">
        <w:rPr>
          <w:kern w:val="0"/>
          <w:sz w:val="24"/>
          <w:szCs w:val="24"/>
        </w:rPr>
        <w:t>Milgrom, D</w:t>
      </w:r>
      <w:r w:rsidR="001E4414" w:rsidRPr="003303F8">
        <w:rPr>
          <w:kern w:val="0"/>
          <w:sz w:val="24"/>
          <w:szCs w:val="24"/>
        </w:rPr>
        <w:t>.</w:t>
      </w:r>
      <w:r w:rsidR="00C97FF2" w:rsidRPr="003303F8">
        <w:rPr>
          <w:kern w:val="0"/>
          <w:sz w:val="24"/>
          <w:szCs w:val="24"/>
        </w:rPr>
        <w:t xml:space="preserve"> 1981</w:t>
      </w:r>
      <w:r w:rsidR="001E4414" w:rsidRPr="003303F8">
        <w:rPr>
          <w:kern w:val="0"/>
          <w:sz w:val="24"/>
          <w:szCs w:val="24"/>
        </w:rPr>
        <w:t>.</w:t>
      </w:r>
      <w:r w:rsidR="00164C9B" w:rsidRPr="003303F8">
        <w:rPr>
          <w:kern w:val="0"/>
          <w:sz w:val="24"/>
          <w:szCs w:val="24"/>
        </w:rPr>
        <w:t xml:space="preserve"> Good News and Bad News: Representation Theorems and Applications. </w:t>
      </w:r>
      <w:r w:rsidR="00164C9B" w:rsidRPr="003303F8">
        <w:rPr>
          <w:i/>
          <w:kern w:val="0"/>
          <w:sz w:val="24"/>
          <w:szCs w:val="24"/>
        </w:rPr>
        <w:t>Bell Journal of Economics</w:t>
      </w:r>
      <w:r w:rsidR="00164C9B" w:rsidRPr="003303F8">
        <w:rPr>
          <w:kern w:val="0"/>
          <w:sz w:val="24"/>
          <w:szCs w:val="24"/>
        </w:rPr>
        <w:t xml:space="preserve"> 12</w:t>
      </w:r>
      <w:r w:rsidR="00C97FF2" w:rsidRPr="003303F8">
        <w:rPr>
          <w:kern w:val="0"/>
          <w:sz w:val="24"/>
          <w:szCs w:val="24"/>
        </w:rPr>
        <w:t xml:space="preserve">: </w:t>
      </w:r>
      <w:r w:rsidR="00164C9B" w:rsidRPr="003303F8">
        <w:rPr>
          <w:kern w:val="0"/>
          <w:sz w:val="24"/>
          <w:szCs w:val="24"/>
        </w:rPr>
        <w:t xml:space="preserve">380-391. </w:t>
      </w:r>
    </w:p>
    <w:p w:rsidR="00727B2C" w:rsidRPr="003303F8" w:rsidRDefault="00727B2C" w:rsidP="00931FD3">
      <w:pPr>
        <w:overflowPunct/>
        <w:adjustRightInd/>
        <w:spacing w:before="240"/>
        <w:ind w:left="720" w:hanging="720"/>
        <w:rPr>
          <w:kern w:val="0"/>
          <w:sz w:val="24"/>
          <w:szCs w:val="24"/>
        </w:rPr>
      </w:pPr>
      <w:r w:rsidRPr="003303F8">
        <w:rPr>
          <w:kern w:val="0"/>
          <w:sz w:val="24"/>
          <w:szCs w:val="24"/>
        </w:rPr>
        <w:t>Modigliani, F., and Miller, M</w:t>
      </w:r>
      <w:r w:rsidR="001E4414" w:rsidRPr="003303F8">
        <w:rPr>
          <w:kern w:val="0"/>
          <w:sz w:val="24"/>
          <w:szCs w:val="24"/>
        </w:rPr>
        <w:t xml:space="preserve">. </w:t>
      </w:r>
      <w:r w:rsidR="00C97FF2" w:rsidRPr="003303F8">
        <w:rPr>
          <w:kern w:val="0"/>
          <w:sz w:val="24"/>
          <w:szCs w:val="24"/>
        </w:rPr>
        <w:t>1958</w:t>
      </w:r>
      <w:r w:rsidR="001E4414" w:rsidRPr="003303F8">
        <w:rPr>
          <w:kern w:val="0"/>
          <w:sz w:val="24"/>
          <w:szCs w:val="24"/>
        </w:rPr>
        <w:t>.</w:t>
      </w:r>
      <w:r w:rsidRPr="003303F8">
        <w:rPr>
          <w:kern w:val="0"/>
          <w:sz w:val="24"/>
          <w:szCs w:val="24"/>
        </w:rPr>
        <w:t xml:space="preserve"> The Cost of Capital, Corporation Finance and the Theory of Investment. </w:t>
      </w:r>
      <w:r w:rsidRPr="003303F8">
        <w:rPr>
          <w:i/>
          <w:kern w:val="0"/>
          <w:sz w:val="24"/>
          <w:szCs w:val="24"/>
        </w:rPr>
        <w:t>American Economic Review</w:t>
      </w:r>
      <w:r w:rsidRPr="003303F8">
        <w:rPr>
          <w:kern w:val="0"/>
          <w:sz w:val="24"/>
          <w:szCs w:val="24"/>
        </w:rPr>
        <w:t xml:space="preserve"> 48 : 261–297.</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 xml:space="preserve">McInnis, J. </w:t>
      </w:r>
      <w:r w:rsidR="00C97FF2" w:rsidRPr="003303F8">
        <w:rPr>
          <w:kern w:val="0"/>
          <w:sz w:val="24"/>
          <w:szCs w:val="24"/>
        </w:rPr>
        <w:t>2010</w:t>
      </w:r>
      <w:r w:rsidR="001E4414" w:rsidRPr="003303F8">
        <w:rPr>
          <w:kern w:val="0"/>
          <w:sz w:val="24"/>
          <w:szCs w:val="24"/>
        </w:rPr>
        <w:t>.</w:t>
      </w:r>
      <w:r w:rsidR="00C97FF2" w:rsidRPr="003303F8">
        <w:rPr>
          <w:kern w:val="0"/>
          <w:sz w:val="24"/>
          <w:szCs w:val="24"/>
        </w:rPr>
        <w:t xml:space="preserve"> </w:t>
      </w:r>
      <w:r w:rsidRPr="003303F8">
        <w:rPr>
          <w:kern w:val="0"/>
          <w:sz w:val="24"/>
          <w:szCs w:val="24"/>
        </w:rPr>
        <w:t xml:space="preserve">Earnings Smoothness, Average Returns, and Implied Cost of Equity Capital. </w:t>
      </w:r>
      <w:r w:rsidRPr="003303F8">
        <w:rPr>
          <w:i/>
          <w:kern w:val="0"/>
          <w:sz w:val="24"/>
          <w:szCs w:val="24"/>
        </w:rPr>
        <w:t>Accounting Review</w:t>
      </w:r>
      <w:r w:rsidRPr="003303F8">
        <w:rPr>
          <w:kern w:val="0"/>
          <w:sz w:val="24"/>
          <w:szCs w:val="24"/>
        </w:rPr>
        <w:t xml:space="preserve"> 85: 315-341</w:t>
      </w:r>
      <w:r w:rsidR="001E4414" w:rsidRPr="003303F8">
        <w:rPr>
          <w:kern w:val="0"/>
          <w:sz w:val="24"/>
          <w:szCs w:val="24"/>
        </w:rPr>
        <w:t>.</w:t>
      </w:r>
    </w:p>
    <w:p w:rsidR="00164C9B" w:rsidRPr="003303F8" w:rsidRDefault="00164C9B" w:rsidP="00931FD3">
      <w:pPr>
        <w:overflowPunct/>
        <w:adjustRightInd/>
        <w:spacing w:before="240"/>
        <w:ind w:left="720" w:hanging="720"/>
        <w:rPr>
          <w:kern w:val="0"/>
          <w:sz w:val="24"/>
          <w:szCs w:val="24"/>
        </w:rPr>
      </w:pPr>
      <w:proofErr w:type="gramStart"/>
      <w:r w:rsidRPr="003303F8">
        <w:rPr>
          <w:kern w:val="0"/>
          <w:sz w:val="24"/>
          <w:szCs w:val="24"/>
        </w:rPr>
        <w:t>Ng, J</w:t>
      </w:r>
      <w:r w:rsidR="001E4414" w:rsidRPr="003303F8">
        <w:rPr>
          <w:kern w:val="0"/>
          <w:sz w:val="24"/>
          <w:szCs w:val="24"/>
        </w:rPr>
        <w:t>.</w:t>
      </w:r>
      <w:r w:rsidRPr="003303F8">
        <w:rPr>
          <w:kern w:val="0"/>
          <w:sz w:val="24"/>
          <w:szCs w:val="24"/>
        </w:rPr>
        <w:t xml:space="preserve"> </w:t>
      </w:r>
      <w:r w:rsidR="00C97FF2" w:rsidRPr="003303F8">
        <w:rPr>
          <w:kern w:val="0"/>
          <w:sz w:val="24"/>
          <w:szCs w:val="24"/>
        </w:rPr>
        <w:t>2011</w:t>
      </w:r>
      <w:r w:rsidR="001E4414" w:rsidRPr="003303F8">
        <w:rPr>
          <w:kern w:val="0"/>
          <w:sz w:val="24"/>
          <w:szCs w:val="24"/>
        </w:rPr>
        <w:t>.</w:t>
      </w:r>
      <w:proofErr w:type="gramEnd"/>
      <w:r w:rsidR="00C97FF2" w:rsidRPr="003303F8">
        <w:rPr>
          <w:kern w:val="0"/>
          <w:sz w:val="24"/>
          <w:szCs w:val="24"/>
        </w:rPr>
        <w:t xml:space="preserve"> </w:t>
      </w:r>
      <w:r w:rsidRPr="003303F8">
        <w:rPr>
          <w:kern w:val="0"/>
          <w:sz w:val="24"/>
          <w:szCs w:val="24"/>
        </w:rPr>
        <w:t xml:space="preserve">The Effect of Information Quality on Liquidity Risk. </w:t>
      </w:r>
      <w:r w:rsidRPr="003303F8">
        <w:rPr>
          <w:i/>
          <w:kern w:val="0"/>
          <w:sz w:val="24"/>
          <w:szCs w:val="24"/>
        </w:rPr>
        <w:t>Journal of Accounting and Economics</w:t>
      </w:r>
      <w:r w:rsidR="00C97FF2" w:rsidRPr="003303F8">
        <w:rPr>
          <w:kern w:val="0"/>
          <w:sz w:val="24"/>
          <w:szCs w:val="24"/>
        </w:rPr>
        <w:t xml:space="preserve"> </w:t>
      </w:r>
      <w:r w:rsidR="00D97B59" w:rsidRPr="003303F8">
        <w:rPr>
          <w:kern w:val="0"/>
          <w:sz w:val="24"/>
          <w:szCs w:val="24"/>
        </w:rPr>
        <w:t>52</w:t>
      </w:r>
      <w:r w:rsidR="00C97FF2" w:rsidRPr="003303F8">
        <w:rPr>
          <w:kern w:val="0"/>
          <w:sz w:val="24"/>
          <w:szCs w:val="24"/>
        </w:rPr>
        <w:t>:</w:t>
      </w:r>
      <w:r w:rsidR="00C97FF2" w:rsidRPr="003303F8">
        <w:rPr>
          <w:sz w:val="24"/>
          <w:szCs w:val="24"/>
        </w:rPr>
        <w:t xml:space="preserve"> </w:t>
      </w:r>
      <w:r w:rsidR="00D97B59" w:rsidRPr="003303F8">
        <w:rPr>
          <w:sz w:val="24"/>
          <w:szCs w:val="24"/>
        </w:rPr>
        <w:t>126-143</w:t>
      </w:r>
      <w:r w:rsidRPr="003303F8">
        <w:rPr>
          <w:kern w:val="0"/>
          <w:sz w:val="24"/>
          <w:szCs w:val="24"/>
        </w:rPr>
        <w:t xml:space="preserve">. </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Ohlson, C., R. Dietrich, and V.Bernard</w:t>
      </w:r>
      <w:r w:rsidR="001E4414" w:rsidRPr="003303F8">
        <w:rPr>
          <w:kern w:val="0"/>
          <w:sz w:val="24"/>
          <w:szCs w:val="24"/>
        </w:rPr>
        <w:t>.</w:t>
      </w:r>
      <w:r w:rsidR="00C97FF2" w:rsidRPr="003303F8">
        <w:rPr>
          <w:kern w:val="0"/>
          <w:sz w:val="24"/>
          <w:szCs w:val="24"/>
        </w:rPr>
        <w:t xml:space="preserve"> 1985</w:t>
      </w:r>
      <w:r w:rsidR="001E4414" w:rsidRPr="003303F8">
        <w:rPr>
          <w:kern w:val="0"/>
          <w:sz w:val="24"/>
          <w:szCs w:val="24"/>
        </w:rPr>
        <w:t>.</w:t>
      </w:r>
      <w:r w:rsidRPr="003303F8">
        <w:rPr>
          <w:kern w:val="0"/>
          <w:sz w:val="24"/>
          <w:szCs w:val="24"/>
        </w:rPr>
        <w:t xml:space="preserve"> Vertical Information Transfers: The Association between Retailers’ Sales Announcements and Suppliers’ Security Returns</w:t>
      </w:r>
      <w:r w:rsidR="001E4414" w:rsidRPr="003303F8">
        <w:rPr>
          <w:kern w:val="0"/>
          <w:sz w:val="24"/>
          <w:szCs w:val="24"/>
        </w:rPr>
        <w:t>.</w:t>
      </w:r>
      <w:r w:rsidR="00D97B59" w:rsidRPr="003303F8">
        <w:rPr>
          <w:kern w:val="0"/>
          <w:sz w:val="24"/>
          <w:szCs w:val="24"/>
        </w:rPr>
        <w:t xml:space="preserve"> </w:t>
      </w:r>
      <w:r w:rsidRPr="003303F8">
        <w:rPr>
          <w:i/>
          <w:kern w:val="0"/>
          <w:sz w:val="24"/>
          <w:szCs w:val="24"/>
        </w:rPr>
        <w:t>Journal of Accounting Research</w:t>
      </w:r>
      <w:r w:rsidR="00C97FF2" w:rsidRPr="003303F8">
        <w:rPr>
          <w:kern w:val="0"/>
          <w:sz w:val="24"/>
          <w:szCs w:val="24"/>
        </w:rPr>
        <w:t xml:space="preserve"> 23</w:t>
      </w:r>
      <w:r w:rsidRPr="003303F8">
        <w:rPr>
          <w:kern w:val="0"/>
          <w:sz w:val="24"/>
          <w:szCs w:val="24"/>
        </w:rPr>
        <w:t>: 144-166.</w:t>
      </w:r>
    </w:p>
    <w:p w:rsidR="00164C9B" w:rsidRPr="003303F8" w:rsidRDefault="00164C9B" w:rsidP="00931FD3">
      <w:pPr>
        <w:overflowPunct/>
        <w:adjustRightInd/>
        <w:spacing w:before="240"/>
        <w:ind w:left="720" w:hanging="720"/>
        <w:rPr>
          <w:rFonts w:eastAsia="Times New Roman"/>
          <w:iCs/>
          <w:sz w:val="24"/>
          <w:szCs w:val="24"/>
        </w:rPr>
      </w:pPr>
      <w:r w:rsidRPr="003303F8">
        <w:rPr>
          <w:rFonts w:eastAsia="Times New Roman"/>
          <w:iCs/>
          <w:sz w:val="24"/>
          <w:szCs w:val="24"/>
        </w:rPr>
        <w:t>Ogneva, M., Su</w:t>
      </w:r>
      <w:r w:rsidR="008C0BE0" w:rsidRPr="003303F8">
        <w:rPr>
          <w:rFonts w:eastAsia="Times New Roman"/>
          <w:iCs/>
          <w:sz w:val="24"/>
          <w:szCs w:val="24"/>
        </w:rPr>
        <w:t>bramanyam, K.R. and R., Kannan</w:t>
      </w:r>
      <w:r w:rsidR="001E4414" w:rsidRPr="003303F8">
        <w:rPr>
          <w:rFonts w:eastAsia="Times New Roman"/>
          <w:iCs/>
          <w:sz w:val="24"/>
          <w:szCs w:val="24"/>
        </w:rPr>
        <w:t>.</w:t>
      </w:r>
      <w:r w:rsidR="00C97FF2" w:rsidRPr="003303F8">
        <w:rPr>
          <w:rFonts w:eastAsia="Times New Roman"/>
          <w:iCs/>
          <w:sz w:val="24"/>
          <w:szCs w:val="24"/>
        </w:rPr>
        <w:t xml:space="preserve"> 2007</w:t>
      </w:r>
      <w:r w:rsidR="001E4414" w:rsidRPr="003303F8">
        <w:rPr>
          <w:rFonts w:eastAsia="Times New Roman"/>
          <w:iCs/>
          <w:sz w:val="24"/>
          <w:szCs w:val="24"/>
        </w:rPr>
        <w:t>.</w:t>
      </w:r>
      <w:r w:rsidRPr="003303F8">
        <w:rPr>
          <w:rFonts w:eastAsia="Times New Roman"/>
          <w:iCs/>
          <w:sz w:val="24"/>
          <w:szCs w:val="24"/>
        </w:rPr>
        <w:t xml:space="preserve"> Internal Control Weakness and Cost of Equity: Evidence from SOX Section 404 Disclosures. </w:t>
      </w:r>
      <w:r w:rsidRPr="003303F8">
        <w:rPr>
          <w:rFonts w:eastAsia="Times New Roman"/>
          <w:i/>
          <w:iCs/>
          <w:sz w:val="24"/>
          <w:szCs w:val="24"/>
        </w:rPr>
        <w:t>Accounting Review</w:t>
      </w:r>
      <w:r w:rsidR="001E4414" w:rsidRPr="003303F8">
        <w:rPr>
          <w:rFonts w:eastAsia="Times New Roman"/>
          <w:iCs/>
          <w:sz w:val="24"/>
          <w:szCs w:val="24"/>
        </w:rPr>
        <w:t>.</w:t>
      </w:r>
      <w:r w:rsidRPr="003303F8">
        <w:rPr>
          <w:rFonts w:eastAsia="Times New Roman"/>
          <w:iCs/>
          <w:sz w:val="24"/>
          <w:szCs w:val="24"/>
        </w:rPr>
        <w:t xml:space="preserve"> </w:t>
      </w:r>
      <w:r w:rsidR="00C97FF2" w:rsidRPr="003303F8">
        <w:rPr>
          <w:rFonts w:eastAsia="Times New Roman"/>
          <w:iCs/>
          <w:sz w:val="24"/>
          <w:szCs w:val="24"/>
        </w:rPr>
        <w:t>82: 1255-1297</w:t>
      </w:r>
    </w:p>
    <w:p w:rsidR="00164C9B" w:rsidRPr="003303F8" w:rsidRDefault="00164C9B" w:rsidP="00931FD3">
      <w:pPr>
        <w:overflowPunct/>
        <w:adjustRightInd/>
        <w:spacing w:before="240"/>
        <w:ind w:left="720" w:hanging="720"/>
        <w:rPr>
          <w:rFonts w:eastAsia="Times New Roman"/>
          <w:sz w:val="24"/>
          <w:szCs w:val="24"/>
        </w:rPr>
      </w:pPr>
      <w:r w:rsidRPr="003303F8">
        <w:rPr>
          <w:rFonts w:eastAsia="Times New Roman"/>
          <w:iCs/>
          <w:sz w:val="24"/>
          <w:szCs w:val="24"/>
        </w:rPr>
        <w:t>Rajan</w:t>
      </w:r>
      <w:r w:rsidRPr="003303F8">
        <w:rPr>
          <w:iCs/>
          <w:sz w:val="24"/>
          <w:szCs w:val="24"/>
        </w:rPr>
        <w:t>,</w:t>
      </w:r>
      <w:r w:rsidRPr="003303F8">
        <w:rPr>
          <w:rFonts w:eastAsia="Times New Roman"/>
          <w:sz w:val="24"/>
          <w:szCs w:val="24"/>
        </w:rPr>
        <w:t xml:space="preserve"> R</w:t>
      </w:r>
      <w:r w:rsidRPr="003303F8">
        <w:rPr>
          <w:sz w:val="24"/>
          <w:szCs w:val="24"/>
        </w:rPr>
        <w:t>.</w:t>
      </w:r>
      <w:r w:rsidRPr="003303F8">
        <w:rPr>
          <w:rFonts w:eastAsia="Times New Roman"/>
          <w:sz w:val="24"/>
          <w:szCs w:val="24"/>
        </w:rPr>
        <w:t xml:space="preserve"> </w:t>
      </w:r>
      <w:r w:rsidRPr="003303F8">
        <w:rPr>
          <w:sz w:val="24"/>
          <w:szCs w:val="24"/>
        </w:rPr>
        <w:t xml:space="preserve">and </w:t>
      </w:r>
      <w:r w:rsidRPr="003303F8">
        <w:rPr>
          <w:rFonts w:eastAsia="Times New Roman"/>
          <w:sz w:val="24"/>
          <w:szCs w:val="24"/>
        </w:rPr>
        <w:t xml:space="preserve"> L</w:t>
      </w:r>
      <w:r w:rsidRPr="003303F8">
        <w:rPr>
          <w:sz w:val="24"/>
          <w:szCs w:val="24"/>
        </w:rPr>
        <w:t>.</w:t>
      </w:r>
      <w:r w:rsidRPr="003303F8">
        <w:rPr>
          <w:rFonts w:eastAsia="Times New Roman"/>
          <w:sz w:val="24"/>
          <w:szCs w:val="24"/>
        </w:rPr>
        <w:t xml:space="preserve"> </w:t>
      </w:r>
      <w:r w:rsidRPr="003303F8">
        <w:rPr>
          <w:rFonts w:eastAsia="Times New Roman"/>
          <w:iCs/>
          <w:sz w:val="24"/>
          <w:szCs w:val="24"/>
        </w:rPr>
        <w:t>Zingales</w:t>
      </w:r>
      <w:r w:rsidR="001E4414" w:rsidRPr="003303F8">
        <w:rPr>
          <w:rFonts w:eastAsia="Times New Roman"/>
          <w:sz w:val="24"/>
          <w:szCs w:val="24"/>
        </w:rPr>
        <w:t>.</w:t>
      </w:r>
      <w:r w:rsidRPr="003303F8">
        <w:rPr>
          <w:rFonts w:eastAsia="Times New Roman"/>
          <w:sz w:val="24"/>
          <w:szCs w:val="24"/>
        </w:rPr>
        <w:t xml:space="preserve"> </w:t>
      </w:r>
      <w:r w:rsidR="00C97FF2" w:rsidRPr="003303F8">
        <w:rPr>
          <w:rFonts w:eastAsia="Times New Roman"/>
          <w:iCs/>
          <w:sz w:val="24"/>
          <w:szCs w:val="24"/>
        </w:rPr>
        <w:t>1998</w:t>
      </w:r>
      <w:r w:rsidR="001E4414" w:rsidRPr="003303F8">
        <w:rPr>
          <w:rFonts w:eastAsia="Times New Roman"/>
          <w:iCs/>
          <w:sz w:val="24"/>
          <w:szCs w:val="24"/>
        </w:rPr>
        <w:t>.</w:t>
      </w:r>
      <w:r w:rsidR="00C97FF2" w:rsidRPr="003303F8">
        <w:rPr>
          <w:rFonts w:eastAsia="Times New Roman"/>
          <w:iCs/>
          <w:sz w:val="24"/>
          <w:szCs w:val="24"/>
        </w:rPr>
        <w:t xml:space="preserve"> </w:t>
      </w:r>
      <w:r w:rsidRPr="003303F8">
        <w:rPr>
          <w:rFonts w:eastAsia="Times New Roman"/>
          <w:sz w:val="24"/>
          <w:szCs w:val="24"/>
        </w:rPr>
        <w:t>Power In A Theory Of The Firm</w:t>
      </w:r>
      <w:r w:rsidR="001E4414" w:rsidRPr="003303F8">
        <w:rPr>
          <w:rFonts w:eastAsia="Times New Roman"/>
          <w:sz w:val="24"/>
          <w:szCs w:val="24"/>
        </w:rPr>
        <w:t xml:space="preserve">. </w:t>
      </w:r>
      <w:r w:rsidRPr="003303F8">
        <w:rPr>
          <w:rFonts w:eastAsia="Times New Roman"/>
          <w:i/>
          <w:sz w:val="24"/>
          <w:szCs w:val="24"/>
        </w:rPr>
        <w:t>The Quarterly Journal of Economics</w:t>
      </w:r>
      <w:r w:rsidR="00C97FF2" w:rsidRPr="003303F8">
        <w:rPr>
          <w:rFonts w:eastAsia="Times New Roman"/>
          <w:sz w:val="24"/>
          <w:szCs w:val="24"/>
        </w:rPr>
        <w:t xml:space="preserve"> </w:t>
      </w:r>
      <w:r w:rsidRPr="003303F8">
        <w:rPr>
          <w:rFonts w:eastAsia="Times New Roman"/>
          <w:sz w:val="24"/>
          <w:szCs w:val="24"/>
        </w:rPr>
        <w:t>113</w:t>
      </w:r>
      <w:r w:rsidR="00C97FF2" w:rsidRPr="003303F8">
        <w:rPr>
          <w:rFonts w:eastAsia="Times New Roman"/>
          <w:sz w:val="24"/>
          <w:szCs w:val="24"/>
        </w:rPr>
        <w:t>:</w:t>
      </w:r>
      <w:r w:rsidRPr="003303F8">
        <w:rPr>
          <w:rFonts w:eastAsia="Times New Roman"/>
          <w:sz w:val="24"/>
          <w:szCs w:val="24"/>
        </w:rPr>
        <w:t xml:space="preserve"> 387-432</w:t>
      </w:r>
    </w:p>
    <w:p w:rsidR="00164C9B" w:rsidRPr="003303F8" w:rsidRDefault="00164C9B" w:rsidP="00931FD3">
      <w:pPr>
        <w:overflowPunct/>
        <w:adjustRightInd/>
        <w:spacing w:before="240"/>
        <w:ind w:left="720" w:hanging="720"/>
        <w:rPr>
          <w:sz w:val="24"/>
          <w:szCs w:val="24"/>
        </w:rPr>
      </w:pPr>
      <w:r w:rsidRPr="003303F8">
        <w:rPr>
          <w:sz w:val="24"/>
          <w:szCs w:val="24"/>
        </w:rPr>
        <w:t>Ross, S</w:t>
      </w:r>
      <w:r w:rsidR="001E4414" w:rsidRPr="003303F8">
        <w:rPr>
          <w:sz w:val="24"/>
          <w:szCs w:val="24"/>
        </w:rPr>
        <w:t>.</w:t>
      </w:r>
      <w:r w:rsidRPr="003303F8">
        <w:rPr>
          <w:sz w:val="24"/>
          <w:szCs w:val="24"/>
        </w:rPr>
        <w:t xml:space="preserve"> </w:t>
      </w:r>
      <w:r w:rsidR="00C97FF2" w:rsidRPr="003303F8">
        <w:rPr>
          <w:sz w:val="24"/>
          <w:szCs w:val="24"/>
        </w:rPr>
        <w:t>1979</w:t>
      </w:r>
      <w:r w:rsidR="001E4414" w:rsidRPr="003303F8">
        <w:rPr>
          <w:sz w:val="24"/>
          <w:szCs w:val="24"/>
        </w:rPr>
        <w:t>.</w:t>
      </w:r>
      <w:r w:rsidR="00C97FF2" w:rsidRPr="003303F8">
        <w:rPr>
          <w:sz w:val="24"/>
          <w:szCs w:val="24"/>
        </w:rPr>
        <w:t xml:space="preserve"> </w:t>
      </w:r>
      <w:r w:rsidRPr="003303F8">
        <w:rPr>
          <w:sz w:val="24"/>
          <w:szCs w:val="24"/>
        </w:rPr>
        <w:t>Disclosure regulation in Financial Markets: Implications of Modern Finance Theory and Signaling Theory. In F. Edwards (</w:t>
      </w:r>
      <w:r w:rsidR="00C97FF2" w:rsidRPr="003303F8">
        <w:rPr>
          <w:sz w:val="24"/>
          <w:szCs w:val="24"/>
        </w:rPr>
        <w:t>ed</w:t>
      </w:r>
      <w:r w:rsidRPr="003303F8">
        <w:rPr>
          <w:sz w:val="24"/>
          <w:szCs w:val="24"/>
        </w:rPr>
        <w:t xml:space="preserve">.), </w:t>
      </w:r>
      <w:r w:rsidRPr="003303F8">
        <w:rPr>
          <w:i/>
          <w:iCs/>
          <w:sz w:val="24"/>
          <w:szCs w:val="24"/>
        </w:rPr>
        <w:t>Issues in Financial Regulation</w:t>
      </w:r>
      <w:r w:rsidRPr="003303F8">
        <w:rPr>
          <w:sz w:val="24"/>
          <w:szCs w:val="24"/>
        </w:rPr>
        <w:t xml:space="preserve">, </w:t>
      </w:r>
      <w:r w:rsidR="00C97FF2" w:rsidRPr="003303F8">
        <w:rPr>
          <w:sz w:val="24"/>
          <w:szCs w:val="24"/>
        </w:rPr>
        <w:t xml:space="preserve">New York: </w:t>
      </w:r>
      <w:r w:rsidRPr="003303F8">
        <w:rPr>
          <w:sz w:val="24"/>
          <w:szCs w:val="24"/>
        </w:rPr>
        <w:t xml:space="preserve">McGraw-Hill. </w:t>
      </w:r>
    </w:p>
    <w:p w:rsidR="00FD0E0B" w:rsidRPr="003303F8" w:rsidRDefault="00FD0E0B" w:rsidP="00931FD3">
      <w:pPr>
        <w:overflowPunct/>
        <w:adjustRightInd/>
        <w:spacing w:before="240"/>
        <w:ind w:left="720" w:hanging="720"/>
        <w:rPr>
          <w:sz w:val="24"/>
          <w:szCs w:val="24"/>
        </w:rPr>
      </w:pPr>
      <w:r w:rsidRPr="003303F8">
        <w:rPr>
          <w:sz w:val="24"/>
          <w:szCs w:val="24"/>
        </w:rPr>
        <w:t xml:space="preserve">Roll, </w:t>
      </w:r>
      <w:r w:rsidR="00AA73B6" w:rsidRPr="003303F8">
        <w:rPr>
          <w:sz w:val="24"/>
          <w:szCs w:val="24"/>
        </w:rPr>
        <w:t>R</w:t>
      </w:r>
      <w:r w:rsidR="001E4414" w:rsidRPr="003303F8">
        <w:rPr>
          <w:sz w:val="24"/>
          <w:szCs w:val="24"/>
        </w:rPr>
        <w:t>. 1992.</w:t>
      </w:r>
      <w:r w:rsidRPr="003303F8">
        <w:rPr>
          <w:sz w:val="24"/>
          <w:szCs w:val="24"/>
        </w:rPr>
        <w:t xml:space="preserve"> Industrial structure and the comparative behavior of international stock market indices</w:t>
      </w:r>
      <w:r w:rsidR="001E4414" w:rsidRPr="003303F8">
        <w:rPr>
          <w:sz w:val="24"/>
          <w:szCs w:val="24"/>
        </w:rPr>
        <w:t xml:space="preserve">. </w:t>
      </w:r>
      <w:r w:rsidRPr="003303F8">
        <w:rPr>
          <w:i/>
          <w:sz w:val="24"/>
          <w:szCs w:val="24"/>
        </w:rPr>
        <w:t>Journal of Finance</w:t>
      </w:r>
      <w:r w:rsidR="008C0BE0" w:rsidRPr="003303F8">
        <w:rPr>
          <w:sz w:val="24"/>
          <w:szCs w:val="24"/>
        </w:rPr>
        <w:t xml:space="preserve"> </w:t>
      </w:r>
      <w:r w:rsidRPr="003303F8">
        <w:rPr>
          <w:sz w:val="24"/>
          <w:szCs w:val="24"/>
        </w:rPr>
        <w:t>47</w:t>
      </w:r>
      <w:r w:rsidR="001E4414" w:rsidRPr="003303F8">
        <w:rPr>
          <w:sz w:val="24"/>
          <w:szCs w:val="24"/>
        </w:rPr>
        <w:t xml:space="preserve">: </w:t>
      </w:r>
      <w:r w:rsidRPr="003303F8">
        <w:rPr>
          <w:sz w:val="24"/>
          <w:szCs w:val="24"/>
        </w:rPr>
        <w:t>3</w:t>
      </w:r>
      <w:r w:rsidR="001E4414" w:rsidRPr="003303F8">
        <w:rPr>
          <w:sz w:val="24"/>
          <w:szCs w:val="24"/>
        </w:rPr>
        <w:t>-</w:t>
      </w:r>
      <w:r w:rsidRPr="003303F8">
        <w:rPr>
          <w:sz w:val="24"/>
          <w:szCs w:val="24"/>
        </w:rPr>
        <w:t>41.</w:t>
      </w:r>
    </w:p>
    <w:p w:rsidR="00181C02" w:rsidRPr="003303F8" w:rsidRDefault="00181C02" w:rsidP="00931FD3">
      <w:pPr>
        <w:overflowPunct/>
        <w:adjustRightInd/>
        <w:spacing w:before="240"/>
        <w:ind w:left="720" w:hanging="720"/>
        <w:rPr>
          <w:sz w:val="24"/>
          <w:szCs w:val="24"/>
        </w:rPr>
      </w:pPr>
      <w:r w:rsidRPr="003303F8">
        <w:rPr>
          <w:sz w:val="24"/>
          <w:szCs w:val="24"/>
        </w:rPr>
        <w:t>Richardson, A. and M. Welker</w:t>
      </w:r>
      <w:r w:rsidR="001E4414" w:rsidRPr="003303F8">
        <w:rPr>
          <w:sz w:val="24"/>
          <w:szCs w:val="24"/>
        </w:rPr>
        <w:t>. 2001.</w:t>
      </w:r>
      <w:r w:rsidRPr="003303F8">
        <w:rPr>
          <w:sz w:val="24"/>
          <w:szCs w:val="24"/>
        </w:rPr>
        <w:t xml:space="preserve"> Social disclosure, financial disclosure and the cost of equity capital</w:t>
      </w:r>
      <w:r w:rsidR="001E4414" w:rsidRPr="003303F8">
        <w:rPr>
          <w:sz w:val="24"/>
          <w:szCs w:val="24"/>
        </w:rPr>
        <w:t xml:space="preserve">. </w:t>
      </w:r>
      <w:r w:rsidRPr="003303F8">
        <w:rPr>
          <w:i/>
          <w:sz w:val="24"/>
          <w:szCs w:val="24"/>
        </w:rPr>
        <w:t>Accounting, Organizations and Society</w:t>
      </w:r>
      <w:r w:rsidRPr="003303F8">
        <w:rPr>
          <w:sz w:val="24"/>
          <w:szCs w:val="24"/>
        </w:rPr>
        <w:t xml:space="preserve"> 26</w:t>
      </w:r>
      <w:r w:rsidR="001E4414" w:rsidRPr="003303F8">
        <w:rPr>
          <w:sz w:val="24"/>
          <w:szCs w:val="24"/>
        </w:rPr>
        <w:t xml:space="preserve">: </w:t>
      </w:r>
      <w:r w:rsidRPr="003303F8">
        <w:rPr>
          <w:sz w:val="24"/>
          <w:szCs w:val="24"/>
        </w:rPr>
        <w:t>597</w:t>
      </w:r>
      <w:r w:rsidR="001E4414" w:rsidRPr="003303F8">
        <w:rPr>
          <w:sz w:val="24"/>
          <w:szCs w:val="24"/>
        </w:rPr>
        <w:t>-</w:t>
      </w:r>
      <w:r w:rsidRPr="003303F8">
        <w:rPr>
          <w:sz w:val="24"/>
          <w:szCs w:val="24"/>
        </w:rPr>
        <w:t>616</w:t>
      </w:r>
    </w:p>
    <w:p w:rsidR="00164C9B" w:rsidRPr="003303F8" w:rsidRDefault="008C0BE0" w:rsidP="00931FD3">
      <w:pPr>
        <w:overflowPunct/>
        <w:adjustRightInd/>
        <w:spacing w:before="240"/>
        <w:ind w:left="720" w:hanging="720"/>
        <w:rPr>
          <w:sz w:val="24"/>
          <w:szCs w:val="24"/>
        </w:rPr>
      </w:pPr>
      <w:r w:rsidRPr="003303F8">
        <w:rPr>
          <w:sz w:val="24"/>
          <w:szCs w:val="24"/>
        </w:rPr>
        <w:t>Samuelson, P</w:t>
      </w:r>
      <w:r w:rsidR="001E4414" w:rsidRPr="003303F8">
        <w:rPr>
          <w:sz w:val="24"/>
          <w:szCs w:val="24"/>
        </w:rPr>
        <w:t>. 1967.</w:t>
      </w:r>
      <w:r w:rsidRPr="003303F8">
        <w:rPr>
          <w:sz w:val="24"/>
          <w:szCs w:val="24"/>
        </w:rPr>
        <w:t xml:space="preserve"> </w:t>
      </w:r>
      <w:r w:rsidR="00164C9B" w:rsidRPr="003303F8">
        <w:rPr>
          <w:sz w:val="24"/>
          <w:szCs w:val="24"/>
        </w:rPr>
        <w:t>General Proof that Diversification Pays</w:t>
      </w:r>
      <w:r w:rsidR="001E4414" w:rsidRPr="003303F8">
        <w:rPr>
          <w:sz w:val="24"/>
          <w:szCs w:val="24"/>
        </w:rPr>
        <w:t xml:space="preserve">. </w:t>
      </w:r>
      <w:r w:rsidR="00164C9B" w:rsidRPr="003303F8">
        <w:rPr>
          <w:i/>
          <w:sz w:val="24"/>
          <w:szCs w:val="24"/>
        </w:rPr>
        <w:t>Journal of Financial and Quantitative Analysis</w:t>
      </w:r>
      <w:r w:rsidR="00164C9B" w:rsidRPr="003303F8">
        <w:rPr>
          <w:sz w:val="24"/>
          <w:szCs w:val="24"/>
        </w:rPr>
        <w:t xml:space="preserve"> 2</w:t>
      </w:r>
      <w:r w:rsidR="001E4414" w:rsidRPr="003303F8">
        <w:rPr>
          <w:sz w:val="24"/>
          <w:szCs w:val="24"/>
        </w:rPr>
        <w:t>:</w:t>
      </w:r>
      <w:r w:rsidR="00164C9B" w:rsidRPr="003303F8">
        <w:rPr>
          <w:sz w:val="24"/>
          <w:szCs w:val="24"/>
        </w:rPr>
        <w:t xml:space="preserve"> 1-13</w:t>
      </w:r>
      <w:r w:rsidR="001E4414" w:rsidRPr="003303F8">
        <w:rPr>
          <w:sz w:val="24"/>
          <w:szCs w:val="24"/>
        </w:rPr>
        <w:t>.</w:t>
      </w:r>
    </w:p>
    <w:p w:rsidR="00561B52" w:rsidRPr="003303F8" w:rsidRDefault="00561B52" w:rsidP="00931FD3">
      <w:pPr>
        <w:adjustRightInd/>
        <w:spacing w:before="240"/>
        <w:ind w:left="720" w:hanging="720"/>
        <w:rPr>
          <w:sz w:val="24"/>
          <w:szCs w:val="24"/>
        </w:rPr>
      </w:pPr>
      <w:r w:rsidRPr="003303F8">
        <w:rPr>
          <w:sz w:val="24"/>
          <w:szCs w:val="24"/>
        </w:rPr>
        <w:t>Sharpe, W</w:t>
      </w:r>
      <w:r w:rsidR="001E4414" w:rsidRPr="003303F8">
        <w:rPr>
          <w:sz w:val="24"/>
          <w:szCs w:val="24"/>
        </w:rPr>
        <w:t>. 1978.</w:t>
      </w:r>
      <w:r w:rsidRPr="003303F8">
        <w:rPr>
          <w:sz w:val="24"/>
          <w:szCs w:val="24"/>
        </w:rPr>
        <w:t xml:space="preserve"> New Evidence on the Capital Asset Pricing Model: Discussion</w:t>
      </w:r>
      <w:r w:rsidR="001E4414" w:rsidRPr="003303F8">
        <w:rPr>
          <w:sz w:val="24"/>
          <w:szCs w:val="24"/>
        </w:rPr>
        <w:t xml:space="preserve">. </w:t>
      </w:r>
      <w:r w:rsidRPr="003303F8">
        <w:rPr>
          <w:i/>
          <w:iCs/>
          <w:sz w:val="24"/>
          <w:szCs w:val="24"/>
        </w:rPr>
        <w:t>Journal of Finance</w:t>
      </w:r>
      <w:r w:rsidR="001E4414" w:rsidRPr="003303F8">
        <w:rPr>
          <w:i/>
          <w:iCs/>
          <w:sz w:val="24"/>
          <w:szCs w:val="24"/>
        </w:rPr>
        <w:t xml:space="preserve"> </w:t>
      </w:r>
      <w:r w:rsidRPr="003303F8">
        <w:rPr>
          <w:sz w:val="24"/>
          <w:szCs w:val="24"/>
        </w:rPr>
        <w:t>33</w:t>
      </w:r>
      <w:r w:rsidR="001E4414" w:rsidRPr="003303F8">
        <w:rPr>
          <w:sz w:val="24"/>
          <w:szCs w:val="24"/>
        </w:rPr>
        <w:t xml:space="preserve">: </w:t>
      </w:r>
      <w:r w:rsidRPr="003303F8">
        <w:rPr>
          <w:sz w:val="24"/>
          <w:szCs w:val="24"/>
        </w:rPr>
        <w:t>917-920.</w:t>
      </w:r>
    </w:p>
    <w:p w:rsidR="00164C9B" w:rsidRPr="003303F8" w:rsidRDefault="00164C9B" w:rsidP="00931FD3">
      <w:pPr>
        <w:overflowPunct/>
        <w:adjustRightInd/>
        <w:spacing w:before="240"/>
        <w:ind w:left="720" w:hanging="720"/>
        <w:rPr>
          <w:sz w:val="24"/>
          <w:szCs w:val="24"/>
        </w:rPr>
      </w:pPr>
      <w:r w:rsidRPr="003303F8">
        <w:rPr>
          <w:sz w:val="24"/>
          <w:szCs w:val="24"/>
        </w:rPr>
        <w:lastRenderedPageBreak/>
        <w:t xml:space="preserve">Sengupta, P. </w:t>
      </w:r>
      <w:r w:rsidR="001E4414" w:rsidRPr="003303F8">
        <w:rPr>
          <w:sz w:val="24"/>
          <w:szCs w:val="24"/>
        </w:rPr>
        <w:t xml:space="preserve">1998. </w:t>
      </w:r>
      <w:r w:rsidRPr="003303F8">
        <w:rPr>
          <w:sz w:val="24"/>
          <w:szCs w:val="24"/>
        </w:rPr>
        <w:t xml:space="preserve">Corporate Disclosure Quality and the Cost of Debt. </w:t>
      </w:r>
      <w:r w:rsidRPr="003303F8">
        <w:rPr>
          <w:i/>
          <w:iCs/>
          <w:sz w:val="24"/>
          <w:szCs w:val="24"/>
        </w:rPr>
        <w:t xml:space="preserve">The Accounting Review </w:t>
      </w:r>
      <w:r w:rsidR="008C0BE0" w:rsidRPr="003303F8">
        <w:rPr>
          <w:sz w:val="24"/>
          <w:szCs w:val="24"/>
        </w:rPr>
        <w:t xml:space="preserve"> </w:t>
      </w:r>
      <w:r w:rsidRPr="003303F8">
        <w:rPr>
          <w:sz w:val="24"/>
          <w:szCs w:val="24"/>
        </w:rPr>
        <w:t>73: 459-474.</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 xml:space="preserve">Sidak, J. </w:t>
      </w:r>
      <w:r w:rsidR="001E4414" w:rsidRPr="003303F8">
        <w:rPr>
          <w:kern w:val="0"/>
          <w:sz w:val="24"/>
          <w:szCs w:val="24"/>
        </w:rPr>
        <w:t xml:space="preserve">2003. </w:t>
      </w:r>
      <w:r w:rsidRPr="003303F8">
        <w:rPr>
          <w:kern w:val="0"/>
          <w:sz w:val="24"/>
          <w:szCs w:val="24"/>
        </w:rPr>
        <w:t xml:space="preserve">The Failure of Good Intentions: the Worldcom Fraud and the Collapse of American Telecommunications After Deregulation. </w:t>
      </w:r>
      <w:r w:rsidRPr="003303F8">
        <w:rPr>
          <w:i/>
          <w:kern w:val="0"/>
          <w:sz w:val="24"/>
          <w:szCs w:val="24"/>
        </w:rPr>
        <w:t>Yale Journal of Regulation</w:t>
      </w:r>
      <w:r w:rsidRPr="003303F8">
        <w:rPr>
          <w:kern w:val="0"/>
          <w:sz w:val="24"/>
          <w:szCs w:val="24"/>
        </w:rPr>
        <w:t xml:space="preserve"> 20</w:t>
      </w:r>
      <w:r w:rsidR="001E4414" w:rsidRPr="003303F8">
        <w:rPr>
          <w:kern w:val="0"/>
          <w:sz w:val="24"/>
          <w:szCs w:val="24"/>
        </w:rPr>
        <w:t xml:space="preserve">: </w:t>
      </w:r>
      <w:r w:rsidRPr="003303F8">
        <w:rPr>
          <w:kern w:val="0"/>
          <w:sz w:val="24"/>
          <w:szCs w:val="24"/>
        </w:rPr>
        <w:t xml:space="preserve">207-267. </w:t>
      </w:r>
    </w:p>
    <w:p w:rsidR="006D471B" w:rsidRPr="003303F8" w:rsidRDefault="006D471B" w:rsidP="00931FD3">
      <w:pPr>
        <w:overflowPunct/>
        <w:adjustRightInd/>
        <w:spacing w:before="240"/>
        <w:ind w:left="720" w:hanging="720"/>
        <w:rPr>
          <w:sz w:val="24"/>
          <w:szCs w:val="24"/>
        </w:rPr>
      </w:pPr>
      <w:r w:rsidRPr="003303F8">
        <w:rPr>
          <w:sz w:val="24"/>
          <w:szCs w:val="24"/>
        </w:rPr>
        <w:t>Stattman, D.</w:t>
      </w:r>
      <w:r w:rsidR="001E4414" w:rsidRPr="003303F8">
        <w:rPr>
          <w:sz w:val="24"/>
          <w:szCs w:val="24"/>
        </w:rPr>
        <w:t xml:space="preserve"> 1980.</w:t>
      </w:r>
      <w:r w:rsidRPr="003303F8">
        <w:rPr>
          <w:sz w:val="24"/>
          <w:szCs w:val="24"/>
        </w:rPr>
        <w:t xml:space="preserve"> Book values and stock returns</w:t>
      </w:r>
      <w:r w:rsidR="001E4414" w:rsidRPr="003303F8">
        <w:rPr>
          <w:sz w:val="24"/>
          <w:szCs w:val="24"/>
        </w:rPr>
        <w:t xml:space="preserve">. </w:t>
      </w:r>
      <w:r w:rsidRPr="003303F8">
        <w:rPr>
          <w:i/>
          <w:sz w:val="24"/>
          <w:szCs w:val="24"/>
        </w:rPr>
        <w:t>The Chicago MBA: A</w:t>
      </w:r>
      <w:r w:rsidR="001E4414" w:rsidRPr="003303F8">
        <w:rPr>
          <w:sz w:val="24"/>
          <w:szCs w:val="24"/>
        </w:rPr>
        <w:t xml:space="preserve"> </w:t>
      </w:r>
      <w:r w:rsidRPr="003303F8">
        <w:rPr>
          <w:i/>
          <w:kern w:val="0"/>
          <w:sz w:val="24"/>
          <w:szCs w:val="24"/>
        </w:rPr>
        <w:t xml:space="preserve">Journal of Selected paper </w:t>
      </w:r>
      <w:r w:rsidRPr="003303F8">
        <w:rPr>
          <w:sz w:val="24"/>
          <w:szCs w:val="24"/>
        </w:rPr>
        <w:t>4</w:t>
      </w:r>
      <w:r w:rsidR="001E4414" w:rsidRPr="003303F8">
        <w:rPr>
          <w:sz w:val="24"/>
          <w:szCs w:val="24"/>
        </w:rPr>
        <w:t xml:space="preserve">: </w:t>
      </w:r>
      <w:r w:rsidRPr="003303F8">
        <w:rPr>
          <w:sz w:val="24"/>
          <w:szCs w:val="24"/>
        </w:rPr>
        <w:t>25-45</w:t>
      </w:r>
      <w:r w:rsidR="001E4414" w:rsidRPr="003303F8">
        <w:rPr>
          <w:sz w:val="24"/>
          <w:szCs w:val="24"/>
        </w:rPr>
        <w:t>.</w:t>
      </w:r>
    </w:p>
    <w:p w:rsidR="00164C9B" w:rsidRPr="003303F8" w:rsidRDefault="00164C9B" w:rsidP="00931FD3">
      <w:pPr>
        <w:overflowPunct/>
        <w:adjustRightInd/>
        <w:spacing w:before="240"/>
        <w:ind w:left="720" w:hanging="720"/>
        <w:rPr>
          <w:kern w:val="0"/>
          <w:sz w:val="24"/>
          <w:szCs w:val="24"/>
        </w:rPr>
      </w:pPr>
      <w:r w:rsidRPr="003303F8">
        <w:rPr>
          <w:kern w:val="0"/>
          <w:sz w:val="24"/>
          <w:szCs w:val="24"/>
        </w:rPr>
        <w:t>Verrecchia, R.</w:t>
      </w:r>
      <w:r w:rsidR="001E4414" w:rsidRPr="003303F8">
        <w:rPr>
          <w:kern w:val="0"/>
          <w:sz w:val="24"/>
          <w:szCs w:val="24"/>
        </w:rPr>
        <w:t xml:space="preserve"> 2001.</w:t>
      </w:r>
      <w:r w:rsidRPr="003303F8">
        <w:rPr>
          <w:kern w:val="0"/>
          <w:sz w:val="24"/>
          <w:szCs w:val="24"/>
        </w:rPr>
        <w:t xml:space="preserve"> Essays on Disclosure. </w:t>
      </w:r>
      <w:r w:rsidRPr="003303F8">
        <w:rPr>
          <w:i/>
          <w:kern w:val="0"/>
          <w:sz w:val="24"/>
          <w:szCs w:val="24"/>
        </w:rPr>
        <w:t>Journal of Accounting and Economics</w:t>
      </w:r>
      <w:r w:rsidR="00D97B59" w:rsidRPr="003303F8">
        <w:rPr>
          <w:i/>
          <w:kern w:val="0"/>
          <w:sz w:val="24"/>
          <w:szCs w:val="24"/>
        </w:rPr>
        <w:t xml:space="preserve"> </w:t>
      </w:r>
      <w:r w:rsidR="008C0BE0" w:rsidRPr="003303F8">
        <w:rPr>
          <w:kern w:val="0"/>
          <w:sz w:val="24"/>
          <w:szCs w:val="24"/>
        </w:rPr>
        <w:t xml:space="preserve"> </w:t>
      </w:r>
      <w:r w:rsidRPr="003303F8">
        <w:rPr>
          <w:kern w:val="0"/>
          <w:sz w:val="24"/>
          <w:szCs w:val="24"/>
        </w:rPr>
        <w:t>32</w:t>
      </w:r>
      <w:r w:rsidR="001E4414" w:rsidRPr="003303F8">
        <w:rPr>
          <w:kern w:val="0"/>
          <w:sz w:val="24"/>
          <w:szCs w:val="24"/>
        </w:rPr>
        <w:t xml:space="preserve">: </w:t>
      </w:r>
      <w:r w:rsidRPr="003303F8">
        <w:rPr>
          <w:kern w:val="0"/>
          <w:sz w:val="24"/>
          <w:szCs w:val="24"/>
        </w:rPr>
        <w:t>97-180.</w:t>
      </w:r>
    </w:p>
    <w:p w:rsidR="008E4950" w:rsidRPr="003303F8" w:rsidRDefault="00164C9B" w:rsidP="00931FD3">
      <w:pPr>
        <w:overflowPunct/>
        <w:adjustRightInd/>
        <w:spacing w:before="240"/>
        <w:ind w:left="720" w:hanging="720"/>
        <w:rPr>
          <w:sz w:val="24"/>
          <w:szCs w:val="24"/>
        </w:rPr>
      </w:pPr>
      <w:r w:rsidRPr="003303F8">
        <w:rPr>
          <w:sz w:val="24"/>
          <w:szCs w:val="24"/>
        </w:rPr>
        <w:t>Xu, T., M. Najand, and D. Ziegenfuss</w:t>
      </w:r>
      <w:r w:rsidR="001E4414" w:rsidRPr="003303F8">
        <w:rPr>
          <w:sz w:val="24"/>
          <w:szCs w:val="24"/>
        </w:rPr>
        <w:t>. 2006.</w:t>
      </w:r>
      <w:r w:rsidRPr="003303F8">
        <w:rPr>
          <w:sz w:val="24"/>
          <w:szCs w:val="24"/>
        </w:rPr>
        <w:t xml:space="preserve"> Intra-Industry Effects of Earnings Restatements Due to Accounting Irregularities. </w:t>
      </w:r>
      <w:r w:rsidRPr="003303F8">
        <w:rPr>
          <w:i/>
          <w:sz w:val="24"/>
          <w:szCs w:val="24"/>
        </w:rPr>
        <w:t>Journal of Business Finance &amp; Accounting</w:t>
      </w:r>
      <w:r w:rsidRPr="003303F8">
        <w:rPr>
          <w:sz w:val="24"/>
          <w:szCs w:val="24"/>
        </w:rPr>
        <w:t xml:space="preserve"> </w:t>
      </w:r>
      <w:r w:rsidR="008C0BE0" w:rsidRPr="003303F8">
        <w:rPr>
          <w:sz w:val="24"/>
          <w:szCs w:val="24"/>
        </w:rPr>
        <w:t xml:space="preserve"> </w:t>
      </w:r>
      <w:r w:rsidRPr="003303F8">
        <w:rPr>
          <w:sz w:val="24"/>
          <w:szCs w:val="24"/>
        </w:rPr>
        <w:t>33</w:t>
      </w:r>
      <w:r w:rsidR="001E4414" w:rsidRPr="003303F8">
        <w:rPr>
          <w:sz w:val="24"/>
          <w:szCs w:val="24"/>
        </w:rPr>
        <w:t xml:space="preserve">: </w:t>
      </w:r>
      <w:r w:rsidRPr="003303F8">
        <w:rPr>
          <w:sz w:val="24"/>
          <w:szCs w:val="24"/>
        </w:rPr>
        <w:t>696-714.</w:t>
      </w:r>
      <w:r w:rsidR="008E4950" w:rsidRPr="003303F8">
        <w:rPr>
          <w:sz w:val="24"/>
          <w:szCs w:val="24"/>
        </w:rPr>
        <w:br w:type="page"/>
      </w:r>
    </w:p>
    <w:tbl>
      <w:tblPr>
        <w:tblpPr w:leftFromText="180" w:rightFromText="180" w:vertAnchor="text" w:horzAnchor="margin" w:tblpY="177"/>
        <w:tblW w:w="8199" w:type="dxa"/>
        <w:tblLayout w:type="fixed"/>
        <w:tblCellMar>
          <w:left w:w="0" w:type="dxa"/>
          <w:right w:w="0" w:type="dxa"/>
        </w:tblCellMar>
        <w:tblLook w:val="04A0" w:firstRow="1" w:lastRow="0" w:firstColumn="1" w:lastColumn="0" w:noHBand="0" w:noVBand="1"/>
      </w:tblPr>
      <w:tblGrid>
        <w:gridCol w:w="1455"/>
        <w:gridCol w:w="180"/>
        <w:gridCol w:w="6564"/>
      </w:tblGrid>
      <w:tr w:rsidR="00180B18" w:rsidRPr="003303F8" w:rsidTr="003E0C29">
        <w:trPr>
          <w:trHeight w:val="37"/>
        </w:trPr>
        <w:tc>
          <w:tcPr>
            <w:tcW w:w="8199" w:type="dxa"/>
            <w:gridSpan w:val="3"/>
            <w:shd w:val="clear" w:color="auto" w:fill="auto"/>
            <w:noWrap/>
            <w:tcMar>
              <w:top w:w="15" w:type="dxa"/>
              <w:left w:w="15" w:type="dxa"/>
              <w:bottom w:w="0" w:type="dxa"/>
              <w:right w:w="15" w:type="dxa"/>
            </w:tcMar>
            <w:vAlign w:val="bottom"/>
            <w:hideMark/>
          </w:tcPr>
          <w:p w:rsidR="00180B18" w:rsidRPr="003303F8" w:rsidRDefault="00180B18" w:rsidP="006C0D68">
            <w:pPr>
              <w:pStyle w:val="Heading1"/>
              <w:spacing w:line="240" w:lineRule="auto"/>
              <w:rPr>
                <w:szCs w:val="24"/>
              </w:rPr>
            </w:pPr>
            <w:bookmarkStart w:id="181" w:name="_Toc378087528"/>
            <w:bookmarkStart w:id="182" w:name="_Toc378087568"/>
            <w:bookmarkStart w:id="183" w:name="_Toc378088377"/>
            <w:bookmarkStart w:id="184" w:name="_Toc378088766"/>
            <w:bookmarkStart w:id="185" w:name="_Toc378088902"/>
            <w:proofErr w:type="gramStart"/>
            <w:r w:rsidRPr="003303F8">
              <w:rPr>
                <w:szCs w:val="24"/>
              </w:rPr>
              <w:lastRenderedPageBreak/>
              <w:t>A</w:t>
            </w:r>
            <w:r w:rsidR="003B29E2" w:rsidRPr="003303F8">
              <w:rPr>
                <w:szCs w:val="24"/>
              </w:rPr>
              <w:t xml:space="preserve">PPENDIX </w:t>
            </w:r>
            <w:r w:rsidRPr="003303F8">
              <w:rPr>
                <w:szCs w:val="24"/>
              </w:rPr>
              <w:t xml:space="preserve"> I</w:t>
            </w:r>
            <w:proofErr w:type="gramEnd"/>
            <w:r w:rsidRPr="003303F8">
              <w:rPr>
                <w:szCs w:val="24"/>
              </w:rPr>
              <w:t>.</w:t>
            </w:r>
            <w:bookmarkEnd w:id="181"/>
            <w:bookmarkEnd w:id="182"/>
            <w:bookmarkEnd w:id="183"/>
            <w:bookmarkEnd w:id="184"/>
            <w:bookmarkEnd w:id="185"/>
            <w:r w:rsidRPr="003303F8">
              <w:rPr>
                <w:szCs w:val="24"/>
              </w:rPr>
              <w:t xml:space="preserve"> </w:t>
            </w:r>
          </w:p>
          <w:p w:rsidR="002F063F" w:rsidRPr="003303F8" w:rsidRDefault="00180B18" w:rsidP="006C0D68">
            <w:pPr>
              <w:jc w:val="center"/>
              <w:rPr>
                <w:b/>
                <w:sz w:val="24"/>
                <w:szCs w:val="24"/>
              </w:rPr>
            </w:pPr>
            <w:r w:rsidRPr="003303F8">
              <w:rPr>
                <w:b/>
                <w:sz w:val="24"/>
                <w:szCs w:val="24"/>
              </w:rPr>
              <w:t>Variable Definitions</w:t>
            </w:r>
          </w:p>
        </w:tc>
      </w:tr>
      <w:tr w:rsidR="00180B18" w:rsidRPr="003303F8" w:rsidTr="006C0D68">
        <w:trPr>
          <w:trHeight w:val="37"/>
        </w:trPr>
        <w:tc>
          <w:tcPr>
            <w:tcW w:w="1455" w:type="dxa"/>
            <w:tcBorders>
              <w:bottom w:val="single" w:sz="4" w:space="0" w:color="auto"/>
            </w:tcBorders>
            <w:shd w:val="clear" w:color="auto" w:fill="auto"/>
            <w:noWrap/>
            <w:tcMar>
              <w:top w:w="15" w:type="dxa"/>
              <w:left w:w="15" w:type="dxa"/>
              <w:bottom w:w="0" w:type="dxa"/>
              <w:right w:w="15" w:type="dxa"/>
            </w:tcMar>
          </w:tcPr>
          <w:p w:rsidR="00180B18" w:rsidRPr="003303F8" w:rsidRDefault="00180B18" w:rsidP="006C0D68">
            <w:pPr>
              <w:rPr>
                <w:sz w:val="24"/>
                <w:szCs w:val="24"/>
              </w:rPr>
            </w:pPr>
            <w:r w:rsidRPr="003303F8">
              <w:rPr>
                <w:sz w:val="24"/>
                <w:szCs w:val="24"/>
              </w:rPr>
              <w:t>Variable</w:t>
            </w:r>
          </w:p>
        </w:tc>
        <w:tc>
          <w:tcPr>
            <w:tcW w:w="180" w:type="dxa"/>
            <w:tcBorders>
              <w:bottom w:val="single" w:sz="4" w:space="0" w:color="auto"/>
            </w:tcBorders>
            <w:shd w:val="clear" w:color="auto" w:fill="auto"/>
            <w:noWrap/>
            <w:tcMar>
              <w:top w:w="15" w:type="dxa"/>
              <w:left w:w="15" w:type="dxa"/>
              <w:bottom w:w="0" w:type="dxa"/>
              <w:right w:w="15" w:type="dxa"/>
            </w:tcMar>
          </w:tcPr>
          <w:p w:rsidR="00180B18" w:rsidRPr="003303F8" w:rsidRDefault="00180B18" w:rsidP="006C0D68">
            <w:pPr>
              <w:rPr>
                <w:sz w:val="24"/>
                <w:szCs w:val="24"/>
              </w:rPr>
            </w:pPr>
          </w:p>
        </w:tc>
        <w:tc>
          <w:tcPr>
            <w:tcW w:w="6564" w:type="dxa"/>
            <w:tcBorders>
              <w:bottom w:val="single" w:sz="4" w:space="0" w:color="auto"/>
            </w:tcBorders>
            <w:shd w:val="clear" w:color="auto" w:fill="auto"/>
            <w:noWrap/>
            <w:tcMar>
              <w:top w:w="15" w:type="dxa"/>
              <w:left w:w="15" w:type="dxa"/>
              <w:bottom w:w="0" w:type="dxa"/>
              <w:right w:w="15" w:type="dxa"/>
            </w:tcMar>
          </w:tcPr>
          <w:p w:rsidR="00180B18" w:rsidRPr="003303F8" w:rsidRDefault="00180B18" w:rsidP="006C0D68">
            <w:pPr>
              <w:ind w:left="345" w:hanging="345"/>
              <w:jc w:val="center"/>
              <w:rPr>
                <w:sz w:val="24"/>
                <w:szCs w:val="24"/>
              </w:rPr>
            </w:pPr>
            <w:r w:rsidRPr="003303F8">
              <w:rPr>
                <w:sz w:val="24"/>
                <w:szCs w:val="24"/>
              </w:rPr>
              <w:t>Definition</w:t>
            </w:r>
          </w:p>
        </w:tc>
      </w:tr>
      <w:tr w:rsidR="00180B18" w:rsidRPr="003303F8" w:rsidTr="006C0D68">
        <w:trPr>
          <w:trHeight w:val="37"/>
        </w:trPr>
        <w:tc>
          <w:tcPr>
            <w:tcW w:w="1455" w:type="dxa"/>
            <w:tcBorders>
              <w:top w:val="single" w:sz="4" w:space="0" w:color="auto"/>
            </w:tcBorders>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EXRET</w:t>
            </w:r>
          </w:p>
        </w:tc>
        <w:tc>
          <w:tcPr>
            <w:tcW w:w="180" w:type="dxa"/>
            <w:tcBorders>
              <w:top w:val="single" w:sz="4" w:space="0" w:color="auto"/>
            </w:tcBorders>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tcBorders>
              <w:top w:val="single" w:sz="4" w:space="0" w:color="auto"/>
            </w:tcBorders>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Monthly firm stock return minus the risk free return.</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ICoE</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Analyst-based implied cost of equity, measured based on the Easton (2004)’s implied cost of equity model:</w:t>
            </w:r>
          </w:p>
          <w:p w:rsidR="00180B18" w:rsidRPr="003303F8" w:rsidRDefault="00180B18" w:rsidP="006C0D68">
            <w:pPr>
              <w:ind w:left="345" w:hanging="345"/>
              <w:jc w:val="center"/>
              <w:rPr>
                <w:kern w:val="0"/>
                <w:sz w:val="24"/>
                <w:szCs w:val="24"/>
              </w:rPr>
            </w:pPr>
            <w:r w:rsidRPr="003303F8">
              <w:rPr>
                <w:kern w:val="0"/>
                <w:position w:val="-32"/>
                <w:sz w:val="24"/>
                <w:szCs w:val="24"/>
              </w:rPr>
              <w:object w:dxaOrig="2940" w:dyaOrig="740">
                <v:shape id="_x0000_i1047" type="#_x0000_t75" style="width:142.5pt;height:36.75pt" o:ole="">
                  <v:imagedata r:id="rId56" o:title=""/>
                </v:shape>
                <o:OLEObject Type="Embed" ProgID="Equation.3" ShapeID="_x0000_i1047" DrawAspect="Content" ObjectID="_1458832564" r:id="rId57"/>
              </w:object>
            </w:r>
            <w:r w:rsidRPr="003303F8">
              <w:rPr>
                <w:kern w:val="0"/>
                <w:sz w:val="24"/>
                <w:szCs w:val="24"/>
              </w:rPr>
              <w:t>,</w:t>
            </w:r>
          </w:p>
          <w:p w:rsidR="00180B18" w:rsidRPr="003303F8" w:rsidRDefault="00180B18" w:rsidP="006C0D68">
            <w:pPr>
              <w:ind w:left="345" w:hanging="345"/>
              <w:rPr>
                <w:sz w:val="24"/>
                <w:szCs w:val="24"/>
              </w:rPr>
            </w:pPr>
            <w:r w:rsidRPr="003303F8">
              <w:rPr>
                <w:kern w:val="0"/>
                <w:sz w:val="24"/>
                <w:szCs w:val="24"/>
              </w:rPr>
              <w:t xml:space="preserve">where </w:t>
            </w:r>
            <w:r w:rsidRPr="003303F8">
              <w:rPr>
                <w:i/>
                <w:iCs/>
                <w:kern w:val="0"/>
                <w:sz w:val="24"/>
                <w:szCs w:val="24"/>
              </w:rPr>
              <w:t>EPS</w:t>
            </w:r>
            <w:r w:rsidRPr="003303F8">
              <w:rPr>
                <w:i/>
                <w:iCs/>
                <w:kern w:val="0"/>
                <w:sz w:val="24"/>
                <w:szCs w:val="24"/>
                <w:vertAlign w:val="subscript"/>
              </w:rPr>
              <w:t xml:space="preserve"> j,t+k</w:t>
            </w:r>
            <w:r w:rsidRPr="003303F8">
              <w:rPr>
                <w:i/>
                <w:iCs/>
                <w:kern w:val="0"/>
                <w:sz w:val="24"/>
                <w:szCs w:val="24"/>
              </w:rPr>
              <w:t xml:space="preserve"> </w:t>
            </w:r>
            <w:r w:rsidRPr="003303F8">
              <w:rPr>
                <w:kern w:val="0"/>
                <w:sz w:val="24"/>
                <w:szCs w:val="24"/>
              </w:rPr>
              <w:t xml:space="preserve">is the last mean consensus analyst earnings per share forecast for year t+k for firm j. </w:t>
            </w:r>
            <w:r w:rsidRPr="003303F8">
              <w:rPr>
                <w:i/>
                <w:iCs/>
                <w:kern w:val="0"/>
                <w:sz w:val="24"/>
                <w:szCs w:val="24"/>
              </w:rPr>
              <w:t xml:space="preserve">P </w:t>
            </w:r>
            <w:r w:rsidRPr="003303F8">
              <w:rPr>
                <w:i/>
                <w:iCs/>
                <w:kern w:val="0"/>
                <w:sz w:val="24"/>
                <w:szCs w:val="24"/>
                <w:vertAlign w:val="subscript"/>
              </w:rPr>
              <w:t xml:space="preserve">j,t </w:t>
            </w:r>
            <w:r w:rsidRPr="003303F8">
              <w:rPr>
                <w:kern w:val="0"/>
                <w:sz w:val="24"/>
                <w:szCs w:val="24"/>
              </w:rPr>
              <w:t xml:space="preserve">is the ending stock price on the last trading day of June in the </w:t>
            </w:r>
            <w:r w:rsidRPr="003303F8">
              <w:rPr>
                <w:color w:val="000000"/>
                <w:sz w:val="24"/>
                <w:szCs w:val="24"/>
              </w:rPr>
              <w:t>calendar year</w:t>
            </w:r>
            <w:r w:rsidRPr="003303F8">
              <w:rPr>
                <w:kern w:val="0"/>
                <w:sz w:val="24"/>
                <w:szCs w:val="24"/>
              </w:rPr>
              <w:t xml:space="preserve"> t+1. Analyst forecast data are from </w:t>
            </w:r>
            <w:r w:rsidRPr="003303F8">
              <w:rPr>
                <w:i/>
                <w:kern w:val="0"/>
                <w:sz w:val="24"/>
                <w:szCs w:val="24"/>
              </w:rPr>
              <w:t>IBES</w:t>
            </w:r>
            <w:r w:rsidRPr="003303F8">
              <w:rPr>
                <w:kern w:val="0"/>
                <w:sz w:val="24"/>
                <w:szCs w:val="24"/>
              </w:rPr>
              <w:t xml:space="preserve">. </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IndEP</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 xml:space="preserve">Industry-adjusted earnings-price ratio, measured as the difference between the earnings-price ratio and the industry-year median earnings-price ratio. </w:t>
            </w:r>
          </w:p>
        </w:tc>
      </w:tr>
      <w:tr w:rsidR="00180B18" w:rsidRPr="003303F8" w:rsidTr="006C0D68">
        <w:trPr>
          <w:trHeight w:val="603"/>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EQ</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widowControl/>
              <w:overflowPunct/>
              <w:autoSpaceDE/>
              <w:autoSpaceDN/>
              <w:snapToGrid w:val="0"/>
              <w:ind w:left="345" w:right="936" w:hanging="345"/>
              <w:rPr>
                <w:kern w:val="0"/>
                <w:sz w:val="24"/>
                <w:szCs w:val="24"/>
              </w:rPr>
            </w:pPr>
            <w:r w:rsidRPr="003303F8">
              <w:rPr>
                <w:kern w:val="0"/>
                <w:sz w:val="24"/>
                <w:szCs w:val="24"/>
              </w:rPr>
              <w:t xml:space="preserve">Earnings quality, measured as the negative of the 5-year standard deviation of residuals estimated from the Francis et al. (2005) model. </w:t>
            </w:r>
          </w:p>
        </w:tc>
      </w:tr>
      <w:tr w:rsidR="00180B18" w:rsidRPr="003303F8" w:rsidTr="006C0D68">
        <w:trPr>
          <w:trHeight w:val="50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H_EQ</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widowControl/>
              <w:overflowPunct/>
              <w:autoSpaceDE/>
              <w:autoSpaceDN/>
              <w:snapToGrid w:val="0"/>
              <w:ind w:left="345" w:right="936" w:hanging="345"/>
              <w:rPr>
                <w:kern w:val="0"/>
                <w:sz w:val="24"/>
                <w:szCs w:val="24"/>
              </w:rPr>
            </w:pPr>
            <w:r w:rsidRPr="003303F8">
              <w:rPr>
                <w:kern w:val="0"/>
                <w:sz w:val="24"/>
                <w:szCs w:val="24"/>
              </w:rPr>
              <w:t xml:space="preserve">High earnings quality, an indicator variable for observations with </w:t>
            </w:r>
            <w:r w:rsidRPr="003303F8">
              <w:rPr>
                <w:i/>
                <w:kern w:val="0"/>
                <w:sz w:val="24"/>
                <w:szCs w:val="24"/>
              </w:rPr>
              <w:t xml:space="preserve">EQ </w:t>
            </w:r>
            <w:r w:rsidRPr="003303F8">
              <w:rPr>
                <w:kern w:val="0"/>
                <w:sz w:val="24"/>
                <w:szCs w:val="24"/>
              </w:rPr>
              <w:t>above sample median.</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P_EQew</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kern w:val="0"/>
                <w:sz w:val="24"/>
                <w:szCs w:val="24"/>
              </w:rPr>
              <w:t>Peer firm earnings quality, measured as the equally-weighted average earnings quality of all other firms in the same industry during the fiscal year.</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P_EQmsw</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kern w:val="0"/>
                <w:sz w:val="24"/>
                <w:szCs w:val="24"/>
              </w:rPr>
              <w:t>Peer firm earnings quality, measured as the market-share-weighted average earnings quality of all other firms in the same industry during the fiscal year.</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H_P_EQew</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kern w:val="0"/>
                <w:sz w:val="24"/>
                <w:szCs w:val="24"/>
              </w:rPr>
              <w:t xml:space="preserve">High peer firm earnings quality, an indicator variable for observations with </w:t>
            </w:r>
            <w:r w:rsidRPr="003303F8">
              <w:rPr>
                <w:i/>
                <w:kern w:val="0"/>
                <w:sz w:val="24"/>
                <w:szCs w:val="24"/>
              </w:rPr>
              <w:t xml:space="preserve">P_EQew </w:t>
            </w:r>
            <w:r w:rsidRPr="003303F8">
              <w:rPr>
                <w:kern w:val="0"/>
                <w:sz w:val="24"/>
                <w:szCs w:val="24"/>
              </w:rPr>
              <w:t>above sample median.</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H_P_EQmsw</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kern w:val="0"/>
                <w:sz w:val="24"/>
                <w:szCs w:val="24"/>
              </w:rPr>
              <w:t xml:space="preserve">High peer firm earnings quality, an indicator variable for observations with </w:t>
            </w:r>
            <w:r w:rsidRPr="003303F8">
              <w:rPr>
                <w:i/>
                <w:kern w:val="0"/>
                <w:sz w:val="24"/>
                <w:szCs w:val="24"/>
              </w:rPr>
              <w:t xml:space="preserve">P_EQmsw </w:t>
            </w:r>
            <w:r w:rsidRPr="003303F8">
              <w:rPr>
                <w:kern w:val="0"/>
                <w:sz w:val="24"/>
                <w:szCs w:val="24"/>
              </w:rPr>
              <w:t>above sample median.</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kern w:val="0"/>
                <w:sz w:val="24"/>
                <w:szCs w:val="24"/>
              </w:rPr>
              <w:t>Beta</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kern w:val="0"/>
                <w:sz w:val="24"/>
                <w:szCs w:val="24"/>
              </w:rPr>
              <w:t xml:space="preserve">Systematic risk at year t, measured by using the CAPM, estimated using daily </w:t>
            </w:r>
            <w:r w:rsidRPr="003303F8">
              <w:rPr>
                <w:sz w:val="24"/>
                <w:szCs w:val="24"/>
              </w:rPr>
              <w:t>returns data over rolling two-year windows; I require a minimum of 180 daily returns for the CAPM estimation.</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ind w:left="345" w:hanging="345"/>
              <w:rPr>
                <w:i/>
                <w:kern w:val="0"/>
                <w:sz w:val="24"/>
                <w:szCs w:val="24"/>
              </w:rPr>
            </w:pPr>
            <w:r w:rsidRPr="003303F8">
              <w:rPr>
                <w:i/>
                <w:kern w:val="0"/>
                <w:sz w:val="24"/>
                <w:szCs w:val="24"/>
              </w:rPr>
              <w:t>MKTRF</w:t>
            </w:r>
          </w:p>
        </w:tc>
        <w:tc>
          <w:tcPr>
            <w:tcW w:w="180" w:type="dxa"/>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Market factor, monthly market excess return.</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ind w:left="345" w:hanging="345"/>
              <w:rPr>
                <w:i/>
                <w:kern w:val="0"/>
                <w:sz w:val="24"/>
                <w:szCs w:val="24"/>
              </w:rPr>
            </w:pPr>
            <w:r w:rsidRPr="003303F8">
              <w:rPr>
                <w:i/>
                <w:kern w:val="0"/>
                <w:sz w:val="24"/>
                <w:szCs w:val="24"/>
              </w:rPr>
              <w:t>SMB</w:t>
            </w:r>
          </w:p>
        </w:tc>
        <w:tc>
          <w:tcPr>
            <w:tcW w:w="180" w:type="dxa"/>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 xml:space="preserve">Size factor, the performance of small stocks relative to big stocks. </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ind w:left="345" w:hanging="345"/>
              <w:rPr>
                <w:i/>
                <w:kern w:val="0"/>
                <w:sz w:val="24"/>
                <w:szCs w:val="24"/>
              </w:rPr>
            </w:pPr>
            <w:r w:rsidRPr="003303F8">
              <w:rPr>
                <w:i/>
                <w:kern w:val="0"/>
                <w:sz w:val="24"/>
                <w:szCs w:val="24"/>
              </w:rPr>
              <w:t>HML</w:t>
            </w:r>
          </w:p>
        </w:tc>
        <w:tc>
          <w:tcPr>
            <w:tcW w:w="180" w:type="dxa"/>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rPr>
                <w:kern w:val="0"/>
                <w:sz w:val="24"/>
                <w:szCs w:val="24"/>
              </w:rPr>
            </w:pPr>
            <w:r w:rsidRPr="003303F8">
              <w:rPr>
                <w:kern w:val="0"/>
                <w:sz w:val="24"/>
                <w:szCs w:val="24"/>
              </w:rPr>
              <w:t>Value factor, the performance of value stocks relative to growth stocks.</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ind w:left="345" w:hanging="345"/>
              <w:rPr>
                <w:i/>
                <w:kern w:val="0"/>
                <w:sz w:val="24"/>
                <w:szCs w:val="24"/>
              </w:rPr>
            </w:pPr>
            <w:r w:rsidRPr="003303F8">
              <w:rPr>
                <w:i/>
                <w:kern w:val="0"/>
                <w:sz w:val="24"/>
                <w:szCs w:val="24"/>
              </w:rPr>
              <w:t>UMD</w:t>
            </w:r>
          </w:p>
        </w:tc>
        <w:tc>
          <w:tcPr>
            <w:tcW w:w="180" w:type="dxa"/>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kern w:val="0"/>
                <w:sz w:val="24"/>
                <w:szCs w:val="24"/>
              </w:rPr>
            </w:pPr>
            <w:r w:rsidRPr="003303F8">
              <w:rPr>
                <w:kern w:val="0"/>
                <w:sz w:val="24"/>
                <w:szCs w:val="24"/>
              </w:rPr>
              <w:t>Momentum factor, the performance of past winners relative to past losers.</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sz w:val="24"/>
                <w:szCs w:val="24"/>
              </w:rPr>
              <w:t>CFO</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sz w:val="24"/>
                <w:szCs w:val="24"/>
              </w:rPr>
              <w:t>Cash flow from operations divided by average total assets.</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sz w:val="24"/>
                <w:szCs w:val="24"/>
              </w:rPr>
              <w:t>STD_CFO</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sz w:val="24"/>
                <w:szCs w:val="24"/>
              </w:rPr>
              <w:t>Standard deviation of cash flows from operations divided by average total assets over the prior five fiscal years.</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sz w:val="24"/>
                <w:szCs w:val="24"/>
              </w:rPr>
              <w:t>LnMV</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sz w:val="24"/>
                <w:szCs w:val="24"/>
              </w:rPr>
              <w:t>Firm size, measured as the natural log of the market value.</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sz w:val="24"/>
                <w:szCs w:val="24"/>
              </w:rPr>
              <w:lastRenderedPageBreak/>
              <w:t>BM</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sz w:val="24"/>
                <w:szCs w:val="24"/>
              </w:rPr>
              <w:t>The log of the ratio of book value to market value.</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sz w:val="24"/>
                <w:szCs w:val="24"/>
              </w:rPr>
              <w:t>Lev</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ind w:left="345" w:hanging="345"/>
              <w:rPr>
                <w:sz w:val="24"/>
                <w:szCs w:val="24"/>
              </w:rPr>
            </w:pPr>
            <w:r w:rsidRPr="003303F8">
              <w:rPr>
                <w:sz w:val="24"/>
                <w:szCs w:val="24"/>
              </w:rPr>
              <w:t>Leverage, measured as total debt divided by total asset.</w:t>
            </w:r>
          </w:p>
        </w:tc>
      </w:tr>
      <w:tr w:rsidR="00180B18" w:rsidRPr="003303F8" w:rsidTr="006C0D68">
        <w:trPr>
          <w:trHeight w:val="37"/>
        </w:trPr>
        <w:tc>
          <w:tcPr>
            <w:tcW w:w="1455" w:type="dxa"/>
            <w:shd w:val="clear" w:color="auto" w:fill="auto"/>
            <w:noWrap/>
            <w:tcMar>
              <w:top w:w="15" w:type="dxa"/>
              <w:left w:w="15" w:type="dxa"/>
              <w:bottom w:w="0" w:type="dxa"/>
              <w:right w:w="15" w:type="dxa"/>
            </w:tcMar>
            <w:hideMark/>
          </w:tcPr>
          <w:p w:rsidR="00180B18" w:rsidRPr="003303F8" w:rsidRDefault="00180B18" w:rsidP="006C0D68">
            <w:pPr>
              <w:rPr>
                <w:i/>
                <w:sz w:val="24"/>
                <w:szCs w:val="24"/>
              </w:rPr>
            </w:pPr>
            <w:r w:rsidRPr="003303F8">
              <w:rPr>
                <w:i/>
                <w:sz w:val="24"/>
                <w:szCs w:val="24"/>
              </w:rPr>
              <w:t>Grow</w:t>
            </w:r>
            <w:r w:rsidR="00385254" w:rsidRPr="003303F8">
              <w:rPr>
                <w:i/>
                <w:sz w:val="24"/>
                <w:szCs w:val="24"/>
              </w:rPr>
              <w:t>th</w:t>
            </w:r>
          </w:p>
        </w:tc>
        <w:tc>
          <w:tcPr>
            <w:tcW w:w="180"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w:t>
            </w:r>
          </w:p>
        </w:tc>
        <w:tc>
          <w:tcPr>
            <w:tcW w:w="6564" w:type="dxa"/>
            <w:shd w:val="clear" w:color="auto" w:fill="auto"/>
            <w:noWrap/>
            <w:tcMar>
              <w:top w:w="15" w:type="dxa"/>
              <w:left w:w="15" w:type="dxa"/>
              <w:bottom w:w="0" w:type="dxa"/>
              <w:right w:w="15" w:type="dxa"/>
            </w:tcMar>
            <w:hideMark/>
          </w:tcPr>
          <w:p w:rsidR="00180B18" w:rsidRPr="003303F8" w:rsidRDefault="00180B18" w:rsidP="006C0D68">
            <w:pPr>
              <w:rPr>
                <w:sz w:val="24"/>
                <w:szCs w:val="24"/>
              </w:rPr>
            </w:pPr>
            <w:r w:rsidRPr="003303F8">
              <w:rPr>
                <w:sz w:val="24"/>
                <w:szCs w:val="24"/>
              </w:rPr>
              <w:t>Growth, measured as change in revenue divided by beginning revenue.</w:t>
            </w:r>
          </w:p>
        </w:tc>
      </w:tr>
    </w:tbl>
    <w:p w:rsidR="00877A40" w:rsidRDefault="00877A40" w:rsidP="00931FD3">
      <w:pPr>
        <w:pStyle w:val="Heading1"/>
        <w:rPr>
          <w:szCs w:val="24"/>
        </w:rPr>
      </w:pPr>
      <w:bookmarkStart w:id="186" w:name="_Toc378087529"/>
      <w:bookmarkStart w:id="187" w:name="_Toc378087569"/>
      <w:bookmarkStart w:id="188" w:name="_Toc378088378"/>
      <w:bookmarkStart w:id="189" w:name="_Toc378088767"/>
      <w:bookmarkStart w:id="190" w:name="_Toc378088903"/>
    </w:p>
    <w:p w:rsidR="00877A40" w:rsidRDefault="00877A40">
      <w:pPr>
        <w:widowControl/>
        <w:overflowPunct/>
        <w:autoSpaceDE/>
        <w:autoSpaceDN/>
        <w:adjustRightInd/>
        <w:rPr>
          <w:rFonts w:ascii="Times" w:eastAsia="Times" w:hAnsi="Times"/>
          <w:b/>
          <w:kern w:val="0"/>
          <w:sz w:val="24"/>
          <w:szCs w:val="24"/>
          <w:lang w:eastAsia="en-US"/>
        </w:rPr>
      </w:pPr>
      <w:r>
        <w:rPr>
          <w:szCs w:val="24"/>
        </w:rPr>
        <w:br w:type="page"/>
      </w:r>
    </w:p>
    <w:p w:rsidR="001F4BEC" w:rsidRPr="003303F8" w:rsidRDefault="003B29E2" w:rsidP="00931FD3">
      <w:pPr>
        <w:pStyle w:val="Heading1"/>
        <w:rPr>
          <w:szCs w:val="24"/>
        </w:rPr>
      </w:pPr>
      <w:proofErr w:type="gramStart"/>
      <w:r w:rsidRPr="003303F8">
        <w:rPr>
          <w:szCs w:val="24"/>
        </w:rPr>
        <w:lastRenderedPageBreak/>
        <w:t>APPENDIX</w:t>
      </w:r>
      <w:r w:rsidR="00443A5E" w:rsidRPr="003303F8">
        <w:rPr>
          <w:szCs w:val="24"/>
        </w:rPr>
        <w:t xml:space="preserve"> II</w:t>
      </w:r>
      <w:r w:rsidR="00AE1790" w:rsidRPr="003303F8">
        <w:rPr>
          <w:szCs w:val="24"/>
        </w:rPr>
        <w:t>.</w:t>
      </w:r>
      <w:bookmarkEnd w:id="186"/>
      <w:bookmarkEnd w:id="187"/>
      <w:bookmarkEnd w:id="188"/>
      <w:bookmarkEnd w:id="189"/>
      <w:bookmarkEnd w:id="190"/>
      <w:proofErr w:type="gramEnd"/>
    </w:p>
    <w:p w:rsidR="001F4BEC" w:rsidRPr="003303F8" w:rsidRDefault="001F4BEC" w:rsidP="001F4BEC">
      <w:pPr>
        <w:widowControl/>
        <w:overflowPunct/>
        <w:autoSpaceDE/>
        <w:autoSpaceDN/>
        <w:snapToGrid w:val="0"/>
        <w:jc w:val="center"/>
        <w:rPr>
          <w:b/>
          <w:kern w:val="0"/>
          <w:sz w:val="24"/>
          <w:szCs w:val="24"/>
        </w:rPr>
      </w:pPr>
    </w:p>
    <w:p w:rsidR="00443A5E" w:rsidRPr="003303F8" w:rsidRDefault="00443A5E" w:rsidP="003E0C29">
      <w:pPr>
        <w:widowControl/>
        <w:overflowPunct/>
        <w:autoSpaceDE/>
        <w:autoSpaceDN/>
        <w:snapToGrid w:val="0"/>
        <w:spacing w:line="480" w:lineRule="auto"/>
        <w:jc w:val="center"/>
        <w:rPr>
          <w:b/>
          <w:kern w:val="0"/>
          <w:sz w:val="24"/>
          <w:szCs w:val="24"/>
        </w:rPr>
      </w:pPr>
      <w:r w:rsidRPr="003303F8">
        <w:rPr>
          <w:b/>
          <w:kern w:val="0"/>
          <w:sz w:val="24"/>
          <w:szCs w:val="24"/>
        </w:rPr>
        <w:t>Alternative Specifications of Earnings Quality Measure</w:t>
      </w:r>
    </w:p>
    <w:p w:rsidR="000B37EB" w:rsidRPr="003303F8" w:rsidRDefault="00443A5E" w:rsidP="003E0C29">
      <w:pPr>
        <w:widowControl/>
        <w:overflowPunct/>
        <w:autoSpaceDE/>
        <w:autoSpaceDN/>
        <w:snapToGrid w:val="0"/>
        <w:spacing w:line="480" w:lineRule="auto"/>
        <w:ind w:firstLine="720"/>
        <w:rPr>
          <w:kern w:val="0"/>
          <w:sz w:val="24"/>
          <w:szCs w:val="24"/>
        </w:rPr>
      </w:pPr>
      <w:r w:rsidRPr="003303F8">
        <w:rPr>
          <w:kern w:val="0"/>
          <w:sz w:val="24"/>
          <w:szCs w:val="24"/>
        </w:rPr>
        <w:t xml:space="preserve">In addition to the earnings quality measure based on Francis et al. (2005), I also use the following alternative earnings quality measures. </w:t>
      </w:r>
      <w:r w:rsidR="00AE1790" w:rsidRPr="003303F8">
        <w:rPr>
          <w:kern w:val="0"/>
          <w:sz w:val="24"/>
          <w:szCs w:val="24"/>
        </w:rPr>
        <w:t xml:space="preserve"> </w:t>
      </w:r>
    </w:p>
    <w:p w:rsidR="000B37EB" w:rsidRPr="003303F8" w:rsidRDefault="00443A5E" w:rsidP="003E0C29">
      <w:pPr>
        <w:widowControl/>
        <w:overflowPunct/>
        <w:autoSpaceDE/>
        <w:autoSpaceDN/>
        <w:snapToGrid w:val="0"/>
        <w:spacing w:line="480" w:lineRule="auto"/>
        <w:ind w:firstLine="720"/>
        <w:rPr>
          <w:kern w:val="0"/>
          <w:sz w:val="24"/>
          <w:szCs w:val="24"/>
        </w:rPr>
      </w:pPr>
      <w:r w:rsidRPr="003303F8">
        <w:rPr>
          <w:kern w:val="0"/>
          <w:sz w:val="24"/>
          <w:szCs w:val="24"/>
        </w:rPr>
        <w:t xml:space="preserve">First, while my primary measure is the negative of the </w:t>
      </w:r>
      <w:r w:rsidR="00860AD2" w:rsidRPr="003303F8">
        <w:rPr>
          <w:kern w:val="0"/>
          <w:sz w:val="24"/>
          <w:szCs w:val="24"/>
        </w:rPr>
        <w:t xml:space="preserve">(five-year) standard deviation </w:t>
      </w:r>
      <w:r w:rsidRPr="003303F8">
        <w:rPr>
          <w:kern w:val="0"/>
          <w:sz w:val="24"/>
          <w:szCs w:val="24"/>
        </w:rPr>
        <w:t xml:space="preserve">of the residual from </w:t>
      </w:r>
      <w:r w:rsidR="00E046D7" w:rsidRPr="003303F8">
        <w:rPr>
          <w:kern w:val="0"/>
          <w:sz w:val="24"/>
          <w:szCs w:val="24"/>
        </w:rPr>
        <w:t xml:space="preserve">the </w:t>
      </w:r>
      <w:r w:rsidRPr="003303F8">
        <w:rPr>
          <w:kern w:val="0"/>
          <w:sz w:val="24"/>
          <w:szCs w:val="24"/>
        </w:rPr>
        <w:t xml:space="preserve">Francis et al. (2005) model, I also use the negative of the </w:t>
      </w:r>
      <w:r w:rsidR="00860AD2" w:rsidRPr="003303F8">
        <w:rPr>
          <w:kern w:val="0"/>
          <w:sz w:val="24"/>
          <w:szCs w:val="24"/>
        </w:rPr>
        <w:t xml:space="preserve">absolute value </w:t>
      </w:r>
      <w:r w:rsidRPr="003303F8">
        <w:rPr>
          <w:kern w:val="0"/>
          <w:sz w:val="24"/>
          <w:szCs w:val="24"/>
        </w:rPr>
        <w:t xml:space="preserve">of the residuals from </w:t>
      </w:r>
      <w:r w:rsidR="00E046D7" w:rsidRPr="003303F8">
        <w:rPr>
          <w:kern w:val="0"/>
          <w:sz w:val="24"/>
          <w:szCs w:val="24"/>
        </w:rPr>
        <w:t xml:space="preserve">the </w:t>
      </w:r>
      <w:r w:rsidRPr="003303F8">
        <w:rPr>
          <w:kern w:val="0"/>
          <w:sz w:val="24"/>
          <w:szCs w:val="24"/>
        </w:rPr>
        <w:t>Francis et al. (2005) model.</w:t>
      </w:r>
      <w:r w:rsidR="00AE1790" w:rsidRPr="003303F8">
        <w:rPr>
          <w:kern w:val="0"/>
          <w:sz w:val="24"/>
          <w:szCs w:val="24"/>
        </w:rPr>
        <w:t xml:space="preserve"> </w:t>
      </w:r>
    </w:p>
    <w:p w:rsidR="00815716" w:rsidRPr="003303F8" w:rsidRDefault="00206767" w:rsidP="003E0C29">
      <w:pPr>
        <w:widowControl/>
        <w:overflowPunct/>
        <w:autoSpaceDE/>
        <w:autoSpaceDN/>
        <w:snapToGrid w:val="0"/>
        <w:spacing w:line="480" w:lineRule="auto"/>
        <w:ind w:firstLine="720"/>
        <w:rPr>
          <w:kern w:val="0"/>
          <w:sz w:val="24"/>
          <w:szCs w:val="24"/>
        </w:rPr>
      </w:pPr>
      <w:r w:rsidRPr="003303F8">
        <w:rPr>
          <w:kern w:val="0"/>
          <w:sz w:val="24"/>
          <w:szCs w:val="24"/>
        </w:rPr>
        <w:t xml:space="preserve">Second, </w:t>
      </w:r>
      <w:r w:rsidR="00815716" w:rsidRPr="003303F8">
        <w:rPr>
          <w:kern w:val="0"/>
          <w:sz w:val="24"/>
          <w:szCs w:val="24"/>
        </w:rPr>
        <w:t xml:space="preserve">I use </w:t>
      </w:r>
      <w:r w:rsidR="00E046D7" w:rsidRPr="003303F8">
        <w:rPr>
          <w:kern w:val="0"/>
          <w:sz w:val="24"/>
          <w:szCs w:val="24"/>
        </w:rPr>
        <w:t xml:space="preserve">the </w:t>
      </w:r>
      <w:r w:rsidR="00815716" w:rsidRPr="003303F8">
        <w:rPr>
          <w:kern w:val="0"/>
          <w:sz w:val="24"/>
          <w:szCs w:val="24"/>
        </w:rPr>
        <w:t>Jones model (</w:t>
      </w:r>
      <w:r w:rsidRPr="003303F8">
        <w:rPr>
          <w:kern w:val="0"/>
          <w:sz w:val="24"/>
          <w:szCs w:val="24"/>
        </w:rPr>
        <w:t>A1</w:t>
      </w:r>
      <w:r w:rsidR="00815716" w:rsidRPr="003303F8">
        <w:rPr>
          <w:kern w:val="0"/>
          <w:sz w:val="24"/>
          <w:szCs w:val="24"/>
        </w:rPr>
        <w:t>) and modified Jones model (</w:t>
      </w:r>
      <w:r w:rsidRPr="003303F8">
        <w:rPr>
          <w:kern w:val="0"/>
          <w:sz w:val="24"/>
          <w:szCs w:val="24"/>
        </w:rPr>
        <w:t>A2</w:t>
      </w:r>
      <w:r w:rsidR="00815716" w:rsidRPr="003303F8">
        <w:rPr>
          <w:kern w:val="0"/>
          <w:sz w:val="24"/>
          <w:szCs w:val="24"/>
        </w:rPr>
        <w:t xml:space="preserve">) to predict earnings quality. Earnings quality is the negative of the </w:t>
      </w:r>
      <w:r w:rsidR="00E046D7" w:rsidRPr="003303F8">
        <w:rPr>
          <w:kern w:val="0"/>
          <w:sz w:val="24"/>
          <w:szCs w:val="24"/>
        </w:rPr>
        <w:t xml:space="preserve">unsigned </w:t>
      </w:r>
      <w:r w:rsidR="00815716" w:rsidRPr="003303F8">
        <w:rPr>
          <w:kern w:val="0"/>
          <w:sz w:val="24"/>
          <w:szCs w:val="24"/>
        </w:rPr>
        <w:t>residual from the following model.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7"/>
        <w:gridCol w:w="32"/>
        <w:gridCol w:w="1101"/>
      </w:tblGrid>
      <w:tr w:rsidR="00815716" w:rsidRPr="003303F8" w:rsidTr="00931FD3">
        <w:trPr>
          <w:trHeight w:val="864"/>
        </w:trPr>
        <w:tc>
          <w:tcPr>
            <w:tcW w:w="6877" w:type="dxa"/>
          </w:tcPr>
          <w:p w:rsidR="00815716" w:rsidRPr="003303F8" w:rsidRDefault="00710851" w:rsidP="003E0C29">
            <w:pPr>
              <w:widowControl/>
              <w:overflowPunct/>
              <w:autoSpaceDE/>
              <w:autoSpaceDN/>
              <w:snapToGrid w:val="0"/>
              <w:spacing w:line="480" w:lineRule="auto"/>
              <w:jc w:val="right"/>
              <w:rPr>
                <w:kern w:val="0"/>
                <w:sz w:val="24"/>
                <w:szCs w:val="24"/>
              </w:rPr>
            </w:pPr>
            <w:r w:rsidRPr="003303F8">
              <w:rPr>
                <w:bCs/>
                <w:i/>
                <w:kern w:val="0"/>
                <w:position w:val="-30"/>
                <w:sz w:val="24"/>
                <w:szCs w:val="24"/>
              </w:rPr>
              <w:object w:dxaOrig="5020" w:dyaOrig="700">
                <v:shape id="_x0000_i1048" type="#_x0000_t75" style="width:206.25pt;height:30pt" o:ole="">
                  <v:imagedata r:id="rId58" o:title=""/>
                </v:shape>
                <o:OLEObject Type="Embed" ProgID="Equation.3" ShapeID="_x0000_i1048" DrawAspect="Content" ObjectID="_1458832565" r:id="rId59"/>
              </w:object>
            </w:r>
          </w:p>
        </w:tc>
        <w:tc>
          <w:tcPr>
            <w:tcW w:w="1133" w:type="dxa"/>
            <w:gridSpan w:val="2"/>
          </w:tcPr>
          <w:p w:rsidR="00815716" w:rsidRPr="003303F8" w:rsidRDefault="00815716" w:rsidP="003E0C29">
            <w:pPr>
              <w:widowControl/>
              <w:overflowPunct/>
              <w:autoSpaceDE/>
              <w:autoSpaceDN/>
              <w:snapToGrid w:val="0"/>
              <w:spacing w:line="480" w:lineRule="auto"/>
              <w:jc w:val="right"/>
              <w:rPr>
                <w:kern w:val="0"/>
                <w:sz w:val="24"/>
                <w:szCs w:val="24"/>
              </w:rPr>
            </w:pPr>
            <w:r w:rsidRPr="003303F8">
              <w:rPr>
                <w:kern w:val="0"/>
                <w:sz w:val="24"/>
                <w:szCs w:val="24"/>
              </w:rPr>
              <w:t>(</w:t>
            </w:r>
            <w:r w:rsidR="00206767" w:rsidRPr="003303F8">
              <w:rPr>
                <w:kern w:val="0"/>
                <w:sz w:val="24"/>
                <w:szCs w:val="24"/>
              </w:rPr>
              <w:t>A1</w:t>
            </w:r>
            <w:r w:rsidRPr="003303F8">
              <w:rPr>
                <w:kern w:val="0"/>
                <w:sz w:val="24"/>
                <w:szCs w:val="24"/>
              </w:rPr>
              <w:t>)</w:t>
            </w:r>
          </w:p>
        </w:tc>
      </w:tr>
      <w:tr w:rsidR="00180B18" w:rsidRPr="003303F8" w:rsidTr="00931F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64"/>
        </w:trPr>
        <w:tc>
          <w:tcPr>
            <w:tcW w:w="6909" w:type="dxa"/>
            <w:gridSpan w:val="2"/>
            <w:tcBorders>
              <w:top w:val="nil"/>
              <w:left w:val="nil"/>
              <w:bottom w:val="nil"/>
              <w:right w:val="nil"/>
            </w:tcBorders>
          </w:tcPr>
          <w:p w:rsidR="00180B18" w:rsidRPr="003303F8" w:rsidRDefault="00180B18" w:rsidP="003E0C29">
            <w:pPr>
              <w:widowControl/>
              <w:overflowPunct/>
              <w:autoSpaceDE/>
              <w:autoSpaceDN/>
              <w:snapToGrid w:val="0"/>
              <w:spacing w:line="480" w:lineRule="auto"/>
              <w:jc w:val="right"/>
              <w:rPr>
                <w:kern w:val="0"/>
                <w:sz w:val="24"/>
                <w:szCs w:val="24"/>
              </w:rPr>
            </w:pPr>
            <w:r w:rsidRPr="003303F8">
              <w:rPr>
                <w:bCs/>
                <w:i/>
                <w:kern w:val="0"/>
                <w:position w:val="-28"/>
                <w:sz w:val="24"/>
                <w:szCs w:val="24"/>
              </w:rPr>
              <w:object w:dxaOrig="5700" w:dyaOrig="660">
                <v:shape id="_x0000_i1049" type="#_x0000_t75" style="width:269.25pt;height:32.25pt" o:ole="">
                  <v:imagedata r:id="rId60" o:title=""/>
                </v:shape>
                <o:OLEObject Type="Embed" ProgID="Equation.3" ShapeID="_x0000_i1049" DrawAspect="Content" ObjectID="_1458832566" r:id="rId61"/>
              </w:object>
            </w:r>
          </w:p>
        </w:tc>
        <w:tc>
          <w:tcPr>
            <w:tcW w:w="1101" w:type="dxa"/>
            <w:tcBorders>
              <w:top w:val="nil"/>
              <w:left w:val="nil"/>
              <w:bottom w:val="nil"/>
              <w:right w:val="nil"/>
            </w:tcBorders>
          </w:tcPr>
          <w:p w:rsidR="00180B18" w:rsidRPr="003303F8" w:rsidRDefault="00180B18" w:rsidP="003E0C29">
            <w:pPr>
              <w:widowControl/>
              <w:overflowPunct/>
              <w:autoSpaceDE/>
              <w:autoSpaceDN/>
              <w:snapToGrid w:val="0"/>
              <w:spacing w:line="480" w:lineRule="auto"/>
              <w:jc w:val="right"/>
              <w:rPr>
                <w:kern w:val="0"/>
                <w:sz w:val="24"/>
                <w:szCs w:val="24"/>
              </w:rPr>
            </w:pPr>
            <w:r w:rsidRPr="003303F8">
              <w:rPr>
                <w:kern w:val="0"/>
                <w:sz w:val="24"/>
                <w:szCs w:val="24"/>
              </w:rPr>
              <w:t>(A2)</w:t>
            </w:r>
          </w:p>
        </w:tc>
      </w:tr>
    </w:tbl>
    <w:p w:rsidR="00180B18" w:rsidRPr="003303F8" w:rsidRDefault="00180B18" w:rsidP="003E0C29">
      <w:pPr>
        <w:widowControl/>
        <w:tabs>
          <w:tab w:val="left" w:pos="720"/>
          <w:tab w:val="left" w:pos="1620"/>
        </w:tabs>
        <w:overflowPunct/>
        <w:autoSpaceDE/>
        <w:autoSpaceDN/>
        <w:adjustRightInd/>
        <w:spacing w:line="480" w:lineRule="auto"/>
        <w:ind w:left="1800" w:hanging="1800"/>
        <w:rPr>
          <w:kern w:val="0"/>
          <w:sz w:val="24"/>
          <w:szCs w:val="24"/>
        </w:rPr>
      </w:pPr>
    </w:p>
    <w:p w:rsidR="004C54F4" w:rsidRPr="003303F8" w:rsidRDefault="004C54F4" w:rsidP="003E0C29">
      <w:pPr>
        <w:widowControl/>
        <w:tabs>
          <w:tab w:val="left" w:pos="720"/>
          <w:tab w:val="left" w:pos="1620"/>
        </w:tabs>
        <w:overflowPunct/>
        <w:autoSpaceDE/>
        <w:autoSpaceDN/>
        <w:adjustRightInd/>
        <w:spacing w:line="480" w:lineRule="auto"/>
        <w:ind w:left="1800" w:hanging="1800"/>
        <w:rPr>
          <w:kern w:val="0"/>
          <w:sz w:val="24"/>
          <w:szCs w:val="24"/>
        </w:rPr>
      </w:pPr>
      <w:r w:rsidRPr="003303F8">
        <w:rPr>
          <w:kern w:val="0"/>
          <w:sz w:val="24"/>
          <w:szCs w:val="24"/>
        </w:rPr>
        <w:t xml:space="preserve">Where, </w:t>
      </w:r>
      <w:r w:rsidRPr="003303F8">
        <w:rPr>
          <w:i/>
          <w:kern w:val="0"/>
          <w:sz w:val="24"/>
          <w:szCs w:val="24"/>
        </w:rPr>
        <w:t>ΔREC</w:t>
      </w:r>
      <w:r w:rsidRPr="003303F8">
        <w:rPr>
          <w:i/>
          <w:kern w:val="0"/>
          <w:sz w:val="24"/>
          <w:szCs w:val="24"/>
          <w:vertAlign w:val="subscript"/>
        </w:rPr>
        <w:t>it</w:t>
      </w:r>
      <w:r w:rsidRPr="003303F8">
        <w:rPr>
          <w:kern w:val="0"/>
          <w:sz w:val="24"/>
          <w:szCs w:val="24"/>
        </w:rPr>
        <w:t xml:space="preserve">    = change in receivables for firm i in year t.</w:t>
      </w:r>
    </w:p>
    <w:p w:rsidR="00443A5E" w:rsidRPr="003303F8" w:rsidRDefault="00206767" w:rsidP="003E0C29">
      <w:pPr>
        <w:widowControl/>
        <w:overflowPunct/>
        <w:autoSpaceDE/>
        <w:autoSpaceDN/>
        <w:snapToGrid w:val="0"/>
        <w:spacing w:line="480" w:lineRule="auto"/>
        <w:ind w:firstLine="720"/>
        <w:rPr>
          <w:kern w:val="0"/>
          <w:sz w:val="24"/>
          <w:szCs w:val="24"/>
        </w:rPr>
      </w:pPr>
      <w:r w:rsidRPr="003303F8">
        <w:rPr>
          <w:kern w:val="0"/>
          <w:sz w:val="24"/>
          <w:szCs w:val="24"/>
        </w:rPr>
        <w:t>Third</w:t>
      </w:r>
      <w:r w:rsidR="00815716" w:rsidRPr="003303F8">
        <w:rPr>
          <w:kern w:val="0"/>
          <w:sz w:val="24"/>
          <w:szCs w:val="24"/>
        </w:rPr>
        <w:t xml:space="preserve">, </w:t>
      </w:r>
      <w:r w:rsidR="00BA53D2" w:rsidRPr="003303F8">
        <w:rPr>
          <w:kern w:val="0"/>
          <w:sz w:val="24"/>
          <w:szCs w:val="24"/>
        </w:rPr>
        <w:t xml:space="preserve">I use an alternative measure of earnings quality based on </w:t>
      </w:r>
      <w:r w:rsidR="00443A5E" w:rsidRPr="003303F8">
        <w:rPr>
          <w:kern w:val="0"/>
          <w:sz w:val="24"/>
          <w:szCs w:val="24"/>
        </w:rPr>
        <w:t>Kothari et al. (2005)</w:t>
      </w:r>
      <w:r w:rsidR="00BA53D2" w:rsidRPr="003303F8">
        <w:rPr>
          <w:kern w:val="0"/>
          <w:sz w:val="24"/>
          <w:szCs w:val="24"/>
        </w:rPr>
        <w:t>.</w:t>
      </w:r>
      <w:r w:rsidR="00443A5E" w:rsidRPr="003303F8">
        <w:rPr>
          <w:kern w:val="0"/>
          <w:sz w:val="24"/>
          <w:szCs w:val="24"/>
        </w:rPr>
        <w:t xml:space="preserve"> </w:t>
      </w:r>
      <w:r w:rsidR="00BA53D2" w:rsidRPr="003303F8">
        <w:rPr>
          <w:kern w:val="0"/>
          <w:sz w:val="24"/>
          <w:szCs w:val="24"/>
        </w:rPr>
        <w:t xml:space="preserve">Kothari et al. </w:t>
      </w:r>
      <w:r w:rsidR="00443A5E" w:rsidRPr="003303F8">
        <w:rPr>
          <w:kern w:val="0"/>
          <w:sz w:val="24"/>
          <w:szCs w:val="24"/>
        </w:rPr>
        <w:t>develop a performance matched Jones model</w:t>
      </w:r>
      <w:r w:rsidR="00BA53D2" w:rsidRPr="003303F8">
        <w:rPr>
          <w:kern w:val="0"/>
          <w:sz w:val="24"/>
          <w:szCs w:val="24"/>
        </w:rPr>
        <w:t xml:space="preserve"> (</w:t>
      </w:r>
      <w:r w:rsidRPr="003303F8">
        <w:rPr>
          <w:kern w:val="0"/>
          <w:sz w:val="24"/>
          <w:szCs w:val="24"/>
        </w:rPr>
        <w:t>A3</w:t>
      </w:r>
      <w:r w:rsidR="00443A5E" w:rsidRPr="003303F8">
        <w:rPr>
          <w:kern w:val="0"/>
          <w:sz w:val="24"/>
          <w:szCs w:val="24"/>
        </w:rPr>
        <w:t>) to predict earnings quality.</w:t>
      </w:r>
      <w:r w:rsidR="00BA53D2" w:rsidRPr="003303F8">
        <w:rPr>
          <w:kern w:val="0"/>
          <w:sz w:val="24"/>
          <w:szCs w:val="24"/>
        </w:rPr>
        <w:t xml:space="preserve"> Earnings quality is the negative of the residual from the following model.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6"/>
        <w:gridCol w:w="1094"/>
      </w:tblGrid>
      <w:tr w:rsidR="00443A5E" w:rsidRPr="003303F8" w:rsidTr="00931FD3">
        <w:trPr>
          <w:trHeight w:val="864"/>
        </w:trPr>
        <w:tc>
          <w:tcPr>
            <w:tcW w:w="6916" w:type="dxa"/>
          </w:tcPr>
          <w:p w:rsidR="00443A5E" w:rsidRPr="003303F8" w:rsidRDefault="00C22F63" w:rsidP="003E0C29">
            <w:pPr>
              <w:widowControl/>
              <w:overflowPunct/>
              <w:autoSpaceDE/>
              <w:autoSpaceDN/>
              <w:snapToGrid w:val="0"/>
              <w:spacing w:line="480" w:lineRule="auto"/>
              <w:jc w:val="right"/>
              <w:rPr>
                <w:kern w:val="0"/>
                <w:sz w:val="24"/>
                <w:szCs w:val="24"/>
              </w:rPr>
            </w:pPr>
            <w:r w:rsidRPr="003303F8">
              <w:rPr>
                <w:bCs/>
                <w:i/>
                <w:kern w:val="0"/>
                <w:position w:val="-28"/>
                <w:sz w:val="24"/>
                <w:szCs w:val="24"/>
              </w:rPr>
              <w:object w:dxaOrig="5720" w:dyaOrig="660">
                <v:shape id="_x0000_i1050" type="#_x0000_t75" style="width:269.25pt;height:32.25pt" o:ole="">
                  <v:imagedata r:id="rId62" o:title=""/>
                </v:shape>
                <o:OLEObject Type="Embed" ProgID="Equation.3" ShapeID="_x0000_i1050" DrawAspect="Content" ObjectID="_1458832567" r:id="rId63"/>
              </w:object>
            </w:r>
          </w:p>
        </w:tc>
        <w:tc>
          <w:tcPr>
            <w:tcW w:w="1094" w:type="dxa"/>
          </w:tcPr>
          <w:p w:rsidR="00443A5E" w:rsidRPr="003303F8" w:rsidRDefault="00BA53D2" w:rsidP="003E0C29">
            <w:pPr>
              <w:widowControl/>
              <w:overflowPunct/>
              <w:autoSpaceDE/>
              <w:autoSpaceDN/>
              <w:snapToGrid w:val="0"/>
              <w:spacing w:line="480" w:lineRule="auto"/>
              <w:jc w:val="right"/>
              <w:rPr>
                <w:kern w:val="0"/>
                <w:sz w:val="24"/>
                <w:szCs w:val="24"/>
              </w:rPr>
            </w:pPr>
            <w:r w:rsidRPr="003303F8">
              <w:rPr>
                <w:kern w:val="0"/>
                <w:sz w:val="24"/>
                <w:szCs w:val="24"/>
              </w:rPr>
              <w:t>(</w:t>
            </w:r>
            <w:r w:rsidR="00206767" w:rsidRPr="003303F8">
              <w:rPr>
                <w:kern w:val="0"/>
                <w:sz w:val="24"/>
                <w:szCs w:val="24"/>
              </w:rPr>
              <w:t>A3</w:t>
            </w:r>
            <w:r w:rsidR="00443A5E" w:rsidRPr="003303F8">
              <w:rPr>
                <w:kern w:val="0"/>
                <w:sz w:val="24"/>
                <w:szCs w:val="24"/>
              </w:rPr>
              <w:t>)</w:t>
            </w:r>
          </w:p>
        </w:tc>
      </w:tr>
    </w:tbl>
    <w:p w:rsidR="00443A5E" w:rsidRPr="003303F8" w:rsidRDefault="00443A5E" w:rsidP="003E0C29">
      <w:pPr>
        <w:widowControl/>
        <w:overflowPunct/>
        <w:autoSpaceDE/>
        <w:autoSpaceDN/>
        <w:adjustRightInd/>
        <w:spacing w:line="480" w:lineRule="auto"/>
        <w:rPr>
          <w:kern w:val="0"/>
          <w:sz w:val="24"/>
          <w:szCs w:val="24"/>
        </w:rPr>
      </w:pPr>
      <w:r w:rsidRPr="003303F8">
        <w:rPr>
          <w:kern w:val="0"/>
          <w:sz w:val="24"/>
          <w:szCs w:val="24"/>
        </w:rPr>
        <w:t xml:space="preserve">Where: </w:t>
      </w:r>
    </w:p>
    <w:p w:rsidR="00443A5E" w:rsidRPr="003303F8" w:rsidRDefault="00A03E17" w:rsidP="003E0C29">
      <w:pPr>
        <w:widowControl/>
        <w:overflowPunct/>
        <w:autoSpaceDE/>
        <w:autoSpaceDN/>
        <w:adjustRightInd/>
        <w:spacing w:line="480" w:lineRule="auto"/>
        <w:ind w:left="2160" w:hanging="2160"/>
        <w:rPr>
          <w:kern w:val="0"/>
          <w:sz w:val="24"/>
          <w:szCs w:val="24"/>
        </w:rPr>
      </w:pPr>
      <w:r w:rsidRPr="003303F8">
        <w:rPr>
          <w:kern w:val="0"/>
          <w:sz w:val="24"/>
          <w:szCs w:val="24"/>
        </w:rPr>
        <w:t xml:space="preserve">            </w:t>
      </w:r>
      <w:r w:rsidR="00443A5E" w:rsidRPr="003303F8">
        <w:rPr>
          <w:i/>
          <w:kern w:val="0"/>
          <w:sz w:val="24"/>
          <w:szCs w:val="24"/>
        </w:rPr>
        <w:t>NI</w:t>
      </w:r>
      <w:r w:rsidR="00443A5E" w:rsidRPr="003303F8">
        <w:rPr>
          <w:kern w:val="0"/>
          <w:sz w:val="24"/>
          <w:szCs w:val="24"/>
          <w:vertAlign w:val="subscript"/>
        </w:rPr>
        <w:t>it</w:t>
      </w:r>
      <w:r w:rsidR="00443A5E" w:rsidRPr="003303F8">
        <w:rPr>
          <w:kern w:val="0"/>
          <w:sz w:val="24"/>
          <w:szCs w:val="24"/>
        </w:rPr>
        <w:t xml:space="preserve">   </w:t>
      </w:r>
      <w:r w:rsidR="00443A5E" w:rsidRPr="003303F8">
        <w:rPr>
          <w:kern w:val="0"/>
          <w:sz w:val="24"/>
          <w:szCs w:val="24"/>
        </w:rPr>
        <w:tab/>
        <w:t>= net income before extraordinary items for firm i in year t</w:t>
      </w:r>
    </w:p>
    <w:p w:rsidR="00ED2DE4" w:rsidRPr="003303F8" w:rsidRDefault="00443A5E" w:rsidP="00907E3B">
      <w:pPr>
        <w:widowControl/>
        <w:overflowPunct/>
        <w:autoSpaceDE/>
        <w:autoSpaceDN/>
        <w:adjustRightInd/>
        <w:spacing w:line="480" w:lineRule="auto"/>
        <w:ind w:firstLine="720"/>
        <w:rPr>
          <w:kern w:val="0"/>
          <w:sz w:val="24"/>
          <w:szCs w:val="24"/>
        </w:rPr>
      </w:pPr>
      <w:r w:rsidRPr="003303F8">
        <w:rPr>
          <w:kern w:val="0"/>
          <w:sz w:val="24"/>
          <w:szCs w:val="24"/>
        </w:rPr>
        <w:t>Other variables are defined as in the models above.</w:t>
      </w:r>
      <w:r w:rsidR="00ED2DE4" w:rsidRPr="003303F8">
        <w:rPr>
          <w:kern w:val="0"/>
          <w:sz w:val="24"/>
          <w:szCs w:val="24"/>
        </w:rPr>
        <w:br w:type="page"/>
      </w:r>
    </w:p>
    <w:p w:rsidR="003B29E2" w:rsidRPr="003303F8" w:rsidRDefault="003B29E2" w:rsidP="003B29E2">
      <w:pPr>
        <w:pStyle w:val="Heading1"/>
        <w:rPr>
          <w:szCs w:val="24"/>
        </w:rPr>
      </w:pPr>
      <w:bookmarkStart w:id="191" w:name="_Toc378086764"/>
      <w:bookmarkStart w:id="192" w:name="_Toc378087530"/>
      <w:bookmarkStart w:id="193" w:name="_Toc378087570"/>
      <w:bookmarkStart w:id="194" w:name="_Toc378088379"/>
      <w:bookmarkStart w:id="195" w:name="_Toc378088768"/>
      <w:bookmarkStart w:id="196" w:name="_Toc378088904"/>
      <w:r w:rsidRPr="003303F8">
        <w:rPr>
          <w:szCs w:val="24"/>
        </w:rPr>
        <w:lastRenderedPageBreak/>
        <w:t>F</w:t>
      </w:r>
      <w:r w:rsidR="003B4570" w:rsidRPr="003303F8">
        <w:rPr>
          <w:szCs w:val="24"/>
        </w:rPr>
        <w:t>IGURE</w:t>
      </w:r>
      <w:r w:rsidRPr="003303F8">
        <w:rPr>
          <w:szCs w:val="24"/>
        </w:rPr>
        <w:t xml:space="preserve"> </w:t>
      </w:r>
      <w:r w:rsidR="003B4570" w:rsidRPr="003303F8">
        <w:rPr>
          <w:szCs w:val="24"/>
        </w:rPr>
        <w:t>I</w:t>
      </w:r>
      <w:r w:rsidRPr="003303F8">
        <w:rPr>
          <w:szCs w:val="24"/>
        </w:rPr>
        <w:t xml:space="preserve">. </w:t>
      </w:r>
      <w:r w:rsidR="003B4570" w:rsidRPr="003303F8">
        <w:rPr>
          <w:szCs w:val="24"/>
        </w:rPr>
        <w:t>SUMMARY OF ANALYSES FRAMEWORK</w:t>
      </w:r>
      <w:bookmarkEnd w:id="191"/>
      <w:bookmarkEnd w:id="192"/>
      <w:bookmarkEnd w:id="193"/>
      <w:bookmarkEnd w:id="194"/>
      <w:bookmarkEnd w:id="195"/>
      <w:bookmarkEnd w:id="196"/>
      <w:r w:rsidR="003B4570" w:rsidRPr="003303F8">
        <w:rPr>
          <w:szCs w:val="24"/>
        </w:rPr>
        <w:t xml:space="preserve"> </w:t>
      </w:r>
    </w:p>
    <w:p w:rsidR="003B29E2" w:rsidRPr="003303F8" w:rsidRDefault="003B29E2" w:rsidP="00AB231F">
      <w:pPr>
        <w:widowControl/>
        <w:overflowPunct/>
        <w:autoSpaceDE/>
        <w:autoSpaceDN/>
        <w:adjustRightInd/>
        <w:spacing w:after="200" w:line="360" w:lineRule="auto"/>
        <w:rPr>
          <w:b/>
          <w:i/>
          <w:iCs/>
          <w:kern w:val="0"/>
          <w:sz w:val="24"/>
          <w:szCs w:val="24"/>
        </w:rPr>
      </w:pPr>
    </w:p>
    <w:p w:rsidR="00C81458" w:rsidRPr="003303F8" w:rsidRDefault="00CA689B" w:rsidP="00AB231F">
      <w:pPr>
        <w:widowControl/>
        <w:overflowPunct/>
        <w:autoSpaceDE/>
        <w:autoSpaceDN/>
        <w:adjustRightInd/>
        <w:spacing w:after="200" w:line="360" w:lineRule="auto"/>
        <w:rPr>
          <w:iCs/>
          <w:kern w:val="0"/>
          <w:sz w:val="24"/>
          <w:szCs w:val="24"/>
        </w:rPr>
      </w:pPr>
      <w:r w:rsidRPr="003303F8">
        <w:rPr>
          <w:iCs/>
          <w:kern w:val="0"/>
          <w:sz w:val="24"/>
          <w:szCs w:val="24"/>
        </w:rPr>
        <w:t>Panel A: Direct Effect</w:t>
      </w:r>
      <w:r w:rsidR="001F4BEC" w:rsidRPr="003303F8">
        <w:rPr>
          <w:iCs/>
          <w:kern w:val="0"/>
          <w:sz w:val="24"/>
          <w:szCs w:val="24"/>
        </w:rPr>
        <w:t>s</w:t>
      </w:r>
    </w:p>
    <w:p w:rsidR="00CA689B" w:rsidRPr="003303F8" w:rsidRDefault="00CA689B" w:rsidP="00350147">
      <w:pPr>
        <w:widowControl/>
        <w:overflowPunct/>
        <w:autoSpaceDE/>
        <w:autoSpaceDN/>
        <w:adjustRightInd/>
        <w:spacing w:line="360" w:lineRule="auto"/>
        <w:rPr>
          <w:b/>
          <w:iCs/>
          <w:kern w:val="0"/>
          <w:sz w:val="24"/>
          <w:szCs w:val="24"/>
        </w:rPr>
      </w:pPr>
    </w:p>
    <w:p w:rsidR="00C81458" w:rsidRPr="003303F8" w:rsidRDefault="00D22470" w:rsidP="00AB231F">
      <w:pPr>
        <w:widowControl/>
        <w:overflowPunct/>
        <w:autoSpaceDE/>
        <w:autoSpaceDN/>
        <w:adjustRightInd/>
        <w:spacing w:after="200" w:line="360" w:lineRule="auto"/>
        <w:ind w:right="480"/>
        <w:rPr>
          <w:b/>
          <w:iCs/>
          <w:kern w:val="0"/>
          <w:sz w:val="24"/>
          <w:szCs w:val="24"/>
        </w:rPr>
      </w:pPr>
      <w:r w:rsidRPr="003303F8">
        <w:rPr>
          <w:b/>
          <w:iCs/>
          <w:noProof/>
          <w:kern w:val="0"/>
          <w:sz w:val="24"/>
          <w:szCs w:val="24"/>
        </w:rPr>
        <mc:AlternateContent>
          <mc:Choice Requires="wps">
            <w:drawing>
              <wp:anchor distT="0" distB="0" distL="114300" distR="114300" simplePos="0" relativeHeight="251672576" behindDoc="0" locked="0" layoutInCell="1" allowOverlap="1" wp14:anchorId="1AA64F5C" wp14:editId="793F4ADE">
                <wp:simplePos x="0" y="0"/>
                <wp:positionH relativeFrom="column">
                  <wp:posOffset>-53340</wp:posOffset>
                </wp:positionH>
                <wp:positionV relativeFrom="paragraph">
                  <wp:posOffset>135255</wp:posOffset>
                </wp:positionV>
                <wp:extent cx="1262380" cy="885825"/>
                <wp:effectExtent l="0" t="0" r="13970" b="28575"/>
                <wp:wrapNone/>
                <wp:docPr id="1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885825"/>
                        </a:xfrm>
                        <a:prstGeom prst="rect">
                          <a:avLst/>
                        </a:prstGeom>
                        <a:solidFill>
                          <a:srgbClr val="FFFFFF"/>
                        </a:solidFill>
                        <a:ln w="9525">
                          <a:solidFill>
                            <a:srgbClr val="000000"/>
                          </a:solidFill>
                          <a:miter lim="800000"/>
                          <a:headEnd/>
                          <a:tailEnd/>
                        </a:ln>
                      </wps:spPr>
                      <wps:txbx>
                        <w:txbxContent>
                          <w:p w:rsidR="00F62EF1" w:rsidRDefault="00F62EF1" w:rsidP="000708AC">
                            <w:pPr>
                              <w:spacing w:before="240"/>
                              <w:jc w:val="center"/>
                              <w:rPr>
                                <w:b/>
                              </w:rPr>
                            </w:pPr>
                            <w:r>
                              <w:rPr>
                                <w:b/>
                              </w:rPr>
                              <w:t>Peer Firm</w:t>
                            </w:r>
                            <w:r w:rsidRPr="0015150B">
                              <w:rPr>
                                <w:b/>
                              </w:rPr>
                              <w:t xml:space="preserve"> </w:t>
                            </w:r>
                            <w:r>
                              <w:rPr>
                                <w:b/>
                              </w:rPr>
                              <w:t>Earnings</w:t>
                            </w:r>
                            <w:r w:rsidRPr="0015150B">
                              <w:rPr>
                                <w:b/>
                              </w:rPr>
                              <w:t xml:space="preserve"> Quality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pt;margin-top:10.65pt;width:99.4pt;height:6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">
                <v:textbox>
                  <w:txbxContent>
                    <w:p w:rsidR="00F62EF1" w:rsidRDefault="00F62EF1" w:rsidP="000708AC">
                      <w:pPr>
                        <w:spacing w:before="240"/>
                        <w:jc w:val="center"/>
                        <w:rPr>
                          <w:b/>
                        </w:rPr>
                      </w:pPr>
                      <w:r>
                        <w:rPr>
                          <w:b/>
                        </w:rPr>
                        <w:t>Peer Firm</w:t>
                      </w:r>
                      <w:r w:rsidRPr="0015150B">
                        <w:rPr>
                          <w:b/>
                        </w:rPr>
                        <w:t xml:space="preserve"> </w:t>
                      </w:r>
                      <w:r>
                        <w:rPr>
                          <w:b/>
                        </w:rPr>
                        <w:t>Earnings</w:t>
                      </w:r>
                      <w:r w:rsidRPr="0015150B">
                        <w:rPr>
                          <w:b/>
                        </w:rPr>
                        <w:t xml:space="preserve"> Quality</w:t>
                      </w:r>
                    </w:p>
                  </w:txbxContent>
                </v:textbox>
              </v:shape>
            </w:pict>
          </mc:Fallback>
        </mc:AlternateContent>
      </w:r>
      <w:r w:rsidR="00AC2D60" w:rsidRPr="003303F8">
        <w:rPr>
          <w:b/>
          <w:iCs/>
          <w:noProof/>
          <w:kern w:val="0"/>
          <w:sz w:val="24"/>
          <w:szCs w:val="24"/>
        </w:rPr>
        <mc:AlternateContent>
          <mc:Choice Requires="wps">
            <w:drawing>
              <wp:anchor distT="0" distB="0" distL="114300" distR="114300" simplePos="0" relativeHeight="251662336" behindDoc="0" locked="0" layoutInCell="1" allowOverlap="1" wp14:anchorId="0C282DAC" wp14:editId="7C6CDF18">
                <wp:simplePos x="0" y="0"/>
                <wp:positionH relativeFrom="column">
                  <wp:posOffset>3800475</wp:posOffset>
                </wp:positionH>
                <wp:positionV relativeFrom="paragraph">
                  <wp:posOffset>149860</wp:posOffset>
                </wp:positionV>
                <wp:extent cx="979170" cy="790575"/>
                <wp:effectExtent l="0" t="0" r="11430" b="28575"/>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790575"/>
                        </a:xfrm>
                        <a:prstGeom prst="rect">
                          <a:avLst/>
                        </a:prstGeom>
                        <a:solidFill>
                          <a:srgbClr val="FFFFFF"/>
                        </a:solidFill>
                        <a:ln w="9525">
                          <a:solidFill>
                            <a:srgbClr val="000000"/>
                          </a:solidFill>
                          <a:miter lim="800000"/>
                          <a:headEnd/>
                          <a:tailEnd/>
                        </a:ln>
                      </wps:spPr>
                      <wps:txbx>
                        <w:txbxContent>
                          <w:p w:rsidR="00F62EF1" w:rsidRPr="004B0997" w:rsidRDefault="00F62EF1" w:rsidP="00264723">
                            <w:pPr>
                              <w:spacing w:before="240"/>
                              <w:jc w:val="center"/>
                              <w:rPr>
                                <w:b/>
                              </w:rPr>
                            </w:pPr>
                            <w:r w:rsidRPr="0015150B">
                              <w:rPr>
                                <w:b/>
                              </w:rPr>
                              <w:t>The Cost of Equity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27" type="#_x0000_t202" style="position:absolute;margin-left:299.25pt;margin-top:11.8pt;width:77.1pt;height:6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">
                <v:textbox>
                  <w:txbxContent>
                    <w:p w:rsidR="00F62EF1" w:rsidRPr="004B0997" w:rsidRDefault="00F62EF1" w:rsidP="00264723">
                      <w:pPr>
                        <w:spacing w:before="240"/>
                        <w:jc w:val="center"/>
                        <w:rPr>
                          <w:b/>
                        </w:rPr>
                      </w:pPr>
                      <w:r w:rsidRPr="0015150B">
                        <w:rPr>
                          <w:b/>
                        </w:rPr>
                        <w:t>The Cost of Equity</w:t>
                      </w:r>
                    </w:p>
                  </w:txbxContent>
                </v:textbox>
              </v:shape>
            </w:pict>
          </mc:Fallback>
        </mc:AlternateContent>
      </w:r>
      <w:r w:rsidR="00AC2D60" w:rsidRPr="003303F8">
        <w:rPr>
          <w:b/>
          <w:iCs/>
          <w:noProof/>
          <w:kern w:val="0"/>
          <w:sz w:val="24"/>
          <w:szCs w:val="24"/>
        </w:rPr>
        <mc:AlternateContent>
          <mc:Choice Requires="wps">
            <w:drawing>
              <wp:anchor distT="0" distB="0" distL="114300" distR="114300" simplePos="0" relativeHeight="251661312" behindDoc="0" locked="0" layoutInCell="1" allowOverlap="1" wp14:anchorId="77B7A416" wp14:editId="5B1ED04F">
                <wp:simplePos x="0" y="0"/>
                <wp:positionH relativeFrom="column">
                  <wp:posOffset>1868170</wp:posOffset>
                </wp:positionH>
                <wp:positionV relativeFrom="paragraph">
                  <wp:posOffset>144780</wp:posOffset>
                </wp:positionV>
                <wp:extent cx="1533525" cy="876300"/>
                <wp:effectExtent l="0" t="0" r="28575" b="1905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876300"/>
                        </a:xfrm>
                        <a:prstGeom prst="rect">
                          <a:avLst/>
                        </a:prstGeom>
                        <a:solidFill>
                          <a:srgbClr val="FFFFFF"/>
                        </a:solidFill>
                        <a:ln w="9525">
                          <a:solidFill>
                            <a:srgbClr val="000000"/>
                          </a:solidFill>
                          <a:miter lim="800000"/>
                          <a:headEnd/>
                          <a:tailEnd/>
                        </a:ln>
                      </wps:spPr>
                      <wps:txbx>
                        <w:txbxContent>
                          <w:p w:rsidR="00F62EF1" w:rsidRDefault="00F62EF1">
                            <w:pPr>
                              <w:jc w:val="center"/>
                              <w:rPr>
                                <w:b/>
                              </w:rPr>
                            </w:pPr>
                            <w:r>
                              <w:rPr>
                                <w:rFonts w:hint="eastAsia"/>
                                <w:b/>
                              </w:rPr>
                              <w:t>Investors</w:t>
                            </w:r>
                            <w:r>
                              <w:rPr>
                                <w:b/>
                              </w:rPr>
                              <w:t>’</w:t>
                            </w:r>
                            <w:r>
                              <w:rPr>
                                <w:rFonts w:hint="eastAsia"/>
                                <w:b/>
                              </w:rPr>
                              <w:t xml:space="preserve"> Assessed </w:t>
                            </w:r>
                            <w:proofErr w:type="gramStart"/>
                            <w:r>
                              <w:rPr>
                                <w:b/>
                              </w:rPr>
                              <w:t>Covariance</w:t>
                            </w:r>
                            <w:r>
                              <w:rPr>
                                <w:rFonts w:hint="eastAsia"/>
                                <w:b/>
                              </w:rPr>
                              <w:t xml:space="preserve"> </w:t>
                            </w:r>
                            <w:r>
                              <w:rPr>
                                <w:b/>
                              </w:rPr>
                              <w:t xml:space="preserve"> between</w:t>
                            </w:r>
                            <w:proofErr w:type="gramEnd"/>
                            <w:r>
                              <w:rPr>
                                <w:b/>
                              </w:rPr>
                              <w:t xml:space="preserve"> the Firm’s and Peer Firms’ Expected Future Cash Flows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margin-left:147.1pt;margin-top:11.4pt;width:120.7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">
                <v:textbox>
                  <w:txbxContent>
                    <w:p w:rsidR="00F62EF1" w:rsidRDefault="00F62EF1">
                      <w:pPr>
                        <w:jc w:val="center"/>
                        <w:rPr>
                          <w:b/>
                        </w:rPr>
                      </w:pPr>
                      <w:r>
                        <w:rPr>
                          <w:rFonts w:hint="eastAsia"/>
                          <w:b/>
                        </w:rPr>
                        <w:t>Investors</w:t>
                      </w:r>
                      <w:r>
                        <w:rPr>
                          <w:b/>
                        </w:rPr>
                        <w:t>’</w:t>
                      </w:r>
                      <w:r>
                        <w:rPr>
                          <w:rFonts w:hint="eastAsia"/>
                          <w:b/>
                        </w:rPr>
                        <w:t xml:space="preserve"> Assessed </w:t>
                      </w:r>
                      <w:proofErr w:type="gramStart"/>
                      <w:r>
                        <w:rPr>
                          <w:b/>
                        </w:rPr>
                        <w:t>Covariance</w:t>
                      </w:r>
                      <w:r>
                        <w:rPr>
                          <w:rFonts w:hint="eastAsia"/>
                          <w:b/>
                        </w:rPr>
                        <w:t xml:space="preserve"> </w:t>
                      </w:r>
                      <w:r>
                        <w:rPr>
                          <w:b/>
                        </w:rPr>
                        <w:t xml:space="preserve"> between</w:t>
                      </w:r>
                      <w:proofErr w:type="gramEnd"/>
                      <w:r>
                        <w:rPr>
                          <w:b/>
                        </w:rPr>
                        <w:t xml:space="preserve"> the Firm’s and Peer Firms’ Expected Future Cash Flows</w:t>
                      </w:r>
                    </w:p>
                  </w:txbxContent>
                </v:textbox>
              </v:shape>
            </w:pict>
          </mc:Fallback>
        </mc:AlternateContent>
      </w:r>
      <w:r w:rsidR="00D9165F" w:rsidRPr="003303F8">
        <w:rPr>
          <w:b/>
          <w:iCs/>
          <w:kern w:val="0"/>
          <w:sz w:val="24"/>
          <w:szCs w:val="24"/>
        </w:rPr>
        <w:t xml:space="preserve"> </w:t>
      </w:r>
    </w:p>
    <w:p w:rsidR="00C81458" w:rsidRPr="003303F8" w:rsidRDefault="00D22470" w:rsidP="00AB231F">
      <w:pPr>
        <w:widowControl/>
        <w:overflowPunct/>
        <w:autoSpaceDE/>
        <w:autoSpaceDN/>
        <w:adjustRightInd/>
        <w:spacing w:after="200" w:line="360" w:lineRule="auto"/>
        <w:ind w:right="480"/>
        <w:rPr>
          <w:b/>
          <w:iCs/>
          <w:kern w:val="0"/>
          <w:sz w:val="24"/>
          <w:szCs w:val="24"/>
        </w:rPr>
      </w:pPr>
      <w:r w:rsidRPr="003303F8">
        <w:rPr>
          <w:b/>
          <w:iCs/>
          <w:noProof/>
          <w:kern w:val="0"/>
          <w:sz w:val="24"/>
          <w:szCs w:val="24"/>
        </w:rPr>
        <mc:AlternateContent>
          <mc:Choice Requires="wps">
            <w:drawing>
              <wp:anchor distT="0" distB="0" distL="114300" distR="114300" simplePos="0" relativeHeight="251695104" behindDoc="0" locked="0" layoutInCell="1" allowOverlap="1" wp14:anchorId="482A4B54" wp14:editId="1998AD2F">
                <wp:simplePos x="0" y="0"/>
                <wp:positionH relativeFrom="column">
                  <wp:posOffset>1209040</wp:posOffset>
                </wp:positionH>
                <wp:positionV relativeFrom="paragraph">
                  <wp:posOffset>145415</wp:posOffset>
                </wp:positionV>
                <wp:extent cx="657860" cy="0"/>
                <wp:effectExtent l="0" t="76200" r="27940" b="95250"/>
                <wp:wrapNone/>
                <wp:docPr id="7"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39" o:spid="_x0000_s1026" type="#_x0000_t32" style="position:absolute;margin-left:95.2pt;margin-top:11.45pt;width:51.8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lC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">
                <v:stroke endarrow="block"/>
              </v:shape>
            </w:pict>
          </mc:Fallback>
        </mc:AlternateContent>
      </w:r>
      <w:r w:rsidR="00AC2D60" w:rsidRPr="003303F8">
        <w:rPr>
          <w:b/>
          <w:iCs/>
          <w:noProof/>
          <w:kern w:val="0"/>
          <w:sz w:val="24"/>
          <w:szCs w:val="24"/>
        </w:rPr>
        <mc:AlternateContent>
          <mc:Choice Requires="wps">
            <w:drawing>
              <wp:anchor distT="4294967294" distB="4294967294" distL="114300" distR="114300" simplePos="0" relativeHeight="251678720" behindDoc="0" locked="0" layoutInCell="1" allowOverlap="1" wp14:anchorId="1138AB7C" wp14:editId="46176B7E">
                <wp:simplePos x="0" y="0"/>
                <wp:positionH relativeFrom="column">
                  <wp:posOffset>3402258</wp:posOffset>
                </wp:positionH>
                <wp:positionV relativeFrom="paragraph">
                  <wp:posOffset>142719</wp:posOffset>
                </wp:positionV>
                <wp:extent cx="396815" cy="0"/>
                <wp:effectExtent l="0" t="76200" r="22860" b="95250"/>
                <wp:wrapNone/>
                <wp:docPr id="6"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8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267.9pt;margin-top:11.25pt;width:31.25pt;height:0;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tAyNQIAAF0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">
                <v:stroke endarrow="block"/>
              </v:shape>
            </w:pict>
          </mc:Fallback>
        </mc:AlternateContent>
      </w:r>
    </w:p>
    <w:p w:rsidR="00C81458" w:rsidRPr="003303F8" w:rsidRDefault="00C81458" w:rsidP="00AB231F">
      <w:pPr>
        <w:widowControl/>
        <w:overflowPunct/>
        <w:autoSpaceDE/>
        <w:autoSpaceDN/>
        <w:adjustRightInd/>
        <w:spacing w:after="200" w:line="360" w:lineRule="auto"/>
        <w:ind w:right="480"/>
        <w:rPr>
          <w:b/>
          <w:iCs/>
          <w:kern w:val="0"/>
          <w:sz w:val="24"/>
          <w:szCs w:val="24"/>
        </w:rPr>
      </w:pPr>
    </w:p>
    <w:p w:rsidR="00DB26E6" w:rsidRPr="003303F8" w:rsidRDefault="00DB26E6" w:rsidP="00DB26E6">
      <w:pPr>
        <w:widowControl/>
        <w:overflowPunct/>
        <w:autoSpaceDE/>
        <w:autoSpaceDN/>
        <w:adjustRightInd/>
        <w:spacing w:after="200" w:line="360" w:lineRule="auto"/>
        <w:rPr>
          <w:b/>
          <w:i/>
          <w:iCs/>
          <w:kern w:val="0"/>
          <w:sz w:val="24"/>
          <w:szCs w:val="24"/>
        </w:rPr>
      </w:pPr>
    </w:p>
    <w:p w:rsidR="00CA689B" w:rsidRPr="003303F8" w:rsidRDefault="00DB26E6" w:rsidP="00DB26E6">
      <w:pPr>
        <w:widowControl/>
        <w:overflowPunct/>
        <w:autoSpaceDE/>
        <w:autoSpaceDN/>
        <w:adjustRightInd/>
        <w:spacing w:after="200" w:line="360" w:lineRule="auto"/>
        <w:rPr>
          <w:iCs/>
          <w:kern w:val="0"/>
          <w:sz w:val="24"/>
          <w:szCs w:val="24"/>
        </w:rPr>
      </w:pPr>
      <w:r w:rsidRPr="003303F8">
        <w:rPr>
          <w:iCs/>
          <w:kern w:val="0"/>
          <w:sz w:val="24"/>
          <w:szCs w:val="24"/>
        </w:rPr>
        <w:t>Panel B: Indirect Effects</w:t>
      </w:r>
    </w:p>
    <w:p w:rsidR="00DB26E6" w:rsidRPr="003303F8" w:rsidRDefault="00345B33" w:rsidP="00DB26E6">
      <w:pPr>
        <w:widowControl/>
        <w:overflowPunct/>
        <w:autoSpaceDE/>
        <w:autoSpaceDN/>
        <w:adjustRightInd/>
        <w:spacing w:after="200" w:line="360" w:lineRule="auto"/>
        <w:rPr>
          <w:i/>
          <w:iCs/>
          <w:kern w:val="0"/>
          <w:sz w:val="24"/>
          <w:szCs w:val="24"/>
        </w:rPr>
      </w:pPr>
      <w:r w:rsidRPr="003303F8">
        <w:rPr>
          <w:iCs/>
          <w:noProof/>
          <w:kern w:val="0"/>
          <w:sz w:val="24"/>
          <w:szCs w:val="24"/>
        </w:rPr>
        <mc:AlternateContent>
          <mc:Choice Requires="wps">
            <w:drawing>
              <wp:anchor distT="0" distB="0" distL="114300" distR="114300" simplePos="0" relativeHeight="251698176" behindDoc="0" locked="0" layoutInCell="1" allowOverlap="1" wp14:anchorId="0B83AA80" wp14:editId="5530AF4A">
                <wp:simplePos x="0" y="0"/>
                <wp:positionH relativeFrom="column">
                  <wp:posOffset>1476172</wp:posOffset>
                </wp:positionH>
                <wp:positionV relativeFrom="paragraph">
                  <wp:posOffset>82550</wp:posOffset>
                </wp:positionV>
                <wp:extent cx="1242060" cy="791210"/>
                <wp:effectExtent l="0" t="0" r="15240" b="27940"/>
                <wp:wrapNone/>
                <wp:docPr id="1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791210"/>
                        </a:xfrm>
                        <a:prstGeom prst="rect">
                          <a:avLst/>
                        </a:prstGeom>
                        <a:solidFill>
                          <a:srgbClr val="FFFFFF"/>
                        </a:solidFill>
                        <a:ln w="9525">
                          <a:solidFill>
                            <a:srgbClr val="000000"/>
                          </a:solidFill>
                          <a:miter lim="800000"/>
                          <a:headEnd/>
                          <a:tailEnd/>
                        </a:ln>
                      </wps:spPr>
                      <wps:txbx>
                        <w:txbxContent>
                          <w:p w:rsidR="00F62EF1" w:rsidRPr="004B0997" w:rsidRDefault="00F62EF1" w:rsidP="00DB26E6">
                            <w:pPr>
                              <w:spacing w:before="240"/>
                              <w:jc w:val="center"/>
                              <w:rPr>
                                <w:b/>
                              </w:rPr>
                            </w:pPr>
                            <w:r>
                              <w:rPr>
                                <w:b/>
                              </w:rPr>
                              <w:t>The Firm’s</w:t>
                            </w:r>
                            <w:r>
                              <w:rPr>
                                <w:rFonts w:hint="eastAsia"/>
                                <w:b/>
                              </w:rPr>
                              <w:t xml:space="preserve"> Real </w:t>
                            </w:r>
                            <w:r>
                              <w:rPr>
                                <w:b/>
                              </w:rPr>
                              <w:t xml:space="preserve">Future Cash Flow Distribution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1" o:spid="_x0000_s1029" type="#_x0000_t202" style="position:absolute;margin-left:116.25pt;margin-top:6.5pt;width:97.8pt;height:62.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">
                <v:textbox>
                  <w:txbxContent>
                    <w:p w:rsidR="00F62EF1" w:rsidRPr="004B0997" w:rsidRDefault="00F62EF1" w:rsidP="00DB26E6">
                      <w:pPr>
                        <w:spacing w:before="240"/>
                        <w:jc w:val="center"/>
                        <w:rPr>
                          <w:b/>
                        </w:rPr>
                      </w:pPr>
                      <w:r>
                        <w:rPr>
                          <w:b/>
                        </w:rPr>
                        <w:t>The Firm’s</w:t>
                      </w:r>
                      <w:r>
                        <w:rPr>
                          <w:rFonts w:hint="eastAsia"/>
                          <w:b/>
                        </w:rPr>
                        <w:t xml:space="preserve"> Real </w:t>
                      </w:r>
                      <w:r>
                        <w:rPr>
                          <w:b/>
                        </w:rPr>
                        <w:t xml:space="preserve">Future Cash Flow Distribution </w:t>
                      </w:r>
                    </w:p>
                  </w:txbxContent>
                </v:textbox>
              </v:shape>
            </w:pict>
          </mc:Fallback>
        </mc:AlternateContent>
      </w:r>
    </w:p>
    <w:p w:rsidR="00DB26E6" w:rsidRPr="003303F8" w:rsidRDefault="00AC2D60" w:rsidP="00CA689B">
      <w:pPr>
        <w:widowControl/>
        <w:overflowPunct/>
        <w:autoSpaceDE/>
        <w:autoSpaceDN/>
        <w:adjustRightInd/>
        <w:spacing w:after="200" w:line="360" w:lineRule="auto"/>
        <w:rPr>
          <w:b/>
          <w:i/>
          <w:iCs/>
          <w:kern w:val="0"/>
          <w:sz w:val="24"/>
          <w:szCs w:val="24"/>
        </w:rPr>
      </w:pPr>
      <w:r w:rsidRPr="003303F8">
        <w:rPr>
          <w:iCs/>
          <w:noProof/>
          <w:kern w:val="0"/>
          <w:sz w:val="24"/>
          <w:szCs w:val="24"/>
        </w:rPr>
        <mc:AlternateContent>
          <mc:Choice Requires="wps">
            <w:drawing>
              <wp:anchor distT="0" distB="0" distL="114300" distR="114300" simplePos="0" relativeHeight="251699200" behindDoc="0" locked="0" layoutInCell="1" allowOverlap="1" wp14:anchorId="47C18BF7" wp14:editId="672353A7">
                <wp:simplePos x="0" y="0"/>
                <wp:positionH relativeFrom="column">
                  <wp:posOffset>2717165</wp:posOffset>
                </wp:positionH>
                <wp:positionV relativeFrom="paragraph">
                  <wp:posOffset>31115</wp:posOffset>
                </wp:positionV>
                <wp:extent cx="296545" cy="949960"/>
                <wp:effectExtent l="0" t="0" r="65405" b="59690"/>
                <wp:wrapNone/>
                <wp:docPr id="13"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545" cy="949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 o:spid="_x0000_s1026" type="#_x0000_t32" style="position:absolute;margin-left:213.95pt;margin-top:2.45pt;width:23.35pt;height:74.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">
                <v:stroke endarrow="block"/>
              </v:shape>
            </w:pict>
          </mc:Fallback>
        </mc:AlternateContent>
      </w:r>
      <w:r w:rsidRPr="003303F8">
        <w:rPr>
          <w:iCs/>
          <w:noProof/>
          <w:kern w:val="0"/>
          <w:sz w:val="24"/>
          <w:szCs w:val="24"/>
        </w:rPr>
        <mc:AlternateContent>
          <mc:Choice Requires="wps">
            <w:drawing>
              <wp:anchor distT="0" distB="0" distL="114300" distR="114300" simplePos="0" relativeHeight="251700224" behindDoc="0" locked="0" layoutInCell="1" allowOverlap="1" wp14:anchorId="514D0E1A" wp14:editId="1422CC85">
                <wp:simplePos x="0" y="0"/>
                <wp:positionH relativeFrom="column">
                  <wp:posOffset>1211149</wp:posOffset>
                </wp:positionH>
                <wp:positionV relativeFrom="paragraph">
                  <wp:posOffset>118326</wp:posOffset>
                </wp:positionV>
                <wp:extent cx="232913" cy="939800"/>
                <wp:effectExtent l="0" t="38100" r="53340" b="12700"/>
                <wp:wrapNone/>
                <wp:docPr id="15"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2913" cy="939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9" o:spid="_x0000_s1026" type="#_x0000_t32" style="position:absolute;margin-left:95.35pt;margin-top:9.3pt;width:18.35pt;height:74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">
                <v:stroke endarrow="block"/>
              </v:shape>
            </w:pict>
          </mc:Fallback>
        </mc:AlternateContent>
      </w:r>
    </w:p>
    <w:p w:rsidR="00DB26E6" w:rsidRPr="003303F8" w:rsidRDefault="00AC2D60" w:rsidP="00CA689B">
      <w:pPr>
        <w:widowControl/>
        <w:overflowPunct/>
        <w:autoSpaceDE/>
        <w:autoSpaceDN/>
        <w:adjustRightInd/>
        <w:spacing w:after="200" w:line="360" w:lineRule="auto"/>
        <w:rPr>
          <w:b/>
          <w:i/>
          <w:iCs/>
          <w:kern w:val="0"/>
          <w:sz w:val="24"/>
          <w:szCs w:val="24"/>
        </w:rPr>
      </w:pPr>
      <w:r w:rsidRPr="003303F8">
        <w:rPr>
          <w:iCs/>
          <w:noProof/>
          <w:kern w:val="0"/>
          <w:sz w:val="24"/>
          <w:szCs w:val="24"/>
        </w:rPr>
        <mc:AlternateContent>
          <mc:Choice Requires="wps">
            <w:drawing>
              <wp:anchor distT="0" distB="0" distL="114300" distR="114300" simplePos="0" relativeHeight="251706368" behindDoc="0" locked="0" layoutInCell="1" allowOverlap="1" wp14:anchorId="160CD253" wp14:editId="04ED82FD">
                <wp:simplePos x="0" y="0"/>
                <wp:positionH relativeFrom="column">
                  <wp:posOffset>4321175</wp:posOffset>
                </wp:positionH>
                <wp:positionV relativeFrom="paragraph">
                  <wp:posOffset>269875</wp:posOffset>
                </wp:positionV>
                <wp:extent cx="727710" cy="790575"/>
                <wp:effectExtent l="0" t="0" r="15240" b="28575"/>
                <wp:wrapNone/>
                <wp:docPr id="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 cy="790575"/>
                        </a:xfrm>
                        <a:prstGeom prst="rect">
                          <a:avLst/>
                        </a:prstGeom>
                        <a:solidFill>
                          <a:srgbClr val="FFFFFF"/>
                        </a:solidFill>
                        <a:ln w="9525">
                          <a:solidFill>
                            <a:srgbClr val="000000"/>
                          </a:solidFill>
                          <a:miter lim="800000"/>
                          <a:headEnd/>
                          <a:tailEnd/>
                        </a:ln>
                      </wps:spPr>
                      <wps:txbx>
                        <w:txbxContent>
                          <w:p w:rsidR="00F62EF1" w:rsidRPr="004B0997" w:rsidRDefault="00F62EF1" w:rsidP="00DB26E6">
                            <w:pPr>
                              <w:spacing w:before="240"/>
                              <w:jc w:val="center"/>
                              <w:rPr>
                                <w:b/>
                              </w:rPr>
                            </w:pPr>
                            <w:r w:rsidRPr="0015150B">
                              <w:rPr>
                                <w:b/>
                              </w:rPr>
                              <w:t>The Cost of Equity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40.25pt;margin-top:21.25pt;width:57.3pt;height:62.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">
                <v:textbox>
                  <w:txbxContent>
                    <w:p w:rsidR="00F62EF1" w:rsidRPr="004B0997" w:rsidRDefault="00F62EF1" w:rsidP="00DB26E6">
                      <w:pPr>
                        <w:spacing w:before="240"/>
                        <w:jc w:val="center"/>
                        <w:rPr>
                          <w:b/>
                        </w:rPr>
                      </w:pPr>
                      <w:r w:rsidRPr="0015150B">
                        <w:rPr>
                          <w:b/>
                        </w:rPr>
                        <w:t>The Cost of Equity</w:t>
                      </w:r>
                    </w:p>
                  </w:txbxContent>
                </v:textbox>
              </v:shape>
            </w:pict>
          </mc:Fallback>
        </mc:AlternateContent>
      </w:r>
      <w:r w:rsidRPr="003303F8">
        <w:rPr>
          <w:iCs/>
          <w:noProof/>
          <w:kern w:val="0"/>
          <w:sz w:val="24"/>
          <w:szCs w:val="24"/>
        </w:rPr>
        <mc:AlternateContent>
          <mc:Choice Requires="wps">
            <w:drawing>
              <wp:anchor distT="0" distB="0" distL="114300" distR="114300" simplePos="0" relativeHeight="251703296" behindDoc="0" locked="0" layoutInCell="1" allowOverlap="1" wp14:anchorId="26C6C64E" wp14:editId="32B26020">
                <wp:simplePos x="0" y="0"/>
                <wp:positionH relativeFrom="column">
                  <wp:posOffset>3020695</wp:posOffset>
                </wp:positionH>
                <wp:positionV relativeFrom="paragraph">
                  <wp:posOffset>20320</wp:posOffset>
                </wp:positionV>
                <wp:extent cx="1082040" cy="1419225"/>
                <wp:effectExtent l="0" t="0" r="22860" b="28575"/>
                <wp:wrapNone/>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1419225"/>
                        </a:xfrm>
                        <a:prstGeom prst="rect">
                          <a:avLst/>
                        </a:prstGeom>
                        <a:solidFill>
                          <a:srgbClr val="FFFFFF"/>
                        </a:solidFill>
                        <a:ln w="9525">
                          <a:solidFill>
                            <a:srgbClr val="000000"/>
                          </a:solidFill>
                          <a:miter lim="800000"/>
                          <a:headEnd/>
                          <a:tailEnd/>
                        </a:ln>
                      </wps:spPr>
                      <wps:txbx>
                        <w:txbxContent>
                          <w:p w:rsidR="00F62EF1" w:rsidRDefault="00F62EF1" w:rsidP="00DB26E6">
                            <w:pPr>
                              <w:jc w:val="center"/>
                              <w:rPr>
                                <w:b/>
                              </w:rPr>
                            </w:pPr>
                            <w:r>
                              <w:rPr>
                                <w:rFonts w:hint="eastAsia"/>
                                <w:b/>
                              </w:rPr>
                              <w:t>Investors</w:t>
                            </w:r>
                            <w:r>
                              <w:rPr>
                                <w:b/>
                              </w:rPr>
                              <w:t>’</w:t>
                            </w:r>
                            <w:r>
                              <w:rPr>
                                <w:rFonts w:hint="eastAsia"/>
                                <w:b/>
                              </w:rPr>
                              <w:t xml:space="preserve"> Assessed </w:t>
                            </w:r>
                            <w:proofErr w:type="gramStart"/>
                            <w:r>
                              <w:rPr>
                                <w:b/>
                              </w:rPr>
                              <w:t>Covariance</w:t>
                            </w:r>
                            <w:r>
                              <w:rPr>
                                <w:rFonts w:hint="eastAsia"/>
                                <w:b/>
                              </w:rPr>
                              <w:t xml:space="preserve"> </w:t>
                            </w:r>
                            <w:r>
                              <w:rPr>
                                <w:b/>
                              </w:rPr>
                              <w:t xml:space="preserve"> between</w:t>
                            </w:r>
                            <w:proofErr w:type="gramEnd"/>
                            <w:r>
                              <w:rPr>
                                <w:b/>
                              </w:rPr>
                              <w:t xml:space="preserve"> the Firm’s and Peer Firms’ Expected Future Cash Flows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37.85pt;margin-top:1.6pt;width:85.2pt;height:11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">
                <v:textbox>
                  <w:txbxContent>
                    <w:p w:rsidR="00F62EF1" w:rsidRDefault="00F62EF1" w:rsidP="00DB26E6">
                      <w:pPr>
                        <w:jc w:val="center"/>
                        <w:rPr>
                          <w:b/>
                        </w:rPr>
                      </w:pPr>
                      <w:r>
                        <w:rPr>
                          <w:rFonts w:hint="eastAsia"/>
                          <w:b/>
                        </w:rPr>
                        <w:t>Investors</w:t>
                      </w:r>
                      <w:r>
                        <w:rPr>
                          <w:b/>
                        </w:rPr>
                        <w:t>’</w:t>
                      </w:r>
                      <w:r>
                        <w:rPr>
                          <w:rFonts w:hint="eastAsia"/>
                          <w:b/>
                        </w:rPr>
                        <w:t xml:space="preserve"> Assessed </w:t>
                      </w:r>
                      <w:proofErr w:type="gramStart"/>
                      <w:r>
                        <w:rPr>
                          <w:b/>
                        </w:rPr>
                        <w:t>Covariance</w:t>
                      </w:r>
                      <w:r>
                        <w:rPr>
                          <w:rFonts w:hint="eastAsia"/>
                          <w:b/>
                        </w:rPr>
                        <w:t xml:space="preserve"> </w:t>
                      </w:r>
                      <w:r>
                        <w:rPr>
                          <w:b/>
                        </w:rPr>
                        <w:t xml:space="preserve"> between</w:t>
                      </w:r>
                      <w:proofErr w:type="gramEnd"/>
                      <w:r>
                        <w:rPr>
                          <w:b/>
                        </w:rPr>
                        <w:t xml:space="preserve"> the Firm’s and Peer Firms’ Expected Future Cash Flows</w:t>
                      </w:r>
                    </w:p>
                  </w:txbxContent>
                </v:textbox>
              </v:shape>
            </w:pict>
          </mc:Fallback>
        </mc:AlternateContent>
      </w:r>
      <w:r w:rsidRPr="003303F8">
        <w:rPr>
          <w:iCs/>
          <w:noProof/>
          <w:kern w:val="0"/>
          <w:sz w:val="24"/>
          <w:szCs w:val="24"/>
        </w:rPr>
        <mc:AlternateContent>
          <mc:Choice Requires="wps">
            <w:drawing>
              <wp:anchor distT="0" distB="0" distL="114300" distR="114300" simplePos="0" relativeHeight="251702272" behindDoc="0" locked="0" layoutInCell="1" allowOverlap="1" wp14:anchorId="001E718A" wp14:editId="2AF65A4E">
                <wp:simplePos x="0" y="0"/>
                <wp:positionH relativeFrom="column">
                  <wp:posOffset>29138</wp:posOffset>
                </wp:positionH>
                <wp:positionV relativeFrom="paragraph">
                  <wp:posOffset>280670</wp:posOffset>
                </wp:positionV>
                <wp:extent cx="1176655" cy="791210"/>
                <wp:effectExtent l="0" t="0" r="23495" b="2794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791210"/>
                        </a:xfrm>
                        <a:prstGeom prst="rect">
                          <a:avLst/>
                        </a:prstGeom>
                        <a:solidFill>
                          <a:srgbClr val="FFFFFF"/>
                        </a:solidFill>
                        <a:ln w="9525">
                          <a:solidFill>
                            <a:srgbClr val="000000"/>
                          </a:solidFill>
                          <a:miter lim="800000"/>
                          <a:headEnd/>
                          <a:tailEnd/>
                        </a:ln>
                      </wps:spPr>
                      <wps:txbx>
                        <w:txbxContent>
                          <w:p w:rsidR="00F62EF1" w:rsidRDefault="00F62EF1" w:rsidP="00DB26E6">
                            <w:pPr>
                              <w:spacing w:before="240"/>
                              <w:jc w:val="center"/>
                              <w:rPr>
                                <w:b/>
                              </w:rPr>
                            </w:pPr>
                            <w:r>
                              <w:rPr>
                                <w:b/>
                              </w:rPr>
                              <w:t>Peer Firm</w:t>
                            </w:r>
                            <w:r w:rsidRPr="0015150B">
                              <w:rPr>
                                <w:b/>
                              </w:rPr>
                              <w:t xml:space="preserve"> </w:t>
                            </w:r>
                          </w:p>
                          <w:p w:rsidR="00F62EF1" w:rsidRDefault="00F62EF1" w:rsidP="00DB26E6">
                            <w:pPr>
                              <w:spacing w:before="240"/>
                              <w:jc w:val="center"/>
                              <w:rPr>
                                <w:b/>
                              </w:rPr>
                            </w:pPr>
                            <w:r>
                              <w:rPr>
                                <w:b/>
                              </w:rPr>
                              <w:t>Earnings</w:t>
                            </w:r>
                            <w:r w:rsidRPr="0015150B">
                              <w:rPr>
                                <w:b/>
                              </w:rPr>
                              <w:t xml:space="preserve"> Quality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3pt;margin-top:22.1pt;width:92.65pt;height:62.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">
                <v:textbox>
                  <w:txbxContent>
                    <w:p w:rsidR="00F62EF1" w:rsidRDefault="00F62EF1" w:rsidP="00DB26E6">
                      <w:pPr>
                        <w:spacing w:before="240"/>
                        <w:jc w:val="center"/>
                        <w:rPr>
                          <w:b/>
                        </w:rPr>
                      </w:pPr>
                      <w:r>
                        <w:rPr>
                          <w:b/>
                        </w:rPr>
                        <w:t>Peer Firm</w:t>
                      </w:r>
                      <w:r w:rsidRPr="0015150B">
                        <w:rPr>
                          <w:b/>
                        </w:rPr>
                        <w:t xml:space="preserve"> </w:t>
                      </w:r>
                    </w:p>
                    <w:p w:rsidR="00F62EF1" w:rsidRDefault="00F62EF1" w:rsidP="00DB26E6">
                      <w:pPr>
                        <w:spacing w:before="240"/>
                        <w:jc w:val="center"/>
                        <w:rPr>
                          <w:b/>
                        </w:rPr>
                      </w:pPr>
                      <w:r>
                        <w:rPr>
                          <w:b/>
                        </w:rPr>
                        <w:t>Earnings</w:t>
                      </w:r>
                      <w:r w:rsidRPr="0015150B">
                        <w:rPr>
                          <w:b/>
                        </w:rPr>
                        <w:t xml:space="preserve"> Quality</w:t>
                      </w:r>
                    </w:p>
                  </w:txbxContent>
                </v:textbox>
              </v:shape>
            </w:pict>
          </mc:Fallback>
        </mc:AlternateContent>
      </w:r>
    </w:p>
    <w:p w:rsidR="00DB26E6" w:rsidRPr="003303F8" w:rsidRDefault="00AC2D60" w:rsidP="00CA689B">
      <w:pPr>
        <w:widowControl/>
        <w:overflowPunct/>
        <w:autoSpaceDE/>
        <w:autoSpaceDN/>
        <w:adjustRightInd/>
        <w:spacing w:after="200" w:line="360" w:lineRule="auto"/>
        <w:rPr>
          <w:b/>
          <w:i/>
          <w:iCs/>
          <w:kern w:val="0"/>
          <w:sz w:val="24"/>
          <w:szCs w:val="24"/>
        </w:rPr>
      </w:pPr>
      <w:r w:rsidRPr="003303F8">
        <w:rPr>
          <w:iCs/>
          <w:noProof/>
          <w:kern w:val="0"/>
          <w:sz w:val="24"/>
          <w:szCs w:val="24"/>
        </w:rPr>
        <mc:AlternateContent>
          <mc:Choice Requires="wps">
            <w:drawing>
              <wp:anchor distT="4294967294" distB="4294967294" distL="114300" distR="114300" simplePos="0" relativeHeight="251705344" behindDoc="0" locked="0" layoutInCell="1" allowOverlap="1" wp14:anchorId="47F32B64" wp14:editId="56D48760">
                <wp:simplePos x="0" y="0"/>
                <wp:positionH relativeFrom="column">
                  <wp:posOffset>4109085</wp:posOffset>
                </wp:positionH>
                <wp:positionV relativeFrom="paragraph">
                  <wp:posOffset>287020</wp:posOffset>
                </wp:positionV>
                <wp:extent cx="209550" cy="9525"/>
                <wp:effectExtent l="0" t="57150" r="38100" b="85725"/>
                <wp:wrapNone/>
                <wp:docPr id="19"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323.55pt;margin-top:22.6pt;width:16.5pt;height:.75pt;z-index:251705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">
                <v:stroke endarrow="block"/>
              </v:shape>
            </w:pict>
          </mc:Fallback>
        </mc:AlternateContent>
      </w:r>
      <w:r w:rsidRPr="003303F8">
        <w:rPr>
          <w:iCs/>
          <w:noProof/>
          <w:kern w:val="0"/>
          <w:sz w:val="24"/>
          <w:szCs w:val="24"/>
        </w:rPr>
        <mc:AlternateContent>
          <mc:Choice Requires="wps">
            <w:drawing>
              <wp:anchor distT="0" distB="0" distL="114300" distR="114300" simplePos="0" relativeHeight="251704320" behindDoc="0" locked="0" layoutInCell="1" allowOverlap="1" wp14:anchorId="325A44DE" wp14:editId="4C10CE11">
                <wp:simplePos x="0" y="0"/>
                <wp:positionH relativeFrom="column">
                  <wp:posOffset>2770505</wp:posOffset>
                </wp:positionH>
                <wp:positionV relativeFrom="paragraph">
                  <wp:posOffset>294005</wp:posOffset>
                </wp:positionV>
                <wp:extent cx="213360" cy="918845"/>
                <wp:effectExtent l="0" t="38100" r="53340" b="14605"/>
                <wp:wrapNone/>
                <wp:docPr id="18"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 cy="918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 o:spid="_x0000_s1026" type="#_x0000_t32" style="position:absolute;margin-left:218.15pt;margin-top:23.15pt;width:16.8pt;height:72.3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">
                <v:stroke endarrow="block"/>
              </v:shape>
            </w:pict>
          </mc:Fallback>
        </mc:AlternateContent>
      </w:r>
    </w:p>
    <w:p w:rsidR="00DB26E6" w:rsidRPr="003303F8" w:rsidRDefault="00AC2D60" w:rsidP="00CA689B">
      <w:pPr>
        <w:widowControl/>
        <w:overflowPunct/>
        <w:autoSpaceDE/>
        <w:autoSpaceDN/>
        <w:adjustRightInd/>
        <w:spacing w:after="200" w:line="360" w:lineRule="auto"/>
        <w:rPr>
          <w:b/>
          <w:i/>
          <w:iCs/>
          <w:kern w:val="0"/>
          <w:sz w:val="24"/>
          <w:szCs w:val="24"/>
        </w:rPr>
      </w:pPr>
      <w:r w:rsidRPr="003303F8">
        <w:rPr>
          <w:iCs/>
          <w:noProof/>
          <w:kern w:val="0"/>
          <w:sz w:val="24"/>
          <w:szCs w:val="24"/>
        </w:rPr>
        <mc:AlternateContent>
          <mc:Choice Requires="wps">
            <w:drawing>
              <wp:anchor distT="4294967294" distB="4294967294" distL="114300" distR="114300" simplePos="0" relativeHeight="251697152" behindDoc="0" locked="0" layoutInCell="1" allowOverlap="1" wp14:anchorId="3BBE3EB6" wp14:editId="0C78B279">
                <wp:simplePos x="0" y="0"/>
                <wp:positionH relativeFrom="column">
                  <wp:posOffset>1211149</wp:posOffset>
                </wp:positionH>
                <wp:positionV relativeFrom="paragraph">
                  <wp:posOffset>20380</wp:posOffset>
                </wp:positionV>
                <wp:extent cx="308610" cy="841207"/>
                <wp:effectExtent l="0" t="0" r="53340" b="54610"/>
                <wp:wrapNone/>
                <wp:docPr id="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 cy="8412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95.35pt;margin-top:1.6pt;width:24.3pt;height:66.25pt;z-index:25169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">
                <v:stroke endarrow="block"/>
              </v:shape>
            </w:pict>
          </mc:Fallback>
        </mc:AlternateContent>
      </w:r>
    </w:p>
    <w:p w:rsidR="00DB26E6" w:rsidRPr="003303F8" w:rsidRDefault="00345B33" w:rsidP="00CA689B">
      <w:pPr>
        <w:widowControl/>
        <w:overflowPunct/>
        <w:autoSpaceDE/>
        <w:autoSpaceDN/>
        <w:adjustRightInd/>
        <w:spacing w:after="200" w:line="360" w:lineRule="auto"/>
        <w:rPr>
          <w:b/>
          <w:i/>
          <w:iCs/>
          <w:kern w:val="0"/>
          <w:sz w:val="24"/>
          <w:szCs w:val="24"/>
        </w:rPr>
      </w:pPr>
      <w:r w:rsidRPr="003303F8">
        <w:rPr>
          <w:iCs/>
          <w:noProof/>
          <w:kern w:val="0"/>
          <w:sz w:val="24"/>
          <w:szCs w:val="24"/>
        </w:rPr>
        <mc:AlternateContent>
          <mc:Choice Requires="wps">
            <w:drawing>
              <wp:anchor distT="0" distB="0" distL="114300" distR="114300" simplePos="0" relativeHeight="251701248" behindDoc="0" locked="0" layoutInCell="1" allowOverlap="1" wp14:anchorId="0D638415" wp14:editId="3DCECEFA">
                <wp:simplePos x="0" y="0"/>
                <wp:positionH relativeFrom="column">
                  <wp:posOffset>1522730</wp:posOffset>
                </wp:positionH>
                <wp:positionV relativeFrom="paragraph">
                  <wp:posOffset>25137</wp:posOffset>
                </wp:positionV>
                <wp:extent cx="1250315" cy="791210"/>
                <wp:effectExtent l="0" t="0" r="26035" b="27940"/>
                <wp:wrapNone/>
                <wp:docPr id="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791210"/>
                        </a:xfrm>
                        <a:prstGeom prst="rect">
                          <a:avLst/>
                        </a:prstGeom>
                        <a:solidFill>
                          <a:srgbClr val="FFFFFF"/>
                        </a:solidFill>
                        <a:ln w="9525">
                          <a:solidFill>
                            <a:srgbClr val="000000"/>
                          </a:solidFill>
                          <a:miter lim="800000"/>
                          <a:headEnd/>
                          <a:tailEnd/>
                        </a:ln>
                      </wps:spPr>
                      <wps:txbx>
                        <w:txbxContent>
                          <w:p w:rsidR="00F62EF1" w:rsidRPr="004B0997" w:rsidRDefault="00F62EF1" w:rsidP="00DB26E6">
                            <w:pPr>
                              <w:spacing w:before="240"/>
                              <w:jc w:val="center"/>
                              <w:rPr>
                                <w:b/>
                              </w:rPr>
                            </w:pPr>
                            <w:r>
                              <w:rPr>
                                <w:b/>
                              </w:rPr>
                              <w:t>Peer Firms’</w:t>
                            </w:r>
                            <w:r>
                              <w:rPr>
                                <w:rFonts w:hint="eastAsia"/>
                                <w:b/>
                              </w:rPr>
                              <w:t xml:space="preserve"> Real </w:t>
                            </w:r>
                            <w:r>
                              <w:rPr>
                                <w:b/>
                              </w:rPr>
                              <w:t>Future Cash Flow</w:t>
                            </w:r>
                            <w:r w:rsidRPr="0048402D">
                              <w:rPr>
                                <w:b/>
                              </w:rPr>
                              <w:t xml:space="preserve"> </w:t>
                            </w:r>
                            <w:r>
                              <w:rPr>
                                <w:b/>
                              </w:rPr>
                              <w:t>Distribution</w:t>
                            </w:r>
                            <w:r w:rsidRPr="00CA689B">
                              <w:rPr>
                                <w: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19.9pt;margin-top:2pt;width:98.45pt;height:62.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">
                <v:textbox>
                  <w:txbxContent>
                    <w:p w:rsidR="00F62EF1" w:rsidRPr="004B0997" w:rsidRDefault="00F62EF1" w:rsidP="00DB26E6">
                      <w:pPr>
                        <w:spacing w:before="240"/>
                        <w:jc w:val="center"/>
                        <w:rPr>
                          <w:b/>
                        </w:rPr>
                      </w:pPr>
                      <w:r>
                        <w:rPr>
                          <w:b/>
                        </w:rPr>
                        <w:t>Peer Firms’</w:t>
                      </w:r>
                      <w:r>
                        <w:rPr>
                          <w:rFonts w:hint="eastAsia"/>
                          <w:b/>
                        </w:rPr>
                        <w:t xml:space="preserve"> Real </w:t>
                      </w:r>
                      <w:r>
                        <w:rPr>
                          <w:b/>
                        </w:rPr>
                        <w:t>Future Cash Flow</w:t>
                      </w:r>
                      <w:r w:rsidRPr="0048402D">
                        <w:rPr>
                          <w:b/>
                        </w:rPr>
                        <w:t xml:space="preserve"> </w:t>
                      </w:r>
                      <w:r>
                        <w:rPr>
                          <w:b/>
                        </w:rPr>
                        <w:t>Distribution</w:t>
                      </w:r>
                      <w:r w:rsidRPr="00CA689B">
                        <w:rPr>
                          <w:b/>
                        </w:rPr>
                        <w:t xml:space="preserve"> </w:t>
                      </w:r>
                    </w:p>
                  </w:txbxContent>
                </v:textbox>
              </v:shape>
            </w:pict>
          </mc:Fallback>
        </mc:AlternateContent>
      </w:r>
    </w:p>
    <w:p w:rsidR="00DB26E6" w:rsidRPr="003303F8" w:rsidRDefault="00DB26E6" w:rsidP="00CA689B">
      <w:pPr>
        <w:widowControl/>
        <w:overflowPunct/>
        <w:autoSpaceDE/>
        <w:autoSpaceDN/>
        <w:adjustRightInd/>
        <w:spacing w:after="200" w:line="360" w:lineRule="auto"/>
        <w:rPr>
          <w:b/>
          <w:i/>
          <w:iCs/>
          <w:kern w:val="0"/>
          <w:sz w:val="24"/>
          <w:szCs w:val="24"/>
        </w:rPr>
      </w:pPr>
    </w:p>
    <w:p w:rsidR="00DB26E6" w:rsidRPr="003303F8" w:rsidRDefault="00DB26E6" w:rsidP="00CA689B">
      <w:pPr>
        <w:widowControl/>
        <w:overflowPunct/>
        <w:autoSpaceDE/>
        <w:autoSpaceDN/>
        <w:adjustRightInd/>
        <w:spacing w:after="200" w:line="360" w:lineRule="auto"/>
        <w:rPr>
          <w:b/>
          <w:i/>
          <w:iCs/>
          <w:kern w:val="0"/>
          <w:sz w:val="24"/>
          <w:szCs w:val="24"/>
        </w:rPr>
      </w:pPr>
    </w:p>
    <w:p w:rsidR="001F4BEC" w:rsidRPr="003303F8" w:rsidRDefault="001F4BEC" w:rsidP="00DB26E6">
      <w:pPr>
        <w:tabs>
          <w:tab w:val="left" w:pos="2475"/>
        </w:tabs>
        <w:overflowPunct/>
        <w:autoSpaceDE/>
        <w:autoSpaceDN/>
        <w:snapToGrid w:val="0"/>
        <w:rPr>
          <w:iCs/>
          <w:kern w:val="0"/>
          <w:sz w:val="24"/>
          <w:szCs w:val="24"/>
        </w:rPr>
      </w:pPr>
    </w:p>
    <w:p w:rsidR="001F4BEC" w:rsidRPr="003303F8" w:rsidRDefault="001F4BEC" w:rsidP="00DB26E6">
      <w:pPr>
        <w:tabs>
          <w:tab w:val="left" w:pos="2475"/>
        </w:tabs>
        <w:overflowPunct/>
        <w:autoSpaceDE/>
        <w:autoSpaceDN/>
        <w:snapToGrid w:val="0"/>
        <w:rPr>
          <w:iCs/>
          <w:kern w:val="0"/>
          <w:sz w:val="24"/>
          <w:szCs w:val="24"/>
        </w:rPr>
      </w:pPr>
    </w:p>
    <w:p w:rsidR="003B29E2" w:rsidRPr="003303F8" w:rsidRDefault="003B29E2" w:rsidP="00931FD3">
      <w:pPr>
        <w:rPr>
          <w:sz w:val="24"/>
          <w:szCs w:val="24"/>
          <w:lang w:eastAsia="en-US"/>
        </w:rPr>
      </w:pPr>
    </w:p>
    <w:p w:rsidR="00445BEC" w:rsidRPr="0074589E" w:rsidRDefault="00DB26E6" w:rsidP="0074589E">
      <w:pPr>
        <w:tabs>
          <w:tab w:val="left" w:pos="2475"/>
        </w:tabs>
        <w:overflowPunct/>
        <w:autoSpaceDE/>
        <w:autoSpaceDN/>
        <w:snapToGrid w:val="0"/>
        <w:rPr>
          <w:bCs/>
          <w:sz w:val="24"/>
          <w:szCs w:val="24"/>
        </w:rPr>
      </w:pPr>
      <w:r w:rsidRPr="003303F8">
        <w:rPr>
          <w:iCs/>
          <w:kern w:val="0"/>
          <w:sz w:val="24"/>
          <w:szCs w:val="24"/>
        </w:rPr>
        <w:t>This figure summarizes the theoretical framework. Using Lambert Leuz and Verrecchia (2007) as the theoretical basis, I demonstrate the following direct and indirect channels through which a firm’s cost of equity can be affected by peer firms’ earnings quality. The direct effect suggests that peer firm earnings quality</w:t>
      </w:r>
      <w:r w:rsidRPr="003303F8">
        <w:rPr>
          <w:sz w:val="24"/>
          <w:szCs w:val="24"/>
        </w:rPr>
        <w:t xml:space="preserve"> directly reduces investors’ assessed covariance of the firm’s expected future cash flows with other firms’. The indirect effect suggests that </w:t>
      </w:r>
      <w:r w:rsidRPr="003303F8">
        <w:rPr>
          <w:iCs/>
          <w:kern w:val="0"/>
          <w:sz w:val="24"/>
          <w:szCs w:val="24"/>
        </w:rPr>
        <w:t>peer firm earnings quality</w:t>
      </w:r>
      <w:r w:rsidRPr="003303F8">
        <w:rPr>
          <w:sz w:val="24"/>
          <w:szCs w:val="24"/>
        </w:rPr>
        <w:t xml:space="preserve"> affects the cost of equity by changing the real distribution of both the firm’s and peer firms’ expected future cash flows</w:t>
      </w:r>
      <w:r w:rsidRPr="003303F8">
        <w:rPr>
          <w:iCs/>
          <w:kern w:val="0"/>
          <w:sz w:val="24"/>
          <w:szCs w:val="24"/>
        </w:rPr>
        <w:t xml:space="preserve">. The effects on covariance are theoretically non-diversifiable. </w:t>
      </w:r>
      <w:r w:rsidR="00445BEC" w:rsidRPr="003303F8">
        <w:rPr>
          <w:b/>
          <w:bCs/>
          <w:sz w:val="24"/>
          <w:szCs w:val="24"/>
        </w:rPr>
        <w:br w:type="page"/>
      </w:r>
    </w:p>
    <w:p w:rsidR="00445BEC" w:rsidRPr="003303F8" w:rsidRDefault="00445BEC" w:rsidP="006535C9">
      <w:pPr>
        <w:rPr>
          <w:b/>
          <w:bCs/>
          <w:sz w:val="24"/>
          <w:szCs w:val="24"/>
        </w:rPr>
        <w:sectPr w:rsidR="00445BEC" w:rsidRPr="003303F8" w:rsidSect="00877A40">
          <w:footerReference w:type="default" r:id="rId64"/>
          <w:pgSz w:w="12240" w:h="15840" w:code="1"/>
          <w:pgMar w:top="1440" w:right="1440" w:bottom="1440" w:left="2304" w:header="0" w:footer="720" w:gutter="0"/>
          <w:pgNumType w:start="1"/>
          <w:cols w:space="720"/>
          <w:noEndnote/>
          <w:docGrid w:linePitch="360"/>
        </w:sectPr>
      </w:pPr>
    </w:p>
    <w:p w:rsidR="003B4570" w:rsidRPr="003303F8" w:rsidRDefault="003B4570" w:rsidP="003B4570">
      <w:pPr>
        <w:pStyle w:val="Heading1"/>
        <w:rPr>
          <w:szCs w:val="24"/>
        </w:rPr>
      </w:pPr>
      <w:bookmarkStart w:id="197" w:name="_Toc378086765"/>
      <w:bookmarkStart w:id="198" w:name="_Toc378087531"/>
      <w:bookmarkStart w:id="199" w:name="_Toc378087571"/>
      <w:bookmarkStart w:id="200" w:name="_Toc378088380"/>
      <w:bookmarkStart w:id="201" w:name="_Toc378088769"/>
      <w:bookmarkStart w:id="202" w:name="_Toc378088905"/>
      <w:r w:rsidRPr="003303F8">
        <w:rPr>
          <w:szCs w:val="24"/>
        </w:rPr>
        <w:lastRenderedPageBreak/>
        <w:t>FIGURE II. THE DIRECT EFFECT OF PEER FIRM EARNINGS QUALITY</w:t>
      </w:r>
      <w:bookmarkEnd w:id="197"/>
      <w:bookmarkEnd w:id="198"/>
      <w:bookmarkEnd w:id="199"/>
      <w:bookmarkEnd w:id="200"/>
      <w:bookmarkEnd w:id="201"/>
      <w:bookmarkEnd w:id="202"/>
      <w:r w:rsidRPr="003303F8">
        <w:rPr>
          <w:szCs w:val="24"/>
        </w:rPr>
        <w:t xml:space="preserve"> </w:t>
      </w:r>
    </w:p>
    <w:p w:rsidR="003B4570" w:rsidRPr="003303F8" w:rsidRDefault="003B4570" w:rsidP="003B29E2">
      <w:pPr>
        <w:pStyle w:val="Heading1"/>
        <w:rPr>
          <w:szCs w:val="24"/>
        </w:rPr>
      </w:pPr>
    </w:p>
    <w:p w:rsidR="00D26B6D" w:rsidRPr="003303F8" w:rsidRDefault="00D26B6D" w:rsidP="00B7629F">
      <w:pPr>
        <w:spacing w:after="120"/>
        <w:rPr>
          <w:bCs/>
          <w:sz w:val="24"/>
          <w:szCs w:val="24"/>
        </w:rPr>
      </w:pPr>
      <w:r w:rsidRPr="003303F8">
        <w:rPr>
          <w:bCs/>
          <w:sz w:val="24"/>
          <w:szCs w:val="24"/>
        </w:rPr>
        <w:t xml:space="preserve">Panel A: 3D </w:t>
      </w:r>
      <w:r w:rsidR="00C1595E" w:rsidRPr="003303F8">
        <w:rPr>
          <w:bCs/>
          <w:sz w:val="24"/>
          <w:szCs w:val="24"/>
        </w:rPr>
        <w:t>Plot</w:t>
      </w:r>
      <w:r w:rsidRPr="003303F8">
        <w:rPr>
          <w:bCs/>
          <w:sz w:val="24"/>
          <w:szCs w:val="24"/>
        </w:rPr>
        <w:t xml:space="preserve"> </w:t>
      </w:r>
      <w:r w:rsidR="00517028" w:rsidRPr="003303F8">
        <w:rPr>
          <w:bCs/>
          <w:sz w:val="24"/>
          <w:szCs w:val="24"/>
        </w:rPr>
        <w:t>for LLV</w:t>
      </w:r>
      <w:r w:rsidR="00C1595E" w:rsidRPr="003303F8">
        <w:rPr>
          <w:sz w:val="24"/>
          <w:szCs w:val="24"/>
        </w:rPr>
        <w:t xml:space="preserve"> </w:t>
      </w:r>
      <w:r w:rsidR="00C1595E" w:rsidRPr="003303F8">
        <w:rPr>
          <w:bCs/>
          <w:sz w:val="24"/>
          <w:szCs w:val="24"/>
        </w:rPr>
        <w:t>Equation (6)</w:t>
      </w:r>
    </w:p>
    <w:p w:rsidR="00696DB9" w:rsidRPr="003303F8" w:rsidRDefault="00696DB9" w:rsidP="00D26B6D">
      <w:pPr>
        <w:widowControl/>
        <w:overflowPunct/>
        <w:autoSpaceDE/>
        <w:autoSpaceDN/>
        <w:adjustRightInd/>
        <w:jc w:val="center"/>
        <w:rPr>
          <w:b/>
          <w:iCs/>
          <w:kern w:val="0"/>
          <w:sz w:val="24"/>
          <w:szCs w:val="24"/>
        </w:rPr>
      </w:pPr>
      <w:r w:rsidRPr="003303F8">
        <w:rPr>
          <w:b/>
          <w:iCs/>
          <w:noProof/>
          <w:kern w:val="0"/>
          <w:sz w:val="24"/>
          <w:szCs w:val="24"/>
        </w:rPr>
        <w:drawing>
          <wp:inline distT="0" distB="0" distL="0" distR="0" wp14:anchorId="41E7333F" wp14:editId="5DA5DD57">
            <wp:extent cx="3830128" cy="21911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 effect.jpg"/>
                    <pic:cNvPicPr/>
                  </pic:nvPicPr>
                  <pic:blipFill rotWithShape="1">
                    <a:blip r:embed="rId65">
                      <a:grayscl/>
                      <a:extLst>
                        <a:ext uri="{BEBA8EAE-BF5A-486C-A8C5-ECC9F3942E4B}">
                          <a14:imgProps xmlns:a14="http://schemas.microsoft.com/office/drawing/2010/main">
                            <a14:imgLayer r:embed="rId66">
                              <a14:imgEffect>
                                <a14:sharpenSoften amount="50000"/>
                              </a14:imgEffect>
                              <a14:imgEffect>
                                <a14:colorTemperature colorTemp="5900"/>
                              </a14:imgEffect>
                              <a14:imgEffect>
                                <a14:saturation sat="0"/>
                              </a14:imgEffect>
                            </a14:imgLayer>
                          </a14:imgProps>
                        </a:ext>
                        <a:ext uri="{28A0092B-C50C-407E-A947-70E740481C1C}">
                          <a14:useLocalDpi xmlns:a14="http://schemas.microsoft.com/office/drawing/2010/main" val="0"/>
                        </a:ext>
                      </a:extLst>
                    </a:blip>
                    <a:srcRect l="6502" r="2627" b="35029"/>
                    <a:stretch/>
                  </pic:blipFill>
                  <pic:spPr bwMode="auto">
                    <a:xfrm>
                      <a:off x="0" y="0"/>
                      <a:ext cx="3830128" cy="2191110"/>
                    </a:xfrm>
                    <a:prstGeom prst="rect">
                      <a:avLst/>
                    </a:prstGeom>
                    <a:noFill/>
                    <a:ln w="3175" cmpd="sng">
                      <a:noFill/>
                    </a:ln>
                    <a:extLst>
                      <a:ext uri="{53640926-AAD7-44D8-BBD7-CCE9431645EC}">
                        <a14:shadowObscured xmlns:a14="http://schemas.microsoft.com/office/drawing/2010/main"/>
                      </a:ext>
                    </a:extLst>
                  </pic:spPr>
                </pic:pic>
              </a:graphicData>
            </a:graphic>
          </wp:inline>
        </w:drawing>
      </w:r>
    </w:p>
    <w:p w:rsidR="00D26B6D" w:rsidRPr="003303F8" w:rsidRDefault="00D26B6D" w:rsidP="00D26B6D">
      <w:pPr>
        <w:widowControl/>
        <w:overflowPunct/>
        <w:autoSpaceDE/>
        <w:autoSpaceDN/>
        <w:adjustRightInd/>
        <w:rPr>
          <w:iCs/>
          <w:kern w:val="0"/>
          <w:sz w:val="24"/>
          <w:szCs w:val="24"/>
        </w:rPr>
      </w:pPr>
      <w:r w:rsidRPr="003303F8">
        <w:rPr>
          <w:iCs/>
          <w:kern w:val="0"/>
          <w:sz w:val="24"/>
          <w:szCs w:val="24"/>
        </w:rPr>
        <w:t>Panel B:</w:t>
      </w:r>
      <w:r w:rsidR="00517028" w:rsidRPr="003303F8">
        <w:rPr>
          <w:iCs/>
          <w:kern w:val="0"/>
          <w:sz w:val="24"/>
          <w:szCs w:val="24"/>
        </w:rPr>
        <w:t xml:space="preserve"> </w:t>
      </w:r>
      <w:r w:rsidR="00C1595E" w:rsidRPr="003303F8">
        <w:rPr>
          <w:iCs/>
          <w:kern w:val="0"/>
          <w:sz w:val="24"/>
          <w:szCs w:val="24"/>
        </w:rPr>
        <w:t>T</w:t>
      </w:r>
      <w:r w:rsidRPr="003303F8">
        <w:rPr>
          <w:iCs/>
          <w:kern w:val="0"/>
          <w:sz w:val="24"/>
          <w:szCs w:val="24"/>
        </w:rPr>
        <w:t>he Slope of Cov(V</w:t>
      </w:r>
      <w:r w:rsidRPr="003303F8">
        <w:rPr>
          <w:iCs/>
          <w:kern w:val="0"/>
          <w:sz w:val="24"/>
          <w:szCs w:val="24"/>
          <w:vertAlign w:val="subscript"/>
        </w:rPr>
        <w:t>j</w:t>
      </w:r>
      <w:r w:rsidRPr="003303F8">
        <w:rPr>
          <w:iCs/>
          <w:kern w:val="0"/>
          <w:sz w:val="24"/>
          <w:szCs w:val="24"/>
        </w:rPr>
        <w:t>, V</w:t>
      </w:r>
      <w:r w:rsidRPr="003303F8">
        <w:rPr>
          <w:iCs/>
          <w:kern w:val="0"/>
          <w:sz w:val="24"/>
          <w:szCs w:val="24"/>
          <w:vertAlign w:val="subscript"/>
        </w:rPr>
        <w:t>k</w:t>
      </w:r>
      <w:r w:rsidRPr="003303F8">
        <w:rPr>
          <w:iCs/>
          <w:kern w:val="0"/>
          <w:sz w:val="24"/>
          <w:szCs w:val="24"/>
        </w:rPr>
        <w:t>|Z</w:t>
      </w:r>
      <w:r w:rsidRPr="003303F8">
        <w:rPr>
          <w:iCs/>
          <w:kern w:val="0"/>
          <w:sz w:val="24"/>
          <w:szCs w:val="24"/>
          <w:vertAlign w:val="subscript"/>
        </w:rPr>
        <w:t>j</w:t>
      </w:r>
      <w:r w:rsidR="00517028" w:rsidRPr="003303F8">
        <w:rPr>
          <w:iCs/>
          <w:kern w:val="0"/>
          <w:sz w:val="24"/>
          <w:szCs w:val="24"/>
        </w:rPr>
        <w:t>) to Var(ε</w:t>
      </w:r>
      <w:r w:rsidRPr="003303F8">
        <w:rPr>
          <w:iCs/>
          <w:kern w:val="0"/>
          <w:sz w:val="24"/>
          <w:szCs w:val="24"/>
          <w:vertAlign w:val="subscript"/>
        </w:rPr>
        <w:t>j</w:t>
      </w:r>
      <w:r w:rsidRPr="003303F8">
        <w:rPr>
          <w:iCs/>
          <w:kern w:val="0"/>
          <w:sz w:val="24"/>
          <w:szCs w:val="24"/>
        </w:rPr>
        <w:t>)</w:t>
      </w:r>
      <w:r w:rsidR="00517028" w:rsidRPr="003303F8">
        <w:rPr>
          <w:iCs/>
          <w:kern w:val="0"/>
          <w:sz w:val="24"/>
          <w:szCs w:val="24"/>
        </w:rPr>
        <w:t xml:space="preserve"> at </w:t>
      </w:r>
      <w:r w:rsidR="00C1595E" w:rsidRPr="003303F8">
        <w:rPr>
          <w:iCs/>
          <w:kern w:val="0"/>
          <w:sz w:val="24"/>
          <w:szCs w:val="24"/>
        </w:rPr>
        <w:t>D</w:t>
      </w:r>
      <w:r w:rsidR="00517028" w:rsidRPr="003303F8">
        <w:rPr>
          <w:iCs/>
          <w:kern w:val="0"/>
          <w:sz w:val="24"/>
          <w:szCs w:val="24"/>
        </w:rPr>
        <w:t xml:space="preserve">ifferent </w:t>
      </w:r>
      <w:r w:rsidR="00C1595E" w:rsidRPr="003303F8">
        <w:rPr>
          <w:iCs/>
          <w:kern w:val="0"/>
          <w:sz w:val="24"/>
          <w:szCs w:val="24"/>
        </w:rPr>
        <w:t xml:space="preserve">Given </w:t>
      </w:r>
      <w:r w:rsidR="00517028" w:rsidRPr="003303F8">
        <w:rPr>
          <w:iCs/>
          <w:kern w:val="0"/>
          <w:sz w:val="24"/>
          <w:szCs w:val="24"/>
        </w:rPr>
        <w:t>Levels of Cov(V</w:t>
      </w:r>
      <w:r w:rsidR="00517028" w:rsidRPr="003303F8">
        <w:rPr>
          <w:iCs/>
          <w:kern w:val="0"/>
          <w:sz w:val="24"/>
          <w:szCs w:val="24"/>
          <w:vertAlign w:val="subscript"/>
        </w:rPr>
        <w:t>j</w:t>
      </w:r>
      <w:r w:rsidR="00517028" w:rsidRPr="003303F8">
        <w:rPr>
          <w:iCs/>
          <w:kern w:val="0"/>
          <w:sz w:val="24"/>
          <w:szCs w:val="24"/>
        </w:rPr>
        <w:t>, V</w:t>
      </w:r>
      <w:r w:rsidR="00517028" w:rsidRPr="003303F8">
        <w:rPr>
          <w:iCs/>
          <w:kern w:val="0"/>
          <w:sz w:val="24"/>
          <w:szCs w:val="24"/>
          <w:vertAlign w:val="subscript"/>
        </w:rPr>
        <w:t>k</w:t>
      </w:r>
      <w:r w:rsidR="00517028" w:rsidRPr="003303F8">
        <w:rPr>
          <w:iCs/>
          <w:kern w:val="0"/>
          <w:sz w:val="24"/>
          <w:szCs w:val="24"/>
        </w:rPr>
        <w:t>)</w:t>
      </w:r>
    </w:p>
    <w:p w:rsidR="00517028" w:rsidRPr="003303F8" w:rsidRDefault="00517028" w:rsidP="00D26B6D">
      <w:pPr>
        <w:widowControl/>
        <w:overflowPunct/>
        <w:autoSpaceDE/>
        <w:autoSpaceDN/>
        <w:adjustRightInd/>
        <w:rPr>
          <w:b/>
          <w:iCs/>
          <w:kern w:val="0"/>
          <w:sz w:val="24"/>
          <w:szCs w:val="24"/>
        </w:rPr>
      </w:pPr>
    </w:p>
    <w:p w:rsidR="00E046D7" w:rsidRPr="003303F8" w:rsidRDefault="00D26B6D" w:rsidP="00D26B6D">
      <w:pPr>
        <w:jc w:val="center"/>
        <w:rPr>
          <w:bCs/>
          <w:sz w:val="24"/>
          <w:szCs w:val="24"/>
        </w:rPr>
      </w:pPr>
      <w:r w:rsidRPr="003303F8">
        <w:rPr>
          <w:noProof/>
          <w:sz w:val="24"/>
          <w:szCs w:val="24"/>
        </w:rPr>
        <w:drawing>
          <wp:inline distT="0" distB="0" distL="0" distR="0" wp14:anchorId="3F292A32" wp14:editId="2944A6F8">
            <wp:extent cx="4352925" cy="223837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DB26E6" w:rsidRPr="003303F8" w:rsidRDefault="00DB26E6" w:rsidP="00DB26E6">
      <w:pPr>
        <w:spacing w:after="120"/>
        <w:rPr>
          <w:bCs/>
          <w:sz w:val="24"/>
          <w:szCs w:val="24"/>
        </w:rPr>
      </w:pPr>
      <w:r w:rsidRPr="003303F8">
        <w:rPr>
          <w:bCs/>
          <w:sz w:val="24"/>
          <w:szCs w:val="24"/>
        </w:rPr>
        <w:t xml:space="preserve">Based on equation (6) from LLV, this figure illustrates the covariance effects of peer firm earnings quality.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0"/>
        <w:gridCol w:w="1571"/>
      </w:tblGrid>
      <w:tr w:rsidR="00DB26E6" w:rsidRPr="003303F8" w:rsidTr="00931FD3">
        <w:trPr>
          <w:trHeight w:val="793"/>
        </w:trPr>
        <w:tc>
          <w:tcPr>
            <w:tcW w:w="6840" w:type="dxa"/>
            <w:vAlign w:val="center"/>
          </w:tcPr>
          <w:p w:rsidR="00DB26E6" w:rsidRPr="003303F8" w:rsidRDefault="00DB26E6" w:rsidP="0072291D">
            <w:pPr>
              <w:widowControl/>
              <w:overflowPunct/>
              <w:autoSpaceDE/>
              <w:autoSpaceDN/>
              <w:adjustRightInd/>
              <w:spacing w:after="120"/>
              <w:jc w:val="center"/>
              <w:rPr>
                <w:sz w:val="24"/>
                <w:szCs w:val="24"/>
              </w:rPr>
            </w:pPr>
            <w:r w:rsidRPr="003303F8">
              <w:rPr>
                <w:i/>
                <w:color w:val="000000"/>
                <w:position w:val="-64"/>
                <w:sz w:val="24"/>
                <w:szCs w:val="24"/>
              </w:rPr>
              <w:object w:dxaOrig="4640" w:dyaOrig="1380">
                <v:shape id="_x0000_i1051" type="#_x0000_t75" style="width:219pt;height:63pt" o:ole="">
                  <v:imagedata r:id="rId15" o:title=""/>
                </v:shape>
                <o:OLEObject Type="Embed" ProgID="Equation.3" ShapeID="_x0000_i1051" DrawAspect="Content" ObjectID="_1458832568" r:id="rId68"/>
              </w:object>
            </w:r>
          </w:p>
        </w:tc>
        <w:tc>
          <w:tcPr>
            <w:tcW w:w="1620" w:type="dxa"/>
            <w:vAlign w:val="center"/>
          </w:tcPr>
          <w:p w:rsidR="00DB26E6" w:rsidRPr="003303F8" w:rsidRDefault="00DB26E6" w:rsidP="0072291D">
            <w:pPr>
              <w:widowControl/>
              <w:overflowPunct/>
              <w:autoSpaceDE/>
              <w:autoSpaceDN/>
              <w:adjustRightInd/>
              <w:spacing w:after="120"/>
              <w:jc w:val="center"/>
              <w:rPr>
                <w:sz w:val="24"/>
                <w:szCs w:val="24"/>
              </w:rPr>
            </w:pPr>
            <w:r w:rsidRPr="003303F8">
              <w:rPr>
                <w:sz w:val="24"/>
                <w:szCs w:val="24"/>
              </w:rPr>
              <w:t>(LLV: 6)</w:t>
            </w:r>
          </w:p>
        </w:tc>
      </w:tr>
    </w:tbl>
    <w:p w:rsidR="00DB26E6" w:rsidRPr="003303F8" w:rsidRDefault="00DB26E6" w:rsidP="00DB26E6">
      <w:pPr>
        <w:spacing w:after="120"/>
        <w:rPr>
          <w:bCs/>
          <w:sz w:val="24"/>
          <w:szCs w:val="24"/>
        </w:rPr>
      </w:pPr>
      <w:r w:rsidRPr="003303F8">
        <w:rPr>
          <w:bCs/>
          <w:sz w:val="24"/>
          <w:szCs w:val="24"/>
        </w:rPr>
        <w:t xml:space="preserve">In this figure, Var(ε </w:t>
      </w:r>
      <w:r w:rsidRPr="003303F8">
        <w:rPr>
          <w:bCs/>
          <w:sz w:val="24"/>
          <w:szCs w:val="24"/>
          <w:vertAlign w:val="subscript"/>
        </w:rPr>
        <w:t>j</w:t>
      </w:r>
      <w:r w:rsidRPr="003303F8">
        <w:rPr>
          <w:bCs/>
          <w:sz w:val="24"/>
          <w:szCs w:val="24"/>
        </w:rPr>
        <w:t>) is an inverse measure of peer firm earnings quality. Cov(V</w:t>
      </w:r>
      <w:r w:rsidRPr="003303F8">
        <w:rPr>
          <w:bCs/>
          <w:sz w:val="24"/>
          <w:szCs w:val="24"/>
          <w:vertAlign w:val="subscript"/>
        </w:rPr>
        <w:t>j</w:t>
      </w:r>
      <w:r w:rsidRPr="003303F8">
        <w:rPr>
          <w:bCs/>
          <w:sz w:val="24"/>
          <w:szCs w:val="24"/>
        </w:rPr>
        <w:t>, V</w:t>
      </w:r>
      <w:r w:rsidRPr="003303F8">
        <w:rPr>
          <w:bCs/>
          <w:sz w:val="24"/>
          <w:szCs w:val="24"/>
          <w:vertAlign w:val="subscript"/>
        </w:rPr>
        <w:t>k</w:t>
      </w:r>
      <w:r w:rsidRPr="003303F8">
        <w:rPr>
          <w:bCs/>
          <w:sz w:val="24"/>
          <w:szCs w:val="24"/>
        </w:rPr>
        <w:t>) is the unconditional covariance between  firm j’s and firm k’s cash flows. Cov(V</w:t>
      </w:r>
      <w:r w:rsidRPr="003303F8">
        <w:rPr>
          <w:bCs/>
          <w:sz w:val="24"/>
          <w:szCs w:val="24"/>
          <w:vertAlign w:val="subscript"/>
        </w:rPr>
        <w:t>j</w:t>
      </w:r>
      <w:r w:rsidRPr="003303F8">
        <w:rPr>
          <w:bCs/>
          <w:sz w:val="24"/>
          <w:szCs w:val="24"/>
        </w:rPr>
        <w:t>, V</w:t>
      </w:r>
      <w:r w:rsidRPr="003303F8">
        <w:rPr>
          <w:bCs/>
          <w:sz w:val="24"/>
          <w:szCs w:val="24"/>
          <w:vertAlign w:val="subscript"/>
        </w:rPr>
        <w:t>k</w:t>
      </w:r>
      <w:r w:rsidRPr="003303F8">
        <w:rPr>
          <w:bCs/>
          <w:sz w:val="24"/>
          <w:szCs w:val="24"/>
        </w:rPr>
        <w:t>|Zj) is the covariance between  firm j’s and firm k’s cash flows conditional on peer firms’ earnings information. Further, in the figure, I assume Var(V</w:t>
      </w:r>
      <w:r w:rsidRPr="003303F8">
        <w:rPr>
          <w:bCs/>
          <w:sz w:val="24"/>
          <w:szCs w:val="24"/>
          <w:vertAlign w:val="subscript"/>
        </w:rPr>
        <w:t>j</w:t>
      </w:r>
      <w:r w:rsidRPr="003303F8">
        <w:rPr>
          <w:bCs/>
          <w:sz w:val="24"/>
          <w:szCs w:val="24"/>
        </w:rPr>
        <w:t xml:space="preserve">) to be 1. </w:t>
      </w:r>
    </w:p>
    <w:p w:rsidR="000D33D5" w:rsidRPr="003303F8" w:rsidRDefault="00DB26E6" w:rsidP="00DB26E6">
      <w:pPr>
        <w:spacing w:after="120"/>
        <w:rPr>
          <w:bCs/>
          <w:sz w:val="24"/>
          <w:szCs w:val="24"/>
        </w:rPr>
      </w:pPr>
      <w:r w:rsidRPr="003303F8">
        <w:rPr>
          <w:bCs/>
          <w:sz w:val="24"/>
          <w:szCs w:val="24"/>
        </w:rPr>
        <w:t>As we can see in panel A, holding</w:t>
      </w:r>
      <w:r w:rsidRPr="003303F8">
        <w:rPr>
          <w:bCs/>
          <w:i/>
          <w:sz w:val="24"/>
          <w:szCs w:val="24"/>
        </w:rPr>
        <w:t xml:space="preserve"> </w:t>
      </w:r>
      <w:r w:rsidRPr="003303F8">
        <w:rPr>
          <w:bCs/>
          <w:sz w:val="24"/>
          <w:szCs w:val="24"/>
        </w:rPr>
        <w:t>Cov(V</w:t>
      </w:r>
      <w:r w:rsidRPr="003303F8">
        <w:rPr>
          <w:bCs/>
          <w:sz w:val="24"/>
          <w:szCs w:val="24"/>
          <w:vertAlign w:val="subscript"/>
        </w:rPr>
        <w:t>j</w:t>
      </w:r>
      <w:r w:rsidRPr="003303F8">
        <w:rPr>
          <w:bCs/>
          <w:sz w:val="24"/>
          <w:szCs w:val="24"/>
        </w:rPr>
        <w:t>, V</w:t>
      </w:r>
      <w:r w:rsidRPr="003303F8">
        <w:rPr>
          <w:bCs/>
          <w:sz w:val="24"/>
          <w:szCs w:val="24"/>
          <w:vertAlign w:val="subscript"/>
        </w:rPr>
        <w:t>k</w:t>
      </w:r>
      <w:r w:rsidRPr="003303F8">
        <w:rPr>
          <w:bCs/>
          <w:sz w:val="24"/>
          <w:szCs w:val="24"/>
        </w:rPr>
        <w:t>) constant, as Var(ε</w:t>
      </w:r>
      <w:r w:rsidRPr="003303F8">
        <w:rPr>
          <w:bCs/>
          <w:sz w:val="24"/>
          <w:szCs w:val="24"/>
          <w:vertAlign w:val="subscript"/>
        </w:rPr>
        <w:t>j</w:t>
      </w:r>
      <w:r w:rsidRPr="003303F8">
        <w:rPr>
          <w:bCs/>
          <w:sz w:val="24"/>
          <w:szCs w:val="24"/>
        </w:rPr>
        <w:t>) decreases from 1 to 0, Cov(V</w:t>
      </w:r>
      <w:r w:rsidRPr="003303F8">
        <w:rPr>
          <w:bCs/>
          <w:sz w:val="24"/>
          <w:szCs w:val="24"/>
          <w:vertAlign w:val="subscript"/>
        </w:rPr>
        <w:t>j</w:t>
      </w:r>
      <w:r w:rsidRPr="003303F8">
        <w:rPr>
          <w:bCs/>
          <w:sz w:val="24"/>
          <w:szCs w:val="24"/>
        </w:rPr>
        <w:t>, V</w:t>
      </w:r>
      <w:r w:rsidRPr="003303F8">
        <w:rPr>
          <w:bCs/>
          <w:sz w:val="24"/>
          <w:szCs w:val="24"/>
          <w:vertAlign w:val="subscript"/>
        </w:rPr>
        <w:t>k</w:t>
      </w:r>
      <w:r w:rsidRPr="003303F8">
        <w:rPr>
          <w:bCs/>
          <w:sz w:val="24"/>
          <w:szCs w:val="24"/>
        </w:rPr>
        <w:t>|Z</w:t>
      </w:r>
      <w:r w:rsidRPr="003303F8">
        <w:rPr>
          <w:bCs/>
          <w:sz w:val="24"/>
          <w:szCs w:val="24"/>
          <w:vertAlign w:val="subscript"/>
        </w:rPr>
        <w:t>j</w:t>
      </w:r>
      <w:r w:rsidRPr="003303F8">
        <w:rPr>
          <w:bCs/>
          <w:sz w:val="24"/>
          <w:szCs w:val="24"/>
        </w:rPr>
        <w:t>) decreases at an increasing rate. Then, panel B further shows that the slope of Cov(V</w:t>
      </w:r>
      <w:r w:rsidRPr="003303F8">
        <w:rPr>
          <w:bCs/>
          <w:sz w:val="24"/>
          <w:szCs w:val="24"/>
          <w:vertAlign w:val="subscript"/>
        </w:rPr>
        <w:t>j</w:t>
      </w:r>
      <w:r w:rsidRPr="003303F8">
        <w:rPr>
          <w:bCs/>
          <w:sz w:val="24"/>
          <w:szCs w:val="24"/>
        </w:rPr>
        <w:t>, V</w:t>
      </w:r>
      <w:r w:rsidRPr="003303F8">
        <w:rPr>
          <w:bCs/>
          <w:sz w:val="24"/>
          <w:szCs w:val="24"/>
          <w:vertAlign w:val="subscript"/>
        </w:rPr>
        <w:t>k</w:t>
      </w:r>
      <w:r w:rsidRPr="003303F8">
        <w:rPr>
          <w:bCs/>
          <w:sz w:val="24"/>
          <w:szCs w:val="24"/>
        </w:rPr>
        <w:t>|Z</w:t>
      </w:r>
      <w:r w:rsidRPr="003303F8">
        <w:rPr>
          <w:bCs/>
          <w:sz w:val="24"/>
          <w:szCs w:val="24"/>
          <w:vertAlign w:val="subscript"/>
        </w:rPr>
        <w:t>j</w:t>
      </w:r>
      <w:r w:rsidRPr="003303F8">
        <w:rPr>
          <w:bCs/>
          <w:sz w:val="24"/>
          <w:szCs w:val="24"/>
        </w:rPr>
        <w:t>)</w:t>
      </w:r>
      <w:r w:rsidRPr="003303F8">
        <w:rPr>
          <w:bCs/>
          <w:i/>
          <w:sz w:val="24"/>
          <w:szCs w:val="24"/>
        </w:rPr>
        <w:t xml:space="preserve"> </w:t>
      </w:r>
      <w:r w:rsidRPr="003303F8">
        <w:rPr>
          <w:bCs/>
          <w:sz w:val="24"/>
          <w:szCs w:val="24"/>
        </w:rPr>
        <w:t>to Var(ε</w:t>
      </w:r>
      <w:r w:rsidRPr="003303F8">
        <w:rPr>
          <w:bCs/>
          <w:sz w:val="24"/>
          <w:szCs w:val="24"/>
          <w:vertAlign w:val="subscript"/>
        </w:rPr>
        <w:t xml:space="preserve"> j</w:t>
      </w:r>
      <w:r w:rsidRPr="003303F8">
        <w:rPr>
          <w:bCs/>
          <w:sz w:val="24"/>
          <w:szCs w:val="24"/>
        </w:rPr>
        <w:t>) is increasing in Cov(V</w:t>
      </w:r>
      <w:r w:rsidRPr="003303F8">
        <w:rPr>
          <w:bCs/>
          <w:sz w:val="24"/>
          <w:szCs w:val="24"/>
          <w:vertAlign w:val="subscript"/>
        </w:rPr>
        <w:t>j</w:t>
      </w:r>
      <w:r w:rsidRPr="003303F8">
        <w:rPr>
          <w:bCs/>
          <w:sz w:val="24"/>
          <w:szCs w:val="24"/>
        </w:rPr>
        <w:t>, V</w:t>
      </w:r>
      <w:r w:rsidRPr="003303F8">
        <w:rPr>
          <w:bCs/>
          <w:sz w:val="24"/>
          <w:szCs w:val="24"/>
          <w:vertAlign w:val="subscript"/>
        </w:rPr>
        <w:t>k</w:t>
      </w:r>
      <w:r w:rsidRPr="003303F8">
        <w:rPr>
          <w:bCs/>
          <w:sz w:val="24"/>
          <w:szCs w:val="24"/>
        </w:rPr>
        <w:t>|Z</w:t>
      </w:r>
      <w:r w:rsidRPr="003303F8">
        <w:rPr>
          <w:bCs/>
          <w:sz w:val="24"/>
          <w:szCs w:val="24"/>
          <w:vertAlign w:val="subscript"/>
        </w:rPr>
        <w:t>j</w:t>
      </w:r>
      <w:r w:rsidRPr="003303F8">
        <w:rPr>
          <w:bCs/>
          <w:sz w:val="24"/>
          <w:szCs w:val="24"/>
        </w:rPr>
        <w:t xml:space="preserve">). </w:t>
      </w:r>
    </w:p>
    <w:p w:rsidR="000D33D5" w:rsidRPr="003303F8" w:rsidRDefault="000D33D5">
      <w:pPr>
        <w:widowControl/>
        <w:overflowPunct/>
        <w:autoSpaceDE/>
        <w:autoSpaceDN/>
        <w:adjustRightInd/>
        <w:rPr>
          <w:bCs/>
          <w:sz w:val="24"/>
          <w:szCs w:val="24"/>
        </w:rPr>
      </w:pPr>
      <w:r w:rsidRPr="003303F8">
        <w:rPr>
          <w:bCs/>
          <w:sz w:val="24"/>
          <w:szCs w:val="24"/>
        </w:rPr>
        <w:br w:type="page"/>
      </w:r>
    </w:p>
    <w:p w:rsidR="00DB26E6" w:rsidRPr="003303F8" w:rsidRDefault="00DB26E6" w:rsidP="00DB26E6">
      <w:pPr>
        <w:spacing w:after="120"/>
        <w:rPr>
          <w:bCs/>
          <w:sz w:val="24"/>
          <w:szCs w:val="24"/>
        </w:rPr>
      </w:pPr>
    </w:p>
    <w:p w:rsidR="000D33D5" w:rsidRPr="003303F8" w:rsidRDefault="000D33D5" w:rsidP="000D33D5">
      <w:pPr>
        <w:pStyle w:val="Heading1"/>
        <w:rPr>
          <w:szCs w:val="24"/>
        </w:rPr>
      </w:pPr>
      <w:r w:rsidRPr="003303F8">
        <w:rPr>
          <w:szCs w:val="24"/>
        </w:rPr>
        <w:t xml:space="preserve">FIGURE III. </w:t>
      </w:r>
      <w:r w:rsidR="00B03CDA" w:rsidRPr="003303F8">
        <w:rPr>
          <w:szCs w:val="24"/>
        </w:rPr>
        <w:t xml:space="preserve">PATH ANALYSES FOR THE MODERATING ROEL OF BETA </w:t>
      </w:r>
    </w:p>
    <w:p w:rsidR="000D33D5" w:rsidRPr="003303F8" w:rsidRDefault="000D33D5" w:rsidP="000D33D5">
      <w:pPr>
        <w:pStyle w:val="Heading1"/>
        <w:rPr>
          <w:szCs w:val="24"/>
        </w:rPr>
      </w:pPr>
    </w:p>
    <w:p w:rsidR="000D33D5" w:rsidRPr="003303F8" w:rsidRDefault="000D33D5" w:rsidP="000D33D5">
      <w:pPr>
        <w:rPr>
          <w:sz w:val="24"/>
          <w:szCs w:val="24"/>
        </w:rPr>
      </w:pPr>
      <w:r w:rsidRPr="003303F8">
        <w:rPr>
          <w:bCs/>
          <w:sz w:val="24"/>
          <w:szCs w:val="24"/>
        </w:rPr>
        <w:t xml:space="preserve">Panel A: Path Analysis for the Effect of </w:t>
      </w:r>
      <w:r w:rsidRPr="003303F8">
        <w:rPr>
          <w:sz w:val="24"/>
          <w:szCs w:val="24"/>
        </w:rPr>
        <w:t>Peer Earnings Quality on the Implied Cost of Equity via Beta</w:t>
      </w:r>
    </w:p>
    <w:p w:rsidR="000D33D5" w:rsidRPr="003303F8" w:rsidRDefault="004958EF" w:rsidP="000D33D5">
      <w:pPr>
        <w:spacing w:after="120"/>
        <w:rPr>
          <w:bCs/>
          <w:sz w:val="24"/>
          <w:szCs w:val="24"/>
        </w:rPr>
      </w:pPr>
      <w:r w:rsidRPr="003303F8">
        <w:rPr>
          <w:noProof/>
          <w:sz w:val="24"/>
          <w:szCs w:val="24"/>
        </w:rPr>
        <mc:AlternateContent>
          <mc:Choice Requires="wps">
            <w:drawing>
              <wp:anchor distT="0" distB="0" distL="114300" distR="114300" simplePos="0" relativeHeight="251734016" behindDoc="0" locked="0" layoutInCell="1" allowOverlap="1" wp14:anchorId="6277BA3E" wp14:editId="2630B9BC">
                <wp:simplePos x="0" y="0"/>
                <wp:positionH relativeFrom="column">
                  <wp:posOffset>118110</wp:posOffset>
                </wp:positionH>
                <wp:positionV relativeFrom="paragraph">
                  <wp:posOffset>207645</wp:posOffset>
                </wp:positionV>
                <wp:extent cx="1057275" cy="666750"/>
                <wp:effectExtent l="0" t="0" r="28575" b="1905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666750"/>
                        </a:xfrm>
                        <a:prstGeom prst="rect">
                          <a:avLst/>
                        </a:prstGeom>
                        <a:solidFill>
                          <a:srgbClr val="FFFFFF"/>
                        </a:solidFill>
                        <a:ln w="9525">
                          <a:solidFill>
                            <a:srgbClr val="000000"/>
                          </a:solidFill>
                          <a:miter lim="800000"/>
                          <a:headEnd/>
                          <a:tailEnd/>
                        </a:ln>
                      </wps:spPr>
                      <wps:txbx>
                        <w:txbxContent>
                          <w:p w:rsidR="00F62EF1" w:rsidRPr="00931FD3" w:rsidRDefault="00F62EF1" w:rsidP="000D33D5">
                            <w:pPr>
                              <w:rPr>
                                <w:sz w:val="24"/>
                              </w:rPr>
                            </w:pPr>
                            <w:r>
                              <w:rPr>
                                <w:i/>
                                <w:kern w:val="0"/>
                                <w:sz w:val="24"/>
                                <w:szCs w:val="24"/>
                              </w:rPr>
                              <w:t>H_P_EQ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4" type="#_x0000_t202" style="position:absolute;margin-left:9.3pt;margin-top:16.35pt;width:83.25pt;height:5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">
                <v:textbox>
                  <w:txbxContent>
                    <w:p w:rsidR="00F62EF1" w:rsidRPr="00931FD3" w:rsidRDefault="00F62EF1" w:rsidP="000D33D5">
                      <w:pPr>
                        <w:rPr>
                          <w:sz w:val="24"/>
                        </w:rPr>
                      </w:pPr>
                      <w:r>
                        <w:rPr>
                          <w:i/>
                          <w:kern w:val="0"/>
                          <w:sz w:val="24"/>
                          <w:szCs w:val="24"/>
                        </w:rPr>
                        <w:t>H_P_EQ</w:t>
                      </w:r>
                    </w:p>
                  </w:txbxContent>
                </v:textbox>
              </v:shape>
            </w:pict>
          </mc:Fallback>
        </mc:AlternateContent>
      </w:r>
    </w:p>
    <w:p w:rsidR="000D33D5" w:rsidRPr="003303F8" w:rsidRDefault="000D33D5" w:rsidP="000D33D5">
      <w:pPr>
        <w:snapToGrid w:val="0"/>
        <w:spacing w:line="480" w:lineRule="auto"/>
        <w:rPr>
          <w:sz w:val="24"/>
          <w:szCs w:val="24"/>
        </w:rPr>
      </w:pPr>
    </w:p>
    <w:p w:rsidR="000D33D5" w:rsidRPr="003303F8" w:rsidRDefault="00E91541" w:rsidP="000D33D5">
      <w:pPr>
        <w:snapToGrid w:val="0"/>
        <w:spacing w:line="480" w:lineRule="auto"/>
        <w:rPr>
          <w:sz w:val="24"/>
          <w:szCs w:val="24"/>
        </w:rPr>
      </w:pPr>
      <w:r w:rsidRPr="003303F8">
        <w:rPr>
          <w:noProof/>
          <w:sz w:val="24"/>
          <w:szCs w:val="24"/>
        </w:rPr>
        <mc:AlternateContent>
          <mc:Choice Requires="wps">
            <w:drawing>
              <wp:anchor distT="0" distB="0" distL="114300" distR="114300" simplePos="0" relativeHeight="251740160" behindDoc="0" locked="0" layoutInCell="1" allowOverlap="1" wp14:anchorId="365239A3" wp14:editId="0B7A01FA">
                <wp:simplePos x="0" y="0"/>
                <wp:positionH relativeFrom="column">
                  <wp:posOffset>3080385</wp:posOffset>
                </wp:positionH>
                <wp:positionV relativeFrom="paragraph">
                  <wp:posOffset>262890</wp:posOffset>
                </wp:positionV>
                <wp:extent cx="955675" cy="0"/>
                <wp:effectExtent l="0" t="76200" r="15875" b="114300"/>
                <wp:wrapNone/>
                <wp:docPr id="24" name="Straight Arrow Connector 24"/>
                <wp:cNvGraphicFramePr/>
                <a:graphic xmlns:a="http://schemas.openxmlformats.org/drawingml/2006/main">
                  <a:graphicData uri="http://schemas.microsoft.com/office/word/2010/wordprocessingShape">
                    <wps:wsp>
                      <wps:cNvCnPr/>
                      <wps:spPr>
                        <a:xfrm>
                          <a:off x="0" y="0"/>
                          <a:ext cx="9556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4" o:spid="_x0000_s1026" type="#_x0000_t32" style="position:absolute;margin-left:242.55pt;margin-top:20.7pt;width:75.2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" strokecolor="black [3040]">
                <v:stroke endarrow="open"/>
              </v:shape>
            </w:pict>
          </mc:Fallback>
        </mc:AlternateContent>
      </w:r>
      <w:r w:rsidRPr="003303F8">
        <w:rPr>
          <w:noProof/>
          <w:sz w:val="24"/>
          <w:szCs w:val="24"/>
        </w:rPr>
        <mc:AlternateContent>
          <mc:Choice Requires="wps">
            <w:drawing>
              <wp:anchor distT="0" distB="0" distL="114300" distR="114300" simplePos="0" relativeHeight="251736064" behindDoc="0" locked="0" layoutInCell="1" allowOverlap="1" wp14:anchorId="62AA8C8A" wp14:editId="43DE773A">
                <wp:simplePos x="0" y="0"/>
                <wp:positionH relativeFrom="column">
                  <wp:posOffset>2146935</wp:posOffset>
                </wp:positionH>
                <wp:positionV relativeFrom="paragraph">
                  <wp:posOffset>62865</wp:posOffset>
                </wp:positionV>
                <wp:extent cx="933450" cy="476250"/>
                <wp:effectExtent l="0" t="0" r="19050" b="1905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476250"/>
                        </a:xfrm>
                        <a:prstGeom prst="rect">
                          <a:avLst/>
                        </a:prstGeom>
                        <a:solidFill>
                          <a:srgbClr val="FFFFFF"/>
                        </a:solidFill>
                        <a:ln w="9525">
                          <a:solidFill>
                            <a:srgbClr val="000000"/>
                          </a:solidFill>
                          <a:miter lim="800000"/>
                          <a:headEnd/>
                          <a:tailEnd/>
                        </a:ln>
                      </wps:spPr>
                      <wps:txbx>
                        <w:txbxContent>
                          <w:p w:rsidR="00F62EF1" w:rsidRPr="00167C9E" w:rsidRDefault="00F62EF1" w:rsidP="000D33D5">
                            <w:pPr>
                              <w:jc w:val="center"/>
                              <w:rPr>
                                <w:i/>
                                <w:sz w:val="24"/>
                              </w:rPr>
                            </w:pPr>
                            <w:r w:rsidRPr="00167C9E">
                              <w:rPr>
                                <w:i/>
                                <w:sz w:val="24"/>
                              </w:rPr>
                              <w:t>Beta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69.05pt;margin-top:4.95pt;width:73.5pt;height:3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">
                <v:textbox>
                  <w:txbxContent>
                    <w:p w:rsidR="00F62EF1" w:rsidRPr="00167C9E" w:rsidRDefault="00F62EF1" w:rsidP="000D33D5">
                      <w:pPr>
                        <w:jc w:val="center"/>
                        <w:rPr>
                          <w:i/>
                          <w:sz w:val="24"/>
                        </w:rPr>
                      </w:pPr>
                      <w:r w:rsidRPr="00167C9E">
                        <w:rPr>
                          <w:i/>
                          <w:sz w:val="24"/>
                        </w:rPr>
                        <w:t>Beta</w:t>
                      </w:r>
                    </w:p>
                  </w:txbxContent>
                </v:textbox>
              </v:shape>
            </w:pict>
          </mc:Fallback>
        </mc:AlternateContent>
      </w:r>
      <w:r w:rsidR="000D33D5" w:rsidRPr="003303F8">
        <w:rPr>
          <w:noProof/>
          <w:sz w:val="24"/>
          <w:szCs w:val="24"/>
        </w:rPr>
        <mc:AlternateContent>
          <mc:Choice Requires="wps">
            <w:drawing>
              <wp:anchor distT="0" distB="0" distL="114300" distR="114300" simplePos="0" relativeHeight="251738112" behindDoc="0" locked="0" layoutInCell="1" allowOverlap="1" wp14:anchorId="4890D7E4" wp14:editId="77B72E46">
                <wp:simplePos x="0" y="0"/>
                <wp:positionH relativeFrom="column">
                  <wp:posOffset>4032250</wp:posOffset>
                </wp:positionH>
                <wp:positionV relativeFrom="paragraph">
                  <wp:posOffset>19685</wp:posOffset>
                </wp:positionV>
                <wp:extent cx="1057275" cy="476250"/>
                <wp:effectExtent l="0" t="0" r="28575" b="1905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476250"/>
                        </a:xfrm>
                        <a:prstGeom prst="rect">
                          <a:avLst/>
                        </a:prstGeom>
                        <a:solidFill>
                          <a:srgbClr val="FFFFFF"/>
                        </a:solidFill>
                        <a:ln w="9525">
                          <a:solidFill>
                            <a:srgbClr val="000000"/>
                          </a:solidFill>
                          <a:miter lim="800000"/>
                          <a:headEnd/>
                          <a:tailEnd/>
                        </a:ln>
                      </wps:spPr>
                      <wps:txbx>
                        <w:txbxContent>
                          <w:p w:rsidR="00F62EF1" w:rsidRPr="00931FD3" w:rsidRDefault="00F62EF1" w:rsidP="000D33D5">
                            <w:pPr>
                              <w:jc w:val="center"/>
                              <w:rPr>
                                <w:sz w:val="24"/>
                              </w:rPr>
                            </w:pPr>
                            <w:proofErr w:type="spellStart"/>
                            <w:r w:rsidRPr="003303F8">
                              <w:rPr>
                                <w:i/>
                                <w:kern w:val="0"/>
                                <w:sz w:val="24"/>
                                <w:szCs w:val="24"/>
                              </w:rPr>
                              <w:t>ICoE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317.5pt;margin-top:1.55pt;width:83.25pt;height:3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">
                <v:textbox>
                  <w:txbxContent>
                    <w:p w:rsidR="00F62EF1" w:rsidRPr="00931FD3" w:rsidRDefault="00F62EF1" w:rsidP="000D33D5">
                      <w:pPr>
                        <w:jc w:val="center"/>
                        <w:rPr>
                          <w:sz w:val="24"/>
                        </w:rPr>
                      </w:pPr>
                      <w:proofErr w:type="spellStart"/>
                      <w:r w:rsidRPr="003303F8">
                        <w:rPr>
                          <w:i/>
                          <w:kern w:val="0"/>
                          <w:sz w:val="24"/>
                          <w:szCs w:val="24"/>
                        </w:rPr>
                        <w:t>ICoE</w:t>
                      </w:r>
                      <w:proofErr w:type="spellEnd"/>
                    </w:p>
                  </w:txbxContent>
                </v:textbox>
              </v:shape>
            </w:pict>
          </mc:Fallback>
        </mc:AlternateContent>
      </w:r>
      <w:r w:rsidR="000D33D5" w:rsidRPr="003303F8">
        <w:rPr>
          <w:noProof/>
          <w:sz w:val="24"/>
          <w:szCs w:val="24"/>
        </w:rPr>
        <mc:AlternateContent>
          <mc:Choice Requires="wps">
            <w:drawing>
              <wp:anchor distT="0" distB="0" distL="114300" distR="114300" simplePos="0" relativeHeight="251739136" behindDoc="0" locked="0" layoutInCell="1" allowOverlap="1" wp14:anchorId="49773B93" wp14:editId="7E3551E3">
                <wp:simplePos x="0" y="0"/>
                <wp:positionH relativeFrom="column">
                  <wp:posOffset>1172845</wp:posOffset>
                </wp:positionH>
                <wp:positionV relativeFrom="paragraph">
                  <wp:posOffset>-1905</wp:posOffset>
                </wp:positionV>
                <wp:extent cx="965835" cy="277495"/>
                <wp:effectExtent l="0" t="0" r="81915" b="84455"/>
                <wp:wrapNone/>
                <wp:docPr id="29" name="Straight Arrow Connector 29"/>
                <wp:cNvGraphicFramePr/>
                <a:graphic xmlns:a="http://schemas.openxmlformats.org/drawingml/2006/main">
                  <a:graphicData uri="http://schemas.microsoft.com/office/word/2010/wordprocessingShape">
                    <wps:wsp>
                      <wps:cNvCnPr/>
                      <wps:spPr>
                        <a:xfrm>
                          <a:off x="0" y="0"/>
                          <a:ext cx="965835" cy="2774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9" o:spid="_x0000_s1026" type="#_x0000_t32" style="position:absolute;margin-left:92.35pt;margin-top:-.15pt;width:76.05pt;height:21.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" strokecolor="black [3040]">
                <v:stroke endarrow="open"/>
              </v:shape>
            </w:pict>
          </mc:Fallback>
        </mc:AlternateContent>
      </w:r>
    </w:p>
    <w:p w:rsidR="000D33D5" w:rsidRPr="003303F8" w:rsidRDefault="000D33D5" w:rsidP="000D33D5">
      <w:pPr>
        <w:snapToGrid w:val="0"/>
        <w:spacing w:line="480" w:lineRule="auto"/>
        <w:rPr>
          <w:rFonts w:eastAsia="SimSun"/>
          <w:sz w:val="24"/>
          <w:szCs w:val="24"/>
        </w:rPr>
      </w:pPr>
      <w:r w:rsidRPr="003303F8">
        <w:rPr>
          <w:noProof/>
          <w:sz w:val="24"/>
          <w:szCs w:val="24"/>
        </w:rPr>
        <mc:AlternateContent>
          <mc:Choice Requires="wps">
            <w:drawing>
              <wp:anchor distT="0" distB="0" distL="114300" distR="114300" simplePos="0" relativeHeight="251742208" behindDoc="0" locked="0" layoutInCell="1" allowOverlap="1" wp14:anchorId="5E936959" wp14:editId="583D6D26">
                <wp:simplePos x="0" y="0"/>
                <wp:positionH relativeFrom="column">
                  <wp:posOffset>4533181</wp:posOffset>
                </wp:positionH>
                <wp:positionV relativeFrom="paragraph">
                  <wp:posOffset>142108</wp:posOffset>
                </wp:positionV>
                <wp:extent cx="0" cy="310551"/>
                <wp:effectExtent l="95250" t="38100" r="57150" b="13335"/>
                <wp:wrapNone/>
                <wp:docPr id="32" name="Straight Arrow Connector 32"/>
                <wp:cNvGraphicFramePr/>
                <a:graphic xmlns:a="http://schemas.openxmlformats.org/drawingml/2006/main">
                  <a:graphicData uri="http://schemas.microsoft.com/office/word/2010/wordprocessingShape">
                    <wps:wsp>
                      <wps:cNvCnPr/>
                      <wps:spPr>
                        <a:xfrm flipV="1">
                          <a:off x="0" y="0"/>
                          <a:ext cx="0" cy="31055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2" o:spid="_x0000_s1026" type="#_x0000_t32" style="position:absolute;margin-left:356.95pt;margin-top:11.2pt;width:0;height:24.4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" strokecolor="black [3040]">
                <v:stroke endarrow="open"/>
              </v:shape>
            </w:pict>
          </mc:Fallback>
        </mc:AlternateContent>
      </w:r>
      <w:r w:rsidRPr="003303F8">
        <w:rPr>
          <w:noProof/>
          <w:sz w:val="24"/>
          <w:szCs w:val="24"/>
        </w:rPr>
        <mc:AlternateContent>
          <mc:Choice Requires="wps">
            <w:drawing>
              <wp:anchor distT="0" distB="0" distL="114300" distR="114300" simplePos="0" relativeHeight="251741184" behindDoc="0" locked="0" layoutInCell="1" allowOverlap="1" wp14:anchorId="47912146" wp14:editId="25B6456F">
                <wp:simplePos x="0" y="0"/>
                <wp:positionH relativeFrom="column">
                  <wp:posOffset>1172845</wp:posOffset>
                </wp:positionH>
                <wp:positionV relativeFrom="paragraph">
                  <wp:posOffset>1270</wp:posOffset>
                </wp:positionV>
                <wp:extent cx="965835" cy="312420"/>
                <wp:effectExtent l="0" t="57150" r="0" b="30480"/>
                <wp:wrapNone/>
                <wp:docPr id="33" name="Straight Arrow Connector 33"/>
                <wp:cNvGraphicFramePr/>
                <a:graphic xmlns:a="http://schemas.openxmlformats.org/drawingml/2006/main">
                  <a:graphicData uri="http://schemas.microsoft.com/office/word/2010/wordprocessingShape">
                    <wps:wsp>
                      <wps:cNvCnPr/>
                      <wps:spPr>
                        <a:xfrm flipV="1">
                          <a:off x="0" y="0"/>
                          <a:ext cx="965835" cy="3124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 o:spid="_x0000_s1026" type="#_x0000_t32" style="position:absolute;margin-left:92.35pt;margin-top:.1pt;width:76.05pt;height:24.6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" strokecolor="black [3040]">
                <v:stroke endarrow="open"/>
              </v:shape>
            </w:pict>
          </mc:Fallback>
        </mc:AlternateContent>
      </w:r>
      <w:r w:rsidRPr="003303F8">
        <w:rPr>
          <w:noProof/>
          <w:sz w:val="24"/>
          <w:szCs w:val="24"/>
        </w:rPr>
        <mc:AlternateContent>
          <mc:Choice Requires="wps">
            <w:drawing>
              <wp:anchor distT="0" distB="0" distL="114300" distR="114300" simplePos="0" relativeHeight="251735040" behindDoc="0" locked="0" layoutInCell="1" allowOverlap="1" wp14:anchorId="5C928658" wp14:editId="7C38C1B2">
                <wp:simplePos x="0" y="0"/>
                <wp:positionH relativeFrom="column">
                  <wp:posOffset>111760</wp:posOffset>
                </wp:positionH>
                <wp:positionV relativeFrom="paragraph">
                  <wp:posOffset>44450</wp:posOffset>
                </wp:positionV>
                <wp:extent cx="1059815" cy="533400"/>
                <wp:effectExtent l="0" t="0" r="26035" b="1905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533400"/>
                        </a:xfrm>
                        <a:prstGeom prst="rect">
                          <a:avLst/>
                        </a:prstGeom>
                        <a:solidFill>
                          <a:srgbClr val="FFFFFF"/>
                        </a:solidFill>
                        <a:ln w="9525">
                          <a:solidFill>
                            <a:srgbClr val="000000"/>
                          </a:solidFill>
                          <a:miter lim="800000"/>
                          <a:headEnd/>
                          <a:tailEnd/>
                        </a:ln>
                      </wps:spPr>
                      <wps:txbx>
                        <w:txbxContent>
                          <w:p w:rsidR="00F62EF1" w:rsidRPr="00931FD3" w:rsidRDefault="00F62EF1" w:rsidP="000D33D5">
                            <w:pPr>
                              <w:rPr>
                                <w:sz w:val="24"/>
                              </w:rPr>
                            </w:pPr>
                            <w:r w:rsidRPr="003303F8">
                              <w:rPr>
                                <w:i/>
                                <w:kern w:val="0"/>
                                <w:sz w:val="24"/>
                                <w:szCs w:val="24"/>
                              </w:rPr>
                              <w:t>H_EQ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8.8pt;margin-top:3.5pt;width:83.45pt;height:4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">
                <v:textbox>
                  <w:txbxContent>
                    <w:p w:rsidR="00F62EF1" w:rsidRPr="00931FD3" w:rsidRDefault="00F62EF1" w:rsidP="000D33D5">
                      <w:pPr>
                        <w:rPr>
                          <w:sz w:val="24"/>
                        </w:rPr>
                      </w:pPr>
                      <w:r w:rsidRPr="003303F8">
                        <w:rPr>
                          <w:i/>
                          <w:kern w:val="0"/>
                          <w:sz w:val="24"/>
                          <w:szCs w:val="24"/>
                        </w:rPr>
                        <w:t>H_EQ</w:t>
                      </w:r>
                    </w:p>
                  </w:txbxContent>
                </v:textbox>
              </v:shape>
            </w:pict>
          </mc:Fallback>
        </mc:AlternateContent>
      </w:r>
    </w:p>
    <w:p w:rsidR="000D33D5" w:rsidRPr="003303F8" w:rsidRDefault="000D33D5" w:rsidP="000D33D5">
      <w:pPr>
        <w:spacing w:line="360" w:lineRule="auto"/>
        <w:rPr>
          <w:sz w:val="24"/>
          <w:szCs w:val="24"/>
        </w:rPr>
      </w:pPr>
      <w:r w:rsidRPr="003303F8">
        <w:rPr>
          <w:noProof/>
          <w:sz w:val="24"/>
          <w:szCs w:val="24"/>
        </w:rPr>
        <mc:AlternateContent>
          <mc:Choice Requires="wps">
            <w:drawing>
              <wp:anchor distT="0" distB="0" distL="114300" distR="114300" simplePos="0" relativeHeight="251737088" behindDoc="0" locked="0" layoutInCell="1" allowOverlap="1" wp14:anchorId="286BC0CD" wp14:editId="48D04AF8">
                <wp:simplePos x="0" y="0"/>
                <wp:positionH relativeFrom="column">
                  <wp:posOffset>4032885</wp:posOffset>
                </wp:positionH>
                <wp:positionV relativeFrom="paragraph">
                  <wp:posOffset>104775</wp:posOffset>
                </wp:positionV>
                <wp:extent cx="1057275" cy="742950"/>
                <wp:effectExtent l="0" t="0" r="28575" b="1905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742950"/>
                        </a:xfrm>
                        <a:prstGeom prst="rect">
                          <a:avLst/>
                        </a:prstGeom>
                        <a:solidFill>
                          <a:srgbClr val="FFFFFF"/>
                        </a:solidFill>
                        <a:ln w="9525">
                          <a:solidFill>
                            <a:srgbClr val="000000"/>
                          </a:solidFill>
                          <a:miter lim="800000"/>
                          <a:headEnd/>
                          <a:tailEnd/>
                        </a:ln>
                      </wps:spPr>
                      <wps:txbx>
                        <w:txbxContent>
                          <w:p w:rsidR="00F62EF1" w:rsidRPr="00931FD3" w:rsidRDefault="00F62EF1" w:rsidP="000D33D5">
                            <w:pPr>
                              <w:jc w:val="center"/>
                              <w:rPr>
                                <w:sz w:val="24"/>
                              </w:rPr>
                            </w:pPr>
                            <w:r w:rsidRPr="00931FD3">
                              <w:rPr>
                                <w:sz w:val="24"/>
                              </w:rPr>
                              <w:t>Other variables</w:t>
                            </w:r>
                            <w:r>
                              <w:rPr>
                                <w:sz w:val="24"/>
                              </w:rPr>
                              <w:t xml:space="preserve"> in equation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317.55pt;margin-top:8.25pt;width:83.25pt;height:5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">
                <v:textbox>
                  <w:txbxContent>
                    <w:p w:rsidR="00F62EF1" w:rsidRPr="00931FD3" w:rsidRDefault="00F62EF1" w:rsidP="000D33D5">
                      <w:pPr>
                        <w:jc w:val="center"/>
                        <w:rPr>
                          <w:sz w:val="24"/>
                        </w:rPr>
                      </w:pPr>
                      <w:r w:rsidRPr="00931FD3">
                        <w:rPr>
                          <w:sz w:val="24"/>
                        </w:rPr>
                        <w:t>Other variables</w:t>
                      </w:r>
                      <w:r>
                        <w:rPr>
                          <w:sz w:val="24"/>
                        </w:rPr>
                        <w:t xml:space="preserve"> in equation (4)</w:t>
                      </w:r>
                    </w:p>
                  </w:txbxContent>
                </v:textbox>
              </v:shape>
            </w:pict>
          </mc:Fallback>
        </mc:AlternateContent>
      </w:r>
    </w:p>
    <w:p w:rsidR="000D33D5" w:rsidRPr="003303F8" w:rsidRDefault="000D33D5" w:rsidP="000D33D5">
      <w:pPr>
        <w:spacing w:line="360" w:lineRule="auto"/>
        <w:rPr>
          <w:sz w:val="24"/>
          <w:szCs w:val="24"/>
        </w:rPr>
      </w:pPr>
    </w:p>
    <w:p w:rsidR="000D33D5" w:rsidRPr="003303F8" w:rsidRDefault="000D33D5" w:rsidP="000D33D5">
      <w:pPr>
        <w:spacing w:after="120"/>
        <w:rPr>
          <w:bCs/>
          <w:sz w:val="24"/>
          <w:szCs w:val="24"/>
        </w:rPr>
      </w:pPr>
    </w:p>
    <w:p w:rsidR="004958EF" w:rsidRPr="003303F8" w:rsidRDefault="004958EF" w:rsidP="000D33D5">
      <w:pPr>
        <w:spacing w:after="120"/>
        <w:rPr>
          <w:bCs/>
          <w:sz w:val="24"/>
          <w:szCs w:val="24"/>
        </w:rPr>
      </w:pPr>
    </w:p>
    <w:p w:rsidR="000D33D5" w:rsidRPr="003303F8" w:rsidRDefault="000D33D5">
      <w:pPr>
        <w:widowControl/>
        <w:overflowPunct/>
        <w:autoSpaceDE/>
        <w:autoSpaceDN/>
        <w:adjustRightInd/>
        <w:rPr>
          <w:bCs/>
          <w:sz w:val="24"/>
          <w:szCs w:val="24"/>
        </w:rPr>
      </w:pPr>
    </w:p>
    <w:p w:rsidR="000D33D5" w:rsidRPr="003303F8" w:rsidRDefault="000D33D5" w:rsidP="000D33D5">
      <w:pPr>
        <w:pStyle w:val="Heading1"/>
        <w:rPr>
          <w:szCs w:val="24"/>
        </w:rPr>
      </w:pPr>
    </w:p>
    <w:p w:rsidR="000D33D5" w:rsidRPr="003303F8" w:rsidRDefault="000D33D5" w:rsidP="000D33D5">
      <w:pPr>
        <w:rPr>
          <w:sz w:val="24"/>
          <w:szCs w:val="24"/>
        </w:rPr>
      </w:pPr>
      <w:r w:rsidRPr="003303F8">
        <w:rPr>
          <w:bCs/>
          <w:sz w:val="24"/>
          <w:szCs w:val="24"/>
        </w:rPr>
        <w:t xml:space="preserve">Panel B: Path Analysis for the Effect of </w:t>
      </w:r>
      <w:r w:rsidRPr="003303F8">
        <w:rPr>
          <w:sz w:val="24"/>
          <w:szCs w:val="24"/>
        </w:rPr>
        <w:t>Peer Earnings Quality on the Industry</w:t>
      </w:r>
      <w:r w:rsidR="001D3DFC">
        <w:rPr>
          <w:sz w:val="24"/>
          <w:szCs w:val="24"/>
        </w:rPr>
        <w:t>–</w:t>
      </w:r>
      <w:r w:rsidRPr="003303F8">
        <w:rPr>
          <w:sz w:val="24"/>
          <w:szCs w:val="24"/>
        </w:rPr>
        <w:t>Adjusted</w:t>
      </w:r>
      <w:r w:rsidR="001D3DFC">
        <w:rPr>
          <w:sz w:val="24"/>
          <w:szCs w:val="24"/>
        </w:rPr>
        <w:t>-</w:t>
      </w:r>
      <w:r w:rsidRPr="003303F8">
        <w:rPr>
          <w:sz w:val="24"/>
          <w:szCs w:val="24"/>
        </w:rPr>
        <w:t>Earnings</w:t>
      </w:r>
      <w:r w:rsidR="001D3DFC">
        <w:rPr>
          <w:sz w:val="24"/>
          <w:szCs w:val="24"/>
        </w:rPr>
        <w:t>-</w:t>
      </w:r>
      <w:r w:rsidRPr="003303F8">
        <w:rPr>
          <w:sz w:val="24"/>
          <w:szCs w:val="24"/>
        </w:rPr>
        <w:t>to</w:t>
      </w:r>
      <w:r w:rsidR="001D3DFC">
        <w:rPr>
          <w:sz w:val="24"/>
          <w:szCs w:val="24"/>
        </w:rPr>
        <w:t>-</w:t>
      </w:r>
      <w:r w:rsidRPr="003303F8">
        <w:rPr>
          <w:sz w:val="24"/>
          <w:szCs w:val="24"/>
        </w:rPr>
        <w:t>Price ratio via Beta</w:t>
      </w:r>
    </w:p>
    <w:p w:rsidR="000D33D5" w:rsidRPr="003303F8" w:rsidRDefault="000D33D5" w:rsidP="000D33D5">
      <w:pPr>
        <w:spacing w:line="480" w:lineRule="auto"/>
        <w:ind w:firstLine="720"/>
        <w:rPr>
          <w:sz w:val="24"/>
          <w:szCs w:val="24"/>
        </w:rPr>
      </w:pPr>
    </w:p>
    <w:p w:rsidR="000D33D5" w:rsidRPr="003303F8" w:rsidRDefault="000D33D5" w:rsidP="000D33D5">
      <w:pPr>
        <w:spacing w:line="480" w:lineRule="auto"/>
        <w:ind w:firstLine="720"/>
        <w:rPr>
          <w:sz w:val="24"/>
          <w:szCs w:val="24"/>
        </w:rPr>
      </w:pPr>
      <w:r w:rsidRPr="003303F8">
        <w:rPr>
          <w:noProof/>
          <w:sz w:val="24"/>
          <w:szCs w:val="24"/>
        </w:rPr>
        <mc:AlternateContent>
          <mc:Choice Requires="wps">
            <w:drawing>
              <wp:anchor distT="0" distB="0" distL="114300" distR="114300" simplePos="0" relativeHeight="251744256" behindDoc="0" locked="0" layoutInCell="1" allowOverlap="1" wp14:anchorId="79D8E568" wp14:editId="10E5B468">
                <wp:simplePos x="0" y="0"/>
                <wp:positionH relativeFrom="column">
                  <wp:posOffset>118110</wp:posOffset>
                </wp:positionH>
                <wp:positionV relativeFrom="paragraph">
                  <wp:posOffset>9525</wp:posOffset>
                </wp:positionV>
                <wp:extent cx="1047750" cy="612775"/>
                <wp:effectExtent l="0" t="0" r="19050" b="15875"/>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612775"/>
                        </a:xfrm>
                        <a:prstGeom prst="rect">
                          <a:avLst/>
                        </a:prstGeom>
                        <a:solidFill>
                          <a:srgbClr val="FFFFFF"/>
                        </a:solidFill>
                        <a:ln w="9525">
                          <a:solidFill>
                            <a:srgbClr val="000000"/>
                          </a:solidFill>
                          <a:miter lim="800000"/>
                          <a:headEnd/>
                          <a:tailEnd/>
                        </a:ln>
                      </wps:spPr>
                      <wps:txbx>
                        <w:txbxContent>
                          <w:p w:rsidR="00F62EF1" w:rsidRPr="00931FD3" w:rsidRDefault="00F62EF1" w:rsidP="00167C9E">
                            <w:pPr>
                              <w:rPr>
                                <w:sz w:val="24"/>
                              </w:rPr>
                            </w:pPr>
                            <w:r>
                              <w:rPr>
                                <w:i/>
                                <w:kern w:val="0"/>
                                <w:sz w:val="24"/>
                                <w:szCs w:val="24"/>
                              </w:rPr>
                              <w:t>H_P_EQ</w:t>
                            </w:r>
                          </w:p>
                          <w:p w:rsidR="00F62EF1" w:rsidRPr="00931FD3" w:rsidRDefault="00F62EF1" w:rsidP="000D33D5">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9.3pt;margin-top:.75pt;width:82.5pt;height:48.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">
                <v:textbox>
                  <w:txbxContent>
                    <w:p w:rsidR="00F62EF1" w:rsidRPr="00931FD3" w:rsidRDefault="00F62EF1" w:rsidP="00167C9E">
                      <w:pPr>
                        <w:rPr>
                          <w:sz w:val="24"/>
                        </w:rPr>
                      </w:pPr>
                      <w:r>
                        <w:rPr>
                          <w:i/>
                          <w:kern w:val="0"/>
                          <w:sz w:val="24"/>
                          <w:szCs w:val="24"/>
                        </w:rPr>
                        <w:t>H_P_EQ</w:t>
                      </w:r>
                    </w:p>
                    <w:p w:rsidR="00F62EF1" w:rsidRPr="00931FD3" w:rsidRDefault="00F62EF1" w:rsidP="000D33D5">
                      <w:pPr>
                        <w:rPr>
                          <w:sz w:val="24"/>
                          <w:szCs w:val="24"/>
                        </w:rPr>
                      </w:pPr>
                    </w:p>
                  </w:txbxContent>
                </v:textbox>
              </v:shape>
            </w:pict>
          </mc:Fallback>
        </mc:AlternateContent>
      </w:r>
    </w:p>
    <w:p w:rsidR="000D33D5" w:rsidRPr="003303F8" w:rsidRDefault="000D33D5" w:rsidP="000D33D5">
      <w:pPr>
        <w:snapToGrid w:val="0"/>
        <w:spacing w:line="480" w:lineRule="auto"/>
        <w:rPr>
          <w:sz w:val="24"/>
          <w:szCs w:val="24"/>
        </w:rPr>
      </w:pPr>
      <w:r w:rsidRPr="003303F8">
        <w:rPr>
          <w:noProof/>
          <w:sz w:val="24"/>
          <w:szCs w:val="24"/>
        </w:rPr>
        <mc:AlternateContent>
          <mc:Choice Requires="wps">
            <w:drawing>
              <wp:anchor distT="0" distB="0" distL="114300" distR="114300" simplePos="0" relativeHeight="251746304" behindDoc="0" locked="0" layoutInCell="1" allowOverlap="1" wp14:anchorId="5746A35E" wp14:editId="4BF61FB8">
                <wp:simplePos x="0" y="0"/>
                <wp:positionH relativeFrom="column">
                  <wp:posOffset>2146935</wp:posOffset>
                </wp:positionH>
                <wp:positionV relativeFrom="paragraph">
                  <wp:posOffset>64770</wp:posOffset>
                </wp:positionV>
                <wp:extent cx="1057275" cy="518795"/>
                <wp:effectExtent l="0" t="0" r="28575" b="1460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518795"/>
                        </a:xfrm>
                        <a:prstGeom prst="rect">
                          <a:avLst/>
                        </a:prstGeom>
                        <a:solidFill>
                          <a:srgbClr val="FFFFFF"/>
                        </a:solidFill>
                        <a:ln w="9525">
                          <a:solidFill>
                            <a:srgbClr val="000000"/>
                          </a:solidFill>
                          <a:miter lim="800000"/>
                          <a:headEnd/>
                          <a:tailEnd/>
                        </a:ln>
                      </wps:spPr>
                      <wps:txbx>
                        <w:txbxContent>
                          <w:p w:rsidR="00F62EF1" w:rsidRPr="00167C9E" w:rsidRDefault="00F62EF1" w:rsidP="000D33D5">
                            <w:pPr>
                              <w:jc w:val="center"/>
                              <w:rPr>
                                <w:i/>
                                <w:sz w:val="24"/>
                              </w:rPr>
                            </w:pPr>
                            <w:r w:rsidRPr="00167C9E">
                              <w:rPr>
                                <w:i/>
                                <w:sz w:val="24"/>
                              </w:rPr>
                              <w:t>Beta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69.05pt;margin-top:5.1pt;width:83.25pt;height:40.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">
                <v:textbox>
                  <w:txbxContent>
                    <w:p w:rsidR="00F62EF1" w:rsidRPr="00167C9E" w:rsidRDefault="00F62EF1" w:rsidP="000D33D5">
                      <w:pPr>
                        <w:jc w:val="center"/>
                        <w:rPr>
                          <w:i/>
                          <w:sz w:val="24"/>
                        </w:rPr>
                      </w:pPr>
                      <w:r w:rsidRPr="00167C9E">
                        <w:rPr>
                          <w:i/>
                          <w:sz w:val="24"/>
                        </w:rPr>
                        <w:t>Beta</w:t>
                      </w:r>
                    </w:p>
                  </w:txbxContent>
                </v:textbox>
              </v:shape>
            </w:pict>
          </mc:Fallback>
        </mc:AlternateContent>
      </w:r>
      <w:r w:rsidRPr="003303F8">
        <w:rPr>
          <w:noProof/>
          <w:sz w:val="24"/>
          <w:szCs w:val="24"/>
        </w:rPr>
        <mc:AlternateContent>
          <mc:Choice Requires="wps">
            <w:drawing>
              <wp:anchor distT="0" distB="0" distL="114300" distR="114300" simplePos="0" relativeHeight="251750400" behindDoc="0" locked="0" layoutInCell="1" allowOverlap="1" wp14:anchorId="3C2BB621" wp14:editId="73F6D31F">
                <wp:simplePos x="0" y="0"/>
                <wp:positionH relativeFrom="column">
                  <wp:posOffset>3204210</wp:posOffset>
                </wp:positionH>
                <wp:positionV relativeFrom="paragraph">
                  <wp:posOffset>283845</wp:posOffset>
                </wp:positionV>
                <wp:extent cx="828675" cy="0"/>
                <wp:effectExtent l="0" t="76200" r="28575" b="114300"/>
                <wp:wrapNone/>
                <wp:docPr id="38" name="Straight Arrow Connector 38"/>
                <wp:cNvGraphicFramePr/>
                <a:graphic xmlns:a="http://schemas.openxmlformats.org/drawingml/2006/main">
                  <a:graphicData uri="http://schemas.microsoft.com/office/word/2010/wordprocessingShape">
                    <wps:wsp>
                      <wps:cNvCnPr/>
                      <wps:spPr>
                        <a:xfrm>
                          <a:off x="0" y="0"/>
                          <a:ext cx="8286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8" o:spid="_x0000_s1026" type="#_x0000_t32" style="position:absolute;margin-left:252.3pt;margin-top:22.35pt;width:65.25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" strokecolor="black [3040]">
                <v:stroke endarrow="open"/>
              </v:shape>
            </w:pict>
          </mc:Fallback>
        </mc:AlternateContent>
      </w:r>
      <w:r w:rsidRPr="003303F8">
        <w:rPr>
          <w:noProof/>
          <w:sz w:val="24"/>
          <w:szCs w:val="24"/>
        </w:rPr>
        <mc:AlternateContent>
          <mc:Choice Requires="wps">
            <w:drawing>
              <wp:anchor distT="0" distB="0" distL="114300" distR="114300" simplePos="0" relativeHeight="251748352" behindDoc="0" locked="0" layoutInCell="1" allowOverlap="1" wp14:anchorId="5F0E42DF" wp14:editId="41285388">
                <wp:simplePos x="0" y="0"/>
                <wp:positionH relativeFrom="column">
                  <wp:posOffset>4032885</wp:posOffset>
                </wp:positionH>
                <wp:positionV relativeFrom="paragraph">
                  <wp:posOffset>-1905</wp:posOffset>
                </wp:positionV>
                <wp:extent cx="1008380" cy="447675"/>
                <wp:effectExtent l="0" t="0" r="20320" b="28575"/>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380" cy="447675"/>
                        </a:xfrm>
                        <a:prstGeom prst="rect">
                          <a:avLst/>
                        </a:prstGeom>
                        <a:solidFill>
                          <a:srgbClr val="FFFFFF"/>
                        </a:solidFill>
                        <a:ln w="9525">
                          <a:solidFill>
                            <a:srgbClr val="000000"/>
                          </a:solidFill>
                          <a:miter lim="800000"/>
                          <a:headEnd/>
                          <a:tailEnd/>
                        </a:ln>
                      </wps:spPr>
                      <wps:txbx>
                        <w:txbxContent>
                          <w:p w:rsidR="00F62EF1" w:rsidRPr="00F33D45" w:rsidRDefault="00F62EF1" w:rsidP="000D33D5">
                            <w:pPr>
                              <w:jc w:val="center"/>
                            </w:pPr>
                            <w:proofErr w:type="spellStart"/>
                            <w:r w:rsidRPr="00613129">
                              <w:rPr>
                                <w:i/>
                                <w:kern w:val="0"/>
                                <w:sz w:val="24"/>
                              </w:rPr>
                              <w:t>IndEP</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317.55pt;margin-top:-.15pt;width:79.4pt;height:35.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">
                <v:textbox>
                  <w:txbxContent>
                    <w:p w:rsidR="00F62EF1" w:rsidRPr="00F33D45" w:rsidRDefault="00F62EF1" w:rsidP="000D33D5">
                      <w:pPr>
                        <w:jc w:val="center"/>
                      </w:pPr>
                      <w:proofErr w:type="spellStart"/>
                      <w:r w:rsidRPr="00613129">
                        <w:rPr>
                          <w:i/>
                          <w:kern w:val="0"/>
                          <w:sz w:val="24"/>
                        </w:rPr>
                        <w:t>IndEP</w:t>
                      </w:r>
                      <w:proofErr w:type="spellEnd"/>
                    </w:p>
                  </w:txbxContent>
                </v:textbox>
              </v:shape>
            </w:pict>
          </mc:Fallback>
        </mc:AlternateContent>
      </w:r>
      <w:r w:rsidRPr="003303F8">
        <w:rPr>
          <w:noProof/>
          <w:sz w:val="24"/>
          <w:szCs w:val="24"/>
        </w:rPr>
        <mc:AlternateContent>
          <mc:Choice Requires="wps">
            <w:drawing>
              <wp:anchor distT="0" distB="0" distL="114300" distR="114300" simplePos="0" relativeHeight="251749376" behindDoc="0" locked="0" layoutInCell="1" allowOverlap="1" wp14:anchorId="43195F2C" wp14:editId="3F6501DC">
                <wp:simplePos x="0" y="0"/>
                <wp:positionH relativeFrom="column">
                  <wp:posOffset>1172845</wp:posOffset>
                </wp:positionH>
                <wp:positionV relativeFrom="paragraph">
                  <wp:posOffset>-1905</wp:posOffset>
                </wp:positionV>
                <wp:extent cx="965835" cy="277495"/>
                <wp:effectExtent l="0" t="0" r="81915" b="84455"/>
                <wp:wrapNone/>
                <wp:docPr id="40" name="Straight Arrow Connector 40"/>
                <wp:cNvGraphicFramePr/>
                <a:graphic xmlns:a="http://schemas.openxmlformats.org/drawingml/2006/main">
                  <a:graphicData uri="http://schemas.microsoft.com/office/word/2010/wordprocessingShape">
                    <wps:wsp>
                      <wps:cNvCnPr/>
                      <wps:spPr>
                        <a:xfrm>
                          <a:off x="0" y="0"/>
                          <a:ext cx="965835" cy="2774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0" o:spid="_x0000_s1026" type="#_x0000_t32" style="position:absolute;margin-left:92.35pt;margin-top:-.15pt;width:76.05pt;height:21.8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" strokecolor="black [3040]">
                <v:stroke endarrow="open"/>
              </v:shape>
            </w:pict>
          </mc:Fallback>
        </mc:AlternateContent>
      </w:r>
    </w:p>
    <w:p w:rsidR="000D33D5" w:rsidRPr="003303F8" w:rsidRDefault="00A02551" w:rsidP="000D33D5">
      <w:pPr>
        <w:snapToGrid w:val="0"/>
        <w:spacing w:line="480" w:lineRule="auto"/>
        <w:rPr>
          <w:rFonts w:eastAsia="SimSun"/>
          <w:sz w:val="24"/>
          <w:szCs w:val="24"/>
        </w:rPr>
      </w:pPr>
      <w:r w:rsidRPr="003303F8">
        <w:rPr>
          <w:noProof/>
          <w:sz w:val="24"/>
          <w:szCs w:val="24"/>
        </w:rPr>
        <mc:AlternateContent>
          <mc:Choice Requires="wps">
            <w:drawing>
              <wp:anchor distT="0" distB="0" distL="114300" distR="114300" simplePos="0" relativeHeight="251745280" behindDoc="0" locked="0" layoutInCell="1" allowOverlap="1" wp14:anchorId="21053DD3" wp14:editId="61218684">
                <wp:simplePos x="0" y="0"/>
                <wp:positionH relativeFrom="column">
                  <wp:posOffset>118110</wp:posOffset>
                </wp:positionH>
                <wp:positionV relativeFrom="paragraph">
                  <wp:posOffset>42545</wp:posOffset>
                </wp:positionV>
                <wp:extent cx="1047750" cy="508000"/>
                <wp:effectExtent l="0" t="0" r="19050" b="2540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508000"/>
                        </a:xfrm>
                        <a:prstGeom prst="rect">
                          <a:avLst/>
                        </a:prstGeom>
                        <a:solidFill>
                          <a:srgbClr val="FFFFFF"/>
                        </a:solidFill>
                        <a:ln w="9525">
                          <a:solidFill>
                            <a:srgbClr val="000000"/>
                          </a:solidFill>
                          <a:miter lim="800000"/>
                          <a:headEnd/>
                          <a:tailEnd/>
                        </a:ln>
                      </wps:spPr>
                      <wps:txbx>
                        <w:txbxContent>
                          <w:p w:rsidR="00F62EF1" w:rsidRPr="00931FD3" w:rsidRDefault="00F62EF1" w:rsidP="00167C9E">
                            <w:pPr>
                              <w:rPr>
                                <w:sz w:val="24"/>
                              </w:rPr>
                            </w:pPr>
                            <w:r w:rsidRPr="003303F8">
                              <w:rPr>
                                <w:i/>
                                <w:kern w:val="0"/>
                                <w:sz w:val="24"/>
                                <w:szCs w:val="24"/>
                              </w:rPr>
                              <w:t>H_EQ</w:t>
                            </w:r>
                          </w:p>
                          <w:p w:rsidR="00F62EF1" w:rsidRPr="00931FD3" w:rsidRDefault="00F62EF1" w:rsidP="000D33D5">
                            <w:pPr>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9.3pt;margin-top:3.35pt;width:82.5pt;height:4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">
                <v:textbox>
                  <w:txbxContent>
                    <w:p w:rsidR="00F62EF1" w:rsidRPr="00931FD3" w:rsidRDefault="00F62EF1" w:rsidP="00167C9E">
                      <w:pPr>
                        <w:rPr>
                          <w:sz w:val="24"/>
                        </w:rPr>
                      </w:pPr>
                      <w:r w:rsidRPr="003303F8">
                        <w:rPr>
                          <w:i/>
                          <w:kern w:val="0"/>
                          <w:sz w:val="24"/>
                          <w:szCs w:val="24"/>
                        </w:rPr>
                        <w:t>H_EQ</w:t>
                      </w:r>
                    </w:p>
                    <w:p w:rsidR="00F62EF1" w:rsidRPr="00931FD3" w:rsidRDefault="00F62EF1" w:rsidP="000D33D5">
                      <w:pPr>
                        <w:rPr>
                          <w:sz w:val="24"/>
                        </w:rPr>
                      </w:pPr>
                    </w:p>
                  </w:txbxContent>
                </v:textbox>
              </v:shape>
            </w:pict>
          </mc:Fallback>
        </mc:AlternateContent>
      </w:r>
      <w:r w:rsidR="000D33D5" w:rsidRPr="003303F8">
        <w:rPr>
          <w:noProof/>
          <w:sz w:val="24"/>
          <w:szCs w:val="24"/>
        </w:rPr>
        <mc:AlternateContent>
          <mc:Choice Requires="wps">
            <w:drawing>
              <wp:anchor distT="0" distB="0" distL="114300" distR="114300" simplePos="0" relativeHeight="251752448" behindDoc="0" locked="0" layoutInCell="1" allowOverlap="1" wp14:anchorId="5E325F00" wp14:editId="4D73762A">
                <wp:simplePos x="0" y="0"/>
                <wp:positionH relativeFrom="column">
                  <wp:posOffset>4528185</wp:posOffset>
                </wp:positionH>
                <wp:positionV relativeFrom="paragraph">
                  <wp:posOffset>95250</wp:posOffset>
                </wp:positionV>
                <wp:extent cx="0" cy="295275"/>
                <wp:effectExtent l="95250" t="38100" r="57150" b="9525"/>
                <wp:wrapNone/>
                <wp:docPr id="42" name="Straight Arrow Connector 42"/>
                <wp:cNvGraphicFramePr/>
                <a:graphic xmlns:a="http://schemas.openxmlformats.org/drawingml/2006/main">
                  <a:graphicData uri="http://schemas.microsoft.com/office/word/2010/wordprocessingShape">
                    <wps:wsp>
                      <wps:cNvCnPr/>
                      <wps:spPr>
                        <a:xfrm flipV="1">
                          <a:off x="0" y="0"/>
                          <a:ext cx="0" cy="295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2" o:spid="_x0000_s1026" type="#_x0000_t32" style="position:absolute;margin-left:356.55pt;margin-top:7.5pt;width:0;height:23.25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" strokecolor="black [3040]">
                <v:stroke endarrow="open"/>
              </v:shape>
            </w:pict>
          </mc:Fallback>
        </mc:AlternateContent>
      </w:r>
      <w:r w:rsidR="000D33D5" w:rsidRPr="003303F8">
        <w:rPr>
          <w:noProof/>
          <w:sz w:val="24"/>
          <w:szCs w:val="24"/>
        </w:rPr>
        <mc:AlternateContent>
          <mc:Choice Requires="wps">
            <w:drawing>
              <wp:anchor distT="0" distB="0" distL="114300" distR="114300" simplePos="0" relativeHeight="251751424" behindDoc="0" locked="0" layoutInCell="1" allowOverlap="1" wp14:anchorId="61890A10" wp14:editId="6153FBBA">
                <wp:simplePos x="0" y="0"/>
                <wp:positionH relativeFrom="column">
                  <wp:posOffset>1172845</wp:posOffset>
                </wp:positionH>
                <wp:positionV relativeFrom="paragraph">
                  <wp:posOffset>1270</wp:posOffset>
                </wp:positionV>
                <wp:extent cx="965835" cy="312420"/>
                <wp:effectExtent l="0" t="57150" r="0" b="30480"/>
                <wp:wrapNone/>
                <wp:docPr id="44" name="Straight Arrow Connector 44"/>
                <wp:cNvGraphicFramePr/>
                <a:graphic xmlns:a="http://schemas.openxmlformats.org/drawingml/2006/main">
                  <a:graphicData uri="http://schemas.microsoft.com/office/word/2010/wordprocessingShape">
                    <wps:wsp>
                      <wps:cNvCnPr/>
                      <wps:spPr>
                        <a:xfrm flipV="1">
                          <a:off x="0" y="0"/>
                          <a:ext cx="965835" cy="3124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4" o:spid="_x0000_s1026" type="#_x0000_t32" style="position:absolute;margin-left:92.35pt;margin-top:.1pt;width:76.05pt;height:24.6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" strokecolor="black [3040]">
                <v:stroke endarrow="open"/>
              </v:shape>
            </w:pict>
          </mc:Fallback>
        </mc:AlternateContent>
      </w:r>
    </w:p>
    <w:p w:rsidR="000D33D5" w:rsidRPr="003303F8" w:rsidRDefault="000D33D5" w:rsidP="000D33D5">
      <w:pPr>
        <w:spacing w:line="360" w:lineRule="auto"/>
        <w:rPr>
          <w:sz w:val="24"/>
          <w:szCs w:val="24"/>
        </w:rPr>
      </w:pPr>
      <w:r w:rsidRPr="003303F8">
        <w:rPr>
          <w:noProof/>
          <w:sz w:val="24"/>
          <w:szCs w:val="24"/>
        </w:rPr>
        <mc:AlternateContent>
          <mc:Choice Requires="wps">
            <w:drawing>
              <wp:anchor distT="0" distB="0" distL="114300" distR="114300" simplePos="0" relativeHeight="251747328" behindDoc="0" locked="0" layoutInCell="1" allowOverlap="1" wp14:anchorId="6DECE855" wp14:editId="3499F5F2">
                <wp:simplePos x="0" y="0"/>
                <wp:positionH relativeFrom="column">
                  <wp:posOffset>4032885</wp:posOffset>
                </wp:positionH>
                <wp:positionV relativeFrom="paragraph">
                  <wp:posOffset>34924</wp:posOffset>
                </wp:positionV>
                <wp:extent cx="1034415" cy="752475"/>
                <wp:effectExtent l="0" t="0" r="13335" b="2857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752475"/>
                        </a:xfrm>
                        <a:prstGeom prst="rect">
                          <a:avLst/>
                        </a:prstGeom>
                        <a:solidFill>
                          <a:srgbClr val="FFFFFF"/>
                        </a:solidFill>
                        <a:ln w="9525">
                          <a:solidFill>
                            <a:srgbClr val="000000"/>
                          </a:solidFill>
                          <a:miter lim="800000"/>
                          <a:headEnd/>
                          <a:tailEnd/>
                        </a:ln>
                      </wps:spPr>
                      <wps:txbx>
                        <w:txbxContent>
                          <w:p w:rsidR="00F62EF1" w:rsidRPr="00931FD3" w:rsidRDefault="00F62EF1" w:rsidP="000D33D5">
                            <w:pPr>
                              <w:jc w:val="center"/>
                              <w:rPr>
                                <w:sz w:val="24"/>
                              </w:rPr>
                            </w:pPr>
                            <w:r w:rsidRPr="00931FD3">
                              <w:rPr>
                                <w:sz w:val="24"/>
                              </w:rPr>
                              <w:t xml:space="preserve">Other </w:t>
                            </w:r>
                            <w:r>
                              <w:rPr>
                                <w:sz w:val="24"/>
                              </w:rPr>
                              <w:t>V</w:t>
                            </w:r>
                            <w:r w:rsidRPr="00931FD3">
                              <w:rPr>
                                <w:sz w:val="24"/>
                              </w:rPr>
                              <w:t>ariables</w:t>
                            </w:r>
                            <w:r w:rsidRPr="000D33D5">
                              <w:rPr>
                                <w:sz w:val="24"/>
                              </w:rPr>
                              <w:t xml:space="preserve"> </w:t>
                            </w:r>
                            <w:r>
                              <w:rPr>
                                <w:sz w:val="24"/>
                              </w:rPr>
                              <w:t>in equation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317.55pt;margin-top:2.75pt;width:81.45pt;height:59.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">
                <v:textbox>
                  <w:txbxContent>
                    <w:p w:rsidR="00F62EF1" w:rsidRPr="00931FD3" w:rsidRDefault="00F62EF1" w:rsidP="000D33D5">
                      <w:pPr>
                        <w:jc w:val="center"/>
                        <w:rPr>
                          <w:sz w:val="24"/>
                        </w:rPr>
                      </w:pPr>
                      <w:r w:rsidRPr="00931FD3">
                        <w:rPr>
                          <w:sz w:val="24"/>
                        </w:rPr>
                        <w:t xml:space="preserve">Other </w:t>
                      </w:r>
                      <w:r>
                        <w:rPr>
                          <w:sz w:val="24"/>
                        </w:rPr>
                        <w:t>V</w:t>
                      </w:r>
                      <w:r w:rsidRPr="00931FD3">
                        <w:rPr>
                          <w:sz w:val="24"/>
                        </w:rPr>
                        <w:t>ariables</w:t>
                      </w:r>
                      <w:r w:rsidRPr="000D33D5">
                        <w:rPr>
                          <w:sz w:val="24"/>
                        </w:rPr>
                        <w:t xml:space="preserve"> </w:t>
                      </w:r>
                      <w:r>
                        <w:rPr>
                          <w:sz w:val="24"/>
                        </w:rPr>
                        <w:t>in equation (5)</w:t>
                      </w:r>
                    </w:p>
                  </w:txbxContent>
                </v:textbox>
              </v:shape>
            </w:pict>
          </mc:Fallback>
        </mc:AlternateContent>
      </w:r>
    </w:p>
    <w:p w:rsidR="000D33D5" w:rsidRPr="003303F8" w:rsidRDefault="000D33D5" w:rsidP="000D33D5">
      <w:pPr>
        <w:widowControl/>
        <w:overflowPunct/>
        <w:autoSpaceDE/>
        <w:autoSpaceDN/>
        <w:snapToGrid w:val="0"/>
        <w:spacing w:line="480" w:lineRule="auto"/>
        <w:ind w:firstLine="720"/>
        <w:rPr>
          <w:kern w:val="0"/>
          <w:sz w:val="24"/>
          <w:szCs w:val="24"/>
        </w:rPr>
      </w:pPr>
    </w:p>
    <w:p w:rsidR="000D33D5" w:rsidRPr="003303F8" w:rsidRDefault="000D33D5">
      <w:pPr>
        <w:widowControl/>
        <w:overflowPunct/>
        <w:autoSpaceDE/>
        <w:autoSpaceDN/>
        <w:adjustRightInd/>
        <w:rPr>
          <w:bCs/>
          <w:sz w:val="24"/>
          <w:szCs w:val="24"/>
        </w:rPr>
      </w:pPr>
    </w:p>
    <w:p w:rsidR="000D33D5" w:rsidRPr="003303F8" w:rsidRDefault="000D33D5">
      <w:pPr>
        <w:widowControl/>
        <w:overflowPunct/>
        <w:autoSpaceDE/>
        <w:autoSpaceDN/>
        <w:adjustRightInd/>
        <w:rPr>
          <w:bCs/>
          <w:sz w:val="24"/>
          <w:szCs w:val="24"/>
        </w:rPr>
      </w:pPr>
    </w:p>
    <w:p w:rsidR="00A75BE4" w:rsidRPr="003303F8" w:rsidRDefault="000D33D5">
      <w:pPr>
        <w:widowControl/>
        <w:overflowPunct/>
        <w:autoSpaceDE/>
        <w:autoSpaceDN/>
        <w:adjustRightInd/>
        <w:rPr>
          <w:bCs/>
          <w:sz w:val="24"/>
          <w:szCs w:val="24"/>
        </w:rPr>
      </w:pPr>
      <w:r w:rsidRPr="003303F8">
        <w:rPr>
          <w:bCs/>
          <w:sz w:val="24"/>
          <w:szCs w:val="24"/>
        </w:rPr>
        <w:t>This figure shows the structure of path analyses to test the role of Beta in moderating the relation between peer firm earnings quality and the implied cost of equity in Panel A (</w:t>
      </w:r>
      <w:r w:rsidRPr="003303F8">
        <w:rPr>
          <w:sz w:val="24"/>
          <w:szCs w:val="24"/>
        </w:rPr>
        <w:t xml:space="preserve">the </w:t>
      </w:r>
      <w:r w:rsidR="00EA07C4" w:rsidRPr="003303F8">
        <w:rPr>
          <w:sz w:val="24"/>
          <w:szCs w:val="24"/>
        </w:rPr>
        <w:t>industry</w:t>
      </w:r>
      <w:r w:rsidR="001D3DFC">
        <w:rPr>
          <w:sz w:val="24"/>
          <w:szCs w:val="24"/>
        </w:rPr>
        <w:t>-</w:t>
      </w:r>
      <w:r w:rsidR="001D3DFC" w:rsidRPr="003303F8">
        <w:rPr>
          <w:sz w:val="24"/>
          <w:szCs w:val="24"/>
        </w:rPr>
        <w:t>adjusted</w:t>
      </w:r>
      <w:r w:rsidR="001D3DFC">
        <w:rPr>
          <w:sz w:val="24"/>
          <w:szCs w:val="24"/>
        </w:rPr>
        <w:t>-</w:t>
      </w:r>
      <w:r w:rsidR="001D3DFC" w:rsidRPr="003303F8">
        <w:rPr>
          <w:sz w:val="24"/>
          <w:szCs w:val="24"/>
        </w:rPr>
        <w:t>earnings</w:t>
      </w:r>
      <w:r w:rsidR="001D3DFC">
        <w:rPr>
          <w:sz w:val="24"/>
          <w:szCs w:val="24"/>
        </w:rPr>
        <w:t>-</w:t>
      </w:r>
      <w:r w:rsidR="001D3DFC" w:rsidRPr="003303F8">
        <w:rPr>
          <w:sz w:val="24"/>
          <w:szCs w:val="24"/>
        </w:rPr>
        <w:t>to</w:t>
      </w:r>
      <w:r w:rsidR="001D3DFC">
        <w:rPr>
          <w:sz w:val="24"/>
          <w:szCs w:val="24"/>
        </w:rPr>
        <w:t>-</w:t>
      </w:r>
      <w:r w:rsidR="00EA07C4" w:rsidRPr="003303F8">
        <w:rPr>
          <w:sz w:val="24"/>
          <w:szCs w:val="24"/>
        </w:rPr>
        <w:t xml:space="preserve">price </w:t>
      </w:r>
      <w:r w:rsidRPr="003303F8">
        <w:rPr>
          <w:sz w:val="24"/>
          <w:szCs w:val="24"/>
        </w:rPr>
        <w:t>ratio in Panel B)</w:t>
      </w:r>
      <w:r w:rsidRPr="003303F8">
        <w:rPr>
          <w:bCs/>
          <w:sz w:val="24"/>
          <w:szCs w:val="24"/>
        </w:rPr>
        <w:t>.</w:t>
      </w:r>
      <w:r w:rsidR="00A75BE4" w:rsidRPr="003303F8">
        <w:rPr>
          <w:bCs/>
          <w:sz w:val="24"/>
          <w:szCs w:val="24"/>
        </w:rPr>
        <w:br w:type="page"/>
      </w:r>
    </w:p>
    <w:p w:rsidR="009F40D4" w:rsidRPr="003303F8" w:rsidRDefault="009F40D4" w:rsidP="0055080D">
      <w:pPr>
        <w:rPr>
          <w:bCs/>
          <w:sz w:val="24"/>
          <w:szCs w:val="24"/>
        </w:rPr>
        <w:sectPr w:rsidR="009F40D4" w:rsidRPr="003303F8" w:rsidSect="00931FD3">
          <w:pgSz w:w="11907" w:h="16839" w:code="9"/>
          <w:pgMar w:top="1440" w:right="1440" w:bottom="1440" w:left="2304" w:header="0" w:footer="720" w:gutter="0"/>
          <w:cols w:space="720"/>
          <w:noEndnote/>
          <w:docGrid w:linePitch="360"/>
        </w:sectPr>
      </w:pPr>
    </w:p>
    <w:tbl>
      <w:tblPr>
        <w:tblW w:w="8284" w:type="dxa"/>
        <w:jc w:val="center"/>
        <w:tblInd w:w="3258" w:type="dxa"/>
        <w:tblLook w:val="04A0" w:firstRow="1" w:lastRow="0" w:firstColumn="1" w:lastColumn="0" w:noHBand="0" w:noVBand="1"/>
      </w:tblPr>
      <w:tblGrid>
        <w:gridCol w:w="3510"/>
        <w:gridCol w:w="1350"/>
        <w:gridCol w:w="1620"/>
        <w:gridCol w:w="1804"/>
      </w:tblGrid>
      <w:tr w:rsidR="00442C8F" w:rsidRPr="00FC5498" w:rsidTr="00931FD3">
        <w:trPr>
          <w:trHeight w:val="220"/>
          <w:jc w:val="center"/>
        </w:trPr>
        <w:tc>
          <w:tcPr>
            <w:tcW w:w="8284" w:type="dxa"/>
            <w:gridSpan w:val="4"/>
            <w:tcBorders>
              <w:top w:val="nil"/>
              <w:left w:val="nil"/>
              <w:right w:val="nil"/>
            </w:tcBorders>
            <w:shd w:val="clear" w:color="auto" w:fill="auto"/>
            <w:noWrap/>
            <w:vAlign w:val="bottom"/>
            <w:hideMark/>
          </w:tcPr>
          <w:p w:rsidR="00442C8F" w:rsidRPr="00931FD3" w:rsidRDefault="00442C8F" w:rsidP="00931FD3">
            <w:pPr>
              <w:pStyle w:val="Heading4"/>
            </w:pPr>
            <w:bookmarkStart w:id="203" w:name="_Toc378088381"/>
            <w:bookmarkStart w:id="204" w:name="_Toc378088906"/>
            <w:bookmarkStart w:id="205" w:name="OLE_LINK1"/>
            <w:r w:rsidRPr="00931FD3">
              <w:lastRenderedPageBreak/>
              <w:t>Table 1</w:t>
            </w:r>
            <w:bookmarkEnd w:id="203"/>
            <w:bookmarkEnd w:id="204"/>
          </w:p>
          <w:p w:rsidR="0046713E" w:rsidRPr="00931FD3" w:rsidRDefault="0046713E" w:rsidP="00931FD3">
            <w:pPr>
              <w:pStyle w:val="Heading4"/>
              <w:rPr>
                <w:b w:val="0"/>
              </w:rPr>
            </w:pPr>
            <w:bookmarkStart w:id="206" w:name="_Toc378088382"/>
            <w:bookmarkStart w:id="207" w:name="_Toc378088907"/>
            <w:r w:rsidRPr="00931FD3">
              <w:t>Sample Selection</w:t>
            </w:r>
            <w:bookmarkEnd w:id="206"/>
            <w:bookmarkEnd w:id="207"/>
          </w:p>
        </w:tc>
      </w:tr>
      <w:tr w:rsidR="00AC2D60" w:rsidRPr="00C8676B" w:rsidTr="00931FD3">
        <w:trPr>
          <w:trHeight w:val="453"/>
          <w:jc w:val="center"/>
        </w:trPr>
        <w:tc>
          <w:tcPr>
            <w:tcW w:w="3510" w:type="dxa"/>
            <w:tcBorders>
              <w:top w:val="single" w:sz="4" w:space="0" w:color="auto"/>
              <w:left w:val="nil"/>
              <w:bottom w:val="nil"/>
              <w:right w:val="nil"/>
            </w:tcBorders>
            <w:shd w:val="clear" w:color="auto" w:fill="auto"/>
            <w:hideMark/>
          </w:tcPr>
          <w:p w:rsidR="00742ADD" w:rsidRPr="00C8676B" w:rsidRDefault="00742ADD">
            <w:pPr>
              <w:widowControl/>
              <w:overflowPunct/>
              <w:autoSpaceDE/>
              <w:autoSpaceDN/>
              <w:adjustRightInd/>
              <w:jc w:val="center"/>
              <w:rPr>
                <w:rFonts w:eastAsia="Times New Roman"/>
                <w:color w:val="000000"/>
                <w:kern w:val="0"/>
                <w:lang w:eastAsia="en-US"/>
              </w:rPr>
            </w:pPr>
          </w:p>
        </w:tc>
        <w:tc>
          <w:tcPr>
            <w:tcW w:w="1350" w:type="dxa"/>
            <w:tcBorders>
              <w:top w:val="single" w:sz="4" w:space="0" w:color="auto"/>
              <w:left w:val="nil"/>
              <w:bottom w:val="nil"/>
              <w:right w:val="nil"/>
            </w:tcBorders>
            <w:shd w:val="clear" w:color="auto" w:fill="auto"/>
            <w:hideMark/>
          </w:tcPr>
          <w:p w:rsidR="00742ADD" w:rsidRPr="00C8676B" w:rsidRDefault="00742ADD">
            <w:pPr>
              <w:widowControl/>
              <w:overflowPunct/>
              <w:autoSpaceDE/>
              <w:autoSpaceDN/>
              <w:adjustRightInd/>
              <w:jc w:val="center"/>
              <w:rPr>
                <w:rFonts w:eastAsia="Times New Roman"/>
                <w:color w:val="000000"/>
                <w:kern w:val="0"/>
                <w:lang w:eastAsia="en-US"/>
              </w:rPr>
            </w:pPr>
            <w:r w:rsidRPr="00C8676B">
              <w:rPr>
                <w:rFonts w:eastAsia="Times New Roman"/>
                <w:color w:val="000000"/>
                <w:kern w:val="0"/>
                <w:lang w:eastAsia="en-US"/>
              </w:rPr>
              <w:t>Market Risk Factor Test</w:t>
            </w:r>
          </w:p>
        </w:tc>
        <w:tc>
          <w:tcPr>
            <w:tcW w:w="1620" w:type="dxa"/>
            <w:tcBorders>
              <w:top w:val="single" w:sz="4" w:space="0" w:color="auto"/>
              <w:left w:val="nil"/>
              <w:bottom w:val="nil"/>
              <w:right w:val="nil"/>
            </w:tcBorders>
            <w:shd w:val="clear" w:color="auto" w:fill="auto"/>
          </w:tcPr>
          <w:p w:rsidR="00742ADD" w:rsidRPr="00C8676B" w:rsidRDefault="00742ADD">
            <w:pPr>
              <w:widowControl/>
              <w:overflowPunct/>
              <w:autoSpaceDE/>
              <w:autoSpaceDN/>
              <w:adjustRightInd/>
              <w:jc w:val="center"/>
              <w:rPr>
                <w:rFonts w:eastAsia="Times New Roman"/>
                <w:color w:val="000000"/>
                <w:kern w:val="0"/>
                <w:lang w:eastAsia="en-US"/>
              </w:rPr>
            </w:pPr>
            <w:r w:rsidRPr="00C8676B">
              <w:rPr>
                <w:rFonts w:eastAsia="Times New Roman"/>
                <w:color w:val="000000"/>
                <w:kern w:val="0"/>
                <w:lang w:eastAsia="en-US"/>
              </w:rPr>
              <w:t>Implied Cost of Equity Test</w:t>
            </w:r>
          </w:p>
        </w:tc>
        <w:tc>
          <w:tcPr>
            <w:tcW w:w="1804" w:type="dxa"/>
            <w:tcBorders>
              <w:top w:val="single" w:sz="4" w:space="0" w:color="auto"/>
              <w:left w:val="nil"/>
              <w:bottom w:val="nil"/>
              <w:right w:val="nil"/>
            </w:tcBorders>
            <w:shd w:val="clear" w:color="auto" w:fill="auto"/>
          </w:tcPr>
          <w:p w:rsidR="00742ADD" w:rsidRPr="00C8676B" w:rsidRDefault="00742ADD">
            <w:pPr>
              <w:widowControl/>
              <w:overflowPunct/>
              <w:autoSpaceDE/>
              <w:autoSpaceDN/>
              <w:adjustRightInd/>
              <w:jc w:val="center"/>
              <w:rPr>
                <w:rFonts w:eastAsia="Times New Roman"/>
                <w:color w:val="000000"/>
                <w:kern w:val="0"/>
                <w:lang w:eastAsia="en-US"/>
              </w:rPr>
            </w:pPr>
            <w:r w:rsidRPr="00C8676B">
              <w:rPr>
                <w:rFonts w:eastAsia="Times New Roman"/>
                <w:color w:val="000000"/>
                <w:kern w:val="0"/>
                <w:lang w:eastAsia="en-US"/>
              </w:rPr>
              <w:t>Industry</w:t>
            </w:r>
            <w:r w:rsidR="001D3DFC">
              <w:rPr>
                <w:rFonts w:eastAsia="Times New Roman"/>
                <w:color w:val="000000"/>
                <w:kern w:val="0"/>
                <w:lang w:eastAsia="en-US"/>
              </w:rPr>
              <w:t>-</w:t>
            </w:r>
            <w:r w:rsidRPr="00C8676B">
              <w:rPr>
                <w:rFonts w:eastAsia="Times New Roman"/>
                <w:color w:val="000000"/>
                <w:kern w:val="0"/>
                <w:lang w:eastAsia="en-US"/>
              </w:rPr>
              <w:t>Adjusted Earnings</w:t>
            </w:r>
            <w:r>
              <w:rPr>
                <w:rFonts w:eastAsia="Times New Roman"/>
                <w:color w:val="000000"/>
                <w:kern w:val="0"/>
                <w:lang w:eastAsia="en-US"/>
              </w:rPr>
              <w:t>-</w:t>
            </w:r>
            <w:r w:rsidRPr="00C8676B">
              <w:rPr>
                <w:rFonts w:eastAsia="Times New Roman"/>
                <w:color w:val="000000"/>
                <w:kern w:val="0"/>
                <w:lang w:eastAsia="en-US"/>
              </w:rPr>
              <w:t>Price Ratio Test</w:t>
            </w:r>
          </w:p>
        </w:tc>
      </w:tr>
      <w:tr w:rsidR="00AC2D60" w:rsidRPr="00C8676B" w:rsidTr="00931FD3">
        <w:trPr>
          <w:trHeight w:val="123"/>
          <w:jc w:val="center"/>
        </w:trPr>
        <w:tc>
          <w:tcPr>
            <w:tcW w:w="3510" w:type="dxa"/>
            <w:tcBorders>
              <w:top w:val="nil"/>
              <w:left w:val="nil"/>
              <w:bottom w:val="single" w:sz="4" w:space="0" w:color="auto"/>
              <w:right w:val="nil"/>
            </w:tcBorders>
            <w:shd w:val="clear" w:color="auto" w:fill="auto"/>
            <w:noWrap/>
            <w:vAlign w:val="bottom"/>
            <w:hideMark/>
          </w:tcPr>
          <w:p w:rsidR="00742ADD" w:rsidRPr="00C8676B" w:rsidRDefault="00742ADD" w:rsidP="00931FD3">
            <w:pPr>
              <w:widowControl/>
              <w:overflowPunct/>
              <w:autoSpaceDE/>
              <w:autoSpaceDN/>
              <w:adjustRightInd/>
              <w:jc w:val="center"/>
              <w:rPr>
                <w:rFonts w:eastAsia="Times New Roman"/>
                <w:color w:val="000000"/>
                <w:kern w:val="0"/>
                <w:lang w:eastAsia="en-US"/>
              </w:rPr>
            </w:pPr>
          </w:p>
        </w:tc>
        <w:tc>
          <w:tcPr>
            <w:tcW w:w="1350" w:type="dxa"/>
            <w:tcBorders>
              <w:top w:val="nil"/>
              <w:left w:val="nil"/>
              <w:bottom w:val="single" w:sz="4" w:space="0" w:color="auto"/>
              <w:right w:val="nil"/>
            </w:tcBorders>
            <w:shd w:val="clear" w:color="auto" w:fill="auto"/>
            <w:noWrap/>
            <w:vAlign w:val="bottom"/>
            <w:hideMark/>
          </w:tcPr>
          <w:p w:rsidR="00742ADD" w:rsidRPr="00C8676B" w:rsidRDefault="00742ADD">
            <w:pPr>
              <w:widowControl/>
              <w:overflowPunct/>
              <w:autoSpaceDE/>
              <w:autoSpaceDN/>
              <w:adjustRightInd/>
              <w:jc w:val="center"/>
              <w:rPr>
                <w:rFonts w:eastAsia="Times New Roman"/>
                <w:color w:val="000000"/>
                <w:kern w:val="0"/>
                <w:lang w:eastAsia="en-US"/>
              </w:rPr>
            </w:pPr>
            <w:r w:rsidRPr="00C8676B">
              <w:rPr>
                <w:rFonts w:eastAsia="Times New Roman"/>
                <w:color w:val="000000"/>
                <w:kern w:val="0"/>
                <w:lang w:eastAsia="en-US"/>
              </w:rPr>
              <w:t>(Firm-month)</w:t>
            </w:r>
          </w:p>
        </w:tc>
        <w:tc>
          <w:tcPr>
            <w:tcW w:w="1620" w:type="dxa"/>
            <w:tcBorders>
              <w:top w:val="nil"/>
              <w:left w:val="nil"/>
              <w:bottom w:val="single" w:sz="4" w:space="0" w:color="auto"/>
              <w:right w:val="nil"/>
            </w:tcBorders>
            <w:shd w:val="clear" w:color="auto" w:fill="auto"/>
            <w:noWrap/>
            <w:vAlign w:val="bottom"/>
          </w:tcPr>
          <w:p w:rsidR="00742ADD" w:rsidRPr="00C8676B" w:rsidRDefault="00742ADD">
            <w:pPr>
              <w:widowControl/>
              <w:overflowPunct/>
              <w:autoSpaceDE/>
              <w:autoSpaceDN/>
              <w:adjustRightInd/>
              <w:jc w:val="center"/>
              <w:rPr>
                <w:rFonts w:eastAsia="Times New Roman"/>
                <w:color w:val="000000"/>
                <w:kern w:val="0"/>
                <w:lang w:eastAsia="en-US"/>
              </w:rPr>
            </w:pPr>
            <w:r w:rsidRPr="00C8676B">
              <w:rPr>
                <w:rFonts w:eastAsia="Times New Roman"/>
                <w:color w:val="000000"/>
                <w:kern w:val="0"/>
                <w:lang w:eastAsia="en-US"/>
              </w:rPr>
              <w:t>(Firm-year)</w:t>
            </w:r>
          </w:p>
        </w:tc>
        <w:tc>
          <w:tcPr>
            <w:tcW w:w="1804" w:type="dxa"/>
            <w:tcBorders>
              <w:top w:val="nil"/>
              <w:left w:val="nil"/>
              <w:bottom w:val="single" w:sz="4" w:space="0" w:color="auto"/>
              <w:right w:val="nil"/>
            </w:tcBorders>
            <w:shd w:val="clear" w:color="auto" w:fill="auto"/>
            <w:noWrap/>
            <w:vAlign w:val="bottom"/>
          </w:tcPr>
          <w:p w:rsidR="00742ADD" w:rsidRPr="00C8676B" w:rsidRDefault="00742ADD">
            <w:pPr>
              <w:widowControl/>
              <w:overflowPunct/>
              <w:autoSpaceDE/>
              <w:autoSpaceDN/>
              <w:adjustRightInd/>
              <w:jc w:val="center"/>
              <w:rPr>
                <w:rFonts w:eastAsia="Times New Roman"/>
                <w:color w:val="000000"/>
                <w:kern w:val="0"/>
                <w:lang w:eastAsia="en-US"/>
              </w:rPr>
            </w:pPr>
            <w:r w:rsidRPr="00C8676B">
              <w:rPr>
                <w:rFonts w:eastAsia="Times New Roman"/>
                <w:color w:val="000000"/>
                <w:kern w:val="0"/>
                <w:lang w:eastAsia="en-US"/>
              </w:rPr>
              <w:t>(Firm-year)</w:t>
            </w:r>
          </w:p>
        </w:tc>
      </w:tr>
      <w:tr w:rsidR="00AC2D60" w:rsidRPr="00C8676B" w:rsidTr="00931FD3">
        <w:trPr>
          <w:trHeight w:val="190"/>
          <w:jc w:val="center"/>
        </w:trPr>
        <w:tc>
          <w:tcPr>
            <w:tcW w:w="3510" w:type="dxa"/>
            <w:tcBorders>
              <w:top w:val="nil"/>
              <w:left w:val="nil"/>
              <w:bottom w:val="nil"/>
              <w:right w:val="nil"/>
            </w:tcBorders>
            <w:shd w:val="clear" w:color="auto" w:fill="auto"/>
            <w:hideMark/>
          </w:tcPr>
          <w:p w:rsidR="00742ADD" w:rsidRPr="00C8676B" w:rsidRDefault="00742ADD">
            <w:pPr>
              <w:widowControl/>
              <w:overflowPunct/>
              <w:autoSpaceDE/>
              <w:autoSpaceDN/>
              <w:adjustRightInd/>
              <w:rPr>
                <w:rFonts w:eastAsia="Times New Roman"/>
                <w:color w:val="000000"/>
                <w:kern w:val="0"/>
                <w:lang w:eastAsia="en-US"/>
              </w:rPr>
            </w:pPr>
            <w:r w:rsidRPr="00C8676B">
              <w:rPr>
                <w:rFonts w:eastAsia="Times New Roman"/>
                <w:color w:val="000000"/>
                <w:kern w:val="0"/>
                <w:lang w:eastAsia="en-US"/>
              </w:rPr>
              <w:t xml:space="preserve">Number of observations in </w:t>
            </w:r>
            <w:r w:rsidRPr="00C8676B">
              <w:rPr>
                <w:rFonts w:eastAsia="Times New Roman"/>
                <w:i/>
                <w:color w:val="000000"/>
                <w:kern w:val="0"/>
                <w:lang w:eastAsia="en-US"/>
              </w:rPr>
              <w:t>Compustat</w:t>
            </w:r>
            <w:r w:rsidRPr="00C8676B">
              <w:rPr>
                <w:rFonts w:eastAsia="Times New Roman"/>
                <w:color w:val="000000"/>
                <w:kern w:val="0"/>
                <w:lang w:eastAsia="en-US"/>
              </w:rPr>
              <w:t xml:space="preserve"> from 1994 to 2010</w:t>
            </w:r>
          </w:p>
        </w:tc>
        <w:tc>
          <w:tcPr>
            <w:tcW w:w="1350" w:type="dxa"/>
            <w:tcBorders>
              <w:top w:val="nil"/>
              <w:left w:val="nil"/>
              <w:bottom w:val="nil"/>
              <w:right w:val="nil"/>
            </w:tcBorders>
            <w:shd w:val="clear" w:color="auto" w:fill="auto"/>
            <w:noWrap/>
            <w:hideMark/>
          </w:tcPr>
          <w:p w:rsidR="00742ADD" w:rsidRPr="00C8676B" w:rsidRDefault="00742ADD">
            <w:pPr>
              <w:jc w:val="center"/>
              <w:rPr>
                <w:rFonts w:eastAsia="Times New Roman"/>
              </w:rPr>
            </w:pPr>
            <w:r w:rsidRPr="00C8676B">
              <w:rPr>
                <w:rFonts w:eastAsia="Times New Roman"/>
              </w:rPr>
              <w:t>2,364,624</w:t>
            </w:r>
          </w:p>
        </w:tc>
        <w:tc>
          <w:tcPr>
            <w:tcW w:w="1620" w:type="dxa"/>
            <w:tcBorders>
              <w:top w:val="nil"/>
              <w:left w:val="nil"/>
              <w:bottom w:val="nil"/>
              <w:right w:val="nil"/>
            </w:tcBorders>
            <w:shd w:val="clear" w:color="auto" w:fill="auto"/>
            <w:noWrap/>
          </w:tcPr>
          <w:p w:rsidR="00742ADD" w:rsidRPr="00C8676B" w:rsidRDefault="00742ADD">
            <w:pPr>
              <w:jc w:val="center"/>
              <w:rPr>
                <w:rFonts w:eastAsia="Times New Roman"/>
              </w:rPr>
            </w:pPr>
            <w:r w:rsidRPr="00C8676B">
              <w:rPr>
                <w:rFonts w:eastAsia="Times New Roman"/>
              </w:rPr>
              <w:t>197,052</w:t>
            </w:r>
          </w:p>
        </w:tc>
        <w:tc>
          <w:tcPr>
            <w:tcW w:w="1804" w:type="dxa"/>
            <w:tcBorders>
              <w:top w:val="nil"/>
              <w:left w:val="nil"/>
              <w:bottom w:val="nil"/>
              <w:right w:val="nil"/>
            </w:tcBorders>
            <w:shd w:val="clear" w:color="auto" w:fill="auto"/>
          </w:tcPr>
          <w:p w:rsidR="00742ADD" w:rsidRPr="00C8676B" w:rsidRDefault="00742ADD">
            <w:pPr>
              <w:jc w:val="center"/>
              <w:rPr>
                <w:rFonts w:eastAsia="Times New Roman"/>
              </w:rPr>
            </w:pPr>
            <w:r w:rsidRPr="00C8676B">
              <w:rPr>
                <w:rFonts w:eastAsia="Times New Roman"/>
              </w:rPr>
              <w:t>197,052</w:t>
            </w:r>
          </w:p>
        </w:tc>
      </w:tr>
      <w:tr w:rsidR="00AC2D60" w:rsidRPr="00C8676B" w:rsidTr="00931FD3">
        <w:trPr>
          <w:trHeight w:val="251"/>
          <w:jc w:val="center"/>
        </w:trPr>
        <w:tc>
          <w:tcPr>
            <w:tcW w:w="3510" w:type="dxa"/>
            <w:tcBorders>
              <w:top w:val="nil"/>
              <w:left w:val="nil"/>
              <w:bottom w:val="nil"/>
              <w:right w:val="nil"/>
            </w:tcBorders>
            <w:shd w:val="clear" w:color="auto" w:fill="auto"/>
            <w:vAlign w:val="bottom"/>
            <w:hideMark/>
          </w:tcPr>
          <w:p w:rsidR="00742ADD" w:rsidRPr="00C8676B" w:rsidRDefault="00742ADD" w:rsidP="00931FD3">
            <w:pPr>
              <w:widowControl/>
              <w:overflowPunct/>
              <w:autoSpaceDE/>
              <w:autoSpaceDN/>
              <w:adjustRightInd/>
              <w:ind w:leftChars="83" w:left="526" w:hangingChars="180" w:hanging="360"/>
              <w:rPr>
                <w:rFonts w:eastAsia="Times New Roman"/>
                <w:color w:val="000000"/>
                <w:kern w:val="0"/>
                <w:lang w:eastAsia="en-US"/>
              </w:rPr>
            </w:pPr>
            <w:r w:rsidRPr="00C8676B">
              <w:rPr>
                <w:rFonts w:eastAsia="Times New Roman"/>
                <w:color w:val="000000"/>
                <w:kern w:val="0"/>
                <w:lang w:eastAsia="en-US"/>
              </w:rPr>
              <w:t xml:space="preserve">Less: </w:t>
            </w:r>
            <w:r>
              <w:rPr>
                <w:rFonts w:eastAsia="Times New Roman"/>
                <w:color w:val="000000"/>
                <w:kern w:val="0"/>
                <w:lang w:eastAsia="en-US"/>
              </w:rPr>
              <w:t xml:space="preserve"> Observations </w:t>
            </w:r>
            <w:r w:rsidRPr="00C8676B">
              <w:rPr>
                <w:rFonts w:eastAsia="Times New Roman"/>
                <w:color w:val="000000"/>
                <w:kern w:val="0"/>
                <w:lang w:eastAsia="en-US"/>
              </w:rPr>
              <w:t xml:space="preserve">with no </w:t>
            </w:r>
            <w:r>
              <w:rPr>
                <w:rFonts w:eastAsia="Times New Roman"/>
                <w:color w:val="000000"/>
                <w:kern w:val="0"/>
                <w:lang w:eastAsia="en-US"/>
              </w:rPr>
              <w:t xml:space="preserve">one-year ahead </w:t>
            </w:r>
            <w:r w:rsidRPr="00C8676B">
              <w:rPr>
                <w:rFonts w:eastAsia="Times New Roman"/>
                <w:color w:val="000000"/>
                <w:kern w:val="0"/>
                <w:lang w:eastAsia="en-US"/>
              </w:rPr>
              <w:t>stock return</w:t>
            </w:r>
          </w:p>
        </w:tc>
        <w:tc>
          <w:tcPr>
            <w:tcW w:w="1350" w:type="dxa"/>
            <w:tcBorders>
              <w:top w:val="nil"/>
              <w:left w:val="nil"/>
              <w:bottom w:val="nil"/>
              <w:right w:val="nil"/>
            </w:tcBorders>
            <w:shd w:val="clear" w:color="auto" w:fill="auto"/>
            <w:noWrap/>
            <w:vAlign w:val="bottom"/>
            <w:hideMark/>
          </w:tcPr>
          <w:p w:rsidR="00742ADD" w:rsidRPr="00C8676B" w:rsidRDefault="00742ADD">
            <w:pPr>
              <w:jc w:val="center"/>
              <w:rPr>
                <w:rFonts w:eastAsia="Times New Roman"/>
              </w:rPr>
            </w:pPr>
            <w:r w:rsidRPr="00C8676B">
              <w:rPr>
                <w:rFonts w:eastAsia="Times New Roman"/>
              </w:rPr>
              <w:t>1,386,076</w:t>
            </w:r>
          </w:p>
        </w:tc>
        <w:tc>
          <w:tcPr>
            <w:tcW w:w="1620" w:type="dxa"/>
            <w:tcBorders>
              <w:top w:val="nil"/>
              <w:left w:val="nil"/>
              <w:bottom w:val="nil"/>
              <w:right w:val="nil"/>
            </w:tcBorders>
            <w:shd w:val="clear" w:color="auto" w:fill="auto"/>
            <w:noWrap/>
            <w:vAlign w:val="bottom"/>
          </w:tcPr>
          <w:p w:rsidR="00742ADD" w:rsidRPr="00C8676B" w:rsidRDefault="00742ADD">
            <w:pPr>
              <w:jc w:val="center"/>
              <w:rPr>
                <w:rFonts w:eastAsia="Times New Roman"/>
              </w:rPr>
            </w:pPr>
          </w:p>
        </w:tc>
        <w:tc>
          <w:tcPr>
            <w:tcW w:w="1804" w:type="dxa"/>
            <w:tcBorders>
              <w:top w:val="nil"/>
              <w:left w:val="nil"/>
              <w:bottom w:val="nil"/>
              <w:right w:val="nil"/>
            </w:tcBorders>
            <w:shd w:val="clear" w:color="auto" w:fill="auto"/>
            <w:noWrap/>
            <w:vAlign w:val="bottom"/>
          </w:tcPr>
          <w:p w:rsidR="00742ADD" w:rsidRPr="00C8676B" w:rsidRDefault="00742ADD">
            <w:pPr>
              <w:jc w:val="center"/>
              <w:rPr>
                <w:rFonts w:eastAsia="Times New Roman"/>
              </w:rPr>
            </w:pPr>
          </w:p>
        </w:tc>
      </w:tr>
      <w:tr w:rsidR="00AC2D60" w:rsidRPr="00C8676B" w:rsidTr="00931FD3">
        <w:trPr>
          <w:trHeight w:val="162"/>
          <w:jc w:val="center"/>
        </w:trPr>
        <w:tc>
          <w:tcPr>
            <w:tcW w:w="3510" w:type="dxa"/>
            <w:tcBorders>
              <w:top w:val="nil"/>
              <w:left w:val="nil"/>
              <w:bottom w:val="nil"/>
              <w:right w:val="nil"/>
            </w:tcBorders>
            <w:shd w:val="clear" w:color="auto" w:fill="auto"/>
            <w:vAlign w:val="bottom"/>
            <w:hideMark/>
          </w:tcPr>
          <w:p w:rsidR="00742ADD" w:rsidRPr="00C8676B" w:rsidRDefault="004C57FA" w:rsidP="00931FD3">
            <w:pPr>
              <w:widowControl/>
              <w:overflowPunct/>
              <w:autoSpaceDE/>
              <w:autoSpaceDN/>
              <w:adjustRightInd/>
              <w:ind w:leftChars="263" w:left="526"/>
              <w:rPr>
                <w:rFonts w:eastAsia="Times New Roman"/>
                <w:color w:val="000000"/>
                <w:kern w:val="0"/>
                <w:lang w:eastAsia="en-US"/>
              </w:rPr>
            </w:pPr>
            <w:r>
              <w:rPr>
                <w:rFonts w:eastAsia="Times New Roman"/>
                <w:color w:val="000000"/>
                <w:kern w:val="0"/>
                <w:lang w:eastAsia="en-US"/>
              </w:rPr>
              <w:t xml:space="preserve">Observations with no data to calculate </w:t>
            </w:r>
            <w:r w:rsidR="00742ADD">
              <w:rPr>
                <w:rFonts w:eastAsia="Times New Roman"/>
                <w:color w:val="000000"/>
                <w:kern w:val="0"/>
                <w:lang w:eastAsia="en-US"/>
              </w:rPr>
              <w:t>the implied</w:t>
            </w:r>
            <w:r w:rsidR="00742ADD" w:rsidRPr="00C8676B">
              <w:rPr>
                <w:rFonts w:eastAsia="Times New Roman"/>
                <w:color w:val="000000"/>
                <w:kern w:val="0"/>
                <w:lang w:eastAsia="en-US"/>
              </w:rPr>
              <w:t xml:space="preserve"> cost of equity</w:t>
            </w:r>
          </w:p>
        </w:tc>
        <w:tc>
          <w:tcPr>
            <w:tcW w:w="1350" w:type="dxa"/>
            <w:tcBorders>
              <w:top w:val="nil"/>
              <w:left w:val="nil"/>
              <w:bottom w:val="nil"/>
              <w:right w:val="nil"/>
            </w:tcBorders>
            <w:shd w:val="clear" w:color="auto" w:fill="auto"/>
            <w:noWrap/>
            <w:vAlign w:val="bottom"/>
            <w:hideMark/>
          </w:tcPr>
          <w:p w:rsidR="00742ADD" w:rsidRPr="00C8676B" w:rsidRDefault="00742ADD">
            <w:pPr>
              <w:jc w:val="center"/>
              <w:rPr>
                <w:rFonts w:eastAsia="Times New Roman"/>
              </w:rPr>
            </w:pPr>
          </w:p>
        </w:tc>
        <w:tc>
          <w:tcPr>
            <w:tcW w:w="1620" w:type="dxa"/>
            <w:tcBorders>
              <w:top w:val="nil"/>
              <w:left w:val="nil"/>
              <w:bottom w:val="nil"/>
              <w:right w:val="nil"/>
            </w:tcBorders>
            <w:shd w:val="clear" w:color="auto" w:fill="auto"/>
            <w:noWrap/>
            <w:vAlign w:val="bottom"/>
          </w:tcPr>
          <w:p w:rsidR="00742ADD" w:rsidRPr="00C8676B" w:rsidRDefault="0048729D">
            <w:pPr>
              <w:jc w:val="center"/>
              <w:rPr>
                <w:rFonts w:eastAsia="Times New Roman"/>
              </w:rPr>
            </w:pPr>
            <w:r>
              <w:rPr>
                <w:rFonts w:eastAsia="Times New Roman"/>
              </w:rPr>
              <w:t>166,983</w:t>
            </w:r>
          </w:p>
        </w:tc>
        <w:tc>
          <w:tcPr>
            <w:tcW w:w="1804" w:type="dxa"/>
            <w:tcBorders>
              <w:top w:val="nil"/>
              <w:left w:val="nil"/>
              <w:bottom w:val="nil"/>
              <w:right w:val="nil"/>
            </w:tcBorders>
            <w:shd w:val="clear" w:color="auto" w:fill="auto"/>
            <w:noWrap/>
            <w:vAlign w:val="bottom"/>
          </w:tcPr>
          <w:p w:rsidR="00742ADD" w:rsidRPr="00C8676B" w:rsidRDefault="00742ADD">
            <w:pPr>
              <w:jc w:val="center"/>
              <w:rPr>
                <w:rFonts w:eastAsia="Times New Roman"/>
              </w:rPr>
            </w:pPr>
          </w:p>
        </w:tc>
      </w:tr>
      <w:tr w:rsidR="00AC2D60" w:rsidRPr="00C8676B" w:rsidTr="00931FD3">
        <w:trPr>
          <w:trHeight w:val="189"/>
          <w:jc w:val="center"/>
        </w:trPr>
        <w:tc>
          <w:tcPr>
            <w:tcW w:w="3510" w:type="dxa"/>
            <w:tcBorders>
              <w:top w:val="nil"/>
              <w:left w:val="nil"/>
              <w:bottom w:val="nil"/>
              <w:right w:val="nil"/>
            </w:tcBorders>
            <w:shd w:val="clear" w:color="auto" w:fill="auto"/>
            <w:vAlign w:val="bottom"/>
            <w:hideMark/>
          </w:tcPr>
          <w:p w:rsidR="00742ADD" w:rsidRPr="00C8676B" w:rsidRDefault="00742ADD" w:rsidP="00931FD3">
            <w:pPr>
              <w:widowControl/>
              <w:overflowPunct/>
              <w:autoSpaceDE/>
              <w:autoSpaceDN/>
              <w:adjustRightInd/>
              <w:ind w:leftChars="263" w:left="526"/>
              <w:rPr>
                <w:rFonts w:eastAsia="Times New Roman"/>
                <w:color w:val="000000"/>
                <w:kern w:val="0"/>
                <w:lang w:eastAsia="en-US"/>
              </w:rPr>
            </w:pPr>
            <w:r w:rsidRPr="00C8676B">
              <w:rPr>
                <w:rFonts w:eastAsia="Times New Roman"/>
                <w:color w:val="000000"/>
                <w:kern w:val="0"/>
                <w:lang w:eastAsia="en-US"/>
              </w:rPr>
              <w:t>Observatio</w:t>
            </w:r>
            <w:r w:rsidR="004C57FA">
              <w:rPr>
                <w:rFonts w:eastAsia="Times New Roman"/>
                <w:color w:val="000000"/>
                <w:kern w:val="0"/>
                <w:lang w:eastAsia="en-US"/>
              </w:rPr>
              <w:t xml:space="preserve">ns with no </w:t>
            </w:r>
            <w:r>
              <w:rPr>
                <w:rFonts w:eastAsia="Times New Roman"/>
                <w:color w:val="000000"/>
                <w:kern w:val="0"/>
                <w:lang w:eastAsia="en-US"/>
              </w:rPr>
              <w:t>data to calculate earnings-</w:t>
            </w:r>
            <w:r w:rsidRPr="00C8676B">
              <w:rPr>
                <w:rFonts w:eastAsia="Times New Roman"/>
                <w:color w:val="000000"/>
                <w:kern w:val="0"/>
                <w:lang w:eastAsia="en-US"/>
              </w:rPr>
              <w:t xml:space="preserve">price ratio or  </w:t>
            </w:r>
            <w:r w:rsidR="00AC2D60">
              <w:rPr>
                <w:rFonts w:eastAsia="Times New Roman"/>
                <w:color w:val="000000"/>
                <w:kern w:val="0"/>
                <w:lang w:eastAsia="en-US"/>
              </w:rPr>
              <w:t>losses</w:t>
            </w:r>
          </w:p>
        </w:tc>
        <w:tc>
          <w:tcPr>
            <w:tcW w:w="1350" w:type="dxa"/>
            <w:tcBorders>
              <w:top w:val="nil"/>
              <w:left w:val="nil"/>
              <w:bottom w:val="nil"/>
              <w:right w:val="nil"/>
            </w:tcBorders>
            <w:shd w:val="clear" w:color="auto" w:fill="auto"/>
            <w:noWrap/>
            <w:vAlign w:val="bottom"/>
            <w:hideMark/>
          </w:tcPr>
          <w:p w:rsidR="00742ADD" w:rsidRPr="00C8676B" w:rsidRDefault="00742ADD">
            <w:pPr>
              <w:jc w:val="center"/>
              <w:rPr>
                <w:rFonts w:eastAsia="Times New Roman"/>
              </w:rPr>
            </w:pPr>
          </w:p>
        </w:tc>
        <w:tc>
          <w:tcPr>
            <w:tcW w:w="1620" w:type="dxa"/>
            <w:tcBorders>
              <w:top w:val="nil"/>
              <w:left w:val="nil"/>
              <w:bottom w:val="nil"/>
              <w:right w:val="nil"/>
            </w:tcBorders>
            <w:shd w:val="clear" w:color="auto" w:fill="auto"/>
            <w:noWrap/>
            <w:vAlign w:val="bottom"/>
          </w:tcPr>
          <w:p w:rsidR="00742ADD" w:rsidRPr="00C8676B" w:rsidRDefault="00742ADD">
            <w:pPr>
              <w:jc w:val="center"/>
              <w:rPr>
                <w:rFonts w:eastAsia="Times New Roman"/>
              </w:rPr>
            </w:pPr>
          </w:p>
        </w:tc>
        <w:tc>
          <w:tcPr>
            <w:tcW w:w="1804" w:type="dxa"/>
            <w:tcBorders>
              <w:top w:val="nil"/>
              <w:left w:val="nil"/>
              <w:bottom w:val="nil"/>
              <w:right w:val="nil"/>
            </w:tcBorders>
            <w:shd w:val="clear" w:color="auto" w:fill="auto"/>
            <w:noWrap/>
            <w:vAlign w:val="bottom"/>
          </w:tcPr>
          <w:p w:rsidR="00742ADD" w:rsidRPr="00C8676B" w:rsidRDefault="0048729D">
            <w:pPr>
              <w:jc w:val="center"/>
              <w:rPr>
                <w:rFonts w:eastAsia="Times New Roman"/>
              </w:rPr>
            </w:pPr>
            <w:r>
              <w:rPr>
                <w:rFonts w:eastAsia="Times New Roman"/>
              </w:rPr>
              <w:t>145,121</w:t>
            </w:r>
          </w:p>
        </w:tc>
      </w:tr>
      <w:tr w:rsidR="00AC2D60" w:rsidRPr="00C8676B" w:rsidTr="00931FD3">
        <w:trPr>
          <w:trHeight w:val="226"/>
          <w:jc w:val="center"/>
        </w:trPr>
        <w:tc>
          <w:tcPr>
            <w:tcW w:w="3510" w:type="dxa"/>
            <w:tcBorders>
              <w:top w:val="nil"/>
              <w:left w:val="nil"/>
              <w:right w:val="nil"/>
            </w:tcBorders>
            <w:shd w:val="clear" w:color="auto" w:fill="auto"/>
            <w:vAlign w:val="bottom"/>
            <w:hideMark/>
          </w:tcPr>
          <w:p w:rsidR="00742ADD" w:rsidRPr="00C8676B" w:rsidRDefault="00742ADD" w:rsidP="00931FD3">
            <w:pPr>
              <w:widowControl/>
              <w:overflowPunct/>
              <w:autoSpaceDE/>
              <w:autoSpaceDN/>
              <w:adjustRightInd/>
              <w:ind w:leftChars="263" w:left="526"/>
              <w:rPr>
                <w:rFonts w:eastAsia="Times New Roman"/>
                <w:color w:val="000000"/>
                <w:kern w:val="0"/>
                <w:lang w:eastAsia="en-US"/>
              </w:rPr>
            </w:pPr>
            <w:r>
              <w:rPr>
                <w:rFonts w:eastAsia="Times New Roman"/>
                <w:color w:val="000000"/>
                <w:kern w:val="0"/>
                <w:lang w:eastAsia="en-US"/>
              </w:rPr>
              <w:t xml:space="preserve">Observations </w:t>
            </w:r>
            <w:r w:rsidRPr="00C8676B">
              <w:rPr>
                <w:rFonts w:eastAsia="Times New Roman"/>
                <w:color w:val="000000"/>
                <w:kern w:val="0"/>
                <w:lang w:eastAsia="en-US"/>
              </w:rPr>
              <w:t>with no data to calculate earnings quality and peer firm earnings quality</w:t>
            </w:r>
          </w:p>
        </w:tc>
        <w:tc>
          <w:tcPr>
            <w:tcW w:w="1350" w:type="dxa"/>
            <w:tcBorders>
              <w:top w:val="nil"/>
              <w:left w:val="nil"/>
              <w:right w:val="nil"/>
            </w:tcBorders>
            <w:shd w:val="clear" w:color="auto" w:fill="auto"/>
            <w:noWrap/>
            <w:vAlign w:val="bottom"/>
            <w:hideMark/>
          </w:tcPr>
          <w:p w:rsidR="00742ADD" w:rsidRPr="00C8676B" w:rsidRDefault="00742ADD">
            <w:pPr>
              <w:jc w:val="center"/>
              <w:rPr>
                <w:rFonts w:eastAsia="Times New Roman"/>
              </w:rPr>
            </w:pPr>
            <w:r w:rsidRPr="00C8676B">
              <w:rPr>
                <w:rFonts w:eastAsia="Times New Roman"/>
              </w:rPr>
              <w:t>318,803</w:t>
            </w:r>
          </w:p>
        </w:tc>
        <w:tc>
          <w:tcPr>
            <w:tcW w:w="1620" w:type="dxa"/>
            <w:tcBorders>
              <w:top w:val="nil"/>
              <w:left w:val="nil"/>
              <w:right w:val="nil"/>
            </w:tcBorders>
            <w:shd w:val="clear" w:color="auto" w:fill="auto"/>
            <w:noWrap/>
            <w:vAlign w:val="bottom"/>
          </w:tcPr>
          <w:p w:rsidR="00742ADD" w:rsidRPr="00C8676B" w:rsidRDefault="0048729D">
            <w:pPr>
              <w:jc w:val="center"/>
              <w:rPr>
                <w:rFonts w:eastAsia="Times New Roman"/>
              </w:rPr>
            </w:pPr>
            <w:r>
              <w:rPr>
                <w:rFonts w:eastAsia="Times New Roman"/>
              </w:rPr>
              <w:t>4,476</w:t>
            </w:r>
          </w:p>
        </w:tc>
        <w:tc>
          <w:tcPr>
            <w:tcW w:w="1804" w:type="dxa"/>
            <w:tcBorders>
              <w:top w:val="nil"/>
              <w:left w:val="nil"/>
              <w:right w:val="nil"/>
            </w:tcBorders>
            <w:shd w:val="clear" w:color="auto" w:fill="auto"/>
            <w:noWrap/>
            <w:vAlign w:val="bottom"/>
          </w:tcPr>
          <w:p w:rsidR="00742ADD" w:rsidRPr="00C8676B" w:rsidRDefault="0048729D">
            <w:pPr>
              <w:jc w:val="center"/>
              <w:rPr>
                <w:rFonts w:eastAsia="Times New Roman"/>
              </w:rPr>
            </w:pPr>
            <w:r>
              <w:rPr>
                <w:rFonts w:eastAsia="Times New Roman"/>
              </w:rPr>
              <w:t>8,679</w:t>
            </w:r>
          </w:p>
        </w:tc>
      </w:tr>
      <w:tr w:rsidR="00AC2D60" w:rsidRPr="00C8676B" w:rsidTr="00931FD3">
        <w:trPr>
          <w:trHeight w:val="220"/>
          <w:jc w:val="center"/>
        </w:trPr>
        <w:tc>
          <w:tcPr>
            <w:tcW w:w="3510" w:type="dxa"/>
            <w:tcBorders>
              <w:top w:val="nil"/>
              <w:left w:val="nil"/>
              <w:right w:val="nil"/>
            </w:tcBorders>
            <w:shd w:val="clear" w:color="auto" w:fill="auto"/>
            <w:vAlign w:val="bottom"/>
            <w:hideMark/>
          </w:tcPr>
          <w:p w:rsidR="00742ADD" w:rsidRPr="00C8676B" w:rsidRDefault="00742ADD" w:rsidP="00931FD3">
            <w:pPr>
              <w:widowControl/>
              <w:overflowPunct/>
              <w:autoSpaceDE/>
              <w:autoSpaceDN/>
              <w:adjustRightInd/>
              <w:ind w:leftChars="263" w:left="526"/>
              <w:rPr>
                <w:rFonts w:eastAsia="Times New Roman"/>
                <w:color w:val="000000"/>
                <w:kern w:val="0"/>
                <w:lang w:eastAsia="en-US"/>
              </w:rPr>
            </w:pPr>
            <w:r w:rsidRPr="00C8676B">
              <w:rPr>
                <w:rFonts w:eastAsia="Times New Roman"/>
                <w:color w:val="000000"/>
                <w:kern w:val="0"/>
                <w:lang w:eastAsia="en-US"/>
              </w:rPr>
              <w:t>Observations with no data to calculate other variables</w:t>
            </w:r>
          </w:p>
        </w:tc>
        <w:tc>
          <w:tcPr>
            <w:tcW w:w="1350" w:type="dxa"/>
            <w:tcBorders>
              <w:top w:val="nil"/>
              <w:left w:val="nil"/>
              <w:right w:val="nil"/>
            </w:tcBorders>
            <w:shd w:val="clear" w:color="auto" w:fill="auto"/>
            <w:noWrap/>
            <w:vAlign w:val="bottom"/>
            <w:hideMark/>
          </w:tcPr>
          <w:p w:rsidR="00742ADD" w:rsidRPr="00C8676B" w:rsidRDefault="00742ADD">
            <w:pPr>
              <w:jc w:val="center"/>
              <w:rPr>
                <w:rFonts w:eastAsia="Times New Roman"/>
              </w:rPr>
            </w:pPr>
            <w:r w:rsidRPr="00C8676B">
              <w:rPr>
                <w:rFonts w:eastAsia="Times New Roman"/>
              </w:rPr>
              <w:t>66,017</w:t>
            </w:r>
          </w:p>
        </w:tc>
        <w:tc>
          <w:tcPr>
            <w:tcW w:w="1620" w:type="dxa"/>
            <w:tcBorders>
              <w:top w:val="nil"/>
              <w:left w:val="nil"/>
              <w:right w:val="nil"/>
            </w:tcBorders>
            <w:shd w:val="clear" w:color="auto" w:fill="auto"/>
            <w:noWrap/>
            <w:vAlign w:val="bottom"/>
          </w:tcPr>
          <w:p w:rsidR="00742ADD" w:rsidRPr="00C8676B" w:rsidRDefault="0048729D">
            <w:pPr>
              <w:jc w:val="center"/>
              <w:rPr>
                <w:rFonts w:eastAsia="Times New Roman"/>
              </w:rPr>
            </w:pPr>
            <w:r>
              <w:rPr>
                <w:rFonts w:eastAsia="Times New Roman"/>
              </w:rPr>
              <w:t>2,576</w:t>
            </w:r>
          </w:p>
        </w:tc>
        <w:tc>
          <w:tcPr>
            <w:tcW w:w="1804" w:type="dxa"/>
            <w:tcBorders>
              <w:top w:val="nil"/>
              <w:left w:val="nil"/>
              <w:right w:val="nil"/>
            </w:tcBorders>
            <w:shd w:val="clear" w:color="auto" w:fill="auto"/>
            <w:noWrap/>
            <w:vAlign w:val="bottom"/>
          </w:tcPr>
          <w:p w:rsidR="00742ADD" w:rsidRPr="00C8676B" w:rsidRDefault="00F941DE">
            <w:pPr>
              <w:jc w:val="center"/>
              <w:rPr>
                <w:rFonts w:eastAsia="Times New Roman"/>
              </w:rPr>
            </w:pPr>
            <w:r>
              <w:rPr>
                <w:rFonts w:eastAsia="Times New Roman"/>
              </w:rPr>
              <w:t>3,150</w:t>
            </w:r>
          </w:p>
        </w:tc>
      </w:tr>
      <w:tr w:rsidR="00AC2D60" w:rsidRPr="00C8676B" w:rsidTr="00931FD3">
        <w:trPr>
          <w:trHeight w:val="251"/>
          <w:jc w:val="center"/>
        </w:trPr>
        <w:tc>
          <w:tcPr>
            <w:tcW w:w="3510" w:type="dxa"/>
            <w:tcBorders>
              <w:left w:val="nil"/>
              <w:bottom w:val="single" w:sz="4" w:space="0" w:color="auto"/>
              <w:right w:val="nil"/>
            </w:tcBorders>
            <w:shd w:val="clear" w:color="auto" w:fill="auto"/>
            <w:vAlign w:val="bottom"/>
            <w:hideMark/>
          </w:tcPr>
          <w:p w:rsidR="00742ADD" w:rsidRPr="00C8676B" w:rsidRDefault="00742ADD">
            <w:pPr>
              <w:widowControl/>
              <w:overflowPunct/>
              <w:autoSpaceDE/>
              <w:autoSpaceDN/>
              <w:adjustRightInd/>
              <w:rPr>
                <w:rFonts w:eastAsia="Times New Roman"/>
                <w:color w:val="000000"/>
                <w:kern w:val="0"/>
                <w:lang w:eastAsia="en-US"/>
              </w:rPr>
            </w:pPr>
            <w:r w:rsidRPr="00C8676B">
              <w:rPr>
                <w:rFonts w:eastAsia="Times New Roman"/>
                <w:color w:val="000000"/>
                <w:kern w:val="0"/>
                <w:lang w:eastAsia="en-US"/>
              </w:rPr>
              <w:t>Final Sample</w:t>
            </w:r>
          </w:p>
        </w:tc>
        <w:tc>
          <w:tcPr>
            <w:tcW w:w="1350" w:type="dxa"/>
            <w:tcBorders>
              <w:left w:val="nil"/>
              <w:bottom w:val="single" w:sz="4" w:space="0" w:color="auto"/>
              <w:right w:val="nil"/>
            </w:tcBorders>
            <w:shd w:val="clear" w:color="auto" w:fill="auto"/>
            <w:noWrap/>
            <w:vAlign w:val="bottom"/>
            <w:hideMark/>
          </w:tcPr>
          <w:p w:rsidR="00742ADD" w:rsidRPr="00AD27A9" w:rsidRDefault="00742ADD">
            <w:pPr>
              <w:jc w:val="center"/>
              <w:rPr>
                <w:rFonts w:eastAsia="Times New Roman"/>
                <w:b/>
              </w:rPr>
            </w:pPr>
            <w:r w:rsidRPr="00AD27A9">
              <w:rPr>
                <w:rFonts w:eastAsia="Times New Roman"/>
                <w:b/>
              </w:rPr>
              <w:t>593,728</w:t>
            </w:r>
          </w:p>
        </w:tc>
        <w:tc>
          <w:tcPr>
            <w:tcW w:w="1620" w:type="dxa"/>
            <w:tcBorders>
              <w:left w:val="nil"/>
              <w:bottom w:val="single" w:sz="4" w:space="0" w:color="auto"/>
              <w:right w:val="nil"/>
            </w:tcBorders>
            <w:shd w:val="clear" w:color="auto" w:fill="auto"/>
            <w:noWrap/>
            <w:vAlign w:val="bottom"/>
          </w:tcPr>
          <w:p w:rsidR="00742ADD" w:rsidRPr="00AD27A9" w:rsidRDefault="00EF77F3">
            <w:pPr>
              <w:jc w:val="center"/>
              <w:rPr>
                <w:rFonts w:eastAsia="Times New Roman"/>
                <w:b/>
              </w:rPr>
            </w:pPr>
            <w:r w:rsidRPr="00EF77F3">
              <w:rPr>
                <w:rFonts w:eastAsia="Times New Roman"/>
                <w:b/>
              </w:rPr>
              <w:t>23</w:t>
            </w:r>
            <w:r>
              <w:rPr>
                <w:rFonts w:eastAsia="Times New Roman"/>
                <w:b/>
              </w:rPr>
              <w:t>,</w:t>
            </w:r>
            <w:r w:rsidRPr="00EF77F3">
              <w:rPr>
                <w:rFonts w:eastAsia="Times New Roman"/>
                <w:b/>
              </w:rPr>
              <w:t>017</w:t>
            </w:r>
          </w:p>
        </w:tc>
        <w:tc>
          <w:tcPr>
            <w:tcW w:w="1804" w:type="dxa"/>
            <w:tcBorders>
              <w:left w:val="nil"/>
              <w:bottom w:val="single" w:sz="4" w:space="0" w:color="auto"/>
              <w:right w:val="nil"/>
            </w:tcBorders>
            <w:shd w:val="clear" w:color="auto" w:fill="auto"/>
            <w:noWrap/>
            <w:vAlign w:val="bottom"/>
          </w:tcPr>
          <w:p w:rsidR="00742ADD" w:rsidRPr="00AD27A9" w:rsidRDefault="00F941DE">
            <w:pPr>
              <w:jc w:val="center"/>
              <w:rPr>
                <w:rFonts w:eastAsia="Times New Roman"/>
                <w:b/>
              </w:rPr>
            </w:pPr>
            <w:r>
              <w:rPr>
                <w:rFonts w:eastAsia="Times New Roman"/>
                <w:b/>
              </w:rPr>
              <w:t>40,102</w:t>
            </w:r>
          </w:p>
        </w:tc>
      </w:tr>
      <w:tr w:rsidR="00AC2D60" w:rsidRPr="00C8676B" w:rsidTr="00931FD3">
        <w:trPr>
          <w:trHeight w:val="264"/>
          <w:jc w:val="center"/>
        </w:trPr>
        <w:tc>
          <w:tcPr>
            <w:tcW w:w="3510" w:type="dxa"/>
            <w:tcBorders>
              <w:top w:val="single" w:sz="4" w:space="0" w:color="auto"/>
              <w:left w:val="nil"/>
              <w:right w:val="nil"/>
            </w:tcBorders>
            <w:shd w:val="clear" w:color="auto" w:fill="auto"/>
            <w:noWrap/>
            <w:vAlign w:val="bottom"/>
            <w:hideMark/>
          </w:tcPr>
          <w:p w:rsidR="004F3F31" w:rsidRDefault="00C61E89">
            <w:pPr>
              <w:rPr>
                <w:rFonts w:eastAsia="Times New Roman"/>
              </w:rPr>
            </w:pPr>
            <w:r>
              <w:rPr>
                <w:rFonts w:eastAsia="Times New Roman"/>
              </w:rPr>
              <w:t>Sample Distribution By Year</w:t>
            </w:r>
            <w:r w:rsidRPr="00C8676B">
              <w:rPr>
                <w:rFonts w:eastAsia="Times New Roman"/>
              </w:rPr>
              <w:t xml:space="preserve"> </w:t>
            </w:r>
            <w:r>
              <w:rPr>
                <w:rFonts w:eastAsia="Times New Roman"/>
              </w:rPr>
              <w:t xml:space="preserve">        </w:t>
            </w:r>
            <w:r w:rsidR="00B44823">
              <w:rPr>
                <w:rFonts w:eastAsia="Times New Roman"/>
              </w:rPr>
              <w:t xml:space="preserve"> </w:t>
            </w:r>
            <w:r>
              <w:rPr>
                <w:rFonts w:eastAsia="Times New Roman"/>
              </w:rPr>
              <w:t xml:space="preserve">   </w:t>
            </w:r>
            <w:r w:rsidR="004F3F31">
              <w:rPr>
                <w:rFonts w:eastAsia="Times New Roman"/>
              </w:rPr>
              <w:t xml:space="preserve">            </w:t>
            </w:r>
          </w:p>
          <w:p w:rsidR="00C61E89" w:rsidRPr="00C8676B" w:rsidRDefault="004F3F31">
            <w:pPr>
              <w:rPr>
                <w:rFonts w:eastAsia="Times New Roman"/>
              </w:rPr>
            </w:pPr>
            <w:r>
              <w:rPr>
                <w:rFonts w:eastAsia="Times New Roman"/>
              </w:rPr>
              <w:t xml:space="preserve">                             </w:t>
            </w:r>
            <w:r w:rsidR="00C61E89" w:rsidRPr="00C8676B">
              <w:rPr>
                <w:rFonts w:eastAsia="Times New Roman"/>
              </w:rPr>
              <w:t>1994</w:t>
            </w:r>
          </w:p>
        </w:tc>
        <w:tc>
          <w:tcPr>
            <w:tcW w:w="1350" w:type="dxa"/>
            <w:tcBorders>
              <w:top w:val="single" w:sz="4" w:space="0" w:color="auto"/>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35,931</w:t>
            </w:r>
          </w:p>
        </w:tc>
        <w:tc>
          <w:tcPr>
            <w:tcW w:w="1620" w:type="dxa"/>
            <w:tcBorders>
              <w:top w:val="single" w:sz="4" w:space="0" w:color="auto"/>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741 </w:t>
            </w:r>
          </w:p>
        </w:tc>
        <w:tc>
          <w:tcPr>
            <w:tcW w:w="1804" w:type="dxa"/>
            <w:tcBorders>
              <w:top w:val="single" w:sz="4" w:space="0" w:color="auto"/>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2,532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1995</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35,014</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815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2,560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1996</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38,943</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923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2,543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1997</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36,065</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1,030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2,588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1998</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34,108</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1,053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2,430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1999</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32,545</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1,039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2,443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2000</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33,568</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1,016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2,509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2001</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32,993</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1,295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2,242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2002</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32,751</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1,350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2,325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2003</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30,655</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1,794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2,537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2004</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35,635</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1,877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2,725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2005</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43,376</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1,838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2,579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2006</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40,858</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1,860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2,454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2007</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34,415</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1,838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2,254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2008</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36,248</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1,583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1,798 </w:t>
            </w:r>
          </w:p>
        </w:tc>
      </w:tr>
      <w:tr w:rsidR="00AC2D60" w:rsidRPr="00C8676B" w:rsidTr="00931FD3">
        <w:trPr>
          <w:trHeight w:val="264"/>
          <w:jc w:val="center"/>
        </w:trPr>
        <w:tc>
          <w:tcPr>
            <w:tcW w:w="351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2009</w:t>
            </w:r>
          </w:p>
        </w:tc>
        <w:tc>
          <w:tcPr>
            <w:tcW w:w="1350" w:type="dxa"/>
            <w:tcBorders>
              <w:top w:val="nil"/>
              <w:left w:val="nil"/>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31,805</w:t>
            </w:r>
          </w:p>
        </w:tc>
        <w:tc>
          <w:tcPr>
            <w:tcW w:w="1620"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1,475 </w:t>
            </w:r>
          </w:p>
        </w:tc>
        <w:tc>
          <w:tcPr>
            <w:tcW w:w="1804" w:type="dxa"/>
            <w:tcBorders>
              <w:top w:val="nil"/>
              <w:left w:val="nil"/>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1,717 </w:t>
            </w:r>
          </w:p>
        </w:tc>
      </w:tr>
      <w:tr w:rsidR="00AC2D60" w:rsidRPr="00C8676B" w:rsidTr="00931FD3">
        <w:trPr>
          <w:trHeight w:val="264"/>
          <w:jc w:val="center"/>
        </w:trPr>
        <w:tc>
          <w:tcPr>
            <w:tcW w:w="3510" w:type="dxa"/>
            <w:tcBorders>
              <w:left w:val="nil"/>
              <w:bottom w:val="single" w:sz="4" w:space="0" w:color="auto"/>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2010</w:t>
            </w:r>
          </w:p>
        </w:tc>
        <w:tc>
          <w:tcPr>
            <w:tcW w:w="1350" w:type="dxa"/>
            <w:tcBorders>
              <w:left w:val="nil"/>
              <w:bottom w:val="single" w:sz="4" w:space="0" w:color="auto"/>
              <w:right w:val="nil"/>
            </w:tcBorders>
            <w:shd w:val="clear" w:color="auto" w:fill="auto"/>
            <w:noWrap/>
            <w:vAlign w:val="bottom"/>
            <w:hideMark/>
          </w:tcPr>
          <w:p w:rsidR="00C61E89" w:rsidRPr="00C8676B" w:rsidRDefault="00C61E89">
            <w:pPr>
              <w:jc w:val="center"/>
              <w:rPr>
                <w:rFonts w:eastAsia="Times New Roman"/>
              </w:rPr>
            </w:pPr>
            <w:r w:rsidRPr="00C8676B">
              <w:rPr>
                <w:rFonts w:eastAsia="Times New Roman"/>
              </w:rPr>
              <w:t>28,818</w:t>
            </w:r>
          </w:p>
        </w:tc>
        <w:tc>
          <w:tcPr>
            <w:tcW w:w="1620" w:type="dxa"/>
            <w:tcBorders>
              <w:left w:val="nil"/>
              <w:bottom w:val="single" w:sz="4" w:space="0" w:color="auto"/>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1,490 </w:t>
            </w:r>
          </w:p>
        </w:tc>
        <w:tc>
          <w:tcPr>
            <w:tcW w:w="1804" w:type="dxa"/>
            <w:tcBorders>
              <w:left w:val="nil"/>
              <w:bottom w:val="single" w:sz="4" w:space="0" w:color="auto"/>
              <w:right w:val="nil"/>
            </w:tcBorders>
            <w:shd w:val="clear" w:color="auto" w:fill="auto"/>
            <w:noWrap/>
            <w:vAlign w:val="bottom"/>
          </w:tcPr>
          <w:p w:rsidR="00C61E89" w:rsidRPr="00C8676B" w:rsidRDefault="00C61E89" w:rsidP="00931FD3">
            <w:pPr>
              <w:ind w:hanging="378"/>
              <w:jc w:val="center"/>
              <w:rPr>
                <w:rFonts w:eastAsia="Times New Roman"/>
              </w:rPr>
            </w:pPr>
            <w:r w:rsidRPr="00931FD3">
              <w:rPr>
                <w:rFonts w:eastAsia="Times New Roman"/>
              </w:rPr>
              <w:t xml:space="preserve">1,866 </w:t>
            </w:r>
          </w:p>
        </w:tc>
      </w:tr>
    </w:tbl>
    <w:bookmarkEnd w:id="205"/>
    <w:p w:rsidR="00733167" w:rsidRDefault="00442C8F">
      <w:pPr>
        <w:rPr>
          <w:kern w:val="0"/>
        </w:rPr>
        <w:sectPr w:rsidR="00733167" w:rsidSect="008010EB">
          <w:pgSz w:w="12240" w:h="15840"/>
          <w:pgMar w:top="1440" w:right="1440" w:bottom="1440" w:left="2304" w:header="720" w:footer="720" w:gutter="0"/>
          <w:cols w:space="720"/>
          <w:docGrid w:linePitch="360"/>
        </w:sectPr>
      </w:pPr>
      <w:r w:rsidRPr="00AE7205">
        <w:rPr>
          <w:b/>
        </w:rPr>
        <w:t>Note:</w:t>
      </w:r>
      <w:r w:rsidRPr="00AE7205">
        <w:t xml:space="preserve"> This table shows the sample selection process for the three tests.  </w:t>
      </w:r>
      <w:r w:rsidR="00AD27A9" w:rsidRPr="00AE7205">
        <w:rPr>
          <w:kern w:val="0"/>
        </w:rPr>
        <w:t xml:space="preserve">The bottom rows </w:t>
      </w:r>
      <w:r w:rsidR="00345B33">
        <w:rPr>
          <w:kern w:val="0"/>
        </w:rPr>
        <w:t xml:space="preserve">further </w:t>
      </w:r>
      <w:r w:rsidR="00AD27A9" w:rsidRPr="00AE7205">
        <w:rPr>
          <w:kern w:val="0"/>
        </w:rPr>
        <w:t>show the sample distribution across the sample years. The first column shows the sample for</w:t>
      </w:r>
      <w:r w:rsidR="00742ADD" w:rsidRPr="00742ADD">
        <w:rPr>
          <w:kern w:val="0"/>
        </w:rPr>
        <w:t xml:space="preserve"> </w:t>
      </w:r>
      <w:r w:rsidR="00742ADD" w:rsidRPr="00AE7205">
        <w:rPr>
          <w:kern w:val="0"/>
        </w:rPr>
        <w:t>the market factor test</w:t>
      </w:r>
      <w:r w:rsidR="00AD27A9" w:rsidRPr="00AE7205">
        <w:rPr>
          <w:kern w:val="0"/>
        </w:rPr>
        <w:t xml:space="preserve">; the second column shows the sample for </w:t>
      </w:r>
      <w:r w:rsidR="00742ADD" w:rsidRPr="00AE7205">
        <w:rPr>
          <w:kern w:val="0"/>
        </w:rPr>
        <w:t>the implied cost of equity test</w:t>
      </w:r>
      <w:r w:rsidR="00AD27A9" w:rsidRPr="00AE7205">
        <w:rPr>
          <w:kern w:val="0"/>
        </w:rPr>
        <w:t>; the third column shows the sample for</w:t>
      </w:r>
      <w:r w:rsidR="00742ADD">
        <w:rPr>
          <w:kern w:val="0"/>
        </w:rPr>
        <w:t xml:space="preserve"> </w:t>
      </w:r>
      <w:r w:rsidR="00742ADD" w:rsidRPr="00AE7205">
        <w:rPr>
          <w:kern w:val="0"/>
        </w:rPr>
        <w:t>the industry-adjusted earnings-price ratio test</w:t>
      </w:r>
      <w:r w:rsidR="00AD27A9" w:rsidRPr="00AE7205">
        <w:rPr>
          <w:kern w:val="0"/>
        </w:rPr>
        <w:t>.</w:t>
      </w:r>
    </w:p>
    <w:tbl>
      <w:tblPr>
        <w:tblW w:w="4846" w:type="pct"/>
        <w:jc w:val="center"/>
        <w:tblLayout w:type="fixed"/>
        <w:tblLook w:val="04A0" w:firstRow="1" w:lastRow="0" w:firstColumn="1" w:lastColumn="0" w:noHBand="0" w:noVBand="1"/>
      </w:tblPr>
      <w:tblGrid>
        <w:gridCol w:w="1163"/>
        <w:gridCol w:w="887"/>
        <w:gridCol w:w="846"/>
        <w:gridCol w:w="1024"/>
        <w:gridCol w:w="904"/>
        <w:gridCol w:w="1029"/>
        <w:gridCol w:w="720"/>
        <w:gridCol w:w="840"/>
        <w:gridCol w:w="868"/>
        <w:gridCol w:w="886"/>
        <w:gridCol w:w="850"/>
        <w:gridCol w:w="1080"/>
        <w:gridCol w:w="825"/>
        <w:gridCol w:w="848"/>
      </w:tblGrid>
      <w:tr w:rsidR="00742ADD" w:rsidRPr="00D90FB0" w:rsidTr="008010EB">
        <w:trPr>
          <w:trHeight w:val="400"/>
          <w:jc w:val="center"/>
        </w:trPr>
        <w:tc>
          <w:tcPr>
            <w:tcW w:w="5000" w:type="pct"/>
            <w:gridSpan w:val="14"/>
            <w:tcBorders>
              <w:left w:val="nil"/>
              <w:bottom w:val="single" w:sz="4" w:space="0" w:color="auto"/>
              <w:right w:val="nil"/>
            </w:tcBorders>
            <w:shd w:val="clear" w:color="auto" w:fill="auto"/>
            <w:noWrap/>
            <w:vAlign w:val="bottom"/>
          </w:tcPr>
          <w:p w:rsidR="00742ADD" w:rsidRPr="00931FD3" w:rsidRDefault="00742ADD" w:rsidP="00931FD3">
            <w:pPr>
              <w:pStyle w:val="Heading4"/>
              <w:rPr>
                <w:b w:val="0"/>
              </w:rPr>
            </w:pPr>
            <w:bookmarkStart w:id="208" w:name="_Toc378088383"/>
            <w:bookmarkStart w:id="209" w:name="_Toc378088908"/>
            <w:r w:rsidRPr="00931FD3">
              <w:lastRenderedPageBreak/>
              <w:t>Table 2</w:t>
            </w:r>
            <w:bookmarkEnd w:id="208"/>
            <w:bookmarkEnd w:id="209"/>
          </w:p>
          <w:p w:rsidR="00742ADD" w:rsidRPr="00D90FB0" w:rsidRDefault="00742ADD" w:rsidP="00931FD3">
            <w:pPr>
              <w:pStyle w:val="Heading4"/>
              <w:rPr>
                <w:rFonts w:eastAsia="Times New Roman"/>
                <w:i/>
              </w:rPr>
            </w:pPr>
            <w:bookmarkStart w:id="210" w:name="_Toc378088384"/>
            <w:bookmarkStart w:id="211" w:name="_Toc378088909"/>
            <w:r w:rsidRPr="00931FD3">
              <w:t>Sample Description</w:t>
            </w:r>
            <w:bookmarkEnd w:id="210"/>
            <w:bookmarkEnd w:id="211"/>
            <w:r w:rsidRPr="00D90FB0">
              <w:rPr>
                <w:rFonts w:eastAsia="Times New Roman"/>
                <w:i/>
              </w:rPr>
              <w:t xml:space="preserve"> </w:t>
            </w:r>
          </w:p>
        </w:tc>
      </w:tr>
      <w:tr w:rsidR="00742ADD" w:rsidRPr="00A82E36" w:rsidTr="008010EB">
        <w:trPr>
          <w:trHeight w:val="169"/>
          <w:jc w:val="center"/>
        </w:trPr>
        <w:tc>
          <w:tcPr>
            <w:tcW w:w="5000" w:type="pct"/>
            <w:gridSpan w:val="14"/>
            <w:tcBorders>
              <w:top w:val="single" w:sz="4" w:space="0" w:color="auto"/>
              <w:left w:val="nil"/>
              <w:right w:val="nil"/>
            </w:tcBorders>
            <w:shd w:val="clear" w:color="auto" w:fill="auto"/>
            <w:noWrap/>
            <w:vAlign w:val="bottom"/>
          </w:tcPr>
          <w:p w:rsidR="00742ADD" w:rsidRPr="00931FD3" w:rsidRDefault="00742ADD" w:rsidP="00742ADD">
            <w:pPr>
              <w:rPr>
                <w:rFonts w:eastAsia="Times New Roman"/>
                <w:b/>
                <w:sz w:val="16"/>
                <w:szCs w:val="16"/>
              </w:rPr>
            </w:pPr>
            <w:r w:rsidRPr="00931FD3">
              <w:rPr>
                <w:rFonts w:eastAsia="Times New Roman"/>
                <w:b/>
                <w:sz w:val="16"/>
                <w:szCs w:val="16"/>
              </w:rPr>
              <w:t>Panel A:</w:t>
            </w:r>
            <w:r w:rsidRPr="00931FD3">
              <w:rPr>
                <w:rFonts w:eastAsia="Times New Roman"/>
                <w:b/>
                <w:bCs/>
                <w:sz w:val="16"/>
                <w:szCs w:val="16"/>
              </w:rPr>
              <w:t xml:space="preserve"> Sample for Market Risk Factor Test</w:t>
            </w:r>
          </w:p>
        </w:tc>
      </w:tr>
      <w:tr w:rsidR="00AC2D60" w:rsidRPr="00A82E36" w:rsidTr="008010EB">
        <w:trPr>
          <w:trHeight w:val="169"/>
          <w:jc w:val="center"/>
        </w:trPr>
        <w:tc>
          <w:tcPr>
            <w:tcW w:w="455" w:type="pct"/>
            <w:tcBorders>
              <w:left w:val="nil"/>
              <w:right w:val="nil"/>
            </w:tcBorders>
            <w:shd w:val="clear" w:color="auto" w:fill="auto"/>
            <w:noWrap/>
            <w:vAlign w:val="bottom"/>
            <w:hideMark/>
          </w:tcPr>
          <w:p w:rsidR="00742ADD" w:rsidRPr="00931FD3" w:rsidRDefault="00742ADD" w:rsidP="00742ADD">
            <w:pPr>
              <w:rPr>
                <w:rFonts w:eastAsia="Times New Roman"/>
                <w:i/>
                <w:sz w:val="16"/>
                <w:szCs w:val="16"/>
              </w:rPr>
            </w:pPr>
            <w:r w:rsidRPr="00931FD3">
              <w:rPr>
                <w:rFonts w:eastAsia="Times New Roman"/>
                <w:i/>
                <w:sz w:val="16"/>
                <w:szCs w:val="16"/>
              </w:rPr>
              <w:t> </w:t>
            </w:r>
          </w:p>
        </w:tc>
        <w:tc>
          <w:tcPr>
            <w:tcW w:w="347"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i/>
                <w:sz w:val="16"/>
                <w:szCs w:val="16"/>
              </w:rPr>
            </w:pPr>
            <w:r w:rsidRPr="00931FD3">
              <w:rPr>
                <w:rFonts w:eastAsia="Times New Roman"/>
                <w:i/>
                <w:sz w:val="16"/>
                <w:szCs w:val="16"/>
              </w:rPr>
              <w:t>EXRET</w:t>
            </w:r>
          </w:p>
        </w:tc>
        <w:tc>
          <w:tcPr>
            <w:tcW w:w="331"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i/>
                <w:sz w:val="16"/>
                <w:szCs w:val="16"/>
              </w:rPr>
            </w:pPr>
            <w:r w:rsidRPr="00931FD3">
              <w:rPr>
                <w:rFonts w:eastAsia="Times New Roman"/>
                <w:i/>
                <w:sz w:val="16"/>
                <w:szCs w:val="16"/>
              </w:rPr>
              <w:t>EQ</w:t>
            </w:r>
          </w:p>
        </w:tc>
        <w:tc>
          <w:tcPr>
            <w:tcW w:w="401" w:type="pct"/>
            <w:tcBorders>
              <w:left w:val="nil"/>
              <w:bottom w:val="single" w:sz="4" w:space="0" w:color="auto"/>
              <w:right w:val="nil"/>
            </w:tcBorders>
            <w:shd w:val="clear" w:color="auto" w:fill="auto"/>
            <w:noWrap/>
            <w:vAlign w:val="bottom"/>
            <w:hideMark/>
          </w:tcPr>
          <w:p w:rsidR="00742ADD" w:rsidRPr="00931FD3" w:rsidRDefault="00742ADD" w:rsidP="00742ADD">
            <w:pPr>
              <w:rPr>
                <w:rFonts w:eastAsia="Times New Roman"/>
                <w:i/>
                <w:sz w:val="16"/>
                <w:szCs w:val="16"/>
              </w:rPr>
            </w:pPr>
            <w:r w:rsidRPr="00931FD3">
              <w:rPr>
                <w:rFonts w:eastAsia="Times New Roman"/>
                <w:i/>
                <w:sz w:val="16"/>
                <w:szCs w:val="16"/>
              </w:rPr>
              <w:t>P_EQew</w:t>
            </w:r>
          </w:p>
        </w:tc>
        <w:tc>
          <w:tcPr>
            <w:tcW w:w="354" w:type="pct"/>
            <w:tcBorders>
              <w:left w:val="nil"/>
              <w:bottom w:val="single" w:sz="4" w:space="0" w:color="auto"/>
              <w:right w:val="nil"/>
            </w:tcBorders>
            <w:shd w:val="clear" w:color="auto" w:fill="auto"/>
            <w:noWrap/>
            <w:vAlign w:val="bottom"/>
            <w:hideMark/>
          </w:tcPr>
          <w:p w:rsidR="00742ADD" w:rsidRPr="00931FD3" w:rsidRDefault="00742ADD" w:rsidP="00931FD3">
            <w:pPr>
              <w:ind w:hanging="127"/>
              <w:rPr>
                <w:rFonts w:eastAsia="Times New Roman"/>
                <w:i/>
                <w:sz w:val="16"/>
                <w:szCs w:val="16"/>
              </w:rPr>
            </w:pPr>
            <w:r w:rsidRPr="00931FD3">
              <w:rPr>
                <w:rFonts w:eastAsia="Times New Roman"/>
                <w:i/>
                <w:sz w:val="16"/>
                <w:szCs w:val="16"/>
              </w:rPr>
              <w:t>P_EQmsw</w:t>
            </w:r>
          </w:p>
        </w:tc>
        <w:tc>
          <w:tcPr>
            <w:tcW w:w="403"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i/>
                <w:sz w:val="16"/>
                <w:szCs w:val="16"/>
              </w:rPr>
            </w:pPr>
            <w:r w:rsidRPr="00931FD3">
              <w:rPr>
                <w:rFonts w:eastAsia="Times New Roman"/>
                <w:i/>
                <w:sz w:val="16"/>
                <w:szCs w:val="16"/>
              </w:rPr>
              <w:t>MKTRF</w:t>
            </w:r>
          </w:p>
        </w:tc>
        <w:tc>
          <w:tcPr>
            <w:tcW w:w="282" w:type="pct"/>
            <w:tcBorders>
              <w:left w:val="nil"/>
              <w:bottom w:val="single" w:sz="4" w:space="0" w:color="auto"/>
              <w:right w:val="nil"/>
            </w:tcBorders>
            <w:shd w:val="clear" w:color="auto" w:fill="auto"/>
            <w:noWrap/>
            <w:vAlign w:val="bottom"/>
            <w:hideMark/>
          </w:tcPr>
          <w:p w:rsidR="00742ADD" w:rsidRPr="00931FD3" w:rsidRDefault="00742ADD" w:rsidP="00931FD3">
            <w:pPr>
              <w:ind w:hanging="109"/>
              <w:jc w:val="center"/>
              <w:rPr>
                <w:rFonts w:eastAsia="Times New Roman"/>
                <w:i/>
                <w:sz w:val="16"/>
                <w:szCs w:val="16"/>
              </w:rPr>
            </w:pPr>
            <w:r w:rsidRPr="00931FD3">
              <w:rPr>
                <w:rFonts w:eastAsia="Times New Roman"/>
                <w:i/>
                <w:sz w:val="16"/>
                <w:szCs w:val="16"/>
              </w:rPr>
              <w:t>SMB</w:t>
            </w:r>
          </w:p>
        </w:tc>
        <w:tc>
          <w:tcPr>
            <w:tcW w:w="329" w:type="pct"/>
            <w:tcBorders>
              <w:left w:val="nil"/>
              <w:bottom w:val="single" w:sz="4" w:space="0" w:color="auto"/>
              <w:right w:val="nil"/>
            </w:tcBorders>
            <w:shd w:val="clear" w:color="auto" w:fill="auto"/>
            <w:noWrap/>
            <w:vAlign w:val="bottom"/>
            <w:hideMark/>
          </w:tcPr>
          <w:p w:rsidR="00742ADD" w:rsidRPr="00931FD3" w:rsidRDefault="00742ADD" w:rsidP="00931FD3">
            <w:pPr>
              <w:ind w:hanging="109"/>
              <w:jc w:val="center"/>
              <w:rPr>
                <w:rFonts w:eastAsia="Times New Roman"/>
                <w:i/>
                <w:sz w:val="16"/>
                <w:szCs w:val="16"/>
              </w:rPr>
            </w:pPr>
            <w:r w:rsidRPr="00931FD3">
              <w:rPr>
                <w:rFonts w:eastAsia="Times New Roman"/>
                <w:i/>
                <w:sz w:val="16"/>
                <w:szCs w:val="16"/>
              </w:rPr>
              <w:t>HML</w:t>
            </w:r>
          </w:p>
        </w:tc>
        <w:tc>
          <w:tcPr>
            <w:tcW w:w="340"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i/>
                <w:sz w:val="16"/>
                <w:szCs w:val="16"/>
              </w:rPr>
            </w:pPr>
            <w:r w:rsidRPr="00931FD3">
              <w:rPr>
                <w:rFonts w:eastAsia="Times New Roman"/>
                <w:i/>
                <w:sz w:val="16"/>
                <w:szCs w:val="16"/>
              </w:rPr>
              <w:t>UMD</w:t>
            </w:r>
          </w:p>
        </w:tc>
        <w:tc>
          <w:tcPr>
            <w:tcW w:w="347"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i/>
                <w:sz w:val="16"/>
                <w:szCs w:val="16"/>
              </w:rPr>
            </w:pPr>
            <w:r w:rsidRPr="00931FD3">
              <w:rPr>
                <w:rFonts w:eastAsia="Times New Roman"/>
                <w:i/>
                <w:sz w:val="16"/>
                <w:szCs w:val="16"/>
              </w:rPr>
              <w:t>Lev</w:t>
            </w:r>
          </w:p>
        </w:tc>
        <w:tc>
          <w:tcPr>
            <w:tcW w:w="333"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i/>
                <w:sz w:val="16"/>
                <w:szCs w:val="16"/>
              </w:rPr>
            </w:pPr>
            <w:r w:rsidRPr="00931FD3">
              <w:rPr>
                <w:rFonts w:eastAsia="Times New Roman"/>
                <w:i/>
                <w:sz w:val="16"/>
                <w:szCs w:val="16"/>
              </w:rPr>
              <w:t>LnMV</w:t>
            </w:r>
          </w:p>
        </w:tc>
        <w:tc>
          <w:tcPr>
            <w:tcW w:w="423"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i/>
                <w:sz w:val="16"/>
                <w:szCs w:val="16"/>
              </w:rPr>
            </w:pPr>
            <w:r w:rsidRPr="00931FD3">
              <w:rPr>
                <w:rFonts w:eastAsia="Times New Roman"/>
                <w:i/>
                <w:sz w:val="16"/>
                <w:szCs w:val="16"/>
              </w:rPr>
              <w:t>STD_CFO</w:t>
            </w:r>
          </w:p>
        </w:tc>
        <w:tc>
          <w:tcPr>
            <w:tcW w:w="323"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i/>
                <w:sz w:val="16"/>
                <w:szCs w:val="16"/>
              </w:rPr>
            </w:pPr>
            <w:r w:rsidRPr="00931FD3">
              <w:rPr>
                <w:rFonts w:eastAsia="Times New Roman"/>
                <w:i/>
                <w:sz w:val="16"/>
                <w:szCs w:val="16"/>
              </w:rPr>
              <w:t>CFO</w:t>
            </w:r>
          </w:p>
        </w:tc>
        <w:tc>
          <w:tcPr>
            <w:tcW w:w="332"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i/>
                <w:sz w:val="16"/>
                <w:szCs w:val="16"/>
              </w:rPr>
            </w:pPr>
            <w:r w:rsidRPr="00931FD3">
              <w:rPr>
                <w:rFonts w:eastAsia="Times New Roman"/>
                <w:i/>
                <w:sz w:val="16"/>
                <w:szCs w:val="16"/>
              </w:rPr>
              <w:t>BM</w:t>
            </w:r>
          </w:p>
        </w:tc>
      </w:tr>
      <w:tr w:rsidR="00AC2D60" w:rsidRPr="00A82E36" w:rsidTr="008010EB">
        <w:trPr>
          <w:trHeight w:val="161"/>
          <w:jc w:val="center"/>
        </w:trPr>
        <w:tc>
          <w:tcPr>
            <w:tcW w:w="455" w:type="pct"/>
            <w:tcBorders>
              <w:left w:val="nil"/>
              <w:bottom w:val="nil"/>
              <w:right w:val="nil"/>
            </w:tcBorders>
            <w:shd w:val="clear" w:color="auto" w:fill="auto"/>
            <w:noWrap/>
            <w:vAlign w:val="center"/>
            <w:hideMark/>
          </w:tcPr>
          <w:p w:rsidR="00592233" w:rsidRPr="00931FD3" w:rsidRDefault="00592233" w:rsidP="00742ADD">
            <w:pPr>
              <w:rPr>
                <w:rFonts w:eastAsia="Times New Roman"/>
                <w:sz w:val="16"/>
                <w:szCs w:val="16"/>
              </w:rPr>
            </w:pPr>
            <w:r w:rsidRPr="00931FD3">
              <w:rPr>
                <w:rFonts w:eastAsia="Times New Roman"/>
                <w:sz w:val="16"/>
                <w:szCs w:val="16"/>
              </w:rPr>
              <w:t>N</w:t>
            </w:r>
          </w:p>
        </w:tc>
        <w:tc>
          <w:tcPr>
            <w:tcW w:w="347"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c>
          <w:tcPr>
            <w:tcW w:w="331"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c>
          <w:tcPr>
            <w:tcW w:w="401"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c>
          <w:tcPr>
            <w:tcW w:w="354"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c>
          <w:tcPr>
            <w:tcW w:w="403"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c>
          <w:tcPr>
            <w:tcW w:w="282"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 xml:space="preserve">593,728 </w:t>
            </w:r>
          </w:p>
        </w:tc>
        <w:tc>
          <w:tcPr>
            <w:tcW w:w="329"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 xml:space="preserve">593,728 </w:t>
            </w:r>
          </w:p>
        </w:tc>
        <w:tc>
          <w:tcPr>
            <w:tcW w:w="340"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c>
          <w:tcPr>
            <w:tcW w:w="347"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c>
          <w:tcPr>
            <w:tcW w:w="333"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c>
          <w:tcPr>
            <w:tcW w:w="423"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c>
          <w:tcPr>
            <w:tcW w:w="323" w:type="pct"/>
            <w:tcBorders>
              <w:top w:val="nil"/>
              <w:left w:val="nil"/>
              <w:bottom w:val="nil"/>
              <w:right w:val="nil"/>
            </w:tcBorders>
            <w:shd w:val="clear" w:color="auto" w:fill="auto"/>
            <w:noWrap/>
            <w:vAlign w:val="bottom"/>
            <w:hideMark/>
          </w:tcPr>
          <w:p w:rsidR="00592233" w:rsidRPr="00931FD3" w:rsidRDefault="00592233" w:rsidP="00931FD3">
            <w:pPr>
              <w:ind w:hanging="108"/>
              <w:jc w:val="right"/>
              <w:rPr>
                <w:sz w:val="16"/>
                <w:szCs w:val="16"/>
              </w:rPr>
            </w:pPr>
            <w:r w:rsidRPr="00931FD3">
              <w:rPr>
                <w:sz w:val="16"/>
                <w:szCs w:val="16"/>
              </w:rPr>
              <w:t xml:space="preserve">593,728 </w:t>
            </w:r>
          </w:p>
        </w:tc>
        <w:tc>
          <w:tcPr>
            <w:tcW w:w="332" w:type="pct"/>
            <w:tcBorders>
              <w:top w:val="nil"/>
              <w:left w:val="nil"/>
              <w:bottom w:val="nil"/>
              <w:right w:val="nil"/>
            </w:tcBorders>
            <w:shd w:val="clear" w:color="auto" w:fill="auto"/>
            <w:noWrap/>
            <w:vAlign w:val="bottom"/>
            <w:hideMark/>
          </w:tcPr>
          <w:p w:rsidR="00592233" w:rsidRPr="00931FD3" w:rsidRDefault="00592233" w:rsidP="00931FD3">
            <w:pPr>
              <w:jc w:val="right"/>
              <w:rPr>
                <w:sz w:val="16"/>
                <w:szCs w:val="16"/>
              </w:rPr>
            </w:pPr>
            <w:r w:rsidRPr="00931FD3">
              <w:rPr>
                <w:sz w:val="16"/>
                <w:szCs w:val="16"/>
              </w:rPr>
              <w:t xml:space="preserve">593,728 </w:t>
            </w:r>
          </w:p>
        </w:tc>
      </w:tr>
      <w:tr w:rsidR="00AC2D60" w:rsidRPr="00A82E36" w:rsidTr="008010EB">
        <w:trPr>
          <w:trHeight w:val="169"/>
          <w:jc w:val="center"/>
        </w:trPr>
        <w:tc>
          <w:tcPr>
            <w:tcW w:w="455" w:type="pct"/>
            <w:tcBorders>
              <w:top w:val="nil"/>
              <w:left w:val="nil"/>
              <w:right w:val="nil"/>
            </w:tcBorders>
            <w:shd w:val="clear" w:color="auto" w:fill="auto"/>
            <w:noWrap/>
            <w:vAlign w:val="bottom"/>
            <w:hideMark/>
          </w:tcPr>
          <w:p w:rsidR="00592233" w:rsidRPr="00931FD3" w:rsidRDefault="00592233" w:rsidP="00742ADD">
            <w:pPr>
              <w:rPr>
                <w:rFonts w:eastAsia="Times New Roman"/>
                <w:sz w:val="16"/>
                <w:szCs w:val="16"/>
              </w:rPr>
            </w:pPr>
            <w:r w:rsidRPr="00931FD3">
              <w:rPr>
                <w:rFonts w:eastAsia="Times New Roman"/>
                <w:sz w:val="16"/>
                <w:szCs w:val="16"/>
              </w:rPr>
              <w:t>MIN</w:t>
            </w:r>
          </w:p>
        </w:tc>
        <w:tc>
          <w:tcPr>
            <w:tcW w:w="347" w:type="pct"/>
            <w:tcBorders>
              <w:top w:val="nil"/>
              <w:left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0.956</w:t>
            </w:r>
          </w:p>
        </w:tc>
        <w:tc>
          <w:tcPr>
            <w:tcW w:w="331" w:type="pct"/>
            <w:tcBorders>
              <w:top w:val="nil"/>
              <w:left w:val="nil"/>
              <w:bottom w:val="nil"/>
              <w:right w:val="nil"/>
            </w:tcBorders>
            <w:shd w:val="clear" w:color="auto" w:fill="auto"/>
            <w:noWrap/>
            <w:vAlign w:val="bottom"/>
            <w:hideMark/>
          </w:tcPr>
          <w:p w:rsidR="00592233" w:rsidRPr="00931FD3" w:rsidRDefault="00AC0744">
            <w:pPr>
              <w:jc w:val="right"/>
              <w:rPr>
                <w:sz w:val="16"/>
                <w:szCs w:val="16"/>
              </w:rPr>
            </w:pPr>
            <w:r w:rsidRPr="00931FD3">
              <w:rPr>
                <w:sz w:val="16"/>
                <w:szCs w:val="16"/>
              </w:rPr>
              <w:t>−</w:t>
            </w:r>
            <w:r w:rsidR="00592233" w:rsidRPr="00931FD3">
              <w:rPr>
                <w:sz w:val="16"/>
                <w:szCs w:val="16"/>
              </w:rPr>
              <w:t>1.651</w:t>
            </w:r>
          </w:p>
        </w:tc>
        <w:tc>
          <w:tcPr>
            <w:tcW w:w="401" w:type="pct"/>
            <w:tcBorders>
              <w:top w:val="nil"/>
              <w:left w:val="nil"/>
              <w:bottom w:val="nil"/>
              <w:right w:val="nil"/>
            </w:tcBorders>
            <w:shd w:val="clear" w:color="auto" w:fill="auto"/>
            <w:noWrap/>
            <w:vAlign w:val="bottom"/>
            <w:hideMark/>
          </w:tcPr>
          <w:p w:rsidR="00592233" w:rsidRPr="00931FD3" w:rsidRDefault="00AC0744">
            <w:pPr>
              <w:jc w:val="right"/>
              <w:rPr>
                <w:sz w:val="16"/>
                <w:szCs w:val="16"/>
              </w:rPr>
            </w:pPr>
            <w:r w:rsidRPr="00931FD3">
              <w:rPr>
                <w:sz w:val="16"/>
                <w:szCs w:val="16"/>
              </w:rPr>
              <w:t>−</w:t>
            </w:r>
            <w:r w:rsidR="00592233" w:rsidRPr="00931FD3">
              <w:rPr>
                <w:sz w:val="16"/>
                <w:szCs w:val="16"/>
              </w:rPr>
              <w:t>1.469</w:t>
            </w:r>
          </w:p>
        </w:tc>
        <w:tc>
          <w:tcPr>
            <w:tcW w:w="354"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1.130</w:t>
            </w:r>
          </w:p>
        </w:tc>
        <w:tc>
          <w:tcPr>
            <w:tcW w:w="403"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0.185</w:t>
            </w:r>
          </w:p>
        </w:tc>
        <w:tc>
          <w:tcPr>
            <w:tcW w:w="282" w:type="pct"/>
            <w:tcBorders>
              <w:top w:val="nil"/>
              <w:left w:val="nil"/>
              <w:bottom w:val="nil"/>
              <w:right w:val="nil"/>
            </w:tcBorders>
            <w:shd w:val="clear" w:color="auto" w:fill="auto"/>
            <w:noWrap/>
            <w:vAlign w:val="bottom"/>
            <w:hideMark/>
          </w:tcPr>
          <w:p w:rsidR="00592233" w:rsidRPr="00931FD3" w:rsidRDefault="00AC0744" w:rsidP="00931FD3">
            <w:pPr>
              <w:ind w:hanging="109"/>
              <w:jc w:val="right"/>
              <w:rPr>
                <w:sz w:val="16"/>
                <w:szCs w:val="16"/>
              </w:rPr>
            </w:pPr>
            <w:r w:rsidRPr="00931FD3">
              <w:rPr>
                <w:sz w:val="16"/>
                <w:szCs w:val="16"/>
              </w:rPr>
              <w:t>−</w:t>
            </w:r>
            <w:r w:rsidR="00592233" w:rsidRPr="00931FD3">
              <w:rPr>
                <w:sz w:val="16"/>
                <w:szCs w:val="16"/>
              </w:rPr>
              <w:t>0.166</w:t>
            </w:r>
          </w:p>
        </w:tc>
        <w:tc>
          <w:tcPr>
            <w:tcW w:w="329" w:type="pct"/>
            <w:tcBorders>
              <w:top w:val="nil"/>
              <w:left w:val="nil"/>
              <w:bottom w:val="nil"/>
              <w:right w:val="nil"/>
            </w:tcBorders>
            <w:shd w:val="clear" w:color="auto" w:fill="auto"/>
            <w:noWrap/>
            <w:vAlign w:val="bottom"/>
            <w:hideMark/>
          </w:tcPr>
          <w:p w:rsidR="00592233" w:rsidRPr="00931FD3" w:rsidRDefault="00AC0744" w:rsidP="00931FD3">
            <w:pPr>
              <w:ind w:hanging="109"/>
              <w:jc w:val="right"/>
              <w:rPr>
                <w:sz w:val="16"/>
                <w:szCs w:val="16"/>
              </w:rPr>
            </w:pPr>
            <w:r w:rsidRPr="00931FD3">
              <w:rPr>
                <w:sz w:val="16"/>
                <w:szCs w:val="16"/>
              </w:rPr>
              <w:t>−</w:t>
            </w:r>
            <w:r w:rsidR="00592233" w:rsidRPr="00931FD3">
              <w:rPr>
                <w:sz w:val="16"/>
                <w:szCs w:val="16"/>
              </w:rPr>
              <w:t>0.129</w:t>
            </w:r>
          </w:p>
        </w:tc>
        <w:tc>
          <w:tcPr>
            <w:tcW w:w="340"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0.348</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0.056</w:t>
            </w:r>
          </w:p>
        </w:tc>
        <w:tc>
          <w:tcPr>
            <w:tcW w:w="33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1.182</w:t>
            </w:r>
          </w:p>
        </w:tc>
        <w:tc>
          <w:tcPr>
            <w:tcW w:w="42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0.004</w:t>
            </w:r>
          </w:p>
        </w:tc>
        <w:tc>
          <w:tcPr>
            <w:tcW w:w="323"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0.580</w:t>
            </w:r>
          </w:p>
        </w:tc>
        <w:tc>
          <w:tcPr>
            <w:tcW w:w="332"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3.113</w:t>
            </w:r>
          </w:p>
        </w:tc>
      </w:tr>
      <w:tr w:rsidR="00AC2D60" w:rsidRPr="00A82E36" w:rsidTr="008010EB">
        <w:trPr>
          <w:trHeight w:val="169"/>
          <w:jc w:val="center"/>
        </w:trPr>
        <w:tc>
          <w:tcPr>
            <w:tcW w:w="455" w:type="pct"/>
            <w:tcBorders>
              <w:top w:val="nil"/>
              <w:left w:val="nil"/>
              <w:right w:val="nil"/>
            </w:tcBorders>
            <w:shd w:val="clear" w:color="auto" w:fill="auto"/>
            <w:noWrap/>
            <w:vAlign w:val="bottom"/>
            <w:hideMark/>
          </w:tcPr>
          <w:p w:rsidR="00592233" w:rsidRPr="00931FD3" w:rsidRDefault="00592233" w:rsidP="00742ADD">
            <w:pPr>
              <w:rPr>
                <w:rFonts w:eastAsia="Times New Roman"/>
                <w:sz w:val="16"/>
                <w:szCs w:val="16"/>
              </w:rPr>
            </w:pPr>
            <w:r w:rsidRPr="00931FD3">
              <w:rPr>
                <w:rFonts w:eastAsia="Times New Roman"/>
                <w:sz w:val="16"/>
                <w:szCs w:val="16"/>
              </w:rPr>
              <w:t>MAX</w:t>
            </w:r>
          </w:p>
        </w:tc>
        <w:tc>
          <w:tcPr>
            <w:tcW w:w="347" w:type="pct"/>
            <w:tcBorders>
              <w:top w:val="nil"/>
              <w:left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9.497</w:t>
            </w:r>
          </w:p>
        </w:tc>
        <w:tc>
          <w:tcPr>
            <w:tcW w:w="331"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0.003</w:t>
            </w:r>
          </w:p>
        </w:tc>
        <w:tc>
          <w:tcPr>
            <w:tcW w:w="401" w:type="pct"/>
            <w:tcBorders>
              <w:top w:val="nil"/>
              <w:left w:val="nil"/>
              <w:bottom w:val="nil"/>
              <w:right w:val="nil"/>
            </w:tcBorders>
            <w:shd w:val="clear" w:color="auto" w:fill="auto"/>
            <w:noWrap/>
            <w:vAlign w:val="bottom"/>
            <w:hideMark/>
          </w:tcPr>
          <w:p w:rsidR="00592233" w:rsidRPr="00931FD3" w:rsidRDefault="00AC0744">
            <w:pPr>
              <w:jc w:val="right"/>
              <w:rPr>
                <w:sz w:val="16"/>
                <w:szCs w:val="16"/>
              </w:rPr>
            </w:pPr>
            <w:r w:rsidRPr="00931FD3">
              <w:rPr>
                <w:sz w:val="16"/>
                <w:szCs w:val="16"/>
              </w:rPr>
              <w:t>−</w:t>
            </w:r>
            <w:r w:rsidR="00592233" w:rsidRPr="00931FD3">
              <w:rPr>
                <w:sz w:val="16"/>
                <w:szCs w:val="16"/>
              </w:rPr>
              <w:t>0.009</w:t>
            </w:r>
          </w:p>
        </w:tc>
        <w:tc>
          <w:tcPr>
            <w:tcW w:w="354"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0.008</w:t>
            </w:r>
          </w:p>
        </w:tc>
        <w:tc>
          <w:tcPr>
            <w:tcW w:w="40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0.115</w:t>
            </w:r>
          </w:p>
        </w:tc>
        <w:tc>
          <w:tcPr>
            <w:tcW w:w="282"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0.221</w:t>
            </w:r>
          </w:p>
        </w:tc>
        <w:tc>
          <w:tcPr>
            <w:tcW w:w="329"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0.139</w:t>
            </w:r>
          </w:p>
        </w:tc>
        <w:tc>
          <w:tcPr>
            <w:tcW w:w="340"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0.184</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0.950</w:t>
            </w:r>
          </w:p>
        </w:tc>
        <w:tc>
          <w:tcPr>
            <w:tcW w:w="33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11.240</w:t>
            </w:r>
          </w:p>
        </w:tc>
        <w:tc>
          <w:tcPr>
            <w:tcW w:w="42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0.342</w:t>
            </w:r>
          </w:p>
        </w:tc>
        <w:tc>
          <w:tcPr>
            <w:tcW w:w="32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0.377</w:t>
            </w:r>
          </w:p>
        </w:tc>
        <w:tc>
          <w:tcPr>
            <w:tcW w:w="332"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1.198</w:t>
            </w:r>
          </w:p>
        </w:tc>
      </w:tr>
      <w:tr w:rsidR="00AC2D60" w:rsidRPr="00A82E36" w:rsidTr="008010EB">
        <w:trPr>
          <w:trHeight w:val="169"/>
          <w:jc w:val="center"/>
        </w:trPr>
        <w:tc>
          <w:tcPr>
            <w:tcW w:w="455" w:type="pct"/>
            <w:tcBorders>
              <w:top w:val="nil"/>
              <w:left w:val="nil"/>
              <w:right w:val="nil"/>
            </w:tcBorders>
            <w:shd w:val="clear" w:color="auto" w:fill="auto"/>
            <w:noWrap/>
            <w:vAlign w:val="bottom"/>
            <w:hideMark/>
          </w:tcPr>
          <w:p w:rsidR="00592233" w:rsidRPr="00931FD3" w:rsidRDefault="00592233" w:rsidP="00742ADD">
            <w:pPr>
              <w:rPr>
                <w:rFonts w:eastAsia="Times New Roman"/>
                <w:sz w:val="16"/>
                <w:szCs w:val="16"/>
              </w:rPr>
            </w:pPr>
            <w:r w:rsidRPr="00931FD3">
              <w:rPr>
                <w:rFonts w:eastAsia="Times New Roman"/>
                <w:sz w:val="16"/>
                <w:szCs w:val="16"/>
              </w:rPr>
              <w:t>MEAN</w:t>
            </w:r>
          </w:p>
        </w:tc>
        <w:tc>
          <w:tcPr>
            <w:tcW w:w="347" w:type="pct"/>
            <w:tcBorders>
              <w:top w:val="nil"/>
              <w:left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0.009</w:t>
            </w:r>
          </w:p>
        </w:tc>
        <w:tc>
          <w:tcPr>
            <w:tcW w:w="331" w:type="pct"/>
            <w:tcBorders>
              <w:top w:val="nil"/>
              <w:left w:val="nil"/>
              <w:bottom w:val="nil"/>
              <w:right w:val="nil"/>
            </w:tcBorders>
            <w:shd w:val="clear" w:color="auto" w:fill="auto"/>
            <w:noWrap/>
            <w:vAlign w:val="bottom"/>
          </w:tcPr>
          <w:p w:rsidR="00592233" w:rsidRPr="00931FD3" w:rsidRDefault="00AC0744" w:rsidP="00742ADD">
            <w:pPr>
              <w:jc w:val="right"/>
              <w:rPr>
                <w:sz w:val="16"/>
                <w:szCs w:val="16"/>
              </w:rPr>
            </w:pPr>
            <w:r w:rsidRPr="00931FD3">
              <w:rPr>
                <w:sz w:val="16"/>
                <w:szCs w:val="16"/>
              </w:rPr>
              <w:t>−</w:t>
            </w:r>
            <w:r w:rsidR="00592233" w:rsidRPr="00931FD3">
              <w:rPr>
                <w:sz w:val="16"/>
                <w:szCs w:val="16"/>
              </w:rPr>
              <w:t>0.143</w:t>
            </w:r>
          </w:p>
        </w:tc>
        <w:tc>
          <w:tcPr>
            <w:tcW w:w="401" w:type="pct"/>
            <w:tcBorders>
              <w:top w:val="nil"/>
              <w:left w:val="nil"/>
              <w:bottom w:val="nil"/>
              <w:right w:val="nil"/>
            </w:tcBorders>
            <w:shd w:val="clear" w:color="auto" w:fill="auto"/>
            <w:noWrap/>
            <w:vAlign w:val="bottom"/>
          </w:tcPr>
          <w:p w:rsidR="00592233" w:rsidRPr="00931FD3" w:rsidRDefault="00AC0744" w:rsidP="00742ADD">
            <w:pPr>
              <w:jc w:val="right"/>
              <w:rPr>
                <w:sz w:val="16"/>
                <w:szCs w:val="16"/>
              </w:rPr>
            </w:pPr>
            <w:r w:rsidRPr="00931FD3">
              <w:rPr>
                <w:sz w:val="16"/>
                <w:szCs w:val="16"/>
              </w:rPr>
              <w:t>−</w:t>
            </w:r>
            <w:r w:rsidR="00592233" w:rsidRPr="00931FD3">
              <w:rPr>
                <w:sz w:val="16"/>
                <w:szCs w:val="16"/>
              </w:rPr>
              <w:t>0.153</w:t>
            </w:r>
          </w:p>
        </w:tc>
        <w:tc>
          <w:tcPr>
            <w:tcW w:w="354" w:type="pct"/>
            <w:tcBorders>
              <w:top w:val="nil"/>
              <w:left w:val="nil"/>
              <w:bottom w:val="nil"/>
              <w:right w:val="nil"/>
            </w:tcBorders>
            <w:shd w:val="clear" w:color="auto" w:fill="auto"/>
            <w:noWrap/>
            <w:vAlign w:val="bottom"/>
          </w:tcPr>
          <w:p w:rsidR="00592233" w:rsidRPr="00931FD3" w:rsidRDefault="00AC0744" w:rsidP="00742ADD">
            <w:pPr>
              <w:jc w:val="right"/>
              <w:rPr>
                <w:sz w:val="16"/>
                <w:szCs w:val="16"/>
              </w:rPr>
            </w:pPr>
            <w:r w:rsidRPr="00931FD3">
              <w:rPr>
                <w:sz w:val="16"/>
                <w:szCs w:val="16"/>
              </w:rPr>
              <w:t>−</w:t>
            </w:r>
            <w:r w:rsidR="00592233" w:rsidRPr="00931FD3">
              <w:rPr>
                <w:sz w:val="16"/>
                <w:szCs w:val="16"/>
              </w:rPr>
              <w:t>0.109</w:t>
            </w:r>
          </w:p>
        </w:tc>
        <w:tc>
          <w:tcPr>
            <w:tcW w:w="40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0.005</w:t>
            </w:r>
          </w:p>
        </w:tc>
        <w:tc>
          <w:tcPr>
            <w:tcW w:w="282"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r w:rsidRPr="00931FD3">
              <w:rPr>
                <w:sz w:val="16"/>
                <w:szCs w:val="16"/>
              </w:rPr>
              <w:t>0.002</w:t>
            </w:r>
          </w:p>
        </w:tc>
        <w:tc>
          <w:tcPr>
            <w:tcW w:w="329"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r w:rsidRPr="00931FD3">
              <w:rPr>
                <w:sz w:val="16"/>
                <w:szCs w:val="16"/>
              </w:rPr>
              <w:t>0.002</w:t>
            </w:r>
          </w:p>
        </w:tc>
        <w:tc>
          <w:tcPr>
            <w:tcW w:w="340"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0.005</w:t>
            </w:r>
          </w:p>
        </w:tc>
        <w:tc>
          <w:tcPr>
            <w:tcW w:w="347"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0.489</w:t>
            </w: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5.793</w:t>
            </w: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0.057</w:t>
            </w: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0.064</w:t>
            </w:r>
          </w:p>
        </w:tc>
        <w:tc>
          <w:tcPr>
            <w:tcW w:w="332" w:type="pct"/>
            <w:tcBorders>
              <w:top w:val="nil"/>
              <w:left w:val="nil"/>
              <w:bottom w:val="nil"/>
              <w:right w:val="nil"/>
            </w:tcBorders>
            <w:shd w:val="clear" w:color="auto" w:fill="auto"/>
            <w:noWrap/>
            <w:vAlign w:val="bottom"/>
          </w:tcPr>
          <w:p w:rsidR="00592233" w:rsidRPr="00931FD3" w:rsidRDefault="00AC0744" w:rsidP="00742ADD">
            <w:pPr>
              <w:jc w:val="right"/>
              <w:rPr>
                <w:sz w:val="16"/>
                <w:szCs w:val="16"/>
              </w:rPr>
            </w:pPr>
            <w:r w:rsidRPr="00931FD3">
              <w:rPr>
                <w:sz w:val="16"/>
                <w:szCs w:val="16"/>
              </w:rPr>
              <w:t>−</w:t>
            </w:r>
            <w:r w:rsidR="00592233" w:rsidRPr="00931FD3">
              <w:rPr>
                <w:sz w:val="16"/>
                <w:szCs w:val="16"/>
              </w:rPr>
              <w:t>0.695</w:t>
            </w:r>
          </w:p>
        </w:tc>
      </w:tr>
      <w:tr w:rsidR="00AC2D60" w:rsidRPr="00A82E36" w:rsidTr="008010EB">
        <w:trPr>
          <w:trHeight w:val="169"/>
          <w:jc w:val="center"/>
        </w:trPr>
        <w:tc>
          <w:tcPr>
            <w:tcW w:w="455" w:type="pct"/>
            <w:tcBorders>
              <w:top w:val="nil"/>
              <w:left w:val="nil"/>
              <w:right w:val="nil"/>
            </w:tcBorders>
            <w:shd w:val="clear" w:color="auto" w:fill="auto"/>
            <w:noWrap/>
            <w:vAlign w:val="bottom"/>
            <w:hideMark/>
          </w:tcPr>
          <w:p w:rsidR="00592233" w:rsidRPr="00931FD3" w:rsidRDefault="00592233" w:rsidP="00742ADD">
            <w:pPr>
              <w:rPr>
                <w:rFonts w:eastAsia="Times New Roman"/>
                <w:sz w:val="16"/>
                <w:szCs w:val="16"/>
              </w:rPr>
            </w:pPr>
            <w:r w:rsidRPr="00931FD3">
              <w:rPr>
                <w:rFonts w:eastAsia="Times New Roman"/>
                <w:sz w:val="16"/>
                <w:szCs w:val="16"/>
              </w:rPr>
              <w:t>STD.DEV.</w:t>
            </w:r>
          </w:p>
        </w:tc>
        <w:tc>
          <w:tcPr>
            <w:tcW w:w="347" w:type="pct"/>
            <w:tcBorders>
              <w:top w:val="nil"/>
              <w:left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0.176</w:t>
            </w:r>
          </w:p>
        </w:tc>
        <w:tc>
          <w:tcPr>
            <w:tcW w:w="331"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0.250</w:t>
            </w:r>
          </w:p>
        </w:tc>
        <w:tc>
          <w:tcPr>
            <w:tcW w:w="401"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0.231</w:t>
            </w:r>
          </w:p>
        </w:tc>
        <w:tc>
          <w:tcPr>
            <w:tcW w:w="354"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0.179</w:t>
            </w:r>
          </w:p>
        </w:tc>
        <w:tc>
          <w:tcPr>
            <w:tcW w:w="40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0.047</w:t>
            </w:r>
          </w:p>
        </w:tc>
        <w:tc>
          <w:tcPr>
            <w:tcW w:w="282"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r w:rsidRPr="00931FD3">
              <w:rPr>
                <w:sz w:val="16"/>
                <w:szCs w:val="16"/>
              </w:rPr>
              <w:t>0.036</w:t>
            </w:r>
          </w:p>
        </w:tc>
        <w:tc>
          <w:tcPr>
            <w:tcW w:w="329"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r w:rsidRPr="00931FD3">
              <w:rPr>
                <w:sz w:val="16"/>
                <w:szCs w:val="16"/>
              </w:rPr>
              <w:t>0.034</w:t>
            </w:r>
          </w:p>
        </w:tc>
        <w:tc>
          <w:tcPr>
            <w:tcW w:w="340"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0.056</w:t>
            </w:r>
          </w:p>
        </w:tc>
        <w:tc>
          <w:tcPr>
            <w:tcW w:w="347"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0.220</w:t>
            </w: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2.295</w:t>
            </w: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0.058</w:t>
            </w: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0.142</w:t>
            </w: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r w:rsidRPr="00931FD3">
              <w:rPr>
                <w:sz w:val="16"/>
                <w:szCs w:val="16"/>
              </w:rPr>
              <w:t>0.810</w:t>
            </w:r>
          </w:p>
        </w:tc>
      </w:tr>
      <w:tr w:rsidR="00AC2D60" w:rsidRPr="00A82E36" w:rsidTr="008010EB">
        <w:trPr>
          <w:trHeight w:val="169"/>
          <w:jc w:val="center"/>
        </w:trPr>
        <w:tc>
          <w:tcPr>
            <w:tcW w:w="1133" w:type="pct"/>
            <w:gridSpan w:val="3"/>
            <w:tcBorders>
              <w:top w:val="single" w:sz="4" w:space="0" w:color="auto"/>
              <w:left w:val="nil"/>
              <w:right w:val="nil"/>
            </w:tcBorders>
            <w:shd w:val="clear" w:color="auto" w:fill="auto"/>
            <w:noWrap/>
            <w:vAlign w:val="bottom"/>
            <w:hideMark/>
          </w:tcPr>
          <w:p w:rsidR="00742ADD" w:rsidRPr="00931FD3" w:rsidRDefault="00742ADD" w:rsidP="00931FD3">
            <w:pPr>
              <w:ind w:hanging="109"/>
              <w:rPr>
                <w:rFonts w:eastAsia="Times New Roman"/>
                <w:b/>
                <w:bCs/>
                <w:sz w:val="16"/>
                <w:szCs w:val="16"/>
              </w:rPr>
            </w:pPr>
            <w:r w:rsidRPr="00931FD3">
              <w:rPr>
                <w:rFonts w:eastAsia="Times New Roman"/>
                <w:bCs/>
                <w:i/>
                <w:sz w:val="16"/>
                <w:szCs w:val="16"/>
              </w:rPr>
              <w:t>Pearson Correlations</w:t>
            </w:r>
          </w:p>
        </w:tc>
        <w:tc>
          <w:tcPr>
            <w:tcW w:w="401" w:type="pct"/>
            <w:tcBorders>
              <w:top w:val="single" w:sz="4" w:space="0" w:color="auto"/>
              <w:left w:val="nil"/>
              <w:right w:val="nil"/>
            </w:tcBorders>
            <w:shd w:val="clear" w:color="auto" w:fill="auto"/>
            <w:noWrap/>
            <w:vAlign w:val="bottom"/>
            <w:hideMark/>
          </w:tcPr>
          <w:p w:rsidR="00742ADD" w:rsidRPr="00931FD3" w:rsidRDefault="00742ADD" w:rsidP="00742ADD">
            <w:pPr>
              <w:jc w:val="center"/>
              <w:rPr>
                <w:rFonts w:eastAsia="Times New Roman"/>
                <w:sz w:val="16"/>
                <w:szCs w:val="16"/>
              </w:rPr>
            </w:pPr>
            <w:r w:rsidRPr="00931FD3">
              <w:rPr>
                <w:rFonts w:eastAsia="Times New Roman"/>
                <w:sz w:val="16"/>
                <w:szCs w:val="16"/>
              </w:rPr>
              <w:t> </w:t>
            </w:r>
          </w:p>
        </w:tc>
        <w:tc>
          <w:tcPr>
            <w:tcW w:w="354" w:type="pct"/>
            <w:tcBorders>
              <w:top w:val="single" w:sz="4" w:space="0" w:color="auto"/>
              <w:left w:val="nil"/>
              <w:right w:val="nil"/>
            </w:tcBorders>
            <w:shd w:val="clear" w:color="auto" w:fill="auto"/>
            <w:noWrap/>
            <w:vAlign w:val="bottom"/>
            <w:hideMark/>
          </w:tcPr>
          <w:p w:rsidR="00742ADD" w:rsidRPr="00931FD3" w:rsidRDefault="00742ADD" w:rsidP="00742ADD">
            <w:pPr>
              <w:jc w:val="center"/>
              <w:rPr>
                <w:rFonts w:eastAsia="Times New Roman"/>
                <w:sz w:val="16"/>
                <w:szCs w:val="16"/>
              </w:rPr>
            </w:pPr>
            <w:r w:rsidRPr="00931FD3">
              <w:rPr>
                <w:rFonts w:eastAsia="Times New Roman"/>
                <w:sz w:val="16"/>
                <w:szCs w:val="16"/>
              </w:rPr>
              <w:t> </w:t>
            </w:r>
          </w:p>
        </w:tc>
        <w:tc>
          <w:tcPr>
            <w:tcW w:w="403" w:type="pct"/>
            <w:tcBorders>
              <w:top w:val="single" w:sz="4" w:space="0" w:color="auto"/>
              <w:left w:val="nil"/>
              <w:right w:val="nil"/>
            </w:tcBorders>
            <w:shd w:val="clear" w:color="auto" w:fill="auto"/>
            <w:noWrap/>
          </w:tcPr>
          <w:p w:rsidR="00742ADD" w:rsidRPr="00931FD3" w:rsidRDefault="00742ADD" w:rsidP="00742ADD">
            <w:pPr>
              <w:jc w:val="right"/>
              <w:rPr>
                <w:sz w:val="16"/>
                <w:szCs w:val="16"/>
              </w:rPr>
            </w:pPr>
          </w:p>
        </w:tc>
        <w:tc>
          <w:tcPr>
            <w:tcW w:w="282" w:type="pct"/>
            <w:tcBorders>
              <w:top w:val="single" w:sz="4" w:space="0" w:color="auto"/>
              <w:left w:val="nil"/>
              <w:right w:val="nil"/>
            </w:tcBorders>
            <w:shd w:val="clear" w:color="auto" w:fill="auto"/>
            <w:noWrap/>
          </w:tcPr>
          <w:p w:rsidR="00742ADD" w:rsidRPr="00931FD3" w:rsidRDefault="00742ADD" w:rsidP="00931FD3">
            <w:pPr>
              <w:ind w:hanging="109"/>
              <w:jc w:val="right"/>
              <w:rPr>
                <w:sz w:val="16"/>
                <w:szCs w:val="16"/>
              </w:rPr>
            </w:pPr>
          </w:p>
        </w:tc>
        <w:tc>
          <w:tcPr>
            <w:tcW w:w="329" w:type="pct"/>
            <w:tcBorders>
              <w:top w:val="single" w:sz="4" w:space="0" w:color="auto"/>
              <w:left w:val="nil"/>
              <w:right w:val="nil"/>
            </w:tcBorders>
            <w:shd w:val="clear" w:color="auto" w:fill="auto"/>
            <w:noWrap/>
          </w:tcPr>
          <w:p w:rsidR="00742ADD" w:rsidRPr="00931FD3" w:rsidRDefault="00742ADD" w:rsidP="00931FD3">
            <w:pPr>
              <w:ind w:hanging="109"/>
              <w:jc w:val="right"/>
              <w:rPr>
                <w:sz w:val="16"/>
                <w:szCs w:val="16"/>
              </w:rPr>
            </w:pPr>
          </w:p>
        </w:tc>
        <w:tc>
          <w:tcPr>
            <w:tcW w:w="340" w:type="pct"/>
            <w:tcBorders>
              <w:top w:val="single" w:sz="4" w:space="0" w:color="auto"/>
              <w:left w:val="nil"/>
              <w:right w:val="nil"/>
            </w:tcBorders>
            <w:shd w:val="clear" w:color="auto" w:fill="auto"/>
            <w:noWrap/>
            <w:vAlign w:val="bottom"/>
            <w:hideMark/>
          </w:tcPr>
          <w:p w:rsidR="00742ADD" w:rsidRPr="00931FD3" w:rsidRDefault="00742ADD" w:rsidP="00742ADD">
            <w:pPr>
              <w:jc w:val="center"/>
              <w:rPr>
                <w:rFonts w:eastAsia="Times New Roman"/>
                <w:sz w:val="16"/>
                <w:szCs w:val="16"/>
              </w:rPr>
            </w:pPr>
            <w:r w:rsidRPr="00931FD3">
              <w:rPr>
                <w:rFonts w:eastAsia="Times New Roman"/>
                <w:sz w:val="16"/>
                <w:szCs w:val="16"/>
              </w:rPr>
              <w:t> </w:t>
            </w:r>
          </w:p>
        </w:tc>
        <w:tc>
          <w:tcPr>
            <w:tcW w:w="347" w:type="pct"/>
            <w:tcBorders>
              <w:top w:val="single" w:sz="4" w:space="0" w:color="auto"/>
              <w:left w:val="nil"/>
              <w:right w:val="nil"/>
            </w:tcBorders>
            <w:shd w:val="clear" w:color="auto" w:fill="auto"/>
            <w:noWrap/>
            <w:vAlign w:val="bottom"/>
            <w:hideMark/>
          </w:tcPr>
          <w:p w:rsidR="00742ADD" w:rsidRPr="00931FD3" w:rsidRDefault="00742ADD" w:rsidP="00742ADD">
            <w:pPr>
              <w:jc w:val="center"/>
              <w:rPr>
                <w:rFonts w:eastAsia="Times New Roman"/>
                <w:sz w:val="16"/>
                <w:szCs w:val="16"/>
              </w:rPr>
            </w:pPr>
            <w:r w:rsidRPr="00931FD3">
              <w:rPr>
                <w:rFonts w:eastAsia="Times New Roman"/>
                <w:sz w:val="16"/>
                <w:szCs w:val="16"/>
              </w:rPr>
              <w:t> </w:t>
            </w:r>
          </w:p>
        </w:tc>
        <w:tc>
          <w:tcPr>
            <w:tcW w:w="333" w:type="pct"/>
            <w:tcBorders>
              <w:top w:val="single" w:sz="4" w:space="0" w:color="auto"/>
              <w:left w:val="nil"/>
              <w:right w:val="nil"/>
            </w:tcBorders>
            <w:shd w:val="clear" w:color="auto" w:fill="auto"/>
            <w:noWrap/>
            <w:vAlign w:val="bottom"/>
            <w:hideMark/>
          </w:tcPr>
          <w:p w:rsidR="00742ADD" w:rsidRPr="00931FD3" w:rsidRDefault="00742ADD" w:rsidP="00742ADD">
            <w:pPr>
              <w:jc w:val="center"/>
              <w:rPr>
                <w:rFonts w:eastAsia="Times New Roman"/>
                <w:sz w:val="16"/>
                <w:szCs w:val="16"/>
              </w:rPr>
            </w:pPr>
            <w:r w:rsidRPr="00931FD3">
              <w:rPr>
                <w:rFonts w:eastAsia="Times New Roman"/>
                <w:sz w:val="16"/>
                <w:szCs w:val="16"/>
              </w:rPr>
              <w:t> </w:t>
            </w:r>
          </w:p>
        </w:tc>
        <w:tc>
          <w:tcPr>
            <w:tcW w:w="423" w:type="pct"/>
            <w:tcBorders>
              <w:top w:val="single" w:sz="4" w:space="0" w:color="auto"/>
              <w:left w:val="nil"/>
              <w:right w:val="nil"/>
            </w:tcBorders>
            <w:shd w:val="clear" w:color="auto" w:fill="auto"/>
            <w:noWrap/>
            <w:vAlign w:val="bottom"/>
            <w:hideMark/>
          </w:tcPr>
          <w:p w:rsidR="00742ADD" w:rsidRPr="00931FD3" w:rsidRDefault="00742ADD" w:rsidP="00742ADD">
            <w:pPr>
              <w:jc w:val="center"/>
              <w:rPr>
                <w:rFonts w:eastAsia="Times New Roman"/>
                <w:sz w:val="16"/>
                <w:szCs w:val="16"/>
              </w:rPr>
            </w:pPr>
            <w:r w:rsidRPr="00931FD3">
              <w:rPr>
                <w:rFonts w:eastAsia="Times New Roman"/>
                <w:sz w:val="16"/>
                <w:szCs w:val="16"/>
              </w:rPr>
              <w:t> </w:t>
            </w:r>
          </w:p>
        </w:tc>
        <w:tc>
          <w:tcPr>
            <w:tcW w:w="323" w:type="pct"/>
            <w:tcBorders>
              <w:top w:val="single" w:sz="4" w:space="0" w:color="auto"/>
              <w:left w:val="nil"/>
              <w:right w:val="nil"/>
            </w:tcBorders>
            <w:shd w:val="clear" w:color="auto" w:fill="auto"/>
            <w:noWrap/>
            <w:vAlign w:val="bottom"/>
            <w:hideMark/>
          </w:tcPr>
          <w:p w:rsidR="00742ADD" w:rsidRPr="00931FD3" w:rsidRDefault="00742ADD" w:rsidP="00742ADD">
            <w:pPr>
              <w:jc w:val="center"/>
              <w:rPr>
                <w:rFonts w:eastAsia="Times New Roman"/>
                <w:sz w:val="16"/>
                <w:szCs w:val="16"/>
              </w:rPr>
            </w:pPr>
            <w:r w:rsidRPr="00931FD3">
              <w:rPr>
                <w:rFonts w:eastAsia="Times New Roman"/>
                <w:sz w:val="16"/>
                <w:szCs w:val="16"/>
              </w:rPr>
              <w:t> </w:t>
            </w:r>
          </w:p>
        </w:tc>
        <w:tc>
          <w:tcPr>
            <w:tcW w:w="332" w:type="pct"/>
            <w:tcBorders>
              <w:top w:val="single" w:sz="4" w:space="0" w:color="auto"/>
              <w:left w:val="nil"/>
              <w:right w:val="nil"/>
            </w:tcBorders>
            <w:shd w:val="clear" w:color="auto" w:fill="auto"/>
            <w:noWrap/>
            <w:vAlign w:val="bottom"/>
            <w:hideMark/>
          </w:tcPr>
          <w:p w:rsidR="00742ADD" w:rsidRPr="00931FD3" w:rsidRDefault="00742ADD" w:rsidP="00742ADD">
            <w:pPr>
              <w:jc w:val="center"/>
              <w:rPr>
                <w:rFonts w:eastAsia="Times New Roman"/>
                <w:sz w:val="16"/>
                <w:szCs w:val="16"/>
              </w:rPr>
            </w:pPr>
            <w:r w:rsidRPr="00931FD3">
              <w:rPr>
                <w:rFonts w:eastAsia="Times New Roman"/>
                <w:sz w:val="16"/>
                <w:szCs w:val="16"/>
              </w:rPr>
              <w:t> </w:t>
            </w: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EQ</w:t>
            </w:r>
          </w:p>
        </w:tc>
        <w:tc>
          <w:tcPr>
            <w:tcW w:w="347"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0.001</w:t>
            </w:r>
          </w:p>
        </w:tc>
        <w:tc>
          <w:tcPr>
            <w:tcW w:w="33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c>
          <w:tcPr>
            <w:tcW w:w="401"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54"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0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282"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p>
        </w:tc>
        <w:tc>
          <w:tcPr>
            <w:tcW w:w="329"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p>
        </w:tc>
        <w:tc>
          <w:tcPr>
            <w:tcW w:w="340"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47"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P_EQew</w:t>
            </w:r>
          </w:p>
        </w:tc>
        <w:tc>
          <w:tcPr>
            <w:tcW w:w="347"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0.002</w:t>
            </w:r>
          </w:p>
        </w:tc>
        <w:tc>
          <w:tcPr>
            <w:tcW w:w="33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0.751</w:t>
            </w:r>
          </w:p>
        </w:tc>
        <w:tc>
          <w:tcPr>
            <w:tcW w:w="40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c>
          <w:tcPr>
            <w:tcW w:w="354"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0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282"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p>
        </w:tc>
        <w:tc>
          <w:tcPr>
            <w:tcW w:w="329"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p>
        </w:tc>
        <w:tc>
          <w:tcPr>
            <w:tcW w:w="340"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47"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P_EQmsw</w:t>
            </w:r>
          </w:p>
        </w:tc>
        <w:tc>
          <w:tcPr>
            <w:tcW w:w="347"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0.002</w:t>
            </w:r>
          </w:p>
        </w:tc>
        <w:tc>
          <w:tcPr>
            <w:tcW w:w="33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0.763</w:t>
            </w:r>
          </w:p>
        </w:tc>
        <w:tc>
          <w:tcPr>
            <w:tcW w:w="40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0.950</w:t>
            </w:r>
          </w:p>
        </w:tc>
        <w:tc>
          <w:tcPr>
            <w:tcW w:w="354"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c>
          <w:tcPr>
            <w:tcW w:w="40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282"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p>
        </w:tc>
        <w:tc>
          <w:tcPr>
            <w:tcW w:w="329"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p>
        </w:tc>
        <w:tc>
          <w:tcPr>
            <w:tcW w:w="340"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47"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MKTRF</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0.294</w:t>
            </w:r>
          </w:p>
        </w:tc>
        <w:tc>
          <w:tcPr>
            <w:tcW w:w="33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0.013</w:t>
            </w:r>
          </w:p>
        </w:tc>
        <w:tc>
          <w:tcPr>
            <w:tcW w:w="40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0.018</w:t>
            </w:r>
          </w:p>
        </w:tc>
        <w:tc>
          <w:tcPr>
            <w:tcW w:w="354"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0.019</w:t>
            </w:r>
          </w:p>
        </w:tc>
        <w:tc>
          <w:tcPr>
            <w:tcW w:w="40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c>
          <w:tcPr>
            <w:tcW w:w="282"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p>
        </w:tc>
        <w:tc>
          <w:tcPr>
            <w:tcW w:w="329"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p>
        </w:tc>
        <w:tc>
          <w:tcPr>
            <w:tcW w:w="340"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47"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SMB</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0.185</w:t>
            </w:r>
          </w:p>
        </w:tc>
        <w:tc>
          <w:tcPr>
            <w:tcW w:w="331"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0.009</w:t>
            </w:r>
          </w:p>
        </w:tc>
        <w:tc>
          <w:tcPr>
            <w:tcW w:w="401"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0.010</w:t>
            </w:r>
          </w:p>
        </w:tc>
        <w:tc>
          <w:tcPr>
            <w:tcW w:w="354"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0.012</w:t>
            </w:r>
          </w:p>
        </w:tc>
        <w:tc>
          <w:tcPr>
            <w:tcW w:w="40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0.250</w:t>
            </w:r>
          </w:p>
        </w:tc>
        <w:tc>
          <w:tcPr>
            <w:tcW w:w="282"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1.000</w:t>
            </w:r>
          </w:p>
        </w:tc>
        <w:tc>
          <w:tcPr>
            <w:tcW w:w="329" w:type="pct"/>
            <w:tcBorders>
              <w:top w:val="nil"/>
              <w:left w:val="nil"/>
              <w:bottom w:val="nil"/>
              <w:right w:val="nil"/>
            </w:tcBorders>
            <w:shd w:val="clear" w:color="auto" w:fill="auto"/>
            <w:noWrap/>
            <w:vAlign w:val="bottom"/>
          </w:tcPr>
          <w:p w:rsidR="00592233" w:rsidRPr="00931FD3" w:rsidRDefault="00592233" w:rsidP="00931FD3">
            <w:pPr>
              <w:ind w:hanging="109"/>
              <w:jc w:val="right"/>
              <w:rPr>
                <w:sz w:val="16"/>
                <w:szCs w:val="16"/>
              </w:rPr>
            </w:pPr>
          </w:p>
        </w:tc>
        <w:tc>
          <w:tcPr>
            <w:tcW w:w="340"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47"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HML</w:t>
            </w:r>
          </w:p>
        </w:tc>
        <w:tc>
          <w:tcPr>
            <w:tcW w:w="347"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0.057</w:t>
            </w:r>
          </w:p>
        </w:tc>
        <w:tc>
          <w:tcPr>
            <w:tcW w:w="331"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0.001</w:t>
            </w:r>
          </w:p>
        </w:tc>
        <w:tc>
          <w:tcPr>
            <w:tcW w:w="40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0.001</w:t>
            </w:r>
          </w:p>
        </w:tc>
        <w:tc>
          <w:tcPr>
            <w:tcW w:w="354"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0.002</w:t>
            </w:r>
          </w:p>
        </w:tc>
        <w:tc>
          <w:tcPr>
            <w:tcW w:w="403"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0.231</w:t>
            </w:r>
          </w:p>
        </w:tc>
        <w:tc>
          <w:tcPr>
            <w:tcW w:w="282" w:type="pct"/>
            <w:tcBorders>
              <w:top w:val="nil"/>
              <w:left w:val="nil"/>
              <w:bottom w:val="nil"/>
              <w:right w:val="nil"/>
            </w:tcBorders>
            <w:shd w:val="clear" w:color="auto" w:fill="auto"/>
            <w:noWrap/>
            <w:vAlign w:val="bottom"/>
            <w:hideMark/>
          </w:tcPr>
          <w:p w:rsidR="00592233" w:rsidRPr="00931FD3" w:rsidRDefault="00AC0744" w:rsidP="00931FD3">
            <w:pPr>
              <w:ind w:hanging="109"/>
              <w:jc w:val="right"/>
              <w:rPr>
                <w:sz w:val="16"/>
                <w:szCs w:val="16"/>
              </w:rPr>
            </w:pPr>
            <w:r w:rsidRPr="00931FD3">
              <w:rPr>
                <w:sz w:val="16"/>
                <w:szCs w:val="16"/>
              </w:rPr>
              <w:t>−</w:t>
            </w:r>
            <w:r w:rsidR="00592233" w:rsidRPr="00931FD3">
              <w:rPr>
                <w:sz w:val="16"/>
                <w:szCs w:val="16"/>
              </w:rPr>
              <w:t>0.355</w:t>
            </w:r>
          </w:p>
        </w:tc>
        <w:tc>
          <w:tcPr>
            <w:tcW w:w="329"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1.000</w:t>
            </w:r>
          </w:p>
        </w:tc>
        <w:tc>
          <w:tcPr>
            <w:tcW w:w="340"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47"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UMD</w:t>
            </w:r>
          </w:p>
        </w:tc>
        <w:tc>
          <w:tcPr>
            <w:tcW w:w="347"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0.132</w:t>
            </w:r>
          </w:p>
        </w:tc>
        <w:tc>
          <w:tcPr>
            <w:tcW w:w="33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0.014</w:t>
            </w:r>
          </w:p>
        </w:tc>
        <w:tc>
          <w:tcPr>
            <w:tcW w:w="40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0.014</w:t>
            </w:r>
          </w:p>
        </w:tc>
        <w:tc>
          <w:tcPr>
            <w:tcW w:w="354"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0.016</w:t>
            </w:r>
          </w:p>
        </w:tc>
        <w:tc>
          <w:tcPr>
            <w:tcW w:w="403"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0.280</w:t>
            </w:r>
          </w:p>
        </w:tc>
        <w:tc>
          <w:tcPr>
            <w:tcW w:w="282"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0.076</w:t>
            </w:r>
          </w:p>
        </w:tc>
        <w:tc>
          <w:tcPr>
            <w:tcW w:w="329" w:type="pct"/>
            <w:tcBorders>
              <w:top w:val="nil"/>
              <w:left w:val="nil"/>
              <w:bottom w:val="nil"/>
              <w:right w:val="nil"/>
            </w:tcBorders>
            <w:shd w:val="clear" w:color="auto" w:fill="auto"/>
            <w:noWrap/>
            <w:vAlign w:val="bottom"/>
            <w:hideMark/>
          </w:tcPr>
          <w:p w:rsidR="00592233" w:rsidRPr="00931FD3" w:rsidRDefault="00AC0744" w:rsidP="00931FD3">
            <w:pPr>
              <w:ind w:hanging="109"/>
              <w:jc w:val="right"/>
              <w:rPr>
                <w:sz w:val="16"/>
                <w:szCs w:val="16"/>
              </w:rPr>
            </w:pPr>
            <w:r w:rsidRPr="00931FD3">
              <w:rPr>
                <w:sz w:val="16"/>
                <w:szCs w:val="16"/>
              </w:rPr>
              <w:t>−</w:t>
            </w:r>
            <w:r w:rsidR="00592233" w:rsidRPr="00931FD3">
              <w:rPr>
                <w:sz w:val="16"/>
                <w:szCs w:val="16"/>
              </w:rPr>
              <w:t>0.150</w:t>
            </w:r>
          </w:p>
        </w:tc>
        <w:tc>
          <w:tcPr>
            <w:tcW w:w="340"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c>
          <w:tcPr>
            <w:tcW w:w="347"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Lev</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0.003</w:t>
            </w:r>
          </w:p>
        </w:tc>
        <w:tc>
          <w:tcPr>
            <w:tcW w:w="33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0.094</w:t>
            </w:r>
          </w:p>
        </w:tc>
        <w:tc>
          <w:tcPr>
            <w:tcW w:w="40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0.090</w:t>
            </w:r>
          </w:p>
        </w:tc>
        <w:tc>
          <w:tcPr>
            <w:tcW w:w="354"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0.092</w:t>
            </w:r>
          </w:p>
        </w:tc>
        <w:tc>
          <w:tcPr>
            <w:tcW w:w="40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0.005</w:t>
            </w:r>
          </w:p>
        </w:tc>
        <w:tc>
          <w:tcPr>
            <w:tcW w:w="282"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0.002</w:t>
            </w:r>
          </w:p>
        </w:tc>
        <w:tc>
          <w:tcPr>
            <w:tcW w:w="329" w:type="pct"/>
            <w:tcBorders>
              <w:top w:val="nil"/>
              <w:left w:val="nil"/>
              <w:bottom w:val="nil"/>
              <w:right w:val="nil"/>
            </w:tcBorders>
            <w:shd w:val="clear" w:color="auto" w:fill="auto"/>
            <w:noWrap/>
            <w:vAlign w:val="bottom"/>
            <w:hideMark/>
          </w:tcPr>
          <w:p w:rsidR="00592233" w:rsidRPr="00931FD3" w:rsidRDefault="00AC0744" w:rsidP="00931FD3">
            <w:pPr>
              <w:ind w:hanging="109"/>
              <w:jc w:val="right"/>
              <w:rPr>
                <w:sz w:val="16"/>
                <w:szCs w:val="16"/>
              </w:rPr>
            </w:pPr>
            <w:r w:rsidRPr="00931FD3">
              <w:rPr>
                <w:sz w:val="16"/>
                <w:szCs w:val="16"/>
              </w:rPr>
              <w:t>−</w:t>
            </w:r>
            <w:r w:rsidR="00592233" w:rsidRPr="00931FD3">
              <w:rPr>
                <w:sz w:val="16"/>
                <w:szCs w:val="16"/>
              </w:rPr>
              <w:t>0.001</w:t>
            </w:r>
          </w:p>
        </w:tc>
        <w:tc>
          <w:tcPr>
            <w:tcW w:w="340"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0.002</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c>
          <w:tcPr>
            <w:tcW w:w="33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LnMV</w:t>
            </w:r>
          </w:p>
        </w:tc>
        <w:tc>
          <w:tcPr>
            <w:tcW w:w="347"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0.030</w:t>
            </w:r>
          </w:p>
        </w:tc>
        <w:tc>
          <w:tcPr>
            <w:tcW w:w="33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0.041</w:t>
            </w:r>
          </w:p>
        </w:tc>
        <w:tc>
          <w:tcPr>
            <w:tcW w:w="401"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0.063</w:t>
            </w:r>
          </w:p>
        </w:tc>
        <w:tc>
          <w:tcPr>
            <w:tcW w:w="354"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0.069</w:t>
            </w:r>
          </w:p>
        </w:tc>
        <w:tc>
          <w:tcPr>
            <w:tcW w:w="403"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0.027</w:t>
            </w:r>
          </w:p>
        </w:tc>
        <w:tc>
          <w:tcPr>
            <w:tcW w:w="282"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0.000</w:t>
            </w:r>
          </w:p>
        </w:tc>
        <w:tc>
          <w:tcPr>
            <w:tcW w:w="329" w:type="pct"/>
            <w:tcBorders>
              <w:top w:val="nil"/>
              <w:left w:val="nil"/>
              <w:bottom w:val="nil"/>
              <w:right w:val="nil"/>
            </w:tcBorders>
            <w:shd w:val="clear" w:color="auto" w:fill="auto"/>
            <w:noWrap/>
            <w:vAlign w:val="bottom"/>
            <w:hideMark/>
          </w:tcPr>
          <w:p w:rsidR="00592233" w:rsidRPr="00931FD3" w:rsidRDefault="00AC0744" w:rsidP="00931FD3">
            <w:pPr>
              <w:ind w:hanging="109"/>
              <w:jc w:val="right"/>
              <w:rPr>
                <w:sz w:val="16"/>
                <w:szCs w:val="16"/>
              </w:rPr>
            </w:pPr>
            <w:r w:rsidRPr="00931FD3">
              <w:rPr>
                <w:sz w:val="16"/>
                <w:szCs w:val="16"/>
              </w:rPr>
              <w:t>−</w:t>
            </w:r>
            <w:r w:rsidR="00592233" w:rsidRPr="00931FD3">
              <w:rPr>
                <w:sz w:val="16"/>
                <w:szCs w:val="16"/>
              </w:rPr>
              <w:t>0.006</w:t>
            </w:r>
          </w:p>
        </w:tc>
        <w:tc>
          <w:tcPr>
            <w:tcW w:w="340"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0.007</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0.182</w:t>
            </w:r>
          </w:p>
        </w:tc>
        <w:tc>
          <w:tcPr>
            <w:tcW w:w="33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c>
          <w:tcPr>
            <w:tcW w:w="4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STD_CFO</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0.003</w:t>
            </w:r>
          </w:p>
        </w:tc>
        <w:tc>
          <w:tcPr>
            <w:tcW w:w="331"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0.239</w:t>
            </w:r>
          </w:p>
        </w:tc>
        <w:tc>
          <w:tcPr>
            <w:tcW w:w="401"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0.079</w:t>
            </w:r>
          </w:p>
        </w:tc>
        <w:tc>
          <w:tcPr>
            <w:tcW w:w="354"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0.086</w:t>
            </w:r>
          </w:p>
        </w:tc>
        <w:tc>
          <w:tcPr>
            <w:tcW w:w="403"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0.002</w:t>
            </w:r>
          </w:p>
        </w:tc>
        <w:tc>
          <w:tcPr>
            <w:tcW w:w="282"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0.001</w:t>
            </w:r>
          </w:p>
        </w:tc>
        <w:tc>
          <w:tcPr>
            <w:tcW w:w="329"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0.006</w:t>
            </w:r>
          </w:p>
        </w:tc>
        <w:tc>
          <w:tcPr>
            <w:tcW w:w="340"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0.005</w:t>
            </w:r>
          </w:p>
        </w:tc>
        <w:tc>
          <w:tcPr>
            <w:tcW w:w="347"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0.193</w:t>
            </w:r>
          </w:p>
        </w:tc>
        <w:tc>
          <w:tcPr>
            <w:tcW w:w="333"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0.338</w:t>
            </w:r>
          </w:p>
        </w:tc>
        <w:tc>
          <w:tcPr>
            <w:tcW w:w="42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c>
          <w:tcPr>
            <w:tcW w:w="323"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nil"/>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CFO</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0.002</w:t>
            </w:r>
          </w:p>
        </w:tc>
        <w:tc>
          <w:tcPr>
            <w:tcW w:w="33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0.113</w:t>
            </w:r>
          </w:p>
        </w:tc>
        <w:tc>
          <w:tcPr>
            <w:tcW w:w="401"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0.045</w:t>
            </w:r>
          </w:p>
        </w:tc>
        <w:tc>
          <w:tcPr>
            <w:tcW w:w="354"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0.043</w:t>
            </w:r>
          </w:p>
        </w:tc>
        <w:tc>
          <w:tcPr>
            <w:tcW w:w="40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0.005</w:t>
            </w:r>
          </w:p>
        </w:tc>
        <w:tc>
          <w:tcPr>
            <w:tcW w:w="282" w:type="pct"/>
            <w:tcBorders>
              <w:top w:val="nil"/>
              <w:left w:val="nil"/>
              <w:bottom w:val="nil"/>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0.002</w:t>
            </w:r>
          </w:p>
        </w:tc>
        <w:tc>
          <w:tcPr>
            <w:tcW w:w="329" w:type="pct"/>
            <w:tcBorders>
              <w:top w:val="nil"/>
              <w:left w:val="nil"/>
              <w:bottom w:val="nil"/>
              <w:right w:val="nil"/>
            </w:tcBorders>
            <w:shd w:val="clear" w:color="auto" w:fill="auto"/>
            <w:noWrap/>
            <w:vAlign w:val="bottom"/>
            <w:hideMark/>
          </w:tcPr>
          <w:p w:rsidR="00592233" w:rsidRPr="00931FD3" w:rsidRDefault="00AC0744" w:rsidP="00931FD3">
            <w:pPr>
              <w:ind w:hanging="109"/>
              <w:jc w:val="right"/>
              <w:rPr>
                <w:sz w:val="16"/>
                <w:szCs w:val="16"/>
              </w:rPr>
            </w:pPr>
            <w:r w:rsidRPr="00931FD3">
              <w:rPr>
                <w:sz w:val="16"/>
                <w:szCs w:val="16"/>
              </w:rPr>
              <w:t>−</w:t>
            </w:r>
            <w:r w:rsidR="00592233" w:rsidRPr="00931FD3">
              <w:rPr>
                <w:sz w:val="16"/>
                <w:szCs w:val="16"/>
              </w:rPr>
              <w:t>0.006</w:t>
            </w:r>
          </w:p>
        </w:tc>
        <w:tc>
          <w:tcPr>
            <w:tcW w:w="340"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0.009</w:t>
            </w:r>
          </w:p>
        </w:tc>
        <w:tc>
          <w:tcPr>
            <w:tcW w:w="347"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0.000</w:t>
            </w:r>
          </w:p>
        </w:tc>
        <w:tc>
          <w:tcPr>
            <w:tcW w:w="33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0.303</w:t>
            </w:r>
          </w:p>
        </w:tc>
        <w:tc>
          <w:tcPr>
            <w:tcW w:w="423" w:type="pct"/>
            <w:tcBorders>
              <w:top w:val="nil"/>
              <w:left w:val="nil"/>
              <w:bottom w:val="nil"/>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0.321</w:t>
            </w:r>
          </w:p>
        </w:tc>
        <w:tc>
          <w:tcPr>
            <w:tcW w:w="323" w:type="pct"/>
            <w:tcBorders>
              <w:top w:val="nil"/>
              <w:left w:val="nil"/>
              <w:bottom w:val="nil"/>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c>
          <w:tcPr>
            <w:tcW w:w="332" w:type="pct"/>
            <w:tcBorders>
              <w:top w:val="nil"/>
              <w:left w:val="nil"/>
              <w:bottom w:val="nil"/>
              <w:right w:val="nil"/>
            </w:tcBorders>
            <w:shd w:val="clear" w:color="auto" w:fill="auto"/>
            <w:noWrap/>
            <w:vAlign w:val="bottom"/>
          </w:tcPr>
          <w:p w:rsidR="00592233" w:rsidRPr="00931FD3" w:rsidRDefault="00592233" w:rsidP="00742ADD">
            <w:pPr>
              <w:jc w:val="right"/>
              <w:rPr>
                <w:sz w:val="16"/>
                <w:szCs w:val="16"/>
              </w:rPr>
            </w:pPr>
          </w:p>
        </w:tc>
      </w:tr>
      <w:tr w:rsidR="00AC2D60" w:rsidRPr="00A82E36" w:rsidTr="008010EB">
        <w:trPr>
          <w:trHeight w:val="169"/>
          <w:jc w:val="center"/>
        </w:trPr>
        <w:tc>
          <w:tcPr>
            <w:tcW w:w="455" w:type="pct"/>
            <w:tcBorders>
              <w:top w:val="nil"/>
              <w:left w:val="nil"/>
              <w:bottom w:val="single" w:sz="4" w:space="0" w:color="auto"/>
              <w:right w:val="nil"/>
            </w:tcBorders>
            <w:shd w:val="clear" w:color="auto" w:fill="auto"/>
            <w:noWrap/>
            <w:vAlign w:val="bottom"/>
            <w:hideMark/>
          </w:tcPr>
          <w:p w:rsidR="00592233" w:rsidRPr="00931FD3" w:rsidRDefault="00592233" w:rsidP="00742ADD">
            <w:pPr>
              <w:rPr>
                <w:rFonts w:eastAsia="Times New Roman"/>
                <w:i/>
                <w:sz w:val="16"/>
                <w:szCs w:val="16"/>
              </w:rPr>
            </w:pPr>
            <w:r w:rsidRPr="00931FD3">
              <w:rPr>
                <w:rFonts w:eastAsia="Times New Roman"/>
                <w:i/>
                <w:sz w:val="16"/>
                <w:szCs w:val="16"/>
              </w:rPr>
              <w:t>BM</w:t>
            </w:r>
          </w:p>
        </w:tc>
        <w:tc>
          <w:tcPr>
            <w:tcW w:w="347" w:type="pct"/>
            <w:tcBorders>
              <w:top w:val="nil"/>
              <w:left w:val="nil"/>
              <w:bottom w:val="single" w:sz="4" w:space="0" w:color="auto"/>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0.037</w:t>
            </w:r>
          </w:p>
        </w:tc>
        <w:tc>
          <w:tcPr>
            <w:tcW w:w="331" w:type="pct"/>
            <w:tcBorders>
              <w:top w:val="nil"/>
              <w:left w:val="nil"/>
              <w:bottom w:val="single" w:sz="4" w:space="0" w:color="auto"/>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0.108</w:t>
            </w:r>
          </w:p>
        </w:tc>
        <w:tc>
          <w:tcPr>
            <w:tcW w:w="401" w:type="pct"/>
            <w:tcBorders>
              <w:top w:val="nil"/>
              <w:left w:val="nil"/>
              <w:bottom w:val="single" w:sz="4" w:space="0" w:color="auto"/>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0.080</w:t>
            </w:r>
          </w:p>
        </w:tc>
        <w:tc>
          <w:tcPr>
            <w:tcW w:w="354" w:type="pct"/>
            <w:tcBorders>
              <w:top w:val="nil"/>
              <w:left w:val="nil"/>
              <w:bottom w:val="single" w:sz="4" w:space="0" w:color="auto"/>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0.081</w:t>
            </w:r>
          </w:p>
        </w:tc>
        <w:tc>
          <w:tcPr>
            <w:tcW w:w="403" w:type="pct"/>
            <w:tcBorders>
              <w:top w:val="nil"/>
              <w:left w:val="nil"/>
              <w:bottom w:val="single" w:sz="4" w:space="0" w:color="auto"/>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0.020</w:t>
            </w:r>
          </w:p>
        </w:tc>
        <w:tc>
          <w:tcPr>
            <w:tcW w:w="282" w:type="pct"/>
            <w:tcBorders>
              <w:top w:val="nil"/>
              <w:left w:val="nil"/>
              <w:bottom w:val="single" w:sz="4" w:space="0" w:color="auto"/>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0.031</w:t>
            </w:r>
          </w:p>
        </w:tc>
        <w:tc>
          <w:tcPr>
            <w:tcW w:w="329" w:type="pct"/>
            <w:tcBorders>
              <w:top w:val="nil"/>
              <w:left w:val="nil"/>
              <w:bottom w:val="single" w:sz="4" w:space="0" w:color="auto"/>
              <w:right w:val="nil"/>
            </w:tcBorders>
            <w:shd w:val="clear" w:color="auto" w:fill="auto"/>
            <w:noWrap/>
            <w:vAlign w:val="bottom"/>
            <w:hideMark/>
          </w:tcPr>
          <w:p w:rsidR="00592233" w:rsidRPr="00931FD3" w:rsidRDefault="00592233" w:rsidP="00931FD3">
            <w:pPr>
              <w:ind w:hanging="109"/>
              <w:jc w:val="right"/>
              <w:rPr>
                <w:sz w:val="16"/>
                <w:szCs w:val="16"/>
              </w:rPr>
            </w:pPr>
            <w:r w:rsidRPr="00931FD3">
              <w:rPr>
                <w:sz w:val="16"/>
                <w:szCs w:val="16"/>
              </w:rPr>
              <w:t>0.001</w:t>
            </w:r>
          </w:p>
        </w:tc>
        <w:tc>
          <w:tcPr>
            <w:tcW w:w="340" w:type="pct"/>
            <w:tcBorders>
              <w:top w:val="nil"/>
              <w:left w:val="nil"/>
              <w:bottom w:val="single" w:sz="4" w:space="0" w:color="auto"/>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0.039</w:t>
            </w:r>
          </w:p>
        </w:tc>
        <w:tc>
          <w:tcPr>
            <w:tcW w:w="347" w:type="pct"/>
            <w:tcBorders>
              <w:top w:val="nil"/>
              <w:left w:val="nil"/>
              <w:bottom w:val="single" w:sz="4" w:space="0" w:color="auto"/>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0.071</w:t>
            </w:r>
          </w:p>
        </w:tc>
        <w:tc>
          <w:tcPr>
            <w:tcW w:w="333" w:type="pct"/>
            <w:tcBorders>
              <w:top w:val="nil"/>
              <w:left w:val="nil"/>
              <w:bottom w:val="single" w:sz="4" w:space="0" w:color="auto"/>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0.370</w:t>
            </w:r>
          </w:p>
        </w:tc>
        <w:tc>
          <w:tcPr>
            <w:tcW w:w="423" w:type="pct"/>
            <w:tcBorders>
              <w:top w:val="nil"/>
              <w:left w:val="nil"/>
              <w:bottom w:val="single" w:sz="4" w:space="0" w:color="auto"/>
              <w:right w:val="nil"/>
            </w:tcBorders>
            <w:shd w:val="clear" w:color="auto" w:fill="auto"/>
            <w:noWrap/>
            <w:vAlign w:val="bottom"/>
            <w:hideMark/>
          </w:tcPr>
          <w:p w:rsidR="00592233" w:rsidRPr="00931FD3" w:rsidRDefault="00AC0744" w:rsidP="00742ADD">
            <w:pPr>
              <w:jc w:val="right"/>
              <w:rPr>
                <w:sz w:val="16"/>
                <w:szCs w:val="16"/>
              </w:rPr>
            </w:pPr>
            <w:r w:rsidRPr="00931FD3">
              <w:rPr>
                <w:sz w:val="16"/>
                <w:szCs w:val="16"/>
              </w:rPr>
              <w:t>−</w:t>
            </w:r>
            <w:r w:rsidR="00592233" w:rsidRPr="00931FD3">
              <w:rPr>
                <w:sz w:val="16"/>
                <w:szCs w:val="16"/>
              </w:rPr>
              <w:t>0.155</w:t>
            </w:r>
          </w:p>
        </w:tc>
        <w:tc>
          <w:tcPr>
            <w:tcW w:w="323" w:type="pct"/>
            <w:tcBorders>
              <w:top w:val="nil"/>
              <w:left w:val="nil"/>
              <w:bottom w:val="single" w:sz="4" w:space="0" w:color="auto"/>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0.009</w:t>
            </w:r>
          </w:p>
        </w:tc>
        <w:tc>
          <w:tcPr>
            <w:tcW w:w="332" w:type="pct"/>
            <w:tcBorders>
              <w:top w:val="nil"/>
              <w:left w:val="nil"/>
              <w:bottom w:val="single" w:sz="4" w:space="0" w:color="auto"/>
              <w:right w:val="nil"/>
            </w:tcBorders>
            <w:shd w:val="clear" w:color="auto" w:fill="auto"/>
            <w:noWrap/>
            <w:vAlign w:val="bottom"/>
            <w:hideMark/>
          </w:tcPr>
          <w:p w:rsidR="00592233" w:rsidRPr="00931FD3" w:rsidRDefault="00592233" w:rsidP="00742ADD">
            <w:pPr>
              <w:jc w:val="right"/>
              <w:rPr>
                <w:sz w:val="16"/>
                <w:szCs w:val="16"/>
              </w:rPr>
            </w:pPr>
            <w:r w:rsidRPr="00931FD3">
              <w:rPr>
                <w:sz w:val="16"/>
                <w:szCs w:val="16"/>
              </w:rPr>
              <w:t>1.000</w:t>
            </w:r>
          </w:p>
        </w:tc>
      </w:tr>
    </w:tbl>
    <w:p w:rsidR="00742ADD" w:rsidRDefault="00742ADD">
      <w:pPr>
        <w:widowControl/>
        <w:overflowPunct/>
        <w:autoSpaceDE/>
        <w:autoSpaceDN/>
        <w:adjustRightInd/>
      </w:pPr>
      <w:r>
        <w:t xml:space="preserve"> </w:t>
      </w:r>
      <w:r>
        <w:br w:type="page"/>
      </w:r>
    </w:p>
    <w:tbl>
      <w:tblPr>
        <w:tblpPr w:leftFromText="180" w:rightFromText="180" w:vertAnchor="text" w:horzAnchor="margin" w:tblpXSpec="center" w:tblpY="96"/>
        <w:tblW w:w="11908" w:type="dxa"/>
        <w:tblLayout w:type="fixed"/>
        <w:tblLook w:val="04A0" w:firstRow="1" w:lastRow="0" w:firstColumn="1" w:lastColumn="0" w:noHBand="0" w:noVBand="1"/>
      </w:tblPr>
      <w:tblGrid>
        <w:gridCol w:w="1157"/>
        <w:gridCol w:w="31"/>
        <w:gridCol w:w="973"/>
        <w:gridCol w:w="1007"/>
        <w:gridCol w:w="1160"/>
        <w:gridCol w:w="1085"/>
        <w:gridCol w:w="1106"/>
        <w:gridCol w:w="1111"/>
        <w:gridCol w:w="1086"/>
        <w:gridCol w:w="1085"/>
        <w:gridCol w:w="1126"/>
        <w:gridCol w:w="981"/>
      </w:tblGrid>
      <w:tr w:rsidR="00081FC0" w:rsidRPr="00AC2D60" w:rsidTr="008010EB">
        <w:trPr>
          <w:trHeight w:val="270"/>
        </w:trPr>
        <w:tc>
          <w:tcPr>
            <w:tcW w:w="11908" w:type="dxa"/>
            <w:gridSpan w:val="12"/>
            <w:tcBorders>
              <w:top w:val="nil"/>
              <w:left w:val="nil"/>
              <w:bottom w:val="single" w:sz="4" w:space="0" w:color="auto"/>
              <w:right w:val="nil"/>
            </w:tcBorders>
          </w:tcPr>
          <w:p w:rsidR="00081FC0" w:rsidRPr="00AC2D60" w:rsidRDefault="00742ADD" w:rsidP="00742ADD">
            <w:pPr>
              <w:jc w:val="center"/>
              <w:rPr>
                <w:rFonts w:eastAsia="Times New Roman"/>
                <w:b/>
              </w:rPr>
            </w:pPr>
            <w:r w:rsidRPr="00AC2D60">
              <w:rPr>
                <w:rFonts w:eastAsia="Times New Roman"/>
                <w:b/>
              </w:rPr>
              <w:lastRenderedPageBreak/>
              <w:t>Table 2</w:t>
            </w:r>
            <w:r w:rsidRPr="00AC2D60">
              <w:rPr>
                <w:rFonts w:eastAsia="Times New Roman"/>
                <w:i/>
              </w:rPr>
              <w:t xml:space="preserve"> (Cont’d)</w:t>
            </w:r>
          </w:p>
        </w:tc>
      </w:tr>
      <w:tr w:rsidR="00081FC0" w:rsidRPr="00AC2D60" w:rsidTr="008010EB">
        <w:trPr>
          <w:trHeight w:val="270"/>
        </w:trPr>
        <w:tc>
          <w:tcPr>
            <w:tcW w:w="11908" w:type="dxa"/>
            <w:gridSpan w:val="12"/>
            <w:tcBorders>
              <w:top w:val="single" w:sz="4" w:space="0" w:color="auto"/>
              <w:left w:val="nil"/>
              <w:right w:val="nil"/>
            </w:tcBorders>
          </w:tcPr>
          <w:p w:rsidR="00081FC0" w:rsidRPr="00AC2D60" w:rsidRDefault="00081FC0" w:rsidP="00742ADD">
            <w:pPr>
              <w:rPr>
                <w:rFonts w:eastAsia="Times New Roman"/>
                <w:b/>
              </w:rPr>
            </w:pPr>
            <w:r w:rsidRPr="00AC2D60">
              <w:rPr>
                <w:rFonts w:eastAsia="Times New Roman"/>
                <w:b/>
              </w:rPr>
              <w:t xml:space="preserve">Panel </w:t>
            </w:r>
            <w:r w:rsidR="00742ADD" w:rsidRPr="00AC2D60">
              <w:rPr>
                <w:rFonts w:eastAsia="Times New Roman"/>
                <w:b/>
              </w:rPr>
              <w:t>B</w:t>
            </w:r>
            <w:r w:rsidRPr="00AC2D60">
              <w:rPr>
                <w:rFonts w:eastAsia="Times New Roman"/>
                <w:b/>
              </w:rPr>
              <w:t>:</w:t>
            </w:r>
            <w:r w:rsidRPr="00AC2D60">
              <w:rPr>
                <w:b/>
              </w:rPr>
              <w:t xml:space="preserve"> </w:t>
            </w:r>
            <w:r w:rsidRPr="00AC2D60">
              <w:rPr>
                <w:rFonts w:eastAsia="Times New Roman"/>
                <w:b/>
              </w:rPr>
              <w:t>Sample for Implied Cost of Equity Test</w:t>
            </w:r>
          </w:p>
        </w:tc>
      </w:tr>
      <w:tr w:rsidR="005C608C" w:rsidRPr="00AC2D60" w:rsidTr="008010EB">
        <w:trPr>
          <w:trHeight w:val="270"/>
        </w:trPr>
        <w:tc>
          <w:tcPr>
            <w:tcW w:w="1188" w:type="dxa"/>
            <w:gridSpan w:val="2"/>
            <w:tcBorders>
              <w:left w:val="nil"/>
              <w:right w:val="nil"/>
            </w:tcBorders>
            <w:shd w:val="clear" w:color="auto" w:fill="auto"/>
            <w:noWrap/>
            <w:vAlign w:val="bottom"/>
            <w:hideMark/>
          </w:tcPr>
          <w:p w:rsidR="007F2AFA" w:rsidRPr="00AC2D60" w:rsidRDefault="007F2AFA" w:rsidP="007F2AFA">
            <w:pPr>
              <w:rPr>
                <w:rFonts w:eastAsia="Times New Roman"/>
              </w:rPr>
            </w:pPr>
            <w:r w:rsidRPr="00AC2D60">
              <w:rPr>
                <w:rFonts w:eastAsia="Times New Roman"/>
              </w:rPr>
              <w:t> </w:t>
            </w:r>
          </w:p>
        </w:tc>
        <w:tc>
          <w:tcPr>
            <w:tcW w:w="973" w:type="dxa"/>
            <w:tcBorders>
              <w:left w:val="nil"/>
              <w:bottom w:val="single" w:sz="4" w:space="0" w:color="auto"/>
              <w:right w:val="nil"/>
            </w:tcBorders>
            <w:shd w:val="clear" w:color="auto" w:fill="auto"/>
            <w:noWrap/>
            <w:vAlign w:val="bottom"/>
            <w:hideMark/>
          </w:tcPr>
          <w:p w:rsidR="007F2AFA" w:rsidRPr="00AC2D60" w:rsidRDefault="007F2AFA" w:rsidP="007F2AFA">
            <w:pPr>
              <w:jc w:val="center"/>
              <w:rPr>
                <w:rFonts w:eastAsia="Times New Roman"/>
                <w:i/>
              </w:rPr>
            </w:pPr>
            <w:r w:rsidRPr="00AC2D60">
              <w:rPr>
                <w:rFonts w:eastAsia="Times New Roman"/>
                <w:i/>
                <w:color w:val="000000"/>
              </w:rPr>
              <w:t>ICoE</w:t>
            </w:r>
          </w:p>
        </w:tc>
        <w:tc>
          <w:tcPr>
            <w:tcW w:w="1007" w:type="dxa"/>
            <w:tcBorders>
              <w:left w:val="nil"/>
              <w:bottom w:val="single" w:sz="4" w:space="0" w:color="auto"/>
              <w:right w:val="nil"/>
            </w:tcBorders>
            <w:vAlign w:val="bottom"/>
          </w:tcPr>
          <w:p w:rsidR="007F2AFA" w:rsidRPr="00AC2D60" w:rsidRDefault="007F2AFA" w:rsidP="007F2AFA">
            <w:pPr>
              <w:jc w:val="center"/>
              <w:rPr>
                <w:rFonts w:eastAsia="Times New Roman"/>
                <w:i/>
              </w:rPr>
            </w:pPr>
            <w:r w:rsidRPr="00AC2D60">
              <w:rPr>
                <w:rFonts w:eastAsia="Times New Roman"/>
                <w:i/>
              </w:rPr>
              <w:t>Beta</w:t>
            </w:r>
          </w:p>
        </w:tc>
        <w:tc>
          <w:tcPr>
            <w:tcW w:w="1160" w:type="dxa"/>
            <w:tcBorders>
              <w:left w:val="nil"/>
              <w:bottom w:val="single" w:sz="4" w:space="0" w:color="auto"/>
              <w:right w:val="nil"/>
            </w:tcBorders>
            <w:shd w:val="clear" w:color="auto" w:fill="auto"/>
            <w:noWrap/>
            <w:vAlign w:val="bottom"/>
          </w:tcPr>
          <w:p w:rsidR="007F2AFA" w:rsidRPr="00AC2D60" w:rsidRDefault="007F2AFA" w:rsidP="007F2AFA">
            <w:pPr>
              <w:jc w:val="center"/>
              <w:rPr>
                <w:rFonts w:eastAsia="Times New Roman"/>
                <w:i/>
              </w:rPr>
            </w:pPr>
            <w:r w:rsidRPr="00AC2D60">
              <w:rPr>
                <w:rFonts w:eastAsia="Times New Roman"/>
                <w:i/>
              </w:rPr>
              <w:t>EQ</w:t>
            </w:r>
          </w:p>
        </w:tc>
        <w:tc>
          <w:tcPr>
            <w:tcW w:w="1085" w:type="dxa"/>
            <w:tcBorders>
              <w:left w:val="nil"/>
              <w:bottom w:val="single" w:sz="4" w:space="0" w:color="auto"/>
              <w:right w:val="nil"/>
            </w:tcBorders>
            <w:shd w:val="clear" w:color="auto" w:fill="auto"/>
            <w:noWrap/>
            <w:vAlign w:val="bottom"/>
          </w:tcPr>
          <w:p w:rsidR="007F2AFA" w:rsidRPr="00AC2D60" w:rsidRDefault="007F2AFA" w:rsidP="007F2AFA">
            <w:pPr>
              <w:jc w:val="center"/>
              <w:rPr>
                <w:rFonts w:eastAsia="Times New Roman"/>
                <w:i/>
              </w:rPr>
            </w:pPr>
            <w:r w:rsidRPr="00AC2D60">
              <w:rPr>
                <w:rFonts w:eastAsia="Times New Roman"/>
                <w:i/>
              </w:rPr>
              <w:t>P_EQew</w:t>
            </w:r>
          </w:p>
        </w:tc>
        <w:tc>
          <w:tcPr>
            <w:tcW w:w="1106" w:type="dxa"/>
            <w:tcBorders>
              <w:left w:val="nil"/>
              <w:bottom w:val="single" w:sz="4" w:space="0" w:color="auto"/>
              <w:right w:val="nil"/>
            </w:tcBorders>
            <w:shd w:val="clear" w:color="auto" w:fill="auto"/>
            <w:noWrap/>
            <w:vAlign w:val="bottom"/>
          </w:tcPr>
          <w:p w:rsidR="007F2AFA" w:rsidRPr="00AC2D60" w:rsidRDefault="007F2AFA" w:rsidP="007F2AFA">
            <w:pPr>
              <w:jc w:val="center"/>
              <w:rPr>
                <w:rFonts w:eastAsia="Times New Roman"/>
                <w:i/>
              </w:rPr>
            </w:pPr>
            <w:r w:rsidRPr="00AC2D60">
              <w:rPr>
                <w:rFonts w:eastAsia="Times New Roman"/>
                <w:i/>
              </w:rPr>
              <w:t>P_EQmsw</w:t>
            </w:r>
          </w:p>
        </w:tc>
        <w:tc>
          <w:tcPr>
            <w:tcW w:w="1111" w:type="dxa"/>
            <w:tcBorders>
              <w:left w:val="nil"/>
              <w:bottom w:val="single" w:sz="4" w:space="0" w:color="auto"/>
              <w:right w:val="nil"/>
            </w:tcBorders>
            <w:shd w:val="clear" w:color="auto" w:fill="auto"/>
            <w:noWrap/>
            <w:vAlign w:val="bottom"/>
          </w:tcPr>
          <w:p w:rsidR="007F2AFA" w:rsidRPr="00AC2D60" w:rsidRDefault="007F2AFA" w:rsidP="007F2AFA">
            <w:pPr>
              <w:jc w:val="center"/>
              <w:rPr>
                <w:rFonts w:eastAsia="Times New Roman"/>
                <w:i/>
              </w:rPr>
            </w:pPr>
            <w:r w:rsidRPr="00AC2D60">
              <w:rPr>
                <w:rFonts w:eastAsia="Times New Roman"/>
                <w:i/>
              </w:rPr>
              <w:t>LEV</w:t>
            </w:r>
          </w:p>
        </w:tc>
        <w:tc>
          <w:tcPr>
            <w:tcW w:w="1086" w:type="dxa"/>
            <w:tcBorders>
              <w:left w:val="nil"/>
              <w:bottom w:val="single" w:sz="4" w:space="0" w:color="auto"/>
              <w:right w:val="nil"/>
            </w:tcBorders>
            <w:shd w:val="clear" w:color="auto" w:fill="auto"/>
            <w:noWrap/>
            <w:vAlign w:val="bottom"/>
          </w:tcPr>
          <w:p w:rsidR="007F2AFA" w:rsidRPr="00AC2D60" w:rsidRDefault="007F2AFA" w:rsidP="007F2AFA">
            <w:pPr>
              <w:jc w:val="center"/>
              <w:rPr>
                <w:rFonts w:eastAsia="Times New Roman"/>
                <w:i/>
              </w:rPr>
            </w:pPr>
            <w:r w:rsidRPr="00AC2D60">
              <w:rPr>
                <w:rFonts w:eastAsia="Times New Roman"/>
                <w:i/>
              </w:rPr>
              <w:t>LnMV</w:t>
            </w:r>
          </w:p>
        </w:tc>
        <w:tc>
          <w:tcPr>
            <w:tcW w:w="1085" w:type="dxa"/>
            <w:tcBorders>
              <w:left w:val="nil"/>
              <w:bottom w:val="single" w:sz="4" w:space="0" w:color="auto"/>
              <w:right w:val="nil"/>
            </w:tcBorders>
            <w:shd w:val="clear" w:color="auto" w:fill="auto"/>
            <w:noWrap/>
            <w:vAlign w:val="bottom"/>
          </w:tcPr>
          <w:p w:rsidR="007F2AFA" w:rsidRPr="00AC2D60" w:rsidRDefault="007F2AFA" w:rsidP="007F2AFA">
            <w:pPr>
              <w:jc w:val="center"/>
              <w:rPr>
                <w:rFonts w:eastAsia="Times New Roman"/>
                <w:i/>
              </w:rPr>
            </w:pPr>
            <w:r w:rsidRPr="00AC2D60">
              <w:rPr>
                <w:rFonts w:eastAsia="Times New Roman"/>
                <w:i/>
              </w:rPr>
              <w:t>STD_CFO</w:t>
            </w:r>
          </w:p>
        </w:tc>
        <w:tc>
          <w:tcPr>
            <w:tcW w:w="1126" w:type="dxa"/>
            <w:tcBorders>
              <w:left w:val="nil"/>
              <w:bottom w:val="single" w:sz="4" w:space="0" w:color="auto"/>
              <w:right w:val="nil"/>
            </w:tcBorders>
            <w:shd w:val="clear" w:color="auto" w:fill="auto"/>
            <w:noWrap/>
            <w:vAlign w:val="bottom"/>
          </w:tcPr>
          <w:p w:rsidR="007F2AFA" w:rsidRPr="00AC2D60" w:rsidRDefault="007F2AFA" w:rsidP="007F2AFA">
            <w:pPr>
              <w:jc w:val="center"/>
              <w:rPr>
                <w:rFonts w:eastAsia="Times New Roman"/>
                <w:i/>
              </w:rPr>
            </w:pPr>
            <w:r w:rsidRPr="00AC2D60">
              <w:rPr>
                <w:rFonts w:eastAsia="Times New Roman"/>
                <w:i/>
              </w:rPr>
              <w:t>CFO</w:t>
            </w:r>
          </w:p>
        </w:tc>
        <w:tc>
          <w:tcPr>
            <w:tcW w:w="981" w:type="dxa"/>
            <w:tcBorders>
              <w:left w:val="nil"/>
              <w:bottom w:val="single" w:sz="4" w:space="0" w:color="auto"/>
              <w:right w:val="nil"/>
            </w:tcBorders>
            <w:shd w:val="clear" w:color="auto" w:fill="auto"/>
            <w:noWrap/>
            <w:vAlign w:val="bottom"/>
          </w:tcPr>
          <w:p w:rsidR="007F2AFA" w:rsidRPr="00AC2D60" w:rsidRDefault="007F2AFA" w:rsidP="007F2AFA">
            <w:pPr>
              <w:jc w:val="center"/>
              <w:rPr>
                <w:rFonts w:eastAsia="Times New Roman"/>
                <w:i/>
              </w:rPr>
            </w:pPr>
            <w:r w:rsidRPr="00AC2D60">
              <w:rPr>
                <w:rFonts w:eastAsia="Times New Roman"/>
                <w:i/>
              </w:rPr>
              <w:t>BM</w:t>
            </w:r>
          </w:p>
        </w:tc>
      </w:tr>
      <w:tr w:rsidR="005C608C" w:rsidRPr="00AC2D60" w:rsidTr="008010EB">
        <w:trPr>
          <w:trHeight w:val="270"/>
        </w:trPr>
        <w:tc>
          <w:tcPr>
            <w:tcW w:w="1188" w:type="dxa"/>
            <w:gridSpan w:val="2"/>
            <w:tcBorders>
              <w:left w:val="nil"/>
              <w:bottom w:val="nil"/>
              <w:right w:val="nil"/>
            </w:tcBorders>
            <w:shd w:val="clear" w:color="auto" w:fill="auto"/>
            <w:noWrap/>
            <w:vAlign w:val="center"/>
            <w:hideMark/>
          </w:tcPr>
          <w:p w:rsidR="00EF77F3" w:rsidRPr="00AC2D60" w:rsidRDefault="00EF77F3" w:rsidP="0095272D">
            <w:pPr>
              <w:rPr>
                <w:rFonts w:eastAsia="Times New Roman"/>
              </w:rPr>
            </w:pPr>
            <w:r w:rsidRPr="00AC2D60">
              <w:rPr>
                <w:rFonts w:eastAsia="Times New Roman"/>
              </w:rPr>
              <w:t>N</w:t>
            </w:r>
          </w:p>
        </w:tc>
        <w:tc>
          <w:tcPr>
            <w:tcW w:w="973" w:type="dxa"/>
            <w:tcBorders>
              <w:top w:val="nil"/>
              <w:left w:val="nil"/>
              <w:bottom w:val="nil"/>
              <w:right w:val="nil"/>
            </w:tcBorders>
            <w:shd w:val="clear" w:color="auto" w:fill="auto"/>
            <w:noWrap/>
            <w:hideMark/>
          </w:tcPr>
          <w:p w:rsidR="00EF77F3" w:rsidRPr="00AC2D60" w:rsidRDefault="00EF77F3">
            <w:r w:rsidRPr="00AC2D60">
              <w:t xml:space="preserve"> 23,017 </w:t>
            </w:r>
          </w:p>
        </w:tc>
        <w:tc>
          <w:tcPr>
            <w:tcW w:w="1007" w:type="dxa"/>
            <w:tcBorders>
              <w:top w:val="nil"/>
              <w:left w:val="nil"/>
              <w:bottom w:val="nil"/>
              <w:right w:val="nil"/>
            </w:tcBorders>
          </w:tcPr>
          <w:p w:rsidR="00EF77F3" w:rsidRPr="00AC2D60" w:rsidRDefault="00EF77F3">
            <w:r w:rsidRPr="00AC2D60">
              <w:t xml:space="preserve"> 23,017 </w:t>
            </w:r>
          </w:p>
        </w:tc>
        <w:tc>
          <w:tcPr>
            <w:tcW w:w="1160" w:type="dxa"/>
            <w:tcBorders>
              <w:top w:val="nil"/>
              <w:left w:val="nil"/>
              <w:bottom w:val="nil"/>
              <w:right w:val="nil"/>
            </w:tcBorders>
            <w:shd w:val="clear" w:color="auto" w:fill="auto"/>
            <w:noWrap/>
            <w:hideMark/>
          </w:tcPr>
          <w:p w:rsidR="00EF77F3" w:rsidRPr="00AC2D60" w:rsidRDefault="00EF77F3">
            <w:r w:rsidRPr="00AC2D60">
              <w:t xml:space="preserve"> 23,017 </w:t>
            </w:r>
          </w:p>
        </w:tc>
        <w:tc>
          <w:tcPr>
            <w:tcW w:w="1085" w:type="dxa"/>
            <w:tcBorders>
              <w:top w:val="nil"/>
              <w:left w:val="nil"/>
              <w:bottom w:val="nil"/>
              <w:right w:val="nil"/>
            </w:tcBorders>
            <w:shd w:val="clear" w:color="auto" w:fill="auto"/>
            <w:noWrap/>
            <w:hideMark/>
          </w:tcPr>
          <w:p w:rsidR="00EF77F3" w:rsidRPr="00AC2D60" w:rsidRDefault="00EF77F3">
            <w:r w:rsidRPr="00AC2D60">
              <w:t xml:space="preserve"> 23,017 </w:t>
            </w:r>
          </w:p>
        </w:tc>
        <w:tc>
          <w:tcPr>
            <w:tcW w:w="1106" w:type="dxa"/>
            <w:tcBorders>
              <w:top w:val="nil"/>
              <w:left w:val="nil"/>
              <w:bottom w:val="nil"/>
              <w:right w:val="nil"/>
            </w:tcBorders>
            <w:shd w:val="clear" w:color="auto" w:fill="auto"/>
            <w:noWrap/>
            <w:hideMark/>
          </w:tcPr>
          <w:p w:rsidR="00EF77F3" w:rsidRPr="00AC2D60" w:rsidRDefault="00EF77F3">
            <w:r w:rsidRPr="00AC2D60">
              <w:t xml:space="preserve"> 23,017 </w:t>
            </w:r>
          </w:p>
        </w:tc>
        <w:tc>
          <w:tcPr>
            <w:tcW w:w="1111" w:type="dxa"/>
            <w:tcBorders>
              <w:top w:val="nil"/>
              <w:left w:val="nil"/>
              <w:bottom w:val="nil"/>
              <w:right w:val="nil"/>
            </w:tcBorders>
            <w:shd w:val="clear" w:color="auto" w:fill="auto"/>
            <w:noWrap/>
            <w:hideMark/>
          </w:tcPr>
          <w:p w:rsidR="00EF77F3" w:rsidRPr="00AC2D60" w:rsidRDefault="00EF77F3">
            <w:r w:rsidRPr="00AC2D60">
              <w:t xml:space="preserve"> 23,017 </w:t>
            </w:r>
          </w:p>
        </w:tc>
        <w:tc>
          <w:tcPr>
            <w:tcW w:w="1086" w:type="dxa"/>
            <w:tcBorders>
              <w:top w:val="nil"/>
              <w:left w:val="nil"/>
              <w:bottom w:val="nil"/>
              <w:right w:val="nil"/>
            </w:tcBorders>
            <w:shd w:val="clear" w:color="auto" w:fill="auto"/>
            <w:noWrap/>
            <w:hideMark/>
          </w:tcPr>
          <w:p w:rsidR="00EF77F3" w:rsidRPr="00AC2D60" w:rsidRDefault="00EF77F3">
            <w:r w:rsidRPr="00AC2D60">
              <w:t xml:space="preserve"> 23,017 </w:t>
            </w:r>
          </w:p>
        </w:tc>
        <w:tc>
          <w:tcPr>
            <w:tcW w:w="1085" w:type="dxa"/>
            <w:tcBorders>
              <w:top w:val="nil"/>
              <w:left w:val="nil"/>
              <w:bottom w:val="nil"/>
              <w:right w:val="nil"/>
            </w:tcBorders>
            <w:shd w:val="clear" w:color="auto" w:fill="auto"/>
            <w:noWrap/>
            <w:hideMark/>
          </w:tcPr>
          <w:p w:rsidR="00EF77F3" w:rsidRPr="00AC2D60" w:rsidRDefault="00EF77F3">
            <w:r w:rsidRPr="00AC2D60">
              <w:t xml:space="preserve"> 23,017 </w:t>
            </w:r>
          </w:p>
        </w:tc>
        <w:tc>
          <w:tcPr>
            <w:tcW w:w="1126" w:type="dxa"/>
            <w:tcBorders>
              <w:top w:val="nil"/>
              <w:left w:val="nil"/>
              <w:bottom w:val="nil"/>
              <w:right w:val="nil"/>
            </w:tcBorders>
            <w:shd w:val="clear" w:color="auto" w:fill="auto"/>
            <w:noWrap/>
            <w:hideMark/>
          </w:tcPr>
          <w:p w:rsidR="00EF77F3" w:rsidRPr="00AC2D60" w:rsidRDefault="00EF77F3">
            <w:r w:rsidRPr="00AC2D60">
              <w:t xml:space="preserve"> 23,017 </w:t>
            </w:r>
          </w:p>
        </w:tc>
        <w:tc>
          <w:tcPr>
            <w:tcW w:w="981" w:type="dxa"/>
            <w:tcBorders>
              <w:top w:val="nil"/>
              <w:left w:val="nil"/>
              <w:bottom w:val="nil"/>
              <w:right w:val="nil"/>
            </w:tcBorders>
            <w:shd w:val="clear" w:color="auto" w:fill="auto"/>
            <w:noWrap/>
          </w:tcPr>
          <w:p w:rsidR="00EF77F3" w:rsidRPr="00AC2D60" w:rsidRDefault="00EF77F3">
            <w:r w:rsidRPr="00AC2D60">
              <w:t xml:space="preserve"> 23,017 </w:t>
            </w:r>
          </w:p>
        </w:tc>
      </w:tr>
      <w:tr w:rsidR="005C608C" w:rsidRPr="00AC2D60" w:rsidTr="008010EB">
        <w:trPr>
          <w:trHeight w:val="270"/>
        </w:trPr>
        <w:tc>
          <w:tcPr>
            <w:tcW w:w="1188" w:type="dxa"/>
            <w:gridSpan w:val="2"/>
            <w:tcBorders>
              <w:top w:val="nil"/>
              <w:left w:val="nil"/>
              <w:right w:val="nil"/>
            </w:tcBorders>
            <w:shd w:val="clear" w:color="auto" w:fill="auto"/>
            <w:noWrap/>
            <w:vAlign w:val="bottom"/>
            <w:hideMark/>
          </w:tcPr>
          <w:p w:rsidR="00EF77F3" w:rsidRPr="00AC2D60" w:rsidRDefault="00EF77F3" w:rsidP="0095272D">
            <w:pPr>
              <w:rPr>
                <w:rFonts w:eastAsia="Times New Roman"/>
              </w:rPr>
            </w:pPr>
            <w:r w:rsidRPr="00AC2D60">
              <w:rPr>
                <w:rFonts w:eastAsia="Times New Roman"/>
              </w:rPr>
              <w:t>MIN</w:t>
            </w:r>
          </w:p>
        </w:tc>
        <w:tc>
          <w:tcPr>
            <w:tcW w:w="973" w:type="dxa"/>
            <w:tcBorders>
              <w:top w:val="nil"/>
              <w:left w:val="nil"/>
              <w:right w:val="nil"/>
            </w:tcBorders>
            <w:shd w:val="clear" w:color="auto" w:fill="auto"/>
            <w:noWrap/>
            <w:hideMark/>
          </w:tcPr>
          <w:p w:rsidR="00EF77F3" w:rsidRPr="00AC2D60" w:rsidRDefault="00EF77F3">
            <w:pPr>
              <w:jc w:val="right"/>
            </w:pPr>
            <w:r w:rsidRPr="00AC2D60">
              <w:t>0.019</w:t>
            </w:r>
          </w:p>
        </w:tc>
        <w:tc>
          <w:tcPr>
            <w:tcW w:w="1007" w:type="dxa"/>
            <w:tcBorders>
              <w:top w:val="nil"/>
              <w:left w:val="nil"/>
              <w:right w:val="nil"/>
            </w:tcBorders>
          </w:tcPr>
          <w:p w:rsidR="00EF77F3" w:rsidRPr="00AC2D60" w:rsidRDefault="00EF77F3">
            <w:pPr>
              <w:jc w:val="right"/>
            </w:pPr>
            <w:r w:rsidRPr="00AC2D60">
              <w:t>0.093</w:t>
            </w:r>
          </w:p>
        </w:tc>
        <w:tc>
          <w:tcPr>
            <w:tcW w:w="1160" w:type="dxa"/>
            <w:tcBorders>
              <w:top w:val="nil"/>
              <w:left w:val="nil"/>
              <w:right w:val="nil"/>
            </w:tcBorders>
            <w:shd w:val="clear" w:color="auto" w:fill="auto"/>
            <w:noWrap/>
            <w:hideMark/>
          </w:tcPr>
          <w:p w:rsidR="00EF77F3" w:rsidRPr="00AC2D60" w:rsidRDefault="006964C7" w:rsidP="009B395A">
            <w:pPr>
              <w:jc w:val="right"/>
            </w:pPr>
            <w:r w:rsidRPr="00AC2D60">
              <w:rPr>
                <w:rFonts w:ascii="Arial" w:hAnsi="Arial" w:cs="Arial"/>
              </w:rPr>
              <w:t>−</w:t>
            </w:r>
            <w:r w:rsidR="00AC0744" w:rsidRPr="00AC2D60">
              <w:t>2.016</w:t>
            </w:r>
          </w:p>
        </w:tc>
        <w:tc>
          <w:tcPr>
            <w:tcW w:w="1085" w:type="dxa"/>
            <w:tcBorders>
              <w:top w:val="nil"/>
              <w:left w:val="nil"/>
              <w:right w:val="nil"/>
            </w:tcBorders>
            <w:shd w:val="clear" w:color="auto" w:fill="auto"/>
            <w:noWrap/>
            <w:hideMark/>
          </w:tcPr>
          <w:p w:rsidR="00EF77F3" w:rsidRPr="00AC2D60" w:rsidRDefault="006964C7">
            <w:pPr>
              <w:jc w:val="right"/>
            </w:pPr>
            <w:r w:rsidRPr="00AC2D60">
              <w:rPr>
                <w:rFonts w:ascii="Arial" w:hAnsi="Arial" w:cs="Arial"/>
              </w:rPr>
              <w:t>−</w:t>
            </w:r>
            <w:r w:rsidR="00EF77F3" w:rsidRPr="00AC2D60">
              <w:t>1.855</w:t>
            </w:r>
          </w:p>
        </w:tc>
        <w:tc>
          <w:tcPr>
            <w:tcW w:w="1106" w:type="dxa"/>
            <w:tcBorders>
              <w:top w:val="nil"/>
              <w:left w:val="nil"/>
              <w:right w:val="nil"/>
            </w:tcBorders>
            <w:shd w:val="clear" w:color="auto" w:fill="auto"/>
            <w:noWrap/>
            <w:hideMark/>
          </w:tcPr>
          <w:p w:rsidR="00EF77F3" w:rsidRPr="00AC2D60" w:rsidRDefault="006964C7" w:rsidP="009B395A">
            <w:pPr>
              <w:jc w:val="right"/>
            </w:pPr>
            <w:r w:rsidRPr="00AC2D60">
              <w:rPr>
                <w:rFonts w:ascii="Arial" w:hAnsi="Arial" w:cs="Arial"/>
              </w:rPr>
              <w:t>−</w:t>
            </w:r>
            <w:r w:rsidR="00EF77F3" w:rsidRPr="00AC2D60">
              <w:t>1.565</w:t>
            </w:r>
          </w:p>
        </w:tc>
        <w:tc>
          <w:tcPr>
            <w:tcW w:w="1111" w:type="dxa"/>
            <w:tcBorders>
              <w:top w:val="nil"/>
              <w:left w:val="nil"/>
              <w:right w:val="nil"/>
            </w:tcBorders>
            <w:shd w:val="clear" w:color="auto" w:fill="auto"/>
            <w:noWrap/>
            <w:hideMark/>
          </w:tcPr>
          <w:p w:rsidR="00EF77F3" w:rsidRPr="00AC2D60" w:rsidRDefault="00EF77F3">
            <w:pPr>
              <w:jc w:val="right"/>
            </w:pPr>
            <w:r w:rsidRPr="00AC2D60">
              <w:t>0.071</w:t>
            </w:r>
          </w:p>
        </w:tc>
        <w:tc>
          <w:tcPr>
            <w:tcW w:w="1086" w:type="dxa"/>
            <w:tcBorders>
              <w:top w:val="nil"/>
              <w:left w:val="nil"/>
              <w:right w:val="nil"/>
            </w:tcBorders>
            <w:shd w:val="clear" w:color="auto" w:fill="auto"/>
            <w:noWrap/>
            <w:hideMark/>
          </w:tcPr>
          <w:p w:rsidR="00EF77F3" w:rsidRPr="00AC2D60" w:rsidRDefault="00EF77F3">
            <w:pPr>
              <w:jc w:val="right"/>
            </w:pPr>
            <w:r w:rsidRPr="00AC2D60">
              <w:t>3.465</w:t>
            </w:r>
          </w:p>
        </w:tc>
        <w:tc>
          <w:tcPr>
            <w:tcW w:w="1085" w:type="dxa"/>
            <w:tcBorders>
              <w:top w:val="nil"/>
              <w:left w:val="nil"/>
              <w:right w:val="nil"/>
            </w:tcBorders>
            <w:shd w:val="clear" w:color="auto" w:fill="auto"/>
            <w:noWrap/>
            <w:hideMark/>
          </w:tcPr>
          <w:p w:rsidR="00EF77F3" w:rsidRPr="00AC2D60" w:rsidRDefault="00EF77F3">
            <w:pPr>
              <w:jc w:val="right"/>
            </w:pPr>
            <w:r w:rsidRPr="00AC2D60">
              <w:t>0.003</w:t>
            </w:r>
          </w:p>
        </w:tc>
        <w:tc>
          <w:tcPr>
            <w:tcW w:w="1126" w:type="dxa"/>
            <w:tcBorders>
              <w:top w:val="nil"/>
              <w:left w:val="nil"/>
              <w:right w:val="nil"/>
            </w:tcBorders>
            <w:shd w:val="clear" w:color="auto" w:fill="auto"/>
            <w:noWrap/>
            <w:hideMark/>
          </w:tcPr>
          <w:p w:rsidR="00EF77F3" w:rsidRPr="00AC2D60" w:rsidRDefault="006964C7">
            <w:pPr>
              <w:jc w:val="right"/>
            </w:pPr>
            <w:r w:rsidRPr="00AC2D60">
              <w:t>−</w:t>
            </w:r>
            <w:r w:rsidR="00EF77F3" w:rsidRPr="00AC2D60">
              <w:t>0.498</w:t>
            </w:r>
          </w:p>
        </w:tc>
        <w:tc>
          <w:tcPr>
            <w:tcW w:w="981" w:type="dxa"/>
            <w:tcBorders>
              <w:top w:val="nil"/>
              <w:left w:val="nil"/>
              <w:right w:val="nil"/>
            </w:tcBorders>
            <w:shd w:val="clear" w:color="auto" w:fill="auto"/>
            <w:noWrap/>
          </w:tcPr>
          <w:p w:rsidR="00EF77F3" w:rsidRPr="00AC2D60" w:rsidRDefault="006964C7">
            <w:pPr>
              <w:jc w:val="right"/>
            </w:pPr>
            <w:r w:rsidRPr="00AC2D60">
              <w:t>−</w:t>
            </w:r>
            <w:r w:rsidR="00EF77F3" w:rsidRPr="00AC2D60">
              <w:t>3.243</w:t>
            </w:r>
          </w:p>
        </w:tc>
      </w:tr>
      <w:tr w:rsidR="005C608C" w:rsidRPr="00AC2D60" w:rsidTr="008010EB">
        <w:trPr>
          <w:trHeight w:val="270"/>
        </w:trPr>
        <w:tc>
          <w:tcPr>
            <w:tcW w:w="1188" w:type="dxa"/>
            <w:gridSpan w:val="2"/>
            <w:tcBorders>
              <w:top w:val="nil"/>
              <w:left w:val="nil"/>
              <w:right w:val="nil"/>
            </w:tcBorders>
            <w:shd w:val="clear" w:color="auto" w:fill="auto"/>
            <w:noWrap/>
            <w:vAlign w:val="bottom"/>
            <w:hideMark/>
          </w:tcPr>
          <w:p w:rsidR="00EF77F3" w:rsidRPr="00AC2D60" w:rsidRDefault="00EF77F3" w:rsidP="0095272D">
            <w:pPr>
              <w:rPr>
                <w:rFonts w:eastAsia="Times New Roman"/>
              </w:rPr>
            </w:pPr>
            <w:r w:rsidRPr="00AC2D60">
              <w:rPr>
                <w:rFonts w:eastAsia="Times New Roman"/>
              </w:rPr>
              <w:t>MAX</w:t>
            </w:r>
          </w:p>
        </w:tc>
        <w:tc>
          <w:tcPr>
            <w:tcW w:w="973" w:type="dxa"/>
            <w:tcBorders>
              <w:top w:val="nil"/>
              <w:left w:val="nil"/>
              <w:right w:val="nil"/>
            </w:tcBorders>
            <w:shd w:val="clear" w:color="auto" w:fill="auto"/>
            <w:noWrap/>
            <w:hideMark/>
          </w:tcPr>
          <w:p w:rsidR="00EF77F3" w:rsidRPr="00AC2D60" w:rsidRDefault="00EF77F3">
            <w:pPr>
              <w:jc w:val="right"/>
            </w:pPr>
            <w:r w:rsidRPr="00AC2D60">
              <w:t>0.632</w:t>
            </w:r>
          </w:p>
        </w:tc>
        <w:tc>
          <w:tcPr>
            <w:tcW w:w="1007" w:type="dxa"/>
            <w:tcBorders>
              <w:top w:val="nil"/>
              <w:left w:val="nil"/>
              <w:right w:val="nil"/>
            </w:tcBorders>
          </w:tcPr>
          <w:p w:rsidR="00EF77F3" w:rsidRPr="00AC2D60" w:rsidRDefault="00EF77F3">
            <w:pPr>
              <w:jc w:val="right"/>
            </w:pPr>
            <w:r w:rsidRPr="00AC2D60">
              <w:t>2.522</w:t>
            </w:r>
          </w:p>
        </w:tc>
        <w:tc>
          <w:tcPr>
            <w:tcW w:w="1160" w:type="dxa"/>
            <w:tcBorders>
              <w:top w:val="nil"/>
              <w:left w:val="nil"/>
              <w:right w:val="nil"/>
            </w:tcBorders>
            <w:shd w:val="clear" w:color="auto" w:fill="auto"/>
            <w:noWrap/>
            <w:hideMark/>
          </w:tcPr>
          <w:p w:rsidR="00EF77F3" w:rsidRPr="00AC2D60" w:rsidRDefault="006964C7">
            <w:pPr>
              <w:jc w:val="right"/>
            </w:pPr>
            <w:r w:rsidRPr="00AC2D60">
              <w:rPr>
                <w:rFonts w:ascii="Arial" w:hAnsi="Arial" w:cs="Arial"/>
              </w:rPr>
              <w:t>−</w:t>
            </w:r>
            <w:r w:rsidR="00AC0744" w:rsidRPr="00AC2D60">
              <w:t>0.003</w:t>
            </w:r>
          </w:p>
        </w:tc>
        <w:tc>
          <w:tcPr>
            <w:tcW w:w="1085" w:type="dxa"/>
            <w:tcBorders>
              <w:top w:val="nil"/>
              <w:left w:val="nil"/>
              <w:right w:val="nil"/>
            </w:tcBorders>
            <w:shd w:val="clear" w:color="auto" w:fill="auto"/>
            <w:noWrap/>
            <w:hideMark/>
          </w:tcPr>
          <w:p w:rsidR="00EF77F3" w:rsidRPr="00AC2D60" w:rsidRDefault="006964C7">
            <w:pPr>
              <w:jc w:val="right"/>
            </w:pPr>
            <w:r w:rsidRPr="00AC2D60">
              <w:rPr>
                <w:rFonts w:ascii="Arial" w:hAnsi="Arial" w:cs="Arial"/>
              </w:rPr>
              <w:t>−</w:t>
            </w:r>
            <w:r w:rsidR="00EF77F3" w:rsidRPr="00AC2D60">
              <w:t>0.000</w:t>
            </w:r>
          </w:p>
        </w:tc>
        <w:tc>
          <w:tcPr>
            <w:tcW w:w="1106" w:type="dxa"/>
            <w:tcBorders>
              <w:top w:val="nil"/>
              <w:left w:val="nil"/>
              <w:right w:val="nil"/>
            </w:tcBorders>
            <w:shd w:val="clear" w:color="auto" w:fill="auto"/>
            <w:noWrap/>
            <w:hideMark/>
          </w:tcPr>
          <w:p w:rsidR="00EF77F3" w:rsidRPr="00AC2D60" w:rsidRDefault="006964C7" w:rsidP="009B395A">
            <w:pPr>
              <w:jc w:val="right"/>
            </w:pPr>
            <w:r w:rsidRPr="00AC2D60">
              <w:rPr>
                <w:rFonts w:ascii="Arial" w:hAnsi="Arial" w:cs="Arial"/>
              </w:rPr>
              <w:t>−</w:t>
            </w:r>
            <w:r w:rsidR="00EF77F3" w:rsidRPr="00AC2D60">
              <w:t>0.011</w:t>
            </w:r>
          </w:p>
        </w:tc>
        <w:tc>
          <w:tcPr>
            <w:tcW w:w="1111" w:type="dxa"/>
            <w:tcBorders>
              <w:top w:val="nil"/>
              <w:left w:val="nil"/>
              <w:right w:val="nil"/>
            </w:tcBorders>
            <w:shd w:val="clear" w:color="auto" w:fill="auto"/>
            <w:noWrap/>
            <w:hideMark/>
          </w:tcPr>
          <w:p w:rsidR="00EF77F3" w:rsidRPr="00AC2D60" w:rsidRDefault="00EF77F3">
            <w:pPr>
              <w:jc w:val="right"/>
            </w:pPr>
            <w:r w:rsidRPr="00AC2D60">
              <w:t>0.952</w:t>
            </w:r>
          </w:p>
        </w:tc>
        <w:tc>
          <w:tcPr>
            <w:tcW w:w="1086" w:type="dxa"/>
            <w:tcBorders>
              <w:top w:val="nil"/>
              <w:left w:val="nil"/>
              <w:right w:val="nil"/>
            </w:tcBorders>
            <w:shd w:val="clear" w:color="auto" w:fill="auto"/>
            <w:noWrap/>
            <w:hideMark/>
          </w:tcPr>
          <w:p w:rsidR="00EF77F3" w:rsidRPr="00AC2D60" w:rsidRDefault="00EF77F3">
            <w:pPr>
              <w:jc w:val="right"/>
            </w:pPr>
            <w:r w:rsidRPr="00AC2D60">
              <w:t>11.673</w:t>
            </w:r>
          </w:p>
        </w:tc>
        <w:tc>
          <w:tcPr>
            <w:tcW w:w="1085" w:type="dxa"/>
            <w:tcBorders>
              <w:top w:val="nil"/>
              <w:left w:val="nil"/>
              <w:right w:val="nil"/>
            </w:tcBorders>
            <w:shd w:val="clear" w:color="auto" w:fill="auto"/>
            <w:noWrap/>
            <w:hideMark/>
          </w:tcPr>
          <w:p w:rsidR="00EF77F3" w:rsidRPr="00AC2D60" w:rsidRDefault="00EF77F3">
            <w:pPr>
              <w:jc w:val="right"/>
            </w:pPr>
            <w:r w:rsidRPr="00AC2D60">
              <w:t>0.287</w:t>
            </w:r>
          </w:p>
        </w:tc>
        <w:tc>
          <w:tcPr>
            <w:tcW w:w="1126" w:type="dxa"/>
            <w:tcBorders>
              <w:top w:val="nil"/>
              <w:left w:val="nil"/>
              <w:right w:val="nil"/>
            </w:tcBorders>
            <w:shd w:val="clear" w:color="auto" w:fill="auto"/>
            <w:noWrap/>
            <w:hideMark/>
          </w:tcPr>
          <w:p w:rsidR="00EF77F3" w:rsidRPr="00AC2D60" w:rsidRDefault="00EF77F3">
            <w:pPr>
              <w:jc w:val="right"/>
            </w:pPr>
            <w:r w:rsidRPr="00AC2D60">
              <w:t>0.368</w:t>
            </w:r>
          </w:p>
        </w:tc>
        <w:tc>
          <w:tcPr>
            <w:tcW w:w="981" w:type="dxa"/>
            <w:tcBorders>
              <w:top w:val="nil"/>
              <w:left w:val="nil"/>
              <w:right w:val="nil"/>
            </w:tcBorders>
            <w:shd w:val="clear" w:color="auto" w:fill="auto"/>
            <w:noWrap/>
          </w:tcPr>
          <w:p w:rsidR="00EF77F3" w:rsidRPr="00AC2D60" w:rsidRDefault="00EF77F3">
            <w:pPr>
              <w:jc w:val="right"/>
            </w:pPr>
            <w:r w:rsidRPr="00AC2D60">
              <w:t>0.763</w:t>
            </w:r>
          </w:p>
        </w:tc>
      </w:tr>
      <w:tr w:rsidR="005C608C" w:rsidRPr="00AC2D60" w:rsidTr="008010EB">
        <w:trPr>
          <w:trHeight w:val="270"/>
        </w:trPr>
        <w:tc>
          <w:tcPr>
            <w:tcW w:w="1188" w:type="dxa"/>
            <w:gridSpan w:val="2"/>
            <w:tcBorders>
              <w:left w:val="nil"/>
              <w:bottom w:val="nil"/>
              <w:right w:val="nil"/>
            </w:tcBorders>
            <w:shd w:val="clear" w:color="auto" w:fill="auto"/>
            <w:noWrap/>
            <w:vAlign w:val="bottom"/>
            <w:hideMark/>
          </w:tcPr>
          <w:p w:rsidR="00EF77F3" w:rsidRPr="00AC2D60" w:rsidRDefault="00EF77F3" w:rsidP="0095272D">
            <w:pPr>
              <w:rPr>
                <w:rFonts w:eastAsia="Times New Roman"/>
              </w:rPr>
            </w:pPr>
            <w:r w:rsidRPr="00AC2D60">
              <w:rPr>
                <w:rFonts w:eastAsia="Times New Roman"/>
              </w:rPr>
              <w:t>MEAN</w:t>
            </w:r>
          </w:p>
        </w:tc>
        <w:tc>
          <w:tcPr>
            <w:tcW w:w="973" w:type="dxa"/>
            <w:tcBorders>
              <w:left w:val="nil"/>
              <w:bottom w:val="nil"/>
              <w:right w:val="nil"/>
            </w:tcBorders>
            <w:shd w:val="clear" w:color="auto" w:fill="auto"/>
            <w:noWrap/>
          </w:tcPr>
          <w:p w:rsidR="00EF77F3" w:rsidRPr="00AC2D60" w:rsidRDefault="00EF77F3">
            <w:pPr>
              <w:jc w:val="right"/>
            </w:pPr>
            <w:r w:rsidRPr="00AC2D60">
              <w:t>0.127</w:t>
            </w:r>
          </w:p>
        </w:tc>
        <w:tc>
          <w:tcPr>
            <w:tcW w:w="1007" w:type="dxa"/>
            <w:tcBorders>
              <w:left w:val="nil"/>
              <w:bottom w:val="nil"/>
              <w:right w:val="nil"/>
            </w:tcBorders>
          </w:tcPr>
          <w:p w:rsidR="00EF77F3" w:rsidRPr="00AC2D60" w:rsidRDefault="00EF77F3">
            <w:pPr>
              <w:jc w:val="right"/>
            </w:pPr>
            <w:r w:rsidRPr="00AC2D60">
              <w:t>1.047</w:t>
            </w:r>
          </w:p>
        </w:tc>
        <w:tc>
          <w:tcPr>
            <w:tcW w:w="1160" w:type="dxa"/>
            <w:tcBorders>
              <w:left w:val="nil"/>
              <w:bottom w:val="nil"/>
              <w:right w:val="nil"/>
            </w:tcBorders>
            <w:shd w:val="clear" w:color="auto" w:fill="auto"/>
            <w:noWrap/>
          </w:tcPr>
          <w:p w:rsidR="00EF77F3" w:rsidRPr="00AC2D60" w:rsidRDefault="006964C7">
            <w:pPr>
              <w:jc w:val="right"/>
            </w:pPr>
            <w:r w:rsidRPr="00AC2D60">
              <w:rPr>
                <w:rFonts w:ascii="Arial" w:hAnsi="Arial" w:cs="Arial"/>
              </w:rPr>
              <w:t>−</w:t>
            </w:r>
            <w:r w:rsidR="00EF77F3" w:rsidRPr="00AC2D60">
              <w:t>0.172</w:t>
            </w:r>
          </w:p>
        </w:tc>
        <w:tc>
          <w:tcPr>
            <w:tcW w:w="1085" w:type="dxa"/>
            <w:tcBorders>
              <w:left w:val="nil"/>
              <w:bottom w:val="nil"/>
              <w:right w:val="nil"/>
            </w:tcBorders>
            <w:shd w:val="clear" w:color="auto" w:fill="auto"/>
            <w:noWrap/>
          </w:tcPr>
          <w:p w:rsidR="00EF77F3" w:rsidRPr="00AC2D60" w:rsidRDefault="006964C7">
            <w:pPr>
              <w:jc w:val="right"/>
            </w:pPr>
            <w:r w:rsidRPr="00AC2D60">
              <w:rPr>
                <w:rFonts w:ascii="Arial" w:hAnsi="Arial" w:cs="Arial"/>
              </w:rPr>
              <w:t>−</w:t>
            </w:r>
            <w:r w:rsidR="00EF77F3" w:rsidRPr="00AC2D60">
              <w:t>0.181</w:t>
            </w:r>
          </w:p>
        </w:tc>
        <w:tc>
          <w:tcPr>
            <w:tcW w:w="1106" w:type="dxa"/>
            <w:tcBorders>
              <w:left w:val="nil"/>
              <w:bottom w:val="nil"/>
              <w:right w:val="nil"/>
            </w:tcBorders>
            <w:shd w:val="clear" w:color="auto" w:fill="auto"/>
            <w:noWrap/>
          </w:tcPr>
          <w:p w:rsidR="00EF77F3" w:rsidRPr="00AC2D60" w:rsidRDefault="006964C7">
            <w:pPr>
              <w:jc w:val="right"/>
            </w:pPr>
            <w:r w:rsidRPr="00AC2D60">
              <w:rPr>
                <w:rFonts w:ascii="Arial" w:hAnsi="Arial" w:cs="Arial"/>
              </w:rPr>
              <w:t>−</w:t>
            </w:r>
            <w:r w:rsidR="00EF77F3" w:rsidRPr="00AC2D60">
              <w:t>0.148</w:t>
            </w:r>
          </w:p>
        </w:tc>
        <w:tc>
          <w:tcPr>
            <w:tcW w:w="1111" w:type="dxa"/>
            <w:tcBorders>
              <w:left w:val="nil"/>
              <w:bottom w:val="nil"/>
              <w:right w:val="nil"/>
            </w:tcBorders>
            <w:shd w:val="clear" w:color="auto" w:fill="auto"/>
            <w:noWrap/>
          </w:tcPr>
          <w:p w:rsidR="00EF77F3" w:rsidRPr="00AC2D60" w:rsidRDefault="00EF77F3">
            <w:pPr>
              <w:jc w:val="right"/>
            </w:pPr>
            <w:r w:rsidRPr="00AC2D60">
              <w:t>0.498</w:t>
            </w:r>
          </w:p>
        </w:tc>
        <w:tc>
          <w:tcPr>
            <w:tcW w:w="1086" w:type="dxa"/>
            <w:tcBorders>
              <w:left w:val="nil"/>
              <w:bottom w:val="nil"/>
              <w:right w:val="nil"/>
            </w:tcBorders>
            <w:shd w:val="clear" w:color="auto" w:fill="auto"/>
            <w:noWrap/>
          </w:tcPr>
          <w:p w:rsidR="00EF77F3" w:rsidRPr="00AC2D60" w:rsidRDefault="00EF77F3">
            <w:pPr>
              <w:jc w:val="right"/>
            </w:pPr>
            <w:r w:rsidRPr="00AC2D60">
              <w:t>7.199</w:t>
            </w:r>
          </w:p>
        </w:tc>
        <w:tc>
          <w:tcPr>
            <w:tcW w:w="1085" w:type="dxa"/>
            <w:tcBorders>
              <w:left w:val="nil"/>
              <w:bottom w:val="nil"/>
              <w:right w:val="nil"/>
            </w:tcBorders>
            <w:shd w:val="clear" w:color="auto" w:fill="auto"/>
            <w:noWrap/>
          </w:tcPr>
          <w:p w:rsidR="00EF77F3" w:rsidRPr="00AC2D60" w:rsidRDefault="00EF77F3">
            <w:pPr>
              <w:jc w:val="right"/>
            </w:pPr>
            <w:r w:rsidRPr="00AC2D60">
              <w:t>0.048</w:t>
            </w:r>
          </w:p>
        </w:tc>
        <w:tc>
          <w:tcPr>
            <w:tcW w:w="1126" w:type="dxa"/>
            <w:tcBorders>
              <w:left w:val="nil"/>
              <w:bottom w:val="nil"/>
              <w:right w:val="nil"/>
            </w:tcBorders>
            <w:shd w:val="clear" w:color="auto" w:fill="auto"/>
            <w:noWrap/>
          </w:tcPr>
          <w:p w:rsidR="00EF77F3" w:rsidRPr="00AC2D60" w:rsidRDefault="00EF77F3">
            <w:pPr>
              <w:jc w:val="right"/>
            </w:pPr>
            <w:r w:rsidRPr="00AC2D60">
              <w:t>0.086</w:t>
            </w:r>
          </w:p>
        </w:tc>
        <w:tc>
          <w:tcPr>
            <w:tcW w:w="981" w:type="dxa"/>
            <w:tcBorders>
              <w:left w:val="nil"/>
              <w:bottom w:val="nil"/>
              <w:right w:val="nil"/>
            </w:tcBorders>
            <w:shd w:val="clear" w:color="auto" w:fill="auto"/>
            <w:noWrap/>
          </w:tcPr>
          <w:p w:rsidR="00EF77F3" w:rsidRPr="00AC2D60" w:rsidRDefault="006964C7">
            <w:pPr>
              <w:jc w:val="right"/>
            </w:pPr>
            <w:r w:rsidRPr="00AC2D60">
              <w:t>−</w:t>
            </w:r>
            <w:r w:rsidR="00EF77F3" w:rsidRPr="00AC2D60">
              <w:t>0.932</w:t>
            </w:r>
          </w:p>
        </w:tc>
      </w:tr>
      <w:tr w:rsidR="005C608C" w:rsidRPr="00AC2D60" w:rsidTr="008010EB">
        <w:trPr>
          <w:trHeight w:val="270"/>
        </w:trPr>
        <w:tc>
          <w:tcPr>
            <w:tcW w:w="1188" w:type="dxa"/>
            <w:gridSpan w:val="2"/>
            <w:tcBorders>
              <w:top w:val="nil"/>
              <w:left w:val="nil"/>
              <w:bottom w:val="nil"/>
              <w:right w:val="nil"/>
            </w:tcBorders>
            <w:shd w:val="clear" w:color="auto" w:fill="auto"/>
            <w:noWrap/>
            <w:vAlign w:val="bottom"/>
            <w:hideMark/>
          </w:tcPr>
          <w:p w:rsidR="00EF77F3" w:rsidRPr="00AC2D60" w:rsidRDefault="00EF77F3" w:rsidP="003F76E8">
            <w:pPr>
              <w:rPr>
                <w:rFonts w:eastAsia="Times New Roman"/>
              </w:rPr>
            </w:pPr>
            <w:r w:rsidRPr="00AC2D60">
              <w:rPr>
                <w:rFonts w:eastAsia="Times New Roman"/>
              </w:rPr>
              <w:t>STD.DEV.</w:t>
            </w:r>
          </w:p>
        </w:tc>
        <w:tc>
          <w:tcPr>
            <w:tcW w:w="973" w:type="dxa"/>
            <w:tcBorders>
              <w:top w:val="nil"/>
              <w:left w:val="nil"/>
              <w:bottom w:val="nil"/>
              <w:right w:val="nil"/>
            </w:tcBorders>
            <w:shd w:val="clear" w:color="auto" w:fill="auto"/>
            <w:noWrap/>
          </w:tcPr>
          <w:p w:rsidR="00EF77F3" w:rsidRPr="00AC2D60" w:rsidRDefault="00EF77F3" w:rsidP="003F76E8">
            <w:pPr>
              <w:jc w:val="right"/>
            </w:pPr>
            <w:r w:rsidRPr="00AC2D60">
              <w:t>0.095</w:t>
            </w:r>
          </w:p>
        </w:tc>
        <w:tc>
          <w:tcPr>
            <w:tcW w:w="1007" w:type="dxa"/>
            <w:tcBorders>
              <w:top w:val="nil"/>
              <w:left w:val="nil"/>
              <w:bottom w:val="nil"/>
              <w:right w:val="nil"/>
            </w:tcBorders>
          </w:tcPr>
          <w:p w:rsidR="00EF77F3" w:rsidRPr="00AC2D60" w:rsidRDefault="00EF77F3" w:rsidP="003F76E8">
            <w:pPr>
              <w:jc w:val="right"/>
            </w:pPr>
            <w:r w:rsidRPr="00AC2D60">
              <w:t>0.513</w:t>
            </w:r>
          </w:p>
        </w:tc>
        <w:tc>
          <w:tcPr>
            <w:tcW w:w="1160" w:type="dxa"/>
            <w:tcBorders>
              <w:top w:val="nil"/>
              <w:left w:val="nil"/>
              <w:bottom w:val="nil"/>
              <w:right w:val="nil"/>
            </w:tcBorders>
            <w:shd w:val="clear" w:color="auto" w:fill="auto"/>
            <w:noWrap/>
          </w:tcPr>
          <w:p w:rsidR="00EF77F3" w:rsidRPr="00AC2D60" w:rsidRDefault="00EF77F3" w:rsidP="003F76E8">
            <w:pPr>
              <w:jc w:val="right"/>
            </w:pPr>
            <w:r w:rsidRPr="00AC2D60">
              <w:t>0.308</w:t>
            </w:r>
          </w:p>
        </w:tc>
        <w:tc>
          <w:tcPr>
            <w:tcW w:w="1085" w:type="dxa"/>
            <w:tcBorders>
              <w:top w:val="nil"/>
              <w:left w:val="nil"/>
              <w:bottom w:val="nil"/>
              <w:right w:val="nil"/>
            </w:tcBorders>
            <w:shd w:val="clear" w:color="auto" w:fill="auto"/>
            <w:noWrap/>
          </w:tcPr>
          <w:p w:rsidR="00EF77F3" w:rsidRPr="00AC2D60" w:rsidRDefault="00EF77F3" w:rsidP="003F76E8">
            <w:pPr>
              <w:jc w:val="right"/>
            </w:pPr>
            <w:r w:rsidRPr="00AC2D60">
              <w:t>0.273</w:t>
            </w:r>
          </w:p>
        </w:tc>
        <w:tc>
          <w:tcPr>
            <w:tcW w:w="1106" w:type="dxa"/>
            <w:tcBorders>
              <w:top w:val="nil"/>
              <w:left w:val="nil"/>
              <w:bottom w:val="nil"/>
              <w:right w:val="nil"/>
            </w:tcBorders>
            <w:shd w:val="clear" w:color="auto" w:fill="auto"/>
            <w:noWrap/>
          </w:tcPr>
          <w:p w:rsidR="00EF77F3" w:rsidRPr="00AC2D60" w:rsidRDefault="00EF77F3" w:rsidP="003F76E8">
            <w:pPr>
              <w:jc w:val="right"/>
            </w:pPr>
            <w:r w:rsidRPr="00AC2D60">
              <w:t>0.230</w:t>
            </w:r>
          </w:p>
        </w:tc>
        <w:tc>
          <w:tcPr>
            <w:tcW w:w="1111" w:type="dxa"/>
            <w:tcBorders>
              <w:top w:val="nil"/>
              <w:left w:val="nil"/>
              <w:bottom w:val="nil"/>
              <w:right w:val="nil"/>
            </w:tcBorders>
            <w:shd w:val="clear" w:color="auto" w:fill="auto"/>
            <w:noWrap/>
          </w:tcPr>
          <w:p w:rsidR="00EF77F3" w:rsidRPr="00AC2D60" w:rsidRDefault="00EF77F3" w:rsidP="003F76E8">
            <w:pPr>
              <w:jc w:val="right"/>
            </w:pPr>
            <w:r w:rsidRPr="00AC2D60">
              <w:t>0.216</w:t>
            </w:r>
          </w:p>
        </w:tc>
        <w:tc>
          <w:tcPr>
            <w:tcW w:w="1086" w:type="dxa"/>
            <w:tcBorders>
              <w:top w:val="nil"/>
              <w:left w:val="nil"/>
              <w:bottom w:val="nil"/>
              <w:right w:val="nil"/>
            </w:tcBorders>
            <w:shd w:val="clear" w:color="auto" w:fill="auto"/>
            <w:noWrap/>
          </w:tcPr>
          <w:p w:rsidR="00EF77F3" w:rsidRPr="00AC2D60" w:rsidRDefault="00EF77F3" w:rsidP="003F76E8">
            <w:pPr>
              <w:jc w:val="right"/>
            </w:pPr>
            <w:r w:rsidRPr="00AC2D60">
              <w:t>1.778</w:t>
            </w:r>
          </w:p>
        </w:tc>
        <w:tc>
          <w:tcPr>
            <w:tcW w:w="1085" w:type="dxa"/>
            <w:tcBorders>
              <w:top w:val="nil"/>
              <w:left w:val="nil"/>
              <w:bottom w:val="nil"/>
              <w:right w:val="nil"/>
            </w:tcBorders>
            <w:shd w:val="clear" w:color="auto" w:fill="auto"/>
            <w:noWrap/>
          </w:tcPr>
          <w:p w:rsidR="00EF77F3" w:rsidRPr="00AC2D60" w:rsidRDefault="00EF77F3" w:rsidP="003F76E8">
            <w:pPr>
              <w:jc w:val="right"/>
            </w:pPr>
            <w:r w:rsidRPr="00AC2D60">
              <w:t>0.048</w:t>
            </w:r>
          </w:p>
        </w:tc>
        <w:tc>
          <w:tcPr>
            <w:tcW w:w="1126" w:type="dxa"/>
            <w:tcBorders>
              <w:top w:val="nil"/>
              <w:left w:val="nil"/>
              <w:bottom w:val="nil"/>
              <w:right w:val="nil"/>
            </w:tcBorders>
            <w:shd w:val="clear" w:color="auto" w:fill="auto"/>
            <w:noWrap/>
          </w:tcPr>
          <w:p w:rsidR="00EF77F3" w:rsidRPr="00AC2D60" w:rsidRDefault="00EF77F3" w:rsidP="003F76E8">
            <w:pPr>
              <w:jc w:val="right"/>
            </w:pPr>
            <w:r w:rsidRPr="00AC2D60">
              <w:t>0.126</w:t>
            </w:r>
          </w:p>
        </w:tc>
        <w:tc>
          <w:tcPr>
            <w:tcW w:w="981" w:type="dxa"/>
            <w:tcBorders>
              <w:top w:val="nil"/>
              <w:left w:val="nil"/>
              <w:bottom w:val="nil"/>
              <w:right w:val="nil"/>
            </w:tcBorders>
            <w:shd w:val="clear" w:color="auto" w:fill="auto"/>
            <w:noWrap/>
          </w:tcPr>
          <w:p w:rsidR="00EF77F3" w:rsidRPr="00AC2D60" w:rsidRDefault="00EF77F3" w:rsidP="003F76E8">
            <w:pPr>
              <w:jc w:val="right"/>
            </w:pPr>
            <w:r w:rsidRPr="00AC2D60">
              <w:t>0.739</w:t>
            </w:r>
          </w:p>
        </w:tc>
      </w:tr>
      <w:tr w:rsidR="005C608C" w:rsidRPr="00AC2D60" w:rsidTr="008010EB">
        <w:trPr>
          <w:trHeight w:val="270"/>
        </w:trPr>
        <w:tc>
          <w:tcPr>
            <w:tcW w:w="2161" w:type="dxa"/>
            <w:gridSpan w:val="3"/>
            <w:tcBorders>
              <w:top w:val="single" w:sz="4" w:space="0" w:color="auto"/>
              <w:left w:val="nil"/>
              <w:right w:val="nil"/>
            </w:tcBorders>
            <w:shd w:val="clear" w:color="auto" w:fill="auto"/>
            <w:noWrap/>
            <w:vAlign w:val="bottom"/>
            <w:hideMark/>
          </w:tcPr>
          <w:p w:rsidR="00081FC0" w:rsidRPr="00AC2D60" w:rsidRDefault="00081FC0" w:rsidP="005D4CC8">
            <w:pPr>
              <w:rPr>
                <w:rFonts w:eastAsia="Times New Roman"/>
                <w:bCs/>
                <w:i/>
              </w:rPr>
            </w:pPr>
            <w:r w:rsidRPr="00AC2D60">
              <w:rPr>
                <w:rFonts w:eastAsia="Times New Roman"/>
                <w:bCs/>
                <w:i/>
              </w:rPr>
              <w:t>Pearson Correlations</w:t>
            </w:r>
          </w:p>
        </w:tc>
        <w:tc>
          <w:tcPr>
            <w:tcW w:w="1007" w:type="dxa"/>
            <w:tcBorders>
              <w:top w:val="single" w:sz="4" w:space="0" w:color="auto"/>
              <w:left w:val="nil"/>
              <w:right w:val="nil"/>
            </w:tcBorders>
          </w:tcPr>
          <w:p w:rsidR="00081FC0" w:rsidRPr="00AC2D60" w:rsidRDefault="00081FC0" w:rsidP="005D4CC8">
            <w:pPr>
              <w:jc w:val="center"/>
              <w:rPr>
                <w:rFonts w:eastAsia="Times New Roman"/>
              </w:rPr>
            </w:pPr>
          </w:p>
        </w:tc>
        <w:tc>
          <w:tcPr>
            <w:tcW w:w="1160" w:type="dxa"/>
            <w:tcBorders>
              <w:top w:val="single" w:sz="4" w:space="0" w:color="auto"/>
              <w:left w:val="nil"/>
              <w:right w:val="nil"/>
            </w:tcBorders>
            <w:shd w:val="clear" w:color="auto" w:fill="auto"/>
            <w:noWrap/>
            <w:vAlign w:val="bottom"/>
            <w:hideMark/>
          </w:tcPr>
          <w:p w:rsidR="00081FC0" w:rsidRPr="00AC2D60" w:rsidRDefault="00081FC0" w:rsidP="005D4CC8">
            <w:pPr>
              <w:jc w:val="center"/>
              <w:rPr>
                <w:rFonts w:eastAsia="Times New Roman"/>
              </w:rPr>
            </w:pPr>
            <w:r w:rsidRPr="00AC2D60">
              <w:rPr>
                <w:rFonts w:eastAsia="Times New Roman"/>
              </w:rPr>
              <w:t> </w:t>
            </w:r>
          </w:p>
        </w:tc>
        <w:tc>
          <w:tcPr>
            <w:tcW w:w="1085" w:type="dxa"/>
            <w:tcBorders>
              <w:top w:val="single" w:sz="4" w:space="0" w:color="auto"/>
              <w:left w:val="nil"/>
              <w:right w:val="nil"/>
            </w:tcBorders>
            <w:shd w:val="clear" w:color="auto" w:fill="auto"/>
            <w:noWrap/>
            <w:vAlign w:val="bottom"/>
            <w:hideMark/>
          </w:tcPr>
          <w:p w:rsidR="00081FC0" w:rsidRPr="00AC2D60" w:rsidRDefault="00081FC0" w:rsidP="005D4CC8">
            <w:pPr>
              <w:jc w:val="center"/>
              <w:rPr>
                <w:rFonts w:eastAsia="Times New Roman"/>
              </w:rPr>
            </w:pPr>
            <w:r w:rsidRPr="00AC2D60">
              <w:rPr>
                <w:rFonts w:eastAsia="Times New Roman"/>
              </w:rPr>
              <w:t> </w:t>
            </w:r>
          </w:p>
        </w:tc>
        <w:tc>
          <w:tcPr>
            <w:tcW w:w="1106" w:type="dxa"/>
            <w:tcBorders>
              <w:top w:val="single" w:sz="4" w:space="0" w:color="auto"/>
              <w:left w:val="nil"/>
              <w:right w:val="nil"/>
            </w:tcBorders>
            <w:shd w:val="clear" w:color="auto" w:fill="auto"/>
            <w:noWrap/>
            <w:vAlign w:val="bottom"/>
            <w:hideMark/>
          </w:tcPr>
          <w:p w:rsidR="00081FC0" w:rsidRPr="00AC2D60" w:rsidRDefault="00081FC0" w:rsidP="005D4CC8">
            <w:pPr>
              <w:jc w:val="center"/>
              <w:rPr>
                <w:rFonts w:eastAsia="Times New Roman"/>
              </w:rPr>
            </w:pPr>
            <w:r w:rsidRPr="00AC2D60">
              <w:rPr>
                <w:rFonts w:eastAsia="Times New Roman"/>
              </w:rPr>
              <w:t> </w:t>
            </w:r>
          </w:p>
        </w:tc>
        <w:tc>
          <w:tcPr>
            <w:tcW w:w="1111" w:type="dxa"/>
            <w:tcBorders>
              <w:top w:val="single" w:sz="4" w:space="0" w:color="auto"/>
              <w:left w:val="nil"/>
              <w:right w:val="nil"/>
            </w:tcBorders>
            <w:shd w:val="clear" w:color="auto" w:fill="auto"/>
            <w:noWrap/>
            <w:vAlign w:val="bottom"/>
            <w:hideMark/>
          </w:tcPr>
          <w:p w:rsidR="00081FC0" w:rsidRPr="00AC2D60" w:rsidRDefault="00081FC0" w:rsidP="005D4CC8">
            <w:pPr>
              <w:jc w:val="center"/>
              <w:rPr>
                <w:rFonts w:eastAsia="Times New Roman"/>
              </w:rPr>
            </w:pPr>
            <w:r w:rsidRPr="00AC2D60">
              <w:rPr>
                <w:rFonts w:eastAsia="Times New Roman"/>
              </w:rPr>
              <w:t> </w:t>
            </w:r>
          </w:p>
        </w:tc>
        <w:tc>
          <w:tcPr>
            <w:tcW w:w="1086" w:type="dxa"/>
            <w:tcBorders>
              <w:top w:val="single" w:sz="4" w:space="0" w:color="auto"/>
              <w:left w:val="nil"/>
              <w:right w:val="nil"/>
            </w:tcBorders>
            <w:shd w:val="clear" w:color="auto" w:fill="auto"/>
            <w:noWrap/>
            <w:vAlign w:val="bottom"/>
            <w:hideMark/>
          </w:tcPr>
          <w:p w:rsidR="00081FC0" w:rsidRPr="00AC2D60" w:rsidRDefault="00081FC0" w:rsidP="005D4CC8">
            <w:pPr>
              <w:jc w:val="center"/>
              <w:rPr>
                <w:rFonts w:eastAsia="Times New Roman"/>
              </w:rPr>
            </w:pPr>
            <w:r w:rsidRPr="00AC2D60">
              <w:rPr>
                <w:rFonts w:eastAsia="Times New Roman"/>
              </w:rPr>
              <w:t> </w:t>
            </w:r>
          </w:p>
        </w:tc>
        <w:tc>
          <w:tcPr>
            <w:tcW w:w="1085" w:type="dxa"/>
            <w:tcBorders>
              <w:top w:val="single" w:sz="4" w:space="0" w:color="auto"/>
              <w:left w:val="nil"/>
              <w:right w:val="nil"/>
            </w:tcBorders>
            <w:shd w:val="clear" w:color="auto" w:fill="auto"/>
            <w:noWrap/>
            <w:vAlign w:val="bottom"/>
            <w:hideMark/>
          </w:tcPr>
          <w:p w:rsidR="00081FC0" w:rsidRPr="00AC2D60" w:rsidRDefault="00081FC0" w:rsidP="005D4CC8">
            <w:pPr>
              <w:jc w:val="center"/>
              <w:rPr>
                <w:rFonts w:eastAsia="Times New Roman"/>
              </w:rPr>
            </w:pPr>
            <w:r w:rsidRPr="00AC2D60">
              <w:rPr>
                <w:rFonts w:eastAsia="Times New Roman"/>
              </w:rPr>
              <w:t> </w:t>
            </w:r>
          </w:p>
        </w:tc>
        <w:tc>
          <w:tcPr>
            <w:tcW w:w="1126" w:type="dxa"/>
            <w:tcBorders>
              <w:top w:val="single" w:sz="4" w:space="0" w:color="auto"/>
              <w:left w:val="nil"/>
              <w:right w:val="nil"/>
            </w:tcBorders>
            <w:shd w:val="clear" w:color="auto" w:fill="auto"/>
            <w:noWrap/>
            <w:vAlign w:val="bottom"/>
            <w:hideMark/>
          </w:tcPr>
          <w:p w:rsidR="00081FC0" w:rsidRPr="00AC2D60" w:rsidRDefault="00081FC0" w:rsidP="005D4CC8">
            <w:pPr>
              <w:jc w:val="center"/>
              <w:rPr>
                <w:rFonts w:eastAsia="Times New Roman"/>
              </w:rPr>
            </w:pPr>
            <w:r w:rsidRPr="00AC2D60">
              <w:rPr>
                <w:rFonts w:eastAsia="Times New Roman"/>
              </w:rPr>
              <w:t> </w:t>
            </w:r>
          </w:p>
        </w:tc>
        <w:tc>
          <w:tcPr>
            <w:tcW w:w="981" w:type="dxa"/>
            <w:tcBorders>
              <w:top w:val="single" w:sz="4" w:space="0" w:color="auto"/>
              <w:left w:val="nil"/>
              <w:right w:val="nil"/>
            </w:tcBorders>
            <w:shd w:val="clear" w:color="auto" w:fill="auto"/>
            <w:noWrap/>
            <w:vAlign w:val="bottom"/>
            <w:hideMark/>
          </w:tcPr>
          <w:p w:rsidR="00081FC0" w:rsidRPr="00AC2D60" w:rsidRDefault="00081FC0" w:rsidP="005D4CC8">
            <w:pPr>
              <w:jc w:val="center"/>
              <w:rPr>
                <w:rFonts w:eastAsia="Times New Roman"/>
              </w:rPr>
            </w:pPr>
            <w:r w:rsidRPr="00AC2D60">
              <w:rPr>
                <w:rFonts w:eastAsia="Times New Roman"/>
              </w:rPr>
              <w:t> </w:t>
            </w:r>
          </w:p>
        </w:tc>
      </w:tr>
      <w:tr w:rsidR="005C608C" w:rsidRPr="00AC2D60" w:rsidTr="008010EB">
        <w:trPr>
          <w:trHeight w:val="270"/>
        </w:trPr>
        <w:tc>
          <w:tcPr>
            <w:tcW w:w="1157" w:type="dxa"/>
            <w:tcBorders>
              <w:left w:val="nil"/>
              <w:bottom w:val="nil"/>
              <w:right w:val="nil"/>
            </w:tcBorders>
            <w:shd w:val="clear" w:color="auto" w:fill="auto"/>
            <w:noWrap/>
            <w:vAlign w:val="bottom"/>
            <w:hideMark/>
          </w:tcPr>
          <w:p w:rsidR="00EF77F3" w:rsidRPr="00AC2D60" w:rsidRDefault="00EF77F3" w:rsidP="003F76E8">
            <w:pPr>
              <w:rPr>
                <w:rFonts w:eastAsia="Times New Roman"/>
                <w:i/>
                <w:color w:val="000000"/>
              </w:rPr>
            </w:pPr>
            <w:r w:rsidRPr="00AC2D60">
              <w:rPr>
                <w:rFonts w:eastAsia="Times New Roman"/>
                <w:i/>
              </w:rPr>
              <w:t>Beta</w:t>
            </w:r>
          </w:p>
        </w:tc>
        <w:tc>
          <w:tcPr>
            <w:tcW w:w="1004" w:type="dxa"/>
            <w:gridSpan w:val="2"/>
            <w:tcBorders>
              <w:left w:val="nil"/>
              <w:bottom w:val="nil"/>
              <w:right w:val="nil"/>
            </w:tcBorders>
            <w:shd w:val="clear" w:color="auto" w:fill="auto"/>
            <w:noWrap/>
            <w:vAlign w:val="bottom"/>
            <w:hideMark/>
          </w:tcPr>
          <w:p w:rsidR="00EF77F3" w:rsidRPr="00AC2D60" w:rsidRDefault="00EF77F3" w:rsidP="009B395A">
            <w:pPr>
              <w:jc w:val="right"/>
            </w:pPr>
            <w:r w:rsidRPr="00931FD3">
              <w:t>0.131</w:t>
            </w:r>
          </w:p>
        </w:tc>
        <w:tc>
          <w:tcPr>
            <w:tcW w:w="1007" w:type="dxa"/>
            <w:tcBorders>
              <w:left w:val="nil"/>
              <w:bottom w:val="nil"/>
              <w:right w:val="nil"/>
            </w:tcBorders>
            <w:vAlign w:val="bottom"/>
          </w:tcPr>
          <w:p w:rsidR="00EF77F3" w:rsidRPr="00AC2D60" w:rsidRDefault="00EF77F3" w:rsidP="006964C7">
            <w:pPr>
              <w:jc w:val="right"/>
            </w:pPr>
            <w:r w:rsidRPr="00931FD3">
              <w:t>1.000</w:t>
            </w:r>
          </w:p>
        </w:tc>
        <w:tc>
          <w:tcPr>
            <w:tcW w:w="1160" w:type="dxa"/>
            <w:tcBorders>
              <w:left w:val="nil"/>
              <w:bottom w:val="nil"/>
              <w:right w:val="nil"/>
            </w:tcBorders>
            <w:shd w:val="clear" w:color="auto" w:fill="auto"/>
            <w:noWrap/>
            <w:vAlign w:val="bottom"/>
          </w:tcPr>
          <w:p w:rsidR="00EF77F3" w:rsidRPr="00AC2D60" w:rsidRDefault="00EF77F3" w:rsidP="00BF7DB4">
            <w:pPr>
              <w:jc w:val="right"/>
            </w:pPr>
          </w:p>
        </w:tc>
        <w:tc>
          <w:tcPr>
            <w:tcW w:w="1085" w:type="dxa"/>
            <w:tcBorders>
              <w:left w:val="nil"/>
              <w:bottom w:val="nil"/>
              <w:right w:val="nil"/>
            </w:tcBorders>
            <w:shd w:val="clear" w:color="auto" w:fill="auto"/>
            <w:noWrap/>
            <w:vAlign w:val="bottom"/>
          </w:tcPr>
          <w:p w:rsidR="00EF77F3" w:rsidRPr="00AC2D60" w:rsidRDefault="00EF77F3" w:rsidP="00AC560C">
            <w:pPr>
              <w:jc w:val="right"/>
            </w:pPr>
          </w:p>
        </w:tc>
        <w:tc>
          <w:tcPr>
            <w:tcW w:w="1106" w:type="dxa"/>
            <w:tcBorders>
              <w:left w:val="nil"/>
              <w:bottom w:val="nil"/>
              <w:right w:val="nil"/>
            </w:tcBorders>
            <w:shd w:val="clear" w:color="auto" w:fill="auto"/>
            <w:noWrap/>
            <w:vAlign w:val="bottom"/>
          </w:tcPr>
          <w:p w:rsidR="00EF77F3" w:rsidRPr="00AC2D60" w:rsidRDefault="00EF77F3" w:rsidP="002D65A3">
            <w:pPr>
              <w:jc w:val="right"/>
            </w:pPr>
          </w:p>
        </w:tc>
        <w:tc>
          <w:tcPr>
            <w:tcW w:w="1111" w:type="dxa"/>
            <w:tcBorders>
              <w:left w:val="nil"/>
              <w:bottom w:val="nil"/>
              <w:right w:val="nil"/>
            </w:tcBorders>
            <w:shd w:val="clear" w:color="auto" w:fill="auto"/>
            <w:noWrap/>
            <w:vAlign w:val="bottom"/>
          </w:tcPr>
          <w:p w:rsidR="00EF77F3" w:rsidRPr="00AC2D60" w:rsidRDefault="00EF77F3" w:rsidP="00931FD3">
            <w:pPr>
              <w:jc w:val="right"/>
            </w:pPr>
          </w:p>
        </w:tc>
        <w:tc>
          <w:tcPr>
            <w:tcW w:w="1086" w:type="dxa"/>
            <w:tcBorders>
              <w:left w:val="nil"/>
              <w:bottom w:val="nil"/>
              <w:right w:val="nil"/>
            </w:tcBorders>
            <w:shd w:val="clear" w:color="auto" w:fill="auto"/>
            <w:noWrap/>
            <w:vAlign w:val="bottom"/>
          </w:tcPr>
          <w:p w:rsidR="00EF77F3" w:rsidRPr="00AC2D60" w:rsidRDefault="00EF77F3" w:rsidP="00931FD3">
            <w:pPr>
              <w:jc w:val="right"/>
            </w:pPr>
          </w:p>
        </w:tc>
        <w:tc>
          <w:tcPr>
            <w:tcW w:w="1085" w:type="dxa"/>
            <w:tcBorders>
              <w:left w:val="nil"/>
              <w:bottom w:val="nil"/>
              <w:right w:val="nil"/>
            </w:tcBorders>
            <w:shd w:val="clear" w:color="auto" w:fill="auto"/>
            <w:noWrap/>
            <w:vAlign w:val="bottom"/>
          </w:tcPr>
          <w:p w:rsidR="00EF77F3" w:rsidRPr="00AC2D60" w:rsidRDefault="00EF77F3" w:rsidP="00931FD3">
            <w:pPr>
              <w:jc w:val="right"/>
            </w:pPr>
          </w:p>
        </w:tc>
        <w:tc>
          <w:tcPr>
            <w:tcW w:w="1126" w:type="dxa"/>
            <w:tcBorders>
              <w:left w:val="nil"/>
              <w:bottom w:val="nil"/>
              <w:right w:val="nil"/>
            </w:tcBorders>
            <w:shd w:val="clear" w:color="auto" w:fill="auto"/>
            <w:noWrap/>
            <w:vAlign w:val="bottom"/>
          </w:tcPr>
          <w:p w:rsidR="00EF77F3" w:rsidRPr="00AC2D60" w:rsidRDefault="00EF77F3" w:rsidP="00931FD3">
            <w:pPr>
              <w:jc w:val="right"/>
            </w:pPr>
          </w:p>
        </w:tc>
        <w:tc>
          <w:tcPr>
            <w:tcW w:w="981" w:type="dxa"/>
            <w:tcBorders>
              <w:left w:val="nil"/>
              <w:bottom w:val="nil"/>
              <w:right w:val="nil"/>
            </w:tcBorders>
            <w:shd w:val="clear" w:color="auto" w:fill="auto"/>
            <w:noWrap/>
            <w:vAlign w:val="bottom"/>
          </w:tcPr>
          <w:p w:rsidR="00EF77F3" w:rsidRPr="00AC2D60" w:rsidRDefault="00EF77F3" w:rsidP="00931FD3">
            <w:pPr>
              <w:jc w:val="right"/>
            </w:pPr>
          </w:p>
        </w:tc>
      </w:tr>
      <w:tr w:rsidR="005C608C" w:rsidRPr="00AC2D60" w:rsidTr="008010EB">
        <w:trPr>
          <w:trHeight w:hRule="exact" w:val="372"/>
        </w:trPr>
        <w:tc>
          <w:tcPr>
            <w:tcW w:w="1157" w:type="dxa"/>
            <w:tcBorders>
              <w:top w:val="nil"/>
              <w:left w:val="nil"/>
              <w:bottom w:val="nil"/>
              <w:right w:val="nil"/>
            </w:tcBorders>
            <w:shd w:val="clear" w:color="auto" w:fill="auto"/>
            <w:noWrap/>
            <w:vAlign w:val="bottom"/>
            <w:hideMark/>
          </w:tcPr>
          <w:p w:rsidR="00EF77F3" w:rsidRPr="00AC2D60" w:rsidRDefault="00EF77F3" w:rsidP="003F76E8">
            <w:pPr>
              <w:rPr>
                <w:rFonts w:eastAsia="Times New Roman"/>
                <w:i/>
              </w:rPr>
            </w:pPr>
            <w:r w:rsidRPr="00AC2D60">
              <w:rPr>
                <w:rFonts w:eastAsia="Times New Roman"/>
                <w:i/>
              </w:rPr>
              <w:t>EQ</w:t>
            </w:r>
          </w:p>
        </w:tc>
        <w:tc>
          <w:tcPr>
            <w:tcW w:w="1004" w:type="dxa"/>
            <w:gridSpan w:val="2"/>
            <w:tcBorders>
              <w:top w:val="nil"/>
              <w:left w:val="nil"/>
              <w:bottom w:val="nil"/>
              <w:right w:val="nil"/>
            </w:tcBorders>
            <w:shd w:val="clear" w:color="auto" w:fill="auto"/>
            <w:noWrap/>
            <w:vAlign w:val="bottom"/>
            <w:hideMark/>
          </w:tcPr>
          <w:p w:rsidR="00EF77F3" w:rsidRPr="00AC2D60" w:rsidRDefault="006964C7" w:rsidP="009B395A">
            <w:pPr>
              <w:jc w:val="right"/>
            </w:pPr>
            <w:r w:rsidRPr="00AC2D60">
              <w:t>−</w:t>
            </w:r>
            <w:r w:rsidR="00EF77F3" w:rsidRPr="00931FD3">
              <w:t>0.107</w:t>
            </w:r>
          </w:p>
        </w:tc>
        <w:tc>
          <w:tcPr>
            <w:tcW w:w="1007" w:type="dxa"/>
            <w:tcBorders>
              <w:top w:val="nil"/>
              <w:left w:val="nil"/>
              <w:bottom w:val="nil"/>
              <w:right w:val="nil"/>
            </w:tcBorders>
            <w:vAlign w:val="bottom"/>
          </w:tcPr>
          <w:p w:rsidR="00EF77F3" w:rsidRPr="00AC2D60" w:rsidRDefault="006964C7" w:rsidP="006964C7">
            <w:pPr>
              <w:jc w:val="right"/>
            </w:pPr>
            <w:r w:rsidRPr="00AC2D60">
              <w:t>−</w:t>
            </w:r>
            <w:r w:rsidR="00EF77F3" w:rsidRPr="00931FD3">
              <w:t>0.107</w:t>
            </w:r>
          </w:p>
        </w:tc>
        <w:tc>
          <w:tcPr>
            <w:tcW w:w="1160" w:type="dxa"/>
            <w:tcBorders>
              <w:top w:val="nil"/>
              <w:left w:val="nil"/>
              <w:bottom w:val="nil"/>
              <w:right w:val="nil"/>
            </w:tcBorders>
            <w:shd w:val="clear" w:color="auto" w:fill="auto"/>
            <w:noWrap/>
            <w:vAlign w:val="bottom"/>
          </w:tcPr>
          <w:p w:rsidR="00EF77F3" w:rsidRPr="00AC2D60" w:rsidRDefault="00EF77F3" w:rsidP="006964C7">
            <w:pPr>
              <w:jc w:val="right"/>
            </w:pPr>
            <w:r w:rsidRPr="00931FD3">
              <w:t>1.000</w:t>
            </w:r>
          </w:p>
        </w:tc>
        <w:tc>
          <w:tcPr>
            <w:tcW w:w="1085" w:type="dxa"/>
            <w:tcBorders>
              <w:top w:val="nil"/>
              <w:left w:val="nil"/>
              <w:bottom w:val="nil"/>
              <w:right w:val="nil"/>
            </w:tcBorders>
            <w:shd w:val="clear" w:color="auto" w:fill="auto"/>
            <w:noWrap/>
            <w:vAlign w:val="bottom"/>
          </w:tcPr>
          <w:p w:rsidR="00EF77F3" w:rsidRPr="00AC2D60" w:rsidRDefault="00EF77F3" w:rsidP="00BF7DB4">
            <w:pPr>
              <w:jc w:val="right"/>
            </w:pPr>
          </w:p>
        </w:tc>
        <w:tc>
          <w:tcPr>
            <w:tcW w:w="1106" w:type="dxa"/>
            <w:tcBorders>
              <w:top w:val="nil"/>
              <w:left w:val="nil"/>
              <w:bottom w:val="nil"/>
              <w:right w:val="nil"/>
            </w:tcBorders>
            <w:shd w:val="clear" w:color="auto" w:fill="auto"/>
            <w:noWrap/>
            <w:vAlign w:val="bottom"/>
          </w:tcPr>
          <w:p w:rsidR="00EF77F3" w:rsidRPr="00AC2D60" w:rsidRDefault="00EF77F3" w:rsidP="00AC560C">
            <w:pPr>
              <w:jc w:val="right"/>
            </w:pPr>
          </w:p>
        </w:tc>
        <w:tc>
          <w:tcPr>
            <w:tcW w:w="1111" w:type="dxa"/>
            <w:tcBorders>
              <w:top w:val="nil"/>
              <w:left w:val="nil"/>
              <w:bottom w:val="nil"/>
              <w:right w:val="nil"/>
            </w:tcBorders>
            <w:shd w:val="clear" w:color="auto" w:fill="auto"/>
            <w:noWrap/>
            <w:vAlign w:val="bottom"/>
          </w:tcPr>
          <w:p w:rsidR="00EF77F3" w:rsidRPr="00AC2D60" w:rsidRDefault="00EF77F3" w:rsidP="002D65A3">
            <w:pPr>
              <w:jc w:val="right"/>
            </w:pPr>
          </w:p>
        </w:tc>
        <w:tc>
          <w:tcPr>
            <w:tcW w:w="108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1085" w:type="dxa"/>
            <w:tcBorders>
              <w:top w:val="nil"/>
              <w:left w:val="nil"/>
              <w:bottom w:val="nil"/>
              <w:right w:val="nil"/>
            </w:tcBorders>
            <w:shd w:val="clear" w:color="auto" w:fill="auto"/>
            <w:noWrap/>
            <w:vAlign w:val="bottom"/>
          </w:tcPr>
          <w:p w:rsidR="00EF77F3" w:rsidRPr="00AC2D60" w:rsidRDefault="00EF77F3" w:rsidP="00931FD3">
            <w:pPr>
              <w:jc w:val="right"/>
            </w:pPr>
          </w:p>
        </w:tc>
        <w:tc>
          <w:tcPr>
            <w:tcW w:w="112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981" w:type="dxa"/>
            <w:tcBorders>
              <w:top w:val="nil"/>
              <w:left w:val="nil"/>
              <w:bottom w:val="nil"/>
              <w:right w:val="nil"/>
            </w:tcBorders>
            <w:shd w:val="clear" w:color="auto" w:fill="auto"/>
            <w:noWrap/>
            <w:vAlign w:val="bottom"/>
          </w:tcPr>
          <w:p w:rsidR="00EF77F3" w:rsidRPr="00AC2D60" w:rsidRDefault="00EF77F3" w:rsidP="00931FD3">
            <w:pPr>
              <w:jc w:val="right"/>
            </w:pPr>
          </w:p>
        </w:tc>
      </w:tr>
      <w:tr w:rsidR="005C608C" w:rsidRPr="00AC2D60" w:rsidTr="008010EB">
        <w:trPr>
          <w:trHeight w:val="270"/>
        </w:trPr>
        <w:tc>
          <w:tcPr>
            <w:tcW w:w="1157" w:type="dxa"/>
            <w:tcBorders>
              <w:top w:val="nil"/>
              <w:left w:val="nil"/>
              <w:bottom w:val="nil"/>
              <w:right w:val="nil"/>
            </w:tcBorders>
            <w:shd w:val="clear" w:color="auto" w:fill="auto"/>
            <w:noWrap/>
            <w:vAlign w:val="bottom"/>
            <w:hideMark/>
          </w:tcPr>
          <w:p w:rsidR="00EF77F3" w:rsidRPr="00AC2D60" w:rsidRDefault="00EF77F3" w:rsidP="003F76E8">
            <w:pPr>
              <w:rPr>
                <w:rFonts w:eastAsia="Times New Roman"/>
                <w:i/>
              </w:rPr>
            </w:pPr>
            <w:r w:rsidRPr="00AC2D60">
              <w:rPr>
                <w:rFonts w:eastAsia="Times New Roman"/>
                <w:i/>
              </w:rPr>
              <w:t>P_EQew</w:t>
            </w:r>
          </w:p>
        </w:tc>
        <w:tc>
          <w:tcPr>
            <w:tcW w:w="1004" w:type="dxa"/>
            <w:gridSpan w:val="2"/>
            <w:tcBorders>
              <w:top w:val="nil"/>
              <w:left w:val="nil"/>
              <w:bottom w:val="nil"/>
              <w:right w:val="nil"/>
            </w:tcBorders>
            <w:shd w:val="clear" w:color="auto" w:fill="auto"/>
            <w:noWrap/>
            <w:vAlign w:val="bottom"/>
            <w:hideMark/>
          </w:tcPr>
          <w:p w:rsidR="00EF77F3" w:rsidRPr="00AC2D60" w:rsidRDefault="006964C7" w:rsidP="009B395A">
            <w:pPr>
              <w:jc w:val="right"/>
            </w:pPr>
            <w:r w:rsidRPr="00AC2D60">
              <w:t>−</w:t>
            </w:r>
            <w:r w:rsidR="00EF77F3" w:rsidRPr="00931FD3">
              <w:t>0.050</w:t>
            </w:r>
          </w:p>
        </w:tc>
        <w:tc>
          <w:tcPr>
            <w:tcW w:w="1007" w:type="dxa"/>
            <w:tcBorders>
              <w:top w:val="nil"/>
              <w:left w:val="nil"/>
              <w:bottom w:val="nil"/>
              <w:right w:val="nil"/>
            </w:tcBorders>
            <w:vAlign w:val="bottom"/>
          </w:tcPr>
          <w:p w:rsidR="00EF77F3" w:rsidRPr="00AC2D60" w:rsidRDefault="006964C7" w:rsidP="006964C7">
            <w:pPr>
              <w:jc w:val="right"/>
            </w:pPr>
            <w:r w:rsidRPr="00AC2D60">
              <w:t>−</w:t>
            </w:r>
            <w:r w:rsidR="00EF77F3" w:rsidRPr="00931FD3">
              <w:t>0.129</w:t>
            </w:r>
          </w:p>
        </w:tc>
        <w:tc>
          <w:tcPr>
            <w:tcW w:w="1160" w:type="dxa"/>
            <w:tcBorders>
              <w:top w:val="nil"/>
              <w:left w:val="nil"/>
              <w:bottom w:val="nil"/>
              <w:right w:val="nil"/>
            </w:tcBorders>
            <w:shd w:val="clear" w:color="auto" w:fill="auto"/>
            <w:noWrap/>
            <w:vAlign w:val="bottom"/>
          </w:tcPr>
          <w:p w:rsidR="00EF77F3" w:rsidRPr="00AC2D60" w:rsidRDefault="00EF77F3" w:rsidP="006964C7">
            <w:pPr>
              <w:jc w:val="right"/>
            </w:pPr>
            <w:r w:rsidRPr="00931FD3">
              <w:t>0.782</w:t>
            </w:r>
          </w:p>
        </w:tc>
        <w:tc>
          <w:tcPr>
            <w:tcW w:w="1085" w:type="dxa"/>
            <w:tcBorders>
              <w:top w:val="nil"/>
              <w:left w:val="nil"/>
              <w:bottom w:val="nil"/>
              <w:right w:val="nil"/>
            </w:tcBorders>
            <w:shd w:val="clear" w:color="auto" w:fill="auto"/>
            <w:noWrap/>
            <w:vAlign w:val="bottom"/>
          </w:tcPr>
          <w:p w:rsidR="00EF77F3" w:rsidRPr="00AC2D60" w:rsidRDefault="00EF77F3" w:rsidP="00BF7DB4">
            <w:pPr>
              <w:jc w:val="right"/>
            </w:pPr>
            <w:r w:rsidRPr="00931FD3">
              <w:t>1.000</w:t>
            </w:r>
          </w:p>
        </w:tc>
        <w:tc>
          <w:tcPr>
            <w:tcW w:w="1106" w:type="dxa"/>
            <w:tcBorders>
              <w:top w:val="nil"/>
              <w:left w:val="nil"/>
              <w:bottom w:val="nil"/>
              <w:right w:val="nil"/>
            </w:tcBorders>
            <w:shd w:val="clear" w:color="auto" w:fill="auto"/>
            <w:noWrap/>
            <w:vAlign w:val="bottom"/>
          </w:tcPr>
          <w:p w:rsidR="00EF77F3" w:rsidRPr="00AC2D60" w:rsidRDefault="00EF77F3" w:rsidP="00AC560C">
            <w:pPr>
              <w:jc w:val="right"/>
            </w:pPr>
          </w:p>
        </w:tc>
        <w:tc>
          <w:tcPr>
            <w:tcW w:w="1111" w:type="dxa"/>
            <w:tcBorders>
              <w:top w:val="nil"/>
              <w:left w:val="nil"/>
              <w:bottom w:val="nil"/>
              <w:right w:val="nil"/>
            </w:tcBorders>
            <w:shd w:val="clear" w:color="auto" w:fill="auto"/>
            <w:noWrap/>
            <w:vAlign w:val="bottom"/>
          </w:tcPr>
          <w:p w:rsidR="00EF77F3" w:rsidRPr="00AC2D60" w:rsidRDefault="00EF77F3" w:rsidP="002D65A3">
            <w:pPr>
              <w:jc w:val="right"/>
            </w:pPr>
          </w:p>
        </w:tc>
        <w:tc>
          <w:tcPr>
            <w:tcW w:w="108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1085" w:type="dxa"/>
            <w:tcBorders>
              <w:top w:val="nil"/>
              <w:left w:val="nil"/>
              <w:bottom w:val="nil"/>
              <w:right w:val="nil"/>
            </w:tcBorders>
            <w:shd w:val="clear" w:color="auto" w:fill="auto"/>
            <w:noWrap/>
            <w:vAlign w:val="bottom"/>
          </w:tcPr>
          <w:p w:rsidR="00EF77F3" w:rsidRPr="00AC2D60" w:rsidRDefault="00EF77F3" w:rsidP="00931FD3">
            <w:pPr>
              <w:jc w:val="right"/>
            </w:pPr>
          </w:p>
        </w:tc>
        <w:tc>
          <w:tcPr>
            <w:tcW w:w="112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981" w:type="dxa"/>
            <w:tcBorders>
              <w:top w:val="nil"/>
              <w:left w:val="nil"/>
              <w:bottom w:val="nil"/>
              <w:right w:val="nil"/>
            </w:tcBorders>
            <w:shd w:val="clear" w:color="auto" w:fill="auto"/>
            <w:noWrap/>
            <w:vAlign w:val="bottom"/>
          </w:tcPr>
          <w:p w:rsidR="00EF77F3" w:rsidRPr="00AC2D60" w:rsidRDefault="00EF77F3" w:rsidP="00931FD3">
            <w:pPr>
              <w:jc w:val="right"/>
            </w:pPr>
          </w:p>
        </w:tc>
      </w:tr>
      <w:tr w:rsidR="005C608C" w:rsidRPr="00AC2D60" w:rsidTr="008010EB">
        <w:trPr>
          <w:trHeight w:val="270"/>
        </w:trPr>
        <w:tc>
          <w:tcPr>
            <w:tcW w:w="1157" w:type="dxa"/>
            <w:tcBorders>
              <w:top w:val="nil"/>
              <w:left w:val="nil"/>
              <w:bottom w:val="nil"/>
              <w:right w:val="nil"/>
            </w:tcBorders>
            <w:shd w:val="clear" w:color="auto" w:fill="auto"/>
            <w:noWrap/>
            <w:vAlign w:val="bottom"/>
            <w:hideMark/>
          </w:tcPr>
          <w:p w:rsidR="00EF77F3" w:rsidRPr="00AC2D60" w:rsidRDefault="00EF77F3" w:rsidP="003F76E8">
            <w:pPr>
              <w:rPr>
                <w:rFonts w:eastAsia="Times New Roman"/>
                <w:i/>
              </w:rPr>
            </w:pPr>
            <w:r w:rsidRPr="00AC2D60">
              <w:rPr>
                <w:rFonts w:eastAsia="Times New Roman"/>
                <w:i/>
              </w:rPr>
              <w:t>P_EQmsw</w:t>
            </w:r>
          </w:p>
        </w:tc>
        <w:tc>
          <w:tcPr>
            <w:tcW w:w="1004" w:type="dxa"/>
            <w:gridSpan w:val="2"/>
            <w:tcBorders>
              <w:top w:val="nil"/>
              <w:left w:val="nil"/>
              <w:bottom w:val="nil"/>
              <w:right w:val="nil"/>
            </w:tcBorders>
            <w:shd w:val="clear" w:color="auto" w:fill="auto"/>
            <w:noWrap/>
            <w:vAlign w:val="bottom"/>
            <w:hideMark/>
          </w:tcPr>
          <w:p w:rsidR="00EF77F3" w:rsidRPr="00AC2D60" w:rsidRDefault="006964C7" w:rsidP="009B395A">
            <w:pPr>
              <w:jc w:val="right"/>
            </w:pPr>
            <w:r w:rsidRPr="00AC2D60">
              <w:t>−</w:t>
            </w:r>
            <w:r w:rsidR="00EF77F3" w:rsidRPr="00931FD3">
              <w:t>0.048</w:t>
            </w:r>
          </w:p>
        </w:tc>
        <w:tc>
          <w:tcPr>
            <w:tcW w:w="1007" w:type="dxa"/>
            <w:tcBorders>
              <w:top w:val="nil"/>
              <w:left w:val="nil"/>
              <w:bottom w:val="nil"/>
              <w:right w:val="nil"/>
            </w:tcBorders>
            <w:vAlign w:val="bottom"/>
          </w:tcPr>
          <w:p w:rsidR="00EF77F3" w:rsidRPr="00AC2D60" w:rsidRDefault="006964C7" w:rsidP="006964C7">
            <w:pPr>
              <w:jc w:val="right"/>
            </w:pPr>
            <w:r w:rsidRPr="00AC2D60">
              <w:t>−</w:t>
            </w:r>
            <w:r w:rsidR="00EF77F3" w:rsidRPr="00931FD3">
              <w:t>0.125</w:t>
            </w:r>
          </w:p>
        </w:tc>
        <w:tc>
          <w:tcPr>
            <w:tcW w:w="1160" w:type="dxa"/>
            <w:tcBorders>
              <w:top w:val="nil"/>
              <w:left w:val="nil"/>
              <w:bottom w:val="nil"/>
              <w:right w:val="nil"/>
            </w:tcBorders>
            <w:shd w:val="clear" w:color="auto" w:fill="auto"/>
            <w:noWrap/>
            <w:vAlign w:val="bottom"/>
          </w:tcPr>
          <w:p w:rsidR="00EF77F3" w:rsidRPr="00AC2D60" w:rsidRDefault="00EF77F3" w:rsidP="006964C7">
            <w:pPr>
              <w:jc w:val="right"/>
            </w:pPr>
            <w:r w:rsidRPr="00931FD3">
              <w:t>0.769</w:t>
            </w:r>
          </w:p>
        </w:tc>
        <w:tc>
          <w:tcPr>
            <w:tcW w:w="1085" w:type="dxa"/>
            <w:tcBorders>
              <w:top w:val="nil"/>
              <w:left w:val="nil"/>
              <w:bottom w:val="nil"/>
              <w:right w:val="nil"/>
            </w:tcBorders>
            <w:shd w:val="clear" w:color="auto" w:fill="auto"/>
            <w:noWrap/>
            <w:vAlign w:val="bottom"/>
          </w:tcPr>
          <w:p w:rsidR="00EF77F3" w:rsidRPr="00AC2D60" w:rsidRDefault="00EF77F3" w:rsidP="00BF7DB4">
            <w:pPr>
              <w:jc w:val="right"/>
            </w:pPr>
            <w:r w:rsidRPr="00931FD3">
              <w:t>0.966</w:t>
            </w:r>
          </w:p>
        </w:tc>
        <w:tc>
          <w:tcPr>
            <w:tcW w:w="1106" w:type="dxa"/>
            <w:tcBorders>
              <w:top w:val="nil"/>
              <w:left w:val="nil"/>
              <w:bottom w:val="nil"/>
              <w:right w:val="nil"/>
            </w:tcBorders>
            <w:shd w:val="clear" w:color="auto" w:fill="auto"/>
            <w:noWrap/>
            <w:vAlign w:val="bottom"/>
          </w:tcPr>
          <w:p w:rsidR="00EF77F3" w:rsidRPr="00AC2D60" w:rsidRDefault="00EF77F3" w:rsidP="00AC560C">
            <w:pPr>
              <w:jc w:val="right"/>
            </w:pPr>
            <w:r w:rsidRPr="00931FD3">
              <w:t>1.000</w:t>
            </w:r>
          </w:p>
        </w:tc>
        <w:tc>
          <w:tcPr>
            <w:tcW w:w="1111" w:type="dxa"/>
            <w:tcBorders>
              <w:top w:val="nil"/>
              <w:left w:val="nil"/>
              <w:bottom w:val="nil"/>
              <w:right w:val="nil"/>
            </w:tcBorders>
            <w:shd w:val="clear" w:color="auto" w:fill="auto"/>
            <w:noWrap/>
            <w:vAlign w:val="bottom"/>
          </w:tcPr>
          <w:p w:rsidR="00EF77F3" w:rsidRPr="00AC2D60" w:rsidRDefault="00EF77F3" w:rsidP="002D65A3">
            <w:pPr>
              <w:jc w:val="right"/>
            </w:pPr>
          </w:p>
        </w:tc>
        <w:tc>
          <w:tcPr>
            <w:tcW w:w="108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1085" w:type="dxa"/>
            <w:tcBorders>
              <w:top w:val="nil"/>
              <w:left w:val="nil"/>
              <w:bottom w:val="nil"/>
              <w:right w:val="nil"/>
            </w:tcBorders>
            <w:shd w:val="clear" w:color="auto" w:fill="auto"/>
            <w:noWrap/>
            <w:vAlign w:val="bottom"/>
          </w:tcPr>
          <w:p w:rsidR="00EF77F3" w:rsidRPr="00AC2D60" w:rsidRDefault="00EF77F3" w:rsidP="00931FD3">
            <w:pPr>
              <w:jc w:val="right"/>
            </w:pPr>
          </w:p>
        </w:tc>
        <w:tc>
          <w:tcPr>
            <w:tcW w:w="112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981" w:type="dxa"/>
            <w:tcBorders>
              <w:top w:val="nil"/>
              <w:left w:val="nil"/>
              <w:bottom w:val="nil"/>
              <w:right w:val="nil"/>
            </w:tcBorders>
            <w:shd w:val="clear" w:color="auto" w:fill="auto"/>
            <w:noWrap/>
            <w:vAlign w:val="bottom"/>
          </w:tcPr>
          <w:p w:rsidR="00EF77F3" w:rsidRPr="00AC2D60" w:rsidRDefault="00EF77F3" w:rsidP="00931FD3">
            <w:pPr>
              <w:jc w:val="right"/>
            </w:pPr>
          </w:p>
        </w:tc>
      </w:tr>
      <w:tr w:rsidR="005C608C" w:rsidRPr="00AC2D60" w:rsidTr="008010EB">
        <w:trPr>
          <w:trHeight w:val="270"/>
        </w:trPr>
        <w:tc>
          <w:tcPr>
            <w:tcW w:w="1157" w:type="dxa"/>
            <w:tcBorders>
              <w:top w:val="nil"/>
              <w:left w:val="nil"/>
              <w:bottom w:val="nil"/>
              <w:right w:val="nil"/>
            </w:tcBorders>
            <w:shd w:val="clear" w:color="auto" w:fill="auto"/>
            <w:noWrap/>
            <w:vAlign w:val="bottom"/>
            <w:hideMark/>
          </w:tcPr>
          <w:p w:rsidR="00EF77F3" w:rsidRPr="00AC2D60" w:rsidRDefault="00EF77F3" w:rsidP="003F76E8">
            <w:pPr>
              <w:rPr>
                <w:rFonts w:eastAsia="Times New Roman"/>
                <w:i/>
              </w:rPr>
            </w:pPr>
            <w:r w:rsidRPr="00AC2D60">
              <w:rPr>
                <w:rFonts w:eastAsia="Times New Roman"/>
                <w:i/>
              </w:rPr>
              <w:t>LEV</w:t>
            </w:r>
          </w:p>
        </w:tc>
        <w:tc>
          <w:tcPr>
            <w:tcW w:w="1004" w:type="dxa"/>
            <w:gridSpan w:val="2"/>
            <w:tcBorders>
              <w:top w:val="nil"/>
              <w:left w:val="nil"/>
              <w:bottom w:val="nil"/>
              <w:right w:val="nil"/>
            </w:tcBorders>
            <w:shd w:val="clear" w:color="auto" w:fill="auto"/>
            <w:noWrap/>
            <w:vAlign w:val="bottom"/>
            <w:hideMark/>
          </w:tcPr>
          <w:p w:rsidR="00EF77F3" w:rsidRPr="00AC2D60" w:rsidRDefault="006964C7" w:rsidP="009B395A">
            <w:pPr>
              <w:jc w:val="right"/>
            </w:pPr>
            <w:r w:rsidRPr="00AC2D60">
              <w:t>−</w:t>
            </w:r>
            <w:r w:rsidR="00EF77F3" w:rsidRPr="00931FD3">
              <w:t>0.023</w:t>
            </w:r>
          </w:p>
        </w:tc>
        <w:tc>
          <w:tcPr>
            <w:tcW w:w="1007" w:type="dxa"/>
            <w:tcBorders>
              <w:top w:val="nil"/>
              <w:left w:val="nil"/>
              <w:bottom w:val="nil"/>
              <w:right w:val="nil"/>
            </w:tcBorders>
            <w:vAlign w:val="bottom"/>
          </w:tcPr>
          <w:p w:rsidR="00EF77F3" w:rsidRPr="00AC2D60" w:rsidRDefault="006964C7" w:rsidP="006964C7">
            <w:pPr>
              <w:jc w:val="right"/>
            </w:pPr>
            <w:r w:rsidRPr="00AC2D60">
              <w:t>−</w:t>
            </w:r>
            <w:r w:rsidR="00EF77F3" w:rsidRPr="00931FD3">
              <w:t>0.167</w:t>
            </w:r>
          </w:p>
        </w:tc>
        <w:tc>
          <w:tcPr>
            <w:tcW w:w="1160" w:type="dxa"/>
            <w:tcBorders>
              <w:top w:val="nil"/>
              <w:left w:val="nil"/>
              <w:bottom w:val="nil"/>
              <w:right w:val="nil"/>
            </w:tcBorders>
            <w:shd w:val="clear" w:color="auto" w:fill="auto"/>
            <w:noWrap/>
            <w:vAlign w:val="bottom"/>
          </w:tcPr>
          <w:p w:rsidR="00EF77F3" w:rsidRPr="00AC2D60" w:rsidRDefault="00EF77F3" w:rsidP="006964C7">
            <w:pPr>
              <w:jc w:val="right"/>
            </w:pPr>
            <w:r w:rsidRPr="00931FD3">
              <w:t>0.114</w:t>
            </w:r>
          </w:p>
        </w:tc>
        <w:tc>
          <w:tcPr>
            <w:tcW w:w="1085" w:type="dxa"/>
            <w:tcBorders>
              <w:top w:val="nil"/>
              <w:left w:val="nil"/>
              <w:bottom w:val="nil"/>
              <w:right w:val="nil"/>
            </w:tcBorders>
            <w:shd w:val="clear" w:color="auto" w:fill="auto"/>
            <w:noWrap/>
            <w:vAlign w:val="bottom"/>
          </w:tcPr>
          <w:p w:rsidR="00EF77F3" w:rsidRPr="00AC2D60" w:rsidRDefault="00EF77F3" w:rsidP="00BF7DB4">
            <w:pPr>
              <w:jc w:val="right"/>
            </w:pPr>
            <w:r w:rsidRPr="00931FD3">
              <w:t>0.114</w:t>
            </w:r>
          </w:p>
        </w:tc>
        <w:tc>
          <w:tcPr>
            <w:tcW w:w="1106" w:type="dxa"/>
            <w:tcBorders>
              <w:top w:val="nil"/>
              <w:left w:val="nil"/>
              <w:bottom w:val="nil"/>
              <w:right w:val="nil"/>
            </w:tcBorders>
            <w:shd w:val="clear" w:color="auto" w:fill="auto"/>
            <w:noWrap/>
            <w:vAlign w:val="bottom"/>
          </w:tcPr>
          <w:p w:rsidR="00EF77F3" w:rsidRPr="00AC2D60" w:rsidRDefault="00EF77F3" w:rsidP="00AC560C">
            <w:pPr>
              <w:jc w:val="right"/>
            </w:pPr>
            <w:r w:rsidRPr="00931FD3">
              <w:t>0.113</w:t>
            </w:r>
          </w:p>
        </w:tc>
        <w:tc>
          <w:tcPr>
            <w:tcW w:w="1111" w:type="dxa"/>
            <w:tcBorders>
              <w:top w:val="nil"/>
              <w:left w:val="nil"/>
              <w:bottom w:val="nil"/>
              <w:right w:val="nil"/>
            </w:tcBorders>
            <w:shd w:val="clear" w:color="auto" w:fill="auto"/>
            <w:noWrap/>
            <w:vAlign w:val="bottom"/>
          </w:tcPr>
          <w:p w:rsidR="00EF77F3" w:rsidRPr="00AC2D60" w:rsidRDefault="00EF77F3" w:rsidP="002D65A3">
            <w:pPr>
              <w:jc w:val="right"/>
            </w:pPr>
            <w:r w:rsidRPr="00931FD3">
              <w:t>1.000</w:t>
            </w:r>
          </w:p>
        </w:tc>
        <w:tc>
          <w:tcPr>
            <w:tcW w:w="108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1085" w:type="dxa"/>
            <w:tcBorders>
              <w:top w:val="nil"/>
              <w:left w:val="nil"/>
              <w:bottom w:val="nil"/>
              <w:right w:val="nil"/>
            </w:tcBorders>
            <w:shd w:val="clear" w:color="auto" w:fill="auto"/>
            <w:noWrap/>
            <w:vAlign w:val="bottom"/>
          </w:tcPr>
          <w:p w:rsidR="00EF77F3" w:rsidRPr="00AC2D60" w:rsidRDefault="00EF77F3" w:rsidP="00931FD3">
            <w:pPr>
              <w:jc w:val="right"/>
            </w:pPr>
          </w:p>
        </w:tc>
        <w:tc>
          <w:tcPr>
            <w:tcW w:w="112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981" w:type="dxa"/>
            <w:tcBorders>
              <w:top w:val="nil"/>
              <w:left w:val="nil"/>
              <w:bottom w:val="nil"/>
              <w:right w:val="nil"/>
            </w:tcBorders>
            <w:shd w:val="clear" w:color="auto" w:fill="auto"/>
            <w:noWrap/>
            <w:vAlign w:val="bottom"/>
          </w:tcPr>
          <w:p w:rsidR="00EF77F3" w:rsidRPr="00AC2D60" w:rsidRDefault="00EF77F3" w:rsidP="00931FD3">
            <w:pPr>
              <w:jc w:val="right"/>
            </w:pPr>
          </w:p>
        </w:tc>
      </w:tr>
      <w:tr w:rsidR="005C608C" w:rsidRPr="00AC2D60" w:rsidTr="008010EB">
        <w:trPr>
          <w:trHeight w:val="270"/>
        </w:trPr>
        <w:tc>
          <w:tcPr>
            <w:tcW w:w="1157" w:type="dxa"/>
            <w:tcBorders>
              <w:top w:val="nil"/>
              <w:left w:val="nil"/>
              <w:bottom w:val="nil"/>
              <w:right w:val="nil"/>
            </w:tcBorders>
            <w:shd w:val="clear" w:color="auto" w:fill="auto"/>
            <w:noWrap/>
            <w:vAlign w:val="bottom"/>
            <w:hideMark/>
          </w:tcPr>
          <w:p w:rsidR="00EF77F3" w:rsidRPr="00AC2D60" w:rsidRDefault="00EF77F3" w:rsidP="003F76E8">
            <w:pPr>
              <w:rPr>
                <w:rFonts w:eastAsia="Times New Roman"/>
                <w:i/>
              </w:rPr>
            </w:pPr>
            <w:r w:rsidRPr="00AC2D60">
              <w:rPr>
                <w:rFonts w:eastAsia="Times New Roman"/>
                <w:i/>
              </w:rPr>
              <w:t>LnMV</w:t>
            </w:r>
          </w:p>
        </w:tc>
        <w:tc>
          <w:tcPr>
            <w:tcW w:w="1004" w:type="dxa"/>
            <w:gridSpan w:val="2"/>
            <w:tcBorders>
              <w:top w:val="nil"/>
              <w:left w:val="nil"/>
              <w:bottom w:val="nil"/>
              <w:right w:val="nil"/>
            </w:tcBorders>
            <w:shd w:val="clear" w:color="auto" w:fill="auto"/>
            <w:noWrap/>
            <w:vAlign w:val="bottom"/>
            <w:hideMark/>
          </w:tcPr>
          <w:p w:rsidR="00EF77F3" w:rsidRPr="00AC2D60" w:rsidRDefault="006964C7" w:rsidP="009B395A">
            <w:pPr>
              <w:jc w:val="right"/>
            </w:pPr>
            <w:r w:rsidRPr="00AC2D60">
              <w:t>−</w:t>
            </w:r>
            <w:r w:rsidR="00EF77F3" w:rsidRPr="00931FD3">
              <w:t>0.376</w:t>
            </w:r>
          </w:p>
        </w:tc>
        <w:tc>
          <w:tcPr>
            <w:tcW w:w="1007" w:type="dxa"/>
            <w:tcBorders>
              <w:top w:val="nil"/>
              <w:left w:val="nil"/>
              <w:bottom w:val="nil"/>
              <w:right w:val="nil"/>
            </w:tcBorders>
            <w:vAlign w:val="bottom"/>
          </w:tcPr>
          <w:p w:rsidR="00EF77F3" w:rsidRPr="00AC2D60" w:rsidRDefault="00EF77F3" w:rsidP="006964C7">
            <w:pPr>
              <w:jc w:val="right"/>
            </w:pPr>
            <w:r w:rsidRPr="00931FD3">
              <w:t>0.060</w:t>
            </w:r>
          </w:p>
        </w:tc>
        <w:tc>
          <w:tcPr>
            <w:tcW w:w="1160" w:type="dxa"/>
            <w:tcBorders>
              <w:top w:val="nil"/>
              <w:left w:val="nil"/>
              <w:bottom w:val="nil"/>
              <w:right w:val="nil"/>
            </w:tcBorders>
            <w:shd w:val="clear" w:color="auto" w:fill="auto"/>
            <w:noWrap/>
            <w:vAlign w:val="bottom"/>
          </w:tcPr>
          <w:p w:rsidR="00EF77F3" w:rsidRPr="00AC2D60" w:rsidRDefault="00EF77F3" w:rsidP="006964C7">
            <w:pPr>
              <w:jc w:val="right"/>
            </w:pPr>
            <w:r w:rsidRPr="00931FD3">
              <w:t>0.085</w:t>
            </w:r>
          </w:p>
        </w:tc>
        <w:tc>
          <w:tcPr>
            <w:tcW w:w="1085" w:type="dxa"/>
            <w:tcBorders>
              <w:top w:val="nil"/>
              <w:left w:val="nil"/>
              <w:bottom w:val="nil"/>
              <w:right w:val="nil"/>
            </w:tcBorders>
            <w:shd w:val="clear" w:color="auto" w:fill="auto"/>
            <w:noWrap/>
            <w:vAlign w:val="bottom"/>
          </w:tcPr>
          <w:p w:rsidR="00EF77F3" w:rsidRPr="00AC2D60" w:rsidRDefault="00EF77F3" w:rsidP="00BF7DB4">
            <w:pPr>
              <w:jc w:val="right"/>
            </w:pPr>
            <w:r w:rsidRPr="00931FD3">
              <w:t>0.018</w:t>
            </w:r>
          </w:p>
        </w:tc>
        <w:tc>
          <w:tcPr>
            <w:tcW w:w="1106" w:type="dxa"/>
            <w:tcBorders>
              <w:top w:val="nil"/>
              <w:left w:val="nil"/>
              <w:bottom w:val="nil"/>
              <w:right w:val="nil"/>
            </w:tcBorders>
            <w:shd w:val="clear" w:color="auto" w:fill="auto"/>
            <w:noWrap/>
            <w:vAlign w:val="bottom"/>
          </w:tcPr>
          <w:p w:rsidR="00EF77F3" w:rsidRPr="00AC2D60" w:rsidRDefault="00EF77F3" w:rsidP="00AC560C">
            <w:pPr>
              <w:jc w:val="right"/>
            </w:pPr>
            <w:r w:rsidRPr="00931FD3">
              <w:t>0.008</w:t>
            </w:r>
          </w:p>
        </w:tc>
        <w:tc>
          <w:tcPr>
            <w:tcW w:w="1111" w:type="dxa"/>
            <w:tcBorders>
              <w:top w:val="nil"/>
              <w:left w:val="nil"/>
              <w:bottom w:val="nil"/>
              <w:right w:val="nil"/>
            </w:tcBorders>
            <w:shd w:val="clear" w:color="auto" w:fill="auto"/>
            <w:noWrap/>
            <w:vAlign w:val="bottom"/>
          </w:tcPr>
          <w:p w:rsidR="00EF77F3" w:rsidRPr="00AC2D60" w:rsidRDefault="00EF77F3" w:rsidP="002D65A3">
            <w:pPr>
              <w:jc w:val="right"/>
            </w:pPr>
            <w:r w:rsidRPr="00931FD3">
              <w:t>0.252</w:t>
            </w:r>
          </w:p>
        </w:tc>
        <w:tc>
          <w:tcPr>
            <w:tcW w:w="1086" w:type="dxa"/>
            <w:tcBorders>
              <w:top w:val="nil"/>
              <w:left w:val="nil"/>
              <w:bottom w:val="nil"/>
              <w:right w:val="nil"/>
            </w:tcBorders>
            <w:shd w:val="clear" w:color="auto" w:fill="auto"/>
            <w:noWrap/>
            <w:vAlign w:val="bottom"/>
          </w:tcPr>
          <w:p w:rsidR="00EF77F3" w:rsidRPr="00AC2D60" w:rsidRDefault="00EF77F3" w:rsidP="00931FD3">
            <w:pPr>
              <w:jc w:val="right"/>
            </w:pPr>
            <w:r w:rsidRPr="00931FD3">
              <w:t>1.000</w:t>
            </w:r>
          </w:p>
        </w:tc>
        <w:tc>
          <w:tcPr>
            <w:tcW w:w="1085" w:type="dxa"/>
            <w:tcBorders>
              <w:top w:val="nil"/>
              <w:left w:val="nil"/>
              <w:bottom w:val="nil"/>
              <w:right w:val="nil"/>
            </w:tcBorders>
            <w:shd w:val="clear" w:color="auto" w:fill="auto"/>
            <w:noWrap/>
            <w:vAlign w:val="bottom"/>
          </w:tcPr>
          <w:p w:rsidR="00EF77F3" w:rsidRPr="00AC2D60" w:rsidRDefault="00EF77F3" w:rsidP="00931FD3">
            <w:pPr>
              <w:jc w:val="right"/>
            </w:pPr>
          </w:p>
        </w:tc>
        <w:tc>
          <w:tcPr>
            <w:tcW w:w="112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981" w:type="dxa"/>
            <w:tcBorders>
              <w:top w:val="nil"/>
              <w:left w:val="nil"/>
              <w:bottom w:val="nil"/>
              <w:right w:val="nil"/>
            </w:tcBorders>
            <w:shd w:val="clear" w:color="auto" w:fill="auto"/>
            <w:noWrap/>
            <w:vAlign w:val="bottom"/>
          </w:tcPr>
          <w:p w:rsidR="00EF77F3" w:rsidRPr="00AC2D60" w:rsidRDefault="00EF77F3" w:rsidP="00931FD3">
            <w:pPr>
              <w:jc w:val="right"/>
            </w:pPr>
          </w:p>
        </w:tc>
      </w:tr>
      <w:tr w:rsidR="005C608C" w:rsidRPr="00AC2D60" w:rsidTr="008010EB">
        <w:trPr>
          <w:trHeight w:val="270"/>
        </w:trPr>
        <w:tc>
          <w:tcPr>
            <w:tcW w:w="1157" w:type="dxa"/>
            <w:tcBorders>
              <w:top w:val="nil"/>
              <w:left w:val="nil"/>
              <w:bottom w:val="nil"/>
              <w:right w:val="nil"/>
            </w:tcBorders>
            <w:shd w:val="clear" w:color="auto" w:fill="auto"/>
            <w:noWrap/>
            <w:vAlign w:val="bottom"/>
            <w:hideMark/>
          </w:tcPr>
          <w:p w:rsidR="00EF77F3" w:rsidRPr="00AC2D60" w:rsidRDefault="00EF77F3" w:rsidP="003F76E8">
            <w:pPr>
              <w:rPr>
                <w:rFonts w:eastAsia="Times New Roman"/>
                <w:i/>
              </w:rPr>
            </w:pPr>
            <w:r w:rsidRPr="00AC2D60">
              <w:rPr>
                <w:rFonts w:eastAsia="Times New Roman"/>
                <w:i/>
              </w:rPr>
              <w:t>STD_CFO</w:t>
            </w:r>
          </w:p>
        </w:tc>
        <w:tc>
          <w:tcPr>
            <w:tcW w:w="1004" w:type="dxa"/>
            <w:gridSpan w:val="2"/>
            <w:tcBorders>
              <w:top w:val="nil"/>
              <w:left w:val="nil"/>
              <w:bottom w:val="nil"/>
              <w:right w:val="nil"/>
            </w:tcBorders>
            <w:shd w:val="clear" w:color="auto" w:fill="auto"/>
            <w:noWrap/>
            <w:vAlign w:val="bottom"/>
            <w:hideMark/>
          </w:tcPr>
          <w:p w:rsidR="00EF77F3" w:rsidRPr="00AC2D60" w:rsidRDefault="00EF77F3" w:rsidP="009B395A">
            <w:pPr>
              <w:jc w:val="right"/>
            </w:pPr>
            <w:r w:rsidRPr="00931FD3">
              <w:t>0.288</w:t>
            </w:r>
          </w:p>
        </w:tc>
        <w:tc>
          <w:tcPr>
            <w:tcW w:w="1007" w:type="dxa"/>
            <w:tcBorders>
              <w:top w:val="nil"/>
              <w:left w:val="nil"/>
              <w:bottom w:val="nil"/>
              <w:right w:val="nil"/>
            </w:tcBorders>
            <w:vAlign w:val="bottom"/>
          </w:tcPr>
          <w:p w:rsidR="00EF77F3" w:rsidRPr="00AC2D60" w:rsidRDefault="00EF77F3" w:rsidP="006964C7">
            <w:pPr>
              <w:jc w:val="right"/>
            </w:pPr>
            <w:r w:rsidRPr="00931FD3">
              <w:t>0.150</w:t>
            </w:r>
          </w:p>
        </w:tc>
        <w:tc>
          <w:tcPr>
            <w:tcW w:w="1160" w:type="dxa"/>
            <w:tcBorders>
              <w:top w:val="nil"/>
              <w:left w:val="nil"/>
              <w:bottom w:val="nil"/>
              <w:right w:val="nil"/>
            </w:tcBorders>
            <w:shd w:val="clear" w:color="auto" w:fill="auto"/>
            <w:noWrap/>
            <w:vAlign w:val="bottom"/>
          </w:tcPr>
          <w:p w:rsidR="00EF77F3" w:rsidRPr="00AC2D60" w:rsidRDefault="006964C7" w:rsidP="006964C7">
            <w:pPr>
              <w:jc w:val="right"/>
            </w:pPr>
            <w:r w:rsidRPr="00AC2D60">
              <w:t>−</w:t>
            </w:r>
            <w:r w:rsidR="00EF77F3" w:rsidRPr="00931FD3">
              <w:t>0.220</w:t>
            </w:r>
          </w:p>
        </w:tc>
        <w:tc>
          <w:tcPr>
            <w:tcW w:w="1085" w:type="dxa"/>
            <w:tcBorders>
              <w:top w:val="nil"/>
              <w:left w:val="nil"/>
              <w:bottom w:val="nil"/>
              <w:right w:val="nil"/>
            </w:tcBorders>
            <w:shd w:val="clear" w:color="auto" w:fill="auto"/>
            <w:noWrap/>
            <w:vAlign w:val="bottom"/>
          </w:tcPr>
          <w:p w:rsidR="00EF77F3" w:rsidRPr="00AC2D60" w:rsidRDefault="006964C7" w:rsidP="00BF7DB4">
            <w:pPr>
              <w:jc w:val="right"/>
            </w:pPr>
            <w:r w:rsidRPr="00AC2D60">
              <w:t>−</w:t>
            </w:r>
            <w:r w:rsidR="00EF77F3" w:rsidRPr="00931FD3">
              <w:t>0.124</w:t>
            </w:r>
          </w:p>
        </w:tc>
        <w:tc>
          <w:tcPr>
            <w:tcW w:w="1106" w:type="dxa"/>
            <w:tcBorders>
              <w:top w:val="nil"/>
              <w:left w:val="nil"/>
              <w:bottom w:val="nil"/>
              <w:right w:val="nil"/>
            </w:tcBorders>
            <w:shd w:val="clear" w:color="auto" w:fill="auto"/>
            <w:noWrap/>
            <w:vAlign w:val="bottom"/>
          </w:tcPr>
          <w:p w:rsidR="00EF77F3" w:rsidRPr="00AC2D60" w:rsidRDefault="006964C7" w:rsidP="00AC560C">
            <w:pPr>
              <w:jc w:val="right"/>
            </w:pPr>
            <w:r w:rsidRPr="00AC2D60">
              <w:t>−</w:t>
            </w:r>
            <w:r w:rsidR="00EF77F3" w:rsidRPr="00931FD3">
              <w:t>0.127</w:t>
            </w:r>
          </w:p>
        </w:tc>
        <w:tc>
          <w:tcPr>
            <w:tcW w:w="1111" w:type="dxa"/>
            <w:tcBorders>
              <w:top w:val="nil"/>
              <w:left w:val="nil"/>
              <w:bottom w:val="nil"/>
              <w:right w:val="nil"/>
            </w:tcBorders>
            <w:shd w:val="clear" w:color="auto" w:fill="auto"/>
            <w:noWrap/>
            <w:vAlign w:val="bottom"/>
          </w:tcPr>
          <w:p w:rsidR="00EF77F3" w:rsidRPr="00AC2D60" w:rsidRDefault="006964C7" w:rsidP="002D65A3">
            <w:pPr>
              <w:jc w:val="right"/>
            </w:pPr>
            <w:r w:rsidRPr="00AC2D60">
              <w:t>−</w:t>
            </w:r>
            <w:r w:rsidR="00EF77F3" w:rsidRPr="00931FD3">
              <w:t>0.270</w:t>
            </w:r>
          </w:p>
        </w:tc>
        <w:tc>
          <w:tcPr>
            <w:tcW w:w="1086" w:type="dxa"/>
            <w:tcBorders>
              <w:top w:val="nil"/>
              <w:left w:val="nil"/>
              <w:bottom w:val="nil"/>
              <w:right w:val="nil"/>
            </w:tcBorders>
            <w:shd w:val="clear" w:color="auto" w:fill="auto"/>
            <w:noWrap/>
            <w:vAlign w:val="bottom"/>
          </w:tcPr>
          <w:p w:rsidR="00EF77F3" w:rsidRPr="00AC2D60" w:rsidRDefault="006964C7" w:rsidP="00931FD3">
            <w:pPr>
              <w:jc w:val="right"/>
            </w:pPr>
            <w:r w:rsidRPr="00AC2D60">
              <w:t>−</w:t>
            </w:r>
            <w:r w:rsidR="00EF77F3" w:rsidRPr="00931FD3">
              <w:t>0.343</w:t>
            </w:r>
          </w:p>
        </w:tc>
        <w:tc>
          <w:tcPr>
            <w:tcW w:w="1085" w:type="dxa"/>
            <w:tcBorders>
              <w:top w:val="nil"/>
              <w:left w:val="nil"/>
              <w:bottom w:val="nil"/>
              <w:right w:val="nil"/>
            </w:tcBorders>
            <w:shd w:val="clear" w:color="auto" w:fill="auto"/>
            <w:noWrap/>
            <w:vAlign w:val="bottom"/>
          </w:tcPr>
          <w:p w:rsidR="00EF77F3" w:rsidRPr="00AC2D60" w:rsidRDefault="00EF77F3" w:rsidP="00931FD3">
            <w:pPr>
              <w:jc w:val="right"/>
            </w:pPr>
            <w:r w:rsidRPr="00931FD3">
              <w:t>1.000</w:t>
            </w:r>
          </w:p>
        </w:tc>
        <w:tc>
          <w:tcPr>
            <w:tcW w:w="1126" w:type="dxa"/>
            <w:tcBorders>
              <w:top w:val="nil"/>
              <w:left w:val="nil"/>
              <w:bottom w:val="nil"/>
              <w:right w:val="nil"/>
            </w:tcBorders>
            <w:shd w:val="clear" w:color="auto" w:fill="auto"/>
            <w:noWrap/>
            <w:vAlign w:val="bottom"/>
          </w:tcPr>
          <w:p w:rsidR="00EF77F3" w:rsidRPr="00AC2D60" w:rsidRDefault="00EF77F3" w:rsidP="00931FD3">
            <w:pPr>
              <w:jc w:val="right"/>
            </w:pPr>
          </w:p>
        </w:tc>
        <w:tc>
          <w:tcPr>
            <w:tcW w:w="981" w:type="dxa"/>
            <w:tcBorders>
              <w:top w:val="nil"/>
              <w:left w:val="nil"/>
              <w:bottom w:val="nil"/>
              <w:right w:val="nil"/>
            </w:tcBorders>
            <w:shd w:val="clear" w:color="auto" w:fill="auto"/>
            <w:noWrap/>
            <w:vAlign w:val="bottom"/>
          </w:tcPr>
          <w:p w:rsidR="00EF77F3" w:rsidRPr="00AC2D60" w:rsidRDefault="00EF77F3" w:rsidP="00931FD3">
            <w:pPr>
              <w:jc w:val="right"/>
            </w:pPr>
          </w:p>
        </w:tc>
      </w:tr>
      <w:tr w:rsidR="005C608C" w:rsidRPr="00AC2D60" w:rsidTr="008010EB">
        <w:trPr>
          <w:trHeight w:val="270"/>
        </w:trPr>
        <w:tc>
          <w:tcPr>
            <w:tcW w:w="1157" w:type="dxa"/>
            <w:tcBorders>
              <w:top w:val="nil"/>
              <w:left w:val="nil"/>
              <w:right w:val="nil"/>
            </w:tcBorders>
            <w:shd w:val="clear" w:color="auto" w:fill="auto"/>
            <w:noWrap/>
            <w:vAlign w:val="bottom"/>
            <w:hideMark/>
          </w:tcPr>
          <w:p w:rsidR="00EF77F3" w:rsidRPr="00AC2D60" w:rsidRDefault="00EF77F3" w:rsidP="003F76E8">
            <w:pPr>
              <w:rPr>
                <w:rFonts w:eastAsia="Times New Roman"/>
                <w:i/>
              </w:rPr>
            </w:pPr>
            <w:r w:rsidRPr="00AC2D60">
              <w:rPr>
                <w:rFonts w:eastAsia="Times New Roman"/>
                <w:i/>
              </w:rPr>
              <w:t>CFO</w:t>
            </w:r>
          </w:p>
        </w:tc>
        <w:tc>
          <w:tcPr>
            <w:tcW w:w="1004" w:type="dxa"/>
            <w:gridSpan w:val="2"/>
            <w:tcBorders>
              <w:top w:val="nil"/>
              <w:left w:val="nil"/>
              <w:right w:val="nil"/>
            </w:tcBorders>
            <w:shd w:val="clear" w:color="auto" w:fill="auto"/>
            <w:noWrap/>
            <w:vAlign w:val="bottom"/>
            <w:hideMark/>
          </w:tcPr>
          <w:p w:rsidR="00EF77F3" w:rsidRPr="00AC2D60" w:rsidRDefault="006964C7" w:rsidP="009B395A">
            <w:pPr>
              <w:jc w:val="right"/>
            </w:pPr>
            <w:r w:rsidRPr="00AC2D60">
              <w:t>−</w:t>
            </w:r>
            <w:r w:rsidR="00EF77F3" w:rsidRPr="00931FD3">
              <w:t>0.377</w:t>
            </w:r>
          </w:p>
        </w:tc>
        <w:tc>
          <w:tcPr>
            <w:tcW w:w="1007" w:type="dxa"/>
            <w:tcBorders>
              <w:top w:val="nil"/>
              <w:left w:val="nil"/>
              <w:right w:val="nil"/>
            </w:tcBorders>
            <w:vAlign w:val="bottom"/>
          </w:tcPr>
          <w:p w:rsidR="00EF77F3" w:rsidRPr="00AC2D60" w:rsidRDefault="006964C7" w:rsidP="006964C7">
            <w:pPr>
              <w:jc w:val="right"/>
            </w:pPr>
            <w:r w:rsidRPr="00AC2D60">
              <w:t>−</w:t>
            </w:r>
            <w:r w:rsidR="00EF77F3" w:rsidRPr="00931FD3">
              <w:t>0.034</w:t>
            </w:r>
          </w:p>
        </w:tc>
        <w:tc>
          <w:tcPr>
            <w:tcW w:w="1160" w:type="dxa"/>
            <w:tcBorders>
              <w:top w:val="nil"/>
              <w:left w:val="nil"/>
              <w:right w:val="nil"/>
            </w:tcBorders>
            <w:shd w:val="clear" w:color="auto" w:fill="auto"/>
            <w:noWrap/>
            <w:vAlign w:val="bottom"/>
          </w:tcPr>
          <w:p w:rsidR="00EF77F3" w:rsidRPr="00AC2D60" w:rsidRDefault="00EF77F3" w:rsidP="006964C7">
            <w:pPr>
              <w:jc w:val="right"/>
            </w:pPr>
            <w:r w:rsidRPr="00931FD3">
              <w:t>0.090</w:t>
            </w:r>
          </w:p>
        </w:tc>
        <w:tc>
          <w:tcPr>
            <w:tcW w:w="1085" w:type="dxa"/>
            <w:tcBorders>
              <w:top w:val="nil"/>
              <w:left w:val="nil"/>
              <w:right w:val="nil"/>
            </w:tcBorders>
            <w:shd w:val="clear" w:color="auto" w:fill="auto"/>
            <w:noWrap/>
            <w:vAlign w:val="bottom"/>
          </w:tcPr>
          <w:p w:rsidR="00EF77F3" w:rsidRPr="00AC2D60" w:rsidRDefault="00EF77F3" w:rsidP="00BF7DB4">
            <w:pPr>
              <w:jc w:val="right"/>
            </w:pPr>
            <w:r w:rsidRPr="00931FD3">
              <w:t>0.061</w:t>
            </w:r>
          </w:p>
        </w:tc>
        <w:tc>
          <w:tcPr>
            <w:tcW w:w="1106" w:type="dxa"/>
            <w:tcBorders>
              <w:top w:val="nil"/>
              <w:left w:val="nil"/>
              <w:right w:val="nil"/>
            </w:tcBorders>
            <w:shd w:val="clear" w:color="auto" w:fill="auto"/>
            <w:noWrap/>
            <w:vAlign w:val="bottom"/>
          </w:tcPr>
          <w:p w:rsidR="00EF77F3" w:rsidRPr="00AC2D60" w:rsidRDefault="00EF77F3" w:rsidP="00AC560C">
            <w:pPr>
              <w:jc w:val="right"/>
            </w:pPr>
            <w:r w:rsidRPr="00931FD3">
              <w:t>0.060</w:t>
            </w:r>
          </w:p>
        </w:tc>
        <w:tc>
          <w:tcPr>
            <w:tcW w:w="1111" w:type="dxa"/>
            <w:tcBorders>
              <w:top w:val="nil"/>
              <w:left w:val="nil"/>
              <w:right w:val="nil"/>
            </w:tcBorders>
            <w:shd w:val="clear" w:color="auto" w:fill="auto"/>
            <w:noWrap/>
            <w:vAlign w:val="bottom"/>
          </w:tcPr>
          <w:p w:rsidR="00EF77F3" w:rsidRPr="00AC2D60" w:rsidRDefault="006964C7" w:rsidP="002D65A3">
            <w:pPr>
              <w:jc w:val="right"/>
            </w:pPr>
            <w:r w:rsidRPr="00AC2D60">
              <w:t>−</w:t>
            </w:r>
            <w:r w:rsidR="00EF77F3" w:rsidRPr="00931FD3">
              <w:t>0.015</w:t>
            </w:r>
          </w:p>
        </w:tc>
        <w:tc>
          <w:tcPr>
            <w:tcW w:w="1086" w:type="dxa"/>
            <w:tcBorders>
              <w:top w:val="nil"/>
              <w:left w:val="nil"/>
              <w:right w:val="nil"/>
            </w:tcBorders>
            <w:shd w:val="clear" w:color="auto" w:fill="auto"/>
            <w:noWrap/>
            <w:vAlign w:val="bottom"/>
          </w:tcPr>
          <w:p w:rsidR="00EF77F3" w:rsidRPr="00AC2D60" w:rsidRDefault="00EF77F3" w:rsidP="00931FD3">
            <w:pPr>
              <w:jc w:val="right"/>
            </w:pPr>
            <w:r w:rsidRPr="00931FD3">
              <w:t>0.306</w:t>
            </w:r>
          </w:p>
        </w:tc>
        <w:tc>
          <w:tcPr>
            <w:tcW w:w="1085" w:type="dxa"/>
            <w:tcBorders>
              <w:top w:val="nil"/>
              <w:left w:val="nil"/>
              <w:right w:val="nil"/>
            </w:tcBorders>
            <w:shd w:val="clear" w:color="auto" w:fill="auto"/>
            <w:noWrap/>
            <w:vAlign w:val="bottom"/>
          </w:tcPr>
          <w:p w:rsidR="00EF77F3" w:rsidRPr="00AC2D60" w:rsidRDefault="006964C7" w:rsidP="00931FD3">
            <w:pPr>
              <w:jc w:val="right"/>
            </w:pPr>
            <w:r w:rsidRPr="00AC2D60">
              <w:t>−</w:t>
            </w:r>
            <w:r w:rsidR="00EF77F3" w:rsidRPr="00931FD3">
              <w:t>0.287</w:t>
            </w:r>
          </w:p>
        </w:tc>
        <w:tc>
          <w:tcPr>
            <w:tcW w:w="1126" w:type="dxa"/>
            <w:tcBorders>
              <w:top w:val="nil"/>
              <w:left w:val="nil"/>
              <w:right w:val="nil"/>
            </w:tcBorders>
            <w:shd w:val="clear" w:color="auto" w:fill="auto"/>
            <w:noWrap/>
            <w:vAlign w:val="bottom"/>
          </w:tcPr>
          <w:p w:rsidR="00EF77F3" w:rsidRPr="00AC2D60" w:rsidRDefault="00EF77F3" w:rsidP="00931FD3">
            <w:pPr>
              <w:jc w:val="right"/>
            </w:pPr>
            <w:r w:rsidRPr="00931FD3">
              <w:t>1.000</w:t>
            </w:r>
          </w:p>
        </w:tc>
        <w:tc>
          <w:tcPr>
            <w:tcW w:w="981" w:type="dxa"/>
            <w:tcBorders>
              <w:top w:val="nil"/>
              <w:left w:val="nil"/>
              <w:right w:val="nil"/>
            </w:tcBorders>
            <w:shd w:val="clear" w:color="auto" w:fill="auto"/>
            <w:noWrap/>
            <w:vAlign w:val="bottom"/>
          </w:tcPr>
          <w:p w:rsidR="00EF77F3" w:rsidRPr="00AC2D60" w:rsidRDefault="00EF77F3" w:rsidP="00931FD3">
            <w:pPr>
              <w:jc w:val="right"/>
            </w:pPr>
          </w:p>
        </w:tc>
      </w:tr>
      <w:tr w:rsidR="005C608C" w:rsidRPr="00AC2D60" w:rsidTr="008010EB">
        <w:trPr>
          <w:trHeight w:val="270"/>
        </w:trPr>
        <w:tc>
          <w:tcPr>
            <w:tcW w:w="1157" w:type="dxa"/>
            <w:tcBorders>
              <w:top w:val="nil"/>
              <w:left w:val="nil"/>
              <w:bottom w:val="single" w:sz="4" w:space="0" w:color="auto"/>
              <w:right w:val="nil"/>
            </w:tcBorders>
            <w:shd w:val="clear" w:color="auto" w:fill="auto"/>
            <w:noWrap/>
            <w:vAlign w:val="bottom"/>
            <w:hideMark/>
          </w:tcPr>
          <w:p w:rsidR="00EF77F3" w:rsidRPr="00AC2D60" w:rsidRDefault="00EF77F3" w:rsidP="003F76E8">
            <w:pPr>
              <w:rPr>
                <w:rFonts w:eastAsia="Times New Roman"/>
                <w:i/>
              </w:rPr>
            </w:pPr>
            <w:r w:rsidRPr="00AC2D60">
              <w:rPr>
                <w:rFonts w:eastAsia="Times New Roman"/>
                <w:i/>
              </w:rPr>
              <w:t>BM</w:t>
            </w:r>
          </w:p>
        </w:tc>
        <w:tc>
          <w:tcPr>
            <w:tcW w:w="1004" w:type="dxa"/>
            <w:gridSpan w:val="2"/>
            <w:tcBorders>
              <w:top w:val="nil"/>
              <w:left w:val="nil"/>
              <w:bottom w:val="single" w:sz="4" w:space="0" w:color="auto"/>
              <w:right w:val="nil"/>
            </w:tcBorders>
            <w:shd w:val="clear" w:color="auto" w:fill="auto"/>
            <w:noWrap/>
            <w:vAlign w:val="bottom"/>
            <w:hideMark/>
          </w:tcPr>
          <w:p w:rsidR="00EF77F3" w:rsidRPr="00AC2D60" w:rsidRDefault="00EF77F3" w:rsidP="009B395A">
            <w:pPr>
              <w:jc w:val="right"/>
            </w:pPr>
            <w:r w:rsidRPr="00931FD3">
              <w:t>0.162</w:t>
            </w:r>
          </w:p>
        </w:tc>
        <w:tc>
          <w:tcPr>
            <w:tcW w:w="1007" w:type="dxa"/>
            <w:tcBorders>
              <w:top w:val="nil"/>
              <w:left w:val="nil"/>
              <w:bottom w:val="single" w:sz="4" w:space="0" w:color="auto"/>
              <w:right w:val="nil"/>
            </w:tcBorders>
            <w:vAlign w:val="bottom"/>
          </w:tcPr>
          <w:p w:rsidR="00EF77F3" w:rsidRPr="00AC2D60" w:rsidRDefault="006964C7" w:rsidP="006964C7">
            <w:pPr>
              <w:jc w:val="right"/>
            </w:pPr>
            <w:r w:rsidRPr="00AC2D60">
              <w:t>−</w:t>
            </w:r>
            <w:r w:rsidR="00EF77F3" w:rsidRPr="00931FD3">
              <w:t>0.066</w:t>
            </w:r>
          </w:p>
        </w:tc>
        <w:tc>
          <w:tcPr>
            <w:tcW w:w="1160" w:type="dxa"/>
            <w:tcBorders>
              <w:top w:val="nil"/>
              <w:left w:val="nil"/>
              <w:bottom w:val="single" w:sz="4" w:space="0" w:color="auto"/>
              <w:right w:val="nil"/>
            </w:tcBorders>
            <w:shd w:val="clear" w:color="auto" w:fill="auto"/>
            <w:noWrap/>
            <w:vAlign w:val="bottom"/>
          </w:tcPr>
          <w:p w:rsidR="00EF77F3" w:rsidRPr="00AC2D60" w:rsidRDefault="00EF77F3" w:rsidP="006964C7">
            <w:pPr>
              <w:jc w:val="right"/>
            </w:pPr>
            <w:r w:rsidRPr="00931FD3">
              <w:t>0.071</w:t>
            </w:r>
          </w:p>
        </w:tc>
        <w:tc>
          <w:tcPr>
            <w:tcW w:w="1085" w:type="dxa"/>
            <w:tcBorders>
              <w:top w:val="nil"/>
              <w:left w:val="nil"/>
              <w:bottom w:val="single" w:sz="4" w:space="0" w:color="auto"/>
              <w:right w:val="nil"/>
            </w:tcBorders>
            <w:shd w:val="clear" w:color="auto" w:fill="auto"/>
            <w:noWrap/>
            <w:vAlign w:val="bottom"/>
          </w:tcPr>
          <w:p w:rsidR="00EF77F3" w:rsidRPr="00AC2D60" w:rsidRDefault="00EF77F3" w:rsidP="00BF7DB4">
            <w:pPr>
              <w:jc w:val="right"/>
            </w:pPr>
            <w:r w:rsidRPr="00931FD3">
              <w:t>0.062</w:t>
            </w:r>
          </w:p>
        </w:tc>
        <w:tc>
          <w:tcPr>
            <w:tcW w:w="1106" w:type="dxa"/>
            <w:tcBorders>
              <w:top w:val="nil"/>
              <w:left w:val="nil"/>
              <w:bottom w:val="single" w:sz="4" w:space="0" w:color="auto"/>
              <w:right w:val="nil"/>
            </w:tcBorders>
            <w:shd w:val="clear" w:color="auto" w:fill="auto"/>
            <w:noWrap/>
            <w:vAlign w:val="bottom"/>
          </w:tcPr>
          <w:p w:rsidR="00EF77F3" w:rsidRPr="00AC2D60" w:rsidRDefault="00EF77F3" w:rsidP="00AC560C">
            <w:pPr>
              <w:jc w:val="right"/>
            </w:pPr>
            <w:r w:rsidRPr="00931FD3">
              <w:t>0.062</w:t>
            </w:r>
          </w:p>
        </w:tc>
        <w:tc>
          <w:tcPr>
            <w:tcW w:w="1111" w:type="dxa"/>
            <w:tcBorders>
              <w:top w:val="nil"/>
              <w:left w:val="nil"/>
              <w:bottom w:val="single" w:sz="4" w:space="0" w:color="auto"/>
              <w:right w:val="nil"/>
            </w:tcBorders>
            <w:shd w:val="clear" w:color="auto" w:fill="auto"/>
            <w:noWrap/>
            <w:vAlign w:val="bottom"/>
          </w:tcPr>
          <w:p w:rsidR="00EF77F3" w:rsidRPr="00AC2D60" w:rsidRDefault="006964C7" w:rsidP="002D65A3">
            <w:pPr>
              <w:jc w:val="right"/>
            </w:pPr>
            <w:r w:rsidRPr="00AC2D60">
              <w:t>−</w:t>
            </w:r>
            <w:r w:rsidR="00EF77F3" w:rsidRPr="00931FD3">
              <w:t>0.006</w:t>
            </w:r>
          </w:p>
        </w:tc>
        <w:tc>
          <w:tcPr>
            <w:tcW w:w="1086" w:type="dxa"/>
            <w:tcBorders>
              <w:top w:val="nil"/>
              <w:left w:val="nil"/>
              <w:bottom w:val="single" w:sz="4" w:space="0" w:color="auto"/>
              <w:right w:val="nil"/>
            </w:tcBorders>
            <w:shd w:val="clear" w:color="auto" w:fill="auto"/>
            <w:noWrap/>
            <w:vAlign w:val="bottom"/>
          </w:tcPr>
          <w:p w:rsidR="00EF77F3" w:rsidRPr="00AC2D60" w:rsidRDefault="006964C7" w:rsidP="00931FD3">
            <w:pPr>
              <w:jc w:val="right"/>
            </w:pPr>
            <w:r w:rsidRPr="00AC2D60">
              <w:t>−</w:t>
            </w:r>
            <w:r w:rsidR="00EF77F3" w:rsidRPr="00931FD3">
              <w:t>0.286</w:t>
            </w:r>
          </w:p>
        </w:tc>
        <w:tc>
          <w:tcPr>
            <w:tcW w:w="1085" w:type="dxa"/>
            <w:tcBorders>
              <w:top w:val="nil"/>
              <w:left w:val="nil"/>
              <w:bottom w:val="single" w:sz="4" w:space="0" w:color="auto"/>
              <w:right w:val="nil"/>
            </w:tcBorders>
            <w:shd w:val="clear" w:color="auto" w:fill="auto"/>
            <w:noWrap/>
            <w:vAlign w:val="bottom"/>
          </w:tcPr>
          <w:p w:rsidR="00EF77F3" w:rsidRPr="00AC2D60" w:rsidRDefault="006964C7" w:rsidP="00931FD3">
            <w:pPr>
              <w:jc w:val="right"/>
            </w:pPr>
            <w:r w:rsidRPr="00AC2D60">
              <w:t>−</w:t>
            </w:r>
            <w:r w:rsidR="00EF77F3" w:rsidRPr="00931FD3">
              <w:t>0.192</w:t>
            </w:r>
          </w:p>
        </w:tc>
        <w:tc>
          <w:tcPr>
            <w:tcW w:w="1126" w:type="dxa"/>
            <w:tcBorders>
              <w:top w:val="nil"/>
              <w:left w:val="nil"/>
              <w:bottom w:val="single" w:sz="4" w:space="0" w:color="auto"/>
              <w:right w:val="nil"/>
            </w:tcBorders>
            <w:shd w:val="clear" w:color="auto" w:fill="auto"/>
            <w:noWrap/>
            <w:vAlign w:val="bottom"/>
          </w:tcPr>
          <w:p w:rsidR="00EF77F3" w:rsidRPr="00AC2D60" w:rsidRDefault="006964C7" w:rsidP="00931FD3">
            <w:pPr>
              <w:jc w:val="right"/>
            </w:pPr>
            <w:r w:rsidRPr="00AC2D60">
              <w:t>−</w:t>
            </w:r>
            <w:r w:rsidR="00EF77F3" w:rsidRPr="00931FD3">
              <w:t>0.050</w:t>
            </w:r>
          </w:p>
        </w:tc>
        <w:tc>
          <w:tcPr>
            <w:tcW w:w="981" w:type="dxa"/>
            <w:tcBorders>
              <w:top w:val="nil"/>
              <w:left w:val="nil"/>
              <w:bottom w:val="single" w:sz="4" w:space="0" w:color="auto"/>
              <w:right w:val="nil"/>
            </w:tcBorders>
            <w:shd w:val="clear" w:color="auto" w:fill="auto"/>
            <w:noWrap/>
            <w:vAlign w:val="bottom"/>
          </w:tcPr>
          <w:p w:rsidR="00EF77F3" w:rsidRPr="00AC2D60" w:rsidRDefault="00EF77F3" w:rsidP="00931FD3">
            <w:pPr>
              <w:jc w:val="right"/>
            </w:pPr>
            <w:r w:rsidRPr="00931FD3">
              <w:t>1.000</w:t>
            </w:r>
          </w:p>
        </w:tc>
      </w:tr>
    </w:tbl>
    <w:p w:rsidR="005C608C" w:rsidRDefault="005C608C">
      <w:r>
        <w:br w:type="page"/>
      </w:r>
    </w:p>
    <w:tbl>
      <w:tblPr>
        <w:tblpPr w:leftFromText="180" w:rightFromText="180" w:vertAnchor="text" w:horzAnchor="margin" w:tblpXSpec="center" w:tblpY="96"/>
        <w:tblW w:w="11973" w:type="dxa"/>
        <w:tblLayout w:type="fixed"/>
        <w:tblLook w:val="04A0" w:firstRow="1" w:lastRow="0" w:firstColumn="1" w:lastColumn="0" w:noHBand="0" w:noVBand="1"/>
      </w:tblPr>
      <w:tblGrid>
        <w:gridCol w:w="1168"/>
        <w:gridCol w:w="1006"/>
        <w:gridCol w:w="1035"/>
        <w:gridCol w:w="1136"/>
        <w:gridCol w:w="1136"/>
        <w:gridCol w:w="1092"/>
        <w:gridCol w:w="1134"/>
        <w:gridCol w:w="1172"/>
        <w:gridCol w:w="1111"/>
        <w:gridCol w:w="976"/>
        <w:gridCol w:w="1007"/>
      </w:tblGrid>
      <w:tr w:rsidR="005C608C" w:rsidRPr="005C608C" w:rsidTr="008010EB">
        <w:trPr>
          <w:trHeight w:val="273"/>
        </w:trPr>
        <w:tc>
          <w:tcPr>
            <w:tcW w:w="10966" w:type="dxa"/>
            <w:gridSpan w:val="10"/>
            <w:tcBorders>
              <w:left w:val="nil"/>
              <w:bottom w:val="single" w:sz="4" w:space="0" w:color="auto"/>
              <w:right w:val="nil"/>
            </w:tcBorders>
            <w:shd w:val="clear" w:color="auto" w:fill="auto"/>
            <w:noWrap/>
            <w:vAlign w:val="bottom"/>
          </w:tcPr>
          <w:p w:rsidR="005C608C" w:rsidRPr="005C608C" w:rsidRDefault="005C608C" w:rsidP="00931FD3">
            <w:pPr>
              <w:jc w:val="center"/>
              <w:rPr>
                <w:rFonts w:eastAsia="Times New Roman"/>
                <w:b/>
              </w:rPr>
            </w:pPr>
            <w:r w:rsidRPr="0073407F">
              <w:rPr>
                <w:rFonts w:eastAsia="Times New Roman"/>
                <w:b/>
              </w:rPr>
              <w:lastRenderedPageBreak/>
              <w:t>Table 2</w:t>
            </w:r>
            <w:r w:rsidRPr="0073407F">
              <w:rPr>
                <w:rFonts w:eastAsia="Times New Roman"/>
                <w:i/>
              </w:rPr>
              <w:t xml:space="preserve"> (Cont’d)</w:t>
            </w:r>
          </w:p>
        </w:tc>
        <w:tc>
          <w:tcPr>
            <w:tcW w:w="1007" w:type="dxa"/>
            <w:tcBorders>
              <w:left w:val="nil"/>
              <w:bottom w:val="single" w:sz="4" w:space="0" w:color="auto"/>
              <w:right w:val="nil"/>
            </w:tcBorders>
          </w:tcPr>
          <w:p w:rsidR="005C608C" w:rsidRPr="005C608C" w:rsidRDefault="005C608C" w:rsidP="003F76E8">
            <w:pPr>
              <w:rPr>
                <w:rFonts w:eastAsia="Times New Roman"/>
                <w:b/>
              </w:rPr>
            </w:pPr>
          </w:p>
        </w:tc>
      </w:tr>
      <w:tr w:rsidR="0048729D" w:rsidRPr="005C608C" w:rsidTr="008010EB">
        <w:trPr>
          <w:trHeight w:val="273"/>
        </w:trPr>
        <w:tc>
          <w:tcPr>
            <w:tcW w:w="10966" w:type="dxa"/>
            <w:gridSpan w:val="10"/>
            <w:tcBorders>
              <w:top w:val="single" w:sz="4" w:space="0" w:color="auto"/>
              <w:left w:val="nil"/>
              <w:right w:val="nil"/>
            </w:tcBorders>
            <w:shd w:val="clear" w:color="auto" w:fill="auto"/>
            <w:noWrap/>
            <w:vAlign w:val="bottom"/>
          </w:tcPr>
          <w:p w:rsidR="003F76E8" w:rsidRPr="005C608C" w:rsidRDefault="003F76E8" w:rsidP="00742ADD">
            <w:pPr>
              <w:rPr>
                <w:rFonts w:eastAsia="Times New Roman"/>
                <w:b/>
              </w:rPr>
            </w:pPr>
            <w:r w:rsidRPr="005C608C">
              <w:rPr>
                <w:rFonts w:eastAsia="Times New Roman"/>
                <w:b/>
              </w:rPr>
              <w:t xml:space="preserve">Panel </w:t>
            </w:r>
            <w:r w:rsidR="00742ADD" w:rsidRPr="005C608C">
              <w:rPr>
                <w:rFonts w:eastAsia="Times New Roman"/>
                <w:b/>
              </w:rPr>
              <w:t>C</w:t>
            </w:r>
            <w:r w:rsidRPr="005C608C">
              <w:rPr>
                <w:rFonts w:eastAsia="Times New Roman"/>
                <w:b/>
              </w:rPr>
              <w:t>: Sample for Industry</w:t>
            </w:r>
            <w:r w:rsidR="006964C7" w:rsidRPr="005C608C">
              <w:rPr>
                <w:rFonts w:eastAsia="Times New Roman"/>
                <w:b/>
              </w:rPr>
              <w:t>−</w:t>
            </w:r>
            <w:r w:rsidRPr="005C608C">
              <w:rPr>
                <w:rFonts w:eastAsia="Times New Roman"/>
                <w:b/>
              </w:rPr>
              <w:t>adjusted Earnings</w:t>
            </w:r>
            <w:r w:rsidR="006964C7" w:rsidRPr="005C608C">
              <w:rPr>
                <w:rFonts w:eastAsia="Times New Roman"/>
                <w:b/>
              </w:rPr>
              <w:t>−</w:t>
            </w:r>
            <w:r w:rsidRPr="005C608C">
              <w:rPr>
                <w:rFonts w:eastAsia="Times New Roman"/>
                <w:b/>
              </w:rPr>
              <w:t>Price Ratio Test</w:t>
            </w:r>
          </w:p>
        </w:tc>
        <w:tc>
          <w:tcPr>
            <w:tcW w:w="1007" w:type="dxa"/>
            <w:tcBorders>
              <w:top w:val="single" w:sz="4" w:space="0" w:color="auto"/>
              <w:left w:val="nil"/>
              <w:right w:val="nil"/>
            </w:tcBorders>
          </w:tcPr>
          <w:p w:rsidR="003F76E8" w:rsidRPr="005C608C" w:rsidRDefault="003F76E8" w:rsidP="003F76E8">
            <w:pPr>
              <w:rPr>
                <w:rFonts w:eastAsia="Times New Roman"/>
                <w:b/>
              </w:rPr>
            </w:pPr>
          </w:p>
        </w:tc>
      </w:tr>
      <w:tr w:rsidR="005C608C" w:rsidRPr="005C608C" w:rsidTr="008010EB">
        <w:trPr>
          <w:trHeight w:val="273"/>
        </w:trPr>
        <w:tc>
          <w:tcPr>
            <w:tcW w:w="1168" w:type="dxa"/>
            <w:tcBorders>
              <w:left w:val="nil"/>
              <w:right w:val="nil"/>
            </w:tcBorders>
            <w:shd w:val="clear" w:color="auto" w:fill="auto"/>
            <w:noWrap/>
            <w:vAlign w:val="bottom"/>
            <w:hideMark/>
          </w:tcPr>
          <w:p w:rsidR="003F76E8" w:rsidRPr="005C608C" w:rsidRDefault="003F76E8" w:rsidP="003F76E8">
            <w:pPr>
              <w:rPr>
                <w:rFonts w:eastAsia="Times New Roman"/>
              </w:rPr>
            </w:pPr>
            <w:r w:rsidRPr="005C608C">
              <w:rPr>
                <w:rFonts w:eastAsia="Times New Roman"/>
              </w:rPr>
              <w:t> </w:t>
            </w:r>
          </w:p>
        </w:tc>
        <w:tc>
          <w:tcPr>
            <w:tcW w:w="1006" w:type="dxa"/>
            <w:tcBorders>
              <w:left w:val="nil"/>
              <w:bottom w:val="single" w:sz="4" w:space="0" w:color="auto"/>
              <w:right w:val="nil"/>
            </w:tcBorders>
            <w:shd w:val="clear" w:color="auto" w:fill="auto"/>
            <w:noWrap/>
            <w:vAlign w:val="bottom"/>
            <w:hideMark/>
          </w:tcPr>
          <w:p w:rsidR="003F76E8" w:rsidRPr="005C608C" w:rsidRDefault="003F76E8" w:rsidP="003F76E8">
            <w:pPr>
              <w:jc w:val="center"/>
              <w:rPr>
                <w:rFonts w:eastAsia="Times New Roman"/>
                <w:i/>
              </w:rPr>
            </w:pPr>
            <w:r w:rsidRPr="005C608C">
              <w:rPr>
                <w:rFonts w:eastAsia="Times New Roman"/>
                <w:i/>
              </w:rPr>
              <w:t>IndEP</w:t>
            </w:r>
          </w:p>
        </w:tc>
        <w:tc>
          <w:tcPr>
            <w:tcW w:w="1035" w:type="dxa"/>
            <w:tcBorders>
              <w:left w:val="nil"/>
              <w:bottom w:val="single" w:sz="4" w:space="0" w:color="auto"/>
              <w:right w:val="nil"/>
            </w:tcBorders>
            <w:shd w:val="clear" w:color="auto" w:fill="auto"/>
            <w:noWrap/>
            <w:vAlign w:val="bottom"/>
            <w:hideMark/>
          </w:tcPr>
          <w:p w:rsidR="003F76E8" w:rsidRPr="005C608C" w:rsidRDefault="003F76E8" w:rsidP="003F76E8">
            <w:pPr>
              <w:jc w:val="center"/>
              <w:rPr>
                <w:rFonts w:eastAsia="Times New Roman"/>
                <w:i/>
              </w:rPr>
            </w:pPr>
            <w:r w:rsidRPr="005C608C">
              <w:rPr>
                <w:rFonts w:eastAsia="Times New Roman"/>
                <w:i/>
              </w:rPr>
              <w:t>EQ</w:t>
            </w:r>
          </w:p>
        </w:tc>
        <w:tc>
          <w:tcPr>
            <w:tcW w:w="1136" w:type="dxa"/>
            <w:tcBorders>
              <w:left w:val="nil"/>
              <w:bottom w:val="single" w:sz="4" w:space="0" w:color="auto"/>
              <w:right w:val="nil"/>
            </w:tcBorders>
            <w:shd w:val="clear" w:color="auto" w:fill="auto"/>
            <w:noWrap/>
            <w:vAlign w:val="bottom"/>
            <w:hideMark/>
          </w:tcPr>
          <w:p w:rsidR="003F76E8" w:rsidRPr="005C608C" w:rsidRDefault="003F76E8" w:rsidP="003F76E8">
            <w:pPr>
              <w:jc w:val="center"/>
              <w:rPr>
                <w:rFonts w:eastAsia="Times New Roman"/>
                <w:i/>
              </w:rPr>
            </w:pPr>
            <w:r w:rsidRPr="005C608C">
              <w:rPr>
                <w:rFonts w:eastAsia="Times New Roman"/>
                <w:i/>
              </w:rPr>
              <w:t>P_EQew</w:t>
            </w:r>
          </w:p>
        </w:tc>
        <w:tc>
          <w:tcPr>
            <w:tcW w:w="1136" w:type="dxa"/>
            <w:tcBorders>
              <w:left w:val="nil"/>
              <w:bottom w:val="single" w:sz="4" w:space="0" w:color="auto"/>
              <w:right w:val="nil"/>
            </w:tcBorders>
            <w:shd w:val="clear" w:color="auto" w:fill="auto"/>
            <w:noWrap/>
            <w:vAlign w:val="bottom"/>
            <w:hideMark/>
          </w:tcPr>
          <w:p w:rsidR="003F76E8" w:rsidRPr="005C608C" w:rsidRDefault="003F76E8" w:rsidP="003F76E8">
            <w:pPr>
              <w:jc w:val="center"/>
              <w:rPr>
                <w:rFonts w:eastAsia="Times New Roman"/>
                <w:i/>
              </w:rPr>
            </w:pPr>
            <w:r w:rsidRPr="005C608C">
              <w:rPr>
                <w:rFonts w:eastAsia="Times New Roman"/>
                <w:i/>
              </w:rPr>
              <w:t>P_EQmsw</w:t>
            </w:r>
          </w:p>
        </w:tc>
        <w:tc>
          <w:tcPr>
            <w:tcW w:w="1092" w:type="dxa"/>
            <w:tcBorders>
              <w:left w:val="nil"/>
              <w:bottom w:val="single" w:sz="4" w:space="0" w:color="auto"/>
              <w:right w:val="nil"/>
            </w:tcBorders>
            <w:shd w:val="clear" w:color="auto" w:fill="auto"/>
            <w:noWrap/>
            <w:vAlign w:val="bottom"/>
            <w:hideMark/>
          </w:tcPr>
          <w:p w:rsidR="003F76E8" w:rsidRPr="005C608C" w:rsidRDefault="003F76E8" w:rsidP="003F76E8">
            <w:pPr>
              <w:jc w:val="center"/>
              <w:rPr>
                <w:rFonts w:eastAsia="Times New Roman"/>
                <w:i/>
              </w:rPr>
            </w:pPr>
            <w:r w:rsidRPr="005C608C">
              <w:rPr>
                <w:rFonts w:eastAsia="Times New Roman"/>
                <w:i/>
              </w:rPr>
              <w:t>LEV</w:t>
            </w:r>
          </w:p>
        </w:tc>
        <w:tc>
          <w:tcPr>
            <w:tcW w:w="1134" w:type="dxa"/>
            <w:tcBorders>
              <w:left w:val="nil"/>
              <w:bottom w:val="single" w:sz="4" w:space="0" w:color="auto"/>
              <w:right w:val="nil"/>
            </w:tcBorders>
            <w:shd w:val="clear" w:color="auto" w:fill="auto"/>
            <w:noWrap/>
            <w:vAlign w:val="bottom"/>
            <w:hideMark/>
          </w:tcPr>
          <w:p w:rsidR="003F76E8" w:rsidRPr="005C608C" w:rsidRDefault="003F76E8" w:rsidP="003F76E8">
            <w:pPr>
              <w:jc w:val="center"/>
              <w:rPr>
                <w:rFonts w:eastAsia="Times New Roman"/>
                <w:i/>
              </w:rPr>
            </w:pPr>
            <w:r w:rsidRPr="005C608C">
              <w:rPr>
                <w:rFonts w:eastAsia="Times New Roman"/>
                <w:i/>
              </w:rPr>
              <w:t>LnMV</w:t>
            </w:r>
          </w:p>
        </w:tc>
        <w:tc>
          <w:tcPr>
            <w:tcW w:w="1172" w:type="dxa"/>
            <w:tcBorders>
              <w:left w:val="nil"/>
              <w:bottom w:val="single" w:sz="4" w:space="0" w:color="auto"/>
              <w:right w:val="nil"/>
            </w:tcBorders>
            <w:shd w:val="clear" w:color="auto" w:fill="auto"/>
            <w:noWrap/>
            <w:vAlign w:val="bottom"/>
            <w:hideMark/>
          </w:tcPr>
          <w:p w:rsidR="003F76E8" w:rsidRPr="005C608C" w:rsidRDefault="003F76E8" w:rsidP="003F76E8">
            <w:pPr>
              <w:jc w:val="center"/>
              <w:rPr>
                <w:rFonts w:eastAsia="Times New Roman"/>
                <w:i/>
              </w:rPr>
            </w:pPr>
            <w:r w:rsidRPr="005C608C">
              <w:rPr>
                <w:rFonts w:eastAsia="Times New Roman"/>
                <w:i/>
              </w:rPr>
              <w:t>STD_CFO</w:t>
            </w:r>
          </w:p>
        </w:tc>
        <w:tc>
          <w:tcPr>
            <w:tcW w:w="1111" w:type="dxa"/>
            <w:tcBorders>
              <w:left w:val="nil"/>
              <w:bottom w:val="single" w:sz="4" w:space="0" w:color="auto"/>
              <w:right w:val="nil"/>
            </w:tcBorders>
            <w:shd w:val="clear" w:color="auto" w:fill="auto"/>
            <w:noWrap/>
            <w:vAlign w:val="bottom"/>
            <w:hideMark/>
          </w:tcPr>
          <w:p w:rsidR="003F76E8" w:rsidRPr="005C608C" w:rsidRDefault="003F76E8" w:rsidP="003F76E8">
            <w:pPr>
              <w:jc w:val="center"/>
              <w:rPr>
                <w:rFonts w:eastAsia="Times New Roman"/>
                <w:i/>
              </w:rPr>
            </w:pPr>
            <w:r w:rsidRPr="005C608C">
              <w:rPr>
                <w:rFonts w:eastAsia="Times New Roman"/>
                <w:i/>
              </w:rPr>
              <w:t>CFO</w:t>
            </w:r>
          </w:p>
        </w:tc>
        <w:tc>
          <w:tcPr>
            <w:tcW w:w="975" w:type="dxa"/>
            <w:tcBorders>
              <w:left w:val="nil"/>
              <w:bottom w:val="single" w:sz="4" w:space="0" w:color="auto"/>
              <w:right w:val="nil"/>
            </w:tcBorders>
            <w:shd w:val="clear" w:color="auto" w:fill="auto"/>
            <w:noWrap/>
            <w:vAlign w:val="bottom"/>
            <w:hideMark/>
          </w:tcPr>
          <w:p w:rsidR="003F76E8" w:rsidRPr="005C608C" w:rsidRDefault="003F76E8" w:rsidP="003F76E8">
            <w:pPr>
              <w:jc w:val="center"/>
              <w:rPr>
                <w:rFonts w:eastAsia="Times New Roman"/>
                <w:i/>
              </w:rPr>
            </w:pPr>
            <w:r w:rsidRPr="005C608C">
              <w:rPr>
                <w:rFonts w:eastAsia="Times New Roman"/>
                <w:i/>
              </w:rPr>
              <w:t>BM</w:t>
            </w:r>
          </w:p>
        </w:tc>
        <w:tc>
          <w:tcPr>
            <w:tcW w:w="1007" w:type="dxa"/>
            <w:tcBorders>
              <w:left w:val="nil"/>
              <w:bottom w:val="single" w:sz="4" w:space="0" w:color="auto"/>
              <w:right w:val="nil"/>
            </w:tcBorders>
          </w:tcPr>
          <w:p w:rsidR="003F76E8" w:rsidRPr="005C608C" w:rsidRDefault="003F76E8" w:rsidP="003F76E8">
            <w:pPr>
              <w:jc w:val="center"/>
              <w:rPr>
                <w:rFonts w:eastAsia="Times New Roman"/>
                <w:i/>
              </w:rPr>
            </w:pPr>
            <w:r w:rsidRPr="005C608C">
              <w:rPr>
                <w:rFonts w:eastAsia="Times New Roman"/>
                <w:i/>
              </w:rPr>
              <w:t>Grow</w:t>
            </w:r>
          </w:p>
        </w:tc>
      </w:tr>
      <w:tr w:rsidR="005C608C" w:rsidRPr="005C608C" w:rsidTr="008010EB">
        <w:trPr>
          <w:trHeight w:val="335"/>
        </w:trPr>
        <w:tc>
          <w:tcPr>
            <w:tcW w:w="1168" w:type="dxa"/>
            <w:tcBorders>
              <w:left w:val="nil"/>
              <w:bottom w:val="nil"/>
              <w:right w:val="nil"/>
            </w:tcBorders>
            <w:shd w:val="clear" w:color="auto" w:fill="auto"/>
            <w:noWrap/>
            <w:vAlign w:val="center"/>
            <w:hideMark/>
          </w:tcPr>
          <w:p w:rsidR="00016BCF" w:rsidRPr="005C608C" w:rsidRDefault="00016BCF" w:rsidP="003F76E8">
            <w:pPr>
              <w:rPr>
                <w:rFonts w:eastAsia="Times New Roman"/>
              </w:rPr>
            </w:pPr>
            <w:r w:rsidRPr="005C608C">
              <w:rPr>
                <w:rFonts w:eastAsia="Times New Roman"/>
              </w:rPr>
              <w:t>N</w:t>
            </w:r>
          </w:p>
        </w:tc>
        <w:tc>
          <w:tcPr>
            <w:tcW w:w="1006" w:type="dxa"/>
            <w:tcBorders>
              <w:top w:val="nil"/>
              <w:left w:val="nil"/>
              <w:bottom w:val="nil"/>
              <w:right w:val="nil"/>
            </w:tcBorders>
            <w:shd w:val="clear" w:color="auto" w:fill="auto"/>
            <w:noWrap/>
            <w:vAlign w:val="bottom"/>
            <w:hideMark/>
          </w:tcPr>
          <w:p w:rsidR="00016BCF" w:rsidRPr="005C608C" w:rsidRDefault="00016BCF" w:rsidP="009B395A">
            <w:r w:rsidRPr="00931FD3">
              <w:t xml:space="preserve">40,102 </w:t>
            </w:r>
          </w:p>
        </w:tc>
        <w:tc>
          <w:tcPr>
            <w:tcW w:w="1035" w:type="dxa"/>
            <w:tcBorders>
              <w:top w:val="nil"/>
              <w:left w:val="nil"/>
              <w:bottom w:val="nil"/>
              <w:right w:val="nil"/>
            </w:tcBorders>
            <w:shd w:val="clear" w:color="auto" w:fill="auto"/>
            <w:noWrap/>
            <w:vAlign w:val="bottom"/>
            <w:hideMark/>
          </w:tcPr>
          <w:p w:rsidR="00016BCF" w:rsidRPr="005C608C" w:rsidRDefault="00016BCF" w:rsidP="009B395A">
            <w:r w:rsidRPr="00931FD3">
              <w:t xml:space="preserve">40,102 </w:t>
            </w:r>
          </w:p>
        </w:tc>
        <w:tc>
          <w:tcPr>
            <w:tcW w:w="1136" w:type="dxa"/>
            <w:tcBorders>
              <w:top w:val="nil"/>
              <w:left w:val="nil"/>
              <w:bottom w:val="nil"/>
              <w:right w:val="nil"/>
            </w:tcBorders>
            <w:shd w:val="clear" w:color="auto" w:fill="auto"/>
            <w:noWrap/>
            <w:vAlign w:val="bottom"/>
            <w:hideMark/>
          </w:tcPr>
          <w:p w:rsidR="00016BCF" w:rsidRPr="005C608C" w:rsidRDefault="00016BCF" w:rsidP="006964C7">
            <w:r w:rsidRPr="00931FD3">
              <w:t xml:space="preserve">40,102 </w:t>
            </w:r>
          </w:p>
        </w:tc>
        <w:tc>
          <w:tcPr>
            <w:tcW w:w="1136" w:type="dxa"/>
            <w:tcBorders>
              <w:top w:val="nil"/>
              <w:left w:val="nil"/>
              <w:bottom w:val="nil"/>
              <w:right w:val="nil"/>
            </w:tcBorders>
            <w:shd w:val="clear" w:color="auto" w:fill="auto"/>
            <w:noWrap/>
            <w:vAlign w:val="bottom"/>
            <w:hideMark/>
          </w:tcPr>
          <w:p w:rsidR="00016BCF" w:rsidRPr="005C608C" w:rsidRDefault="00016BCF" w:rsidP="006964C7">
            <w:r w:rsidRPr="00931FD3">
              <w:t xml:space="preserve">40,102 </w:t>
            </w:r>
          </w:p>
        </w:tc>
        <w:tc>
          <w:tcPr>
            <w:tcW w:w="1092" w:type="dxa"/>
            <w:tcBorders>
              <w:top w:val="nil"/>
              <w:left w:val="nil"/>
              <w:bottom w:val="nil"/>
              <w:right w:val="nil"/>
            </w:tcBorders>
            <w:shd w:val="clear" w:color="auto" w:fill="auto"/>
            <w:noWrap/>
            <w:vAlign w:val="bottom"/>
            <w:hideMark/>
          </w:tcPr>
          <w:p w:rsidR="00016BCF" w:rsidRPr="005C608C" w:rsidRDefault="00016BCF" w:rsidP="00BF7DB4">
            <w:r w:rsidRPr="00931FD3">
              <w:t xml:space="preserve">40,102 </w:t>
            </w:r>
          </w:p>
        </w:tc>
        <w:tc>
          <w:tcPr>
            <w:tcW w:w="1134" w:type="dxa"/>
            <w:tcBorders>
              <w:top w:val="nil"/>
              <w:left w:val="nil"/>
              <w:bottom w:val="nil"/>
              <w:right w:val="nil"/>
            </w:tcBorders>
            <w:shd w:val="clear" w:color="auto" w:fill="auto"/>
            <w:noWrap/>
            <w:vAlign w:val="bottom"/>
            <w:hideMark/>
          </w:tcPr>
          <w:p w:rsidR="00016BCF" w:rsidRPr="005C608C" w:rsidRDefault="00016BCF" w:rsidP="00AC560C">
            <w:r w:rsidRPr="00931FD3">
              <w:t xml:space="preserve">40,102 </w:t>
            </w:r>
          </w:p>
        </w:tc>
        <w:tc>
          <w:tcPr>
            <w:tcW w:w="1172" w:type="dxa"/>
            <w:tcBorders>
              <w:top w:val="nil"/>
              <w:left w:val="nil"/>
              <w:bottom w:val="nil"/>
              <w:right w:val="nil"/>
            </w:tcBorders>
            <w:shd w:val="clear" w:color="auto" w:fill="auto"/>
            <w:noWrap/>
            <w:vAlign w:val="bottom"/>
            <w:hideMark/>
          </w:tcPr>
          <w:p w:rsidR="00016BCF" w:rsidRPr="005C608C" w:rsidRDefault="00016BCF" w:rsidP="00931FD3">
            <w:r w:rsidRPr="00931FD3">
              <w:t xml:space="preserve">40,102 </w:t>
            </w:r>
          </w:p>
        </w:tc>
        <w:tc>
          <w:tcPr>
            <w:tcW w:w="1111" w:type="dxa"/>
            <w:tcBorders>
              <w:top w:val="nil"/>
              <w:left w:val="nil"/>
              <w:bottom w:val="nil"/>
              <w:right w:val="nil"/>
            </w:tcBorders>
            <w:shd w:val="clear" w:color="auto" w:fill="auto"/>
            <w:noWrap/>
            <w:vAlign w:val="bottom"/>
            <w:hideMark/>
          </w:tcPr>
          <w:p w:rsidR="00016BCF" w:rsidRPr="005C608C" w:rsidRDefault="00016BCF" w:rsidP="00931FD3">
            <w:r w:rsidRPr="00931FD3">
              <w:t xml:space="preserve">40,102 </w:t>
            </w:r>
          </w:p>
        </w:tc>
        <w:tc>
          <w:tcPr>
            <w:tcW w:w="975" w:type="dxa"/>
            <w:tcBorders>
              <w:top w:val="nil"/>
              <w:left w:val="nil"/>
              <w:bottom w:val="nil"/>
              <w:right w:val="nil"/>
            </w:tcBorders>
            <w:shd w:val="clear" w:color="auto" w:fill="auto"/>
            <w:noWrap/>
            <w:vAlign w:val="bottom"/>
            <w:hideMark/>
          </w:tcPr>
          <w:p w:rsidR="00016BCF" w:rsidRPr="005C608C" w:rsidRDefault="00016BCF" w:rsidP="00931FD3">
            <w:r w:rsidRPr="00931FD3">
              <w:t xml:space="preserve">40,102 </w:t>
            </w:r>
          </w:p>
        </w:tc>
        <w:tc>
          <w:tcPr>
            <w:tcW w:w="1007" w:type="dxa"/>
            <w:tcBorders>
              <w:top w:val="nil"/>
              <w:left w:val="nil"/>
              <w:bottom w:val="nil"/>
              <w:right w:val="nil"/>
            </w:tcBorders>
            <w:vAlign w:val="bottom"/>
          </w:tcPr>
          <w:p w:rsidR="00016BCF" w:rsidRPr="005C608C" w:rsidRDefault="00016BCF" w:rsidP="00931FD3">
            <w:r w:rsidRPr="00931FD3">
              <w:t xml:space="preserve">40,102 </w:t>
            </w: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3F76E8">
            <w:pPr>
              <w:rPr>
                <w:rFonts w:eastAsia="Times New Roman"/>
              </w:rPr>
            </w:pPr>
            <w:r w:rsidRPr="005C608C">
              <w:rPr>
                <w:rFonts w:eastAsia="Times New Roman"/>
              </w:rPr>
              <w:t>MIN</w:t>
            </w:r>
          </w:p>
        </w:tc>
        <w:tc>
          <w:tcPr>
            <w:tcW w:w="1006" w:type="dxa"/>
            <w:tcBorders>
              <w:top w:val="nil"/>
              <w:left w:val="nil"/>
              <w:bottom w:val="nil"/>
              <w:right w:val="nil"/>
            </w:tcBorders>
            <w:shd w:val="clear" w:color="auto" w:fill="auto"/>
            <w:noWrap/>
            <w:vAlign w:val="bottom"/>
            <w:hideMark/>
          </w:tcPr>
          <w:p w:rsidR="00016BCF" w:rsidRPr="005C608C" w:rsidRDefault="006964C7" w:rsidP="009B395A">
            <w:pPr>
              <w:jc w:val="right"/>
            </w:pPr>
            <w:r w:rsidRPr="005C608C">
              <w:t>−</w:t>
            </w:r>
            <w:r w:rsidR="00016BCF" w:rsidRPr="00931FD3">
              <w:t>0.157</w:t>
            </w:r>
          </w:p>
        </w:tc>
        <w:tc>
          <w:tcPr>
            <w:tcW w:w="1035" w:type="dxa"/>
            <w:tcBorders>
              <w:top w:val="nil"/>
              <w:left w:val="nil"/>
              <w:bottom w:val="nil"/>
              <w:right w:val="nil"/>
            </w:tcBorders>
            <w:shd w:val="clear" w:color="auto" w:fill="auto"/>
            <w:noWrap/>
            <w:vAlign w:val="bottom"/>
            <w:hideMark/>
          </w:tcPr>
          <w:p w:rsidR="00016BCF" w:rsidRPr="005C608C" w:rsidRDefault="006964C7" w:rsidP="009B395A">
            <w:pPr>
              <w:jc w:val="right"/>
            </w:pPr>
            <w:r w:rsidRPr="005C608C">
              <w:t>−</w:t>
            </w:r>
            <w:r w:rsidR="00016BCF" w:rsidRPr="00931FD3">
              <w:t>1.527</w:t>
            </w:r>
          </w:p>
        </w:tc>
        <w:tc>
          <w:tcPr>
            <w:tcW w:w="1136" w:type="dxa"/>
            <w:tcBorders>
              <w:top w:val="nil"/>
              <w:left w:val="nil"/>
              <w:bottom w:val="nil"/>
              <w:right w:val="nil"/>
            </w:tcBorders>
            <w:shd w:val="clear" w:color="auto" w:fill="auto"/>
            <w:noWrap/>
            <w:vAlign w:val="bottom"/>
            <w:hideMark/>
          </w:tcPr>
          <w:p w:rsidR="00016BCF" w:rsidRPr="005C608C" w:rsidRDefault="006964C7" w:rsidP="006964C7">
            <w:pPr>
              <w:jc w:val="right"/>
            </w:pPr>
            <w:r w:rsidRPr="005C608C">
              <w:t>−</w:t>
            </w:r>
            <w:r w:rsidR="00016BCF" w:rsidRPr="00931FD3">
              <w:t>1.657</w:t>
            </w:r>
          </w:p>
        </w:tc>
        <w:tc>
          <w:tcPr>
            <w:tcW w:w="1136" w:type="dxa"/>
            <w:tcBorders>
              <w:top w:val="nil"/>
              <w:left w:val="nil"/>
              <w:bottom w:val="nil"/>
              <w:right w:val="nil"/>
            </w:tcBorders>
            <w:shd w:val="clear" w:color="auto" w:fill="auto"/>
            <w:noWrap/>
            <w:vAlign w:val="bottom"/>
            <w:hideMark/>
          </w:tcPr>
          <w:p w:rsidR="00016BCF" w:rsidRPr="005C608C" w:rsidRDefault="006964C7" w:rsidP="006964C7">
            <w:pPr>
              <w:jc w:val="right"/>
            </w:pPr>
            <w:r w:rsidRPr="005C608C">
              <w:t>−</w:t>
            </w:r>
            <w:r w:rsidR="00016BCF" w:rsidRPr="00931FD3">
              <w:t>1.208</w:t>
            </w:r>
          </w:p>
        </w:tc>
        <w:tc>
          <w:tcPr>
            <w:tcW w:w="1092" w:type="dxa"/>
            <w:tcBorders>
              <w:top w:val="nil"/>
              <w:left w:val="nil"/>
              <w:bottom w:val="nil"/>
              <w:right w:val="nil"/>
            </w:tcBorders>
            <w:shd w:val="clear" w:color="auto" w:fill="auto"/>
            <w:noWrap/>
            <w:vAlign w:val="bottom"/>
            <w:hideMark/>
          </w:tcPr>
          <w:p w:rsidR="00016BCF" w:rsidRPr="005C608C" w:rsidRDefault="00016BCF" w:rsidP="00BF7DB4">
            <w:pPr>
              <w:jc w:val="right"/>
            </w:pPr>
            <w:r w:rsidRPr="00931FD3">
              <w:t>0.065</w:t>
            </w:r>
          </w:p>
        </w:tc>
        <w:tc>
          <w:tcPr>
            <w:tcW w:w="1134" w:type="dxa"/>
            <w:tcBorders>
              <w:top w:val="nil"/>
              <w:left w:val="nil"/>
              <w:bottom w:val="nil"/>
              <w:right w:val="nil"/>
            </w:tcBorders>
            <w:shd w:val="clear" w:color="auto" w:fill="auto"/>
            <w:noWrap/>
            <w:vAlign w:val="bottom"/>
            <w:hideMark/>
          </w:tcPr>
          <w:p w:rsidR="00016BCF" w:rsidRPr="005C608C" w:rsidRDefault="00016BCF" w:rsidP="00AC560C">
            <w:pPr>
              <w:jc w:val="right"/>
            </w:pPr>
            <w:r w:rsidRPr="00931FD3">
              <w:t>1.656</w:t>
            </w:r>
          </w:p>
        </w:tc>
        <w:tc>
          <w:tcPr>
            <w:tcW w:w="1172" w:type="dxa"/>
            <w:tcBorders>
              <w:top w:val="nil"/>
              <w:left w:val="nil"/>
              <w:bottom w:val="nil"/>
              <w:right w:val="nil"/>
            </w:tcBorders>
            <w:shd w:val="clear" w:color="auto" w:fill="auto"/>
            <w:noWrap/>
            <w:vAlign w:val="bottom"/>
            <w:hideMark/>
          </w:tcPr>
          <w:p w:rsidR="00016BCF" w:rsidRPr="005C608C" w:rsidRDefault="00016BCF" w:rsidP="00931FD3">
            <w:pPr>
              <w:jc w:val="right"/>
            </w:pPr>
            <w:r w:rsidRPr="00931FD3">
              <w:t>0.003</w:t>
            </w:r>
          </w:p>
        </w:tc>
        <w:tc>
          <w:tcPr>
            <w:tcW w:w="1111" w:type="dxa"/>
            <w:tcBorders>
              <w:top w:val="nil"/>
              <w:left w:val="nil"/>
              <w:bottom w:val="nil"/>
              <w:right w:val="nil"/>
            </w:tcBorders>
            <w:shd w:val="clear" w:color="auto" w:fill="auto"/>
            <w:noWrap/>
            <w:vAlign w:val="bottom"/>
            <w:hideMark/>
          </w:tcPr>
          <w:p w:rsidR="00016BCF" w:rsidRPr="005C608C" w:rsidRDefault="006964C7" w:rsidP="00931FD3">
            <w:pPr>
              <w:jc w:val="right"/>
            </w:pPr>
            <w:r w:rsidRPr="005C608C">
              <w:t>−</w:t>
            </w:r>
            <w:r w:rsidR="00016BCF" w:rsidRPr="00931FD3">
              <w:t>0.171</w:t>
            </w:r>
          </w:p>
        </w:tc>
        <w:tc>
          <w:tcPr>
            <w:tcW w:w="975" w:type="dxa"/>
            <w:tcBorders>
              <w:top w:val="nil"/>
              <w:left w:val="nil"/>
              <w:bottom w:val="nil"/>
              <w:right w:val="nil"/>
            </w:tcBorders>
            <w:shd w:val="clear" w:color="auto" w:fill="auto"/>
            <w:noWrap/>
            <w:vAlign w:val="bottom"/>
            <w:hideMark/>
          </w:tcPr>
          <w:p w:rsidR="00016BCF" w:rsidRPr="005C608C" w:rsidRDefault="006964C7" w:rsidP="00931FD3">
            <w:pPr>
              <w:jc w:val="right"/>
            </w:pPr>
            <w:r w:rsidRPr="005C608C">
              <w:t>−</w:t>
            </w:r>
            <w:r w:rsidR="00016BCF" w:rsidRPr="00931FD3">
              <w:t>2.825</w:t>
            </w:r>
          </w:p>
        </w:tc>
        <w:tc>
          <w:tcPr>
            <w:tcW w:w="1007" w:type="dxa"/>
            <w:tcBorders>
              <w:top w:val="nil"/>
              <w:left w:val="nil"/>
              <w:bottom w:val="nil"/>
              <w:right w:val="nil"/>
            </w:tcBorders>
            <w:vAlign w:val="bottom"/>
          </w:tcPr>
          <w:p w:rsidR="00016BCF" w:rsidRPr="005C608C" w:rsidRDefault="00016BCF" w:rsidP="00931FD3">
            <w:pPr>
              <w:jc w:val="right"/>
            </w:pPr>
            <w:r w:rsidRPr="00931FD3">
              <w:t>0.003</w:t>
            </w: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3F76E8">
            <w:pPr>
              <w:rPr>
                <w:rFonts w:eastAsia="Times New Roman"/>
              </w:rPr>
            </w:pPr>
            <w:r w:rsidRPr="005C608C">
              <w:rPr>
                <w:rFonts w:eastAsia="Times New Roman"/>
              </w:rPr>
              <w:t>MAX</w:t>
            </w:r>
          </w:p>
        </w:tc>
        <w:tc>
          <w:tcPr>
            <w:tcW w:w="1006" w:type="dxa"/>
            <w:tcBorders>
              <w:top w:val="nil"/>
              <w:left w:val="nil"/>
              <w:bottom w:val="nil"/>
              <w:right w:val="nil"/>
            </w:tcBorders>
            <w:shd w:val="clear" w:color="auto" w:fill="auto"/>
            <w:noWrap/>
            <w:vAlign w:val="bottom"/>
            <w:hideMark/>
          </w:tcPr>
          <w:p w:rsidR="00016BCF" w:rsidRPr="005C608C" w:rsidRDefault="00016BCF" w:rsidP="009B395A">
            <w:pPr>
              <w:jc w:val="right"/>
            </w:pPr>
            <w:r w:rsidRPr="00931FD3">
              <w:t>0.247</w:t>
            </w:r>
          </w:p>
        </w:tc>
        <w:tc>
          <w:tcPr>
            <w:tcW w:w="1035" w:type="dxa"/>
            <w:tcBorders>
              <w:top w:val="nil"/>
              <w:left w:val="nil"/>
              <w:bottom w:val="nil"/>
              <w:right w:val="nil"/>
            </w:tcBorders>
            <w:shd w:val="clear" w:color="auto" w:fill="auto"/>
            <w:noWrap/>
            <w:vAlign w:val="bottom"/>
            <w:hideMark/>
          </w:tcPr>
          <w:p w:rsidR="00016BCF" w:rsidRPr="005C608C" w:rsidRDefault="006964C7" w:rsidP="009B395A">
            <w:pPr>
              <w:jc w:val="right"/>
            </w:pPr>
            <w:r w:rsidRPr="005C608C">
              <w:t>−</w:t>
            </w:r>
            <w:r w:rsidR="00016BCF" w:rsidRPr="00931FD3">
              <w:t>0.010</w:t>
            </w:r>
          </w:p>
        </w:tc>
        <w:tc>
          <w:tcPr>
            <w:tcW w:w="1136" w:type="dxa"/>
            <w:tcBorders>
              <w:top w:val="nil"/>
              <w:left w:val="nil"/>
              <w:bottom w:val="nil"/>
              <w:right w:val="nil"/>
            </w:tcBorders>
            <w:shd w:val="clear" w:color="auto" w:fill="auto"/>
            <w:noWrap/>
            <w:vAlign w:val="bottom"/>
            <w:hideMark/>
          </w:tcPr>
          <w:p w:rsidR="00016BCF" w:rsidRPr="005C608C" w:rsidRDefault="006964C7" w:rsidP="006964C7">
            <w:pPr>
              <w:jc w:val="right"/>
            </w:pPr>
            <w:r w:rsidRPr="005C608C">
              <w:t>−</w:t>
            </w:r>
            <w:r w:rsidR="00016BCF" w:rsidRPr="00931FD3">
              <w:t>0.003</w:t>
            </w:r>
          </w:p>
        </w:tc>
        <w:tc>
          <w:tcPr>
            <w:tcW w:w="1136" w:type="dxa"/>
            <w:tcBorders>
              <w:top w:val="nil"/>
              <w:left w:val="nil"/>
              <w:bottom w:val="nil"/>
              <w:right w:val="nil"/>
            </w:tcBorders>
            <w:shd w:val="clear" w:color="auto" w:fill="auto"/>
            <w:noWrap/>
            <w:vAlign w:val="bottom"/>
            <w:hideMark/>
          </w:tcPr>
          <w:p w:rsidR="00016BCF" w:rsidRPr="005C608C" w:rsidRDefault="006964C7" w:rsidP="006964C7">
            <w:pPr>
              <w:jc w:val="right"/>
            </w:pPr>
            <w:r w:rsidRPr="005C608C">
              <w:t>−</w:t>
            </w:r>
            <w:r w:rsidR="00016BCF" w:rsidRPr="00931FD3">
              <w:t>0.008</w:t>
            </w:r>
          </w:p>
        </w:tc>
        <w:tc>
          <w:tcPr>
            <w:tcW w:w="1092" w:type="dxa"/>
            <w:tcBorders>
              <w:top w:val="nil"/>
              <w:left w:val="nil"/>
              <w:bottom w:val="nil"/>
              <w:right w:val="nil"/>
            </w:tcBorders>
            <w:shd w:val="clear" w:color="auto" w:fill="auto"/>
            <w:noWrap/>
            <w:vAlign w:val="bottom"/>
            <w:hideMark/>
          </w:tcPr>
          <w:p w:rsidR="00016BCF" w:rsidRPr="005C608C" w:rsidRDefault="00016BCF" w:rsidP="00BF7DB4">
            <w:pPr>
              <w:jc w:val="right"/>
            </w:pPr>
            <w:r w:rsidRPr="00931FD3">
              <w:t>0.939</w:t>
            </w:r>
          </w:p>
        </w:tc>
        <w:tc>
          <w:tcPr>
            <w:tcW w:w="1134" w:type="dxa"/>
            <w:tcBorders>
              <w:top w:val="nil"/>
              <w:left w:val="nil"/>
              <w:bottom w:val="nil"/>
              <w:right w:val="nil"/>
            </w:tcBorders>
            <w:shd w:val="clear" w:color="auto" w:fill="auto"/>
            <w:noWrap/>
            <w:vAlign w:val="bottom"/>
            <w:hideMark/>
          </w:tcPr>
          <w:p w:rsidR="00016BCF" w:rsidRPr="005C608C" w:rsidRDefault="00016BCF" w:rsidP="00AC560C">
            <w:pPr>
              <w:jc w:val="right"/>
            </w:pPr>
            <w:r w:rsidRPr="00931FD3">
              <w:t>11.399</w:t>
            </w:r>
          </w:p>
        </w:tc>
        <w:tc>
          <w:tcPr>
            <w:tcW w:w="1172" w:type="dxa"/>
            <w:tcBorders>
              <w:top w:val="nil"/>
              <w:left w:val="nil"/>
              <w:bottom w:val="nil"/>
              <w:right w:val="nil"/>
            </w:tcBorders>
            <w:shd w:val="clear" w:color="auto" w:fill="auto"/>
            <w:noWrap/>
            <w:vAlign w:val="bottom"/>
            <w:hideMark/>
          </w:tcPr>
          <w:p w:rsidR="00016BCF" w:rsidRPr="005C608C" w:rsidRDefault="00016BCF" w:rsidP="00931FD3">
            <w:pPr>
              <w:jc w:val="right"/>
            </w:pPr>
            <w:r w:rsidRPr="00931FD3">
              <w:t>0.259</w:t>
            </w:r>
          </w:p>
        </w:tc>
        <w:tc>
          <w:tcPr>
            <w:tcW w:w="1111" w:type="dxa"/>
            <w:tcBorders>
              <w:top w:val="nil"/>
              <w:left w:val="nil"/>
              <w:bottom w:val="nil"/>
              <w:right w:val="nil"/>
            </w:tcBorders>
            <w:shd w:val="clear" w:color="auto" w:fill="auto"/>
            <w:noWrap/>
            <w:vAlign w:val="bottom"/>
            <w:hideMark/>
          </w:tcPr>
          <w:p w:rsidR="00016BCF" w:rsidRPr="005C608C" w:rsidRDefault="00016BCF" w:rsidP="00931FD3">
            <w:pPr>
              <w:jc w:val="right"/>
            </w:pPr>
            <w:r w:rsidRPr="00931FD3">
              <w:t>0.391</w:t>
            </w:r>
          </w:p>
        </w:tc>
        <w:tc>
          <w:tcPr>
            <w:tcW w:w="975" w:type="dxa"/>
            <w:tcBorders>
              <w:top w:val="nil"/>
              <w:left w:val="nil"/>
              <w:bottom w:val="nil"/>
              <w:right w:val="nil"/>
            </w:tcBorders>
            <w:shd w:val="clear" w:color="auto" w:fill="auto"/>
            <w:noWrap/>
            <w:vAlign w:val="bottom"/>
            <w:hideMark/>
          </w:tcPr>
          <w:p w:rsidR="00016BCF" w:rsidRPr="005C608C" w:rsidRDefault="00016BCF" w:rsidP="00931FD3">
            <w:pPr>
              <w:jc w:val="right"/>
            </w:pPr>
            <w:r w:rsidRPr="00931FD3">
              <w:t>0.870</w:t>
            </w:r>
          </w:p>
        </w:tc>
        <w:tc>
          <w:tcPr>
            <w:tcW w:w="1007" w:type="dxa"/>
            <w:tcBorders>
              <w:top w:val="nil"/>
              <w:left w:val="nil"/>
              <w:bottom w:val="nil"/>
              <w:right w:val="nil"/>
            </w:tcBorders>
            <w:vAlign w:val="bottom"/>
          </w:tcPr>
          <w:p w:rsidR="00016BCF" w:rsidRPr="005C608C" w:rsidRDefault="00016BCF" w:rsidP="00931FD3">
            <w:pPr>
              <w:jc w:val="right"/>
            </w:pPr>
            <w:r w:rsidRPr="00931FD3">
              <w:t>1.657</w:t>
            </w: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3F76E8">
            <w:pPr>
              <w:rPr>
                <w:rFonts w:eastAsia="Times New Roman"/>
              </w:rPr>
            </w:pPr>
            <w:r w:rsidRPr="005C608C">
              <w:rPr>
                <w:rFonts w:eastAsia="Times New Roman"/>
              </w:rPr>
              <w:t>MEAN</w:t>
            </w:r>
          </w:p>
        </w:tc>
        <w:tc>
          <w:tcPr>
            <w:tcW w:w="1006" w:type="dxa"/>
            <w:tcBorders>
              <w:top w:val="nil"/>
              <w:left w:val="nil"/>
              <w:bottom w:val="nil"/>
              <w:right w:val="nil"/>
            </w:tcBorders>
            <w:shd w:val="clear" w:color="auto" w:fill="auto"/>
            <w:noWrap/>
            <w:vAlign w:val="bottom"/>
          </w:tcPr>
          <w:p w:rsidR="00016BCF" w:rsidRPr="005C608C" w:rsidRDefault="00016BCF" w:rsidP="009B395A">
            <w:pPr>
              <w:jc w:val="right"/>
            </w:pPr>
            <w:r w:rsidRPr="00931FD3">
              <w:t>0.006</w:t>
            </w:r>
          </w:p>
        </w:tc>
        <w:tc>
          <w:tcPr>
            <w:tcW w:w="1035" w:type="dxa"/>
            <w:tcBorders>
              <w:top w:val="nil"/>
              <w:left w:val="nil"/>
              <w:bottom w:val="nil"/>
              <w:right w:val="nil"/>
            </w:tcBorders>
            <w:shd w:val="clear" w:color="auto" w:fill="auto"/>
            <w:noWrap/>
            <w:vAlign w:val="bottom"/>
          </w:tcPr>
          <w:p w:rsidR="00016BCF" w:rsidRPr="005C608C" w:rsidRDefault="006964C7" w:rsidP="009B395A">
            <w:pPr>
              <w:jc w:val="right"/>
            </w:pPr>
            <w:r w:rsidRPr="005C608C">
              <w:t>−</w:t>
            </w:r>
            <w:r w:rsidR="00016BCF" w:rsidRPr="00931FD3">
              <w:t>0.138</w:t>
            </w:r>
          </w:p>
        </w:tc>
        <w:tc>
          <w:tcPr>
            <w:tcW w:w="1136" w:type="dxa"/>
            <w:tcBorders>
              <w:top w:val="nil"/>
              <w:left w:val="nil"/>
              <w:bottom w:val="nil"/>
              <w:right w:val="nil"/>
            </w:tcBorders>
            <w:shd w:val="clear" w:color="auto" w:fill="auto"/>
            <w:noWrap/>
            <w:vAlign w:val="bottom"/>
          </w:tcPr>
          <w:p w:rsidR="00016BCF" w:rsidRPr="005C608C" w:rsidRDefault="006964C7" w:rsidP="006964C7">
            <w:pPr>
              <w:jc w:val="right"/>
            </w:pPr>
            <w:r w:rsidRPr="005C608C">
              <w:t>−</w:t>
            </w:r>
            <w:r w:rsidR="00016BCF" w:rsidRPr="00931FD3">
              <w:t>0.148</w:t>
            </w:r>
          </w:p>
        </w:tc>
        <w:tc>
          <w:tcPr>
            <w:tcW w:w="1136" w:type="dxa"/>
            <w:tcBorders>
              <w:top w:val="nil"/>
              <w:left w:val="nil"/>
              <w:bottom w:val="nil"/>
              <w:right w:val="nil"/>
            </w:tcBorders>
            <w:shd w:val="clear" w:color="auto" w:fill="auto"/>
            <w:noWrap/>
            <w:vAlign w:val="bottom"/>
          </w:tcPr>
          <w:p w:rsidR="00016BCF" w:rsidRPr="005C608C" w:rsidRDefault="00016BCF" w:rsidP="006964C7">
            <w:pPr>
              <w:jc w:val="right"/>
            </w:pPr>
            <w:r w:rsidRPr="00931FD3">
              <w:t>0.118</w:t>
            </w:r>
          </w:p>
        </w:tc>
        <w:tc>
          <w:tcPr>
            <w:tcW w:w="1092" w:type="dxa"/>
            <w:tcBorders>
              <w:top w:val="nil"/>
              <w:left w:val="nil"/>
              <w:bottom w:val="nil"/>
              <w:right w:val="nil"/>
            </w:tcBorders>
            <w:shd w:val="clear" w:color="auto" w:fill="auto"/>
            <w:noWrap/>
            <w:vAlign w:val="bottom"/>
          </w:tcPr>
          <w:p w:rsidR="00016BCF" w:rsidRPr="005C608C" w:rsidRDefault="00016BCF" w:rsidP="00BF7DB4">
            <w:pPr>
              <w:jc w:val="right"/>
            </w:pPr>
            <w:r w:rsidRPr="00931FD3">
              <w:t>0.485</w:t>
            </w:r>
          </w:p>
        </w:tc>
        <w:tc>
          <w:tcPr>
            <w:tcW w:w="1134" w:type="dxa"/>
            <w:tcBorders>
              <w:top w:val="nil"/>
              <w:left w:val="nil"/>
              <w:bottom w:val="nil"/>
              <w:right w:val="nil"/>
            </w:tcBorders>
            <w:shd w:val="clear" w:color="auto" w:fill="auto"/>
            <w:noWrap/>
            <w:vAlign w:val="bottom"/>
          </w:tcPr>
          <w:p w:rsidR="00016BCF" w:rsidRPr="005C608C" w:rsidRDefault="00016BCF" w:rsidP="00931FD3">
            <w:pPr>
              <w:jc w:val="right"/>
            </w:pPr>
            <w:r w:rsidRPr="00931FD3">
              <w:t>6.264</w:t>
            </w:r>
          </w:p>
        </w:tc>
        <w:tc>
          <w:tcPr>
            <w:tcW w:w="1172" w:type="dxa"/>
            <w:tcBorders>
              <w:top w:val="nil"/>
              <w:left w:val="nil"/>
              <w:bottom w:val="nil"/>
              <w:right w:val="nil"/>
            </w:tcBorders>
            <w:shd w:val="clear" w:color="auto" w:fill="auto"/>
            <w:noWrap/>
            <w:vAlign w:val="bottom"/>
          </w:tcPr>
          <w:p w:rsidR="00016BCF" w:rsidRPr="005C608C" w:rsidRDefault="00016BCF" w:rsidP="00931FD3">
            <w:pPr>
              <w:jc w:val="right"/>
            </w:pPr>
            <w:r w:rsidRPr="00931FD3">
              <w:t>0.048</w:t>
            </w:r>
          </w:p>
        </w:tc>
        <w:tc>
          <w:tcPr>
            <w:tcW w:w="1111" w:type="dxa"/>
            <w:tcBorders>
              <w:top w:val="nil"/>
              <w:left w:val="nil"/>
              <w:bottom w:val="nil"/>
              <w:right w:val="nil"/>
            </w:tcBorders>
            <w:shd w:val="clear" w:color="auto" w:fill="auto"/>
            <w:noWrap/>
            <w:vAlign w:val="bottom"/>
          </w:tcPr>
          <w:p w:rsidR="00016BCF" w:rsidRPr="005C608C" w:rsidRDefault="00016BCF" w:rsidP="00931FD3">
            <w:pPr>
              <w:jc w:val="right"/>
            </w:pPr>
            <w:r w:rsidRPr="00931FD3">
              <w:t>0.104</w:t>
            </w:r>
          </w:p>
        </w:tc>
        <w:tc>
          <w:tcPr>
            <w:tcW w:w="975" w:type="dxa"/>
            <w:tcBorders>
              <w:top w:val="nil"/>
              <w:left w:val="nil"/>
              <w:bottom w:val="nil"/>
              <w:right w:val="nil"/>
            </w:tcBorders>
            <w:shd w:val="clear" w:color="auto" w:fill="auto"/>
            <w:noWrap/>
            <w:vAlign w:val="bottom"/>
          </w:tcPr>
          <w:p w:rsidR="00016BCF" w:rsidRPr="005C608C" w:rsidRDefault="006964C7" w:rsidP="00931FD3">
            <w:pPr>
              <w:jc w:val="right"/>
            </w:pPr>
            <w:r w:rsidRPr="005C608C">
              <w:t>−</w:t>
            </w:r>
            <w:r w:rsidR="00016BCF" w:rsidRPr="00931FD3">
              <w:t>0.747</w:t>
            </w:r>
          </w:p>
        </w:tc>
        <w:tc>
          <w:tcPr>
            <w:tcW w:w="1007" w:type="dxa"/>
            <w:tcBorders>
              <w:top w:val="nil"/>
              <w:left w:val="nil"/>
              <w:bottom w:val="nil"/>
              <w:right w:val="nil"/>
            </w:tcBorders>
            <w:vAlign w:val="bottom"/>
          </w:tcPr>
          <w:p w:rsidR="00016BCF" w:rsidRPr="005C608C" w:rsidRDefault="00016BCF" w:rsidP="00931FD3">
            <w:pPr>
              <w:jc w:val="right"/>
            </w:pPr>
            <w:r w:rsidRPr="00931FD3">
              <w:t>0.138</w:t>
            </w: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EA3C4B">
            <w:pPr>
              <w:rPr>
                <w:rFonts w:eastAsia="Times New Roman"/>
              </w:rPr>
            </w:pPr>
            <w:r w:rsidRPr="005C608C">
              <w:rPr>
                <w:rFonts w:eastAsia="Times New Roman"/>
              </w:rPr>
              <w:t>STD.DEV.</w:t>
            </w:r>
          </w:p>
        </w:tc>
        <w:tc>
          <w:tcPr>
            <w:tcW w:w="1006" w:type="dxa"/>
            <w:tcBorders>
              <w:top w:val="nil"/>
              <w:left w:val="nil"/>
              <w:bottom w:val="nil"/>
              <w:right w:val="nil"/>
            </w:tcBorders>
            <w:shd w:val="clear" w:color="auto" w:fill="auto"/>
            <w:noWrap/>
            <w:vAlign w:val="bottom"/>
          </w:tcPr>
          <w:p w:rsidR="00016BCF" w:rsidRPr="005C608C" w:rsidRDefault="00016BCF" w:rsidP="009B395A">
            <w:pPr>
              <w:jc w:val="right"/>
            </w:pPr>
            <w:r w:rsidRPr="00931FD3">
              <w:t>0.052</w:t>
            </w:r>
          </w:p>
        </w:tc>
        <w:tc>
          <w:tcPr>
            <w:tcW w:w="1035" w:type="dxa"/>
            <w:tcBorders>
              <w:top w:val="nil"/>
              <w:left w:val="nil"/>
              <w:bottom w:val="nil"/>
              <w:right w:val="nil"/>
            </w:tcBorders>
            <w:shd w:val="clear" w:color="auto" w:fill="auto"/>
            <w:noWrap/>
            <w:vAlign w:val="bottom"/>
          </w:tcPr>
          <w:p w:rsidR="00016BCF" w:rsidRPr="005C608C" w:rsidRDefault="00016BCF" w:rsidP="009B395A">
            <w:pPr>
              <w:jc w:val="right"/>
            </w:pPr>
            <w:r w:rsidRPr="00931FD3">
              <w:t>0.245</w:t>
            </w:r>
          </w:p>
        </w:tc>
        <w:tc>
          <w:tcPr>
            <w:tcW w:w="1136" w:type="dxa"/>
            <w:tcBorders>
              <w:top w:val="nil"/>
              <w:left w:val="nil"/>
              <w:bottom w:val="nil"/>
              <w:right w:val="nil"/>
            </w:tcBorders>
            <w:shd w:val="clear" w:color="auto" w:fill="auto"/>
            <w:noWrap/>
            <w:vAlign w:val="bottom"/>
          </w:tcPr>
          <w:p w:rsidR="00016BCF" w:rsidRPr="005C608C" w:rsidRDefault="00016BCF" w:rsidP="006964C7">
            <w:pPr>
              <w:jc w:val="right"/>
            </w:pPr>
            <w:r w:rsidRPr="00931FD3">
              <w:t>0.230</w:t>
            </w:r>
          </w:p>
        </w:tc>
        <w:tc>
          <w:tcPr>
            <w:tcW w:w="1136" w:type="dxa"/>
            <w:tcBorders>
              <w:top w:val="nil"/>
              <w:left w:val="nil"/>
              <w:bottom w:val="nil"/>
              <w:right w:val="nil"/>
            </w:tcBorders>
            <w:shd w:val="clear" w:color="auto" w:fill="auto"/>
            <w:noWrap/>
            <w:vAlign w:val="bottom"/>
          </w:tcPr>
          <w:p w:rsidR="00016BCF" w:rsidRPr="005C608C" w:rsidRDefault="00016BCF" w:rsidP="006964C7">
            <w:pPr>
              <w:jc w:val="right"/>
            </w:pPr>
            <w:r w:rsidRPr="00931FD3">
              <w:t>0.186</w:t>
            </w:r>
          </w:p>
        </w:tc>
        <w:tc>
          <w:tcPr>
            <w:tcW w:w="1092" w:type="dxa"/>
            <w:tcBorders>
              <w:top w:val="nil"/>
              <w:left w:val="nil"/>
              <w:bottom w:val="nil"/>
              <w:right w:val="nil"/>
            </w:tcBorders>
            <w:shd w:val="clear" w:color="auto" w:fill="auto"/>
            <w:noWrap/>
            <w:vAlign w:val="bottom"/>
          </w:tcPr>
          <w:p w:rsidR="00016BCF" w:rsidRPr="005C608C" w:rsidRDefault="00016BCF" w:rsidP="00BF7DB4">
            <w:pPr>
              <w:jc w:val="right"/>
            </w:pPr>
            <w:r w:rsidRPr="00931FD3">
              <w:t>0.210</w:t>
            </w:r>
          </w:p>
        </w:tc>
        <w:tc>
          <w:tcPr>
            <w:tcW w:w="1134" w:type="dxa"/>
            <w:tcBorders>
              <w:top w:val="nil"/>
              <w:left w:val="nil"/>
              <w:bottom w:val="nil"/>
              <w:right w:val="nil"/>
            </w:tcBorders>
            <w:shd w:val="clear" w:color="auto" w:fill="auto"/>
            <w:noWrap/>
            <w:vAlign w:val="bottom"/>
          </w:tcPr>
          <w:p w:rsidR="00016BCF" w:rsidRPr="005C608C" w:rsidRDefault="00016BCF" w:rsidP="00931FD3">
            <w:pPr>
              <w:jc w:val="right"/>
            </w:pPr>
            <w:r w:rsidRPr="00931FD3">
              <w:t>2.194</w:t>
            </w:r>
          </w:p>
        </w:tc>
        <w:tc>
          <w:tcPr>
            <w:tcW w:w="1172" w:type="dxa"/>
            <w:tcBorders>
              <w:top w:val="nil"/>
              <w:left w:val="nil"/>
              <w:bottom w:val="nil"/>
              <w:right w:val="nil"/>
            </w:tcBorders>
            <w:shd w:val="clear" w:color="auto" w:fill="auto"/>
            <w:noWrap/>
            <w:vAlign w:val="bottom"/>
          </w:tcPr>
          <w:p w:rsidR="00016BCF" w:rsidRPr="005C608C" w:rsidRDefault="00016BCF" w:rsidP="00931FD3">
            <w:pPr>
              <w:jc w:val="right"/>
            </w:pPr>
            <w:r w:rsidRPr="00931FD3">
              <w:t>0.045</w:t>
            </w:r>
          </w:p>
        </w:tc>
        <w:tc>
          <w:tcPr>
            <w:tcW w:w="1111" w:type="dxa"/>
            <w:tcBorders>
              <w:top w:val="nil"/>
              <w:left w:val="nil"/>
              <w:bottom w:val="nil"/>
              <w:right w:val="nil"/>
            </w:tcBorders>
            <w:shd w:val="clear" w:color="auto" w:fill="auto"/>
            <w:noWrap/>
            <w:vAlign w:val="bottom"/>
          </w:tcPr>
          <w:p w:rsidR="00016BCF" w:rsidRPr="005C608C" w:rsidRDefault="00016BCF" w:rsidP="00931FD3">
            <w:pPr>
              <w:jc w:val="right"/>
            </w:pPr>
            <w:r w:rsidRPr="00931FD3">
              <w:t>0.093</w:t>
            </w:r>
          </w:p>
        </w:tc>
        <w:tc>
          <w:tcPr>
            <w:tcW w:w="975" w:type="dxa"/>
            <w:tcBorders>
              <w:top w:val="nil"/>
              <w:left w:val="nil"/>
              <w:bottom w:val="nil"/>
              <w:right w:val="nil"/>
            </w:tcBorders>
            <w:shd w:val="clear" w:color="auto" w:fill="auto"/>
            <w:noWrap/>
            <w:vAlign w:val="bottom"/>
          </w:tcPr>
          <w:p w:rsidR="00016BCF" w:rsidRPr="005C608C" w:rsidRDefault="00016BCF" w:rsidP="00931FD3">
            <w:pPr>
              <w:jc w:val="right"/>
            </w:pPr>
            <w:r w:rsidRPr="00931FD3">
              <w:t>0.713</w:t>
            </w:r>
          </w:p>
        </w:tc>
        <w:tc>
          <w:tcPr>
            <w:tcW w:w="1007" w:type="dxa"/>
            <w:tcBorders>
              <w:top w:val="nil"/>
              <w:left w:val="nil"/>
              <w:bottom w:val="nil"/>
              <w:right w:val="nil"/>
            </w:tcBorders>
            <w:vAlign w:val="bottom"/>
          </w:tcPr>
          <w:p w:rsidR="00016BCF" w:rsidRPr="005C608C" w:rsidRDefault="00016BCF" w:rsidP="00931FD3">
            <w:pPr>
              <w:jc w:val="right"/>
            </w:pPr>
            <w:r w:rsidRPr="00931FD3">
              <w:t>0.245</w:t>
            </w:r>
          </w:p>
        </w:tc>
      </w:tr>
      <w:tr w:rsidR="0048729D" w:rsidRPr="005C608C" w:rsidTr="008010EB">
        <w:trPr>
          <w:trHeight w:val="273"/>
        </w:trPr>
        <w:tc>
          <w:tcPr>
            <w:tcW w:w="2174" w:type="dxa"/>
            <w:gridSpan w:val="2"/>
            <w:tcBorders>
              <w:top w:val="single" w:sz="4" w:space="0" w:color="auto"/>
              <w:left w:val="nil"/>
              <w:right w:val="nil"/>
            </w:tcBorders>
            <w:shd w:val="clear" w:color="auto" w:fill="auto"/>
            <w:noWrap/>
            <w:vAlign w:val="bottom"/>
            <w:hideMark/>
          </w:tcPr>
          <w:p w:rsidR="00EA3C4B" w:rsidRPr="005C608C" w:rsidRDefault="00EA3C4B" w:rsidP="00EA3C4B">
            <w:pPr>
              <w:rPr>
                <w:rFonts w:eastAsia="Times New Roman"/>
                <w:bCs/>
                <w:i/>
              </w:rPr>
            </w:pPr>
            <w:r w:rsidRPr="005C608C">
              <w:rPr>
                <w:rFonts w:eastAsia="Times New Roman"/>
                <w:bCs/>
                <w:i/>
              </w:rPr>
              <w:t>Pearson Correlations</w:t>
            </w:r>
          </w:p>
        </w:tc>
        <w:tc>
          <w:tcPr>
            <w:tcW w:w="1035" w:type="dxa"/>
            <w:tcBorders>
              <w:top w:val="single" w:sz="4" w:space="0" w:color="auto"/>
              <w:left w:val="nil"/>
              <w:right w:val="nil"/>
            </w:tcBorders>
            <w:shd w:val="clear" w:color="auto" w:fill="auto"/>
            <w:noWrap/>
            <w:vAlign w:val="bottom"/>
            <w:hideMark/>
          </w:tcPr>
          <w:p w:rsidR="00EA3C4B" w:rsidRPr="005C608C" w:rsidRDefault="00EA3C4B" w:rsidP="00EA3C4B">
            <w:pPr>
              <w:jc w:val="center"/>
              <w:rPr>
                <w:rFonts w:eastAsia="Times New Roman"/>
              </w:rPr>
            </w:pPr>
            <w:r w:rsidRPr="005C608C">
              <w:rPr>
                <w:rFonts w:eastAsia="Times New Roman"/>
              </w:rPr>
              <w:t> </w:t>
            </w:r>
          </w:p>
        </w:tc>
        <w:tc>
          <w:tcPr>
            <w:tcW w:w="1136" w:type="dxa"/>
            <w:tcBorders>
              <w:top w:val="single" w:sz="4" w:space="0" w:color="auto"/>
              <w:left w:val="nil"/>
              <w:right w:val="nil"/>
            </w:tcBorders>
            <w:shd w:val="clear" w:color="auto" w:fill="auto"/>
            <w:noWrap/>
            <w:vAlign w:val="bottom"/>
            <w:hideMark/>
          </w:tcPr>
          <w:p w:rsidR="00EA3C4B" w:rsidRPr="005C608C" w:rsidRDefault="00EA3C4B" w:rsidP="00EA3C4B">
            <w:pPr>
              <w:jc w:val="center"/>
              <w:rPr>
                <w:rFonts w:eastAsia="Times New Roman"/>
              </w:rPr>
            </w:pPr>
            <w:r w:rsidRPr="005C608C">
              <w:rPr>
                <w:rFonts w:eastAsia="Times New Roman"/>
              </w:rPr>
              <w:t> </w:t>
            </w:r>
          </w:p>
        </w:tc>
        <w:tc>
          <w:tcPr>
            <w:tcW w:w="1136" w:type="dxa"/>
            <w:tcBorders>
              <w:top w:val="single" w:sz="4" w:space="0" w:color="auto"/>
              <w:left w:val="nil"/>
              <w:right w:val="nil"/>
            </w:tcBorders>
            <w:shd w:val="clear" w:color="auto" w:fill="auto"/>
            <w:noWrap/>
            <w:vAlign w:val="bottom"/>
            <w:hideMark/>
          </w:tcPr>
          <w:p w:rsidR="00EA3C4B" w:rsidRPr="005C608C" w:rsidRDefault="00EA3C4B" w:rsidP="00EA3C4B">
            <w:pPr>
              <w:jc w:val="center"/>
              <w:rPr>
                <w:rFonts w:eastAsia="Times New Roman"/>
              </w:rPr>
            </w:pPr>
            <w:r w:rsidRPr="005C608C">
              <w:rPr>
                <w:rFonts w:eastAsia="Times New Roman"/>
              </w:rPr>
              <w:t> </w:t>
            </w:r>
          </w:p>
        </w:tc>
        <w:tc>
          <w:tcPr>
            <w:tcW w:w="1092" w:type="dxa"/>
            <w:tcBorders>
              <w:top w:val="single" w:sz="4" w:space="0" w:color="auto"/>
              <w:left w:val="nil"/>
              <w:right w:val="nil"/>
            </w:tcBorders>
            <w:shd w:val="clear" w:color="auto" w:fill="auto"/>
            <w:noWrap/>
          </w:tcPr>
          <w:p w:rsidR="00EA3C4B" w:rsidRPr="005C608C" w:rsidRDefault="00EA3C4B" w:rsidP="00EA3C4B">
            <w:pPr>
              <w:jc w:val="right"/>
            </w:pPr>
          </w:p>
        </w:tc>
        <w:tc>
          <w:tcPr>
            <w:tcW w:w="1134" w:type="dxa"/>
            <w:tcBorders>
              <w:top w:val="single" w:sz="4" w:space="0" w:color="auto"/>
              <w:left w:val="nil"/>
              <w:right w:val="nil"/>
            </w:tcBorders>
            <w:shd w:val="clear" w:color="auto" w:fill="auto"/>
            <w:noWrap/>
          </w:tcPr>
          <w:p w:rsidR="00EA3C4B" w:rsidRPr="005C608C" w:rsidRDefault="00EA3C4B" w:rsidP="00EA3C4B">
            <w:pPr>
              <w:jc w:val="right"/>
            </w:pPr>
          </w:p>
        </w:tc>
        <w:tc>
          <w:tcPr>
            <w:tcW w:w="1172" w:type="dxa"/>
            <w:tcBorders>
              <w:top w:val="single" w:sz="4" w:space="0" w:color="auto"/>
              <w:left w:val="nil"/>
              <w:right w:val="nil"/>
            </w:tcBorders>
            <w:shd w:val="clear" w:color="auto" w:fill="auto"/>
            <w:noWrap/>
          </w:tcPr>
          <w:p w:rsidR="00EA3C4B" w:rsidRPr="005C608C" w:rsidRDefault="00EA3C4B" w:rsidP="00EA3C4B">
            <w:pPr>
              <w:jc w:val="right"/>
            </w:pPr>
          </w:p>
        </w:tc>
        <w:tc>
          <w:tcPr>
            <w:tcW w:w="1111" w:type="dxa"/>
            <w:tcBorders>
              <w:top w:val="single" w:sz="4" w:space="0" w:color="auto"/>
              <w:left w:val="nil"/>
              <w:right w:val="nil"/>
            </w:tcBorders>
            <w:shd w:val="clear" w:color="auto" w:fill="auto"/>
            <w:noWrap/>
            <w:vAlign w:val="bottom"/>
            <w:hideMark/>
          </w:tcPr>
          <w:p w:rsidR="00EA3C4B" w:rsidRPr="005C608C" w:rsidRDefault="00EA3C4B" w:rsidP="00EA3C4B">
            <w:pPr>
              <w:jc w:val="center"/>
              <w:rPr>
                <w:rFonts w:eastAsia="Times New Roman"/>
              </w:rPr>
            </w:pPr>
            <w:r w:rsidRPr="005C608C">
              <w:rPr>
                <w:rFonts w:eastAsia="Times New Roman"/>
              </w:rPr>
              <w:t> </w:t>
            </w:r>
          </w:p>
        </w:tc>
        <w:tc>
          <w:tcPr>
            <w:tcW w:w="975" w:type="dxa"/>
            <w:tcBorders>
              <w:top w:val="single" w:sz="4" w:space="0" w:color="auto"/>
              <w:left w:val="nil"/>
              <w:right w:val="nil"/>
            </w:tcBorders>
            <w:shd w:val="clear" w:color="auto" w:fill="auto"/>
            <w:noWrap/>
            <w:vAlign w:val="bottom"/>
            <w:hideMark/>
          </w:tcPr>
          <w:p w:rsidR="00EA3C4B" w:rsidRPr="005C608C" w:rsidRDefault="00EA3C4B" w:rsidP="00EA3C4B">
            <w:pPr>
              <w:jc w:val="center"/>
              <w:rPr>
                <w:rFonts w:eastAsia="Times New Roman"/>
              </w:rPr>
            </w:pPr>
            <w:r w:rsidRPr="005C608C">
              <w:rPr>
                <w:rFonts w:eastAsia="Times New Roman"/>
              </w:rPr>
              <w:t> </w:t>
            </w:r>
          </w:p>
        </w:tc>
        <w:tc>
          <w:tcPr>
            <w:tcW w:w="1007" w:type="dxa"/>
            <w:tcBorders>
              <w:top w:val="single" w:sz="4" w:space="0" w:color="auto"/>
              <w:left w:val="nil"/>
              <w:right w:val="nil"/>
            </w:tcBorders>
          </w:tcPr>
          <w:p w:rsidR="00EA3C4B" w:rsidRPr="005C608C" w:rsidRDefault="00EA3C4B" w:rsidP="00EA3C4B">
            <w:pPr>
              <w:jc w:val="center"/>
              <w:rPr>
                <w:rFonts w:eastAsia="Times New Roman"/>
              </w:rPr>
            </w:pP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3F76E8">
            <w:pPr>
              <w:rPr>
                <w:rFonts w:eastAsia="Times New Roman"/>
                <w:i/>
              </w:rPr>
            </w:pPr>
            <w:r w:rsidRPr="005C608C">
              <w:rPr>
                <w:rFonts w:eastAsia="Times New Roman"/>
                <w:i/>
              </w:rPr>
              <w:t>EQ</w:t>
            </w:r>
          </w:p>
        </w:tc>
        <w:tc>
          <w:tcPr>
            <w:tcW w:w="1006" w:type="dxa"/>
            <w:tcBorders>
              <w:top w:val="nil"/>
              <w:left w:val="nil"/>
              <w:bottom w:val="nil"/>
              <w:right w:val="nil"/>
            </w:tcBorders>
            <w:shd w:val="clear" w:color="auto" w:fill="auto"/>
            <w:noWrap/>
            <w:vAlign w:val="bottom"/>
            <w:hideMark/>
          </w:tcPr>
          <w:p w:rsidR="00016BCF" w:rsidRPr="005C608C" w:rsidRDefault="00016BCF">
            <w:pPr>
              <w:jc w:val="right"/>
            </w:pPr>
            <w:r w:rsidRPr="00931FD3">
              <w:t>0.040</w:t>
            </w:r>
          </w:p>
        </w:tc>
        <w:tc>
          <w:tcPr>
            <w:tcW w:w="1035" w:type="dxa"/>
            <w:tcBorders>
              <w:top w:val="nil"/>
              <w:left w:val="nil"/>
              <w:bottom w:val="nil"/>
              <w:right w:val="nil"/>
            </w:tcBorders>
            <w:shd w:val="clear" w:color="auto" w:fill="auto"/>
            <w:noWrap/>
            <w:vAlign w:val="bottom"/>
            <w:hideMark/>
          </w:tcPr>
          <w:p w:rsidR="00016BCF" w:rsidRPr="005C608C" w:rsidRDefault="00016BCF">
            <w:pPr>
              <w:jc w:val="right"/>
            </w:pPr>
            <w:r w:rsidRPr="00931FD3">
              <w:t>1.000</w:t>
            </w:r>
          </w:p>
        </w:tc>
        <w:tc>
          <w:tcPr>
            <w:tcW w:w="1136" w:type="dxa"/>
            <w:tcBorders>
              <w:top w:val="nil"/>
              <w:left w:val="nil"/>
              <w:bottom w:val="nil"/>
              <w:right w:val="nil"/>
            </w:tcBorders>
            <w:shd w:val="clear" w:color="auto" w:fill="auto"/>
            <w:noWrap/>
            <w:vAlign w:val="bottom"/>
          </w:tcPr>
          <w:p w:rsidR="00016BCF" w:rsidRPr="005C608C" w:rsidRDefault="00016BCF">
            <w:pPr>
              <w:jc w:val="right"/>
            </w:pPr>
          </w:p>
        </w:tc>
        <w:tc>
          <w:tcPr>
            <w:tcW w:w="1136" w:type="dxa"/>
            <w:tcBorders>
              <w:top w:val="nil"/>
              <w:left w:val="nil"/>
              <w:bottom w:val="nil"/>
              <w:right w:val="nil"/>
            </w:tcBorders>
            <w:shd w:val="clear" w:color="auto" w:fill="auto"/>
            <w:noWrap/>
            <w:vAlign w:val="bottom"/>
          </w:tcPr>
          <w:p w:rsidR="00016BCF" w:rsidRPr="005C608C" w:rsidRDefault="00016BCF">
            <w:pPr>
              <w:jc w:val="right"/>
            </w:pPr>
          </w:p>
        </w:tc>
        <w:tc>
          <w:tcPr>
            <w:tcW w:w="1092" w:type="dxa"/>
            <w:tcBorders>
              <w:top w:val="nil"/>
              <w:left w:val="nil"/>
              <w:bottom w:val="nil"/>
              <w:right w:val="nil"/>
            </w:tcBorders>
            <w:shd w:val="clear" w:color="auto" w:fill="auto"/>
            <w:noWrap/>
            <w:vAlign w:val="bottom"/>
          </w:tcPr>
          <w:p w:rsidR="00016BCF" w:rsidRPr="005C608C" w:rsidRDefault="00016BCF">
            <w:pPr>
              <w:jc w:val="right"/>
            </w:pPr>
          </w:p>
        </w:tc>
        <w:tc>
          <w:tcPr>
            <w:tcW w:w="1134" w:type="dxa"/>
            <w:tcBorders>
              <w:top w:val="nil"/>
              <w:left w:val="nil"/>
              <w:bottom w:val="nil"/>
              <w:right w:val="nil"/>
            </w:tcBorders>
            <w:shd w:val="clear" w:color="auto" w:fill="auto"/>
            <w:noWrap/>
            <w:vAlign w:val="bottom"/>
          </w:tcPr>
          <w:p w:rsidR="00016BCF" w:rsidRPr="005C608C" w:rsidRDefault="00016BCF">
            <w:pPr>
              <w:jc w:val="right"/>
            </w:pPr>
          </w:p>
        </w:tc>
        <w:tc>
          <w:tcPr>
            <w:tcW w:w="1172" w:type="dxa"/>
            <w:tcBorders>
              <w:top w:val="nil"/>
              <w:left w:val="nil"/>
              <w:bottom w:val="nil"/>
              <w:right w:val="nil"/>
            </w:tcBorders>
            <w:shd w:val="clear" w:color="auto" w:fill="auto"/>
            <w:noWrap/>
            <w:vAlign w:val="bottom"/>
          </w:tcPr>
          <w:p w:rsidR="00016BCF" w:rsidRPr="005C608C" w:rsidRDefault="00016BCF">
            <w:pPr>
              <w:jc w:val="right"/>
            </w:pPr>
          </w:p>
        </w:tc>
        <w:tc>
          <w:tcPr>
            <w:tcW w:w="1111" w:type="dxa"/>
            <w:tcBorders>
              <w:top w:val="nil"/>
              <w:left w:val="nil"/>
              <w:bottom w:val="nil"/>
              <w:right w:val="nil"/>
            </w:tcBorders>
            <w:shd w:val="clear" w:color="auto" w:fill="auto"/>
            <w:noWrap/>
            <w:vAlign w:val="bottom"/>
          </w:tcPr>
          <w:p w:rsidR="00016BCF" w:rsidRPr="005C608C" w:rsidRDefault="00016BCF">
            <w:pPr>
              <w:jc w:val="right"/>
            </w:pPr>
          </w:p>
        </w:tc>
        <w:tc>
          <w:tcPr>
            <w:tcW w:w="975" w:type="dxa"/>
            <w:tcBorders>
              <w:top w:val="nil"/>
              <w:left w:val="nil"/>
              <w:bottom w:val="nil"/>
              <w:right w:val="nil"/>
            </w:tcBorders>
            <w:shd w:val="clear" w:color="auto" w:fill="auto"/>
            <w:noWrap/>
            <w:vAlign w:val="bottom"/>
          </w:tcPr>
          <w:p w:rsidR="00016BCF" w:rsidRPr="005C608C" w:rsidRDefault="00016BCF">
            <w:pPr>
              <w:jc w:val="right"/>
            </w:pPr>
          </w:p>
        </w:tc>
        <w:tc>
          <w:tcPr>
            <w:tcW w:w="1007" w:type="dxa"/>
            <w:tcBorders>
              <w:top w:val="nil"/>
              <w:left w:val="nil"/>
              <w:bottom w:val="nil"/>
              <w:right w:val="nil"/>
            </w:tcBorders>
            <w:vAlign w:val="bottom"/>
          </w:tcPr>
          <w:p w:rsidR="00016BCF" w:rsidRPr="005C608C" w:rsidRDefault="00016BCF">
            <w:pPr>
              <w:jc w:val="right"/>
            </w:pP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3F76E8">
            <w:pPr>
              <w:rPr>
                <w:rFonts w:eastAsia="Times New Roman"/>
                <w:i/>
              </w:rPr>
            </w:pPr>
            <w:r w:rsidRPr="005C608C">
              <w:rPr>
                <w:rFonts w:eastAsia="Times New Roman"/>
                <w:i/>
              </w:rPr>
              <w:t>P_EQew</w:t>
            </w:r>
          </w:p>
        </w:tc>
        <w:tc>
          <w:tcPr>
            <w:tcW w:w="1006"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0.002</w:t>
            </w:r>
          </w:p>
        </w:tc>
        <w:tc>
          <w:tcPr>
            <w:tcW w:w="1035"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0.759</w:t>
            </w:r>
          </w:p>
        </w:tc>
        <w:tc>
          <w:tcPr>
            <w:tcW w:w="1136" w:type="dxa"/>
            <w:tcBorders>
              <w:top w:val="nil"/>
              <w:left w:val="nil"/>
              <w:bottom w:val="nil"/>
              <w:right w:val="nil"/>
            </w:tcBorders>
            <w:shd w:val="clear" w:color="auto" w:fill="auto"/>
            <w:noWrap/>
            <w:vAlign w:val="bottom"/>
            <w:hideMark/>
          </w:tcPr>
          <w:p w:rsidR="00016BCF" w:rsidRPr="005C608C" w:rsidRDefault="00016BCF">
            <w:pPr>
              <w:jc w:val="right"/>
            </w:pPr>
            <w:r w:rsidRPr="00931FD3">
              <w:t>1.000</w:t>
            </w:r>
          </w:p>
        </w:tc>
        <w:tc>
          <w:tcPr>
            <w:tcW w:w="1136" w:type="dxa"/>
            <w:tcBorders>
              <w:top w:val="nil"/>
              <w:left w:val="nil"/>
              <w:bottom w:val="nil"/>
              <w:right w:val="nil"/>
            </w:tcBorders>
            <w:shd w:val="clear" w:color="auto" w:fill="auto"/>
            <w:noWrap/>
            <w:vAlign w:val="bottom"/>
          </w:tcPr>
          <w:p w:rsidR="00016BCF" w:rsidRPr="005C608C" w:rsidRDefault="00016BCF">
            <w:pPr>
              <w:jc w:val="right"/>
            </w:pPr>
          </w:p>
        </w:tc>
        <w:tc>
          <w:tcPr>
            <w:tcW w:w="1092" w:type="dxa"/>
            <w:tcBorders>
              <w:top w:val="nil"/>
              <w:left w:val="nil"/>
              <w:bottom w:val="nil"/>
              <w:right w:val="nil"/>
            </w:tcBorders>
            <w:shd w:val="clear" w:color="auto" w:fill="auto"/>
            <w:noWrap/>
            <w:vAlign w:val="bottom"/>
          </w:tcPr>
          <w:p w:rsidR="00016BCF" w:rsidRPr="005C608C" w:rsidRDefault="00016BCF">
            <w:pPr>
              <w:jc w:val="right"/>
            </w:pPr>
          </w:p>
        </w:tc>
        <w:tc>
          <w:tcPr>
            <w:tcW w:w="1134" w:type="dxa"/>
            <w:tcBorders>
              <w:top w:val="nil"/>
              <w:left w:val="nil"/>
              <w:bottom w:val="nil"/>
              <w:right w:val="nil"/>
            </w:tcBorders>
            <w:shd w:val="clear" w:color="auto" w:fill="auto"/>
            <w:noWrap/>
            <w:vAlign w:val="bottom"/>
          </w:tcPr>
          <w:p w:rsidR="00016BCF" w:rsidRPr="005C608C" w:rsidRDefault="00016BCF">
            <w:pPr>
              <w:jc w:val="right"/>
            </w:pPr>
          </w:p>
        </w:tc>
        <w:tc>
          <w:tcPr>
            <w:tcW w:w="1172" w:type="dxa"/>
            <w:tcBorders>
              <w:top w:val="nil"/>
              <w:left w:val="nil"/>
              <w:bottom w:val="nil"/>
              <w:right w:val="nil"/>
            </w:tcBorders>
            <w:shd w:val="clear" w:color="auto" w:fill="auto"/>
            <w:noWrap/>
            <w:vAlign w:val="bottom"/>
          </w:tcPr>
          <w:p w:rsidR="00016BCF" w:rsidRPr="005C608C" w:rsidRDefault="00016BCF">
            <w:pPr>
              <w:jc w:val="right"/>
            </w:pPr>
          </w:p>
        </w:tc>
        <w:tc>
          <w:tcPr>
            <w:tcW w:w="1111" w:type="dxa"/>
            <w:tcBorders>
              <w:top w:val="nil"/>
              <w:left w:val="nil"/>
              <w:bottom w:val="nil"/>
              <w:right w:val="nil"/>
            </w:tcBorders>
            <w:shd w:val="clear" w:color="auto" w:fill="auto"/>
            <w:noWrap/>
            <w:vAlign w:val="bottom"/>
          </w:tcPr>
          <w:p w:rsidR="00016BCF" w:rsidRPr="005C608C" w:rsidRDefault="00016BCF">
            <w:pPr>
              <w:jc w:val="right"/>
            </w:pPr>
          </w:p>
        </w:tc>
        <w:tc>
          <w:tcPr>
            <w:tcW w:w="975" w:type="dxa"/>
            <w:tcBorders>
              <w:top w:val="nil"/>
              <w:left w:val="nil"/>
              <w:bottom w:val="nil"/>
              <w:right w:val="nil"/>
            </w:tcBorders>
            <w:shd w:val="clear" w:color="auto" w:fill="auto"/>
            <w:noWrap/>
            <w:vAlign w:val="bottom"/>
          </w:tcPr>
          <w:p w:rsidR="00016BCF" w:rsidRPr="005C608C" w:rsidRDefault="00016BCF">
            <w:pPr>
              <w:jc w:val="right"/>
            </w:pPr>
          </w:p>
        </w:tc>
        <w:tc>
          <w:tcPr>
            <w:tcW w:w="1007" w:type="dxa"/>
            <w:tcBorders>
              <w:top w:val="nil"/>
              <w:left w:val="nil"/>
              <w:bottom w:val="nil"/>
              <w:right w:val="nil"/>
            </w:tcBorders>
            <w:vAlign w:val="bottom"/>
          </w:tcPr>
          <w:p w:rsidR="00016BCF" w:rsidRPr="005C608C" w:rsidRDefault="00016BCF">
            <w:pPr>
              <w:jc w:val="right"/>
            </w:pP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3F76E8">
            <w:pPr>
              <w:rPr>
                <w:rFonts w:eastAsia="Times New Roman"/>
                <w:i/>
              </w:rPr>
            </w:pPr>
            <w:r w:rsidRPr="005C608C">
              <w:rPr>
                <w:rFonts w:eastAsia="Times New Roman"/>
                <w:i/>
              </w:rPr>
              <w:t>P_EQmsw</w:t>
            </w:r>
          </w:p>
        </w:tc>
        <w:tc>
          <w:tcPr>
            <w:tcW w:w="1006"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0.002</w:t>
            </w:r>
          </w:p>
        </w:tc>
        <w:tc>
          <w:tcPr>
            <w:tcW w:w="1035"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0.756</w:t>
            </w:r>
          </w:p>
        </w:tc>
        <w:tc>
          <w:tcPr>
            <w:tcW w:w="1136"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0.977</w:t>
            </w:r>
          </w:p>
        </w:tc>
        <w:tc>
          <w:tcPr>
            <w:tcW w:w="1136" w:type="dxa"/>
            <w:tcBorders>
              <w:top w:val="nil"/>
              <w:left w:val="nil"/>
              <w:bottom w:val="nil"/>
              <w:right w:val="nil"/>
            </w:tcBorders>
            <w:shd w:val="clear" w:color="auto" w:fill="auto"/>
            <w:noWrap/>
            <w:vAlign w:val="bottom"/>
            <w:hideMark/>
          </w:tcPr>
          <w:p w:rsidR="00016BCF" w:rsidRPr="005C608C" w:rsidRDefault="00016BCF">
            <w:pPr>
              <w:jc w:val="right"/>
            </w:pPr>
            <w:r w:rsidRPr="00931FD3">
              <w:t>1.000</w:t>
            </w:r>
          </w:p>
        </w:tc>
        <w:tc>
          <w:tcPr>
            <w:tcW w:w="1092" w:type="dxa"/>
            <w:tcBorders>
              <w:top w:val="nil"/>
              <w:left w:val="nil"/>
              <w:bottom w:val="nil"/>
              <w:right w:val="nil"/>
            </w:tcBorders>
            <w:shd w:val="clear" w:color="auto" w:fill="auto"/>
            <w:noWrap/>
            <w:vAlign w:val="bottom"/>
          </w:tcPr>
          <w:p w:rsidR="00016BCF" w:rsidRPr="005C608C" w:rsidRDefault="00016BCF">
            <w:pPr>
              <w:jc w:val="right"/>
            </w:pPr>
          </w:p>
        </w:tc>
        <w:tc>
          <w:tcPr>
            <w:tcW w:w="1134" w:type="dxa"/>
            <w:tcBorders>
              <w:top w:val="nil"/>
              <w:left w:val="nil"/>
              <w:bottom w:val="nil"/>
              <w:right w:val="nil"/>
            </w:tcBorders>
            <w:shd w:val="clear" w:color="auto" w:fill="auto"/>
            <w:noWrap/>
            <w:vAlign w:val="bottom"/>
          </w:tcPr>
          <w:p w:rsidR="00016BCF" w:rsidRPr="005C608C" w:rsidRDefault="00016BCF">
            <w:pPr>
              <w:jc w:val="right"/>
            </w:pPr>
          </w:p>
        </w:tc>
        <w:tc>
          <w:tcPr>
            <w:tcW w:w="1172" w:type="dxa"/>
            <w:tcBorders>
              <w:top w:val="nil"/>
              <w:left w:val="nil"/>
              <w:bottom w:val="nil"/>
              <w:right w:val="nil"/>
            </w:tcBorders>
            <w:shd w:val="clear" w:color="auto" w:fill="auto"/>
            <w:noWrap/>
            <w:vAlign w:val="bottom"/>
          </w:tcPr>
          <w:p w:rsidR="00016BCF" w:rsidRPr="005C608C" w:rsidRDefault="00016BCF">
            <w:pPr>
              <w:jc w:val="right"/>
            </w:pPr>
          </w:p>
        </w:tc>
        <w:tc>
          <w:tcPr>
            <w:tcW w:w="1111" w:type="dxa"/>
            <w:tcBorders>
              <w:top w:val="nil"/>
              <w:left w:val="nil"/>
              <w:bottom w:val="nil"/>
              <w:right w:val="nil"/>
            </w:tcBorders>
            <w:shd w:val="clear" w:color="auto" w:fill="auto"/>
            <w:noWrap/>
            <w:vAlign w:val="bottom"/>
          </w:tcPr>
          <w:p w:rsidR="00016BCF" w:rsidRPr="005C608C" w:rsidRDefault="00016BCF">
            <w:pPr>
              <w:jc w:val="right"/>
            </w:pPr>
          </w:p>
        </w:tc>
        <w:tc>
          <w:tcPr>
            <w:tcW w:w="975" w:type="dxa"/>
            <w:tcBorders>
              <w:top w:val="nil"/>
              <w:left w:val="nil"/>
              <w:bottom w:val="nil"/>
              <w:right w:val="nil"/>
            </w:tcBorders>
            <w:shd w:val="clear" w:color="auto" w:fill="auto"/>
            <w:noWrap/>
            <w:vAlign w:val="bottom"/>
          </w:tcPr>
          <w:p w:rsidR="00016BCF" w:rsidRPr="005C608C" w:rsidRDefault="00016BCF">
            <w:pPr>
              <w:jc w:val="right"/>
            </w:pPr>
          </w:p>
        </w:tc>
        <w:tc>
          <w:tcPr>
            <w:tcW w:w="1007" w:type="dxa"/>
            <w:tcBorders>
              <w:top w:val="nil"/>
              <w:left w:val="nil"/>
              <w:bottom w:val="nil"/>
              <w:right w:val="nil"/>
            </w:tcBorders>
            <w:vAlign w:val="bottom"/>
          </w:tcPr>
          <w:p w:rsidR="00016BCF" w:rsidRPr="005C608C" w:rsidRDefault="00016BCF">
            <w:pPr>
              <w:jc w:val="right"/>
            </w:pP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3F76E8">
            <w:pPr>
              <w:rPr>
                <w:rFonts w:eastAsia="Times New Roman"/>
                <w:i/>
              </w:rPr>
            </w:pPr>
            <w:r w:rsidRPr="005C608C">
              <w:rPr>
                <w:rFonts w:eastAsia="Times New Roman"/>
                <w:i/>
              </w:rPr>
              <w:t>LEV</w:t>
            </w:r>
          </w:p>
        </w:tc>
        <w:tc>
          <w:tcPr>
            <w:tcW w:w="1006" w:type="dxa"/>
            <w:tcBorders>
              <w:top w:val="nil"/>
              <w:left w:val="nil"/>
              <w:bottom w:val="nil"/>
              <w:right w:val="nil"/>
            </w:tcBorders>
            <w:shd w:val="clear" w:color="auto" w:fill="auto"/>
            <w:noWrap/>
            <w:vAlign w:val="bottom"/>
            <w:hideMark/>
          </w:tcPr>
          <w:p w:rsidR="00016BCF" w:rsidRPr="005C608C" w:rsidRDefault="00016BCF">
            <w:pPr>
              <w:jc w:val="right"/>
            </w:pPr>
            <w:r w:rsidRPr="00931FD3">
              <w:t>0.069</w:t>
            </w:r>
          </w:p>
        </w:tc>
        <w:tc>
          <w:tcPr>
            <w:tcW w:w="1035" w:type="dxa"/>
            <w:tcBorders>
              <w:top w:val="nil"/>
              <w:left w:val="nil"/>
              <w:bottom w:val="nil"/>
              <w:right w:val="nil"/>
            </w:tcBorders>
            <w:shd w:val="clear" w:color="auto" w:fill="auto"/>
            <w:noWrap/>
            <w:vAlign w:val="bottom"/>
            <w:hideMark/>
          </w:tcPr>
          <w:p w:rsidR="00016BCF" w:rsidRPr="005C608C" w:rsidRDefault="00016BCF">
            <w:pPr>
              <w:jc w:val="right"/>
            </w:pPr>
            <w:r w:rsidRPr="00931FD3">
              <w:t>0.103</w:t>
            </w:r>
          </w:p>
        </w:tc>
        <w:tc>
          <w:tcPr>
            <w:tcW w:w="1136" w:type="dxa"/>
            <w:tcBorders>
              <w:top w:val="nil"/>
              <w:left w:val="nil"/>
              <w:bottom w:val="nil"/>
              <w:right w:val="nil"/>
            </w:tcBorders>
            <w:shd w:val="clear" w:color="auto" w:fill="auto"/>
            <w:noWrap/>
            <w:vAlign w:val="bottom"/>
            <w:hideMark/>
          </w:tcPr>
          <w:p w:rsidR="00016BCF" w:rsidRPr="005C608C" w:rsidRDefault="00016BCF">
            <w:pPr>
              <w:jc w:val="right"/>
            </w:pPr>
            <w:r w:rsidRPr="00931FD3">
              <w:t>0.095</w:t>
            </w:r>
          </w:p>
        </w:tc>
        <w:tc>
          <w:tcPr>
            <w:tcW w:w="1136" w:type="dxa"/>
            <w:tcBorders>
              <w:top w:val="nil"/>
              <w:left w:val="nil"/>
              <w:bottom w:val="nil"/>
              <w:right w:val="nil"/>
            </w:tcBorders>
            <w:shd w:val="clear" w:color="auto" w:fill="auto"/>
            <w:noWrap/>
            <w:vAlign w:val="bottom"/>
            <w:hideMark/>
          </w:tcPr>
          <w:p w:rsidR="00016BCF" w:rsidRPr="005C608C" w:rsidRDefault="00016BCF">
            <w:pPr>
              <w:jc w:val="right"/>
            </w:pPr>
            <w:r w:rsidRPr="00931FD3">
              <w:t>0.103</w:t>
            </w:r>
          </w:p>
        </w:tc>
        <w:tc>
          <w:tcPr>
            <w:tcW w:w="1092" w:type="dxa"/>
            <w:tcBorders>
              <w:top w:val="nil"/>
              <w:left w:val="nil"/>
              <w:bottom w:val="nil"/>
              <w:right w:val="nil"/>
            </w:tcBorders>
            <w:shd w:val="clear" w:color="auto" w:fill="auto"/>
            <w:noWrap/>
            <w:vAlign w:val="bottom"/>
            <w:hideMark/>
          </w:tcPr>
          <w:p w:rsidR="00016BCF" w:rsidRPr="005C608C" w:rsidRDefault="00016BCF">
            <w:pPr>
              <w:jc w:val="right"/>
            </w:pPr>
            <w:r w:rsidRPr="00931FD3">
              <w:t>1.000</w:t>
            </w:r>
          </w:p>
        </w:tc>
        <w:tc>
          <w:tcPr>
            <w:tcW w:w="1134" w:type="dxa"/>
            <w:tcBorders>
              <w:top w:val="nil"/>
              <w:left w:val="nil"/>
              <w:bottom w:val="nil"/>
              <w:right w:val="nil"/>
            </w:tcBorders>
            <w:shd w:val="clear" w:color="auto" w:fill="auto"/>
            <w:noWrap/>
            <w:vAlign w:val="bottom"/>
          </w:tcPr>
          <w:p w:rsidR="00016BCF" w:rsidRPr="005C608C" w:rsidRDefault="00016BCF">
            <w:pPr>
              <w:jc w:val="right"/>
            </w:pPr>
          </w:p>
        </w:tc>
        <w:tc>
          <w:tcPr>
            <w:tcW w:w="1172" w:type="dxa"/>
            <w:tcBorders>
              <w:top w:val="nil"/>
              <w:left w:val="nil"/>
              <w:bottom w:val="nil"/>
              <w:right w:val="nil"/>
            </w:tcBorders>
            <w:shd w:val="clear" w:color="auto" w:fill="auto"/>
            <w:noWrap/>
            <w:vAlign w:val="bottom"/>
          </w:tcPr>
          <w:p w:rsidR="00016BCF" w:rsidRPr="005C608C" w:rsidRDefault="00016BCF">
            <w:pPr>
              <w:jc w:val="right"/>
            </w:pPr>
          </w:p>
        </w:tc>
        <w:tc>
          <w:tcPr>
            <w:tcW w:w="1111" w:type="dxa"/>
            <w:tcBorders>
              <w:top w:val="nil"/>
              <w:left w:val="nil"/>
              <w:bottom w:val="nil"/>
              <w:right w:val="nil"/>
            </w:tcBorders>
            <w:shd w:val="clear" w:color="auto" w:fill="auto"/>
            <w:noWrap/>
            <w:vAlign w:val="bottom"/>
          </w:tcPr>
          <w:p w:rsidR="00016BCF" w:rsidRPr="005C608C" w:rsidRDefault="00016BCF">
            <w:pPr>
              <w:jc w:val="right"/>
            </w:pPr>
          </w:p>
        </w:tc>
        <w:tc>
          <w:tcPr>
            <w:tcW w:w="975" w:type="dxa"/>
            <w:tcBorders>
              <w:top w:val="nil"/>
              <w:left w:val="nil"/>
              <w:bottom w:val="nil"/>
              <w:right w:val="nil"/>
            </w:tcBorders>
            <w:shd w:val="clear" w:color="auto" w:fill="auto"/>
            <w:noWrap/>
            <w:vAlign w:val="bottom"/>
          </w:tcPr>
          <w:p w:rsidR="00016BCF" w:rsidRPr="005C608C" w:rsidRDefault="00016BCF">
            <w:pPr>
              <w:jc w:val="right"/>
            </w:pPr>
          </w:p>
        </w:tc>
        <w:tc>
          <w:tcPr>
            <w:tcW w:w="1007" w:type="dxa"/>
            <w:tcBorders>
              <w:top w:val="nil"/>
              <w:left w:val="nil"/>
              <w:bottom w:val="nil"/>
              <w:right w:val="nil"/>
            </w:tcBorders>
            <w:vAlign w:val="bottom"/>
          </w:tcPr>
          <w:p w:rsidR="00016BCF" w:rsidRPr="005C608C" w:rsidRDefault="00016BCF">
            <w:pPr>
              <w:jc w:val="right"/>
            </w:pP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3F76E8">
            <w:pPr>
              <w:rPr>
                <w:rFonts w:eastAsia="Times New Roman"/>
                <w:i/>
              </w:rPr>
            </w:pPr>
            <w:r w:rsidRPr="005C608C">
              <w:rPr>
                <w:rFonts w:eastAsia="Times New Roman"/>
                <w:i/>
              </w:rPr>
              <w:t>LnMV</w:t>
            </w:r>
          </w:p>
        </w:tc>
        <w:tc>
          <w:tcPr>
            <w:tcW w:w="1006"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0.018</w:t>
            </w:r>
          </w:p>
        </w:tc>
        <w:tc>
          <w:tcPr>
            <w:tcW w:w="1035" w:type="dxa"/>
            <w:tcBorders>
              <w:top w:val="nil"/>
              <w:left w:val="nil"/>
              <w:bottom w:val="nil"/>
              <w:right w:val="nil"/>
            </w:tcBorders>
            <w:shd w:val="clear" w:color="auto" w:fill="auto"/>
            <w:noWrap/>
            <w:vAlign w:val="bottom"/>
            <w:hideMark/>
          </w:tcPr>
          <w:p w:rsidR="00016BCF" w:rsidRPr="005C608C" w:rsidRDefault="00016BCF">
            <w:pPr>
              <w:jc w:val="right"/>
            </w:pPr>
            <w:r w:rsidRPr="00931FD3">
              <w:t>0.011</w:t>
            </w:r>
          </w:p>
        </w:tc>
        <w:tc>
          <w:tcPr>
            <w:tcW w:w="1136"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0.082</w:t>
            </w:r>
          </w:p>
        </w:tc>
        <w:tc>
          <w:tcPr>
            <w:tcW w:w="1136"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0.087</w:t>
            </w:r>
          </w:p>
        </w:tc>
        <w:tc>
          <w:tcPr>
            <w:tcW w:w="1092" w:type="dxa"/>
            <w:tcBorders>
              <w:top w:val="nil"/>
              <w:left w:val="nil"/>
              <w:bottom w:val="nil"/>
              <w:right w:val="nil"/>
            </w:tcBorders>
            <w:shd w:val="clear" w:color="auto" w:fill="auto"/>
            <w:noWrap/>
            <w:vAlign w:val="bottom"/>
            <w:hideMark/>
          </w:tcPr>
          <w:p w:rsidR="00016BCF" w:rsidRPr="005C608C" w:rsidRDefault="00016BCF">
            <w:pPr>
              <w:jc w:val="right"/>
            </w:pPr>
            <w:r w:rsidRPr="00931FD3">
              <w:t>0.221</w:t>
            </w:r>
          </w:p>
        </w:tc>
        <w:tc>
          <w:tcPr>
            <w:tcW w:w="1134" w:type="dxa"/>
            <w:tcBorders>
              <w:top w:val="nil"/>
              <w:left w:val="nil"/>
              <w:bottom w:val="nil"/>
              <w:right w:val="nil"/>
            </w:tcBorders>
            <w:shd w:val="clear" w:color="auto" w:fill="auto"/>
            <w:noWrap/>
            <w:vAlign w:val="bottom"/>
            <w:hideMark/>
          </w:tcPr>
          <w:p w:rsidR="00016BCF" w:rsidRPr="005C608C" w:rsidRDefault="00016BCF">
            <w:pPr>
              <w:jc w:val="right"/>
            </w:pPr>
            <w:r w:rsidRPr="00931FD3">
              <w:t>1.000</w:t>
            </w:r>
          </w:p>
        </w:tc>
        <w:tc>
          <w:tcPr>
            <w:tcW w:w="1172" w:type="dxa"/>
            <w:tcBorders>
              <w:top w:val="nil"/>
              <w:left w:val="nil"/>
              <w:bottom w:val="nil"/>
              <w:right w:val="nil"/>
            </w:tcBorders>
            <w:shd w:val="clear" w:color="auto" w:fill="auto"/>
            <w:noWrap/>
            <w:vAlign w:val="bottom"/>
          </w:tcPr>
          <w:p w:rsidR="00016BCF" w:rsidRPr="005C608C" w:rsidRDefault="00016BCF">
            <w:pPr>
              <w:jc w:val="right"/>
            </w:pPr>
          </w:p>
        </w:tc>
        <w:tc>
          <w:tcPr>
            <w:tcW w:w="1111" w:type="dxa"/>
            <w:tcBorders>
              <w:top w:val="nil"/>
              <w:left w:val="nil"/>
              <w:bottom w:val="nil"/>
              <w:right w:val="nil"/>
            </w:tcBorders>
            <w:shd w:val="clear" w:color="auto" w:fill="auto"/>
            <w:noWrap/>
            <w:vAlign w:val="bottom"/>
          </w:tcPr>
          <w:p w:rsidR="00016BCF" w:rsidRPr="005C608C" w:rsidRDefault="00016BCF">
            <w:pPr>
              <w:jc w:val="right"/>
            </w:pPr>
          </w:p>
        </w:tc>
        <w:tc>
          <w:tcPr>
            <w:tcW w:w="975" w:type="dxa"/>
            <w:tcBorders>
              <w:top w:val="nil"/>
              <w:left w:val="nil"/>
              <w:bottom w:val="nil"/>
              <w:right w:val="nil"/>
            </w:tcBorders>
            <w:shd w:val="clear" w:color="auto" w:fill="auto"/>
            <w:noWrap/>
            <w:vAlign w:val="bottom"/>
          </w:tcPr>
          <w:p w:rsidR="00016BCF" w:rsidRPr="005C608C" w:rsidRDefault="00016BCF">
            <w:pPr>
              <w:jc w:val="right"/>
            </w:pPr>
          </w:p>
        </w:tc>
        <w:tc>
          <w:tcPr>
            <w:tcW w:w="1007" w:type="dxa"/>
            <w:tcBorders>
              <w:top w:val="nil"/>
              <w:left w:val="nil"/>
              <w:bottom w:val="nil"/>
              <w:right w:val="nil"/>
            </w:tcBorders>
            <w:vAlign w:val="bottom"/>
          </w:tcPr>
          <w:p w:rsidR="00016BCF" w:rsidRPr="005C608C" w:rsidRDefault="00016BCF">
            <w:pPr>
              <w:jc w:val="right"/>
            </w:pPr>
          </w:p>
        </w:tc>
      </w:tr>
      <w:tr w:rsidR="005C608C" w:rsidRPr="005C608C" w:rsidTr="008010EB">
        <w:trPr>
          <w:trHeight w:val="273"/>
        </w:trPr>
        <w:tc>
          <w:tcPr>
            <w:tcW w:w="1168" w:type="dxa"/>
            <w:tcBorders>
              <w:top w:val="nil"/>
              <w:left w:val="nil"/>
              <w:bottom w:val="nil"/>
              <w:right w:val="nil"/>
            </w:tcBorders>
            <w:shd w:val="clear" w:color="auto" w:fill="auto"/>
            <w:noWrap/>
            <w:vAlign w:val="bottom"/>
            <w:hideMark/>
          </w:tcPr>
          <w:p w:rsidR="00016BCF" w:rsidRPr="005C608C" w:rsidRDefault="00016BCF" w:rsidP="003F76E8">
            <w:pPr>
              <w:rPr>
                <w:rFonts w:eastAsia="Times New Roman"/>
                <w:i/>
              </w:rPr>
            </w:pPr>
            <w:r w:rsidRPr="005C608C">
              <w:rPr>
                <w:rFonts w:eastAsia="Times New Roman"/>
                <w:i/>
              </w:rPr>
              <w:t>STD_CFO</w:t>
            </w:r>
          </w:p>
        </w:tc>
        <w:tc>
          <w:tcPr>
            <w:tcW w:w="1006" w:type="dxa"/>
            <w:tcBorders>
              <w:top w:val="nil"/>
              <w:left w:val="nil"/>
              <w:bottom w:val="nil"/>
              <w:right w:val="nil"/>
            </w:tcBorders>
            <w:shd w:val="clear" w:color="auto" w:fill="auto"/>
            <w:noWrap/>
            <w:vAlign w:val="bottom"/>
            <w:hideMark/>
          </w:tcPr>
          <w:p w:rsidR="00016BCF" w:rsidRPr="005C608C" w:rsidRDefault="00016BCF">
            <w:pPr>
              <w:jc w:val="right"/>
            </w:pPr>
            <w:r w:rsidRPr="00931FD3">
              <w:t>0.057</w:t>
            </w:r>
          </w:p>
        </w:tc>
        <w:tc>
          <w:tcPr>
            <w:tcW w:w="1035"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0.199</w:t>
            </w:r>
          </w:p>
        </w:tc>
        <w:tc>
          <w:tcPr>
            <w:tcW w:w="1136"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0.068</w:t>
            </w:r>
          </w:p>
        </w:tc>
        <w:tc>
          <w:tcPr>
            <w:tcW w:w="1136"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0.076</w:t>
            </w:r>
          </w:p>
        </w:tc>
        <w:tc>
          <w:tcPr>
            <w:tcW w:w="1092"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0.225</w:t>
            </w:r>
          </w:p>
        </w:tc>
        <w:tc>
          <w:tcPr>
            <w:tcW w:w="1134" w:type="dxa"/>
            <w:tcBorders>
              <w:top w:val="nil"/>
              <w:left w:val="nil"/>
              <w:bottom w:val="nil"/>
              <w:right w:val="nil"/>
            </w:tcBorders>
            <w:shd w:val="clear" w:color="auto" w:fill="auto"/>
            <w:noWrap/>
            <w:vAlign w:val="bottom"/>
            <w:hideMark/>
          </w:tcPr>
          <w:p w:rsidR="00016BCF" w:rsidRPr="005C608C" w:rsidRDefault="006964C7">
            <w:pPr>
              <w:jc w:val="right"/>
            </w:pPr>
            <w:r w:rsidRPr="005C608C">
              <w:t>−</w:t>
            </w:r>
            <w:r w:rsidR="00016BCF" w:rsidRPr="00931FD3">
              <w:t>0.321</w:t>
            </w:r>
          </w:p>
        </w:tc>
        <w:tc>
          <w:tcPr>
            <w:tcW w:w="1172" w:type="dxa"/>
            <w:tcBorders>
              <w:top w:val="nil"/>
              <w:left w:val="nil"/>
              <w:bottom w:val="nil"/>
              <w:right w:val="nil"/>
            </w:tcBorders>
            <w:shd w:val="clear" w:color="auto" w:fill="auto"/>
            <w:noWrap/>
            <w:vAlign w:val="bottom"/>
            <w:hideMark/>
          </w:tcPr>
          <w:p w:rsidR="00016BCF" w:rsidRPr="005C608C" w:rsidRDefault="00016BCF">
            <w:pPr>
              <w:jc w:val="right"/>
            </w:pPr>
            <w:r w:rsidRPr="00931FD3">
              <w:t>1.000</w:t>
            </w:r>
          </w:p>
        </w:tc>
        <w:tc>
          <w:tcPr>
            <w:tcW w:w="1111" w:type="dxa"/>
            <w:tcBorders>
              <w:top w:val="nil"/>
              <w:left w:val="nil"/>
              <w:bottom w:val="nil"/>
              <w:right w:val="nil"/>
            </w:tcBorders>
            <w:shd w:val="clear" w:color="auto" w:fill="auto"/>
            <w:noWrap/>
            <w:vAlign w:val="bottom"/>
          </w:tcPr>
          <w:p w:rsidR="00016BCF" w:rsidRPr="005C608C" w:rsidRDefault="00016BCF">
            <w:pPr>
              <w:jc w:val="right"/>
            </w:pPr>
          </w:p>
        </w:tc>
        <w:tc>
          <w:tcPr>
            <w:tcW w:w="975" w:type="dxa"/>
            <w:tcBorders>
              <w:top w:val="nil"/>
              <w:left w:val="nil"/>
              <w:bottom w:val="nil"/>
              <w:right w:val="nil"/>
            </w:tcBorders>
            <w:shd w:val="clear" w:color="auto" w:fill="auto"/>
            <w:noWrap/>
            <w:vAlign w:val="bottom"/>
          </w:tcPr>
          <w:p w:rsidR="00016BCF" w:rsidRPr="005C608C" w:rsidRDefault="00016BCF">
            <w:pPr>
              <w:jc w:val="right"/>
            </w:pPr>
          </w:p>
        </w:tc>
        <w:tc>
          <w:tcPr>
            <w:tcW w:w="1007" w:type="dxa"/>
            <w:tcBorders>
              <w:top w:val="nil"/>
              <w:left w:val="nil"/>
              <w:bottom w:val="nil"/>
              <w:right w:val="nil"/>
            </w:tcBorders>
            <w:vAlign w:val="bottom"/>
          </w:tcPr>
          <w:p w:rsidR="00016BCF" w:rsidRPr="005C608C" w:rsidRDefault="00016BCF">
            <w:pPr>
              <w:jc w:val="right"/>
            </w:pPr>
          </w:p>
        </w:tc>
      </w:tr>
      <w:tr w:rsidR="005C608C" w:rsidRPr="005C608C" w:rsidTr="008010EB">
        <w:trPr>
          <w:trHeight w:val="273"/>
        </w:trPr>
        <w:tc>
          <w:tcPr>
            <w:tcW w:w="1168" w:type="dxa"/>
            <w:tcBorders>
              <w:top w:val="nil"/>
              <w:left w:val="nil"/>
              <w:right w:val="nil"/>
            </w:tcBorders>
            <w:shd w:val="clear" w:color="auto" w:fill="auto"/>
            <w:noWrap/>
            <w:vAlign w:val="bottom"/>
            <w:hideMark/>
          </w:tcPr>
          <w:p w:rsidR="00016BCF" w:rsidRPr="005C608C" w:rsidRDefault="00016BCF" w:rsidP="003F76E8">
            <w:pPr>
              <w:rPr>
                <w:rFonts w:eastAsia="Times New Roman"/>
                <w:i/>
              </w:rPr>
            </w:pPr>
            <w:r w:rsidRPr="005C608C">
              <w:rPr>
                <w:rFonts w:eastAsia="Times New Roman"/>
                <w:i/>
              </w:rPr>
              <w:t>CFO</w:t>
            </w:r>
          </w:p>
        </w:tc>
        <w:tc>
          <w:tcPr>
            <w:tcW w:w="1006" w:type="dxa"/>
            <w:tcBorders>
              <w:top w:val="nil"/>
              <w:left w:val="nil"/>
              <w:right w:val="nil"/>
            </w:tcBorders>
            <w:shd w:val="clear" w:color="auto" w:fill="auto"/>
            <w:noWrap/>
            <w:vAlign w:val="bottom"/>
            <w:hideMark/>
          </w:tcPr>
          <w:p w:rsidR="00016BCF" w:rsidRPr="005C608C" w:rsidRDefault="00016BCF">
            <w:pPr>
              <w:jc w:val="right"/>
            </w:pPr>
            <w:r w:rsidRPr="00931FD3">
              <w:t>0.016</w:t>
            </w:r>
          </w:p>
        </w:tc>
        <w:tc>
          <w:tcPr>
            <w:tcW w:w="1035" w:type="dxa"/>
            <w:tcBorders>
              <w:top w:val="nil"/>
              <w:left w:val="nil"/>
              <w:right w:val="nil"/>
            </w:tcBorders>
            <w:shd w:val="clear" w:color="auto" w:fill="auto"/>
            <w:noWrap/>
            <w:vAlign w:val="bottom"/>
            <w:hideMark/>
          </w:tcPr>
          <w:p w:rsidR="00016BCF" w:rsidRPr="005C608C" w:rsidRDefault="006964C7">
            <w:pPr>
              <w:jc w:val="right"/>
            </w:pPr>
            <w:r w:rsidRPr="005C608C">
              <w:t>−</w:t>
            </w:r>
            <w:r w:rsidR="00016BCF" w:rsidRPr="00931FD3">
              <w:t>0.067</w:t>
            </w:r>
          </w:p>
        </w:tc>
        <w:tc>
          <w:tcPr>
            <w:tcW w:w="1136" w:type="dxa"/>
            <w:tcBorders>
              <w:top w:val="nil"/>
              <w:left w:val="nil"/>
              <w:right w:val="nil"/>
            </w:tcBorders>
            <w:shd w:val="clear" w:color="auto" w:fill="auto"/>
            <w:noWrap/>
            <w:vAlign w:val="bottom"/>
            <w:hideMark/>
          </w:tcPr>
          <w:p w:rsidR="00016BCF" w:rsidRPr="005C608C" w:rsidRDefault="006964C7">
            <w:pPr>
              <w:jc w:val="right"/>
            </w:pPr>
            <w:r w:rsidRPr="005C608C">
              <w:t>−</w:t>
            </w:r>
            <w:r w:rsidR="00016BCF" w:rsidRPr="00931FD3">
              <w:t>0.052</w:t>
            </w:r>
          </w:p>
        </w:tc>
        <w:tc>
          <w:tcPr>
            <w:tcW w:w="1136" w:type="dxa"/>
            <w:tcBorders>
              <w:top w:val="nil"/>
              <w:left w:val="nil"/>
              <w:right w:val="nil"/>
            </w:tcBorders>
            <w:shd w:val="clear" w:color="auto" w:fill="auto"/>
            <w:noWrap/>
            <w:vAlign w:val="bottom"/>
            <w:hideMark/>
          </w:tcPr>
          <w:p w:rsidR="00016BCF" w:rsidRPr="005C608C" w:rsidRDefault="006964C7">
            <w:pPr>
              <w:jc w:val="right"/>
            </w:pPr>
            <w:r w:rsidRPr="005C608C">
              <w:t>−</w:t>
            </w:r>
            <w:r w:rsidR="00016BCF" w:rsidRPr="00931FD3">
              <w:t>0.053</w:t>
            </w:r>
          </w:p>
        </w:tc>
        <w:tc>
          <w:tcPr>
            <w:tcW w:w="1092" w:type="dxa"/>
            <w:tcBorders>
              <w:top w:val="nil"/>
              <w:left w:val="nil"/>
              <w:right w:val="nil"/>
            </w:tcBorders>
            <w:shd w:val="clear" w:color="auto" w:fill="auto"/>
            <w:noWrap/>
            <w:vAlign w:val="bottom"/>
            <w:hideMark/>
          </w:tcPr>
          <w:p w:rsidR="00016BCF" w:rsidRPr="005C608C" w:rsidRDefault="006964C7">
            <w:pPr>
              <w:jc w:val="right"/>
            </w:pPr>
            <w:r w:rsidRPr="005C608C">
              <w:t>−</w:t>
            </w:r>
            <w:r w:rsidR="00016BCF" w:rsidRPr="00931FD3">
              <w:t>0.170</w:t>
            </w:r>
          </w:p>
        </w:tc>
        <w:tc>
          <w:tcPr>
            <w:tcW w:w="1134" w:type="dxa"/>
            <w:tcBorders>
              <w:top w:val="nil"/>
              <w:left w:val="nil"/>
              <w:right w:val="nil"/>
            </w:tcBorders>
            <w:shd w:val="clear" w:color="auto" w:fill="auto"/>
            <w:noWrap/>
            <w:vAlign w:val="bottom"/>
            <w:hideMark/>
          </w:tcPr>
          <w:p w:rsidR="00016BCF" w:rsidRPr="005C608C" w:rsidRDefault="00016BCF">
            <w:pPr>
              <w:jc w:val="right"/>
            </w:pPr>
            <w:r w:rsidRPr="00931FD3">
              <w:t>0.215</w:t>
            </w:r>
          </w:p>
        </w:tc>
        <w:tc>
          <w:tcPr>
            <w:tcW w:w="1172" w:type="dxa"/>
            <w:tcBorders>
              <w:top w:val="nil"/>
              <w:left w:val="nil"/>
              <w:right w:val="nil"/>
            </w:tcBorders>
            <w:shd w:val="clear" w:color="auto" w:fill="auto"/>
            <w:noWrap/>
            <w:vAlign w:val="bottom"/>
            <w:hideMark/>
          </w:tcPr>
          <w:p w:rsidR="00016BCF" w:rsidRPr="005C608C" w:rsidRDefault="00016BCF">
            <w:pPr>
              <w:jc w:val="right"/>
            </w:pPr>
            <w:r w:rsidRPr="00931FD3">
              <w:t>0.035</w:t>
            </w:r>
          </w:p>
        </w:tc>
        <w:tc>
          <w:tcPr>
            <w:tcW w:w="1111" w:type="dxa"/>
            <w:tcBorders>
              <w:top w:val="nil"/>
              <w:left w:val="nil"/>
              <w:right w:val="nil"/>
            </w:tcBorders>
            <w:shd w:val="clear" w:color="auto" w:fill="auto"/>
            <w:noWrap/>
            <w:vAlign w:val="bottom"/>
            <w:hideMark/>
          </w:tcPr>
          <w:p w:rsidR="00016BCF" w:rsidRPr="005C608C" w:rsidRDefault="00016BCF">
            <w:pPr>
              <w:jc w:val="right"/>
            </w:pPr>
            <w:r w:rsidRPr="00931FD3">
              <w:t>1.000</w:t>
            </w:r>
          </w:p>
        </w:tc>
        <w:tc>
          <w:tcPr>
            <w:tcW w:w="975" w:type="dxa"/>
            <w:tcBorders>
              <w:top w:val="nil"/>
              <w:left w:val="nil"/>
              <w:right w:val="nil"/>
            </w:tcBorders>
            <w:shd w:val="clear" w:color="auto" w:fill="auto"/>
            <w:noWrap/>
            <w:vAlign w:val="bottom"/>
          </w:tcPr>
          <w:p w:rsidR="00016BCF" w:rsidRPr="005C608C" w:rsidRDefault="00016BCF">
            <w:pPr>
              <w:jc w:val="right"/>
            </w:pPr>
          </w:p>
        </w:tc>
        <w:tc>
          <w:tcPr>
            <w:tcW w:w="1007" w:type="dxa"/>
            <w:tcBorders>
              <w:top w:val="nil"/>
              <w:left w:val="nil"/>
              <w:right w:val="nil"/>
            </w:tcBorders>
            <w:vAlign w:val="bottom"/>
          </w:tcPr>
          <w:p w:rsidR="00016BCF" w:rsidRPr="005C608C" w:rsidRDefault="00016BCF">
            <w:pPr>
              <w:jc w:val="right"/>
            </w:pPr>
          </w:p>
        </w:tc>
      </w:tr>
      <w:tr w:rsidR="005C608C" w:rsidRPr="005C608C" w:rsidTr="008010EB">
        <w:trPr>
          <w:trHeight w:val="273"/>
        </w:trPr>
        <w:tc>
          <w:tcPr>
            <w:tcW w:w="1168" w:type="dxa"/>
            <w:tcBorders>
              <w:top w:val="nil"/>
              <w:left w:val="nil"/>
              <w:right w:val="nil"/>
            </w:tcBorders>
            <w:shd w:val="clear" w:color="auto" w:fill="auto"/>
            <w:noWrap/>
            <w:vAlign w:val="bottom"/>
            <w:hideMark/>
          </w:tcPr>
          <w:p w:rsidR="00016BCF" w:rsidRPr="005C608C" w:rsidRDefault="00016BCF" w:rsidP="003F76E8">
            <w:pPr>
              <w:rPr>
                <w:rFonts w:eastAsia="Times New Roman"/>
                <w:i/>
              </w:rPr>
            </w:pPr>
            <w:r w:rsidRPr="005C608C">
              <w:rPr>
                <w:rFonts w:eastAsia="Times New Roman"/>
                <w:i/>
              </w:rPr>
              <w:t>BM</w:t>
            </w:r>
          </w:p>
        </w:tc>
        <w:tc>
          <w:tcPr>
            <w:tcW w:w="1006" w:type="dxa"/>
            <w:tcBorders>
              <w:top w:val="nil"/>
              <w:left w:val="nil"/>
              <w:right w:val="nil"/>
            </w:tcBorders>
            <w:shd w:val="clear" w:color="auto" w:fill="auto"/>
            <w:noWrap/>
            <w:vAlign w:val="bottom"/>
            <w:hideMark/>
          </w:tcPr>
          <w:p w:rsidR="00016BCF" w:rsidRPr="005C608C" w:rsidRDefault="00016BCF">
            <w:pPr>
              <w:jc w:val="right"/>
            </w:pPr>
            <w:r w:rsidRPr="00931FD3">
              <w:t>0.108</w:t>
            </w:r>
          </w:p>
        </w:tc>
        <w:tc>
          <w:tcPr>
            <w:tcW w:w="1035" w:type="dxa"/>
            <w:tcBorders>
              <w:top w:val="nil"/>
              <w:left w:val="nil"/>
              <w:right w:val="nil"/>
            </w:tcBorders>
            <w:shd w:val="clear" w:color="auto" w:fill="auto"/>
            <w:noWrap/>
            <w:vAlign w:val="bottom"/>
            <w:hideMark/>
          </w:tcPr>
          <w:p w:rsidR="00016BCF" w:rsidRPr="005C608C" w:rsidRDefault="00016BCF">
            <w:pPr>
              <w:jc w:val="right"/>
            </w:pPr>
            <w:r w:rsidRPr="00931FD3">
              <w:t>0.081</w:t>
            </w:r>
          </w:p>
        </w:tc>
        <w:tc>
          <w:tcPr>
            <w:tcW w:w="1136" w:type="dxa"/>
            <w:tcBorders>
              <w:top w:val="nil"/>
              <w:left w:val="nil"/>
              <w:right w:val="nil"/>
            </w:tcBorders>
            <w:shd w:val="clear" w:color="auto" w:fill="auto"/>
            <w:noWrap/>
            <w:vAlign w:val="bottom"/>
            <w:hideMark/>
          </w:tcPr>
          <w:p w:rsidR="00016BCF" w:rsidRPr="005C608C" w:rsidRDefault="00016BCF">
            <w:pPr>
              <w:jc w:val="right"/>
            </w:pPr>
            <w:r w:rsidRPr="00931FD3">
              <w:t>0.077</w:t>
            </w:r>
          </w:p>
        </w:tc>
        <w:tc>
          <w:tcPr>
            <w:tcW w:w="1136" w:type="dxa"/>
            <w:tcBorders>
              <w:top w:val="nil"/>
              <w:left w:val="nil"/>
              <w:right w:val="nil"/>
            </w:tcBorders>
            <w:shd w:val="clear" w:color="auto" w:fill="auto"/>
            <w:noWrap/>
            <w:vAlign w:val="bottom"/>
            <w:hideMark/>
          </w:tcPr>
          <w:p w:rsidR="00016BCF" w:rsidRPr="005C608C" w:rsidRDefault="00016BCF">
            <w:pPr>
              <w:jc w:val="right"/>
            </w:pPr>
            <w:r w:rsidRPr="00931FD3">
              <w:t>0.086</w:t>
            </w:r>
          </w:p>
        </w:tc>
        <w:tc>
          <w:tcPr>
            <w:tcW w:w="1092" w:type="dxa"/>
            <w:tcBorders>
              <w:top w:val="nil"/>
              <w:left w:val="nil"/>
              <w:right w:val="nil"/>
            </w:tcBorders>
            <w:shd w:val="clear" w:color="auto" w:fill="auto"/>
            <w:noWrap/>
            <w:vAlign w:val="bottom"/>
            <w:hideMark/>
          </w:tcPr>
          <w:p w:rsidR="00016BCF" w:rsidRPr="005C608C" w:rsidRDefault="006964C7">
            <w:pPr>
              <w:jc w:val="right"/>
            </w:pPr>
            <w:r w:rsidRPr="005C608C">
              <w:t>−</w:t>
            </w:r>
            <w:r w:rsidR="00016BCF" w:rsidRPr="00931FD3">
              <w:t>0.044</w:t>
            </w:r>
          </w:p>
        </w:tc>
        <w:tc>
          <w:tcPr>
            <w:tcW w:w="1134" w:type="dxa"/>
            <w:tcBorders>
              <w:top w:val="nil"/>
              <w:left w:val="nil"/>
              <w:right w:val="nil"/>
            </w:tcBorders>
            <w:shd w:val="clear" w:color="auto" w:fill="auto"/>
            <w:noWrap/>
            <w:vAlign w:val="bottom"/>
            <w:hideMark/>
          </w:tcPr>
          <w:p w:rsidR="00016BCF" w:rsidRPr="005C608C" w:rsidRDefault="006964C7">
            <w:pPr>
              <w:jc w:val="right"/>
            </w:pPr>
            <w:r w:rsidRPr="005C608C">
              <w:t>−</w:t>
            </w:r>
            <w:r w:rsidR="00016BCF" w:rsidRPr="00931FD3">
              <w:t>0.429</w:t>
            </w:r>
          </w:p>
        </w:tc>
        <w:tc>
          <w:tcPr>
            <w:tcW w:w="1172" w:type="dxa"/>
            <w:tcBorders>
              <w:top w:val="nil"/>
              <w:left w:val="nil"/>
              <w:right w:val="nil"/>
            </w:tcBorders>
            <w:shd w:val="clear" w:color="auto" w:fill="auto"/>
            <w:noWrap/>
            <w:vAlign w:val="bottom"/>
            <w:hideMark/>
          </w:tcPr>
          <w:p w:rsidR="00016BCF" w:rsidRPr="005C608C" w:rsidRDefault="006964C7">
            <w:pPr>
              <w:jc w:val="right"/>
            </w:pPr>
            <w:r w:rsidRPr="005C608C">
              <w:t>−</w:t>
            </w:r>
            <w:r w:rsidR="00016BCF" w:rsidRPr="00931FD3">
              <w:t>0.094</w:t>
            </w:r>
          </w:p>
        </w:tc>
        <w:tc>
          <w:tcPr>
            <w:tcW w:w="1111" w:type="dxa"/>
            <w:tcBorders>
              <w:top w:val="nil"/>
              <w:left w:val="nil"/>
              <w:right w:val="nil"/>
            </w:tcBorders>
            <w:shd w:val="clear" w:color="auto" w:fill="auto"/>
            <w:noWrap/>
            <w:vAlign w:val="bottom"/>
            <w:hideMark/>
          </w:tcPr>
          <w:p w:rsidR="00016BCF" w:rsidRPr="005C608C" w:rsidRDefault="006964C7">
            <w:pPr>
              <w:jc w:val="right"/>
            </w:pPr>
            <w:r w:rsidRPr="005C608C">
              <w:t>−</w:t>
            </w:r>
            <w:r w:rsidR="00016BCF" w:rsidRPr="00931FD3">
              <w:t>0.301</w:t>
            </w:r>
          </w:p>
        </w:tc>
        <w:tc>
          <w:tcPr>
            <w:tcW w:w="975" w:type="dxa"/>
            <w:tcBorders>
              <w:top w:val="nil"/>
              <w:left w:val="nil"/>
              <w:right w:val="nil"/>
            </w:tcBorders>
            <w:shd w:val="clear" w:color="auto" w:fill="auto"/>
            <w:noWrap/>
            <w:vAlign w:val="bottom"/>
            <w:hideMark/>
          </w:tcPr>
          <w:p w:rsidR="00016BCF" w:rsidRPr="005C608C" w:rsidRDefault="00016BCF">
            <w:pPr>
              <w:jc w:val="right"/>
            </w:pPr>
            <w:r w:rsidRPr="00931FD3">
              <w:t>1.000</w:t>
            </w:r>
          </w:p>
        </w:tc>
        <w:tc>
          <w:tcPr>
            <w:tcW w:w="1007" w:type="dxa"/>
            <w:tcBorders>
              <w:top w:val="nil"/>
              <w:left w:val="nil"/>
              <w:right w:val="nil"/>
            </w:tcBorders>
            <w:vAlign w:val="bottom"/>
          </w:tcPr>
          <w:p w:rsidR="00016BCF" w:rsidRPr="005C608C" w:rsidRDefault="00016BCF">
            <w:pPr>
              <w:jc w:val="right"/>
            </w:pPr>
          </w:p>
        </w:tc>
      </w:tr>
      <w:tr w:rsidR="005C608C" w:rsidRPr="005C608C" w:rsidTr="008010EB">
        <w:trPr>
          <w:trHeight w:val="273"/>
        </w:trPr>
        <w:tc>
          <w:tcPr>
            <w:tcW w:w="1168" w:type="dxa"/>
            <w:tcBorders>
              <w:left w:val="nil"/>
              <w:bottom w:val="single" w:sz="4" w:space="0" w:color="auto"/>
              <w:right w:val="nil"/>
            </w:tcBorders>
            <w:shd w:val="clear" w:color="auto" w:fill="auto"/>
            <w:noWrap/>
            <w:vAlign w:val="bottom"/>
          </w:tcPr>
          <w:p w:rsidR="00016BCF" w:rsidRPr="005C608C" w:rsidRDefault="00016BCF" w:rsidP="003F76E8">
            <w:pPr>
              <w:rPr>
                <w:rFonts w:eastAsia="Times New Roman"/>
                <w:i/>
              </w:rPr>
            </w:pPr>
            <w:r w:rsidRPr="005C608C">
              <w:rPr>
                <w:rFonts w:eastAsia="Times New Roman"/>
                <w:i/>
              </w:rPr>
              <w:t>Grow</w:t>
            </w:r>
          </w:p>
        </w:tc>
        <w:tc>
          <w:tcPr>
            <w:tcW w:w="1006" w:type="dxa"/>
            <w:tcBorders>
              <w:left w:val="nil"/>
              <w:bottom w:val="single" w:sz="4" w:space="0" w:color="auto"/>
              <w:right w:val="nil"/>
            </w:tcBorders>
            <w:shd w:val="clear" w:color="auto" w:fill="auto"/>
            <w:noWrap/>
            <w:vAlign w:val="bottom"/>
          </w:tcPr>
          <w:p w:rsidR="00016BCF" w:rsidRPr="005C608C" w:rsidRDefault="00016BCF">
            <w:pPr>
              <w:jc w:val="right"/>
            </w:pPr>
            <w:r w:rsidRPr="00931FD3">
              <w:t>0.038</w:t>
            </w:r>
          </w:p>
        </w:tc>
        <w:tc>
          <w:tcPr>
            <w:tcW w:w="1035" w:type="dxa"/>
            <w:tcBorders>
              <w:left w:val="nil"/>
              <w:bottom w:val="single" w:sz="4" w:space="0" w:color="auto"/>
              <w:right w:val="nil"/>
            </w:tcBorders>
            <w:shd w:val="clear" w:color="auto" w:fill="auto"/>
            <w:noWrap/>
            <w:vAlign w:val="bottom"/>
          </w:tcPr>
          <w:p w:rsidR="00016BCF" w:rsidRPr="005C608C" w:rsidRDefault="006964C7">
            <w:pPr>
              <w:jc w:val="right"/>
            </w:pPr>
            <w:r w:rsidRPr="005C608C">
              <w:t>−</w:t>
            </w:r>
            <w:r w:rsidR="00016BCF" w:rsidRPr="00931FD3">
              <w:t>0.038</w:t>
            </w:r>
          </w:p>
        </w:tc>
        <w:tc>
          <w:tcPr>
            <w:tcW w:w="1136" w:type="dxa"/>
            <w:tcBorders>
              <w:left w:val="nil"/>
              <w:bottom w:val="single" w:sz="4" w:space="0" w:color="auto"/>
              <w:right w:val="nil"/>
            </w:tcBorders>
            <w:shd w:val="clear" w:color="auto" w:fill="auto"/>
            <w:noWrap/>
            <w:vAlign w:val="bottom"/>
          </w:tcPr>
          <w:p w:rsidR="00016BCF" w:rsidRPr="005C608C" w:rsidRDefault="006964C7">
            <w:pPr>
              <w:jc w:val="right"/>
            </w:pPr>
            <w:r w:rsidRPr="005C608C">
              <w:t>−</w:t>
            </w:r>
            <w:r w:rsidR="00016BCF" w:rsidRPr="00931FD3">
              <w:t>0.015</w:t>
            </w:r>
          </w:p>
        </w:tc>
        <w:tc>
          <w:tcPr>
            <w:tcW w:w="1136" w:type="dxa"/>
            <w:tcBorders>
              <w:left w:val="nil"/>
              <w:bottom w:val="single" w:sz="4" w:space="0" w:color="auto"/>
              <w:right w:val="nil"/>
            </w:tcBorders>
            <w:shd w:val="clear" w:color="auto" w:fill="auto"/>
            <w:noWrap/>
            <w:vAlign w:val="bottom"/>
          </w:tcPr>
          <w:p w:rsidR="00016BCF" w:rsidRPr="005C608C" w:rsidRDefault="006964C7">
            <w:pPr>
              <w:jc w:val="right"/>
            </w:pPr>
            <w:r w:rsidRPr="005C608C">
              <w:t>−</w:t>
            </w:r>
            <w:r w:rsidR="00016BCF" w:rsidRPr="00931FD3">
              <w:t>0.022</w:t>
            </w:r>
          </w:p>
        </w:tc>
        <w:tc>
          <w:tcPr>
            <w:tcW w:w="1092" w:type="dxa"/>
            <w:tcBorders>
              <w:left w:val="nil"/>
              <w:bottom w:val="single" w:sz="4" w:space="0" w:color="auto"/>
              <w:right w:val="nil"/>
            </w:tcBorders>
            <w:shd w:val="clear" w:color="auto" w:fill="auto"/>
            <w:noWrap/>
            <w:vAlign w:val="bottom"/>
          </w:tcPr>
          <w:p w:rsidR="00016BCF" w:rsidRPr="005C608C" w:rsidRDefault="006964C7">
            <w:pPr>
              <w:jc w:val="right"/>
            </w:pPr>
            <w:r w:rsidRPr="005C608C">
              <w:t>−</w:t>
            </w:r>
            <w:r w:rsidR="00016BCF" w:rsidRPr="00931FD3">
              <w:t>0.050</w:t>
            </w:r>
          </w:p>
        </w:tc>
        <w:tc>
          <w:tcPr>
            <w:tcW w:w="1134" w:type="dxa"/>
            <w:tcBorders>
              <w:left w:val="nil"/>
              <w:bottom w:val="single" w:sz="4" w:space="0" w:color="auto"/>
              <w:right w:val="nil"/>
            </w:tcBorders>
            <w:shd w:val="clear" w:color="auto" w:fill="auto"/>
            <w:noWrap/>
            <w:vAlign w:val="bottom"/>
          </w:tcPr>
          <w:p w:rsidR="00016BCF" w:rsidRPr="005C608C" w:rsidRDefault="00016BCF">
            <w:pPr>
              <w:jc w:val="right"/>
            </w:pPr>
            <w:r w:rsidRPr="00931FD3">
              <w:t>0.010</w:t>
            </w:r>
          </w:p>
        </w:tc>
        <w:tc>
          <w:tcPr>
            <w:tcW w:w="1172" w:type="dxa"/>
            <w:tcBorders>
              <w:left w:val="nil"/>
              <w:bottom w:val="single" w:sz="4" w:space="0" w:color="auto"/>
              <w:right w:val="nil"/>
            </w:tcBorders>
            <w:shd w:val="clear" w:color="auto" w:fill="auto"/>
            <w:noWrap/>
            <w:vAlign w:val="bottom"/>
          </w:tcPr>
          <w:p w:rsidR="00016BCF" w:rsidRPr="005C608C" w:rsidRDefault="00016BCF">
            <w:pPr>
              <w:jc w:val="right"/>
            </w:pPr>
            <w:r w:rsidRPr="00931FD3">
              <w:t>0.169</w:t>
            </w:r>
          </w:p>
        </w:tc>
        <w:tc>
          <w:tcPr>
            <w:tcW w:w="1111" w:type="dxa"/>
            <w:tcBorders>
              <w:left w:val="nil"/>
              <w:bottom w:val="single" w:sz="4" w:space="0" w:color="auto"/>
              <w:right w:val="nil"/>
            </w:tcBorders>
            <w:shd w:val="clear" w:color="auto" w:fill="auto"/>
            <w:noWrap/>
            <w:vAlign w:val="bottom"/>
          </w:tcPr>
          <w:p w:rsidR="00016BCF" w:rsidRPr="005C608C" w:rsidRDefault="006964C7">
            <w:pPr>
              <w:jc w:val="right"/>
            </w:pPr>
            <w:r w:rsidRPr="005C608C">
              <w:t>−</w:t>
            </w:r>
            <w:r w:rsidR="00016BCF" w:rsidRPr="00931FD3">
              <w:t>0.088</w:t>
            </w:r>
          </w:p>
        </w:tc>
        <w:tc>
          <w:tcPr>
            <w:tcW w:w="975" w:type="dxa"/>
            <w:tcBorders>
              <w:left w:val="nil"/>
              <w:bottom w:val="single" w:sz="4" w:space="0" w:color="auto"/>
              <w:right w:val="nil"/>
            </w:tcBorders>
            <w:shd w:val="clear" w:color="auto" w:fill="auto"/>
            <w:noWrap/>
            <w:vAlign w:val="bottom"/>
          </w:tcPr>
          <w:p w:rsidR="00016BCF" w:rsidRPr="005C608C" w:rsidRDefault="006964C7">
            <w:pPr>
              <w:jc w:val="right"/>
            </w:pPr>
            <w:r w:rsidRPr="005C608C">
              <w:t>−</w:t>
            </w:r>
            <w:r w:rsidR="00016BCF" w:rsidRPr="00931FD3">
              <w:t>0.175</w:t>
            </w:r>
          </w:p>
        </w:tc>
        <w:tc>
          <w:tcPr>
            <w:tcW w:w="1007" w:type="dxa"/>
            <w:tcBorders>
              <w:left w:val="nil"/>
              <w:bottom w:val="single" w:sz="4" w:space="0" w:color="auto"/>
              <w:right w:val="nil"/>
            </w:tcBorders>
            <w:vAlign w:val="bottom"/>
          </w:tcPr>
          <w:p w:rsidR="00016BCF" w:rsidRPr="005C608C" w:rsidRDefault="00016BCF">
            <w:pPr>
              <w:jc w:val="right"/>
            </w:pPr>
            <w:r w:rsidRPr="00931FD3">
              <w:t>1.000</w:t>
            </w:r>
          </w:p>
        </w:tc>
      </w:tr>
    </w:tbl>
    <w:p w:rsidR="003303F8" w:rsidRDefault="003303F8" w:rsidP="00742ADD">
      <w:pPr>
        <w:rPr>
          <w:b/>
        </w:rPr>
      </w:pPr>
    </w:p>
    <w:p w:rsidR="00F7491A" w:rsidRDefault="00E40AC4" w:rsidP="008010EB">
      <w:pPr>
        <w:tabs>
          <w:tab w:val="left" w:pos="540"/>
        </w:tabs>
        <w:ind w:left="540"/>
        <w:rPr>
          <w:rFonts w:eastAsia="Times New Roman"/>
          <w:b/>
        </w:rPr>
      </w:pPr>
      <w:r w:rsidRPr="00D90FB0">
        <w:rPr>
          <w:b/>
        </w:rPr>
        <w:t>Note:</w:t>
      </w:r>
      <w:r w:rsidRPr="00D90FB0">
        <w:t xml:space="preserve"> This table shows the sample descriptive statistics and correlations between variables. </w:t>
      </w:r>
      <w:r w:rsidR="00742ADD" w:rsidRPr="00D90FB0">
        <w:t xml:space="preserve">Panel </w:t>
      </w:r>
      <w:r w:rsidR="00742ADD">
        <w:t>A</w:t>
      </w:r>
      <w:r w:rsidR="00742ADD" w:rsidRPr="00D90FB0">
        <w:t xml:space="preserve"> shows the sample for the market risk factor test</w:t>
      </w:r>
      <w:r w:rsidR="00742ADD">
        <w:t xml:space="preserve">; </w:t>
      </w:r>
      <w:r w:rsidRPr="00D90FB0">
        <w:t xml:space="preserve">Panel </w:t>
      </w:r>
      <w:r w:rsidR="00742ADD">
        <w:t>B</w:t>
      </w:r>
      <w:r w:rsidRPr="00D90FB0">
        <w:t xml:space="preserve"> shows the sample for the implied cost of equity test; Panel </w:t>
      </w:r>
      <w:r w:rsidR="00742ADD">
        <w:t>C</w:t>
      </w:r>
      <w:r w:rsidRPr="00D90FB0">
        <w:t xml:space="preserve"> shows the sample for the industry-adj</w:t>
      </w:r>
      <w:r w:rsidR="00742ADD">
        <w:t>usted earnings-price ratio test</w:t>
      </w:r>
      <w:r w:rsidRPr="00D90FB0">
        <w:t xml:space="preserve">. </w:t>
      </w:r>
      <w:r w:rsidR="00F7491A">
        <w:rPr>
          <w:rFonts w:eastAsia="Times New Roman"/>
          <w:b/>
        </w:rPr>
        <w:br w:type="page"/>
      </w:r>
    </w:p>
    <w:tbl>
      <w:tblPr>
        <w:tblW w:w="4870" w:type="pct"/>
        <w:jc w:val="center"/>
        <w:tblLayout w:type="fixed"/>
        <w:tblLook w:val="04A0" w:firstRow="1" w:lastRow="0" w:firstColumn="1" w:lastColumn="0" w:noHBand="0" w:noVBand="1"/>
      </w:tblPr>
      <w:tblGrid>
        <w:gridCol w:w="1572"/>
        <w:gridCol w:w="1013"/>
        <w:gridCol w:w="736"/>
        <w:gridCol w:w="950"/>
        <w:gridCol w:w="896"/>
        <w:gridCol w:w="49"/>
        <w:gridCol w:w="950"/>
        <w:gridCol w:w="945"/>
        <w:gridCol w:w="950"/>
        <w:gridCol w:w="945"/>
        <w:gridCol w:w="18"/>
        <w:gridCol w:w="934"/>
        <w:gridCol w:w="945"/>
        <w:gridCol w:w="950"/>
        <w:gridCol w:w="980"/>
      </w:tblGrid>
      <w:tr w:rsidR="00F7491A" w:rsidRPr="009C3928" w:rsidTr="008010EB">
        <w:trPr>
          <w:trHeight w:val="209"/>
          <w:jc w:val="center"/>
        </w:trPr>
        <w:tc>
          <w:tcPr>
            <w:tcW w:w="5000" w:type="pct"/>
            <w:gridSpan w:val="15"/>
            <w:tcBorders>
              <w:left w:val="nil"/>
              <w:bottom w:val="single" w:sz="4" w:space="0" w:color="auto"/>
              <w:right w:val="nil"/>
            </w:tcBorders>
            <w:shd w:val="clear" w:color="auto" w:fill="auto"/>
            <w:vAlign w:val="bottom"/>
          </w:tcPr>
          <w:p w:rsidR="00F7491A" w:rsidRPr="00931FD3" w:rsidRDefault="00F7491A" w:rsidP="00931FD3">
            <w:pPr>
              <w:pStyle w:val="Heading4"/>
              <w:rPr>
                <w:b w:val="0"/>
              </w:rPr>
            </w:pPr>
            <w:bookmarkStart w:id="212" w:name="_Toc378088385"/>
            <w:bookmarkStart w:id="213" w:name="_Toc378088910"/>
            <w:r w:rsidRPr="00931FD3">
              <w:lastRenderedPageBreak/>
              <w:t>Table 3</w:t>
            </w:r>
            <w:bookmarkEnd w:id="212"/>
            <w:bookmarkEnd w:id="213"/>
          </w:p>
          <w:p w:rsidR="00F7491A" w:rsidRPr="009B395A" w:rsidRDefault="00F7491A" w:rsidP="00931FD3">
            <w:pPr>
              <w:pStyle w:val="Heading4"/>
              <w:rPr>
                <w:i/>
              </w:rPr>
            </w:pPr>
            <w:bookmarkStart w:id="214" w:name="_Toc378088386"/>
            <w:bookmarkStart w:id="215" w:name="_Toc378088911"/>
            <w:r w:rsidRPr="00931FD3">
              <w:t>Sample Description by Industry</w:t>
            </w:r>
            <w:bookmarkEnd w:id="214"/>
            <w:bookmarkEnd w:id="215"/>
          </w:p>
        </w:tc>
      </w:tr>
      <w:tr w:rsidR="00B44823" w:rsidRPr="005C608C" w:rsidTr="008010EB">
        <w:trPr>
          <w:trHeight w:val="187"/>
          <w:jc w:val="center"/>
        </w:trPr>
        <w:tc>
          <w:tcPr>
            <w:tcW w:w="613" w:type="pct"/>
            <w:tcBorders>
              <w:top w:val="single" w:sz="4" w:space="0" w:color="auto"/>
              <w:left w:val="nil"/>
              <w:right w:val="nil"/>
            </w:tcBorders>
            <w:shd w:val="clear" w:color="auto" w:fill="auto"/>
            <w:vAlign w:val="bottom"/>
          </w:tcPr>
          <w:p w:rsidR="00F7491A" w:rsidRPr="00931FD3" w:rsidRDefault="00F7491A" w:rsidP="00742ADD">
            <w:pPr>
              <w:rPr>
                <w:rFonts w:eastAsia="Times New Roman"/>
                <w:sz w:val="16"/>
                <w:szCs w:val="16"/>
              </w:rPr>
            </w:pPr>
          </w:p>
        </w:tc>
        <w:tc>
          <w:tcPr>
            <w:tcW w:w="1401" w:type="pct"/>
            <w:gridSpan w:val="4"/>
            <w:tcBorders>
              <w:top w:val="single" w:sz="4" w:space="0" w:color="auto"/>
              <w:left w:val="nil"/>
              <w:right w:val="nil"/>
            </w:tcBorders>
            <w:shd w:val="clear" w:color="auto" w:fill="auto"/>
            <w:noWrap/>
            <w:vAlign w:val="bottom"/>
          </w:tcPr>
          <w:p w:rsidR="00F7491A" w:rsidRPr="00931FD3" w:rsidRDefault="00742ADD" w:rsidP="00742ADD">
            <w:pPr>
              <w:jc w:val="right"/>
              <w:rPr>
                <w:rFonts w:eastAsia="Times New Roman"/>
                <w:bCs/>
                <w:i/>
                <w:iCs/>
                <w:sz w:val="16"/>
                <w:szCs w:val="16"/>
              </w:rPr>
            </w:pPr>
            <w:r w:rsidRPr="00931FD3">
              <w:rPr>
                <w:rFonts w:eastAsia="Times New Roman"/>
                <w:bCs/>
                <w:sz w:val="16"/>
                <w:szCs w:val="16"/>
              </w:rPr>
              <w:t xml:space="preserve">         Sample for Market Risk Factor Test</w:t>
            </w:r>
          </w:p>
        </w:tc>
        <w:tc>
          <w:tcPr>
            <w:tcW w:w="1502" w:type="pct"/>
            <w:gridSpan w:val="6"/>
            <w:tcBorders>
              <w:top w:val="single" w:sz="4" w:space="0" w:color="auto"/>
              <w:left w:val="nil"/>
              <w:right w:val="nil"/>
            </w:tcBorders>
            <w:shd w:val="clear" w:color="auto" w:fill="auto"/>
            <w:noWrap/>
            <w:vAlign w:val="bottom"/>
          </w:tcPr>
          <w:p w:rsidR="00F7491A" w:rsidRPr="00931FD3" w:rsidRDefault="00742ADD" w:rsidP="00742ADD">
            <w:pPr>
              <w:jc w:val="right"/>
              <w:rPr>
                <w:rFonts w:eastAsia="Times New Roman"/>
                <w:bCs/>
                <w:i/>
                <w:iCs/>
                <w:sz w:val="16"/>
                <w:szCs w:val="16"/>
              </w:rPr>
            </w:pPr>
            <w:r w:rsidRPr="00931FD3">
              <w:rPr>
                <w:rFonts w:eastAsia="Times New Roman"/>
                <w:bCs/>
                <w:sz w:val="16"/>
                <w:szCs w:val="16"/>
              </w:rPr>
              <w:t>Sample for Implied Cost of Equity Test</w:t>
            </w:r>
          </w:p>
        </w:tc>
        <w:tc>
          <w:tcPr>
            <w:tcW w:w="1484" w:type="pct"/>
            <w:gridSpan w:val="4"/>
            <w:tcBorders>
              <w:top w:val="single" w:sz="4" w:space="0" w:color="auto"/>
              <w:left w:val="nil"/>
              <w:right w:val="nil"/>
            </w:tcBorders>
            <w:shd w:val="clear" w:color="auto" w:fill="auto"/>
            <w:noWrap/>
            <w:vAlign w:val="bottom"/>
          </w:tcPr>
          <w:p w:rsidR="00F7491A" w:rsidRPr="00931FD3" w:rsidRDefault="00742ADD">
            <w:pPr>
              <w:jc w:val="right"/>
              <w:rPr>
                <w:rFonts w:eastAsia="Times New Roman"/>
                <w:bCs/>
                <w:i/>
                <w:iCs/>
                <w:sz w:val="16"/>
                <w:szCs w:val="16"/>
              </w:rPr>
            </w:pPr>
            <w:r w:rsidRPr="00931FD3">
              <w:rPr>
                <w:rFonts w:eastAsia="Times New Roman"/>
                <w:bCs/>
                <w:sz w:val="16"/>
                <w:szCs w:val="16"/>
              </w:rPr>
              <w:t>Sample for Earnings</w:t>
            </w:r>
            <w:r w:rsidR="00AC0744" w:rsidRPr="005C608C">
              <w:rPr>
                <w:rFonts w:eastAsia="Times New Roman"/>
                <w:bCs/>
                <w:sz w:val="16"/>
                <w:szCs w:val="16"/>
              </w:rPr>
              <w:t>-</w:t>
            </w:r>
            <w:r w:rsidRPr="00931FD3">
              <w:rPr>
                <w:rFonts w:eastAsia="Times New Roman"/>
                <w:bCs/>
                <w:sz w:val="16"/>
                <w:szCs w:val="16"/>
              </w:rPr>
              <w:t>Price Ratio Test</w:t>
            </w:r>
          </w:p>
        </w:tc>
      </w:tr>
      <w:tr w:rsidR="00B44823" w:rsidRPr="005C608C" w:rsidTr="008010EB">
        <w:trPr>
          <w:trHeight w:val="202"/>
          <w:jc w:val="center"/>
        </w:trPr>
        <w:tc>
          <w:tcPr>
            <w:tcW w:w="613" w:type="pct"/>
            <w:tcBorders>
              <w:left w:val="nil"/>
              <w:bottom w:val="single" w:sz="4" w:space="0" w:color="auto"/>
              <w:right w:val="nil"/>
            </w:tcBorders>
            <w:shd w:val="clear" w:color="auto" w:fill="auto"/>
            <w:vAlign w:val="bottom"/>
            <w:hideMark/>
          </w:tcPr>
          <w:p w:rsidR="00742ADD" w:rsidRPr="00931FD3" w:rsidRDefault="00742ADD" w:rsidP="00742ADD">
            <w:pPr>
              <w:rPr>
                <w:rFonts w:eastAsia="Times New Roman"/>
                <w:sz w:val="16"/>
                <w:szCs w:val="16"/>
              </w:rPr>
            </w:pPr>
            <w:r w:rsidRPr="00931FD3">
              <w:rPr>
                <w:rFonts w:eastAsia="Times New Roman"/>
                <w:sz w:val="16"/>
                <w:szCs w:val="16"/>
              </w:rPr>
              <w:t>Industry</w:t>
            </w:r>
          </w:p>
        </w:tc>
        <w:tc>
          <w:tcPr>
            <w:tcW w:w="395" w:type="pct"/>
            <w:tcBorders>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sz w:val="16"/>
                <w:szCs w:val="16"/>
              </w:rPr>
            </w:pPr>
            <w:r w:rsidRPr="00931FD3">
              <w:rPr>
                <w:rFonts w:eastAsia="Times New Roman"/>
                <w:sz w:val="16"/>
                <w:szCs w:val="16"/>
              </w:rPr>
              <w:t>N</w:t>
            </w:r>
          </w:p>
          <w:p w:rsidR="00742ADD" w:rsidRPr="00931FD3" w:rsidRDefault="00742ADD" w:rsidP="00931FD3">
            <w:pPr>
              <w:ind w:hanging="108"/>
              <w:jc w:val="center"/>
              <w:rPr>
                <w:rFonts w:eastAsia="Times New Roman"/>
                <w:sz w:val="16"/>
                <w:szCs w:val="16"/>
              </w:rPr>
            </w:pPr>
            <w:r w:rsidRPr="00931FD3">
              <w:rPr>
                <w:rFonts w:eastAsia="Times New Roman"/>
                <w:bCs/>
                <w:sz w:val="16"/>
                <w:szCs w:val="16"/>
              </w:rPr>
              <w:t>Firm</w:t>
            </w:r>
            <w:r w:rsidR="00AC0744" w:rsidRPr="005C608C">
              <w:rPr>
                <w:rFonts w:eastAsia="Times New Roman"/>
                <w:bCs/>
                <w:sz w:val="16"/>
                <w:szCs w:val="16"/>
              </w:rPr>
              <w:t>-</w:t>
            </w:r>
            <w:r w:rsidRPr="00931FD3">
              <w:rPr>
                <w:rFonts w:eastAsia="Times New Roman"/>
                <w:bCs/>
                <w:sz w:val="16"/>
                <w:szCs w:val="16"/>
              </w:rPr>
              <w:t>Month</w:t>
            </w:r>
          </w:p>
        </w:tc>
        <w:tc>
          <w:tcPr>
            <w:tcW w:w="287" w:type="pct"/>
            <w:tcBorders>
              <w:top w:val="single" w:sz="4" w:space="0" w:color="auto"/>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bCs/>
                <w:i/>
                <w:iCs/>
                <w:sz w:val="16"/>
                <w:szCs w:val="16"/>
              </w:rPr>
            </w:pPr>
            <w:r w:rsidRPr="00931FD3">
              <w:rPr>
                <w:rFonts w:eastAsia="Times New Roman"/>
                <w:bCs/>
                <w:i/>
                <w:iCs/>
                <w:sz w:val="16"/>
                <w:szCs w:val="16"/>
              </w:rPr>
              <w:t>EXRET</w:t>
            </w:r>
          </w:p>
        </w:tc>
        <w:tc>
          <w:tcPr>
            <w:tcW w:w="370" w:type="pct"/>
            <w:tcBorders>
              <w:top w:val="single" w:sz="4" w:space="0" w:color="auto"/>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bCs/>
                <w:i/>
                <w:iCs/>
                <w:sz w:val="16"/>
                <w:szCs w:val="16"/>
              </w:rPr>
            </w:pPr>
            <w:r w:rsidRPr="00931FD3">
              <w:rPr>
                <w:rFonts w:eastAsia="Times New Roman"/>
                <w:bCs/>
                <w:i/>
                <w:iCs/>
                <w:sz w:val="16"/>
                <w:szCs w:val="16"/>
              </w:rPr>
              <w:t>EQ</w:t>
            </w:r>
          </w:p>
        </w:tc>
        <w:tc>
          <w:tcPr>
            <w:tcW w:w="368" w:type="pct"/>
            <w:gridSpan w:val="2"/>
            <w:tcBorders>
              <w:top w:val="single" w:sz="4" w:space="0" w:color="auto"/>
              <w:left w:val="nil"/>
              <w:bottom w:val="single" w:sz="4" w:space="0" w:color="auto"/>
              <w:right w:val="nil"/>
            </w:tcBorders>
            <w:shd w:val="clear" w:color="auto" w:fill="auto"/>
            <w:noWrap/>
            <w:vAlign w:val="bottom"/>
            <w:hideMark/>
          </w:tcPr>
          <w:p w:rsidR="00742ADD" w:rsidRPr="00931FD3" w:rsidRDefault="00742ADD" w:rsidP="00742ADD">
            <w:pPr>
              <w:jc w:val="center"/>
              <w:rPr>
                <w:rFonts w:eastAsia="Times New Roman"/>
                <w:bCs/>
                <w:i/>
                <w:iCs/>
                <w:sz w:val="16"/>
                <w:szCs w:val="16"/>
              </w:rPr>
            </w:pPr>
            <w:r w:rsidRPr="00931FD3">
              <w:rPr>
                <w:rFonts w:eastAsia="Times New Roman"/>
                <w:bCs/>
                <w:i/>
                <w:iCs/>
                <w:sz w:val="16"/>
                <w:szCs w:val="16"/>
              </w:rPr>
              <w:t>P_EQmsw</w:t>
            </w:r>
          </w:p>
        </w:tc>
        <w:tc>
          <w:tcPr>
            <w:tcW w:w="370" w:type="pct"/>
            <w:tcBorders>
              <w:left w:val="nil"/>
              <w:bottom w:val="single" w:sz="4" w:space="0" w:color="auto"/>
              <w:right w:val="nil"/>
            </w:tcBorders>
            <w:shd w:val="clear" w:color="auto" w:fill="auto"/>
            <w:noWrap/>
            <w:vAlign w:val="bottom"/>
          </w:tcPr>
          <w:p w:rsidR="00742ADD" w:rsidRPr="00931FD3" w:rsidRDefault="00742ADD" w:rsidP="00742ADD">
            <w:pPr>
              <w:jc w:val="center"/>
              <w:rPr>
                <w:rFonts w:eastAsia="Times New Roman"/>
                <w:sz w:val="16"/>
                <w:szCs w:val="16"/>
              </w:rPr>
            </w:pPr>
            <w:r w:rsidRPr="00931FD3">
              <w:rPr>
                <w:rFonts w:eastAsia="Times New Roman"/>
                <w:sz w:val="16"/>
                <w:szCs w:val="16"/>
              </w:rPr>
              <w:t>N</w:t>
            </w:r>
          </w:p>
          <w:p w:rsidR="00742ADD" w:rsidRPr="00931FD3" w:rsidRDefault="00742ADD">
            <w:pPr>
              <w:jc w:val="center"/>
              <w:rPr>
                <w:rFonts w:eastAsia="Times New Roman"/>
                <w:sz w:val="16"/>
                <w:szCs w:val="16"/>
              </w:rPr>
            </w:pPr>
            <w:r w:rsidRPr="00931FD3">
              <w:rPr>
                <w:rFonts w:eastAsia="Times New Roman"/>
                <w:bCs/>
                <w:sz w:val="16"/>
                <w:szCs w:val="16"/>
              </w:rPr>
              <w:t>Firm</w:t>
            </w:r>
            <w:r w:rsidR="00AC0744" w:rsidRPr="005C608C">
              <w:rPr>
                <w:rFonts w:eastAsia="Times New Roman"/>
                <w:bCs/>
                <w:sz w:val="16"/>
                <w:szCs w:val="16"/>
              </w:rPr>
              <w:t>-</w:t>
            </w:r>
            <w:r w:rsidRPr="00931FD3">
              <w:rPr>
                <w:rFonts w:eastAsia="Times New Roman"/>
                <w:bCs/>
                <w:sz w:val="16"/>
                <w:szCs w:val="16"/>
              </w:rPr>
              <w:t>Year</w:t>
            </w:r>
          </w:p>
        </w:tc>
        <w:tc>
          <w:tcPr>
            <w:tcW w:w="368" w:type="pct"/>
            <w:tcBorders>
              <w:top w:val="single" w:sz="4" w:space="0" w:color="auto"/>
              <w:left w:val="nil"/>
              <w:bottom w:val="single" w:sz="4" w:space="0" w:color="auto"/>
              <w:right w:val="nil"/>
            </w:tcBorders>
            <w:shd w:val="clear" w:color="auto" w:fill="auto"/>
            <w:noWrap/>
            <w:vAlign w:val="bottom"/>
          </w:tcPr>
          <w:p w:rsidR="00742ADD" w:rsidRPr="00931FD3" w:rsidRDefault="00742ADD" w:rsidP="00742ADD">
            <w:pPr>
              <w:jc w:val="center"/>
              <w:rPr>
                <w:rFonts w:eastAsia="Times New Roman"/>
                <w:bCs/>
                <w:i/>
                <w:iCs/>
                <w:sz w:val="16"/>
                <w:szCs w:val="16"/>
              </w:rPr>
            </w:pPr>
            <w:r w:rsidRPr="00931FD3">
              <w:rPr>
                <w:rFonts w:eastAsia="Times New Roman"/>
                <w:bCs/>
                <w:i/>
                <w:sz w:val="16"/>
                <w:szCs w:val="16"/>
              </w:rPr>
              <w:t>ICoE</w:t>
            </w:r>
          </w:p>
        </w:tc>
        <w:tc>
          <w:tcPr>
            <w:tcW w:w="370" w:type="pct"/>
            <w:tcBorders>
              <w:top w:val="single" w:sz="4" w:space="0" w:color="auto"/>
              <w:left w:val="nil"/>
              <w:bottom w:val="single" w:sz="4" w:space="0" w:color="auto"/>
              <w:right w:val="nil"/>
            </w:tcBorders>
            <w:shd w:val="clear" w:color="auto" w:fill="auto"/>
            <w:noWrap/>
            <w:vAlign w:val="bottom"/>
          </w:tcPr>
          <w:p w:rsidR="00742ADD" w:rsidRPr="00931FD3" w:rsidRDefault="00742ADD" w:rsidP="00742ADD">
            <w:pPr>
              <w:jc w:val="center"/>
              <w:rPr>
                <w:rFonts w:eastAsia="Times New Roman"/>
                <w:bCs/>
                <w:i/>
                <w:iCs/>
                <w:sz w:val="16"/>
                <w:szCs w:val="16"/>
              </w:rPr>
            </w:pPr>
            <w:r w:rsidRPr="00931FD3">
              <w:rPr>
                <w:rFonts w:eastAsia="Times New Roman"/>
                <w:bCs/>
                <w:i/>
                <w:iCs/>
                <w:sz w:val="16"/>
                <w:szCs w:val="16"/>
              </w:rPr>
              <w:t>EQ</w:t>
            </w:r>
          </w:p>
        </w:tc>
        <w:tc>
          <w:tcPr>
            <w:tcW w:w="368" w:type="pct"/>
            <w:tcBorders>
              <w:top w:val="single" w:sz="4" w:space="0" w:color="auto"/>
              <w:left w:val="nil"/>
              <w:bottom w:val="single" w:sz="4" w:space="0" w:color="auto"/>
              <w:right w:val="nil"/>
            </w:tcBorders>
            <w:shd w:val="clear" w:color="auto" w:fill="auto"/>
            <w:noWrap/>
            <w:vAlign w:val="bottom"/>
          </w:tcPr>
          <w:p w:rsidR="00742ADD" w:rsidRPr="00931FD3" w:rsidRDefault="00742ADD" w:rsidP="00742ADD">
            <w:pPr>
              <w:jc w:val="center"/>
              <w:rPr>
                <w:rFonts w:eastAsia="Times New Roman"/>
                <w:bCs/>
                <w:i/>
                <w:iCs/>
                <w:sz w:val="16"/>
                <w:szCs w:val="16"/>
              </w:rPr>
            </w:pPr>
            <w:r w:rsidRPr="00931FD3">
              <w:rPr>
                <w:rFonts w:eastAsia="Times New Roman"/>
                <w:bCs/>
                <w:i/>
                <w:iCs/>
                <w:sz w:val="16"/>
                <w:szCs w:val="16"/>
              </w:rPr>
              <w:t>P_EQmsw</w:t>
            </w:r>
          </w:p>
        </w:tc>
        <w:tc>
          <w:tcPr>
            <w:tcW w:w="371" w:type="pct"/>
            <w:gridSpan w:val="2"/>
            <w:tcBorders>
              <w:left w:val="nil"/>
              <w:bottom w:val="single" w:sz="4" w:space="0" w:color="auto"/>
              <w:right w:val="nil"/>
            </w:tcBorders>
            <w:shd w:val="clear" w:color="auto" w:fill="auto"/>
            <w:noWrap/>
            <w:vAlign w:val="bottom"/>
          </w:tcPr>
          <w:p w:rsidR="00742ADD" w:rsidRPr="00931FD3" w:rsidRDefault="00742ADD" w:rsidP="00742ADD">
            <w:pPr>
              <w:jc w:val="center"/>
              <w:rPr>
                <w:rFonts w:eastAsia="Times New Roman"/>
                <w:sz w:val="16"/>
                <w:szCs w:val="16"/>
              </w:rPr>
            </w:pPr>
            <w:r w:rsidRPr="00931FD3">
              <w:rPr>
                <w:rFonts w:eastAsia="Times New Roman"/>
                <w:sz w:val="16"/>
                <w:szCs w:val="16"/>
              </w:rPr>
              <w:t>N</w:t>
            </w:r>
          </w:p>
          <w:p w:rsidR="00742ADD" w:rsidRPr="00931FD3" w:rsidRDefault="00742ADD">
            <w:pPr>
              <w:jc w:val="center"/>
              <w:rPr>
                <w:rFonts w:eastAsia="Times New Roman"/>
                <w:sz w:val="16"/>
                <w:szCs w:val="16"/>
              </w:rPr>
            </w:pPr>
            <w:r w:rsidRPr="00931FD3">
              <w:rPr>
                <w:rFonts w:eastAsia="Times New Roman"/>
                <w:bCs/>
                <w:sz w:val="16"/>
                <w:szCs w:val="16"/>
              </w:rPr>
              <w:t>Firm</w:t>
            </w:r>
            <w:r w:rsidR="00AC0744" w:rsidRPr="005C608C">
              <w:rPr>
                <w:rFonts w:eastAsia="Times New Roman"/>
                <w:bCs/>
                <w:sz w:val="16"/>
                <w:szCs w:val="16"/>
              </w:rPr>
              <w:t>-</w:t>
            </w:r>
            <w:r w:rsidRPr="00931FD3">
              <w:rPr>
                <w:rFonts w:eastAsia="Times New Roman"/>
                <w:bCs/>
                <w:sz w:val="16"/>
                <w:szCs w:val="16"/>
              </w:rPr>
              <w:t>Year</w:t>
            </w:r>
          </w:p>
        </w:tc>
        <w:tc>
          <w:tcPr>
            <w:tcW w:w="368" w:type="pct"/>
            <w:tcBorders>
              <w:top w:val="single" w:sz="4" w:space="0" w:color="auto"/>
              <w:left w:val="nil"/>
              <w:bottom w:val="single" w:sz="4" w:space="0" w:color="auto"/>
              <w:right w:val="nil"/>
            </w:tcBorders>
            <w:shd w:val="clear" w:color="auto" w:fill="auto"/>
            <w:noWrap/>
            <w:vAlign w:val="bottom"/>
          </w:tcPr>
          <w:p w:rsidR="00742ADD" w:rsidRPr="00931FD3" w:rsidRDefault="00742ADD" w:rsidP="00742ADD">
            <w:pPr>
              <w:jc w:val="center"/>
              <w:rPr>
                <w:rFonts w:eastAsia="Times New Roman"/>
                <w:bCs/>
                <w:i/>
                <w:iCs/>
                <w:sz w:val="16"/>
                <w:szCs w:val="16"/>
              </w:rPr>
            </w:pPr>
            <w:r w:rsidRPr="00931FD3">
              <w:rPr>
                <w:rFonts w:eastAsia="Times New Roman"/>
                <w:bCs/>
                <w:i/>
                <w:iCs/>
                <w:sz w:val="16"/>
                <w:szCs w:val="16"/>
              </w:rPr>
              <w:t>IndEP</w:t>
            </w:r>
          </w:p>
        </w:tc>
        <w:tc>
          <w:tcPr>
            <w:tcW w:w="370" w:type="pct"/>
            <w:tcBorders>
              <w:top w:val="single" w:sz="4" w:space="0" w:color="auto"/>
              <w:left w:val="nil"/>
              <w:bottom w:val="single" w:sz="4" w:space="0" w:color="auto"/>
              <w:right w:val="nil"/>
            </w:tcBorders>
            <w:shd w:val="clear" w:color="auto" w:fill="auto"/>
            <w:noWrap/>
            <w:vAlign w:val="bottom"/>
          </w:tcPr>
          <w:p w:rsidR="00742ADD" w:rsidRPr="00931FD3" w:rsidRDefault="00742ADD" w:rsidP="00742ADD">
            <w:pPr>
              <w:jc w:val="center"/>
              <w:rPr>
                <w:rFonts w:eastAsia="Times New Roman"/>
                <w:bCs/>
                <w:i/>
                <w:iCs/>
                <w:sz w:val="16"/>
                <w:szCs w:val="16"/>
              </w:rPr>
            </w:pPr>
            <w:r w:rsidRPr="00931FD3">
              <w:rPr>
                <w:rFonts w:eastAsia="Times New Roman"/>
                <w:bCs/>
                <w:i/>
                <w:iCs/>
                <w:sz w:val="16"/>
                <w:szCs w:val="16"/>
              </w:rPr>
              <w:t>EQ</w:t>
            </w:r>
          </w:p>
        </w:tc>
        <w:tc>
          <w:tcPr>
            <w:tcW w:w="382" w:type="pct"/>
            <w:tcBorders>
              <w:top w:val="single" w:sz="4" w:space="0" w:color="auto"/>
              <w:left w:val="nil"/>
              <w:bottom w:val="single" w:sz="4" w:space="0" w:color="auto"/>
              <w:right w:val="nil"/>
            </w:tcBorders>
            <w:shd w:val="clear" w:color="auto" w:fill="auto"/>
            <w:noWrap/>
            <w:vAlign w:val="bottom"/>
          </w:tcPr>
          <w:p w:rsidR="00742ADD" w:rsidRPr="00931FD3" w:rsidRDefault="00742ADD" w:rsidP="00742ADD">
            <w:pPr>
              <w:jc w:val="center"/>
              <w:rPr>
                <w:rFonts w:eastAsia="Times New Roman"/>
                <w:bCs/>
                <w:i/>
                <w:iCs/>
                <w:sz w:val="16"/>
                <w:szCs w:val="16"/>
              </w:rPr>
            </w:pPr>
            <w:r w:rsidRPr="00931FD3">
              <w:rPr>
                <w:rFonts w:eastAsia="Times New Roman"/>
                <w:bCs/>
                <w:i/>
                <w:iCs/>
                <w:sz w:val="16"/>
                <w:szCs w:val="16"/>
              </w:rPr>
              <w:t>P_EQmsw</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 Agriculture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1,924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0.011</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−0.040</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−0.044</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55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0.100</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0.046</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0.048</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137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0.015</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0.040</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0.049</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 Food Products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10,970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0.008</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−0.056</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−0.042</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403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0.095</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0.060</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0.053</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853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0.003</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0.058</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0.046</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 Candy &amp; Soda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1,688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0.014</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−0.045</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−0.031</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64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0.093</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0.037</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0.034</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138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0.005</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0.046</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0.035</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 Beer &amp; Liquor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2,656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0.010</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−0.035</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−0.029</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122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0.082</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0.038</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0.030</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206 </w:t>
            </w:r>
          </w:p>
        </w:tc>
        <w:tc>
          <w:tcPr>
            <w:tcW w:w="368" w:type="pct"/>
            <w:tcBorders>
              <w:top w:val="nil"/>
              <w:left w:val="nil"/>
              <w:bottom w:val="nil"/>
              <w:right w:val="nil"/>
            </w:tcBorders>
            <w:shd w:val="clear" w:color="auto" w:fill="auto"/>
            <w:noWrap/>
            <w:vAlign w:val="bottom"/>
          </w:tcPr>
          <w:p w:rsidR="00C61E89" w:rsidRPr="00931FD3" w:rsidRDefault="00AC0744">
            <w:pPr>
              <w:jc w:val="center"/>
              <w:rPr>
                <w:sz w:val="16"/>
                <w:szCs w:val="16"/>
              </w:rPr>
            </w:pPr>
            <w:r w:rsidRPr="00931FD3">
              <w:rPr>
                <w:sz w:val="16"/>
                <w:szCs w:val="16"/>
              </w:rPr>
              <w:t>−</w:t>
            </w:r>
            <w:r w:rsidR="00C61E89" w:rsidRPr="00931FD3">
              <w:rPr>
                <w:sz w:val="16"/>
                <w:szCs w:val="16"/>
              </w:rPr>
              <w:t>0.001</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0.041</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0.034</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 Tobacco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784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0.015</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−0.010</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−0.013</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53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0.086</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0.014</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0.018</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67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0.006</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0.013</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0.024</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 Recreation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5,215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0.003</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−0.173</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−0.116</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140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0.130</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0.210</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0.182</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342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0.005</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0.235</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0.188</w:t>
            </w:r>
          </w:p>
        </w:tc>
      </w:tr>
      <w:tr w:rsidR="00B44823" w:rsidRPr="005C608C" w:rsidTr="008010EB">
        <w:trPr>
          <w:trHeight w:val="232"/>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Entertainment</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8,049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0.005</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−0.181</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−0.152</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316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0.112</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0.219</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0.187</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523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0.007</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0.186</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0.168</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Publishing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5,523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0.006</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−0.057</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−0.047</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195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0.093</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0.054</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0.053</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398 </w:t>
            </w:r>
          </w:p>
        </w:tc>
        <w:tc>
          <w:tcPr>
            <w:tcW w:w="368" w:type="pct"/>
            <w:tcBorders>
              <w:top w:val="nil"/>
              <w:left w:val="nil"/>
              <w:bottom w:val="nil"/>
              <w:right w:val="nil"/>
            </w:tcBorders>
            <w:shd w:val="clear" w:color="auto" w:fill="auto"/>
            <w:noWrap/>
            <w:vAlign w:val="bottom"/>
          </w:tcPr>
          <w:p w:rsidR="00C61E89" w:rsidRPr="00931FD3" w:rsidRDefault="00AC0744">
            <w:pPr>
              <w:jc w:val="center"/>
              <w:rPr>
                <w:sz w:val="16"/>
                <w:szCs w:val="16"/>
              </w:rPr>
            </w:pPr>
            <w:r w:rsidRPr="00931FD3">
              <w:rPr>
                <w:sz w:val="16"/>
                <w:szCs w:val="16"/>
              </w:rPr>
              <w:t>−</w:t>
            </w:r>
            <w:r w:rsidR="00C61E89" w:rsidRPr="00931FD3">
              <w:rPr>
                <w:sz w:val="16"/>
                <w:szCs w:val="16"/>
              </w:rPr>
              <w:t>0.001</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0.053</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0.050</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Consumer Good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10,950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0.005</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−0.046</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−0.030</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336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0.109</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0.044</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0.031</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793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0.003</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0.044</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0.031</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Apparel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9,365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0.008</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−0.058</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−0.041</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322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0.113</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0.066</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0.052</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725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0.005</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0.062</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0.052</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Healthcare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9,332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0.009</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−0.070</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−0.039</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425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0.118</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0.062</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0.043</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711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0.006</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0.068</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0.048</w:t>
            </w:r>
          </w:p>
        </w:tc>
      </w:tr>
      <w:tr w:rsidR="00B44823" w:rsidRPr="005C608C" w:rsidTr="008010EB">
        <w:trPr>
          <w:trHeight w:val="253"/>
          <w:jc w:val="center"/>
        </w:trPr>
        <w:tc>
          <w:tcPr>
            <w:tcW w:w="613" w:type="pct"/>
            <w:tcBorders>
              <w:top w:val="nil"/>
              <w:left w:val="nil"/>
              <w:bottom w:val="nil"/>
              <w:right w:val="nil"/>
            </w:tcBorders>
            <w:shd w:val="clear" w:color="auto" w:fill="auto"/>
            <w:vAlign w:val="bottom"/>
          </w:tcPr>
          <w:p w:rsidR="00C61E89" w:rsidRPr="00931FD3" w:rsidRDefault="00C61E89">
            <w:pPr>
              <w:rPr>
                <w:rFonts w:eastAsia="Times New Roman"/>
                <w:sz w:val="16"/>
                <w:szCs w:val="16"/>
              </w:rPr>
            </w:pPr>
            <w:r w:rsidRPr="00931FD3">
              <w:rPr>
                <w:rFonts w:eastAsia="Times New Roman"/>
                <w:sz w:val="16"/>
                <w:szCs w:val="16"/>
              </w:rPr>
              <w:t xml:space="preserve"> Medical Equip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21,226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0.011</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−0.144</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−0.094</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859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0.135</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0.177</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0.121</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1,270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0.007</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0.159</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0.116</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Pharmaceutical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32,931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0.012</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−0.295</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−0.239</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1,584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0.166</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0.335</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0.300</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1,348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0.006</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0.297</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0.296</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Chemicals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12,752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0.008</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−0.065</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−0.042</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585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0.133</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0.064</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0.051</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955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0.007</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0.066</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0.051</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pPr>
              <w:rPr>
                <w:rFonts w:eastAsia="Times New Roman"/>
                <w:sz w:val="16"/>
                <w:szCs w:val="16"/>
              </w:rPr>
            </w:pPr>
            <w:r w:rsidRPr="00931FD3">
              <w:rPr>
                <w:rFonts w:eastAsia="Times New Roman"/>
                <w:sz w:val="16"/>
                <w:szCs w:val="16"/>
              </w:rPr>
              <w:t xml:space="preserve"> Rubber Plastic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5,592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0.006</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−0.055</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−0.042</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120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0.126</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0.053</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0.043</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393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0.004</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0.047</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0.040</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Textiles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3,361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−0.005</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−0.034</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−0.032</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74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0.154</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0.037</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0.040</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198 </w:t>
            </w:r>
          </w:p>
        </w:tc>
        <w:tc>
          <w:tcPr>
            <w:tcW w:w="368" w:type="pct"/>
            <w:tcBorders>
              <w:top w:val="nil"/>
              <w:left w:val="nil"/>
              <w:bottom w:val="nil"/>
              <w:right w:val="nil"/>
            </w:tcBorders>
            <w:shd w:val="clear" w:color="auto" w:fill="auto"/>
            <w:noWrap/>
            <w:vAlign w:val="bottom"/>
          </w:tcPr>
          <w:p w:rsidR="00C61E89" w:rsidRPr="00931FD3" w:rsidRDefault="00AC0744">
            <w:pPr>
              <w:jc w:val="center"/>
              <w:rPr>
                <w:sz w:val="16"/>
                <w:szCs w:val="16"/>
              </w:rPr>
            </w:pPr>
            <w:r w:rsidRPr="00931FD3">
              <w:rPr>
                <w:sz w:val="16"/>
                <w:szCs w:val="16"/>
              </w:rPr>
              <w:t>−</w:t>
            </w:r>
            <w:r w:rsidR="00C61E89" w:rsidRPr="00931FD3">
              <w:rPr>
                <w:sz w:val="16"/>
                <w:szCs w:val="16"/>
              </w:rPr>
              <w:t>0.001</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0.035</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0.038</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pPr>
              <w:rPr>
                <w:rFonts w:eastAsia="Times New Roman"/>
                <w:sz w:val="16"/>
                <w:szCs w:val="16"/>
              </w:rPr>
            </w:pPr>
            <w:r w:rsidRPr="00931FD3">
              <w:rPr>
                <w:rFonts w:eastAsia="Times New Roman"/>
                <w:sz w:val="16"/>
                <w:szCs w:val="16"/>
              </w:rPr>
              <w:t xml:space="preserve"> ConstruMaterial</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12,206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0.008</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−0.167</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−0.121</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377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0.125</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0.242</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0.167</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917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0.003</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0.180</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0.130</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Construction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6,321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0.007</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−0.270</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−0.263</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233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0.161</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0.454</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0.425</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438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0.003</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0.277</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0.302</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Steel Works Etc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9,183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0.008</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−0.055</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−0.047</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363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0.162</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0.071</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0.059</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675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0.010</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0.060</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0.057</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pPr>
              <w:rPr>
                <w:rFonts w:eastAsia="Times New Roman"/>
                <w:sz w:val="16"/>
                <w:szCs w:val="16"/>
              </w:rPr>
            </w:pPr>
            <w:r w:rsidRPr="00931FD3">
              <w:rPr>
                <w:rFonts w:eastAsia="Times New Roman"/>
                <w:sz w:val="16"/>
                <w:szCs w:val="16"/>
              </w:rPr>
              <w:t xml:space="preserve"> Fabric Products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2,393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0.010</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−0.039</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−0.034</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32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0.137</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0.037</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0.039</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166 </w:t>
            </w:r>
          </w:p>
        </w:tc>
        <w:tc>
          <w:tcPr>
            <w:tcW w:w="368" w:type="pct"/>
            <w:tcBorders>
              <w:top w:val="nil"/>
              <w:left w:val="nil"/>
              <w:bottom w:val="nil"/>
              <w:right w:val="nil"/>
            </w:tcBorders>
            <w:shd w:val="clear" w:color="auto" w:fill="auto"/>
            <w:noWrap/>
            <w:vAlign w:val="bottom"/>
          </w:tcPr>
          <w:p w:rsidR="00C61E89" w:rsidRPr="00931FD3" w:rsidRDefault="00AC0744">
            <w:pPr>
              <w:jc w:val="center"/>
              <w:rPr>
                <w:sz w:val="16"/>
                <w:szCs w:val="16"/>
              </w:rPr>
            </w:pPr>
            <w:r w:rsidRPr="00931FD3">
              <w:rPr>
                <w:sz w:val="16"/>
                <w:szCs w:val="16"/>
              </w:rPr>
              <w:t>−</w:t>
            </w:r>
            <w:r w:rsidR="00C61E89" w:rsidRPr="00931FD3">
              <w:rPr>
                <w:sz w:val="16"/>
                <w:szCs w:val="16"/>
              </w:rPr>
              <w:t>0.001</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0.041</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0.041</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Machinery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22,946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0.011</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−0.208</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−0.165</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840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0.129</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0.309</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0.242</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1,654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0.004</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0.194</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0.168</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pPr>
              <w:rPr>
                <w:rFonts w:eastAsia="Times New Roman"/>
                <w:sz w:val="16"/>
                <w:szCs w:val="16"/>
              </w:rPr>
            </w:pPr>
            <w:r w:rsidRPr="00931FD3">
              <w:rPr>
                <w:rFonts w:eastAsia="Times New Roman"/>
                <w:sz w:val="16"/>
                <w:szCs w:val="16"/>
              </w:rPr>
              <w:t xml:space="preserve">ElectrEquipment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11,495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0.007</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−0.329</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−0.209</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364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0.142</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0.314</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0.237</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712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0.001</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0.190</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0.148</w:t>
            </w:r>
          </w:p>
        </w:tc>
      </w:tr>
      <w:tr w:rsidR="00B44823" w:rsidRPr="005C608C" w:rsidTr="008010EB">
        <w:trPr>
          <w:trHeight w:val="244"/>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Automobiles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10,178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0.006</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−0.080</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−0.046</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391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0.139</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0.086</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0.058</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736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0.005</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0.074</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0.049</w:t>
            </w:r>
          </w:p>
        </w:tc>
      </w:tr>
      <w:tr w:rsidR="00B44823" w:rsidRPr="005C608C" w:rsidTr="008010EB">
        <w:trPr>
          <w:trHeight w:val="215"/>
          <w:jc w:val="center"/>
        </w:trPr>
        <w:tc>
          <w:tcPr>
            <w:tcW w:w="613" w:type="pct"/>
            <w:tcBorders>
              <w:top w:val="nil"/>
              <w:left w:val="nil"/>
              <w:bottom w:val="nil"/>
              <w:right w:val="nil"/>
            </w:tcBorders>
            <w:shd w:val="clear" w:color="auto" w:fill="auto"/>
            <w:vAlign w:val="bottom"/>
          </w:tcPr>
          <w:p w:rsidR="00C61E89" w:rsidRPr="00931FD3" w:rsidRDefault="00C61E89" w:rsidP="00742ADD">
            <w:pPr>
              <w:rPr>
                <w:rFonts w:eastAsia="Times New Roman"/>
                <w:sz w:val="16"/>
                <w:szCs w:val="16"/>
              </w:rPr>
            </w:pPr>
            <w:r w:rsidRPr="00931FD3">
              <w:rPr>
                <w:rFonts w:eastAsia="Times New Roman"/>
                <w:sz w:val="16"/>
                <w:szCs w:val="16"/>
              </w:rPr>
              <w:t xml:space="preserve"> Aircraft </w:t>
            </w:r>
          </w:p>
        </w:tc>
        <w:tc>
          <w:tcPr>
            <w:tcW w:w="395" w:type="pct"/>
            <w:tcBorders>
              <w:top w:val="nil"/>
              <w:left w:val="nil"/>
              <w:bottom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3,396 </w:t>
            </w:r>
          </w:p>
        </w:tc>
        <w:tc>
          <w:tcPr>
            <w:tcW w:w="287"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0.013</w:t>
            </w:r>
          </w:p>
        </w:tc>
        <w:tc>
          <w:tcPr>
            <w:tcW w:w="370" w:type="pct"/>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−0.062</w:t>
            </w:r>
          </w:p>
        </w:tc>
        <w:tc>
          <w:tcPr>
            <w:tcW w:w="368" w:type="pct"/>
            <w:gridSpan w:val="2"/>
            <w:tcBorders>
              <w:top w:val="nil"/>
              <w:left w:val="nil"/>
              <w:bottom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−0.039</w:t>
            </w:r>
          </w:p>
        </w:tc>
        <w:tc>
          <w:tcPr>
            <w:tcW w:w="370" w:type="pct"/>
            <w:tcBorders>
              <w:top w:val="nil"/>
              <w:left w:val="nil"/>
              <w:bottom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160 </w:t>
            </w:r>
          </w:p>
        </w:tc>
        <w:tc>
          <w:tcPr>
            <w:tcW w:w="368" w:type="pct"/>
            <w:tcBorders>
              <w:top w:val="nil"/>
              <w:left w:val="nil"/>
              <w:bottom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0.093</w:t>
            </w:r>
          </w:p>
        </w:tc>
        <w:tc>
          <w:tcPr>
            <w:tcW w:w="370"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0.058</w:t>
            </w:r>
          </w:p>
        </w:tc>
        <w:tc>
          <w:tcPr>
            <w:tcW w:w="368" w:type="pct"/>
            <w:tcBorders>
              <w:top w:val="nil"/>
              <w:left w:val="nil"/>
              <w:bottom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0.048</w:t>
            </w:r>
          </w:p>
        </w:tc>
        <w:tc>
          <w:tcPr>
            <w:tcW w:w="371" w:type="pct"/>
            <w:gridSpan w:val="2"/>
            <w:tcBorders>
              <w:top w:val="nil"/>
              <w:left w:val="nil"/>
              <w:bottom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269 </w:t>
            </w:r>
          </w:p>
        </w:tc>
        <w:tc>
          <w:tcPr>
            <w:tcW w:w="368" w:type="pct"/>
            <w:tcBorders>
              <w:top w:val="nil"/>
              <w:left w:val="nil"/>
              <w:bottom w:val="nil"/>
              <w:right w:val="nil"/>
            </w:tcBorders>
            <w:shd w:val="clear" w:color="auto" w:fill="auto"/>
            <w:noWrap/>
            <w:vAlign w:val="bottom"/>
          </w:tcPr>
          <w:p w:rsidR="00C61E89" w:rsidRPr="00931FD3" w:rsidRDefault="00C61E89">
            <w:pPr>
              <w:jc w:val="center"/>
              <w:rPr>
                <w:sz w:val="16"/>
                <w:szCs w:val="16"/>
              </w:rPr>
            </w:pPr>
            <w:r w:rsidRPr="00931FD3">
              <w:rPr>
                <w:sz w:val="16"/>
                <w:szCs w:val="16"/>
              </w:rPr>
              <w:t>0.005</w:t>
            </w:r>
          </w:p>
        </w:tc>
        <w:tc>
          <w:tcPr>
            <w:tcW w:w="370"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0.069</w:t>
            </w:r>
          </w:p>
        </w:tc>
        <w:tc>
          <w:tcPr>
            <w:tcW w:w="382" w:type="pct"/>
            <w:tcBorders>
              <w:top w:val="nil"/>
              <w:left w:val="nil"/>
              <w:bottom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0.048</w:t>
            </w:r>
          </w:p>
        </w:tc>
      </w:tr>
      <w:tr w:rsidR="00B44823" w:rsidRPr="005C608C" w:rsidTr="008010EB">
        <w:trPr>
          <w:trHeight w:val="244"/>
          <w:jc w:val="center"/>
        </w:trPr>
        <w:tc>
          <w:tcPr>
            <w:tcW w:w="613" w:type="pct"/>
            <w:tcBorders>
              <w:top w:val="nil"/>
              <w:left w:val="nil"/>
              <w:right w:val="nil"/>
            </w:tcBorders>
            <w:shd w:val="clear" w:color="auto" w:fill="auto"/>
            <w:vAlign w:val="bottom"/>
          </w:tcPr>
          <w:p w:rsidR="00C61E89" w:rsidRPr="00931FD3" w:rsidRDefault="00C61E89">
            <w:pPr>
              <w:rPr>
                <w:rFonts w:eastAsia="Times New Roman"/>
                <w:sz w:val="16"/>
                <w:szCs w:val="16"/>
              </w:rPr>
            </w:pPr>
            <w:r w:rsidRPr="00931FD3">
              <w:rPr>
                <w:rFonts w:eastAsia="Times New Roman"/>
                <w:sz w:val="16"/>
                <w:szCs w:val="16"/>
              </w:rPr>
              <w:t xml:space="preserve">Shipbuilding </w:t>
            </w:r>
          </w:p>
        </w:tc>
        <w:tc>
          <w:tcPr>
            <w:tcW w:w="395" w:type="pct"/>
            <w:tcBorders>
              <w:top w:val="nil"/>
              <w:left w:val="nil"/>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1,112 </w:t>
            </w:r>
          </w:p>
        </w:tc>
        <w:tc>
          <w:tcPr>
            <w:tcW w:w="287" w:type="pct"/>
            <w:tcBorders>
              <w:top w:val="nil"/>
              <w:left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0.009</w:t>
            </w:r>
          </w:p>
        </w:tc>
        <w:tc>
          <w:tcPr>
            <w:tcW w:w="370" w:type="pct"/>
            <w:tcBorders>
              <w:top w:val="nil"/>
              <w:left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−0.013</w:t>
            </w:r>
          </w:p>
        </w:tc>
        <w:tc>
          <w:tcPr>
            <w:tcW w:w="368" w:type="pct"/>
            <w:gridSpan w:val="2"/>
            <w:tcBorders>
              <w:top w:val="nil"/>
              <w:left w:val="nil"/>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−0.014</w:t>
            </w:r>
          </w:p>
        </w:tc>
        <w:tc>
          <w:tcPr>
            <w:tcW w:w="370" w:type="pct"/>
            <w:tcBorders>
              <w:top w:val="nil"/>
              <w:left w:val="nil"/>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41 </w:t>
            </w:r>
          </w:p>
        </w:tc>
        <w:tc>
          <w:tcPr>
            <w:tcW w:w="368" w:type="pct"/>
            <w:tcBorders>
              <w:top w:val="nil"/>
              <w:left w:val="nil"/>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0.133</w:t>
            </w:r>
          </w:p>
        </w:tc>
        <w:tc>
          <w:tcPr>
            <w:tcW w:w="370" w:type="pct"/>
            <w:tcBorders>
              <w:top w:val="nil"/>
              <w:left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0.015</w:t>
            </w:r>
          </w:p>
        </w:tc>
        <w:tc>
          <w:tcPr>
            <w:tcW w:w="368" w:type="pct"/>
            <w:tcBorders>
              <w:top w:val="nil"/>
              <w:left w:val="nil"/>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0.015</w:t>
            </w:r>
          </w:p>
        </w:tc>
        <w:tc>
          <w:tcPr>
            <w:tcW w:w="371" w:type="pct"/>
            <w:gridSpan w:val="2"/>
            <w:tcBorders>
              <w:top w:val="nil"/>
              <w:left w:val="nil"/>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81 </w:t>
            </w:r>
          </w:p>
        </w:tc>
        <w:tc>
          <w:tcPr>
            <w:tcW w:w="368" w:type="pct"/>
            <w:tcBorders>
              <w:top w:val="nil"/>
              <w:left w:val="nil"/>
              <w:right w:val="nil"/>
            </w:tcBorders>
            <w:shd w:val="clear" w:color="auto" w:fill="auto"/>
            <w:noWrap/>
            <w:vAlign w:val="bottom"/>
          </w:tcPr>
          <w:p w:rsidR="00C61E89" w:rsidRPr="00931FD3" w:rsidRDefault="00C61E89">
            <w:pPr>
              <w:jc w:val="center"/>
              <w:rPr>
                <w:sz w:val="16"/>
                <w:szCs w:val="16"/>
              </w:rPr>
            </w:pPr>
            <w:r w:rsidRPr="00931FD3">
              <w:rPr>
                <w:sz w:val="16"/>
                <w:szCs w:val="16"/>
              </w:rPr>
              <w:t>0.013</w:t>
            </w:r>
          </w:p>
        </w:tc>
        <w:tc>
          <w:tcPr>
            <w:tcW w:w="370" w:type="pct"/>
            <w:tcBorders>
              <w:top w:val="nil"/>
              <w:left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0.014</w:t>
            </w:r>
          </w:p>
        </w:tc>
        <w:tc>
          <w:tcPr>
            <w:tcW w:w="382" w:type="pct"/>
            <w:tcBorders>
              <w:top w:val="nil"/>
              <w:left w:val="nil"/>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0.017</w:t>
            </w:r>
          </w:p>
        </w:tc>
      </w:tr>
      <w:tr w:rsidR="00B44823" w:rsidRPr="005C608C" w:rsidTr="008010EB">
        <w:trPr>
          <w:trHeight w:val="244"/>
          <w:jc w:val="center"/>
        </w:trPr>
        <w:tc>
          <w:tcPr>
            <w:tcW w:w="613" w:type="pct"/>
            <w:tcBorders>
              <w:top w:val="nil"/>
              <w:left w:val="nil"/>
              <w:bottom w:val="single" w:sz="4" w:space="0" w:color="auto"/>
              <w:right w:val="nil"/>
            </w:tcBorders>
            <w:shd w:val="clear" w:color="auto" w:fill="auto"/>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 Defense </w:t>
            </w:r>
          </w:p>
        </w:tc>
        <w:tc>
          <w:tcPr>
            <w:tcW w:w="395" w:type="pct"/>
            <w:tcBorders>
              <w:top w:val="nil"/>
              <w:left w:val="nil"/>
              <w:bottom w:val="single" w:sz="4" w:space="0" w:color="auto"/>
              <w:right w:val="nil"/>
            </w:tcBorders>
            <w:shd w:val="clear" w:color="auto" w:fill="auto"/>
            <w:noWrap/>
            <w:vAlign w:val="bottom"/>
            <w:hideMark/>
          </w:tcPr>
          <w:p w:rsidR="00C61E89" w:rsidRPr="00931FD3" w:rsidRDefault="00C61E89" w:rsidP="00742ADD">
            <w:pPr>
              <w:rPr>
                <w:rFonts w:eastAsia="Times New Roman"/>
                <w:sz w:val="16"/>
                <w:szCs w:val="16"/>
              </w:rPr>
            </w:pPr>
            <w:r w:rsidRPr="00931FD3">
              <w:rPr>
                <w:rFonts w:eastAsia="Times New Roman"/>
                <w:sz w:val="16"/>
                <w:szCs w:val="16"/>
              </w:rPr>
              <w:t xml:space="preserve">1,398 </w:t>
            </w:r>
          </w:p>
        </w:tc>
        <w:tc>
          <w:tcPr>
            <w:tcW w:w="287" w:type="pct"/>
            <w:tcBorders>
              <w:top w:val="nil"/>
              <w:left w:val="nil"/>
              <w:bottom w:val="single" w:sz="4" w:space="0" w:color="auto"/>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0.015</w:t>
            </w:r>
          </w:p>
        </w:tc>
        <w:tc>
          <w:tcPr>
            <w:tcW w:w="370" w:type="pct"/>
            <w:tcBorders>
              <w:top w:val="nil"/>
              <w:left w:val="nil"/>
              <w:bottom w:val="single" w:sz="4" w:space="0" w:color="auto"/>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−0.033</w:t>
            </w:r>
          </w:p>
        </w:tc>
        <w:tc>
          <w:tcPr>
            <w:tcW w:w="368" w:type="pct"/>
            <w:gridSpan w:val="2"/>
            <w:tcBorders>
              <w:top w:val="nil"/>
              <w:left w:val="nil"/>
              <w:bottom w:val="single" w:sz="4" w:space="0" w:color="auto"/>
              <w:right w:val="nil"/>
            </w:tcBorders>
            <w:shd w:val="clear" w:color="auto" w:fill="auto"/>
            <w:noWrap/>
            <w:vAlign w:val="bottom"/>
            <w:hideMark/>
          </w:tcPr>
          <w:p w:rsidR="00C61E89" w:rsidRPr="00931FD3" w:rsidRDefault="00C61E89" w:rsidP="00742ADD">
            <w:pPr>
              <w:jc w:val="center"/>
              <w:rPr>
                <w:rFonts w:eastAsia="Times New Roman"/>
                <w:sz w:val="16"/>
                <w:szCs w:val="16"/>
              </w:rPr>
            </w:pPr>
            <w:r w:rsidRPr="00931FD3">
              <w:rPr>
                <w:rFonts w:eastAsia="Times New Roman"/>
                <w:sz w:val="16"/>
                <w:szCs w:val="16"/>
              </w:rPr>
              <w:t>−0.023</w:t>
            </w:r>
          </w:p>
        </w:tc>
        <w:tc>
          <w:tcPr>
            <w:tcW w:w="370" w:type="pct"/>
            <w:tcBorders>
              <w:top w:val="nil"/>
              <w:left w:val="nil"/>
              <w:bottom w:val="single" w:sz="4" w:space="0" w:color="auto"/>
              <w:right w:val="nil"/>
            </w:tcBorders>
            <w:shd w:val="clear" w:color="auto" w:fill="auto"/>
            <w:noWrap/>
            <w:vAlign w:val="bottom"/>
          </w:tcPr>
          <w:p w:rsidR="00C61E89" w:rsidRPr="00931FD3" w:rsidRDefault="00C61E89" w:rsidP="00742ADD">
            <w:pPr>
              <w:rPr>
                <w:rFonts w:eastAsia="Times New Roman"/>
                <w:sz w:val="16"/>
                <w:szCs w:val="16"/>
              </w:rPr>
            </w:pPr>
            <w:r w:rsidRPr="00931FD3">
              <w:rPr>
                <w:sz w:val="16"/>
                <w:szCs w:val="16"/>
              </w:rPr>
              <w:t xml:space="preserve">67 </w:t>
            </w:r>
          </w:p>
        </w:tc>
        <w:tc>
          <w:tcPr>
            <w:tcW w:w="368" w:type="pct"/>
            <w:tcBorders>
              <w:top w:val="nil"/>
              <w:left w:val="nil"/>
              <w:bottom w:val="single" w:sz="4" w:space="0" w:color="auto"/>
              <w:right w:val="nil"/>
            </w:tcBorders>
            <w:shd w:val="clear" w:color="auto" w:fill="auto"/>
            <w:noWrap/>
            <w:vAlign w:val="bottom"/>
          </w:tcPr>
          <w:p w:rsidR="00C61E89" w:rsidRPr="00931FD3" w:rsidRDefault="00C61E89" w:rsidP="00742ADD">
            <w:pPr>
              <w:jc w:val="center"/>
              <w:rPr>
                <w:rFonts w:eastAsia="Times New Roman"/>
                <w:sz w:val="16"/>
                <w:szCs w:val="16"/>
              </w:rPr>
            </w:pPr>
            <w:r w:rsidRPr="00931FD3">
              <w:rPr>
                <w:sz w:val="16"/>
                <w:szCs w:val="16"/>
              </w:rPr>
              <w:t>0.119</w:t>
            </w:r>
          </w:p>
        </w:tc>
        <w:tc>
          <w:tcPr>
            <w:tcW w:w="370" w:type="pct"/>
            <w:tcBorders>
              <w:top w:val="nil"/>
              <w:left w:val="nil"/>
              <w:bottom w:val="single" w:sz="4" w:space="0" w:color="auto"/>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0.031</w:t>
            </w:r>
          </w:p>
        </w:tc>
        <w:tc>
          <w:tcPr>
            <w:tcW w:w="368" w:type="pct"/>
            <w:tcBorders>
              <w:top w:val="nil"/>
              <w:left w:val="nil"/>
              <w:bottom w:val="single" w:sz="4" w:space="0" w:color="auto"/>
              <w:right w:val="nil"/>
            </w:tcBorders>
            <w:shd w:val="clear" w:color="auto" w:fill="auto"/>
            <w:noWrap/>
            <w:vAlign w:val="bottom"/>
          </w:tcPr>
          <w:p w:rsidR="00C61E89" w:rsidRPr="00931FD3" w:rsidRDefault="00AC0744" w:rsidP="00742ADD">
            <w:pPr>
              <w:jc w:val="center"/>
              <w:rPr>
                <w:rFonts w:eastAsia="Times New Roman"/>
                <w:sz w:val="16"/>
                <w:szCs w:val="16"/>
              </w:rPr>
            </w:pPr>
            <w:r w:rsidRPr="00931FD3">
              <w:rPr>
                <w:sz w:val="16"/>
                <w:szCs w:val="16"/>
              </w:rPr>
              <w:t>−</w:t>
            </w:r>
            <w:r w:rsidR="00C61E89" w:rsidRPr="00931FD3">
              <w:rPr>
                <w:sz w:val="16"/>
                <w:szCs w:val="16"/>
              </w:rPr>
              <w:t>0.024</w:t>
            </w:r>
          </w:p>
        </w:tc>
        <w:tc>
          <w:tcPr>
            <w:tcW w:w="371" w:type="pct"/>
            <w:gridSpan w:val="2"/>
            <w:tcBorders>
              <w:top w:val="nil"/>
              <w:left w:val="nil"/>
              <w:bottom w:val="single" w:sz="4" w:space="0" w:color="auto"/>
              <w:right w:val="nil"/>
            </w:tcBorders>
            <w:shd w:val="clear" w:color="auto" w:fill="auto"/>
            <w:noWrap/>
            <w:vAlign w:val="bottom"/>
          </w:tcPr>
          <w:p w:rsidR="00C61E89" w:rsidRPr="00931FD3" w:rsidRDefault="00C61E89" w:rsidP="00931FD3">
            <w:pPr>
              <w:jc w:val="center"/>
              <w:rPr>
                <w:sz w:val="16"/>
                <w:szCs w:val="16"/>
              </w:rPr>
            </w:pPr>
            <w:r w:rsidRPr="00931FD3">
              <w:rPr>
                <w:sz w:val="16"/>
                <w:szCs w:val="16"/>
              </w:rPr>
              <w:t xml:space="preserve">110 </w:t>
            </w:r>
          </w:p>
        </w:tc>
        <w:tc>
          <w:tcPr>
            <w:tcW w:w="368" w:type="pct"/>
            <w:tcBorders>
              <w:top w:val="nil"/>
              <w:left w:val="nil"/>
              <w:bottom w:val="single" w:sz="4" w:space="0" w:color="auto"/>
              <w:right w:val="nil"/>
            </w:tcBorders>
            <w:shd w:val="clear" w:color="auto" w:fill="auto"/>
            <w:noWrap/>
            <w:vAlign w:val="bottom"/>
          </w:tcPr>
          <w:p w:rsidR="00C61E89" w:rsidRPr="00931FD3" w:rsidRDefault="00C61E89">
            <w:pPr>
              <w:jc w:val="center"/>
              <w:rPr>
                <w:sz w:val="16"/>
                <w:szCs w:val="16"/>
              </w:rPr>
            </w:pPr>
            <w:r w:rsidRPr="00931FD3">
              <w:rPr>
                <w:sz w:val="16"/>
                <w:szCs w:val="16"/>
              </w:rPr>
              <w:t>0.005</w:t>
            </w:r>
          </w:p>
        </w:tc>
        <w:tc>
          <w:tcPr>
            <w:tcW w:w="370" w:type="pct"/>
            <w:tcBorders>
              <w:top w:val="nil"/>
              <w:left w:val="nil"/>
              <w:bottom w:val="single" w:sz="4" w:space="0" w:color="auto"/>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0.033</w:t>
            </w:r>
          </w:p>
        </w:tc>
        <w:tc>
          <w:tcPr>
            <w:tcW w:w="382" w:type="pct"/>
            <w:tcBorders>
              <w:top w:val="nil"/>
              <w:left w:val="nil"/>
              <w:bottom w:val="single" w:sz="4" w:space="0" w:color="auto"/>
              <w:right w:val="nil"/>
            </w:tcBorders>
            <w:shd w:val="clear" w:color="auto" w:fill="auto"/>
            <w:noWrap/>
            <w:vAlign w:val="bottom"/>
          </w:tcPr>
          <w:p w:rsidR="00C61E89" w:rsidRPr="00931FD3" w:rsidRDefault="00AC0744" w:rsidP="00931FD3">
            <w:pPr>
              <w:jc w:val="center"/>
              <w:rPr>
                <w:sz w:val="16"/>
                <w:szCs w:val="16"/>
              </w:rPr>
            </w:pPr>
            <w:r w:rsidRPr="00931FD3">
              <w:rPr>
                <w:sz w:val="16"/>
                <w:szCs w:val="16"/>
              </w:rPr>
              <w:t>−</w:t>
            </w:r>
            <w:r w:rsidR="00C61E89" w:rsidRPr="00931FD3">
              <w:rPr>
                <w:sz w:val="16"/>
                <w:szCs w:val="16"/>
              </w:rPr>
              <w:t>0.028</w:t>
            </w:r>
          </w:p>
        </w:tc>
      </w:tr>
      <w:tr w:rsidR="00F7491A" w:rsidRPr="00372B09" w:rsidTr="008010EB">
        <w:trPr>
          <w:trHeight w:val="244"/>
          <w:jc w:val="center"/>
        </w:trPr>
        <w:tc>
          <w:tcPr>
            <w:tcW w:w="5000" w:type="pct"/>
            <w:gridSpan w:val="15"/>
            <w:tcBorders>
              <w:top w:val="single" w:sz="4" w:space="0" w:color="auto"/>
              <w:left w:val="nil"/>
              <w:right w:val="nil"/>
            </w:tcBorders>
            <w:shd w:val="clear" w:color="auto" w:fill="auto"/>
            <w:vAlign w:val="bottom"/>
          </w:tcPr>
          <w:p w:rsidR="00F7491A" w:rsidRPr="00931FD3" w:rsidRDefault="00F7491A">
            <w:pPr>
              <w:jc w:val="right"/>
              <w:rPr>
                <w:rFonts w:eastAsia="Times New Roman"/>
                <w:sz w:val="16"/>
                <w:szCs w:val="16"/>
              </w:rPr>
            </w:pPr>
            <w:r w:rsidRPr="00931FD3">
              <w:rPr>
                <w:rFonts w:eastAsia="Times New Roman"/>
                <w:sz w:val="16"/>
                <w:szCs w:val="16"/>
              </w:rPr>
              <w:t xml:space="preserve">(Table </w:t>
            </w:r>
            <w:r w:rsidR="0054649F">
              <w:rPr>
                <w:rFonts w:eastAsia="Times New Roman"/>
                <w:sz w:val="16"/>
                <w:szCs w:val="16"/>
              </w:rPr>
              <w:t>3</w:t>
            </w:r>
            <w:r w:rsidR="0054649F" w:rsidRPr="00931FD3">
              <w:rPr>
                <w:rFonts w:eastAsia="Times New Roman"/>
                <w:sz w:val="16"/>
                <w:szCs w:val="16"/>
              </w:rPr>
              <w:t xml:space="preserve"> </w:t>
            </w:r>
            <w:r w:rsidRPr="00931FD3">
              <w:rPr>
                <w:rFonts w:eastAsia="Times New Roman"/>
                <w:sz w:val="16"/>
                <w:szCs w:val="16"/>
              </w:rPr>
              <w:t>continues on the next page)</w:t>
            </w:r>
          </w:p>
        </w:tc>
      </w:tr>
    </w:tbl>
    <w:p w:rsidR="00AA0FDE" w:rsidRDefault="00AA0FDE"/>
    <w:p w:rsidR="008010EB" w:rsidRDefault="008010EB"/>
    <w:tbl>
      <w:tblPr>
        <w:tblW w:w="4839" w:type="pct"/>
        <w:jc w:val="center"/>
        <w:tblLayout w:type="fixed"/>
        <w:tblLook w:val="04A0" w:firstRow="1" w:lastRow="0" w:firstColumn="1" w:lastColumn="0" w:noHBand="0" w:noVBand="1"/>
      </w:tblPr>
      <w:tblGrid>
        <w:gridCol w:w="1050"/>
        <w:gridCol w:w="1024"/>
        <w:gridCol w:w="660"/>
        <w:gridCol w:w="66"/>
        <w:gridCol w:w="778"/>
        <w:gridCol w:w="214"/>
        <w:gridCol w:w="816"/>
        <w:gridCol w:w="122"/>
        <w:gridCol w:w="842"/>
        <w:gridCol w:w="500"/>
        <w:gridCol w:w="587"/>
        <w:gridCol w:w="41"/>
        <w:gridCol w:w="984"/>
        <w:gridCol w:w="56"/>
        <w:gridCol w:w="949"/>
        <w:gridCol w:w="20"/>
        <w:gridCol w:w="71"/>
        <w:gridCol w:w="959"/>
        <w:gridCol w:w="6"/>
        <w:gridCol w:w="956"/>
        <w:gridCol w:w="66"/>
        <w:gridCol w:w="972"/>
        <w:gridCol w:w="51"/>
        <w:gridCol w:w="962"/>
      </w:tblGrid>
      <w:tr w:rsidR="00F7491A" w:rsidRPr="005C608C" w:rsidTr="008010EB">
        <w:trPr>
          <w:trHeight w:val="221"/>
          <w:jc w:val="center"/>
        </w:trPr>
        <w:tc>
          <w:tcPr>
            <w:tcW w:w="5000" w:type="pct"/>
            <w:gridSpan w:val="24"/>
            <w:tcBorders>
              <w:left w:val="nil"/>
              <w:bottom w:val="single" w:sz="4" w:space="0" w:color="auto"/>
              <w:right w:val="nil"/>
            </w:tcBorders>
            <w:shd w:val="clear" w:color="auto" w:fill="auto"/>
            <w:vAlign w:val="bottom"/>
          </w:tcPr>
          <w:p w:rsidR="00F7491A" w:rsidRPr="00931FD3" w:rsidRDefault="00F7491A">
            <w:pPr>
              <w:jc w:val="center"/>
              <w:rPr>
                <w:rFonts w:eastAsia="Times New Roman"/>
                <w:bCs/>
                <w:i/>
                <w:szCs w:val="16"/>
              </w:rPr>
            </w:pPr>
            <w:r w:rsidRPr="002D65A3">
              <w:rPr>
                <w:rFonts w:eastAsia="Times New Roman"/>
                <w:b/>
                <w:bCs/>
                <w:szCs w:val="16"/>
              </w:rPr>
              <w:lastRenderedPageBreak/>
              <w:t>Table 3</w:t>
            </w:r>
            <w:r w:rsidRPr="00931FD3">
              <w:rPr>
                <w:rFonts w:eastAsia="Times New Roman"/>
                <w:bCs/>
                <w:i/>
                <w:szCs w:val="16"/>
              </w:rPr>
              <w:t xml:space="preserve"> (Cont’d)</w:t>
            </w:r>
          </w:p>
        </w:tc>
      </w:tr>
      <w:tr w:rsidR="004D06DA" w:rsidRPr="005C608C" w:rsidTr="008010EB">
        <w:trPr>
          <w:trHeight w:val="203"/>
          <w:jc w:val="center"/>
        </w:trPr>
        <w:tc>
          <w:tcPr>
            <w:tcW w:w="412" w:type="pct"/>
            <w:tcBorders>
              <w:top w:val="single" w:sz="4" w:space="0" w:color="auto"/>
              <w:left w:val="nil"/>
              <w:right w:val="nil"/>
            </w:tcBorders>
            <w:shd w:val="clear" w:color="auto" w:fill="auto"/>
            <w:vAlign w:val="bottom"/>
          </w:tcPr>
          <w:p w:rsidR="004D06DA" w:rsidRPr="00931FD3" w:rsidRDefault="004D06DA" w:rsidP="00742ADD">
            <w:pPr>
              <w:rPr>
                <w:rFonts w:eastAsia="Times New Roman"/>
                <w:sz w:val="16"/>
                <w:szCs w:val="16"/>
              </w:rPr>
            </w:pPr>
          </w:p>
        </w:tc>
        <w:tc>
          <w:tcPr>
            <w:tcW w:w="1396" w:type="pct"/>
            <w:gridSpan w:val="6"/>
            <w:tcBorders>
              <w:top w:val="single" w:sz="4" w:space="0" w:color="auto"/>
              <w:left w:val="nil"/>
              <w:right w:val="nil"/>
            </w:tcBorders>
            <w:shd w:val="clear" w:color="auto" w:fill="auto"/>
            <w:noWrap/>
            <w:vAlign w:val="bottom"/>
          </w:tcPr>
          <w:p w:rsidR="004D06DA" w:rsidRPr="00931FD3" w:rsidRDefault="004D06DA" w:rsidP="00931FD3">
            <w:pPr>
              <w:ind w:hanging="158"/>
              <w:jc w:val="right"/>
              <w:rPr>
                <w:rFonts w:eastAsia="Times New Roman"/>
                <w:bCs/>
                <w:i/>
                <w:iCs/>
                <w:sz w:val="16"/>
                <w:szCs w:val="16"/>
              </w:rPr>
            </w:pPr>
            <w:r w:rsidRPr="00931FD3">
              <w:rPr>
                <w:rFonts w:eastAsia="Times New Roman"/>
                <w:bCs/>
                <w:sz w:val="16"/>
                <w:szCs w:val="16"/>
              </w:rPr>
              <w:t>Sample for Market Risk Factor Test</w:t>
            </w:r>
          </w:p>
        </w:tc>
        <w:tc>
          <w:tcPr>
            <w:tcW w:w="378" w:type="pct"/>
            <w:gridSpan w:val="2"/>
            <w:tcBorders>
              <w:top w:val="single" w:sz="4" w:space="0" w:color="auto"/>
              <w:left w:val="nil"/>
              <w:right w:val="nil"/>
            </w:tcBorders>
            <w:shd w:val="clear" w:color="auto" w:fill="auto"/>
            <w:noWrap/>
            <w:vAlign w:val="bottom"/>
          </w:tcPr>
          <w:p w:rsidR="004D06DA" w:rsidRPr="00931FD3" w:rsidRDefault="004D06DA" w:rsidP="00742ADD">
            <w:pPr>
              <w:jc w:val="center"/>
              <w:rPr>
                <w:rFonts w:eastAsia="Times New Roman"/>
                <w:sz w:val="16"/>
                <w:szCs w:val="16"/>
              </w:rPr>
            </w:pPr>
          </w:p>
        </w:tc>
        <w:tc>
          <w:tcPr>
            <w:tcW w:w="1222" w:type="pct"/>
            <w:gridSpan w:val="6"/>
            <w:tcBorders>
              <w:top w:val="single" w:sz="4" w:space="0" w:color="auto"/>
              <w:left w:val="nil"/>
              <w:bottom w:val="single" w:sz="4" w:space="0" w:color="auto"/>
              <w:right w:val="nil"/>
            </w:tcBorders>
            <w:shd w:val="clear" w:color="auto" w:fill="auto"/>
            <w:noWrap/>
            <w:vAlign w:val="bottom"/>
          </w:tcPr>
          <w:p w:rsidR="004D06DA" w:rsidRPr="00931FD3" w:rsidRDefault="004D06DA" w:rsidP="00742ADD">
            <w:pPr>
              <w:ind w:hanging="75"/>
              <w:jc w:val="right"/>
              <w:rPr>
                <w:rFonts w:eastAsia="Times New Roman"/>
                <w:bCs/>
                <w:i/>
                <w:iCs/>
                <w:sz w:val="16"/>
                <w:szCs w:val="16"/>
              </w:rPr>
            </w:pPr>
            <w:r w:rsidRPr="00931FD3">
              <w:rPr>
                <w:rFonts w:eastAsia="Times New Roman"/>
                <w:bCs/>
                <w:sz w:val="16"/>
                <w:szCs w:val="16"/>
              </w:rPr>
              <w:t>Sample for Implied Cost of Equity Test</w:t>
            </w:r>
          </w:p>
        </w:tc>
        <w:tc>
          <w:tcPr>
            <w:tcW w:w="411" w:type="pct"/>
            <w:gridSpan w:val="3"/>
            <w:tcBorders>
              <w:top w:val="single" w:sz="4" w:space="0" w:color="auto"/>
              <w:left w:val="nil"/>
              <w:right w:val="nil"/>
            </w:tcBorders>
            <w:shd w:val="clear" w:color="auto" w:fill="auto"/>
            <w:noWrap/>
            <w:vAlign w:val="bottom"/>
          </w:tcPr>
          <w:p w:rsidR="004D06DA" w:rsidRPr="00931FD3" w:rsidRDefault="004D06DA" w:rsidP="00742ADD">
            <w:pPr>
              <w:jc w:val="center"/>
              <w:rPr>
                <w:rFonts w:eastAsia="Times New Roman"/>
                <w:sz w:val="16"/>
                <w:szCs w:val="16"/>
              </w:rPr>
            </w:pPr>
          </w:p>
        </w:tc>
        <w:tc>
          <w:tcPr>
            <w:tcW w:w="1180" w:type="pct"/>
            <w:gridSpan w:val="6"/>
            <w:tcBorders>
              <w:top w:val="single" w:sz="4" w:space="0" w:color="auto"/>
              <w:left w:val="nil"/>
              <w:bottom w:val="single" w:sz="4" w:space="0" w:color="auto"/>
              <w:right w:val="nil"/>
            </w:tcBorders>
            <w:shd w:val="clear" w:color="auto" w:fill="auto"/>
            <w:noWrap/>
            <w:vAlign w:val="bottom"/>
          </w:tcPr>
          <w:p w:rsidR="004D06DA" w:rsidRPr="00931FD3" w:rsidRDefault="004D06DA">
            <w:pPr>
              <w:ind w:hanging="75"/>
              <w:jc w:val="right"/>
              <w:rPr>
                <w:rFonts w:eastAsia="Times New Roman"/>
                <w:bCs/>
                <w:i/>
                <w:iCs/>
                <w:sz w:val="16"/>
                <w:szCs w:val="16"/>
              </w:rPr>
            </w:pPr>
            <w:r w:rsidRPr="00931FD3">
              <w:rPr>
                <w:rFonts w:eastAsia="Times New Roman"/>
                <w:bCs/>
                <w:sz w:val="16"/>
                <w:szCs w:val="16"/>
              </w:rPr>
              <w:t>Sample for Earnings-Price Ratio Test</w:t>
            </w:r>
          </w:p>
        </w:tc>
      </w:tr>
      <w:tr w:rsidR="005C608C" w:rsidRPr="005C608C" w:rsidTr="008010EB">
        <w:trPr>
          <w:trHeight w:val="221"/>
          <w:jc w:val="center"/>
        </w:trPr>
        <w:tc>
          <w:tcPr>
            <w:tcW w:w="412" w:type="pct"/>
            <w:tcBorders>
              <w:left w:val="nil"/>
              <w:bottom w:val="single" w:sz="4" w:space="0" w:color="auto"/>
              <w:right w:val="nil"/>
            </w:tcBorders>
            <w:shd w:val="clear" w:color="auto" w:fill="auto"/>
            <w:vAlign w:val="bottom"/>
            <w:hideMark/>
          </w:tcPr>
          <w:p w:rsidR="00AC0744" w:rsidRPr="00931FD3" w:rsidRDefault="00AC0744" w:rsidP="00931FD3">
            <w:pPr>
              <w:ind w:hanging="90"/>
              <w:rPr>
                <w:rFonts w:eastAsia="Times New Roman"/>
                <w:sz w:val="16"/>
                <w:szCs w:val="16"/>
              </w:rPr>
            </w:pPr>
            <w:r w:rsidRPr="00931FD3">
              <w:rPr>
                <w:rFonts w:eastAsia="Times New Roman"/>
                <w:sz w:val="16"/>
                <w:szCs w:val="16"/>
              </w:rPr>
              <w:t>Industry</w:t>
            </w:r>
          </w:p>
        </w:tc>
        <w:tc>
          <w:tcPr>
            <w:tcW w:w="402" w:type="pct"/>
            <w:tcBorders>
              <w:left w:val="nil"/>
              <w:bottom w:val="single" w:sz="4" w:space="0" w:color="auto"/>
              <w:right w:val="nil"/>
            </w:tcBorders>
            <w:shd w:val="clear" w:color="auto" w:fill="auto"/>
            <w:noWrap/>
            <w:vAlign w:val="bottom"/>
            <w:hideMark/>
          </w:tcPr>
          <w:p w:rsidR="00AC0744" w:rsidRPr="00931FD3" w:rsidRDefault="00AC0744" w:rsidP="00742ADD">
            <w:pPr>
              <w:jc w:val="center"/>
              <w:rPr>
                <w:rFonts w:eastAsia="Times New Roman"/>
                <w:sz w:val="16"/>
                <w:szCs w:val="16"/>
              </w:rPr>
            </w:pPr>
            <w:r w:rsidRPr="00931FD3">
              <w:rPr>
                <w:rFonts w:eastAsia="Times New Roman"/>
                <w:i/>
                <w:sz w:val="16"/>
                <w:szCs w:val="16"/>
              </w:rPr>
              <w:t xml:space="preserve">    </w:t>
            </w:r>
            <w:r w:rsidRPr="00931FD3">
              <w:rPr>
                <w:rFonts w:eastAsia="Times New Roman"/>
                <w:sz w:val="16"/>
                <w:szCs w:val="16"/>
              </w:rPr>
              <w:t xml:space="preserve">N </w:t>
            </w:r>
          </w:p>
          <w:p w:rsidR="00AC0744" w:rsidRPr="00931FD3" w:rsidRDefault="00AC0744" w:rsidP="00931FD3">
            <w:pPr>
              <w:ind w:hanging="108"/>
              <w:jc w:val="center"/>
              <w:rPr>
                <w:rFonts w:eastAsia="Times New Roman"/>
                <w:sz w:val="16"/>
                <w:szCs w:val="16"/>
              </w:rPr>
            </w:pPr>
            <w:r w:rsidRPr="00931FD3">
              <w:rPr>
                <w:rFonts w:eastAsia="Times New Roman"/>
                <w:bCs/>
                <w:sz w:val="16"/>
                <w:szCs w:val="16"/>
              </w:rPr>
              <w:t>Firm</w:t>
            </w:r>
            <w:r w:rsidR="00B44823">
              <w:rPr>
                <w:rFonts w:eastAsia="Times New Roman"/>
                <w:bCs/>
                <w:sz w:val="16"/>
                <w:szCs w:val="16"/>
              </w:rPr>
              <w:t>-</w:t>
            </w:r>
            <w:r w:rsidRPr="00931FD3">
              <w:rPr>
                <w:rFonts w:eastAsia="Times New Roman"/>
                <w:bCs/>
                <w:sz w:val="16"/>
                <w:szCs w:val="16"/>
              </w:rPr>
              <w:t>Month</w:t>
            </w:r>
          </w:p>
        </w:tc>
        <w:tc>
          <w:tcPr>
            <w:tcW w:w="285" w:type="pct"/>
            <w:gridSpan w:val="2"/>
            <w:tcBorders>
              <w:top w:val="single" w:sz="4" w:space="0" w:color="auto"/>
              <w:left w:val="nil"/>
              <w:bottom w:val="single" w:sz="4" w:space="0" w:color="auto"/>
              <w:right w:val="nil"/>
            </w:tcBorders>
            <w:shd w:val="clear" w:color="auto" w:fill="auto"/>
            <w:noWrap/>
            <w:vAlign w:val="bottom"/>
            <w:hideMark/>
          </w:tcPr>
          <w:p w:rsidR="00AC0744" w:rsidRPr="00931FD3" w:rsidRDefault="00AC0744" w:rsidP="00931FD3">
            <w:pPr>
              <w:ind w:hanging="158"/>
              <w:jc w:val="center"/>
              <w:rPr>
                <w:rFonts w:eastAsia="Times New Roman"/>
                <w:bCs/>
                <w:i/>
                <w:iCs/>
                <w:sz w:val="16"/>
                <w:szCs w:val="16"/>
              </w:rPr>
            </w:pPr>
            <w:r w:rsidRPr="00931FD3">
              <w:rPr>
                <w:rFonts w:eastAsia="Times New Roman"/>
                <w:bCs/>
                <w:i/>
                <w:iCs/>
                <w:sz w:val="16"/>
                <w:szCs w:val="16"/>
              </w:rPr>
              <w:t>EXRET</w:t>
            </w:r>
          </w:p>
        </w:tc>
        <w:tc>
          <w:tcPr>
            <w:tcW w:w="305" w:type="pct"/>
            <w:tcBorders>
              <w:top w:val="single" w:sz="4" w:space="0" w:color="auto"/>
              <w:left w:val="nil"/>
              <w:bottom w:val="single" w:sz="4" w:space="0" w:color="auto"/>
              <w:right w:val="nil"/>
            </w:tcBorders>
            <w:shd w:val="clear" w:color="auto" w:fill="auto"/>
            <w:noWrap/>
            <w:vAlign w:val="bottom"/>
          </w:tcPr>
          <w:p w:rsidR="00AC0744" w:rsidRPr="00931FD3" w:rsidRDefault="00AC0744" w:rsidP="00931FD3">
            <w:pPr>
              <w:ind w:hanging="158"/>
              <w:jc w:val="center"/>
              <w:rPr>
                <w:rFonts w:eastAsia="Times New Roman"/>
                <w:sz w:val="16"/>
                <w:szCs w:val="16"/>
              </w:rPr>
            </w:pPr>
            <w:r w:rsidRPr="00931FD3">
              <w:rPr>
                <w:rFonts w:eastAsia="Times New Roman"/>
                <w:bCs/>
                <w:i/>
                <w:iCs/>
                <w:sz w:val="16"/>
                <w:szCs w:val="16"/>
              </w:rPr>
              <w:t>EQ</w:t>
            </w:r>
          </w:p>
        </w:tc>
        <w:tc>
          <w:tcPr>
            <w:tcW w:w="404" w:type="pct"/>
            <w:gridSpan w:val="2"/>
            <w:tcBorders>
              <w:top w:val="single" w:sz="4" w:space="0" w:color="auto"/>
              <w:left w:val="nil"/>
              <w:bottom w:val="single" w:sz="4" w:space="0" w:color="auto"/>
              <w:right w:val="nil"/>
            </w:tcBorders>
            <w:shd w:val="clear" w:color="auto" w:fill="auto"/>
            <w:noWrap/>
            <w:vAlign w:val="bottom"/>
          </w:tcPr>
          <w:p w:rsidR="00AC0744" w:rsidRPr="00931FD3" w:rsidRDefault="00AC0744" w:rsidP="00931FD3">
            <w:pPr>
              <w:ind w:hanging="158"/>
              <w:jc w:val="center"/>
              <w:rPr>
                <w:rFonts w:eastAsia="Times New Roman"/>
                <w:bCs/>
                <w:i/>
                <w:iCs/>
                <w:sz w:val="16"/>
                <w:szCs w:val="16"/>
              </w:rPr>
            </w:pPr>
            <w:r w:rsidRPr="00931FD3">
              <w:rPr>
                <w:rFonts w:eastAsia="Times New Roman"/>
                <w:bCs/>
                <w:i/>
                <w:iCs/>
                <w:sz w:val="16"/>
                <w:szCs w:val="16"/>
              </w:rPr>
              <w:t>P_EQmsw</w:t>
            </w:r>
          </w:p>
        </w:tc>
        <w:tc>
          <w:tcPr>
            <w:tcW w:w="378" w:type="pct"/>
            <w:gridSpan w:val="2"/>
            <w:tcBorders>
              <w:left w:val="nil"/>
              <w:bottom w:val="single" w:sz="4" w:space="0" w:color="auto"/>
              <w:right w:val="nil"/>
            </w:tcBorders>
            <w:shd w:val="clear" w:color="auto" w:fill="auto"/>
            <w:noWrap/>
            <w:vAlign w:val="bottom"/>
            <w:hideMark/>
          </w:tcPr>
          <w:p w:rsidR="00AC0744" w:rsidRPr="00931FD3" w:rsidRDefault="00AC0744" w:rsidP="00742ADD">
            <w:pPr>
              <w:jc w:val="center"/>
              <w:rPr>
                <w:rFonts w:eastAsia="Times New Roman"/>
                <w:sz w:val="16"/>
                <w:szCs w:val="16"/>
              </w:rPr>
            </w:pPr>
            <w:r w:rsidRPr="00931FD3">
              <w:rPr>
                <w:rFonts w:eastAsia="Times New Roman"/>
                <w:sz w:val="16"/>
                <w:szCs w:val="16"/>
              </w:rPr>
              <w:t>N</w:t>
            </w:r>
          </w:p>
          <w:p w:rsidR="00AC0744" w:rsidRPr="00931FD3" w:rsidRDefault="00AC0744">
            <w:pPr>
              <w:jc w:val="center"/>
              <w:rPr>
                <w:rFonts w:eastAsia="Times New Roman"/>
                <w:sz w:val="16"/>
                <w:szCs w:val="16"/>
              </w:rPr>
            </w:pPr>
            <w:r w:rsidRPr="00931FD3">
              <w:rPr>
                <w:rFonts w:eastAsia="Times New Roman"/>
                <w:bCs/>
                <w:sz w:val="16"/>
                <w:szCs w:val="16"/>
              </w:rPr>
              <w:t>Firm-Year</w:t>
            </w:r>
          </w:p>
        </w:tc>
        <w:tc>
          <w:tcPr>
            <w:tcW w:w="426" w:type="pct"/>
            <w:gridSpan w:val="2"/>
            <w:tcBorders>
              <w:top w:val="single" w:sz="4" w:space="0" w:color="auto"/>
              <w:left w:val="nil"/>
              <w:bottom w:val="single" w:sz="4" w:space="0" w:color="auto"/>
              <w:right w:val="nil"/>
            </w:tcBorders>
            <w:shd w:val="clear" w:color="auto" w:fill="auto"/>
            <w:noWrap/>
            <w:vAlign w:val="bottom"/>
            <w:hideMark/>
          </w:tcPr>
          <w:p w:rsidR="00AC0744" w:rsidRPr="00931FD3" w:rsidRDefault="00AC0744" w:rsidP="00742ADD">
            <w:pPr>
              <w:jc w:val="center"/>
              <w:rPr>
                <w:rFonts w:eastAsia="Times New Roman"/>
                <w:bCs/>
                <w:i/>
                <w:iCs/>
                <w:sz w:val="16"/>
                <w:szCs w:val="16"/>
              </w:rPr>
            </w:pPr>
            <w:r w:rsidRPr="00931FD3">
              <w:rPr>
                <w:rFonts w:eastAsia="Times New Roman"/>
                <w:bCs/>
                <w:i/>
                <w:sz w:val="16"/>
                <w:szCs w:val="16"/>
              </w:rPr>
              <w:t>ICoE</w:t>
            </w:r>
          </w:p>
        </w:tc>
        <w:tc>
          <w:tcPr>
            <w:tcW w:w="402" w:type="pct"/>
            <w:gridSpan w:val="2"/>
            <w:tcBorders>
              <w:top w:val="single" w:sz="4" w:space="0" w:color="auto"/>
              <w:left w:val="nil"/>
              <w:bottom w:val="single" w:sz="4" w:space="0" w:color="auto"/>
              <w:right w:val="nil"/>
            </w:tcBorders>
            <w:shd w:val="clear" w:color="auto" w:fill="auto"/>
            <w:noWrap/>
            <w:vAlign w:val="bottom"/>
            <w:hideMark/>
          </w:tcPr>
          <w:p w:rsidR="00AC0744" w:rsidRPr="00931FD3" w:rsidRDefault="00AC0744" w:rsidP="00742ADD">
            <w:pPr>
              <w:jc w:val="center"/>
              <w:rPr>
                <w:rFonts w:eastAsia="Times New Roman"/>
                <w:bCs/>
                <w:i/>
                <w:iCs/>
                <w:sz w:val="16"/>
                <w:szCs w:val="16"/>
              </w:rPr>
            </w:pPr>
            <w:r w:rsidRPr="00931FD3">
              <w:rPr>
                <w:rFonts w:eastAsia="Times New Roman"/>
                <w:bCs/>
                <w:i/>
                <w:iCs/>
                <w:sz w:val="16"/>
                <w:szCs w:val="16"/>
              </w:rPr>
              <w:t>EQ</w:t>
            </w:r>
          </w:p>
        </w:tc>
        <w:tc>
          <w:tcPr>
            <w:tcW w:w="402" w:type="pct"/>
            <w:gridSpan w:val="3"/>
            <w:tcBorders>
              <w:top w:val="single" w:sz="4" w:space="0" w:color="auto"/>
              <w:left w:val="nil"/>
              <w:bottom w:val="single" w:sz="4" w:space="0" w:color="auto"/>
              <w:right w:val="nil"/>
            </w:tcBorders>
            <w:shd w:val="clear" w:color="auto" w:fill="auto"/>
            <w:noWrap/>
            <w:vAlign w:val="bottom"/>
            <w:hideMark/>
          </w:tcPr>
          <w:p w:rsidR="00AC0744" w:rsidRPr="00931FD3" w:rsidRDefault="00AC0744" w:rsidP="00742ADD">
            <w:pPr>
              <w:jc w:val="center"/>
              <w:rPr>
                <w:rFonts w:eastAsia="Times New Roman"/>
                <w:bCs/>
                <w:i/>
                <w:iCs/>
                <w:sz w:val="16"/>
                <w:szCs w:val="16"/>
              </w:rPr>
            </w:pPr>
            <w:r w:rsidRPr="00931FD3">
              <w:rPr>
                <w:rFonts w:eastAsia="Times New Roman"/>
                <w:bCs/>
                <w:i/>
                <w:iCs/>
                <w:sz w:val="16"/>
                <w:szCs w:val="16"/>
              </w:rPr>
              <w:t>P_EQmsw</w:t>
            </w:r>
          </w:p>
        </w:tc>
        <w:tc>
          <w:tcPr>
            <w:tcW w:w="405" w:type="pct"/>
            <w:gridSpan w:val="3"/>
            <w:tcBorders>
              <w:left w:val="nil"/>
              <w:bottom w:val="single" w:sz="4" w:space="0" w:color="auto"/>
              <w:right w:val="nil"/>
            </w:tcBorders>
            <w:shd w:val="clear" w:color="auto" w:fill="auto"/>
            <w:noWrap/>
            <w:vAlign w:val="bottom"/>
          </w:tcPr>
          <w:p w:rsidR="00AC0744" w:rsidRPr="00931FD3" w:rsidRDefault="00AC0744" w:rsidP="00742ADD">
            <w:pPr>
              <w:jc w:val="center"/>
              <w:rPr>
                <w:rFonts w:eastAsia="Times New Roman"/>
                <w:sz w:val="16"/>
                <w:szCs w:val="16"/>
              </w:rPr>
            </w:pPr>
            <w:r w:rsidRPr="00931FD3">
              <w:rPr>
                <w:rFonts w:eastAsia="Times New Roman"/>
                <w:sz w:val="16"/>
                <w:szCs w:val="16"/>
              </w:rPr>
              <w:t xml:space="preserve">     N</w:t>
            </w:r>
          </w:p>
          <w:p w:rsidR="00AC0744" w:rsidRPr="00931FD3" w:rsidRDefault="00AC0744">
            <w:pPr>
              <w:jc w:val="center"/>
              <w:rPr>
                <w:rFonts w:eastAsia="Times New Roman"/>
                <w:sz w:val="16"/>
                <w:szCs w:val="16"/>
              </w:rPr>
            </w:pPr>
            <w:r w:rsidRPr="00931FD3">
              <w:rPr>
                <w:rFonts w:eastAsia="Times New Roman"/>
                <w:bCs/>
                <w:sz w:val="16"/>
                <w:szCs w:val="16"/>
              </w:rPr>
              <w:t>Firm-Year</w:t>
            </w:r>
          </w:p>
        </w:tc>
        <w:tc>
          <w:tcPr>
            <w:tcW w:w="401" w:type="pct"/>
            <w:gridSpan w:val="2"/>
            <w:tcBorders>
              <w:top w:val="single" w:sz="4" w:space="0" w:color="auto"/>
              <w:left w:val="nil"/>
              <w:bottom w:val="single" w:sz="4" w:space="0" w:color="auto"/>
              <w:right w:val="nil"/>
            </w:tcBorders>
            <w:shd w:val="clear" w:color="auto" w:fill="auto"/>
            <w:noWrap/>
            <w:vAlign w:val="bottom"/>
          </w:tcPr>
          <w:p w:rsidR="00AC0744" w:rsidRPr="00931FD3" w:rsidRDefault="00AC0744" w:rsidP="00742ADD">
            <w:pPr>
              <w:jc w:val="center"/>
              <w:rPr>
                <w:rFonts w:eastAsia="Times New Roman"/>
                <w:bCs/>
                <w:i/>
                <w:iCs/>
                <w:sz w:val="16"/>
                <w:szCs w:val="16"/>
              </w:rPr>
            </w:pPr>
            <w:r w:rsidRPr="00931FD3">
              <w:rPr>
                <w:rFonts w:eastAsia="Times New Roman"/>
                <w:bCs/>
                <w:i/>
                <w:iCs/>
                <w:sz w:val="16"/>
                <w:szCs w:val="16"/>
              </w:rPr>
              <w:t>IndEP</w:t>
            </w:r>
          </w:p>
        </w:tc>
        <w:tc>
          <w:tcPr>
            <w:tcW w:w="401" w:type="pct"/>
            <w:gridSpan w:val="2"/>
            <w:tcBorders>
              <w:top w:val="single" w:sz="4" w:space="0" w:color="auto"/>
              <w:left w:val="nil"/>
              <w:bottom w:val="single" w:sz="4" w:space="0" w:color="auto"/>
              <w:right w:val="nil"/>
            </w:tcBorders>
            <w:shd w:val="clear" w:color="auto" w:fill="auto"/>
            <w:noWrap/>
            <w:vAlign w:val="bottom"/>
          </w:tcPr>
          <w:p w:rsidR="00AC0744" w:rsidRPr="00931FD3" w:rsidRDefault="00AC0744" w:rsidP="00742ADD">
            <w:pPr>
              <w:jc w:val="center"/>
              <w:rPr>
                <w:rFonts w:eastAsia="Times New Roman"/>
                <w:bCs/>
                <w:i/>
                <w:iCs/>
                <w:sz w:val="16"/>
                <w:szCs w:val="16"/>
              </w:rPr>
            </w:pPr>
            <w:r w:rsidRPr="00931FD3">
              <w:rPr>
                <w:rFonts w:eastAsia="Times New Roman"/>
                <w:bCs/>
                <w:i/>
                <w:iCs/>
                <w:sz w:val="16"/>
                <w:szCs w:val="16"/>
              </w:rPr>
              <w:t>EQ</w:t>
            </w:r>
          </w:p>
        </w:tc>
        <w:tc>
          <w:tcPr>
            <w:tcW w:w="376" w:type="pct"/>
            <w:tcBorders>
              <w:top w:val="single" w:sz="4" w:space="0" w:color="auto"/>
              <w:left w:val="nil"/>
              <w:bottom w:val="single" w:sz="4" w:space="0" w:color="auto"/>
              <w:right w:val="nil"/>
            </w:tcBorders>
            <w:shd w:val="clear" w:color="auto" w:fill="auto"/>
            <w:noWrap/>
            <w:vAlign w:val="bottom"/>
          </w:tcPr>
          <w:p w:rsidR="00AC0744" w:rsidRPr="00931FD3" w:rsidRDefault="00AC0744" w:rsidP="00742ADD">
            <w:pPr>
              <w:jc w:val="center"/>
              <w:rPr>
                <w:rFonts w:eastAsia="Times New Roman"/>
                <w:bCs/>
                <w:i/>
                <w:iCs/>
                <w:sz w:val="16"/>
                <w:szCs w:val="16"/>
              </w:rPr>
            </w:pPr>
            <w:r w:rsidRPr="00931FD3">
              <w:rPr>
                <w:rFonts w:eastAsia="Times New Roman"/>
                <w:bCs/>
                <w:i/>
                <w:iCs/>
                <w:sz w:val="16"/>
                <w:szCs w:val="16"/>
              </w:rPr>
              <w:t>P_EQmsw</w:t>
            </w:r>
          </w:p>
        </w:tc>
      </w:tr>
      <w:tr w:rsidR="005C608C" w:rsidRPr="005C608C" w:rsidTr="008010EB">
        <w:trPr>
          <w:trHeight w:val="221"/>
          <w:jc w:val="center"/>
        </w:trPr>
        <w:tc>
          <w:tcPr>
            <w:tcW w:w="412" w:type="pct"/>
            <w:tcBorders>
              <w:top w:val="nil"/>
              <w:left w:val="nil"/>
              <w:bottom w:val="nil"/>
              <w:right w:val="nil"/>
            </w:tcBorders>
            <w:shd w:val="clear" w:color="auto" w:fill="auto"/>
            <w:vAlign w:val="bottom"/>
            <w:hideMark/>
          </w:tcPr>
          <w:p w:rsidR="0012580D" w:rsidRPr="00931FD3" w:rsidRDefault="0012580D" w:rsidP="00931FD3">
            <w:pPr>
              <w:ind w:left="-90"/>
              <w:rPr>
                <w:rFonts w:eastAsia="Times New Roman"/>
                <w:sz w:val="16"/>
                <w:szCs w:val="16"/>
              </w:rPr>
            </w:pPr>
            <w:r w:rsidRPr="00931FD3">
              <w:rPr>
                <w:rFonts w:eastAsia="Times New Roman"/>
                <w:sz w:val="16"/>
                <w:szCs w:val="16"/>
              </w:rPr>
              <w:t xml:space="preserve">Metals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4,025</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0.008</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0.194</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0.169</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100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0.146</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−0.267</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−0.283</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187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0.013</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−0.319</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−0.296</w:t>
            </w:r>
          </w:p>
        </w:tc>
      </w:tr>
      <w:tr w:rsidR="005C608C" w:rsidRPr="005C608C" w:rsidTr="008010EB">
        <w:trPr>
          <w:trHeight w:val="229"/>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Mining</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3,054</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0.009</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0.099</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0.067</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108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0.125</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−0.082</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−0.073</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237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0.007</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−0.096</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−0.063</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Coal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776</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0.020</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0.036</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0.031</w:t>
            </w:r>
          </w:p>
        </w:tc>
        <w:tc>
          <w:tcPr>
            <w:tcW w:w="378" w:type="pct"/>
            <w:gridSpan w:val="2"/>
            <w:tcBorders>
              <w:top w:val="nil"/>
              <w:left w:val="nil"/>
              <w:bottom w:val="nil"/>
              <w:right w:val="nil"/>
            </w:tcBorders>
            <w:shd w:val="clear" w:color="auto" w:fill="auto"/>
            <w:noWrap/>
            <w:vAlign w:val="bottom"/>
            <w:hideMark/>
          </w:tcPr>
          <w:p w:rsidR="0012580D" w:rsidRPr="00931FD3" w:rsidRDefault="0012580D">
            <w:pPr>
              <w:rPr>
                <w:color w:val="000000"/>
                <w:sz w:val="16"/>
                <w:szCs w:val="16"/>
              </w:rPr>
            </w:pPr>
            <w:r w:rsidRPr="00931FD3">
              <w:rPr>
                <w:color w:val="000000"/>
                <w:sz w:val="16"/>
                <w:szCs w:val="16"/>
              </w:rPr>
              <w:t xml:space="preserve">38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0.128</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−0.036</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−0.035</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68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0.008</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−0.034</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−0.033</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Petroleum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27,758</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0.014</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0.215</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0.167</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1,129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0.137</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−0.147</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−0.138</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1,874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0.008</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−0.146</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−0.118</w:t>
            </w:r>
          </w:p>
        </w:tc>
      </w:tr>
      <w:tr w:rsidR="005C608C" w:rsidRPr="005C608C" w:rsidTr="008010EB">
        <w:trPr>
          <w:trHeight w:val="306"/>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Utilities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25,465</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0.009</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0.012</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0.011</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1,108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0.077</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−0.013</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−0.013</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2,093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0.003</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−0.013</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−0.012</w:t>
            </w:r>
          </w:p>
        </w:tc>
      </w:tr>
      <w:tr w:rsidR="005C608C" w:rsidRPr="005C608C" w:rsidTr="008010EB">
        <w:trPr>
          <w:trHeight w:val="224"/>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Comm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17,121</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0.007</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0.417</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0.347</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833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0.127</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−0.553</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−0.535</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1,185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0.008</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−0.437</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−0.405</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Per Services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5,121</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0.008</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0.053</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0.042</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205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0.114</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−0.051</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−0.045</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391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0.002</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−0.049</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−0.047</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Bus Services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61,878</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0.010</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0.221</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0.190</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2,446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0.128</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−0.309</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−0.276</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3,834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0.009</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−0.282</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−0.260</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Computers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24,470</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0.013</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0.111</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0.077</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882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0.138</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−0.103</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−0.088</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1,386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0.010</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−0.105</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−0.088</w:t>
            </w:r>
          </w:p>
        </w:tc>
      </w:tr>
      <w:tr w:rsidR="005C608C" w:rsidRPr="005C608C" w:rsidTr="008010EB">
        <w:trPr>
          <w:trHeight w:val="293"/>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Electronic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40,526</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0.011</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0.164</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0.131</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1,657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0.145</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−0.194</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−0.177</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2,429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0.009</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−0.158</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−0.140</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Measuring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15,677</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0.014</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0.130</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0.087</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566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0.129</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−0.129</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−0.102</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1,031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0.006</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−0.109</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−0.084</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Bus Suppli</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9,155</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0.004</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0.033</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0.023</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373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0.141</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−0.028</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−0.025</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631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0.006</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−0.032</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−0.027</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Container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1,867</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0.006</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0.034</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0.035</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112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0.122</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−0.040</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−0.044</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153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0.002</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−0.038</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−0.045</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Transport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16,232</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0.008</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0.049</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0.042</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789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0.126</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−0.054</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−0.049</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1,291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0.011</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−0.051</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−0.046</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Wholesale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22,837</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0.009</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0.135</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0.080</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717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0.125</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−0.193</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−0.154</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1,667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0.009</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−0.165</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−0.126</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Retail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31,345</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0.009</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0.064</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0.037</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1,419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0.110</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−0.072</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−0.043</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2,389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0.006</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−0.063</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−0.042</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Restaurant</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10,829</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0.006</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0.094</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0.057</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410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0.104</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−0.105</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−0.082</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793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−0.001</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−0.095</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−0.065</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Banking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5,346</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0.006</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0.052</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0.028</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182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0.140</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−0.042</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−0.030</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383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0.015</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−0.045</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−0.023</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Insurance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17,966</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0.007</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0.036</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0.025</w:t>
            </w:r>
          </w:p>
        </w:tc>
        <w:tc>
          <w:tcPr>
            <w:tcW w:w="378" w:type="pct"/>
            <w:gridSpan w:val="2"/>
            <w:tcBorders>
              <w:top w:val="nil"/>
              <w:left w:val="nil"/>
              <w:bottom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785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0.106</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−0.032</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−0.024</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1,317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0.002</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−0.035</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−0.025</w:t>
            </w:r>
          </w:p>
        </w:tc>
      </w:tr>
      <w:tr w:rsidR="005C608C" w:rsidRPr="005C608C" w:rsidTr="008010EB">
        <w:trPr>
          <w:trHeight w:val="268"/>
          <w:jc w:val="center"/>
        </w:trPr>
        <w:tc>
          <w:tcPr>
            <w:tcW w:w="412" w:type="pct"/>
            <w:tcBorders>
              <w:top w:val="nil"/>
              <w:left w:val="nil"/>
              <w:bottom w:val="nil"/>
              <w:right w:val="nil"/>
            </w:tcBorders>
            <w:shd w:val="clear" w:color="auto" w:fill="auto"/>
            <w:vAlign w:val="bottom"/>
          </w:tcPr>
          <w:p w:rsidR="0012580D" w:rsidRPr="00931FD3" w:rsidRDefault="0012580D" w:rsidP="00931FD3">
            <w:pPr>
              <w:ind w:left="-90"/>
              <w:rPr>
                <w:rFonts w:eastAsia="Times New Roman"/>
                <w:sz w:val="16"/>
                <w:szCs w:val="16"/>
              </w:rPr>
            </w:pPr>
            <w:r w:rsidRPr="00931FD3">
              <w:rPr>
                <w:rFonts w:eastAsia="Times New Roman"/>
                <w:sz w:val="16"/>
                <w:szCs w:val="16"/>
              </w:rPr>
              <w:t xml:space="preserve"> Real Estate </w:t>
            </w:r>
          </w:p>
        </w:tc>
        <w:tc>
          <w:tcPr>
            <w:tcW w:w="402" w:type="pct"/>
            <w:tcBorders>
              <w:top w:val="nil"/>
              <w:left w:val="nil"/>
              <w:bottom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4,736</w:t>
            </w:r>
          </w:p>
        </w:tc>
        <w:tc>
          <w:tcPr>
            <w:tcW w:w="285" w:type="pct"/>
            <w:gridSpan w:val="2"/>
            <w:tcBorders>
              <w:top w:val="nil"/>
              <w:left w:val="nil"/>
              <w:bottom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0.005</w:t>
            </w:r>
          </w:p>
        </w:tc>
        <w:tc>
          <w:tcPr>
            <w:tcW w:w="305" w:type="pct"/>
            <w:tcBorders>
              <w:top w:val="nil"/>
              <w:left w:val="nil"/>
              <w:bottom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0.207</w:t>
            </w:r>
          </w:p>
        </w:tc>
        <w:tc>
          <w:tcPr>
            <w:tcW w:w="404" w:type="pct"/>
            <w:gridSpan w:val="2"/>
            <w:tcBorders>
              <w:top w:val="nil"/>
              <w:left w:val="nil"/>
              <w:bottom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0.164</w:t>
            </w:r>
          </w:p>
        </w:tc>
        <w:tc>
          <w:tcPr>
            <w:tcW w:w="378" w:type="pct"/>
            <w:gridSpan w:val="2"/>
            <w:tcBorders>
              <w:top w:val="nil"/>
              <w:left w:val="nil"/>
              <w:bottom w:val="nil"/>
              <w:right w:val="nil"/>
            </w:tcBorders>
            <w:shd w:val="clear" w:color="auto" w:fill="auto"/>
            <w:noWrap/>
            <w:vAlign w:val="bottom"/>
            <w:hideMark/>
          </w:tcPr>
          <w:p w:rsidR="0012580D" w:rsidRPr="00931FD3" w:rsidRDefault="0012580D">
            <w:pPr>
              <w:rPr>
                <w:color w:val="000000"/>
                <w:sz w:val="16"/>
                <w:szCs w:val="16"/>
              </w:rPr>
            </w:pPr>
            <w:r w:rsidRPr="00931FD3">
              <w:rPr>
                <w:color w:val="000000"/>
                <w:sz w:val="16"/>
                <w:szCs w:val="16"/>
              </w:rPr>
              <w:t xml:space="preserve">25 </w:t>
            </w:r>
          </w:p>
        </w:tc>
        <w:tc>
          <w:tcPr>
            <w:tcW w:w="426"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0.134</w:t>
            </w:r>
          </w:p>
        </w:tc>
        <w:tc>
          <w:tcPr>
            <w:tcW w:w="402" w:type="pct"/>
            <w:gridSpan w:val="2"/>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−0.232</w:t>
            </w:r>
          </w:p>
        </w:tc>
        <w:tc>
          <w:tcPr>
            <w:tcW w:w="402" w:type="pct"/>
            <w:gridSpan w:val="3"/>
            <w:tcBorders>
              <w:top w:val="nil"/>
              <w:left w:val="nil"/>
              <w:bottom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−0.229</w:t>
            </w:r>
          </w:p>
        </w:tc>
        <w:tc>
          <w:tcPr>
            <w:tcW w:w="405" w:type="pct"/>
            <w:gridSpan w:val="3"/>
            <w:tcBorders>
              <w:top w:val="nil"/>
              <w:left w:val="nil"/>
              <w:bottom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278 </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0.001</w:t>
            </w:r>
          </w:p>
        </w:tc>
        <w:tc>
          <w:tcPr>
            <w:tcW w:w="401" w:type="pct"/>
            <w:gridSpan w:val="2"/>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−0.234</w:t>
            </w:r>
          </w:p>
        </w:tc>
        <w:tc>
          <w:tcPr>
            <w:tcW w:w="376" w:type="pct"/>
            <w:tcBorders>
              <w:top w:val="nil"/>
              <w:left w:val="nil"/>
              <w:bottom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−0.186</w:t>
            </w:r>
          </w:p>
        </w:tc>
      </w:tr>
      <w:tr w:rsidR="005C608C" w:rsidRPr="005C608C" w:rsidTr="008010EB">
        <w:trPr>
          <w:trHeight w:val="206"/>
          <w:jc w:val="center"/>
        </w:trPr>
        <w:tc>
          <w:tcPr>
            <w:tcW w:w="412" w:type="pct"/>
            <w:tcBorders>
              <w:top w:val="nil"/>
              <w:left w:val="nil"/>
              <w:right w:val="nil"/>
            </w:tcBorders>
            <w:shd w:val="clear" w:color="auto" w:fill="auto"/>
            <w:vAlign w:val="bottom"/>
            <w:hideMark/>
          </w:tcPr>
          <w:p w:rsidR="0012580D" w:rsidRPr="00931FD3" w:rsidRDefault="0012580D" w:rsidP="00931FD3">
            <w:pPr>
              <w:ind w:left="-90"/>
              <w:rPr>
                <w:rFonts w:eastAsia="Times New Roman"/>
                <w:sz w:val="16"/>
                <w:szCs w:val="16"/>
              </w:rPr>
            </w:pPr>
            <w:r w:rsidRPr="00931FD3">
              <w:rPr>
                <w:rFonts w:eastAsia="Times New Roman"/>
                <w:sz w:val="16"/>
                <w:szCs w:val="16"/>
              </w:rPr>
              <w:t xml:space="preserve"> Trading </w:t>
            </w:r>
          </w:p>
        </w:tc>
        <w:tc>
          <w:tcPr>
            <w:tcW w:w="402" w:type="pct"/>
            <w:tcBorders>
              <w:top w:val="nil"/>
              <w:left w:val="nil"/>
              <w:right w:val="nil"/>
            </w:tcBorders>
            <w:shd w:val="clear" w:color="auto" w:fill="auto"/>
            <w:noWrap/>
            <w:vAlign w:val="center"/>
            <w:hideMark/>
          </w:tcPr>
          <w:p w:rsidR="0012580D" w:rsidRPr="00931FD3" w:rsidRDefault="0012580D" w:rsidP="00931FD3">
            <w:pPr>
              <w:jc w:val="right"/>
              <w:rPr>
                <w:color w:val="000000"/>
                <w:sz w:val="16"/>
                <w:szCs w:val="16"/>
              </w:rPr>
            </w:pPr>
            <w:r w:rsidRPr="00931FD3">
              <w:rPr>
                <w:color w:val="000000"/>
                <w:sz w:val="16"/>
                <w:szCs w:val="16"/>
              </w:rPr>
              <w:t>18,309</w:t>
            </w:r>
          </w:p>
        </w:tc>
        <w:tc>
          <w:tcPr>
            <w:tcW w:w="285" w:type="pct"/>
            <w:gridSpan w:val="2"/>
            <w:tcBorders>
              <w:top w:val="nil"/>
              <w:left w:val="nil"/>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0.011</w:t>
            </w:r>
          </w:p>
        </w:tc>
        <w:tc>
          <w:tcPr>
            <w:tcW w:w="305" w:type="pct"/>
            <w:tcBorders>
              <w:top w:val="nil"/>
              <w:left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0.098</w:t>
            </w:r>
          </w:p>
        </w:tc>
        <w:tc>
          <w:tcPr>
            <w:tcW w:w="404" w:type="pct"/>
            <w:gridSpan w:val="2"/>
            <w:tcBorders>
              <w:top w:val="nil"/>
              <w:left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0.053</w:t>
            </w:r>
          </w:p>
        </w:tc>
        <w:tc>
          <w:tcPr>
            <w:tcW w:w="378" w:type="pct"/>
            <w:gridSpan w:val="2"/>
            <w:tcBorders>
              <w:top w:val="nil"/>
              <w:left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403 </w:t>
            </w:r>
          </w:p>
        </w:tc>
        <w:tc>
          <w:tcPr>
            <w:tcW w:w="426" w:type="pct"/>
            <w:gridSpan w:val="2"/>
            <w:tcBorders>
              <w:top w:val="nil"/>
              <w:left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0.113</w:t>
            </w:r>
          </w:p>
        </w:tc>
        <w:tc>
          <w:tcPr>
            <w:tcW w:w="402" w:type="pct"/>
            <w:gridSpan w:val="2"/>
            <w:tcBorders>
              <w:top w:val="nil"/>
              <w:left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−0.115</w:t>
            </w:r>
          </w:p>
        </w:tc>
        <w:tc>
          <w:tcPr>
            <w:tcW w:w="402" w:type="pct"/>
            <w:gridSpan w:val="3"/>
            <w:tcBorders>
              <w:top w:val="nil"/>
              <w:left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−0.076</w:t>
            </w:r>
          </w:p>
        </w:tc>
        <w:tc>
          <w:tcPr>
            <w:tcW w:w="405" w:type="pct"/>
            <w:gridSpan w:val="3"/>
            <w:tcBorders>
              <w:top w:val="nil"/>
              <w:left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1,279 </w:t>
            </w:r>
          </w:p>
        </w:tc>
        <w:tc>
          <w:tcPr>
            <w:tcW w:w="401" w:type="pct"/>
            <w:gridSpan w:val="2"/>
            <w:tcBorders>
              <w:top w:val="nil"/>
              <w:left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0.008</w:t>
            </w:r>
          </w:p>
        </w:tc>
        <w:tc>
          <w:tcPr>
            <w:tcW w:w="401" w:type="pct"/>
            <w:gridSpan w:val="2"/>
            <w:tcBorders>
              <w:top w:val="nil"/>
              <w:left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−0.106</w:t>
            </w:r>
          </w:p>
        </w:tc>
        <w:tc>
          <w:tcPr>
            <w:tcW w:w="376" w:type="pct"/>
            <w:tcBorders>
              <w:top w:val="nil"/>
              <w:left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−0.090</w:t>
            </w:r>
          </w:p>
        </w:tc>
      </w:tr>
      <w:tr w:rsidR="005C608C" w:rsidRPr="005C608C" w:rsidTr="008010EB">
        <w:trPr>
          <w:trHeight w:val="206"/>
          <w:jc w:val="center"/>
        </w:trPr>
        <w:tc>
          <w:tcPr>
            <w:tcW w:w="412" w:type="pct"/>
            <w:tcBorders>
              <w:top w:val="nil"/>
              <w:left w:val="nil"/>
              <w:right w:val="nil"/>
            </w:tcBorders>
            <w:shd w:val="clear" w:color="auto" w:fill="auto"/>
            <w:vAlign w:val="bottom"/>
            <w:hideMark/>
          </w:tcPr>
          <w:p w:rsidR="0012580D" w:rsidRPr="00931FD3" w:rsidRDefault="0012580D" w:rsidP="00931FD3">
            <w:pPr>
              <w:ind w:left="-90"/>
              <w:rPr>
                <w:rFonts w:eastAsia="Times New Roman"/>
                <w:sz w:val="16"/>
                <w:szCs w:val="16"/>
              </w:rPr>
            </w:pPr>
            <w:r w:rsidRPr="00931FD3">
              <w:rPr>
                <w:rFonts w:eastAsia="Times New Roman"/>
                <w:sz w:val="16"/>
                <w:szCs w:val="16"/>
              </w:rPr>
              <w:t xml:space="preserve">Other </w:t>
            </w:r>
          </w:p>
        </w:tc>
        <w:tc>
          <w:tcPr>
            <w:tcW w:w="402" w:type="pct"/>
            <w:tcBorders>
              <w:top w:val="nil"/>
              <w:left w:val="nil"/>
              <w:right w:val="nil"/>
            </w:tcBorders>
            <w:shd w:val="clear" w:color="auto" w:fill="auto"/>
            <w:noWrap/>
            <w:vAlign w:val="bottom"/>
            <w:hideMark/>
          </w:tcPr>
          <w:p w:rsidR="0012580D" w:rsidRPr="00931FD3" w:rsidRDefault="0012580D" w:rsidP="00931FD3">
            <w:pPr>
              <w:jc w:val="right"/>
              <w:rPr>
                <w:color w:val="000000"/>
                <w:sz w:val="16"/>
                <w:szCs w:val="16"/>
              </w:rPr>
            </w:pPr>
            <w:r w:rsidRPr="00931FD3">
              <w:rPr>
                <w:color w:val="000000"/>
                <w:sz w:val="16"/>
                <w:szCs w:val="16"/>
              </w:rPr>
              <w:t xml:space="preserve"> 6,289 </w:t>
            </w:r>
          </w:p>
        </w:tc>
        <w:tc>
          <w:tcPr>
            <w:tcW w:w="285" w:type="pct"/>
            <w:gridSpan w:val="2"/>
            <w:tcBorders>
              <w:top w:val="nil"/>
              <w:left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0.015</w:t>
            </w:r>
          </w:p>
        </w:tc>
        <w:tc>
          <w:tcPr>
            <w:tcW w:w="305" w:type="pct"/>
            <w:tcBorders>
              <w:top w:val="nil"/>
              <w:left w:val="nil"/>
              <w:right w:val="nil"/>
            </w:tcBorders>
            <w:shd w:val="clear" w:color="auto" w:fill="auto"/>
            <w:noWrap/>
            <w:vAlign w:val="bottom"/>
          </w:tcPr>
          <w:p w:rsidR="0012580D" w:rsidRPr="00931FD3" w:rsidRDefault="002F063F" w:rsidP="00931FD3">
            <w:pPr>
              <w:jc w:val="center"/>
              <w:rPr>
                <w:color w:val="000000"/>
                <w:sz w:val="16"/>
                <w:szCs w:val="16"/>
              </w:rPr>
            </w:pPr>
            <w:r>
              <w:rPr>
                <w:color w:val="000000"/>
                <w:sz w:val="16"/>
                <w:szCs w:val="16"/>
              </w:rPr>
              <w:t>−</w:t>
            </w:r>
            <w:r w:rsidR="0012580D" w:rsidRPr="00931FD3">
              <w:rPr>
                <w:color w:val="000000"/>
                <w:sz w:val="16"/>
                <w:szCs w:val="16"/>
              </w:rPr>
              <w:t>0.145</w:t>
            </w:r>
          </w:p>
        </w:tc>
        <w:tc>
          <w:tcPr>
            <w:tcW w:w="404" w:type="pct"/>
            <w:gridSpan w:val="2"/>
            <w:tcBorders>
              <w:top w:val="nil"/>
              <w:left w:val="nil"/>
              <w:right w:val="nil"/>
            </w:tcBorders>
            <w:shd w:val="clear" w:color="auto" w:fill="auto"/>
            <w:noWrap/>
            <w:vAlign w:val="bottom"/>
          </w:tcPr>
          <w:p w:rsidR="0012580D" w:rsidRPr="00931FD3" w:rsidRDefault="002F063F">
            <w:pPr>
              <w:jc w:val="center"/>
              <w:rPr>
                <w:color w:val="000000"/>
                <w:sz w:val="16"/>
                <w:szCs w:val="16"/>
              </w:rPr>
            </w:pPr>
            <w:r>
              <w:rPr>
                <w:color w:val="000000"/>
                <w:sz w:val="16"/>
                <w:szCs w:val="16"/>
              </w:rPr>
              <w:t>−</w:t>
            </w:r>
            <w:r w:rsidR="0012580D" w:rsidRPr="00931FD3">
              <w:rPr>
                <w:color w:val="000000"/>
                <w:sz w:val="16"/>
                <w:szCs w:val="16"/>
              </w:rPr>
              <w:t>0.075</w:t>
            </w:r>
          </w:p>
        </w:tc>
        <w:tc>
          <w:tcPr>
            <w:tcW w:w="378" w:type="pct"/>
            <w:gridSpan w:val="2"/>
            <w:tcBorders>
              <w:top w:val="nil"/>
              <w:left w:val="nil"/>
              <w:right w:val="nil"/>
            </w:tcBorders>
            <w:shd w:val="clear" w:color="auto" w:fill="auto"/>
            <w:noWrap/>
            <w:vAlign w:val="bottom"/>
            <w:hideMark/>
          </w:tcPr>
          <w:p w:rsidR="0012580D" w:rsidRPr="00931FD3" w:rsidRDefault="0012580D" w:rsidP="00742ADD">
            <w:pPr>
              <w:rPr>
                <w:color w:val="000000"/>
                <w:sz w:val="16"/>
                <w:szCs w:val="16"/>
              </w:rPr>
            </w:pPr>
            <w:r w:rsidRPr="00931FD3">
              <w:rPr>
                <w:color w:val="000000"/>
                <w:sz w:val="16"/>
                <w:szCs w:val="16"/>
              </w:rPr>
              <w:t xml:space="preserve">209 </w:t>
            </w:r>
          </w:p>
        </w:tc>
        <w:tc>
          <w:tcPr>
            <w:tcW w:w="426" w:type="pct"/>
            <w:gridSpan w:val="2"/>
            <w:tcBorders>
              <w:top w:val="nil"/>
              <w:left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0.119</w:t>
            </w:r>
          </w:p>
        </w:tc>
        <w:tc>
          <w:tcPr>
            <w:tcW w:w="402" w:type="pct"/>
            <w:gridSpan w:val="2"/>
            <w:tcBorders>
              <w:top w:val="nil"/>
              <w:left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−0.168</w:t>
            </w:r>
          </w:p>
        </w:tc>
        <w:tc>
          <w:tcPr>
            <w:tcW w:w="402" w:type="pct"/>
            <w:gridSpan w:val="3"/>
            <w:tcBorders>
              <w:top w:val="nil"/>
              <w:left w:val="nil"/>
              <w:right w:val="nil"/>
            </w:tcBorders>
            <w:shd w:val="clear" w:color="auto" w:fill="auto"/>
            <w:noWrap/>
            <w:vAlign w:val="bottom"/>
            <w:hideMark/>
          </w:tcPr>
          <w:p w:rsidR="0012580D" w:rsidRPr="00931FD3" w:rsidRDefault="0012580D" w:rsidP="00742ADD">
            <w:pPr>
              <w:jc w:val="center"/>
              <w:rPr>
                <w:color w:val="000000"/>
                <w:sz w:val="16"/>
                <w:szCs w:val="16"/>
              </w:rPr>
            </w:pPr>
            <w:r w:rsidRPr="00931FD3">
              <w:rPr>
                <w:color w:val="000000"/>
                <w:sz w:val="16"/>
                <w:szCs w:val="16"/>
              </w:rPr>
              <w:t>−0.106</w:t>
            </w:r>
          </w:p>
        </w:tc>
        <w:tc>
          <w:tcPr>
            <w:tcW w:w="405" w:type="pct"/>
            <w:gridSpan w:val="3"/>
            <w:tcBorders>
              <w:top w:val="nil"/>
              <w:left w:val="nil"/>
              <w:right w:val="nil"/>
            </w:tcBorders>
            <w:shd w:val="clear" w:color="auto" w:fill="auto"/>
            <w:noWrap/>
            <w:vAlign w:val="bottom"/>
          </w:tcPr>
          <w:p w:rsidR="0012580D" w:rsidRPr="00931FD3" w:rsidRDefault="0012580D" w:rsidP="00931FD3">
            <w:pPr>
              <w:jc w:val="center"/>
              <w:rPr>
                <w:color w:val="000000"/>
                <w:sz w:val="16"/>
                <w:szCs w:val="16"/>
              </w:rPr>
            </w:pPr>
            <w:r w:rsidRPr="00931FD3">
              <w:rPr>
                <w:color w:val="000000"/>
                <w:sz w:val="16"/>
                <w:szCs w:val="16"/>
              </w:rPr>
              <w:t xml:space="preserve">           391 </w:t>
            </w:r>
          </w:p>
        </w:tc>
        <w:tc>
          <w:tcPr>
            <w:tcW w:w="401" w:type="pct"/>
            <w:gridSpan w:val="2"/>
            <w:tcBorders>
              <w:top w:val="nil"/>
              <w:left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0.010</w:t>
            </w:r>
          </w:p>
        </w:tc>
        <w:tc>
          <w:tcPr>
            <w:tcW w:w="401" w:type="pct"/>
            <w:gridSpan w:val="2"/>
            <w:tcBorders>
              <w:top w:val="nil"/>
              <w:left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−0.141</w:t>
            </w:r>
          </w:p>
        </w:tc>
        <w:tc>
          <w:tcPr>
            <w:tcW w:w="376" w:type="pct"/>
            <w:tcBorders>
              <w:top w:val="nil"/>
              <w:left w:val="nil"/>
              <w:right w:val="nil"/>
            </w:tcBorders>
            <w:shd w:val="clear" w:color="auto" w:fill="auto"/>
            <w:noWrap/>
            <w:vAlign w:val="bottom"/>
          </w:tcPr>
          <w:p w:rsidR="0012580D" w:rsidRPr="00931FD3" w:rsidRDefault="0012580D">
            <w:pPr>
              <w:jc w:val="center"/>
              <w:rPr>
                <w:color w:val="000000"/>
                <w:sz w:val="16"/>
                <w:szCs w:val="16"/>
              </w:rPr>
            </w:pPr>
            <w:r w:rsidRPr="00931FD3">
              <w:rPr>
                <w:color w:val="000000"/>
                <w:sz w:val="16"/>
                <w:szCs w:val="16"/>
              </w:rPr>
              <w:t>−0.085</w:t>
            </w:r>
          </w:p>
        </w:tc>
      </w:tr>
      <w:tr w:rsidR="005C608C" w:rsidRPr="005C608C" w:rsidTr="008010EB">
        <w:trPr>
          <w:trHeight w:val="167"/>
          <w:jc w:val="center"/>
        </w:trPr>
        <w:tc>
          <w:tcPr>
            <w:tcW w:w="412" w:type="pct"/>
            <w:tcBorders>
              <w:left w:val="nil"/>
              <w:bottom w:val="single" w:sz="4" w:space="0" w:color="auto"/>
              <w:right w:val="nil"/>
            </w:tcBorders>
            <w:shd w:val="clear" w:color="auto" w:fill="auto"/>
            <w:noWrap/>
            <w:vAlign w:val="bottom"/>
            <w:hideMark/>
          </w:tcPr>
          <w:p w:rsidR="0012580D" w:rsidRPr="00931FD3" w:rsidRDefault="0012580D" w:rsidP="00742ADD">
            <w:pPr>
              <w:rPr>
                <w:rFonts w:eastAsia="Times New Roman"/>
                <w:b/>
                <w:bCs/>
                <w:sz w:val="16"/>
                <w:szCs w:val="16"/>
              </w:rPr>
            </w:pPr>
            <w:r w:rsidRPr="00931FD3">
              <w:rPr>
                <w:rFonts w:eastAsia="Times New Roman"/>
                <w:b/>
                <w:bCs/>
                <w:sz w:val="16"/>
                <w:szCs w:val="16"/>
              </w:rPr>
              <w:t>Total</w:t>
            </w:r>
          </w:p>
        </w:tc>
        <w:tc>
          <w:tcPr>
            <w:tcW w:w="402" w:type="pct"/>
            <w:tcBorders>
              <w:left w:val="nil"/>
              <w:bottom w:val="single" w:sz="4" w:space="0" w:color="auto"/>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593,728</w:t>
            </w:r>
          </w:p>
        </w:tc>
        <w:tc>
          <w:tcPr>
            <w:tcW w:w="285" w:type="pct"/>
            <w:gridSpan w:val="2"/>
            <w:tcBorders>
              <w:left w:val="nil"/>
              <w:bottom w:val="single" w:sz="4" w:space="0" w:color="auto"/>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 </w:t>
            </w:r>
          </w:p>
        </w:tc>
        <w:tc>
          <w:tcPr>
            <w:tcW w:w="305" w:type="pct"/>
            <w:tcBorders>
              <w:left w:val="nil"/>
              <w:bottom w:val="single" w:sz="4" w:space="0" w:color="auto"/>
              <w:right w:val="nil"/>
            </w:tcBorders>
            <w:shd w:val="clear" w:color="auto" w:fill="auto"/>
            <w:noWrap/>
            <w:vAlign w:val="bottom"/>
          </w:tcPr>
          <w:p w:rsidR="0012580D" w:rsidRPr="00931FD3" w:rsidRDefault="0012580D" w:rsidP="00742ADD">
            <w:pPr>
              <w:jc w:val="center"/>
              <w:rPr>
                <w:color w:val="000000"/>
                <w:sz w:val="16"/>
                <w:szCs w:val="16"/>
              </w:rPr>
            </w:pPr>
          </w:p>
        </w:tc>
        <w:tc>
          <w:tcPr>
            <w:tcW w:w="404" w:type="pct"/>
            <w:gridSpan w:val="2"/>
            <w:tcBorders>
              <w:left w:val="nil"/>
              <w:bottom w:val="single" w:sz="4" w:space="0" w:color="auto"/>
              <w:right w:val="nil"/>
            </w:tcBorders>
            <w:shd w:val="clear" w:color="auto" w:fill="auto"/>
            <w:noWrap/>
            <w:vAlign w:val="bottom"/>
          </w:tcPr>
          <w:p w:rsidR="0012580D" w:rsidRPr="00931FD3" w:rsidRDefault="0012580D" w:rsidP="00742ADD">
            <w:pPr>
              <w:jc w:val="center"/>
              <w:rPr>
                <w:color w:val="000000"/>
                <w:sz w:val="16"/>
                <w:szCs w:val="16"/>
              </w:rPr>
            </w:pPr>
          </w:p>
        </w:tc>
        <w:tc>
          <w:tcPr>
            <w:tcW w:w="378" w:type="pct"/>
            <w:gridSpan w:val="2"/>
            <w:tcBorders>
              <w:left w:val="nil"/>
              <w:bottom w:val="single" w:sz="4" w:space="0" w:color="auto"/>
              <w:right w:val="nil"/>
            </w:tcBorders>
            <w:shd w:val="clear" w:color="auto" w:fill="auto"/>
            <w:noWrap/>
            <w:vAlign w:val="center"/>
            <w:hideMark/>
          </w:tcPr>
          <w:p w:rsidR="0012580D" w:rsidRPr="00931FD3" w:rsidRDefault="0012580D" w:rsidP="00931FD3">
            <w:pPr>
              <w:rPr>
                <w:color w:val="000000"/>
                <w:sz w:val="16"/>
                <w:szCs w:val="16"/>
              </w:rPr>
            </w:pPr>
            <w:r w:rsidRPr="00931FD3">
              <w:rPr>
                <w:color w:val="000000"/>
                <w:sz w:val="16"/>
                <w:szCs w:val="16"/>
              </w:rPr>
              <w:t>23,017</w:t>
            </w:r>
          </w:p>
        </w:tc>
        <w:tc>
          <w:tcPr>
            <w:tcW w:w="426" w:type="pct"/>
            <w:gridSpan w:val="2"/>
            <w:tcBorders>
              <w:left w:val="nil"/>
              <w:bottom w:val="single" w:sz="4" w:space="0" w:color="auto"/>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 </w:t>
            </w:r>
          </w:p>
        </w:tc>
        <w:tc>
          <w:tcPr>
            <w:tcW w:w="402" w:type="pct"/>
            <w:gridSpan w:val="2"/>
            <w:tcBorders>
              <w:left w:val="nil"/>
              <w:bottom w:val="single" w:sz="4" w:space="0" w:color="auto"/>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 </w:t>
            </w:r>
          </w:p>
        </w:tc>
        <w:tc>
          <w:tcPr>
            <w:tcW w:w="402" w:type="pct"/>
            <w:gridSpan w:val="3"/>
            <w:tcBorders>
              <w:left w:val="nil"/>
              <w:bottom w:val="single" w:sz="4" w:space="0" w:color="auto"/>
              <w:right w:val="nil"/>
            </w:tcBorders>
            <w:shd w:val="clear" w:color="auto" w:fill="auto"/>
            <w:noWrap/>
            <w:vAlign w:val="center"/>
            <w:hideMark/>
          </w:tcPr>
          <w:p w:rsidR="0012580D" w:rsidRPr="00931FD3" w:rsidRDefault="0012580D" w:rsidP="00742ADD">
            <w:pPr>
              <w:jc w:val="center"/>
              <w:rPr>
                <w:color w:val="000000"/>
                <w:sz w:val="16"/>
                <w:szCs w:val="16"/>
              </w:rPr>
            </w:pPr>
            <w:r w:rsidRPr="00931FD3">
              <w:rPr>
                <w:color w:val="000000"/>
                <w:sz w:val="16"/>
                <w:szCs w:val="16"/>
              </w:rPr>
              <w:t> </w:t>
            </w:r>
          </w:p>
        </w:tc>
        <w:tc>
          <w:tcPr>
            <w:tcW w:w="405" w:type="pct"/>
            <w:gridSpan w:val="3"/>
            <w:tcBorders>
              <w:left w:val="nil"/>
              <w:bottom w:val="single" w:sz="4" w:space="0" w:color="auto"/>
              <w:right w:val="nil"/>
            </w:tcBorders>
            <w:shd w:val="clear" w:color="auto" w:fill="auto"/>
            <w:noWrap/>
            <w:vAlign w:val="center"/>
          </w:tcPr>
          <w:p w:rsidR="0012580D" w:rsidRPr="00931FD3" w:rsidRDefault="0012580D" w:rsidP="00931FD3">
            <w:pPr>
              <w:rPr>
                <w:color w:val="000000"/>
                <w:sz w:val="16"/>
                <w:szCs w:val="16"/>
              </w:rPr>
            </w:pPr>
            <w:r w:rsidRPr="00931FD3">
              <w:rPr>
                <w:sz w:val="16"/>
                <w:szCs w:val="16"/>
              </w:rPr>
              <w:t>40,</w:t>
            </w:r>
            <w:r w:rsidRPr="00931FD3">
              <w:rPr>
                <w:color w:val="000000"/>
                <w:sz w:val="16"/>
                <w:szCs w:val="16"/>
              </w:rPr>
              <w:t>102</w:t>
            </w:r>
          </w:p>
        </w:tc>
        <w:tc>
          <w:tcPr>
            <w:tcW w:w="401" w:type="pct"/>
            <w:gridSpan w:val="2"/>
            <w:tcBorders>
              <w:left w:val="nil"/>
              <w:bottom w:val="single" w:sz="4" w:space="0" w:color="auto"/>
              <w:right w:val="nil"/>
            </w:tcBorders>
            <w:shd w:val="clear" w:color="auto" w:fill="auto"/>
            <w:noWrap/>
            <w:vAlign w:val="center"/>
          </w:tcPr>
          <w:p w:rsidR="0012580D" w:rsidRPr="00931FD3" w:rsidRDefault="0012580D" w:rsidP="00742ADD">
            <w:pPr>
              <w:jc w:val="center"/>
              <w:rPr>
                <w:color w:val="000000"/>
                <w:sz w:val="16"/>
                <w:szCs w:val="16"/>
              </w:rPr>
            </w:pPr>
            <w:r w:rsidRPr="00931FD3">
              <w:rPr>
                <w:color w:val="000000"/>
                <w:sz w:val="16"/>
                <w:szCs w:val="16"/>
              </w:rPr>
              <w:t> </w:t>
            </w:r>
          </w:p>
        </w:tc>
        <w:tc>
          <w:tcPr>
            <w:tcW w:w="401" w:type="pct"/>
            <w:gridSpan w:val="2"/>
            <w:tcBorders>
              <w:left w:val="nil"/>
              <w:bottom w:val="single" w:sz="4" w:space="0" w:color="auto"/>
              <w:right w:val="nil"/>
            </w:tcBorders>
            <w:shd w:val="clear" w:color="auto" w:fill="auto"/>
            <w:noWrap/>
            <w:vAlign w:val="center"/>
          </w:tcPr>
          <w:p w:rsidR="0012580D" w:rsidRPr="00931FD3" w:rsidRDefault="0012580D" w:rsidP="00742ADD">
            <w:pPr>
              <w:jc w:val="center"/>
              <w:rPr>
                <w:color w:val="000000"/>
                <w:sz w:val="16"/>
                <w:szCs w:val="16"/>
              </w:rPr>
            </w:pPr>
            <w:r w:rsidRPr="00931FD3">
              <w:rPr>
                <w:color w:val="000000"/>
                <w:sz w:val="16"/>
                <w:szCs w:val="16"/>
              </w:rPr>
              <w:t> </w:t>
            </w:r>
          </w:p>
        </w:tc>
        <w:tc>
          <w:tcPr>
            <w:tcW w:w="376" w:type="pct"/>
            <w:tcBorders>
              <w:left w:val="nil"/>
              <w:bottom w:val="single" w:sz="4" w:space="0" w:color="auto"/>
              <w:right w:val="nil"/>
            </w:tcBorders>
            <w:shd w:val="clear" w:color="auto" w:fill="auto"/>
            <w:noWrap/>
            <w:vAlign w:val="center"/>
          </w:tcPr>
          <w:p w:rsidR="0012580D" w:rsidRPr="00931FD3" w:rsidRDefault="0012580D" w:rsidP="00742ADD">
            <w:pPr>
              <w:jc w:val="center"/>
              <w:rPr>
                <w:color w:val="000000"/>
                <w:sz w:val="16"/>
                <w:szCs w:val="16"/>
              </w:rPr>
            </w:pPr>
            <w:r w:rsidRPr="00931FD3">
              <w:rPr>
                <w:color w:val="000000"/>
                <w:sz w:val="16"/>
                <w:szCs w:val="16"/>
              </w:rPr>
              <w:t> </w:t>
            </w:r>
          </w:p>
        </w:tc>
      </w:tr>
      <w:tr w:rsidR="005C608C" w:rsidRPr="005C608C" w:rsidTr="008010EB">
        <w:trPr>
          <w:trHeight w:val="179"/>
          <w:jc w:val="center"/>
        </w:trPr>
        <w:tc>
          <w:tcPr>
            <w:tcW w:w="1073" w:type="pct"/>
            <w:gridSpan w:val="3"/>
            <w:tcBorders>
              <w:top w:val="single" w:sz="4" w:space="0" w:color="auto"/>
              <w:left w:val="nil"/>
              <w:right w:val="nil"/>
            </w:tcBorders>
            <w:shd w:val="clear" w:color="auto" w:fill="auto"/>
            <w:vAlign w:val="center"/>
          </w:tcPr>
          <w:p w:rsidR="00AA0FDE" w:rsidRPr="00931FD3" w:rsidRDefault="00AA0FDE" w:rsidP="00AA0FDE">
            <w:pPr>
              <w:rPr>
                <w:rFonts w:eastAsia="Times New Roman"/>
                <w:bCs/>
                <w:i/>
                <w:sz w:val="16"/>
                <w:szCs w:val="16"/>
              </w:rPr>
            </w:pPr>
          </w:p>
        </w:tc>
        <w:tc>
          <w:tcPr>
            <w:tcW w:w="415" w:type="pct"/>
            <w:gridSpan w:val="3"/>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bCs/>
                <w:i/>
                <w:sz w:val="16"/>
                <w:szCs w:val="16"/>
              </w:rPr>
            </w:pPr>
          </w:p>
        </w:tc>
        <w:tc>
          <w:tcPr>
            <w:tcW w:w="368" w:type="pct"/>
            <w:gridSpan w:val="2"/>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bCs/>
                <w:i/>
                <w:sz w:val="16"/>
                <w:szCs w:val="16"/>
              </w:rPr>
            </w:pPr>
          </w:p>
        </w:tc>
        <w:tc>
          <w:tcPr>
            <w:tcW w:w="526" w:type="pct"/>
            <w:gridSpan w:val="2"/>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sz w:val="16"/>
                <w:szCs w:val="16"/>
              </w:rPr>
            </w:pPr>
          </w:p>
        </w:tc>
        <w:tc>
          <w:tcPr>
            <w:tcW w:w="246" w:type="pct"/>
            <w:gridSpan w:val="2"/>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bCs/>
                <w:i/>
                <w:sz w:val="16"/>
                <w:szCs w:val="16"/>
              </w:rPr>
            </w:pPr>
          </w:p>
        </w:tc>
        <w:tc>
          <w:tcPr>
            <w:tcW w:w="408" w:type="pct"/>
            <w:gridSpan w:val="2"/>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bCs/>
                <w:i/>
                <w:iCs/>
                <w:sz w:val="16"/>
                <w:szCs w:val="16"/>
              </w:rPr>
            </w:pPr>
            <w:r w:rsidRPr="00931FD3">
              <w:rPr>
                <w:rFonts w:eastAsia="Times New Roman"/>
                <w:bCs/>
                <w:i/>
                <w:iCs/>
                <w:sz w:val="16"/>
                <w:szCs w:val="16"/>
              </w:rPr>
              <w:t>EQ</w:t>
            </w:r>
          </w:p>
        </w:tc>
        <w:tc>
          <w:tcPr>
            <w:tcW w:w="408" w:type="pct"/>
            <w:gridSpan w:val="3"/>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bCs/>
                <w:i/>
                <w:iCs/>
                <w:sz w:val="16"/>
                <w:szCs w:val="16"/>
              </w:rPr>
            </w:pPr>
            <w:r w:rsidRPr="00931FD3">
              <w:rPr>
                <w:rFonts w:eastAsia="Times New Roman"/>
                <w:bCs/>
                <w:i/>
                <w:iCs/>
                <w:sz w:val="16"/>
                <w:szCs w:val="16"/>
              </w:rPr>
              <w:t>P_EQmsw</w:t>
            </w:r>
          </w:p>
        </w:tc>
        <w:tc>
          <w:tcPr>
            <w:tcW w:w="376" w:type="pct"/>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bCs/>
                <w:i/>
                <w:sz w:val="16"/>
                <w:szCs w:val="16"/>
              </w:rPr>
            </w:pPr>
          </w:p>
        </w:tc>
        <w:tc>
          <w:tcPr>
            <w:tcW w:w="376" w:type="pct"/>
            <w:gridSpan w:val="2"/>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bCs/>
                <w:i/>
                <w:sz w:val="16"/>
                <w:szCs w:val="16"/>
              </w:rPr>
            </w:pPr>
          </w:p>
        </w:tc>
        <w:tc>
          <w:tcPr>
            <w:tcW w:w="407" w:type="pct"/>
            <w:gridSpan w:val="2"/>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bCs/>
                <w:i/>
                <w:iCs/>
                <w:sz w:val="16"/>
                <w:szCs w:val="16"/>
              </w:rPr>
            </w:pPr>
            <w:r w:rsidRPr="00931FD3">
              <w:rPr>
                <w:rFonts w:eastAsia="Times New Roman"/>
                <w:bCs/>
                <w:i/>
                <w:iCs/>
                <w:sz w:val="16"/>
                <w:szCs w:val="16"/>
              </w:rPr>
              <w:t>EQ</w:t>
            </w:r>
          </w:p>
        </w:tc>
        <w:tc>
          <w:tcPr>
            <w:tcW w:w="398" w:type="pct"/>
            <w:gridSpan w:val="2"/>
            <w:tcBorders>
              <w:top w:val="single" w:sz="4" w:space="0" w:color="auto"/>
              <w:left w:val="nil"/>
              <w:right w:val="nil"/>
            </w:tcBorders>
            <w:shd w:val="clear" w:color="auto" w:fill="auto"/>
            <w:noWrap/>
            <w:vAlign w:val="center"/>
          </w:tcPr>
          <w:p w:rsidR="00AA0FDE" w:rsidRPr="00931FD3" w:rsidRDefault="00AA0FDE" w:rsidP="00742ADD">
            <w:pPr>
              <w:jc w:val="center"/>
              <w:rPr>
                <w:rFonts w:eastAsia="Times New Roman"/>
                <w:bCs/>
                <w:i/>
                <w:iCs/>
                <w:sz w:val="16"/>
                <w:szCs w:val="16"/>
              </w:rPr>
            </w:pPr>
            <w:r w:rsidRPr="00931FD3">
              <w:rPr>
                <w:rFonts w:eastAsia="Times New Roman"/>
                <w:bCs/>
                <w:i/>
                <w:iCs/>
                <w:sz w:val="16"/>
                <w:szCs w:val="16"/>
              </w:rPr>
              <w:t>P_EQmsw</w:t>
            </w:r>
          </w:p>
        </w:tc>
      </w:tr>
      <w:tr w:rsidR="005C608C" w:rsidRPr="005C608C" w:rsidTr="008010EB">
        <w:trPr>
          <w:trHeight w:val="206"/>
          <w:jc w:val="center"/>
        </w:trPr>
        <w:tc>
          <w:tcPr>
            <w:tcW w:w="1487" w:type="pct"/>
            <w:gridSpan w:val="6"/>
            <w:tcBorders>
              <w:left w:val="nil"/>
              <w:right w:val="nil"/>
            </w:tcBorders>
            <w:shd w:val="clear" w:color="auto" w:fill="auto"/>
            <w:vAlign w:val="bottom"/>
          </w:tcPr>
          <w:p w:rsidR="00A65AF1" w:rsidRPr="00931FD3" w:rsidRDefault="00A65AF1" w:rsidP="00931FD3">
            <w:pPr>
              <w:rPr>
                <w:rFonts w:eastAsia="Times New Roman"/>
                <w:sz w:val="16"/>
                <w:szCs w:val="16"/>
              </w:rPr>
            </w:pPr>
            <w:r w:rsidRPr="00931FD3">
              <w:rPr>
                <w:rFonts w:eastAsia="Times New Roman"/>
                <w:sz w:val="16"/>
                <w:szCs w:val="16"/>
              </w:rPr>
              <w:t>Cross−Industry Correlation with</w:t>
            </w:r>
            <w:r w:rsidRPr="00931FD3">
              <w:rPr>
                <w:rFonts w:eastAsia="Times New Roman"/>
                <w:bCs/>
                <w:i/>
                <w:sz w:val="16"/>
                <w:szCs w:val="16"/>
              </w:rPr>
              <w:t xml:space="preserve"> ICoE</w:t>
            </w:r>
          </w:p>
        </w:tc>
        <w:tc>
          <w:tcPr>
            <w:tcW w:w="368" w:type="pct"/>
            <w:gridSpan w:val="2"/>
            <w:tcBorders>
              <w:left w:val="nil"/>
              <w:right w:val="nil"/>
            </w:tcBorders>
            <w:shd w:val="clear" w:color="auto" w:fill="auto"/>
            <w:noWrap/>
            <w:vAlign w:val="bottom"/>
          </w:tcPr>
          <w:p w:rsidR="00A65AF1" w:rsidRPr="00931FD3" w:rsidRDefault="00A65AF1" w:rsidP="00742ADD">
            <w:pPr>
              <w:jc w:val="center"/>
              <w:rPr>
                <w:rFonts w:eastAsia="Times New Roman"/>
                <w:sz w:val="16"/>
                <w:szCs w:val="16"/>
              </w:rPr>
            </w:pPr>
          </w:p>
        </w:tc>
        <w:tc>
          <w:tcPr>
            <w:tcW w:w="526" w:type="pct"/>
            <w:gridSpan w:val="2"/>
            <w:tcBorders>
              <w:left w:val="nil"/>
              <w:right w:val="nil"/>
            </w:tcBorders>
            <w:shd w:val="clear" w:color="auto" w:fill="auto"/>
            <w:noWrap/>
            <w:vAlign w:val="center"/>
          </w:tcPr>
          <w:p w:rsidR="00A65AF1" w:rsidRPr="00931FD3" w:rsidRDefault="00A65AF1" w:rsidP="00742ADD">
            <w:pPr>
              <w:rPr>
                <w:color w:val="000000"/>
                <w:sz w:val="16"/>
                <w:szCs w:val="16"/>
              </w:rPr>
            </w:pPr>
          </w:p>
        </w:tc>
        <w:tc>
          <w:tcPr>
            <w:tcW w:w="246" w:type="pct"/>
            <w:gridSpan w:val="2"/>
            <w:tcBorders>
              <w:left w:val="nil"/>
              <w:right w:val="nil"/>
            </w:tcBorders>
            <w:shd w:val="clear" w:color="auto" w:fill="auto"/>
            <w:noWrap/>
            <w:vAlign w:val="center"/>
          </w:tcPr>
          <w:p w:rsidR="00A65AF1" w:rsidRPr="00931FD3" w:rsidRDefault="00A65AF1" w:rsidP="00742ADD">
            <w:pPr>
              <w:jc w:val="center"/>
              <w:rPr>
                <w:color w:val="000000"/>
                <w:sz w:val="16"/>
                <w:szCs w:val="16"/>
              </w:rPr>
            </w:pPr>
          </w:p>
        </w:tc>
        <w:tc>
          <w:tcPr>
            <w:tcW w:w="408" w:type="pct"/>
            <w:gridSpan w:val="2"/>
            <w:tcBorders>
              <w:left w:val="nil"/>
              <w:right w:val="nil"/>
            </w:tcBorders>
            <w:shd w:val="clear" w:color="auto" w:fill="auto"/>
            <w:noWrap/>
            <w:vAlign w:val="bottom"/>
          </w:tcPr>
          <w:p w:rsidR="00A65AF1" w:rsidRPr="00931FD3" w:rsidRDefault="00A65AF1">
            <w:pPr>
              <w:jc w:val="center"/>
              <w:rPr>
                <w:rFonts w:eastAsia="Times New Roman"/>
                <w:sz w:val="16"/>
                <w:szCs w:val="16"/>
              </w:rPr>
            </w:pPr>
            <w:r w:rsidRPr="00931FD3">
              <w:rPr>
                <w:rFonts w:eastAsia="Times New Roman"/>
                <w:sz w:val="16"/>
                <w:szCs w:val="16"/>
              </w:rPr>
              <w:t>−0.438</w:t>
            </w:r>
            <w:r w:rsidRPr="00931FD3">
              <w:rPr>
                <w:color w:val="000000"/>
                <w:sz w:val="16"/>
                <w:szCs w:val="16"/>
                <w:lang w:eastAsia="en-US"/>
              </w:rPr>
              <w:t>***</w:t>
            </w:r>
          </w:p>
        </w:tc>
        <w:tc>
          <w:tcPr>
            <w:tcW w:w="408" w:type="pct"/>
            <w:gridSpan w:val="3"/>
            <w:tcBorders>
              <w:left w:val="nil"/>
              <w:right w:val="nil"/>
            </w:tcBorders>
            <w:shd w:val="clear" w:color="auto" w:fill="auto"/>
            <w:noWrap/>
            <w:vAlign w:val="bottom"/>
          </w:tcPr>
          <w:p w:rsidR="00A65AF1" w:rsidRPr="00931FD3" w:rsidRDefault="00A65AF1">
            <w:pPr>
              <w:jc w:val="center"/>
              <w:rPr>
                <w:rFonts w:eastAsia="Times New Roman"/>
                <w:sz w:val="16"/>
                <w:szCs w:val="16"/>
              </w:rPr>
            </w:pPr>
            <w:r w:rsidRPr="00931FD3">
              <w:rPr>
                <w:rFonts w:eastAsia="Times New Roman"/>
                <w:sz w:val="16"/>
                <w:szCs w:val="16"/>
              </w:rPr>
              <w:t>−0.439</w:t>
            </w:r>
            <w:r w:rsidRPr="00931FD3">
              <w:rPr>
                <w:color w:val="000000"/>
                <w:sz w:val="16"/>
                <w:szCs w:val="16"/>
                <w:lang w:eastAsia="en-US"/>
              </w:rPr>
              <w:t>***</w:t>
            </w:r>
          </w:p>
        </w:tc>
        <w:tc>
          <w:tcPr>
            <w:tcW w:w="376" w:type="pct"/>
            <w:tcBorders>
              <w:left w:val="nil"/>
              <w:right w:val="nil"/>
            </w:tcBorders>
            <w:shd w:val="clear" w:color="auto" w:fill="auto"/>
            <w:noWrap/>
            <w:vAlign w:val="center"/>
          </w:tcPr>
          <w:p w:rsidR="00A65AF1" w:rsidRPr="00931FD3" w:rsidRDefault="00A65AF1" w:rsidP="00742ADD">
            <w:pPr>
              <w:rPr>
                <w:color w:val="000000"/>
                <w:sz w:val="16"/>
                <w:szCs w:val="16"/>
              </w:rPr>
            </w:pPr>
          </w:p>
        </w:tc>
        <w:tc>
          <w:tcPr>
            <w:tcW w:w="376" w:type="pct"/>
            <w:gridSpan w:val="2"/>
            <w:tcBorders>
              <w:left w:val="nil"/>
              <w:right w:val="nil"/>
            </w:tcBorders>
            <w:shd w:val="clear" w:color="auto" w:fill="auto"/>
            <w:noWrap/>
            <w:vAlign w:val="center"/>
          </w:tcPr>
          <w:p w:rsidR="00A65AF1" w:rsidRPr="00931FD3" w:rsidRDefault="00A65AF1" w:rsidP="00742ADD">
            <w:pPr>
              <w:jc w:val="center"/>
              <w:rPr>
                <w:color w:val="000000"/>
                <w:sz w:val="16"/>
                <w:szCs w:val="16"/>
              </w:rPr>
            </w:pPr>
          </w:p>
        </w:tc>
        <w:tc>
          <w:tcPr>
            <w:tcW w:w="407" w:type="pct"/>
            <w:gridSpan w:val="2"/>
            <w:tcBorders>
              <w:left w:val="nil"/>
              <w:right w:val="nil"/>
            </w:tcBorders>
            <w:shd w:val="clear" w:color="auto" w:fill="auto"/>
            <w:noWrap/>
            <w:vAlign w:val="center"/>
          </w:tcPr>
          <w:p w:rsidR="00A65AF1" w:rsidRPr="00931FD3" w:rsidRDefault="00A65AF1" w:rsidP="00742ADD">
            <w:pPr>
              <w:jc w:val="center"/>
              <w:rPr>
                <w:color w:val="000000"/>
                <w:sz w:val="16"/>
                <w:szCs w:val="16"/>
              </w:rPr>
            </w:pPr>
          </w:p>
        </w:tc>
        <w:tc>
          <w:tcPr>
            <w:tcW w:w="398" w:type="pct"/>
            <w:gridSpan w:val="2"/>
            <w:tcBorders>
              <w:left w:val="nil"/>
              <w:right w:val="nil"/>
            </w:tcBorders>
            <w:shd w:val="clear" w:color="auto" w:fill="auto"/>
            <w:noWrap/>
            <w:vAlign w:val="center"/>
          </w:tcPr>
          <w:p w:rsidR="00A65AF1" w:rsidRPr="00931FD3" w:rsidRDefault="00A65AF1" w:rsidP="00742ADD">
            <w:pPr>
              <w:jc w:val="center"/>
              <w:rPr>
                <w:color w:val="000000"/>
                <w:sz w:val="16"/>
                <w:szCs w:val="16"/>
              </w:rPr>
            </w:pPr>
          </w:p>
        </w:tc>
      </w:tr>
      <w:tr w:rsidR="005C608C" w:rsidRPr="005C608C" w:rsidTr="008010EB">
        <w:trPr>
          <w:trHeight w:val="206"/>
          <w:jc w:val="center"/>
        </w:trPr>
        <w:tc>
          <w:tcPr>
            <w:tcW w:w="1487" w:type="pct"/>
            <w:gridSpan w:val="6"/>
            <w:tcBorders>
              <w:top w:val="nil"/>
              <w:left w:val="nil"/>
              <w:bottom w:val="single" w:sz="4" w:space="0" w:color="auto"/>
              <w:right w:val="nil"/>
            </w:tcBorders>
            <w:shd w:val="clear" w:color="auto" w:fill="auto"/>
            <w:vAlign w:val="bottom"/>
          </w:tcPr>
          <w:p w:rsidR="00A65AF1" w:rsidRPr="00931FD3" w:rsidRDefault="00A65AF1" w:rsidP="00931FD3">
            <w:pPr>
              <w:rPr>
                <w:color w:val="000000"/>
                <w:sz w:val="16"/>
                <w:szCs w:val="16"/>
              </w:rPr>
            </w:pPr>
            <w:r w:rsidRPr="00931FD3">
              <w:rPr>
                <w:rFonts w:eastAsia="Times New Roman"/>
                <w:sz w:val="16"/>
                <w:szCs w:val="16"/>
              </w:rPr>
              <w:t>Cross−Industry Correlation with</w:t>
            </w:r>
            <w:r w:rsidRPr="00931FD3">
              <w:rPr>
                <w:rFonts w:eastAsia="Times New Roman"/>
                <w:bCs/>
                <w:i/>
                <w:sz w:val="16"/>
                <w:szCs w:val="16"/>
              </w:rPr>
              <w:t xml:space="preserve"> IndEP</w:t>
            </w:r>
          </w:p>
        </w:tc>
        <w:tc>
          <w:tcPr>
            <w:tcW w:w="368" w:type="pct"/>
            <w:gridSpan w:val="2"/>
            <w:tcBorders>
              <w:top w:val="nil"/>
              <w:left w:val="nil"/>
              <w:bottom w:val="single" w:sz="4" w:space="0" w:color="auto"/>
              <w:right w:val="nil"/>
            </w:tcBorders>
            <w:shd w:val="clear" w:color="auto" w:fill="auto"/>
            <w:noWrap/>
          </w:tcPr>
          <w:p w:rsidR="00A65AF1" w:rsidRPr="00931FD3" w:rsidRDefault="00A65AF1" w:rsidP="00742ADD">
            <w:pPr>
              <w:jc w:val="center"/>
              <w:rPr>
                <w:color w:val="000000"/>
                <w:sz w:val="16"/>
                <w:szCs w:val="16"/>
              </w:rPr>
            </w:pPr>
          </w:p>
        </w:tc>
        <w:tc>
          <w:tcPr>
            <w:tcW w:w="526" w:type="pct"/>
            <w:gridSpan w:val="2"/>
            <w:tcBorders>
              <w:top w:val="nil"/>
              <w:left w:val="nil"/>
              <w:bottom w:val="single" w:sz="4" w:space="0" w:color="auto"/>
              <w:right w:val="nil"/>
            </w:tcBorders>
            <w:shd w:val="clear" w:color="auto" w:fill="auto"/>
            <w:noWrap/>
          </w:tcPr>
          <w:p w:rsidR="00A65AF1" w:rsidRPr="00931FD3" w:rsidRDefault="00A65AF1" w:rsidP="00742ADD">
            <w:pPr>
              <w:rPr>
                <w:sz w:val="16"/>
                <w:szCs w:val="16"/>
              </w:rPr>
            </w:pPr>
          </w:p>
        </w:tc>
        <w:tc>
          <w:tcPr>
            <w:tcW w:w="246" w:type="pct"/>
            <w:gridSpan w:val="2"/>
            <w:tcBorders>
              <w:top w:val="nil"/>
              <w:left w:val="nil"/>
              <w:bottom w:val="single" w:sz="4" w:space="0" w:color="auto"/>
              <w:right w:val="nil"/>
            </w:tcBorders>
            <w:shd w:val="clear" w:color="auto" w:fill="auto"/>
            <w:noWrap/>
          </w:tcPr>
          <w:p w:rsidR="00A65AF1" w:rsidRPr="00931FD3" w:rsidRDefault="00A65AF1" w:rsidP="00742ADD">
            <w:pPr>
              <w:jc w:val="center"/>
              <w:rPr>
                <w:color w:val="000000"/>
                <w:sz w:val="16"/>
                <w:szCs w:val="16"/>
              </w:rPr>
            </w:pPr>
          </w:p>
        </w:tc>
        <w:tc>
          <w:tcPr>
            <w:tcW w:w="408" w:type="pct"/>
            <w:gridSpan w:val="2"/>
            <w:tcBorders>
              <w:top w:val="nil"/>
              <w:left w:val="nil"/>
              <w:bottom w:val="single" w:sz="4" w:space="0" w:color="auto"/>
              <w:right w:val="nil"/>
            </w:tcBorders>
            <w:shd w:val="clear" w:color="auto" w:fill="auto"/>
            <w:noWrap/>
            <w:vAlign w:val="bottom"/>
          </w:tcPr>
          <w:p w:rsidR="00A65AF1" w:rsidRPr="00931FD3" w:rsidRDefault="00A65AF1" w:rsidP="00742ADD">
            <w:pPr>
              <w:jc w:val="center"/>
              <w:rPr>
                <w:rFonts w:eastAsia="Times New Roman"/>
                <w:sz w:val="16"/>
                <w:szCs w:val="16"/>
              </w:rPr>
            </w:pPr>
          </w:p>
        </w:tc>
        <w:tc>
          <w:tcPr>
            <w:tcW w:w="408" w:type="pct"/>
            <w:gridSpan w:val="3"/>
            <w:tcBorders>
              <w:top w:val="nil"/>
              <w:left w:val="nil"/>
              <w:bottom w:val="single" w:sz="4" w:space="0" w:color="auto"/>
              <w:right w:val="nil"/>
            </w:tcBorders>
            <w:shd w:val="clear" w:color="auto" w:fill="auto"/>
            <w:noWrap/>
            <w:vAlign w:val="bottom"/>
          </w:tcPr>
          <w:p w:rsidR="00A65AF1" w:rsidRPr="00931FD3" w:rsidRDefault="00A65AF1" w:rsidP="00742ADD">
            <w:pPr>
              <w:jc w:val="center"/>
              <w:rPr>
                <w:rFonts w:eastAsia="Times New Roman"/>
                <w:sz w:val="16"/>
                <w:szCs w:val="16"/>
              </w:rPr>
            </w:pPr>
          </w:p>
        </w:tc>
        <w:tc>
          <w:tcPr>
            <w:tcW w:w="376" w:type="pct"/>
            <w:tcBorders>
              <w:top w:val="nil"/>
              <w:left w:val="nil"/>
              <w:bottom w:val="single" w:sz="4" w:space="0" w:color="auto"/>
              <w:right w:val="nil"/>
            </w:tcBorders>
            <w:shd w:val="clear" w:color="auto" w:fill="auto"/>
            <w:noWrap/>
            <w:vAlign w:val="bottom"/>
          </w:tcPr>
          <w:p w:rsidR="00A65AF1" w:rsidRPr="00931FD3" w:rsidRDefault="00A65AF1" w:rsidP="00742ADD">
            <w:pPr>
              <w:rPr>
                <w:color w:val="000000"/>
                <w:sz w:val="16"/>
                <w:szCs w:val="16"/>
              </w:rPr>
            </w:pPr>
          </w:p>
        </w:tc>
        <w:tc>
          <w:tcPr>
            <w:tcW w:w="376" w:type="pct"/>
            <w:gridSpan w:val="2"/>
            <w:tcBorders>
              <w:top w:val="nil"/>
              <w:left w:val="nil"/>
              <w:bottom w:val="single" w:sz="4" w:space="0" w:color="auto"/>
              <w:right w:val="nil"/>
            </w:tcBorders>
            <w:shd w:val="clear" w:color="auto" w:fill="auto"/>
            <w:noWrap/>
            <w:vAlign w:val="bottom"/>
          </w:tcPr>
          <w:p w:rsidR="00A65AF1" w:rsidRPr="00931FD3" w:rsidRDefault="00A65AF1" w:rsidP="00742ADD">
            <w:pPr>
              <w:jc w:val="center"/>
              <w:rPr>
                <w:color w:val="000000"/>
                <w:sz w:val="16"/>
                <w:szCs w:val="16"/>
              </w:rPr>
            </w:pPr>
          </w:p>
        </w:tc>
        <w:tc>
          <w:tcPr>
            <w:tcW w:w="407" w:type="pct"/>
            <w:gridSpan w:val="2"/>
            <w:tcBorders>
              <w:top w:val="nil"/>
              <w:left w:val="nil"/>
              <w:bottom w:val="single" w:sz="4" w:space="0" w:color="auto"/>
              <w:right w:val="nil"/>
            </w:tcBorders>
            <w:shd w:val="clear" w:color="auto" w:fill="auto"/>
            <w:noWrap/>
            <w:vAlign w:val="bottom"/>
          </w:tcPr>
          <w:p w:rsidR="00A65AF1" w:rsidRPr="00931FD3" w:rsidRDefault="00A65AF1">
            <w:pPr>
              <w:jc w:val="center"/>
              <w:rPr>
                <w:rFonts w:eastAsia="Times New Roman"/>
                <w:sz w:val="16"/>
                <w:szCs w:val="16"/>
              </w:rPr>
            </w:pPr>
            <w:r w:rsidRPr="00931FD3">
              <w:rPr>
                <w:rFonts w:eastAsia="Times New Roman"/>
                <w:sz w:val="16"/>
                <w:szCs w:val="16"/>
              </w:rPr>
              <w:t>−0.156</w:t>
            </w:r>
            <w:r w:rsidRPr="00931FD3">
              <w:rPr>
                <w:color w:val="000000"/>
                <w:sz w:val="16"/>
                <w:szCs w:val="16"/>
                <w:lang w:eastAsia="en-US"/>
              </w:rPr>
              <w:t>***</w:t>
            </w:r>
          </w:p>
        </w:tc>
        <w:tc>
          <w:tcPr>
            <w:tcW w:w="398" w:type="pct"/>
            <w:gridSpan w:val="2"/>
            <w:tcBorders>
              <w:top w:val="nil"/>
              <w:left w:val="nil"/>
              <w:bottom w:val="single" w:sz="4" w:space="0" w:color="auto"/>
              <w:right w:val="nil"/>
            </w:tcBorders>
            <w:shd w:val="clear" w:color="auto" w:fill="auto"/>
            <w:noWrap/>
            <w:vAlign w:val="bottom"/>
          </w:tcPr>
          <w:p w:rsidR="00A65AF1" w:rsidRPr="00931FD3" w:rsidRDefault="00A65AF1">
            <w:pPr>
              <w:jc w:val="center"/>
              <w:rPr>
                <w:rFonts w:eastAsia="Times New Roman"/>
                <w:sz w:val="16"/>
                <w:szCs w:val="16"/>
              </w:rPr>
            </w:pPr>
            <w:r w:rsidRPr="00931FD3">
              <w:rPr>
                <w:rFonts w:eastAsia="Times New Roman"/>
                <w:sz w:val="16"/>
                <w:szCs w:val="16"/>
              </w:rPr>
              <w:t>−0.155</w:t>
            </w:r>
            <w:r w:rsidRPr="00931FD3">
              <w:rPr>
                <w:color w:val="000000"/>
                <w:sz w:val="16"/>
                <w:szCs w:val="16"/>
                <w:lang w:eastAsia="en-US"/>
              </w:rPr>
              <w:t>***</w:t>
            </w:r>
          </w:p>
        </w:tc>
      </w:tr>
    </w:tbl>
    <w:p w:rsidR="00BA0D54" w:rsidRPr="00742ADD" w:rsidRDefault="00F7491A" w:rsidP="008010EB">
      <w:pPr>
        <w:ind w:left="90"/>
        <w:sectPr w:rsidR="00BA0D54" w:rsidRPr="00742ADD" w:rsidSect="003303F8">
          <w:headerReference w:type="default" r:id="rId69"/>
          <w:footerReference w:type="default" r:id="rId70"/>
          <w:pgSz w:w="15840" w:h="12240" w:orient="landscape"/>
          <w:pgMar w:top="2304" w:right="1440" w:bottom="1440" w:left="1440" w:header="720" w:footer="720" w:gutter="0"/>
          <w:cols w:space="720"/>
          <w:docGrid w:linePitch="360"/>
        </w:sectPr>
      </w:pPr>
      <w:r w:rsidRPr="00D90FB0">
        <w:rPr>
          <w:b/>
        </w:rPr>
        <w:t>Note:</w:t>
      </w:r>
      <w:r w:rsidRPr="00D90FB0">
        <w:t xml:space="preserve"> This table shows the sample distribution and the mean of several variables across the Fama-French 48 industries.</w:t>
      </w:r>
      <w:r w:rsidR="00FC5498">
        <w:t xml:space="preserve"> </w:t>
      </w:r>
      <w:r>
        <w:t xml:space="preserve">The bottom rows of the table show the cross-industry correlations between different variables. </w:t>
      </w:r>
      <w:r w:rsidRPr="00D90FB0">
        <w:rPr>
          <w:color w:val="000000"/>
          <w:lang w:eastAsia="en-US"/>
        </w:rPr>
        <w:t>***, **, and * refer to significance (two-tailed) at the 1%, 5%, and 10% level, respectively.</w:t>
      </w:r>
      <w:r w:rsidRPr="00D90FB0">
        <w:rPr>
          <w:color w:val="000000"/>
        </w:rPr>
        <w:t xml:space="preserve"> </w:t>
      </w:r>
      <w:r w:rsidRPr="00D90FB0">
        <w:t>Variable definitions are available in the appendix.</w:t>
      </w:r>
      <w:r>
        <w:br w:type="page"/>
      </w:r>
    </w:p>
    <w:tbl>
      <w:tblPr>
        <w:tblW w:w="12036" w:type="dxa"/>
        <w:jc w:val="center"/>
        <w:tblLayout w:type="fixed"/>
        <w:tblLook w:val="04A0" w:firstRow="1" w:lastRow="0" w:firstColumn="1" w:lastColumn="0" w:noHBand="0" w:noVBand="1"/>
      </w:tblPr>
      <w:tblGrid>
        <w:gridCol w:w="1106"/>
        <w:gridCol w:w="1273"/>
        <w:gridCol w:w="1231"/>
        <w:gridCol w:w="81"/>
        <w:gridCol w:w="1183"/>
        <w:gridCol w:w="253"/>
        <w:gridCol w:w="992"/>
        <w:gridCol w:w="1005"/>
        <w:gridCol w:w="17"/>
        <w:gridCol w:w="1263"/>
        <w:gridCol w:w="263"/>
        <w:gridCol w:w="1033"/>
        <w:gridCol w:w="1072"/>
        <w:gridCol w:w="1264"/>
      </w:tblGrid>
      <w:tr w:rsidR="00081FC0" w:rsidRPr="00D90FB0" w:rsidTr="008010EB">
        <w:trPr>
          <w:trHeight w:val="30"/>
          <w:jc w:val="center"/>
        </w:trPr>
        <w:tc>
          <w:tcPr>
            <w:tcW w:w="12036" w:type="dxa"/>
            <w:gridSpan w:val="14"/>
            <w:tcBorders>
              <w:top w:val="nil"/>
              <w:left w:val="nil"/>
              <w:bottom w:val="single" w:sz="4" w:space="0" w:color="auto"/>
              <w:right w:val="nil"/>
            </w:tcBorders>
            <w:shd w:val="clear" w:color="auto" w:fill="auto"/>
            <w:noWrap/>
            <w:vAlign w:val="bottom"/>
          </w:tcPr>
          <w:p w:rsidR="00FE76ED" w:rsidRDefault="00FE76ED" w:rsidP="00FE76ED">
            <w:pPr>
              <w:rPr>
                <w:rFonts w:eastAsia="Times New Roman"/>
                <w:b/>
              </w:rPr>
            </w:pPr>
          </w:p>
          <w:p w:rsidR="00D90FB0" w:rsidRPr="00931FD3" w:rsidRDefault="00081FC0" w:rsidP="00931FD3">
            <w:pPr>
              <w:pStyle w:val="Heading4"/>
              <w:rPr>
                <w:b w:val="0"/>
              </w:rPr>
            </w:pPr>
            <w:bookmarkStart w:id="216" w:name="_Toc378088912"/>
            <w:r w:rsidRPr="00931FD3">
              <w:t>Table 4</w:t>
            </w:r>
            <w:bookmarkEnd w:id="216"/>
          </w:p>
          <w:p w:rsidR="00081FC0" w:rsidRPr="00D90FB0" w:rsidRDefault="00081FC0" w:rsidP="00931FD3">
            <w:pPr>
              <w:pStyle w:val="Heading4"/>
              <w:rPr>
                <w:i/>
                <w:color w:val="000000"/>
              </w:rPr>
            </w:pPr>
            <w:bookmarkStart w:id="217" w:name="_Toc378088913"/>
            <w:r w:rsidRPr="00931FD3">
              <w:t xml:space="preserve">Equally-weighted Portfolios </w:t>
            </w:r>
            <w:r w:rsidR="007B3014" w:rsidRPr="00931FD3">
              <w:rPr>
                <w:bCs/>
              </w:rPr>
              <w:t>Using Sorts</w:t>
            </w:r>
            <w:bookmarkEnd w:id="217"/>
          </w:p>
        </w:tc>
      </w:tr>
      <w:tr w:rsidR="007B3014" w:rsidRPr="00FC5415" w:rsidTr="008010EB">
        <w:trPr>
          <w:trHeight w:val="30"/>
          <w:jc w:val="center"/>
        </w:trPr>
        <w:tc>
          <w:tcPr>
            <w:tcW w:w="12036" w:type="dxa"/>
            <w:gridSpan w:val="14"/>
            <w:tcBorders>
              <w:top w:val="single" w:sz="4" w:space="0" w:color="auto"/>
              <w:left w:val="nil"/>
              <w:bottom w:val="nil"/>
            </w:tcBorders>
            <w:shd w:val="clear" w:color="auto" w:fill="auto"/>
            <w:noWrap/>
            <w:vAlign w:val="bottom"/>
          </w:tcPr>
          <w:p w:rsidR="007B3014" w:rsidRPr="00D90FB0" w:rsidRDefault="007B3014" w:rsidP="004E6E4A">
            <w:pPr>
              <w:rPr>
                <w:rFonts w:eastAsia="Times New Roman"/>
                <w:b/>
                <w:color w:val="000000"/>
              </w:rPr>
            </w:pPr>
            <w:r w:rsidRPr="00D90FB0">
              <w:rPr>
                <w:rFonts w:eastAsia="Times New Roman"/>
                <w:b/>
                <w:color w:val="000000"/>
              </w:rPr>
              <w:t xml:space="preserve">Panel A: Sorts on </w:t>
            </w:r>
            <w:r w:rsidRPr="00D90FB0">
              <w:rPr>
                <w:rFonts w:eastAsia="Times New Roman"/>
                <w:b/>
                <w:i/>
                <w:color w:val="000000"/>
              </w:rPr>
              <w:t>EQ</w:t>
            </w:r>
            <w:r w:rsidRPr="00D90FB0">
              <w:rPr>
                <w:rFonts w:eastAsia="Times New Roman"/>
                <w:b/>
                <w:color w:val="000000"/>
              </w:rPr>
              <w:t xml:space="preserve"> and </w:t>
            </w:r>
            <w:r w:rsidRPr="00D90FB0">
              <w:rPr>
                <w:rFonts w:eastAsia="Times New Roman"/>
                <w:b/>
                <w:i/>
                <w:color w:val="000000"/>
              </w:rPr>
              <w:t>P_EQ</w:t>
            </w:r>
          </w:p>
        </w:tc>
      </w:tr>
      <w:tr w:rsidR="00EF197E" w:rsidRPr="00FC5415" w:rsidTr="008010EB">
        <w:trPr>
          <w:trHeight w:val="30"/>
          <w:jc w:val="center"/>
        </w:trPr>
        <w:tc>
          <w:tcPr>
            <w:tcW w:w="1106" w:type="dxa"/>
            <w:tcBorders>
              <w:left w:val="nil"/>
              <w:bottom w:val="nil"/>
              <w:right w:val="nil"/>
            </w:tcBorders>
            <w:shd w:val="clear" w:color="auto" w:fill="auto"/>
            <w:noWrap/>
            <w:vAlign w:val="bottom"/>
            <w:hideMark/>
          </w:tcPr>
          <w:p w:rsidR="00EF197E" w:rsidRPr="00FC5415" w:rsidRDefault="00EF197E" w:rsidP="004E6E4A">
            <w:pPr>
              <w:rPr>
                <w:rFonts w:eastAsia="Times New Roman"/>
                <w:color w:val="000000"/>
              </w:rPr>
            </w:pPr>
          </w:p>
        </w:tc>
        <w:tc>
          <w:tcPr>
            <w:tcW w:w="3768" w:type="dxa"/>
            <w:gridSpan w:val="4"/>
            <w:tcBorders>
              <w:left w:val="nil"/>
              <w:bottom w:val="single" w:sz="4" w:space="0" w:color="auto"/>
              <w:right w:val="nil"/>
            </w:tcBorders>
            <w:shd w:val="clear" w:color="auto" w:fill="auto"/>
            <w:noWrap/>
            <w:vAlign w:val="bottom"/>
            <w:hideMark/>
          </w:tcPr>
          <w:p w:rsidR="00EF197E" w:rsidRPr="00FC5415" w:rsidRDefault="00EF197E" w:rsidP="00EF197E">
            <w:pPr>
              <w:jc w:val="center"/>
              <w:rPr>
                <w:rFonts w:eastAsia="Times New Roman"/>
                <w:i/>
                <w:color w:val="000000"/>
              </w:rPr>
            </w:pPr>
            <w:r w:rsidRPr="00FC5415">
              <w:rPr>
                <w:rFonts w:eastAsia="Times New Roman"/>
                <w:i/>
                <w:color w:val="000000"/>
              </w:rPr>
              <w:t>EQ</w:t>
            </w:r>
          </w:p>
        </w:tc>
        <w:tc>
          <w:tcPr>
            <w:tcW w:w="253" w:type="dxa"/>
            <w:tcBorders>
              <w:left w:val="nil"/>
              <w:right w:val="nil"/>
            </w:tcBorders>
            <w:shd w:val="clear" w:color="auto" w:fill="auto"/>
            <w:noWrap/>
            <w:vAlign w:val="bottom"/>
          </w:tcPr>
          <w:p w:rsidR="00EF197E" w:rsidRPr="00FC5415" w:rsidRDefault="00EF197E" w:rsidP="004E6E4A">
            <w:pPr>
              <w:rPr>
                <w:rFonts w:eastAsia="Times New Roman"/>
                <w:color w:val="000000"/>
              </w:rPr>
            </w:pPr>
          </w:p>
        </w:tc>
        <w:tc>
          <w:tcPr>
            <w:tcW w:w="3277" w:type="dxa"/>
            <w:gridSpan w:val="4"/>
            <w:tcBorders>
              <w:left w:val="nil"/>
              <w:bottom w:val="single" w:sz="4" w:space="0" w:color="auto"/>
              <w:right w:val="nil"/>
            </w:tcBorders>
            <w:shd w:val="clear" w:color="auto" w:fill="auto"/>
            <w:noWrap/>
            <w:vAlign w:val="bottom"/>
            <w:hideMark/>
          </w:tcPr>
          <w:p w:rsidR="00EF197E" w:rsidRPr="00FC5415" w:rsidRDefault="00EF197E" w:rsidP="00EF197E">
            <w:pPr>
              <w:jc w:val="center"/>
              <w:rPr>
                <w:rFonts w:eastAsia="Times New Roman"/>
                <w:i/>
                <w:color w:val="000000"/>
              </w:rPr>
            </w:pPr>
            <w:r w:rsidRPr="00FC5415">
              <w:rPr>
                <w:rFonts w:eastAsia="Times New Roman"/>
                <w:i/>
                <w:color w:val="000000"/>
              </w:rPr>
              <w:t>P_EQew</w:t>
            </w:r>
          </w:p>
        </w:tc>
        <w:tc>
          <w:tcPr>
            <w:tcW w:w="263" w:type="dxa"/>
            <w:vAlign w:val="bottom"/>
          </w:tcPr>
          <w:p w:rsidR="00EF197E" w:rsidRPr="00FC5415" w:rsidRDefault="00EF197E" w:rsidP="004E6E4A">
            <w:pPr>
              <w:rPr>
                <w:rFonts w:eastAsia="Times New Roman"/>
                <w:i/>
                <w:color w:val="000000"/>
              </w:rPr>
            </w:pPr>
            <w:r w:rsidRPr="00FC5415">
              <w:rPr>
                <w:rFonts w:eastAsia="Times New Roman"/>
                <w:i/>
                <w:color w:val="000000"/>
              </w:rPr>
              <w:t> </w:t>
            </w:r>
          </w:p>
        </w:tc>
        <w:tc>
          <w:tcPr>
            <w:tcW w:w="3368" w:type="dxa"/>
            <w:gridSpan w:val="3"/>
            <w:tcBorders>
              <w:bottom w:val="single" w:sz="4" w:space="0" w:color="auto"/>
            </w:tcBorders>
            <w:vAlign w:val="bottom"/>
          </w:tcPr>
          <w:p w:rsidR="00EF197E" w:rsidRPr="00FC5415" w:rsidRDefault="00EF197E" w:rsidP="00EF197E">
            <w:pPr>
              <w:jc w:val="center"/>
              <w:rPr>
                <w:rFonts w:eastAsia="Times New Roman"/>
                <w:i/>
                <w:color w:val="000000"/>
              </w:rPr>
            </w:pPr>
            <w:r w:rsidRPr="00FC5415">
              <w:rPr>
                <w:rFonts w:eastAsia="Times New Roman"/>
                <w:i/>
                <w:color w:val="000000"/>
              </w:rPr>
              <w:t>P_EQmsw</w:t>
            </w:r>
          </w:p>
        </w:tc>
      </w:tr>
      <w:tr w:rsidR="007B3014" w:rsidRPr="00FC5415" w:rsidTr="008010EB">
        <w:trPr>
          <w:trHeight w:val="828"/>
          <w:jc w:val="center"/>
        </w:trPr>
        <w:tc>
          <w:tcPr>
            <w:tcW w:w="1106" w:type="dxa"/>
            <w:tcBorders>
              <w:top w:val="nil"/>
              <w:left w:val="nil"/>
              <w:bottom w:val="single" w:sz="4" w:space="0" w:color="auto"/>
              <w:right w:val="nil"/>
            </w:tcBorders>
            <w:shd w:val="clear" w:color="auto" w:fill="auto"/>
            <w:noWrap/>
            <w:vAlign w:val="center"/>
            <w:hideMark/>
          </w:tcPr>
          <w:p w:rsidR="007B3014" w:rsidRPr="00FC5415" w:rsidRDefault="007B3014" w:rsidP="00CB52F9">
            <w:pPr>
              <w:jc w:val="center"/>
              <w:rPr>
                <w:rFonts w:eastAsia="Times New Roman"/>
                <w:color w:val="000000"/>
              </w:rPr>
            </w:pPr>
          </w:p>
        </w:tc>
        <w:tc>
          <w:tcPr>
            <w:tcW w:w="1273" w:type="dxa"/>
            <w:tcBorders>
              <w:top w:val="nil"/>
              <w:left w:val="nil"/>
              <w:bottom w:val="single" w:sz="4" w:space="0" w:color="auto"/>
              <w:right w:val="nil"/>
            </w:tcBorders>
            <w:shd w:val="clear" w:color="auto" w:fill="auto"/>
            <w:vAlign w:val="center"/>
            <w:hideMark/>
          </w:tcPr>
          <w:p w:rsidR="007B3014" w:rsidRPr="00FC5415" w:rsidRDefault="007B3014" w:rsidP="00CB52F9">
            <w:pPr>
              <w:jc w:val="center"/>
              <w:rPr>
                <w:rFonts w:eastAsia="Times New Roman"/>
                <w:color w:val="000000"/>
              </w:rPr>
            </w:pPr>
            <w:r w:rsidRPr="00FC5415">
              <w:rPr>
                <w:rFonts w:eastAsia="Times New Roman"/>
                <w:color w:val="000000"/>
              </w:rPr>
              <w:t>(1):</w:t>
            </w:r>
          </w:p>
          <w:p w:rsidR="00CB52F9" w:rsidRPr="00FC5415" w:rsidRDefault="007B3014" w:rsidP="00CB52F9">
            <w:pPr>
              <w:jc w:val="center"/>
              <w:rPr>
                <w:rFonts w:eastAsia="Times New Roman"/>
                <w:color w:val="000000"/>
              </w:rPr>
            </w:pPr>
            <w:r w:rsidRPr="00FC5415">
              <w:rPr>
                <w:rFonts w:eastAsia="Times New Roman"/>
                <w:color w:val="000000"/>
              </w:rPr>
              <w:t>Bottom  Quartile</w:t>
            </w:r>
          </w:p>
        </w:tc>
        <w:tc>
          <w:tcPr>
            <w:tcW w:w="1231" w:type="dxa"/>
            <w:tcBorders>
              <w:top w:val="nil"/>
              <w:left w:val="nil"/>
              <w:bottom w:val="single" w:sz="4" w:space="0" w:color="auto"/>
              <w:right w:val="nil"/>
            </w:tcBorders>
            <w:shd w:val="clear" w:color="auto" w:fill="auto"/>
            <w:vAlign w:val="center"/>
            <w:hideMark/>
          </w:tcPr>
          <w:p w:rsidR="007B3014" w:rsidRPr="00FC5415" w:rsidRDefault="007B3014" w:rsidP="00CB52F9">
            <w:pPr>
              <w:jc w:val="center"/>
              <w:rPr>
                <w:rFonts w:eastAsia="Times New Roman"/>
                <w:color w:val="000000"/>
              </w:rPr>
            </w:pPr>
            <w:r w:rsidRPr="00FC5415">
              <w:rPr>
                <w:rFonts w:eastAsia="Times New Roman"/>
                <w:color w:val="000000"/>
              </w:rPr>
              <w:t>(2):</w:t>
            </w:r>
          </w:p>
          <w:p w:rsidR="007B3014" w:rsidRPr="00FC5415" w:rsidRDefault="007B3014" w:rsidP="00CB52F9">
            <w:pPr>
              <w:jc w:val="center"/>
              <w:rPr>
                <w:rFonts w:eastAsia="Times New Roman"/>
                <w:color w:val="000000"/>
              </w:rPr>
            </w:pPr>
            <w:r w:rsidRPr="00FC5415">
              <w:rPr>
                <w:rFonts w:eastAsia="Times New Roman"/>
                <w:color w:val="000000"/>
              </w:rPr>
              <w:t>Top</w:t>
            </w:r>
          </w:p>
          <w:p w:rsidR="007B3014" w:rsidRPr="00FC5415" w:rsidRDefault="007B3014" w:rsidP="00CB52F9">
            <w:pPr>
              <w:jc w:val="center"/>
              <w:rPr>
                <w:rFonts w:eastAsia="Times New Roman"/>
                <w:color w:val="000000"/>
              </w:rPr>
            </w:pPr>
            <w:r w:rsidRPr="00FC5415">
              <w:rPr>
                <w:rFonts w:eastAsia="Times New Roman"/>
                <w:color w:val="000000"/>
              </w:rPr>
              <w:t>Quartile</w:t>
            </w:r>
          </w:p>
        </w:tc>
        <w:tc>
          <w:tcPr>
            <w:tcW w:w="1263" w:type="dxa"/>
            <w:gridSpan w:val="2"/>
            <w:tcBorders>
              <w:top w:val="nil"/>
              <w:left w:val="nil"/>
              <w:bottom w:val="single" w:sz="4" w:space="0" w:color="auto"/>
              <w:right w:val="nil"/>
            </w:tcBorders>
            <w:shd w:val="clear" w:color="auto" w:fill="auto"/>
            <w:noWrap/>
            <w:vAlign w:val="center"/>
            <w:hideMark/>
          </w:tcPr>
          <w:p w:rsidR="007B3014" w:rsidRPr="00FC5415" w:rsidRDefault="007B3014" w:rsidP="00CB52F9">
            <w:pPr>
              <w:jc w:val="center"/>
              <w:rPr>
                <w:rFonts w:eastAsia="Times New Roman"/>
                <w:color w:val="000000"/>
              </w:rPr>
            </w:pPr>
            <w:r w:rsidRPr="00FC5415">
              <w:rPr>
                <w:rFonts w:eastAsia="Times New Roman"/>
                <w:color w:val="000000"/>
              </w:rPr>
              <w:t>(2)−(1):</w:t>
            </w:r>
          </w:p>
          <w:p w:rsidR="007B3014" w:rsidRPr="00FC5415" w:rsidRDefault="007B3014" w:rsidP="00CB52F9">
            <w:pPr>
              <w:jc w:val="center"/>
              <w:rPr>
                <w:rFonts w:eastAsia="Times New Roman"/>
                <w:color w:val="000000"/>
              </w:rPr>
            </w:pPr>
          </w:p>
        </w:tc>
        <w:tc>
          <w:tcPr>
            <w:tcW w:w="253" w:type="dxa"/>
            <w:tcBorders>
              <w:top w:val="nil"/>
              <w:left w:val="nil"/>
              <w:bottom w:val="single" w:sz="4" w:space="0" w:color="auto"/>
              <w:right w:val="nil"/>
            </w:tcBorders>
            <w:shd w:val="clear" w:color="auto" w:fill="auto"/>
            <w:noWrap/>
            <w:vAlign w:val="center"/>
          </w:tcPr>
          <w:p w:rsidR="007B3014" w:rsidRPr="00FC5415" w:rsidRDefault="007B3014" w:rsidP="00CB52F9">
            <w:pPr>
              <w:jc w:val="center"/>
              <w:rPr>
                <w:rFonts w:eastAsia="Times New Roman"/>
                <w:color w:val="000000"/>
              </w:rPr>
            </w:pPr>
          </w:p>
        </w:tc>
        <w:tc>
          <w:tcPr>
            <w:tcW w:w="992" w:type="dxa"/>
            <w:tcBorders>
              <w:top w:val="single" w:sz="4" w:space="0" w:color="auto"/>
              <w:left w:val="nil"/>
              <w:bottom w:val="single" w:sz="4" w:space="0" w:color="auto"/>
              <w:right w:val="nil"/>
            </w:tcBorders>
            <w:shd w:val="clear" w:color="auto" w:fill="auto"/>
            <w:noWrap/>
            <w:vAlign w:val="center"/>
            <w:hideMark/>
          </w:tcPr>
          <w:p w:rsidR="007B3014" w:rsidRPr="00FC5415" w:rsidRDefault="007B3014" w:rsidP="00CB52F9">
            <w:pPr>
              <w:jc w:val="center"/>
              <w:rPr>
                <w:rFonts w:eastAsia="Times New Roman"/>
                <w:color w:val="000000"/>
              </w:rPr>
            </w:pPr>
            <w:r w:rsidRPr="00FC5415">
              <w:rPr>
                <w:rFonts w:eastAsia="Times New Roman"/>
                <w:color w:val="000000"/>
              </w:rPr>
              <w:t>(3):</w:t>
            </w:r>
          </w:p>
          <w:p w:rsidR="007B3014" w:rsidRPr="00FC5415" w:rsidRDefault="007B3014" w:rsidP="00CB52F9">
            <w:pPr>
              <w:jc w:val="center"/>
              <w:rPr>
                <w:rFonts w:eastAsia="Times New Roman"/>
                <w:color w:val="000000"/>
              </w:rPr>
            </w:pPr>
            <w:r w:rsidRPr="00FC5415">
              <w:rPr>
                <w:rFonts w:eastAsia="Times New Roman"/>
                <w:color w:val="000000"/>
              </w:rPr>
              <w:t>Bottom  Quartile</w:t>
            </w:r>
          </w:p>
        </w:tc>
        <w:tc>
          <w:tcPr>
            <w:tcW w:w="1005" w:type="dxa"/>
            <w:tcBorders>
              <w:top w:val="single" w:sz="4" w:space="0" w:color="auto"/>
              <w:left w:val="nil"/>
              <w:bottom w:val="single" w:sz="4" w:space="0" w:color="auto"/>
              <w:right w:val="nil"/>
            </w:tcBorders>
            <w:shd w:val="clear" w:color="auto" w:fill="auto"/>
            <w:noWrap/>
            <w:vAlign w:val="center"/>
            <w:hideMark/>
          </w:tcPr>
          <w:p w:rsidR="007B3014" w:rsidRPr="00FC5415" w:rsidRDefault="007B3014" w:rsidP="00CB52F9">
            <w:pPr>
              <w:jc w:val="center"/>
              <w:rPr>
                <w:rFonts w:eastAsia="Times New Roman"/>
                <w:color w:val="000000"/>
              </w:rPr>
            </w:pPr>
            <w:r w:rsidRPr="00FC5415">
              <w:rPr>
                <w:rFonts w:eastAsia="Times New Roman"/>
                <w:color w:val="000000"/>
              </w:rPr>
              <w:t>(4):</w:t>
            </w:r>
          </w:p>
          <w:p w:rsidR="007B3014" w:rsidRPr="00FC5415" w:rsidRDefault="007B3014" w:rsidP="00CB52F9">
            <w:pPr>
              <w:jc w:val="center"/>
              <w:rPr>
                <w:rFonts w:eastAsia="Times New Roman"/>
                <w:color w:val="000000"/>
              </w:rPr>
            </w:pPr>
            <w:r w:rsidRPr="00FC5415">
              <w:rPr>
                <w:rFonts w:eastAsia="Times New Roman"/>
                <w:color w:val="000000"/>
              </w:rPr>
              <w:t>Top</w:t>
            </w:r>
          </w:p>
          <w:p w:rsidR="007B3014" w:rsidRPr="00FC5415" w:rsidRDefault="007B3014" w:rsidP="00CB52F9">
            <w:pPr>
              <w:jc w:val="center"/>
              <w:rPr>
                <w:rFonts w:eastAsia="Times New Roman"/>
                <w:color w:val="000000"/>
              </w:rPr>
            </w:pPr>
            <w:r w:rsidRPr="00FC5415">
              <w:rPr>
                <w:rFonts w:eastAsia="Times New Roman"/>
                <w:color w:val="000000"/>
              </w:rPr>
              <w:t>Quartile</w:t>
            </w:r>
          </w:p>
        </w:tc>
        <w:tc>
          <w:tcPr>
            <w:tcW w:w="1280" w:type="dxa"/>
            <w:gridSpan w:val="2"/>
            <w:tcBorders>
              <w:top w:val="single" w:sz="4" w:space="0" w:color="auto"/>
              <w:left w:val="nil"/>
              <w:bottom w:val="single" w:sz="4" w:space="0" w:color="auto"/>
              <w:right w:val="nil"/>
            </w:tcBorders>
            <w:shd w:val="clear" w:color="auto" w:fill="auto"/>
            <w:noWrap/>
            <w:vAlign w:val="center"/>
            <w:hideMark/>
          </w:tcPr>
          <w:p w:rsidR="007B3014" w:rsidRPr="00FC5415" w:rsidRDefault="007B3014" w:rsidP="00CB52F9">
            <w:pPr>
              <w:jc w:val="center"/>
              <w:rPr>
                <w:rFonts w:eastAsia="Times New Roman"/>
                <w:color w:val="000000"/>
              </w:rPr>
            </w:pPr>
            <w:r w:rsidRPr="00FC5415">
              <w:rPr>
                <w:rFonts w:eastAsia="Times New Roman"/>
                <w:color w:val="000000"/>
              </w:rPr>
              <w:t>(4)−(3):</w:t>
            </w:r>
          </w:p>
          <w:p w:rsidR="007B3014" w:rsidRPr="00FC5415" w:rsidRDefault="007B3014" w:rsidP="00CB52F9">
            <w:pPr>
              <w:jc w:val="center"/>
              <w:rPr>
                <w:rFonts w:eastAsia="Times New Roman"/>
                <w:color w:val="000000"/>
              </w:rPr>
            </w:pPr>
          </w:p>
        </w:tc>
        <w:tc>
          <w:tcPr>
            <w:tcW w:w="263" w:type="dxa"/>
            <w:tcBorders>
              <w:bottom w:val="single" w:sz="4" w:space="0" w:color="auto"/>
            </w:tcBorders>
            <w:vAlign w:val="center"/>
          </w:tcPr>
          <w:p w:rsidR="007B3014" w:rsidRPr="00FC5415" w:rsidRDefault="007B3014" w:rsidP="00CB52F9">
            <w:pPr>
              <w:jc w:val="center"/>
              <w:rPr>
                <w:rFonts w:eastAsia="Times New Roman"/>
                <w:color w:val="000000"/>
              </w:rPr>
            </w:pPr>
          </w:p>
        </w:tc>
        <w:tc>
          <w:tcPr>
            <w:tcW w:w="1033" w:type="dxa"/>
            <w:tcBorders>
              <w:top w:val="single" w:sz="4" w:space="0" w:color="auto"/>
              <w:bottom w:val="single" w:sz="4" w:space="0" w:color="auto"/>
            </w:tcBorders>
            <w:vAlign w:val="center"/>
          </w:tcPr>
          <w:p w:rsidR="007B3014" w:rsidRPr="00FC5415" w:rsidRDefault="007B3014" w:rsidP="00CB52F9">
            <w:pPr>
              <w:jc w:val="center"/>
              <w:rPr>
                <w:rFonts w:eastAsia="Times New Roman"/>
                <w:color w:val="000000"/>
              </w:rPr>
            </w:pPr>
            <w:r w:rsidRPr="00FC5415">
              <w:rPr>
                <w:rFonts w:eastAsia="Times New Roman"/>
                <w:color w:val="000000"/>
              </w:rPr>
              <w:t>(5):</w:t>
            </w:r>
          </w:p>
          <w:p w:rsidR="007B3014" w:rsidRPr="00FC5415" w:rsidRDefault="007B3014" w:rsidP="00CB52F9">
            <w:pPr>
              <w:jc w:val="center"/>
              <w:rPr>
                <w:rFonts w:eastAsia="Times New Roman"/>
                <w:color w:val="000000"/>
              </w:rPr>
            </w:pPr>
            <w:r w:rsidRPr="00FC5415">
              <w:rPr>
                <w:rFonts w:eastAsia="Times New Roman"/>
                <w:color w:val="000000"/>
              </w:rPr>
              <w:t>Bottom  Quartile</w:t>
            </w:r>
          </w:p>
        </w:tc>
        <w:tc>
          <w:tcPr>
            <w:tcW w:w="1072" w:type="dxa"/>
            <w:tcBorders>
              <w:top w:val="single" w:sz="4" w:space="0" w:color="auto"/>
              <w:bottom w:val="single" w:sz="4" w:space="0" w:color="auto"/>
            </w:tcBorders>
            <w:vAlign w:val="center"/>
          </w:tcPr>
          <w:p w:rsidR="007B3014" w:rsidRPr="00FC5415" w:rsidRDefault="007B3014" w:rsidP="00CB52F9">
            <w:pPr>
              <w:jc w:val="center"/>
              <w:rPr>
                <w:rFonts w:eastAsia="Times New Roman"/>
                <w:color w:val="000000"/>
              </w:rPr>
            </w:pPr>
            <w:r w:rsidRPr="00FC5415">
              <w:rPr>
                <w:rFonts w:eastAsia="Times New Roman"/>
                <w:color w:val="000000"/>
              </w:rPr>
              <w:t>(6):</w:t>
            </w:r>
          </w:p>
          <w:p w:rsidR="007B3014" w:rsidRPr="00FC5415" w:rsidRDefault="007B3014" w:rsidP="00CB52F9">
            <w:pPr>
              <w:jc w:val="center"/>
              <w:rPr>
                <w:rFonts w:eastAsia="Times New Roman"/>
                <w:color w:val="000000"/>
              </w:rPr>
            </w:pPr>
            <w:r w:rsidRPr="00FC5415">
              <w:rPr>
                <w:rFonts w:eastAsia="Times New Roman"/>
                <w:color w:val="000000"/>
              </w:rPr>
              <w:t>Top Quartile</w:t>
            </w:r>
          </w:p>
        </w:tc>
        <w:tc>
          <w:tcPr>
            <w:tcW w:w="1262" w:type="dxa"/>
            <w:tcBorders>
              <w:top w:val="single" w:sz="4" w:space="0" w:color="auto"/>
              <w:bottom w:val="single" w:sz="4" w:space="0" w:color="auto"/>
            </w:tcBorders>
            <w:vAlign w:val="center"/>
          </w:tcPr>
          <w:p w:rsidR="007B3014" w:rsidRPr="00FC5415" w:rsidRDefault="007B3014" w:rsidP="00CB52F9">
            <w:pPr>
              <w:jc w:val="center"/>
              <w:rPr>
                <w:rFonts w:eastAsia="Times New Roman"/>
                <w:color w:val="000000"/>
              </w:rPr>
            </w:pPr>
            <w:r w:rsidRPr="00FC5415">
              <w:rPr>
                <w:rFonts w:eastAsia="Times New Roman"/>
                <w:color w:val="000000"/>
              </w:rPr>
              <w:t>(6)−(5):</w:t>
            </w:r>
          </w:p>
          <w:p w:rsidR="007B3014" w:rsidRPr="00FC5415" w:rsidRDefault="007B3014" w:rsidP="00CB52F9">
            <w:pPr>
              <w:jc w:val="center"/>
              <w:rPr>
                <w:rFonts w:eastAsia="Times New Roman"/>
                <w:color w:val="000000"/>
              </w:rPr>
            </w:pPr>
          </w:p>
        </w:tc>
      </w:tr>
      <w:tr w:rsidR="007B3014" w:rsidRPr="00FC5415" w:rsidTr="008010EB">
        <w:trPr>
          <w:trHeight w:val="30"/>
          <w:jc w:val="center"/>
        </w:trPr>
        <w:tc>
          <w:tcPr>
            <w:tcW w:w="1106" w:type="dxa"/>
            <w:tcBorders>
              <w:left w:val="nil"/>
              <w:bottom w:val="nil"/>
              <w:right w:val="nil"/>
            </w:tcBorders>
            <w:shd w:val="clear" w:color="auto" w:fill="auto"/>
            <w:noWrap/>
            <w:vAlign w:val="bottom"/>
            <w:hideMark/>
          </w:tcPr>
          <w:p w:rsidR="007B3014" w:rsidRPr="00FC5415" w:rsidRDefault="007B3014" w:rsidP="004E6E4A">
            <w:pPr>
              <w:rPr>
                <w:rFonts w:eastAsia="Times New Roman"/>
                <w:i/>
                <w:color w:val="000000"/>
              </w:rPr>
            </w:pPr>
            <w:r w:rsidRPr="00FC5415">
              <w:rPr>
                <w:rFonts w:eastAsia="Times New Roman"/>
                <w:i/>
                <w:color w:val="000000"/>
              </w:rPr>
              <w:t>ICoE</w:t>
            </w:r>
          </w:p>
        </w:tc>
        <w:tc>
          <w:tcPr>
            <w:tcW w:w="1273" w:type="dxa"/>
            <w:tcBorders>
              <w:left w:val="nil"/>
              <w:bottom w:val="nil"/>
              <w:right w:val="nil"/>
            </w:tcBorders>
            <w:shd w:val="clear" w:color="auto" w:fill="auto"/>
            <w:noWrap/>
            <w:vAlign w:val="bottom"/>
            <w:hideMark/>
          </w:tcPr>
          <w:p w:rsidR="007B3014" w:rsidRPr="00FC5415" w:rsidRDefault="007B3014" w:rsidP="00CB52F9">
            <w:pPr>
              <w:jc w:val="center"/>
              <w:rPr>
                <w:rFonts w:eastAsia="Times New Roman"/>
                <w:color w:val="000000"/>
              </w:rPr>
            </w:pPr>
            <w:r w:rsidRPr="00FC5415">
              <w:rPr>
                <w:rFonts w:eastAsia="Times New Roman"/>
                <w:color w:val="000000"/>
              </w:rPr>
              <w:t>0.14</w:t>
            </w:r>
            <w:r w:rsidR="00A26569">
              <w:rPr>
                <w:rFonts w:eastAsia="Times New Roman"/>
                <w:color w:val="000000"/>
              </w:rPr>
              <w:t>7</w:t>
            </w:r>
          </w:p>
        </w:tc>
        <w:tc>
          <w:tcPr>
            <w:tcW w:w="1231" w:type="dxa"/>
            <w:tcBorders>
              <w:left w:val="nil"/>
              <w:bottom w:val="nil"/>
              <w:right w:val="nil"/>
            </w:tcBorders>
            <w:shd w:val="clear" w:color="auto" w:fill="auto"/>
            <w:noWrap/>
            <w:vAlign w:val="bottom"/>
            <w:hideMark/>
          </w:tcPr>
          <w:p w:rsidR="007B3014" w:rsidRPr="00FC5415" w:rsidRDefault="007B3014" w:rsidP="00CB52F9">
            <w:pPr>
              <w:jc w:val="center"/>
              <w:rPr>
                <w:rFonts w:eastAsia="Times New Roman"/>
                <w:color w:val="000000"/>
              </w:rPr>
            </w:pPr>
            <w:r w:rsidRPr="00FC5415">
              <w:rPr>
                <w:rFonts w:eastAsia="Times New Roman"/>
                <w:color w:val="000000"/>
              </w:rPr>
              <w:t>0.1</w:t>
            </w:r>
            <w:r w:rsidR="00CB52F9" w:rsidRPr="00FC5415">
              <w:rPr>
                <w:rFonts w:eastAsia="Times New Roman"/>
                <w:color w:val="000000"/>
              </w:rPr>
              <w:t>0</w:t>
            </w:r>
            <w:r w:rsidR="00A26569">
              <w:rPr>
                <w:rFonts w:eastAsia="Times New Roman"/>
                <w:color w:val="000000"/>
              </w:rPr>
              <w:t>4</w:t>
            </w:r>
          </w:p>
        </w:tc>
        <w:tc>
          <w:tcPr>
            <w:tcW w:w="1263" w:type="dxa"/>
            <w:gridSpan w:val="2"/>
            <w:tcBorders>
              <w:left w:val="nil"/>
              <w:bottom w:val="nil"/>
              <w:right w:val="nil"/>
            </w:tcBorders>
            <w:shd w:val="clear" w:color="auto" w:fill="auto"/>
            <w:noWrap/>
            <w:vAlign w:val="bottom"/>
            <w:hideMark/>
          </w:tcPr>
          <w:p w:rsidR="007B3014" w:rsidRPr="00FC5415" w:rsidRDefault="007B3014">
            <w:pPr>
              <w:widowControl/>
              <w:tabs>
                <w:tab w:val="decimal" w:pos="342"/>
              </w:tabs>
              <w:overflowPunct/>
              <w:autoSpaceDE/>
              <w:autoSpaceDN/>
              <w:adjustRightInd/>
              <w:rPr>
                <w:kern w:val="0"/>
                <w:lang w:eastAsia="en-US"/>
              </w:rPr>
            </w:pPr>
            <w:r w:rsidRPr="00FC5415">
              <w:rPr>
                <w:kern w:val="0"/>
                <w:lang w:eastAsia="en-US"/>
              </w:rPr>
              <w:t>−0.</w:t>
            </w:r>
            <w:r w:rsidR="00A26569" w:rsidRPr="00FC5415">
              <w:rPr>
                <w:kern w:val="0"/>
                <w:lang w:eastAsia="en-US"/>
              </w:rPr>
              <w:t>04</w:t>
            </w:r>
            <w:r w:rsidR="00A26569">
              <w:rPr>
                <w:kern w:val="0"/>
                <w:lang w:eastAsia="en-US"/>
              </w:rPr>
              <w:t>3</w:t>
            </w:r>
            <w:r w:rsidRPr="00FC5415">
              <w:rPr>
                <w:kern w:val="0"/>
                <w:lang w:eastAsia="en-US"/>
              </w:rPr>
              <w:t>***</w:t>
            </w:r>
          </w:p>
        </w:tc>
        <w:tc>
          <w:tcPr>
            <w:tcW w:w="253" w:type="dxa"/>
            <w:tcBorders>
              <w:left w:val="nil"/>
              <w:bottom w:val="nil"/>
              <w:right w:val="nil"/>
            </w:tcBorders>
            <w:shd w:val="clear" w:color="auto" w:fill="auto"/>
            <w:noWrap/>
            <w:vAlign w:val="bottom"/>
          </w:tcPr>
          <w:p w:rsidR="007B3014" w:rsidRPr="00FC5415" w:rsidRDefault="007B3014" w:rsidP="004E6E4A">
            <w:pPr>
              <w:rPr>
                <w:rFonts w:eastAsia="Times New Roman"/>
                <w:i/>
                <w:color w:val="000000"/>
              </w:rPr>
            </w:pPr>
          </w:p>
        </w:tc>
        <w:tc>
          <w:tcPr>
            <w:tcW w:w="992" w:type="dxa"/>
            <w:tcBorders>
              <w:left w:val="nil"/>
              <w:bottom w:val="nil"/>
              <w:right w:val="nil"/>
            </w:tcBorders>
            <w:shd w:val="clear" w:color="auto" w:fill="auto"/>
            <w:noWrap/>
            <w:vAlign w:val="bottom"/>
            <w:hideMark/>
          </w:tcPr>
          <w:p w:rsidR="007B3014" w:rsidRPr="00FC5415" w:rsidRDefault="007B3014">
            <w:pPr>
              <w:jc w:val="center"/>
              <w:rPr>
                <w:rFonts w:eastAsia="Times New Roman"/>
                <w:color w:val="000000"/>
              </w:rPr>
            </w:pPr>
            <w:r w:rsidRPr="00FC5415">
              <w:rPr>
                <w:rFonts w:eastAsia="Times New Roman"/>
                <w:color w:val="000000"/>
              </w:rPr>
              <w:t>0.</w:t>
            </w:r>
            <w:r w:rsidR="00A26569" w:rsidRPr="00FC5415">
              <w:rPr>
                <w:rFonts w:eastAsia="Times New Roman"/>
                <w:color w:val="000000"/>
              </w:rPr>
              <w:t>13</w:t>
            </w:r>
            <w:r w:rsidR="00A26569">
              <w:rPr>
                <w:rFonts w:eastAsia="Times New Roman"/>
                <w:color w:val="000000"/>
              </w:rPr>
              <w:t>7</w:t>
            </w:r>
          </w:p>
        </w:tc>
        <w:tc>
          <w:tcPr>
            <w:tcW w:w="1005" w:type="dxa"/>
            <w:tcBorders>
              <w:left w:val="nil"/>
              <w:bottom w:val="nil"/>
              <w:right w:val="nil"/>
            </w:tcBorders>
            <w:shd w:val="clear" w:color="auto" w:fill="auto"/>
            <w:noWrap/>
            <w:vAlign w:val="bottom"/>
            <w:hideMark/>
          </w:tcPr>
          <w:p w:rsidR="007B3014" w:rsidRPr="00FC5415" w:rsidRDefault="007B3014" w:rsidP="00CB52F9">
            <w:pPr>
              <w:jc w:val="center"/>
              <w:rPr>
                <w:rFonts w:eastAsia="Times New Roman"/>
                <w:color w:val="000000"/>
              </w:rPr>
            </w:pPr>
            <w:r w:rsidRPr="00FC5415">
              <w:rPr>
                <w:rFonts w:eastAsia="Times New Roman"/>
                <w:color w:val="000000"/>
              </w:rPr>
              <w:t>0.</w:t>
            </w:r>
            <w:r w:rsidR="00CB52F9" w:rsidRPr="00FC5415">
              <w:rPr>
                <w:rFonts w:eastAsia="Times New Roman"/>
                <w:color w:val="000000"/>
              </w:rPr>
              <w:t>108</w:t>
            </w:r>
          </w:p>
        </w:tc>
        <w:tc>
          <w:tcPr>
            <w:tcW w:w="1280" w:type="dxa"/>
            <w:gridSpan w:val="2"/>
            <w:tcBorders>
              <w:left w:val="nil"/>
              <w:bottom w:val="nil"/>
              <w:right w:val="nil"/>
            </w:tcBorders>
            <w:shd w:val="clear" w:color="auto" w:fill="auto"/>
            <w:noWrap/>
            <w:vAlign w:val="bottom"/>
            <w:hideMark/>
          </w:tcPr>
          <w:p w:rsidR="007B3014" w:rsidRPr="00FC5415" w:rsidRDefault="007B3014">
            <w:pPr>
              <w:widowControl/>
              <w:tabs>
                <w:tab w:val="decimal" w:pos="342"/>
              </w:tabs>
              <w:overflowPunct/>
              <w:autoSpaceDE/>
              <w:autoSpaceDN/>
              <w:adjustRightInd/>
              <w:rPr>
                <w:kern w:val="0"/>
                <w:lang w:eastAsia="en-US"/>
              </w:rPr>
            </w:pPr>
            <w:r w:rsidRPr="00FC5415">
              <w:rPr>
                <w:kern w:val="0"/>
                <w:lang w:eastAsia="en-US"/>
              </w:rPr>
              <w:t>−0.</w:t>
            </w:r>
            <w:r w:rsidR="00A26569" w:rsidRPr="00FC5415">
              <w:rPr>
                <w:kern w:val="0"/>
                <w:lang w:eastAsia="en-US"/>
              </w:rPr>
              <w:t>02</w:t>
            </w:r>
            <w:r w:rsidR="00A26569">
              <w:rPr>
                <w:kern w:val="0"/>
                <w:lang w:eastAsia="en-US"/>
              </w:rPr>
              <w:t>9</w:t>
            </w:r>
            <w:r w:rsidRPr="00FC5415">
              <w:rPr>
                <w:kern w:val="0"/>
                <w:lang w:eastAsia="en-US"/>
              </w:rPr>
              <w:t>***</w:t>
            </w:r>
          </w:p>
        </w:tc>
        <w:tc>
          <w:tcPr>
            <w:tcW w:w="263" w:type="dxa"/>
            <w:vAlign w:val="bottom"/>
          </w:tcPr>
          <w:p w:rsidR="007B3014" w:rsidRPr="00FC5415" w:rsidRDefault="007B3014" w:rsidP="004E6E4A">
            <w:pPr>
              <w:rPr>
                <w:rFonts w:eastAsia="Times New Roman"/>
                <w:color w:val="000000"/>
              </w:rPr>
            </w:pPr>
          </w:p>
        </w:tc>
        <w:tc>
          <w:tcPr>
            <w:tcW w:w="1033" w:type="dxa"/>
            <w:vAlign w:val="bottom"/>
          </w:tcPr>
          <w:p w:rsidR="007B3014" w:rsidRPr="00FC5415" w:rsidRDefault="007B3014">
            <w:pPr>
              <w:jc w:val="center"/>
              <w:rPr>
                <w:rFonts w:eastAsia="Times New Roman"/>
                <w:color w:val="000000"/>
              </w:rPr>
            </w:pPr>
            <w:r w:rsidRPr="00FC5415">
              <w:rPr>
                <w:rFonts w:eastAsia="Times New Roman"/>
                <w:color w:val="000000"/>
              </w:rPr>
              <w:t>0.</w:t>
            </w:r>
            <w:r w:rsidR="00A26569" w:rsidRPr="00FC5415">
              <w:rPr>
                <w:rFonts w:eastAsia="Times New Roman"/>
                <w:color w:val="000000"/>
              </w:rPr>
              <w:t>13</w:t>
            </w:r>
            <w:r w:rsidR="00A26569">
              <w:rPr>
                <w:rFonts w:eastAsia="Times New Roman"/>
                <w:color w:val="000000"/>
              </w:rPr>
              <w:t>9</w:t>
            </w:r>
          </w:p>
        </w:tc>
        <w:tc>
          <w:tcPr>
            <w:tcW w:w="1072" w:type="dxa"/>
            <w:vAlign w:val="bottom"/>
          </w:tcPr>
          <w:p w:rsidR="007B3014" w:rsidRPr="00FC5415" w:rsidRDefault="000821DA" w:rsidP="004E6E4A">
            <w:pPr>
              <w:jc w:val="center"/>
              <w:rPr>
                <w:rFonts w:eastAsia="Times New Roman"/>
                <w:color w:val="000000"/>
              </w:rPr>
            </w:pPr>
            <w:r w:rsidRPr="00FC5415">
              <w:rPr>
                <w:rFonts w:eastAsia="Times New Roman"/>
                <w:color w:val="000000"/>
              </w:rPr>
              <w:t>0.110</w:t>
            </w:r>
          </w:p>
        </w:tc>
        <w:tc>
          <w:tcPr>
            <w:tcW w:w="1262" w:type="dxa"/>
            <w:vAlign w:val="bottom"/>
          </w:tcPr>
          <w:p w:rsidR="007B3014" w:rsidRPr="00FC5415" w:rsidRDefault="007B3014">
            <w:pPr>
              <w:widowControl/>
              <w:tabs>
                <w:tab w:val="decimal" w:pos="278"/>
              </w:tabs>
              <w:overflowPunct/>
              <w:autoSpaceDE/>
              <w:autoSpaceDN/>
              <w:adjustRightInd/>
              <w:rPr>
                <w:kern w:val="0"/>
                <w:lang w:eastAsia="en-US"/>
              </w:rPr>
            </w:pPr>
            <w:r w:rsidRPr="00FC5415">
              <w:rPr>
                <w:kern w:val="0"/>
                <w:lang w:eastAsia="en-US"/>
              </w:rPr>
              <w:t>−0.</w:t>
            </w:r>
            <w:r w:rsidR="00A26569" w:rsidRPr="00FC5415">
              <w:rPr>
                <w:kern w:val="0"/>
                <w:lang w:eastAsia="en-US"/>
              </w:rPr>
              <w:t>02</w:t>
            </w:r>
            <w:r w:rsidR="00A26569">
              <w:rPr>
                <w:kern w:val="0"/>
                <w:lang w:eastAsia="en-US"/>
              </w:rPr>
              <w:t>9</w:t>
            </w:r>
            <w:r w:rsidRPr="00FC5415">
              <w:rPr>
                <w:kern w:val="0"/>
                <w:lang w:eastAsia="en-US"/>
              </w:rPr>
              <w:t>***</w:t>
            </w:r>
          </w:p>
        </w:tc>
      </w:tr>
      <w:tr w:rsidR="007B3014" w:rsidRPr="00FC5415" w:rsidTr="008010EB">
        <w:trPr>
          <w:trHeight w:val="30"/>
          <w:jc w:val="center"/>
        </w:trPr>
        <w:tc>
          <w:tcPr>
            <w:tcW w:w="1106" w:type="dxa"/>
            <w:tcBorders>
              <w:top w:val="nil"/>
              <w:left w:val="nil"/>
              <w:bottom w:val="nil"/>
              <w:right w:val="nil"/>
            </w:tcBorders>
            <w:shd w:val="clear" w:color="auto" w:fill="auto"/>
            <w:noWrap/>
            <w:vAlign w:val="bottom"/>
            <w:hideMark/>
          </w:tcPr>
          <w:p w:rsidR="007B3014" w:rsidRPr="00FC5415" w:rsidRDefault="007B3014" w:rsidP="004E6E4A">
            <w:pPr>
              <w:rPr>
                <w:rFonts w:eastAsia="Times New Roman"/>
                <w:i/>
                <w:color w:val="000000"/>
              </w:rPr>
            </w:pPr>
            <w:r w:rsidRPr="00FC5415">
              <w:rPr>
                <w:rFonts w:eastAsia="Times New Roman"/>
                <w:i/>
                <w:color w:val="000000"/>
              </w:rPr>
              <w:t>Beta</w:t>
            </w:r>
          </w:p>
        </w:tc>
        <w:tc>
          <w:tcPr>
            <w:tcW w:w="1273" w:type="dxa"/>
            <w:tcBorders>
              <w:top w:val="nil"/>
              <w:left w:val="nil"/>
              <w:bottom w:val="nil"/>
              <w:right w:val="nil"/>
            </w:tcBorders>
            <w:shd w:val="clear" w:color="auto" w:fill="auto"/>
            <w:noWrap/>
            <w:vAlign w:val="bottom"/>
            <w:hideMark/>
          </w:tcPr>
          <w:p w:rsidR="007B3014" w:rsidRPr="00FC5415" w:rsidRDefault="007B3014">
            <w:pPr>
              <w:jc w:val="center"/>
              <w:rPr>
                <w:rFonts w:eastAsia="Times New Roman"/>
                <w:color w:val="000000"/>
              </w:rPr>
            </w:pPr>
            <w:r w:rsidRPr="00FC5415">
              <w:rPr>
                <w:rFonts w:eastAsia="Times New Roman"/>
                <w:color w:val="000000"/>
              </w:rPr>
              <w:t>1.</w:t>
            </w:r>
            <w:r w:rsidR="00A26569" w:rsidRPr="00FC5415">
              <w:rPr>
                <w:rFonts w:eastAsia="Times New Roman"/>
                <w:color w:val="000000"/>
              </w:rPr>
              <w:t>18</w:t>
            </w:r>
            <w:r w:rsidR="00A26569">
              <w:rPr>
                <w:rFonts w:eastAsia="Times New Roman"/>
                <w:color w:val="000000"/>
              </w:rPr>
              <w:t>1</w:t>
            </w:r>
          </w:p>
        </w:tc>
        <w:tc>
          <w:tcPr>
            <w:tcW w:w="1231" w:type="dxa"/>
            <w:tcBorders>
              <w:top w:val="nil"/>
              <w:left w:val="nil"/>
              <w:bottom w:val="nil"/>
              <w:right w:val="nil"/>
            </w:tcBorders>
            <w:shd w:val="clear" w:color="auto" w:fill="auto"/>
            <w:noWrap/>
            <w:vAlign w:val="bottom"/>
            <w:hideMark/>
          </w:tcPr>
          <w:p w:rsidR="007B3014" w:rsidRPr="00FC5415" w:rsidRDefault="007B3014">
            <w:pPr>
              <w:jc w:val="center"/>
              <w:rPr>
                <w:rFonts w:eastAsia="Times New Roman"/>
                <w:color w:val="000000"/>
              </w:rPr>
            </w:pPr>
            <w:r w:rsidRPr="00FC5415">
              <w:rPr>
                <w:rFonts w:eastAsia="Times New Roman"/>
                <w:color w:val="000000"/>
              </w:rPr>
              <w:t>0.</w:t>
            </w:r>
            <w:r w:rsidR="00A26569" w:rsidRPr="00FC5415">
              <w:rPr>
                <w:rFonts w:eastAsia="Times New Roman"/>
                <w:color w:val="000000"/>
              </w:rPr>
              <w:t>8</w:t>
            </w:r>
            <w:r w:rsidR="00A26569">
              <w:rPr>
                <w:rFonts w:eastAsia="Times New Roman"/>
                <w:color w:val="000000"/>
              </w:rPr>
              <w:t>80</w:t>
            </w:r>
          </w:p>
        </w:tc>
        <w:tc>
          <w:tcPr>
            <w:tcW w:w="1263" w:type="dxa"/>
            <w:gridSpan w:val="2"/>
            <w:tcBorders>
              <w:top w:val="nil"/>
              <w:left w:val="nil"/>
              <w:bottom w:val="nil"/>
              <w:right w:val="nil"/>
            </w:tcBorders>
            <w:shd w:val="clear" w:color="auto" w:fill="auto"/>
            <w:noWrap/>
            <w:vAlign w:val="bottom"/>
            <w:hideMark/>
          </w:tcPr>
          <w:p w:rsidR="007B3014" w:rsidRPr="00FC5415" w:rsidRDefault="007B3014">
            <w:pPr>
              <w:widowControl/>
              <w:tabs>
                <w:tab w:val="decimal" w:pos="342"/>
              </w:tabs>
              <w:overflowPunct/>
              <w:autoSpaceDE/>
              <w:autoSpaceDN/>
              <w:adjustRightInd/>
              <w:rPr>
                <w:kern w:val="0"/>
                <w:lang w:eastAsia="en-US"/>
              </w:rPr>
            </w:pPr>
            <w:r w:rsidRPr="00FC5415">
              <w:rPr>
                <w:kern w:val="0"/>
                <w:lang w:eastAsia="en-US"/>
              </w:rPr>
              <w:t>−0.</w:t>
            </w:r>
            <w:r w:rsidR="00CB52F9" w:rsidRPr="00FC5415">
              <w:rPr>
                <w:kern w:val="0"/>
                <w:lang w:eastAsia="en-US"/>
              </w:rPr>
              <w:t>3</w:t>
            </w:r>
            <w:r w:rsidR="00A26569">
              <w:rPr>
                <w:kern w:val="0"/>
                <w:lang w:eastAsia="en-US"/>
              </w:rPr>
              <w:t>01</w:t>
            </w:r>
            <w:r w:rsidRPr="00FC5415">
              <w:rPr>
                <w:kern w:val="0"/>
                <w:lang w:eastAsia="en-US"/>
              </w:rPr>
              <w:t>***</w:t>
            </w:r>
          </w:p>
        </w:tc>
        <w:tc>
          <w:tcPr>
            <w:tcW w:w="253" w:type="dxa"/>
            <w:tcBorders>
              <w:top w:val="nil"/>
              <w:left w:val="nil"/>
              <w:bottom w:val="nil"/>
              <w:right w:val="nil"/>
            </w:tcBorders>
            <w:shd w:val="clear" w:color="auto" w:fill="auto"/>
            <w:noWrap/>
            <w:vAlign w:val="bottom"/>
          </w:tcPr>
          <w:p w:rsidR="007B3014" w:rsidRPr="00FC5415" w:rsidRDefault="007B3014" w:rsidP="004E6E4A">
            <w:pPr>
              <w:rPr>
                <w:rFonts w:eastAsia="Times New Roman"/>
                <w:i/>
                <w:color w:val="000000"/>
              </w:rPr>
            </w:pPr>
          </w:p>
        </w:tc>
        <w:tc>
          <w:tcPr>
            <w:tcW w:w="992" w:type="dxa"/>
            <w:tcBorders>
              <w:top w:val="nil"/>
              <w:left w:val="nil"/>
              <w:bottom w:val="nil"/>
              <w:right w:val="nil"/>
            </w:tcBorders>
            <w:shd w:val="clear" w:color="auto" w:fill="auto"/>
            <w:noWrap/>
            <w:vAlign w:val="bottom"/>
            <w:hideMark/>
          </w:tcPr>
          <w:p w:rsidR="007B3014" w:rsidRPr="00FC5415" w:rsidRDefault="007B3014">
            <w:pPr>
              <w:jc w:val="center"/>
              <w:rPr>
                <w:rFonts w:eastAsia="Times New Roman"/>
                <w:color w:val="000000"/>
              </w:rPr>
            </w:pPr>
            <w:r w:rsidRPr="00FC5415">
              <w:rPr>
                <w:rFonts w:eastAsia="Times New Roman"/>
                <w:color w:val="000000"/>
              </w:rPr>
              <w:t>1.</w:t>
            </w:r>
            <w:r w:rsidR="00A26569" w:rsidRPr="00FC5415">
              <w:rPr>
                <w:rFonts w:eastAsia="Times New Roman"/>
                <w:color w:val="000000"/>
              </w:rPr>
              <w:t>1</w:t>
            </w:r>
            <w:r w:rsidR="00A26569">
              <w:rPr>
                <w:rFonts w:eastAsia="Times New Roman"/>
                <w:color w:val="000000"/>
              </w:rPr>
              <w:t>65</w:t>
            </w:r>
          </w:p>
        </w:tc>
        <w:tc>
          <w:tcPr>
            <w:tcW w:w="1005" w:type="dxa"/>
            <w:tcBorders>
              <w:top w:val="nil"/>
              <w:left w:val="nil"/>
              <w:bottom w:val="nil"/>
              <w:right w:val="nil"/>
            </w:tcBorders>
            <w:shd w:val="clear" w:color="auto" w:fill="auto"/>
            <w:noWrap/>
            <w:vAlign w:val="bottom"/>
            <w:hideMark/>
          </w:tcPr>
          <w:p w:rsidR="007B3014" w:rsidRPr="00FC5415" w:rsidRDefault="007B3014">
            <w:pPr>
              <w:jc w:val="center"/>
              <w:rPr>
                <w:rFonts w:eastAsia="Times New Roman"/>
                <w:color w:val="000000"/>
              </w:rPr>
            </w:pPr>
            <w:r w:rsidRPr="00FC5415">
              <w:rPr>
                <w:rFonts w:eastAsia="Times New Roman"/>
                <w:color w:val="000000"/>
              </w:rPr>
              <w:t>0.</w:t>
            </w:r>
            <w:r w:rsidR="00A26569" w:rsidRPr="00FC5415">
              <w:rPr>
                <w:rFonts w:eastAsia="Times New Roman"/>
                <w:color w:val="000000"/>
              </w:rPr>
              <w:t>8</w:t>
            </w:r>
            <w:r w:rsidR="00A26569">
              <w:rPr>
                <w:rFonts w:eastAsia="Times New Roman"/>
                <w:color w:val="000000"/>
              </w:rPr>
              <w:t>31</w:t>
            </w:r>
          </w:p>
        </w:tc>
        <w:tc>
          <w:tcPr>
            <w:tcW w:w="1280" w:type="dxa"/>
            <w:gridSpan w:val="2"/>
            <w:tcBorders>
              <w:top w:val="nil"/>
              <w:left w:val="nil"/>
              <w:bottom w:val="nil"/>
              <w:right w:val="nil"/>
            </w:tcBorders>
            <w:shd w:val="clear" w:color="auto" w:fill="auto"/>
            <w:noWrap/>
            <w:vAlign w:val="bottom"/>
            <w:hideMark/>
          </w:tcPr>
          <w:p w:rsidR="007B3014" w:rsidRPr="00FC5415" w:rsidRDefault="007B3014">
            <w:pPr>
              <w:widowControl/>
              <w:tabs>
                <w:tab w:val="decimal" w:pos="342"/>
              </w:tabs>
              <w:overflowPunct/>
              <w:autoSpaceDE/>
              <w:autoSpaceDN/>
              <w:adjustRightInd/>
              <w:rPr>
                <w:kern w:val="0"/>
                <w:lang w:eastAsia="en-US"/>
              </w:rPr>
            </w:pPr>
            <w:r w:rsidRPr="00FC5415">
              <w:rPr>
                <w:kern w:val="0"/>
                <w:lang w:eastAsia="en-US"/>
              </w:rPr>
              <w:t>−0.</w:t>
            </w:r>
            <w:r w:rsidR="00A26569" w:rsidRPr="00FC5415">
              <w:rPr>
                <w:kern w:val="0"/>
                <w:lang w:eastAsia="en-US"/>
              </w:rPr>
              <w:t>3</w:t>
            </w:r>
            <w:r w:rsidR="00A26569">
              <w:rPr>
                <w:kern w:val="0"/>
                <w:lang w:eastAsia="en-US"/>
              </w:rPr>
              <w:t>34</w:t>
            </w:r>
            <w:r w:rsidRPr="00FC5415">
              <w:rPr>
                <w:kern w:val="0"/>
                <w:lang w:eastAsia="en-US"/>
              </w:rPr>
              <w:t>***</w:t>
            </w:r>
          </w:p>
        </w:tc>
        <w:tc>
          <w:tcPr>
            <w:tcW w:w="263" w:type="dxa"/>
            <w:vAlign w:val="bottom"/>
          </w:tcPr>
          <w:p w:rsidR="007B3014" w:rsidRPr="00FC5415" w:rsidRDefault="007B3014" w:rsidP="004E6E4A">
            <w:pPr>
              <w:rPr>
                <w:rFonts w:eastAsia="Times New Roman"/>
                <w:color w:val="000000"/>
              </w:rPr>
            </w:pPr>
          </w:p>
        </w:tc>
        <w:tc>
          <w:tcPr>
            <w:tcW w:w="1033" w:type="dxa"/>
            <w:vAlign w:val="bottom"/>
          </w:tcPr>
          <w:p w:rsidR="007B3014" w:rsidRPr="00FC5415" w:rsidRDefault="007B3014">
            <w:pPr>
              <w:jc w:val="center"/>
              <w:rPr>
                <w:rFonts w:eastAsia="Times New Roman"/>
                <w:color w:val="000000"/>
              </w:rPr>
            </w:pPr>
            <w:r w:rsidRPr="00FC5415">
              <w:rPr>
                <w:rFonts w:eastAsia="Times New Roman"/>
                <w:color w:val="000000"/>
              </w:rPr>
              <w:t>1.</w:t>
            </w:r>
            <w:r w:rsidR="00A26569" w:rsidRPr="00FC5415">
              <w:rPr>
                <w:rFonts w:eastAsia="Times New Roman"/>
                <w:color w:val="000000"/>
              </w:rPr>
              <w:t>11</w:t>
            </w:r>
            <w:r w:rsidR="00A26569">
              <w:rPr>
                <w:rFonts w:eastAsia="Times New Roman"/>
                <w:color w:val="000000"/>
              </w:rPr>
              <w:t>7</w:t>
            </w:r>
          </w:p>
        </w:tc>
        <w:tc>
          <w:tcPr>
            <w:tcW w:w="1072" w:type="dxa"/>
            <w:vAlign w:val="bottom"/>
          </w:tcPr>
          <w:p w:rsidR="007B3014" w:rsidRPr="00FC5415" w:rsidRDefault="007B3014">
            <w:pPr>
              <w:jc w:val="center"/>
              <w:rPr>
                <w:rFonts w:eastAsia="Times New Roman"/>
                <w:color w:val="000000"/>
              </w:rPr>
            </w:pPr>
            <w:r w:rsidRPr="00FC5415">
              <w:rPr>
                <w:rFonts w:eastAsia="Times New Roman"/>
                <w:color w:val="000000"/>
              </w:rPr>
              <w:t>0.</w:t>
            </w:r>
            <w:r w:rsidR="00A26569" w:rsidRPr="00FC5415">
              <w:rPr>
                <w:rFonts w:eastAsia="Times New Roman"/>
                <w:color w:val="000000"/>
              </w:rPr>
              <w:t>8</w:t>
            </w:r>
            <w:r w:rsidR="00A26569">
              <w:rPr>
                <w:rFonts w:eastAsia="Times New Roman"/>
                <w:color w:val="000000"/>
              </w:rPr>
              <w:t>47</w:t>
            </w:r>
          </w:p>
        </w:tc>
        <w:tc>
          <w:tcPr>
            <w:tcW w:w="1262" w:type="dxa"/>
            <w:vAlign w:val="bottom"/>
          </w:tcPr>
          <w:p w:rsidR="007B3014" w:rsidRPr="00FC5415" w:rsidRDefault="007B3014">
            <w:pPr>
              <w:widowControl/>
              <w:tabs>
                <w:tab w:val="decimal" w:pos="278"/>
              </w:tabs>
              <w:overflowPunct/>
              <w:autoSpaceDE/>
              <w:autoSpaceDN/>
              <w:adjustRightInd/>
              <w:rPr>
                <w:kern w:val="0"/>
                <w:lang w:eastAsia="en-US"/>
              </w:rPr>
            </w:pPr>
            <w:r w:rsidRPr="00FC5415">
              <w:rPr>
                <w:kern w:val="0"/>
                <w:lang w:eastAsia="en-US"/>
              </w:rPr>
              <w:t>−0.</w:t>
            </w:r>
            <w:r w:rsidR="00A26569" w:rsidRPr="00FC5415">
              <w:rPr>
                <w:kern w:val="0"/>
                <w:lang w:eastAsia="en-US"/>
              </w:rPr>
              <w:t>2</w:t>
            </w:r>
            <w:r w:rsidR="00A26569">
              <w:rPr>
                <w:kern w:val="0"/>
                <w:lang w:eastAsia="en-US"/>
              </w:rPr>
              <w:t>70</w:t>
            </w:r>
            <w:r w:rsidRPr="00FC5415">
              <w:rPr>
                <w:kern w:val="0"/>
                <w:lang w:eastAsia="en-US"/>
              </w:rPr>
              <w:t>***</w:t>
            </w:r>
          </w:p>
        </w:tc>
      </w:tr>
      <w:tr w:rsidR="007B3014" w:rsidRPr="00FC5415" w:rsidTr="008010EB">
        <w:trPr>
          <w:trHeight w:val="30"/>
          <w:jc w:val="center"/>
        </w:trPr>
        <w:tc>
          <w:tcPr>
            <w:tcW w:w="1106" w:type="dxa"/>
            <w:tcBorders>
              <w:top w:val="nil"/>
              <w:left w:val="nil"/>
              <w:bottom w:val="nil"/>
              <w:right w:val="nil"/>
            </w:tcBorders>
            <w:shd w:val="clear" w:color="auto" w:fill="auto"/>
            <w:noWrap/>
            <w:vAlign w:val="bottom"/>
            <w:hideMark/>
          </w:tcPr>
          <w:p w:rsidR="007B3014" w:rsidRPr="00FC5415" w:rsidRDefault="007B3014" w:rsidP="004E6E4A">
            <w:pPr>
              <w:rPr>
                <w:rFonts w:eastAsia="Times New Roman"/>
                <w:i/>
                <w:color w:val="000000"/>
              </w:rPr>
            </w:pPr>
            <w:r w:rsidRPr="00FC5415">
              <w:rPr>
                <w:rFonts w:eastAsia="Times New Roman"/>
                <w:i/>
                <w:color w:val="000000"/>
              </w:rPr>
              <w:t>IndEP</w:t>
            </w:r>
          </w:p>
        </w:tc>
        <w:tc>
          <w:tcPr>
            <w:tcW w:w="1273" w:type="dxa"/>
            <w:tcBorders>
              <w:top w:val="nil"/>
              <w:left w:val="nil"/>
              <w:bottom w:val="nil"/>
              <w:right w:val="nil"/>
            </w:tcBorders>
            <w:shd w:val="clear" w:color="auto" w:fill="auto"/>
            <w:noWrap/>
            <w:vAlign w:val="bottom"/>
            <w:hideMark/>
          </w:tcPr>
          <w:p w:rsidR="007B3014" w:rsidRPr="00FC5415" w:rsidRDefault="007B3014">
            <w:pPr>
              <w:jc w:val="center"/>
              <w:rPr>
                <w:rFonts w:eastAsia="Times New Roman"/>
                <w:color w:val="000000"/>
              </w:rPr>
            </w:pPr>
            <w:r w:rsidRPr="00FC5415">
              <w:rPr>
                <w:rFonts w:eastAsia="Times New Roman"/>
                <w:color w:val="000000"/>
              </w:rPr>
              <w:t>0.</w:t>
            </w:r>
            <w:r w:rsidR="00A26569" w:rsidRPr="00FC5415">
              <w:rPr>
                <w:rFonts w:eastAsia="Times New Roman"/>
                <w:color w:val="000000"/>
              </w:rPr>
              <w:t>01</w:t>
            </w:r>
            <w:r w:rsidR="00A26569">
              <w:rPr>
                <w:rFonts w:eastAsia="Times New Roman"/>
                <w:color w:val="000000"/>
              </w:rPr>
              <w:t>0</w:t>
            </w:r>
          </w:p>
        </w:tc>
        <w:tc>
          <w:tcPr>
            <w:tcW w:w="1231" w:type="dxa"/>
            <w:tcBorders>
              <w:top w:val="nil"/>
              <w:left w:val="nil"/>
              <w:bottom w:val="nil"/>
              <w:right w:val="nil"/>
            </w:tcBorders>
            <w:shd w:val="clear" w:color="auto" w:fill="auto"/>
            <w:noWrap/>
            <w:vAlign w:val="bottom"/>
            <w:hideMark/>
          </w:tcPr>
          <w:p w:rsidR="007B3014" w:rsidRPr="00FC5415" w:rsidRDefault="007B3014" w:rsidP="00CB52F9">
            <w:pPr>
              <w:jc w:val="center"/>
              <w:rPr>
                <w:rFonts w:eastAsia="Times New Roman"/>
                <w:color w:val="000000"/>
              </w:rPr>
            </w:pPr>
            <w:r w:rsidRPr="00FC5415">
              <w:rPr>
                <w:rFonts w:eastAsia="Times New Roman"/>
                <w:color w:val="000000"/>
              </w:rPr>
              <w:t>0.0</w:t>
            </w:r>
            <w:r w:rsidR="00CB52F9" w:rsidRPr="00FC5415">
              <w:rPr>
                <w:rFonts w:eastAsia="Times New Roman"/>
                <w:color w:val="000000"/>
              </w:rPr>
              <w:t>03</w:t>
            </w:r>
          </w:p>
        </w:tc>
        <w:tc>
          <w:tcPr>
            <w:tcW w:w="1263" w:type="dxa"/>
            <w:gridSpan w:val="2"/>
            <w:tcBorders>
              <w:top w:val="nil"/>
              <w:left w:val="nil"/>
              <w:bottom w:val="nil"/>
              <w:right w:val="nil"/>
            </w:tcBorders>
            <w:shd w:val="clear" w:color="auto" w:fill="auto"/>
            <w:noWrap/>
            <w:vAlign w:val="bottom"/>
            <w:hideMark/>
          </w:tcPr>
          <w:p w:rsidR="007B3014" w:rsidRPr="00FC5415" w:rsidRDefault="007B3014">
            <w:pPr>
              <w:widowControl/>
              <w:tabs>
                <w:tab w:val="decimal" w:pos="342"/>
              </w:tabs>
              <w:overflowPunct/>
              <w:autoSpaceDE/>
              <w:autoSpaceDN/>
              <w:adjustRightInd/>
              <w:rPr>
                <w:kern w:val="0"/>
                <w:lang w:eastAsia="en-US"/>
              </w:rPr>
            </w:pPr>
            <w:r w:rsidRPr="00FC5415">
              <w:rPr>
                <w:kern w:val="0"/>
                <w:lang w:eastAsia="en-US"/>
              </w:rPr>
              <w:t>−0.</w:t>
            </w:r>
            <w:r w:rsidR="00A26569" w:rsidRPr="00FC5415">
              <w:rPr>
                <w:kern w:val="0"/>
                <w:lang w:eastAsia="en-US"/>
              </w:rPr>
              <w:t>00</w:t>
            </w:r>
            <w:r w:rsidR="00A26569">
              <w:rPr>
                <w:kern w:val="0"/>
                <w:lang w:eastAsia="en-US"/>
              </w:rPr>
              <w:t>7</w:t>
            </w:r>
            <w:r w:rsidRPr="00FC5415">
              <w:rPr>
                <w:kern w:val="0"/>
                <w:lang w:eastAsia="en-US"/>
              </w:rPr>
              <w:t>***</w:t>
            </w:r>
          </w:p>
        </w:tc>
        <w:tc>
          <w:tcPr>
            <w:tcW w:w="253" w:type="dxa"/>
            <w:tcBorders>
              <w:top w:val="nil"/>
              <w:left w:val="nil"/>
              <w:right w:val="nil"/>
            </w:tcBorders>
            <w:shd w:val="clear" w:color="auto" w:fill="auto"/>
            <w:noWrap/>
            <w:vAlign w:val="bottom"/>
          </w:tcPr>
          <w:p w:rsidR="007B3014" w:rsidRPr="00FC5415" w:rsidRDefault="007B3014" w:rsidP="004E6E4A">
            <w:pPr>
              <w:rPr>
                <w:rFonts w:eastAsia="Times New Roman"/>
                <w:i/>
                <w:color w:val="000000"/>
              </w:rPr>
            </w:pPr>
          </w:p>
        </w:tc>
        <w:tc>
          <w:tcPr>
            <w:tcW w:w="992" w:type="dxa"/>
            <w:tcBorders>
              <w:top w:val="nil"/>
              <w:left w:val="nil"/>
              <w:right w:val="nil"/>
            </w:tcBorders>
            <w:shd w:val="clear" w:color="auto" w:fill="auto"/>
            <w:noWrap/>
            <w:vAlign w:val="bottom"/>
            <w:hideMark/>
          </w:tcPr>
          <w:p w:rsidR="007B3014" w:rsidRPr="00FC5415" w:rsidRDefault="007B3014" w:rsidP="00CB52F9">
            <w:pPr>
              <w:jc w:val="center"/>
              <w:rPr>
                <w:rFonts w:eastAsia="Times New Roman"/>
                <w:color w:val="000000"/>
              </w:rPr>
            </w:pPr>
            <w:r w:rsidRPr="00FC5415">
              <w:rPr>
                <w:rFonts w:eastAsia="Times New Roman"/>
                <w:color w:val="000000"/>
              </w:rPr>
              <w:t>0.</w:t>
            </w:r>
            <w:r w:rsidR="00CB52F9" w:rsidRPr="00FC5415">
              <w:rPr>
                <w:rFonts w:eastAsia="Times New Roman"/>
                <w:color w:val="000000"/>
              </w:rPr>
              <w:t>007</w:t>
            </w:r>
          </w:p>
        </w:tc>
        <w:tc>
          <w:tcPr>
            <w:tcW w:w="1005" w:type="dxa"/>
            <w:tcBorders>
              <w:top w:val="nil"/>
              <w:left w:val="nil"/>
              <w:right w:val="nil"/>
            </w:tcBorders>
            <w:shd w:val="clear" w:color="auto" w:fill="auto"/>
            <w:noWrap/>
            <w:vAlign w:val="bottom"/>
            <w:hideMark/>
          </w:tcPr>
          <w:p w:rsidR="007B3014" w:rsidRPr="00FC5415" w:rsidRDefault="007B3014" w:rsidP="00662391">
            <w:pPr>
              <w:jc w:val="center"/>
              <w:rPr>
                <w:rFonts w:eastAsia="Times New Roman"/>
                <w:color w:val="000000"/>
              </w:rPr>
            </w:pPr>
            <w:r w:rsidRPr="00FC5415">
              <w:rPr>
                <w:rFonts w:eastAsia="Times New Roman"/>
                <w:color w:val="000000"/>
              </w:rPr>
              <w:t>0.0</w:t>
            </w:r>
            <w:r w:rsidR="00CB52F9" w:rsidRPr="00FC5415">
              <w:rPr>
                <w:rFonts w:eastAsia="Times New Roman"/>
                <w:color w:val="000000"/>
              </w:rPr>
              <w:t>0</w:t>
            </w:r>
            <w:r w:rsidR="00662391" w:rsidRPr="00FC5415">
              <w:rPr>
                <w:rFonts w:eastAsia="Times New Roman"/>
                <w:color w:val="000000"/>
              </w:rPr>
              <w:t>3</w:t>
            </w:r>
          </w:p>
        </w:tc>
        <w:tc>
          <w:tcPr>
            <w:tcW w:w="1280" w:type="dxa"/>
            <w:gridSpan w:val="2"/>
            <w:tcBorders>
              <w:top w:val="nil"/>
              <w:left w:val="nil"/>
              <w:right w:val="nil"/>
            </w:tcBorders>
            <w:shd w:val="clear" w:color="auto" w:fill="auto"/>
            <w:noWrap/>
            <w:vAlign w:val="bottom"/>
            <w:hideMark/>
          </w:tcPr>
          <w:p w:rsidR="007B3014" w:rsidRPr="00FC5415" w:rsidRDefault="007B3014" w:rsidP="00662391">
            <w:pPr>
              <w:widowControl/>
              <w:tabs>
                <w:tab w:val="decimal" w:pos="342"/>
              </w:tabs>
              <w:overflowPunct/>
              <w:autoSpaceDE/>
              <w:autoSpaceDN/>
              <w:adjustRightInd/>
              <w:rPr>
                <w:kern w:val="0"/>
                <w:lang w:eastAsia="en-US"/>
              </w:rPr>
            </w:pPr>
            <w:r w:rsidRPr="00FC5415">
              <w:rPr>
                <w:kern w:val="0"/>
                <w:lang w:eastAsia="en-US"/>
              </w:rPr>
              <w:t>−0.0</w:t>
            </w:r>
            <w:r w:rsidR="00CB52F9" w:rsidRPr="00FC5415">
              <w:rPr>
                <w:kern w:val="0"/>
                <w:lang w:eastAsia="en-US"/>
              </w:rPr>
              <w:t>0</w:t>
            </w:r>
            <w:r w:rsidR="00662391" w:rsidRPr="00FC5415">
              <w:rPr>
                <w:kern w:val="0"/>
                <w:lang w:eastAsia="en-US"/>
              </w:rPr>
              <w:t>4</w:t>
            </w:r>
            <w:r w:rsidRPr="00FC5415">
              <w:rPr>
                <w:kern w:val="0"/>
                <w:lang w:eastAsia="en-US"/>
              </w:rPr>
              <w:t>***</w:t>
            </w:r>
          </w:p>
        </w:tc>
        <w:tc>
          <w:tcPr>
            <w:tcW w:w="263" w:type="dxa"/>
            <w:vAlign w:val="bottom"/>
          </w:tcPr>
          <w:p w:rsidR="007B3014" w:rsidRPr="00FC5415" w:rsidRDefault="007B3014" w:rsidP="004E6E4A">
            <w:pPr>
              <w:rPr>
                <w:rFonts w:eastAsia="Times New Roman"/>
                <w:color w:val="000000"/>
              </w:rPr>
            </w:pPr>
          </w:p>
        </w:tc>
        <w:tc>
          <w:tcPr>
            <w:tcW w:w="1033" w:type="dxa"/>
            <w:vAlign w:val="bottom"/>
          </w:tcPr>
          <w:p w:rsidR="007B3014" w:rsidRPr="00FC5415" w:rsidRDefault="007B3014" w:rsidP="000821DA">
            <w:pPr>
              <w:jc w:val="center"/>
              <w:rPr>
                <w:rFonts w:eastAsia="Times New Roman"/>
                <w:color w:val="000000"/>
              </w:rPr>
            </w:pPr>
            <w:r w:rsidRPr="00FC5415">
              <w:rPr>
                <w:rFonts w:eastAsia="Times New Roman"/>
                <w:color w:val="000000"/>
              </w:rPr>
              <w:t>0.</w:t>
            </w:r>
            <w:r w:rsidR="000821DA" w:rsidRPr="00FC5415">
              <w:rPr>
                <w:rFonts w:eastAsia="Times New Roman"/>
                <w:color w:val="000000"/>
              </w:rPr>
              <w:t>007</w:t>
            </w:r>
          </w:p>
        </w:tc>
        <w:tc>
          <w:tcPr>
            <w:tcW w:w="1072" w:type="dxa"/>
            <w:vAlign w:val="bottom"/>
          </w:tcPr>
          <w:p w:rsidR="007B3014" w:rsidRPr="00FC5415" w:rsidRDefault="007B3014">
            <w:pPr>
              <w:jc w:val="center"/>
              <w:rPr>
                <w:rFonts w:eastAsia="Times New Roman"/>
                <w:color w:val="000000"/>
              </w:rPr>
            </w:pPr>
            <w:r w:rsidRPr="00FC5415">
              <w:rPr>
                <w:rFonts w:eastAsia="Times New Roman"/>
                <w:color w:val="000000"/>
              </w:rPr>
              <w:t>0.</w:t>
            </w:r>
            <w:r w:rsidR="00A26569" w:rsidRPr="00FC5415">
              <w:rPr>
                <w:rFonts w:eastAsia="Times New Roman"/>
                <w:color w:val="000000"/>
              </w:rPr>
              <w:t>00</w:t>
            </w:r>
            <w:r w:rsidR="00A26569">
              <w:rPr>
                <w:rFonts w:eastAsia="Times New Roman"/>
                <w:color w:val="000000"/>
              </w:rPr>
              <w:t>4</w:t>
            </w:r>
          </w:p>
        </w:tc>
        <w:tc>
          <w:tcPr>
            <w:tcW w:w="1262" w:type="dxa"/>
            <w:vAlign w:val="bottom"/>
          </w:tcPr>
          <w:p w:rsidR="007B3014" w:rsidRPr="00FC5415" w:rsidRDefault="007B3014">
            <w:pPr>
              <w:widowControl/>
              <w:tabs>
                <w:tab w:val="decimal" w:pos="278"/>
              </w:tabs>
              <w:overflowPunct/>
              <w:autoSpaceDE/>
              <w:autoSpaceDN/>
              <w:adjustRightInd/>
              <w:rPr>
                <w:kern w:val="0"/>
                <w:lang w:eastAsia="en-US"/>
              </w:rPr>
            </w:pPr>
            <w:r w:rsidRPr="00FC5415">
              <w:rPr>
                <w:kern w:val="0"/>
                <w:lang w:eastAsia="en-US"/>
              </w:rPr>
              <w:t>−0.</w:t>
            </w:r>
            <w:r w:rsidR="00A26569" w:rsidRPr="00FC5415">
              <w:rPr>
                <w:kern w:val="0"/>
                <w:lang w:eastAsia="en-US"/>
              </w:rPr>
              <w:t>00</w:t>
            </w:r>
            <w:r w:rsidR="00A26569">
              <w:rPr>
                <w:kern w:val="0"/>
                <w:lang w:eastAsia="en-US"/>
              </w:rPr>
              <w:t>3</w:t>
            </w:r>
            <w:r w:rsidRPr="00FC5415">
              <w:rPr>
                <w:kern w:val="0"/>
                <w:lang w:eastAsia="en-US"/>
              </w:rPr>
              <w:t>***</w:t>
            </w:r>
          </w:p>
        </w:tc>
      </w:tr>
      <w:tr w:rsidR="007B3014" w:rsidRPr="00D90FB0" w:rsidTr="008010EB">
        <w:trPr>
          <w:trHeight w:val="30"/>
          <w:jc w:val="center"/>
        </w:trPr>
        <w:tc>
          <w:tcPr>
            <w:tcW w:w="12036" w:type="dxa"/>
            <w:gridSpan w:val="14"/>
            <w:tcBorders>
              <w:left w:val="nil"/>
              <w:bottom w:val="nil"/>
            </w:tcBorders>
            <w:shd w:val="clear" w:color="auto" w:fill="auto"/>
            <w:noWrap/>
            <w:vAlign w:val="bottom"/>
          </w:tcPr>
          <w:p w:rsidR="00DF5E32" w:rsidRPr="00D90FB0" w:rsidRDefault="00DF5E32" w:rsidP="00121591">
            <w:pPr>
              <w:rPr>
                <w:rFonts w:eastAsia="Times New Roman"/>
                <w:b/>
                <w:color w:val="000000"/>
              </w:rPr>
            </w:pPr>
          </w:p>
          <w:p w:rsidR="007B3014" w:rsidRPr="00D90FB0" w:rsidRDefault="007B3014" w:rsidP="00121591">
            <w:pPr>
              <w:rPr>
                <w:rFonts w:eastAsia="Times New Roman"/>
                <w:b/>
                <w:color w:val="000000"/>
              </w:rPr>
            </w:pPr>
            <w:r w:rsidRPr="00D90FB0">
              <w:rPr>
                <w:rFonts w:eastAsia="Times New Roman"/>
                <w:b/>
                <w:color w:val="000000"/>
              </w:rPr>
              <w:t xml:space="preserve">Panel B: </w:t>
            </w:r>
            <w:r w:rsidR="00121591" w:rsidRPr="00D90FB0">
              <w:rPr>
                <w:rFonts w:eastAsia="Times New Roman"/>
                <w:b/>
                <w:color w:val="000000"/>
              </w:rPr>
              <w:t xml:space="preserve">Residual </w:t>
            </w:r>
            <w:r w:rsidRPr="00D90FB0">
              <w:rPr>
                <w:rFonts w:eastAsia="Times New Roman"/>
                <w:b/>
                <w:color w:val="000000"/>
              </w:rPr>
              <w:t>Sorts on</w:t>
            </w:r>
            <w:r w:rsidR="004E65E1" w:rsidRPr="00D90FB0">
              <w:rPr>
                <w:rFonts w:eastAsia="Times New Roman"/>
                <w:b/>
                <w:color w:val="000000"/>
              </w:rPr>
              <w:t xml:space="preserve"> </w:t>
            </w:r>
            <w:r w:rsidR="00646E8F" w:rsidRPr="00D90FB0">
              <w:rPr>
                <w:rFonts w:eastAsia="Times New Roman"/>
                <w:b/>
                <w:i/>
                <w:color w:val="000000"/>
              </w:rPr>
              <w:t>P_EQ</w:t>
            </w:r>
          </w:p>
        </w:tc>
      </w:tr>
      <w:tr w:rsidR="004D2F24" w:rsidRPr="00FC5415" w:rsidTr="008010EB">
        <w:trPr>
          <w:trHeight w:val="30"/>
          <w:jc w:val="center"/>
        </w:trPr>
        <w:tc>
          <w:tcPr>
            <w:tcW w:w="1106" w:type="dxa"/>
            <w:tcBorders>
              <w:left w:val="nil"/>
              <w:bottom w:val="nil"/>
              <w:right w:val="nil"/>
            </w:tcBorders>
            <w:shd w:val="clear" w:color="auto" w:fill="auto"/>
            <w:noWrap/>
            <w:vAlign w:val="bottom"/>
            <w:hideMark/>
          </w:tcPr>
          <w:p w:rsidR="004D2F24" w:rsidRPr="00FC5415" w:rsidRDefault="004D2F24" w:rsidP="005D4CC8">
            <w:pPr>
              <w:rPr>
                <w:rFonts w:eastAsia="Times New Roman"/>
                <w:color w:val="000000"/>
              </w:rPr>
            </w:pPr>
          </w:p>
        </w:tc>
        <w:tc>
          <w:tcPr>
            <w:tcW w:w="3768" w:type="dxa"/>
            <w:gridSpan w:val="4"/>
            <w:tcBorders>
              <w:left w:val="nil"/>
              <w:bottom w:val="single" w:sz="4" w:space="0" w:color="auto"/>
              <w:right w:val="nil"/>
            </w:tcBorders>
            <w:shd w:val="clear" w:color="auto" w:fill="auto"/>
            <w:noWrap/>
            <w:vAlign w:val="bottom"/>
            <w:hideMark/>
          </w:tcPr>
          <w:p w:rsidR="00742ADD" w:rsidRDefault="00742ADD" w:rsidP="007B3014">
            <w:pPr>
              <w:jc w:val="center"/>
              <w:rPr>
                <w:rFonts w:eastAsia="Times New Roman"/>
                <w:color w:val="000000"/>
              </w:rPr>
            </w:pPr>
          </w:p>
          <w:p w:rsidR="004D2F24" w:rsidRPr="00FC5415" w:rsidRDefault="004D2F24" w:rsidP="007B3014">
            <w:pPr>
              <w:jc w:val="center"/>
              <w:rPr>
                <w:rFonts w:eastAsia="Times New Roman"/>
                <w:color w:val="000000"/>
              </w:rPr>
            </w:pPr>
            <w:r w:rsidRPr="00FC5415">
              <w:rPr>
                <w:rFonts w:eastAsia="Times New Roman"/>
                <w:color w:val="000000"/>
              </w:rPr>
              <w:t>Regression with</w:t>
            </w:r>
            <w:r w:rsidRPr="00FC5415">
              <w:rPr>
                <w:rFonts w:eastAsia="Times New Roman"/>
                <w:i/>
                <w:color w:val="000000"/>
              </w:rPr>
              <w:t xml:space="preserve"> EQ</w:t>
            </w:r>
            <w:r w:rsidR="008E5363" w:rsidRPr="00FC5415">
              <w:rPr>
                <w:rFonts w:eastAsia="Times New Roman"/>
                <w:i/>
                <w:color w:val="000000"/>
              </w:rPr>
              <w:t xml:space="preserve"> </w:t>
            </w:r>
            <w:r w:rsidR="008E5363" w:rsidRPr="00FC5415">
              <w:rPr>
                <w:rFonts w:eastAsia="Times New Roman"/>
                <w:color w:val="000000"/>
              </w:rPr>
              <w:t>as explanatory variable</w:t>
            </w:r>
          </w:p>
        </w:tc>
        <w:tc>
          <w:tcPr>
            <w:tcW w:w="253" w:type="dxa"/>
            <w:tcBorders>
              <w:left w:val="nil"/>
              <w:right w:val="nil"/>
            </w:tcBorders>
            <w:shd w:val="clear" w:color="auto" w:fill="auto"/>
            <w:noWrap/>
            <w:vAlign w:val="bottom"/>
          </w:tcPr>
          <w:p w:rsidR="004D2F24" w:rsidRPr="00FC5415" w:rsidRDefault="004D2F24" w:rsidP="004E6E4A">
            <w:pPr>
              <w:rPr>
                <w:rFonts w:eastAsia="Times New Roman"/>
                <w:color w:val="000000"/>
              </w:rPr>
            </w:pPr>
          </w:p>
        </w:tc>
        <w:tc>
          <w:tcPr>
            <w:tcW w:w="3277" w:type="dxa"/>
            <w:gridSpan w:val="4"/>
            <w:tcBorders>
              <w:left w:val="nil"/>
              <w:bottom w:val="single" w:sz="4" w:space="0" w:color="auto"/>
              <w:right w:val="nil"/>
            </w:tcBorders>
            <w:shd w:val="clear" w:color="auto" w:fill="auto"/>
            <w:noWrap/>
            <w:vAlign w:val="bottom"/>
          </w:tcPr>
          <w:p w:rsidR="004D2F24" w:rsidRPr="00FC5415" w:rsidRDefault="004D2F24" w:rsidP="007B3014">
            <w:pPr>
              <w:jc w:val="center"/>
              <w:rPr>
                <w:rFonts w:eastAsia="Times New Roman"/>
                <w:i/>
                <w:color w:val="000000"/>
              </w:rPr>
            </w:pPr>
            <w:r w:rsidRPr="00FC5415">
              <w:rPr>
                <w:rFonts w:eastAsia="Times New Roman"/>
                <w:i/>
                <w:color w:val="000000"/>
              </w:rPr>
              <w:t>P_EQew</w:t>
            </w:r>
          </w:p>
        </w:tc>
        <w:tc>
          <w:tcPr>
            <w:tcW w:w="263" w:type="dxa"/>
            <w:vAlign w:val="bottom"/>
          </w:tcPr>
          <w:p w:rsidR="004D2F24" w:rsidRPr="00FC5415" w:rsidRDefault="004D2F24" w:rsidP="004E6E4A">
            <w:pPr>
              <w:rPr>
                <w:rFonts w:eastAsia="Times New Roman"/>
                <w:i/>
                <w:color w:val="000000"/>
              </w:rPr>
            </w:pPr>
            <w:r w:rsidRPr="00FC5415">
              <w:rPr>
                <w:rFonts w:eastAsia="Times New Roman"/>
                <w:i/>
                <w:color w:val="000000"/>
              </w:rPr>
              <w:t> </w:t>
            </w:r>
          </w:p>
        </w:tc>
        <w:tc>
          <w:tcPr>
            <w:tcW w:w="3368" w:type="dxa"/>
            <w:gridSpan w:val="3"/>
            <w:tcBorders>
              <w:bottom w:val="single" w:sz="4" w:space="0" w:color="auto"/>
            </w:tcBorders>
            <w:vAlign w:val="bottom"/>
          </w:tcPr>
          <w:p w:rsidR="004D2F24" w:rsidRPr="00FC5415" w:rsidRDefault="004D2F24" w:rsidP="004D2F24">
            <w:pPr>
              <w:jc w:val="center"/>
              <w:rPr>
                <w:rFonts w:eastAsia="Times New Roman"/>
                <w:color w:val="000000"/>
              </w:rPr>
            </w:pPr>
            <w:r w:rsidRPr="00FC5415">
              <w:rPr>
                <w:rFonts w:eastAsia="Times New Roman"/>
                <w:i/>
                <w:color w:val="000000"/>
              </w:rPr>
              <w:t>P_EQmsw</w:t>
            </w:r>
          </w:p>
        </w:tc>
      </w:tr>
      <w:tr w:rsidR="008E5363" w:rsidRPr="00FC5415" w:rsidTr="008010EB">
        <w:trPr>
          <w:trHeight w:val="880"/>
          <w:jc w:val="center"/>
        </w:trPr>
        <w:tc>
          <w:tcPr>
            <w:tcW w:w="1106" w:type="dxa"/>
            <w:tcBorders>
              <w:top w:val="nil"/>
              <w:left w:val="nil"/>
              <w:bottom w:val="single" w:sz="4" w:space="0" w:color="auto"/>
              <w:right w:val="nil"/>
            </w:tcBorders>
            <w:shd w:val="clear" w:color="auto" w:fill="auto"/>
            <w:noWrap/>
            <w:vAlign w:val="center"/>
            <w:hideMark/>
          </w:tcPr>
          <w:p w:rsidR="008E5363" w:rsidRPr="00FC5415" w:rsidRDefault="008E5363" w:rsidP="00CB52F9">
            <w:pPr>
              <w:jc w:val="center"/>
              <w:rPr>
                <w:rFonts w:eastAsia="Times New Roman"/>
                <w:color w:val="000000"/>
              </w:rPr>
            </w:pPr>
          </w:p>
        </w:tc>
        <w:tc>
          <w:tcPr>
            <w:tcW w:w="1273" w:type="dxa"/>
            <w:tcBorders>
              <w:top w:val="nil"/>
              <w:left w:val="nil"/>
              <w:bottom w:val="single" w:sz="4" w:space="0" w:color="auto"/>
              <w:right w:val="nil"/>
            </w:tcBorders>
            <w:shd w:val="clear" w:color="auto" w:fill="auto"/>
            <w:vAlign w:val="center"/>
          </w:tcPr>
          <w:p w:rsidR="008E5363" w:rsidRPr="00FC5415" w:rsidRDefault="008E5363" w:rsidP="00CB52F9">
            <w:pPr>
              <w:jc w:val="center"/>
              <w:rPr>
                <w:rFonts w:eastAsia="Times New Roman"/>
                <w:color w:val="000000"/>
              </w:rPr>
            </w:pPr>
            <w:r w:rsidRPr="00FC5415">
              <w:rPr>
                <w:rFonts w:eastAsia="Times New Roman"/>
                <w:color w:val="000000"/>
              </w:rPr>
              <w:t>Intercept</w:t>
            </w:r>
          </w:p>
        </w:tc>
        <w:tc>
          <w:tcPr>
            <w:tcW w:w="1312" w:type="dxa"/>
            <w:gridSpan w:val="2"/>
            <w:tcBorders>
              <w:top w:val="nil"/>
              <w:left w:val="nil"/>
              <w:bottom w:val="single" w:sz="4" w:space="0" w:color="auto"/>
              <w:right w:val="nil"/>
            </w:tcBorders>
            <w:shd w:val="clear" w:color="auto" w:fill="auto"/>
            <w:vAlign w:val="center"/>
          </w:tcPr>
          <w:p w:rsidR="008E5363" w:rsidRPr="00FC5415" w:rsidRDefault="008E5363" w:rsidP="00CB52F9">
            <w:pPr>
              <w:jc w:val="center"/>
              <w:rPr>
                <w:rFonts w:eastAsia="Times New Roman"/>
                <w:color w:val="000000"/>
              </w:rPr>
            </w:pPr>
            <w:r w:rsidRPr="00FC5415">
              <w:rPr>
                <w:rFonts w:eastAsia="Times New Roman"/>
                <w:color w:val="000000"/>
              </w:rPr>
              <w:t>Coefficient</w:t>
            </w:r>
          </w:p>
        </w:tc>
        <w:tc>
          <w:tcPr>
            <w:tcW w:w="1183" w:type="dxa"/>
            <w:tcBorders>
              <w:top w:val="nil"/>
              <w:left w:val="nil"/>
              <w:bottom w:val="single" w:sz="4" w:space="0" w:color="auto"/>
              <w:right w:val="nil"/>
            </w:tcBorders>
            <w:shd w:val="clear" w:color="auto" w:fill="auto"/>
            <w:noWrap/>
            <w:vAlign w:val="center"/>
          </w:tcPr>
          <w:p w:rsidR="008E5363" w:rsidRPr="00FC5415" w:rsidRDefault="008E5363" w:rsidP="00CB52F9">
            <w:pPr>
              <w:jc w:val="center"/>
              <w:rPr>
                <w:rFonts w:eastAsia="Times New Roman"/>
                <w:color w:val="000000"/>
              </w:rPr>
            </w:pPr>
            <w:r w:rsidRPr="00FC5415">
              <w:rPr>
                <w:rFonts w:eastAsia="Times New Roman"/>
                <w:i/>
                <w:color w:val="000000"/>
              </w:rPr>
              <w:t>t</w:t>
            </w:r>
            <w:r w:rsidRPr="00FC5415">
              <w:rPr>
                <w:rFonts w:eastAsia="Times New Roman"/>
                <w:color w:val="000000"/>
              </w:rPr>
              <w:t>-statistics</w:t>
            </w:r>
          </w:p>
        </w:tc>
        <w:tc>
          <w:tcPr>
            <w:tcW w:w="253" w:type="dxa"/>
            <w:tcBorders>
              <w:top w:val="nil"/>
              <w:left w:val="nil"/>
              <w:bottom w:val="single" w:sz="4" w:space="0" w:color="auto"/>
              <w:right w:val="nil"/>
            </w:tcBorders>
            <w:shd w:val="clear" w:color="auto" w:fill="auto"/>
            <w:noWrap/>
            <w:vAlign w:val="center"/>
          </w:tcPr>
          <w:p w:rsidR="008E5363" w:rsidRPr="00FC5415" w:rsidRDefault="008E5363" w:rsidP="00CB52F9">
            <w:pPr>
              <w:jc w:val="center"/>
              <w:rPr>
                <w:rFonts w:eastAsia="Times New Roman"/>
                <w:color w:val="000000"/>
              </w:rPr>
            </w:pPr>
          </w:p>
        </w:tc>
        <w:tc>
          <w:tcPr>
            <w:tcW w:w="992" w:type="dxa"/>
            <w:tcBorders>
              <w:top w:val="single" w:sz="4" w:space="0" w:color="auto"/>
              <w:left w:val="nil"/>
              <w:bottom w:val="single" w:sz="4" w:space="0" w:color="auto"/>
              <w:right w:val="nil"/>
            </w:tcBorders>
            <w:shd w:val="clear" w:color="auto" w:fill="auto"/>
            <w:noWrap/>
            <w:vAlign w:val="center"/>
          </w:tcPr>
          <w:p w:rsidR="008E5363" w:rsidRPr="00FC5415" w:rsidRDefault="008E5363" w:rsidP="00CB52F9">
            <w:pPr>
              <w:jc w:val="center"/>
              <w:rPr>
                <w:rFonts w:eastAsia="Times New Roman"/>
                <w:color w:val="000000"/>
              </w:rPr>
            </w:pPr>
            <w:r w:rsidRPr="00FC5415">
              <w:rPr>
                <w:rFonts w:eastAsia="Times New Roman"/>
                <w:color w:val="000000"/>
              </w:rPr>
              <w:t>(1):</w:t>
            </w:r>
          </w:p>
          <w:p w:rsidR="00CB52F9" w:rsidRPr="00FC5415" w:rsidRDefault="008E5363" w:rsidP="00DF5E32">
            <w:pPr>
              <w:jc w:val="center"/>
              <w:rPr>
                <w:rFonts w:eastAsia="Times New Roman"/>
                <w:color w:val="000000"/>
              </w:rPr>
            </w:pPr>
            <w:r w:rsidRPr="00FC5415">
              <w:rPr>
                <w:rFonts w:eastAsia="Times New Roman"/>
                <w:color w:val="000000"/>
              </w:rPr>
              <w:t>Bottom  Quartile</w:t>
            </w:r>
          </w:p>
        </w:tc>
        <w:tc>
          <w:tcPr>
            <w:tcW w:w="1022" w:type="dxa"/>
            <w:gridSpan w:val="2"/>
            <w:tcBorders>
              <w:top w:val="single" w:sz="4" w:space="0" w:color="auto"/>
              <w:left w:val="nil"/>
              <w:bottom w:val="single" w:sz="4" w:space="0" w:color="auto"/>
              <w:right w:val="nil"/>
            </w:tcBorders>
            <w:shd w:val="clear" w:color="auto" w:fill="auto"/>
            <w:noWrap/>
            <w:vAlign w:val="center"/>
          </w:tcPr>
          <w:p w:rsidR="008E5363" w:rsidRPr="00FC5415" w:rsidRDefault="008E5363" w:rsidP="00CB52F9">
            <w:pPr>
              <w:jc w:val="center"/>
              <w:rPr>
                <w:rFonts w:eastAsia="Times New Roman"/>
                <w:color w:val="000000"/>
              </w:rPr>
            </w:pPr>
            <w:r w:rsidRPr="00FC5415">
              <w:rPr>
                <w:rFonts w:eastAsia="Times New Roman"/>
                <w:color w:val="000000"/>
              </w:rPr>
              <w:t>(2):</w:t>
            </w:r>
          </w:p>
          <w:p w:rsidR="008E5363" w:rsidRPr="00FC5415" w:rsidRDefault="008E5363" w:rsidP="00CB52F9">
            <w:pPr>
              <w:jc w:val="center"/>
              <w:rPr>
                <w:rFonts w:eastAsia="Times New Roman"/>
                <w:color w:val="000000"/>
              </w:rPr>
            </w:pPr>
            <w:r w:rsidRPr="00FC5415">
              <w:rPr>
                <w:rFonts w:eastAsia="Times New Roman"/>
                <w:color w:val="000000"/>
              </w:rPr>
              <w:t>Top</w:t>
            </w:r>
          </w:p>
          <w:p w:rsidR="008E5363" w:rsidRPr="00FC5415" w:rsidRDefault="008E5363" w:rsidP="00CB52F9">
            <w:pPr>
              <w:jc w:val="center"/>
              <w:rPr>
                <w:rFonts w:eastAsia="Times New Roman"/>
                <w:color w:val="000000"/>
              </w:rPr>
            </w:pPr>
            <w:r w:rsidRPr="00FC5415">
              <w:rPr>
                <w:rFonts w:eastAsia="Times New Roman"/>
                <w:color w:val="000000"/>
              </w:rPr>
              <w:t>Quartile</w:t>
            </w:r>
          </w:p>
        </w:tc>
        <w:tc>
          <w:tcPr>
            <w:tcW w:w="1263" w:type="dxa"/>
            <w:tcBorders>
              <w:top w:val="single" w:sz="4" w:space="0" w:color="auto"/>
              <w:left w:val="nil"/>
              <w:bottom w:val="single" w:sz="4" w:space="0" w:color="auto"/>
              <w:right w:val="nil"/>
            </w:tcBorders>
            <w:shd w:val="clear" w:color="auto" w:fill="auto"/>
            <w:noWrap/>
            <w:vAlign w:val="center"/>
          </w:tcPr>
          <w:p w:rsidR="008E5363" w:rsidRPr="00FC5415" w:rsidRDefault="008E5363" w:rsidP="00CB52F9">
            <w:pPr>
              <w:jc w:val="center"/>
              <w:rPr>
                <w:rFonts w:eastAsia="Times New Roman"/>
                <w:color w:val="000000"/>
              </w:rPr>
            </w:pPr>
            <w:r w:rsidRPr="00FC5415">
              <w:rPr>
                <w:rFonts w:eastAsia="Times New Roman"/>
                <w:color w:val="000000"/>
              </w:rPr>
              <w:t>(2)−(1):</w:t>
            </w:r>
          </w:p>
          <w:p w:rsidR="008E5363" w:rsidRPr="00FC5415" w:rsidRDefault="008E5363" w:rsidP="00CB52F9">
            <w:pPr>
              <w:jc w:val="center"/>
              <w:rPr>
                <w:rFonts w:eastAsia="Times New Roman"/>
                <w:color w:val="000000"/>
              </w:rPr>
            </w:pPr>
          </w:p>
        </w:tc>
        <w:tc>
          <w:tcPr>
            <w:tcW w:w="263" w:type="dxa"/>
            <w:vAlign w:val="center"/>
          </w:tcPr>
          <w:p w:rsidR="008E5363" w:rsidRPr="00FC5415" w:rsidRDefault="008E5363" w:rsidP="00CB52F9">
            <w:pPr>
              <w:jc w:val="center"/>
              <w:rPr>
                <w:rFonts w:eastAsia="Times New Roman"/>
                <w:color w:val="000000"/>
              </w:rPr>
            </w:pPr>
          </w:p>
        </w:tc>
        <w:tc>
          <w:tcPr>
            <w:tcW w:w="1033" w:type="dxa"/>
            <w:tcBorders>
              <w:bottom w:val="single" w:sz="4" w:space="0" w:color="auto"/>
            </w:tcBorders>
            <w:vAlign w:val="center"/>
          </w:tcPr>
          <w:p w:rsidR="008E5363" w:rsidRPr="00FC5415" w:rsidRDefault="008E5363" w:rsidP="00CB52F9">
            <w:pPr>
              <w:jc w:val="center"/>
              <w:rPr>
                <w:rFonts w:eastAsia="Times New Roman"/>
                <w:color w:val="000000"/>
              </w:rPr>
            </w:pPr>
            <w:r w:rsidRPr="00FC5415">
              <w:rPr>
                <w:rFonts w:eastAsia="Times New Roman"/>
                <w:color w:val="000000"/>
              </w:rPr>
              <w:t>(3):</w:t>
            </w:r>
          </w:p>
          <w:p w:rsidR="008E5363" w:rsidRPr="00FC5415" w:rsidRDefault="008E5363" w:rsidP="00CB52F9">
            <w:pPr>
              <w:jc w:val="center"/>
              <w:rPr>
                <w:rFonts w:eastAsia="Times New Roman"/>
                <w:color w:val="000000"/>
              </w:rPr>
            </w:pPr>
            <w:r w:rsidRPr="00FC5415">
              <w:rPr>
                <w:rFonts w:eastAsia="Times New Roman"/>
                <w:color w:val="000000"/>
              </w:rPr>
              <w:t>Bottom  Quartile</w:t>
            </w:r>
          </w:p>
        </w:tc>
        <w:tc>
          <w:tcPr>
            <w:tcW w:w="1072" w:type="dxa"/>
            <w:tcBorders>
              <w:bottom w:val="single" w:sz="4" w:space="0" w:color="auto"/>
            </w:tcBorders>
            <w:vAlign w:val="center"/>
          </w:tcPr>
          <w:p w:rsidR="008E5363" w:rsidRPr="00FC5415" w:rsidRDefault="008E5363" w:rsidP="00CB52F9">
            <w:pPr>
              <w:jc w:val="center"/>
              <w:rPr>
                <w:rFonts w:eastAsia="Times New Roman"/>
                <w:color w:val="000000"/>
              </w:rPr>
            </w:pPr>
            <w:r w:rsidRPr="00FC5415">
              <w:rPr>
                <w:rFonts w:eastAsia="Times New Roman"/>
                <w:color w:val="000000"/>
              </w:rPr>
              <w:t>(4):</w:t>
            </w:r>
          </w:p>
          <w:p w:rsidR="008E5363" w:rsidRPr="00FC5415" w:rsidRDefault="008E5363" w:rsidP="00CB52F9">
            <w:pPr>
              <w:jc w:val="center"/>
              <w:rPr>
                <w:rFonts w:eastAsia="Times New Roman"/>
                <w:color w:val="000000"/>
              </w:rPr>
            </w:pPr>
            <w:r w:rsidRPr="00FC5415">
              <w:rPr>
                <w:rFonts w:eastAsia="Times New Roman"/>
                <w:color w:val="000000"/>
              </w:rPr>
              <w:t>Top Quartile</w:t>
            </w:r>
          </w:p>
        </w:tc>
        <w:tc>
          <w:tcPr>
            <w:tcW w:w="1262" w:type="dxa"/>
            <w:tcBorders>
              <w:bottom w:val="single" w:sz="4" w:space="0" w:color="auto"/>
            </w:tcBorders>
            <w:vAlign w:val="center"/>
          </w:tcPr>
          <w:p w:rsidR="008E5363" w:rsidRPr="00FC5415" w:rsidRDefault="008E5363" w:rsidP="00CB52F9">
            <w:pPr>
              <w:jc w:val="center"/>
              <w:rPr>
                <w:rFonts w:eastAsia="Times New Roman"/>
                <w:color w:val="000000"/>
              </w:rPr>
            </w:pPr>
            <w:r w:rsidRPr="00FC5415">
              <w:rPr>
                <w:rFonts w:eastAsia="Times New Roman"/>
                <w:color w:val="000000"/>
              </w:rPr>
              <w:t>(4)−(3):</w:t>
            </w:r>
          </w:p>
          <w:p w:rsidR="008E5363" w:rsidRPr="00FC5415" w:rsidRDefault="008E5363" w:rsidP="00CB52F9">
            <w:pPr>
              <w:jc w:val="center"/>
              <w:rPr>
                <w:rFonts w:eastAsia="Times New Roman"/>
                <w:color w:val="000000"/>
              </w:rPr>
            </w:pPr>
          </w:p>
        </w:tc>
      </w:tr>
      <w:tr w:rsidR="004D2F24" w:rsidRPr="00FC5415" w:rsidTr="008010EB">
        <w:trPr>
          <w:trHeight w:val="30"/>
          <w:jc w:val="center"/>
        </w:trPr>
        <w:tc>
          <w:tcPr>
            <w:tcW w:w="1106" w:type="dxa"/>
            <w:tcBorders>
              <w:top w:val="nil"/>
              <w:left w:val="nil"/>
              <w:bottom w:val="nil"/>
              <w:right w:val="nil"/>
            </w:tcBorders>
            <w:shd w:val="clear" w:color="auto" w:fill="auto"/>
            <w:noWrap/>
            <w:vAlign w:val="bottom"/>
            <w:hideMark/>
          </w:tcPr>
          <w:p w:rsidR="004D2F24" w:rsidRPr="00FC5415" w:rsidRDefault="004D2F24" w:rsidP="005D4CC8">
            <w:pPr>
              <w:rPr>
                <w:rFonts w:eastAsia="Times New Roman"/>
                <w:color w:val="000000"/>
              </w:rPr>
            </w:pPr>
            <w:r w:rsidRPr="00FC5415">
              <w:rPr>
                <w:rFonts w:eastAsia="Times New Roman"/>
                <w:i/>
                <w:color w:val="000000"/>
              </w:rPr>
              <w:t>ICoE</w:t>
            </w:r>
          </w:p>
        </w:tc>
        <w:tc>
          <w:tcPr>
            <w:tcW w:w="1273" w:type="dxa"/>
            <w:tcBorders>
              <w:top w:val="nil"/>
              <w:left w:val="nil"/>
              <w:bottom w:val="nil"/>
              <w:right w:val="nil"/>
            </w:tcBorders>
            <w:shd w:val="clear" w:color="auto" w:fill="auto"/>
            <w:noWrap/>
            <w:vAlign w:val="bottom"/>
          </w:tcPr>
          <w:p w:rsidR="004D2F24" w:rsidRPr="00FC5415" w:rsidRDefault="008E5363">
            <w:pPr>
              <w:jc w:val="center"/>
              <w:rPr>
                <w:rFonts w:eastAsia="Times New Roman"/>
                <w:color w:val="000000"/>
              </w:rPr>
            </w:pPr>
            <w:r w:rsidRPr="00FC5415">
              <w:rPr>
                <w:rFonts w:eastAsia="Times New Roman"/>
                <w:color w:val="000000"/>
              </w:rPr>
              <w:t>0.</w:t>
            </w:r>
            <w:r w:rsidR="006D4331" w:rsidRPr="00FC5415">
              <w:rPr>
                <w:rFonts w:eastAsia="Times New Roman"/>
                <w:color w:val="000000"/>
              </w:rPr>
              <w:t>12</w:t>
            </w:r>
            <w:r w:rsidR="006D4331">
              <w:rPr>
                <w:rFonts w:eastAsia="Times New Roman"/>
                <w:color w:val="000000"/>
              </w:rPr>
              <w:t>1</w:t>
            </w:r>
          </w:p>
        </w:tc>
        <w:tc>
          <w:tcPr>
            <w:tcW w:w="1312" w:type="dxa"/>
            <w:gridSpan w:val="2"/>
            <w:tcBorders>
              <w:top w:val="nil"/>
              <w:left w:val="nil"/>
              <w:bottom w:val="nil"/>
              <w:right w:val="nil"/>
            </w:tcBorders>
            <w:shd w:val="clear" w:color="auto" w:fill="auto"/>
            <w:noWrap/>
            <w:vAlign w:val="bottom"/>
          </w:tcPr>
          <w:p w:rsidR="004D2F24" w:rsidRPr="00FC5415" w:rsidRDefault="008E5363" w:rsidP="00242FC0">
            <w:pPr>
              <w:jc w:val="center"/>
              <w:rPr>
                <w:rFonts w:eastAsia="Times New Roman"/>
                <w:color w:val="000000"/>
              </w:rPr>
            </w:pPr>
            <w:r w:rsidRPr="00FC5415">
              <w:rPr>
                <w:rFonts w:eastAsia="Times New Roman"/>
                <w:color w:val="000000"/>
              </w:rPr>
              <w:t>−0.0</w:t>
            </w:r>
            <w:r w:rsidR="00242FC0" w:rsidRPr="00FC5415">
              <w:rPr>
                <w:rFonts w:eastAsia="Times New Roman"/>
                <w:color w:val="000000"/>
              </w:rPr>
              <w:t>03</w:t>
            </w:r>
            <w:r w:rsidRPr="00FC5415">
              <w:rPr>
                <w:rFonts w:eastAsia="Times New Roman"/>
                <w:color w:val="000000"/>
              </w:rPr>
              <w:t>***</w:t>
            </w:r>
          </w:p>
        </w:tc>
        <w:tc>
          <w:tcPr>
            <w:tcW w:w="1183" w:type="dxa"/>
            <w:tcBorders>
              <w:top w:val="nil"/>
              <w:left w:val="nil"/>
              <w:bottom w:val="nil"/>
              <w:right w:val="nil"/>
            </w:tcBorders>
            <w:shd w:val="clear" w:color="auto" w:fill="auto"/>
            <w:noWrap/>
            <w:vAlign w:val="bottom"/>
          </w:tcPr>
          <w:p w:rsidR="004D2F24" w:rsidRPr="00FC5415" w:rsidRDefault="008E5363">
            <w:pPr>
              <w:widowControl/>
              <w:tabs>
                <w:tab w:val="decimal" w:pos="342"/>
              </w:tabs>
              <w:overflowPunct/>
              <w:autoSpaceDE/>
              <w:autoSpaceDN/>
              <w:adjustRightInd/>
              <w:jc w:val="center"/>
              <w:rPr>
                <w:rFonts w:eastAsia="Times New Roman"/>
                <w:color w:val="000000"/>
              </w:rPr>
            </w:pPr>
            <w:r w:rsidRPr="00FC5415">
              <w:rPr>
                <w:rFonts w:eastAsia="Times New Roman"/>
                <w:color w:val="000000"/>
              </w:rPr>
              <w:t>−</w:t>
            </w:r>
            <w:r w:rsidR="006D4331">
              <w:rPr>
                <w:rFonts w:eastAsia="Times New Roman"/>
                <w:color w:val="000000"/>
              </w:rPr>
              <w:t>16.60</w:t>
            </w:r>
          </w:p>
        </w:tc>
        <w:tc>
          <w:tcPr>
            <w:tcW w:w="253" w:type="dxa"/>
            <w:tcBorders>
              <w:top w:val="single" w:sz="4" w:space="0" w:color="auto"/>
              <w:left w:val="nil"/>
              <w:bottom w:val="nil"/>
              <w:right w:val="nil"/>
            </w:tcBorders>
            <w:shd w:val="clear" w:color="auto" w:fill="auto"/>
            <w:noWrap/>
            <w:vAlign w:val="bottom"/>
          </w:tcPr>
          <w:p w:rsidR="004D2F24" w:rsidRPr="00FC5415" w:rsidRDefault="004D2F24" w:rsidP="00297F00">
            <w:pPr>
              <w:jc w:val="center"/>
              <w:rPr>
                <w:rFonts w:eastAsia="Times New Roman"/>
                <w:color w:val="000000"/>
              </w:rPr>
            </w:pPr>
          </w:p>
        </w:tc>
        <w:tc>
          <w:tcPr>
            <w:tcW w:w="992" w:type="dxa"/>
            <w:tcBorders>
              <w:top w:val="single" w:sz="4" w:space="0" w:color="auto"/>
              <w:left w:val="nil"/>
              <w:bottom w:val="nil"/>
              <w:right w:val="nil"/>
            </w:tcBorders>
            <w:shd w:val="clear" w:color="auto" w:fill="auto"/>
            <w:noWrap/>
            <w:vAlign w:val="bottom"/>
          </w:tcPr>
          <w:p w:rsidR="004D2F24" w:rsidRPr="00FC5415" w:rsidRDefault="004D2F24" w:rsidP="00242FC0">
            <w:pPr>
              <w:jc w:val="center"/>
              <w:rPr>
                <w:rFonts w:eastAsia="Times New Roman"/>
                <w:color w:val="000000"/>
              </w:rPr>
            </w:pPr>
            <w:r w:rsidRPr="00FC5415">
              <w:rPr>
                <w:rFonts w:eastAsia="Times New Roman"/>
                <w:color w:val="000000"/>
              </w:rPr>
              <w:t>0.00</w:t>
            </w:r>
            <w:r w:rsidR="00242FC0" w:rsidRPr="00FC5415">
              <w:rPr>
                <w:rFonts w:eastAsia="Times New Roman"/>
                <w:color w:val="000000"/>
              </w:rPr>
              <w:t>1</w:t>
            </w:r>
          </w:p>
        </w:tc>
        <w:tc>
          <w:tcPr>
            <w:tcW w:w="1022" w:type="dxa"/>
            <w:gridSpan w:val="2"/>
            <w:tcBorders>
              <w:top w:val="single" w:sz="4" w:space="0" w:color="auto"/>
              <w:left w:val="nil"/>
              <w:bottom w:val="nil"/>
              <w:right w:val="nil"/>
            </w:tcBorders>
            <w:shd w:val="clear" w:color="auto" w:fill="auto"/>
            <w:noWrap/>
            <w:vAlign w:val="bottom"/>
          </w:tcPr>
          <w:p w:rsidR="004D2F24" w:rsidRPr="00FC5415" w:rsidRDefault="004D2F24">
            <w:pPr>
              <w:jc w:val="center"/>
              <w:rPr>
                <w:rFonts w:eastAsia="Times New Roman"/>
                <w:color w:val="000000"/>
              </w:rPr>
            </w:pPr>
            <w:r w:rsidRPr="00FC5415">
              <w:rPr>
                <w:rFonts w:eastAsia="Times New Roman"/>
                <w:color w:val="000000"/>
              </w:rPr>
              <w:t>−0.</w:t>
            </w:r>
            <w:r w:rsidR="00A26569" w:rsidRPr="00FC5415">
              <w:rPr>
                <w:rFonts w:eastAsia="Times New Roman"/>
                <w:color w:val="000000"/>
              </w:rPr>
              <w:t>0</w:t>
            </w:r>
            <w:r w:rsidR="00A26569">
              <w:rPr>
                <w:rFonts w:eastAsia="Times New Roman"/>
                <w:color w:val="000000"/>
              </w:rPr>
              <w:t>13</w:t>
            </w:r>
          </w:p>
        </w:tc>
        <w:tc>
          <w:tcPr>
            <w:tcW w:w="1263" w:type="dxa"/>
            <w:tcBorders>
              <w:top w:val="single" w:sz="4" w:space="0" w:color="auto"/>
              <w:left w:val="nil"/>
              <w:bottom w:val="nil"/>
              <w:right w:val="nil"/>
            </w:tcBorders>
            <w:shd w:val="clear" w:color="auto" w:fill="auto"/>
            <w:noWrap/>
            <w:vAlign w:val="bottom"/>
          </w:tcPr>
          <w:p w:rsidR="004D2F24" w:rsidRPr="00FC5415" w:rsidRDefault="004D2F24">
            <w:pPr>
              <w:widowControl/>
              <w:tabs>
                <w:tab w:val="decimal" w:pos="342"/>
              </w:tabs>
              <w:overflowPunct/>
              <w:autoSpaceDE/>
              <w:autoSpaceDN/>
              <w:adjustRightInd/>
              <w:jc w:val="center"/>
              <w:rPr>
                <w:rFonts w:eastAsia="Times New Roman"/>
                <w:color w:val="000000"/>
              </w:rPr>
            </w:pPr>
            <w:r w:rsidRPr="00FC5415">
              <w:rPr>
                <w:rFonts w:eastAsia="Times New Roman"/>
                <w:color w:val="000000"/>
              </w:rPr>
              <w:t>−0.</w:t>
            </w:r>
            <w:r w:rsidR="00A26569" w:rsidRPr="00FC5415">
              <w:rPr>
                <w:rFonts w:eastAsia="Times New Roman"/>
                <w:color w:val="000000"/>
              </w:rPr>
              <w:t>0</w:t>
            </w:r>
            <w:r w:rsidR="00A26569">
              <w:rPr>
                <w:rFonts w:eastAsia="Times New Roman"/>
                <w:color w:val="000000"/>
              </w:rPr>
              <w:t>14</w:t>
            </w:r>
            <w:r w:rsidRPr="00FC5415">
              <w:rPr>
                <w:rFonts w:eastAsia="Times New Roman"/>
                <w:color w:val="000000"/>
              </w:rPr>
              <w:t>***</w:t>
            </w:r>
          </w:p>
        </w:tc>
        <w:tc>
          <w:tcPr>
            <w:tcW w:w="263" w:type="dxa"/>
            <w:tcBorders>
              <w:top w:val="single" w:sz="4" w:space="0" w:color="auto"/>
            </w:tcBorders>
            <w:vAlign w:val="bottom"/>
          </w:tcPr>
          <w:p w:rsidR="004D2F24" w:rsidRPr="00FC5415" w:rsidRDefault="004D2F24" w:rsidP="004E6E4A">
            <w:pPr>
              <w:rPr>
                <w:rFonts w:eastAsia="Times New Roman"/>
                <w:color w:val="000000"/>
              </w:rPr>
            </w:pPr>
          </w:p>
        </w:tc>
        <w:tc>
          <w:tcPr>
            <w:tcW w:w="1033" w:type="dxa"/>
            <w:tcBorders>
              <w:top w:val="single" w:sz="4" w:space="0" w:color="auto"/>
            </w:tcBorders>
            <w:vAlign w:val="bottom"/>
          </w:tcPr>
          <w:p w:rsidR="004D2F24" w:rsidRPr="00FC5415" w:rsidRDefault="004D2F24">
            <w:pPr>
              <w:jc w:val="center"/>
              <w:rPr>
                <w:rFonts w:eastAsia="Times New Roman"/>
                <w:color w:val="000000"/>
              </w:rPr>
            </w:pPr>
            <w:r w:rsidRPr="00FC5415">
              <w:rPr>
                <w:rFonts w:eastAsia="Times New Roman"/>
                <w:color w:val="000000"/>
              </w:rPr>
              <w:t>0.</w:t>
            </w:r>
            <w:r w:rsidR="006D4331" w:rsidRPr="00FC5415">
              <w:rPr>
                <w:rFonts w:eastAsia="Times New Roman"/>
                <w:color w:val="000000"/>
              </w:rPr>
              <w:t>00</w:t>
            </w:r>
            <w:r w:rsidR="006D4331">
              <w:rPr>
                <w:rFonts w:eastAsia="Times New Roman"/>
                <w:color w:val="000000"/>
              </w:rPr>
              <w:t>1</w:t>
            </w:r>
          </w:p>
        </w:tc>
        <w:tc>
          <w:tcPr>
            <w:tcW w:w="1072" w:type="dxa"/>
            <w:tcBorders>
              <w:top w:val="single" w:sz="4" w:space="0" w:color="auto"/>
            </w:tcBorders>
            <w:vAlign w:val="bottom"/>
          </w:tcPr>
          <w:p w:rsidR="004D2F24" w:rsidRPr="00FC5415" w:rsidRDefault="004D2F24">
            <w:pPr>
              <w:jc w:val="center"/>
              <w:rPr>
                <w:rFonts w:eastAsia="Times New Roman"/>
                <w:color w:val="000000"/>
              </w:rPr>
            </w:pPr>
            <w:r w:rsidRPr="00FC5415">
              <w:rPr>
                <w:rFonts w:eastAsia="Times New Roman"/>
                <w:color w:val="000000"/>
              </w:rPr>
              <w:t>−0.</w:t>
            </w:r>
            <w:r w:rsidR="006D4331" w:rsidRPr="00FC5415">
              <w:rPr>
                <w:rFonts w:eastAsia="Times New Roman"/>
                <w:color w:val="000000"/>
              </w:rPr>
              <w:t>0</w:t>
            </w:r>
            <w:r w:rsidR="006D4331">
              <w:rPr>
                <w:rFonts w:eastAsia="Times New Roman"/>
                <w:color w:val="000000"/>
              </w:rPr>
              <w:t>13</w:t>
            </w:r>
          </w:p>
        </w:tc>
        <w:tc>
          <w:tcPr>
            <w:tcW w:w="1262" w:type="dxa"/>
            <w:tcBorders>
              <w:top w:val="single" w:sz="4" w:space="0" w:color="auto"/>
            </w:tcBorders>
            <w:vAlign w:val="bottom"/>
          </w:tcPr>
          <w:p w:rsidR="004D2F24" w:rsidRPr="00FC5415" w:rsidRDefault="004D2F24">
            <w:pPr>
              <w:widowControl/>
              <w:tabs>
                <w:tab w:val="decimal" w:pos="278"/>
              </w:tabs>
              <w:overflowPunct/>
              <w:autoSpaceDE/>
              <w:autoSpaceDN/>
              <w:adjustRightInd/>
              <w:jc w:val="center"/>
              <w:rPr>
                <w:rFonts w:eastAsia="Times New Roman"/>
                <w:color w:val="000000"/>
              </w:rPr>
            </w:pPr>
            <w:r w:rsidRPr="00FC5415">
              <w:rPr>
                <w:rFonts w:eastAsia="Times New Roman"/>
                <w:color w:val="000000"/>
              </w:rPr>
              <w:t>−0.</w:t>
            </w:r>
            <w:r w:rsidR="006D4331" w:rsidRPr="00FC5415">
              <w:rPr>
                <w:rFonts w:eastAsia="Times New Roman"/>
                <w:color w:val="000000"/>
              </w:rPr>
              <w:t>0</w:t>
            </w:r>
            <w:r w:rsidR="006D4331">
              <w:rPr>
                <w:rFonts w:eastAsia="Times New Roman"/>
                <w:color w:val="000000"/>
              </w:rPr>
              <w:t>14</w:t>
            </w:r>
            <w:r w:rsidRPr="00FC5415">
              <w:rPr>
                <w:rFonts w:eastAsia="Times New Roman"/>
                <w:color w:val="000000"/>
              </w:rPr>
              <w:t>***</w:t>
            </w:r>
          </w:p>
        </w:tc>
      </w:tr>
      <w:tr w:rsidR="008E5363" w:rsidRPr="00FC5415" w:rsidTr="008010EB">
        <w:trPr>
          <w:trHeight w:val="30"/>
          <w:jc w:val="center"/>
        </w:trPr>
        <w:tc>
          <w:tcPr>
            <w:tcW w:w="1106" w:type="dxa"/>
            <w:tcBorders>
              <w:top w:val="nil"/>
              <w:left w:val="nil"/>
              <w:right w:val="nil"/>
            </w:tcBorders>
            <w:shd w:val="clear" w:color="auto" w:fill="auto"/>
            <w:noWrap/>
            <w:vAlign w:val="bottom"/>
            <w:hideMark/>
          </w:tcPr>
          <w:p w:rsidR="008E5363" w:rsidRPr="00FC5415" w:rsidRDefault="008E5363" w:rsidP="005D4CC8">
            <w:pPr>
              <w:rPr>
                <w:rFonts w:eastAsia="Times New Roman"/>
                <w:i/>
                <w:color w:val="000000"/>
              </w:rPr>
            </w:pPr>
            <w:r w:rsidRPr="00FC5415">
              <w:rPr>
                <w:rFonts w:eastAsia="Times New Roman"/>
                <w:i/>
                <w:color w:val="000000"/>
              </w:rPr>
              <w:t>Beta</w:t>
            </w:r>
          </w:p>
        </w:tc>
        <w:tc>
          <w:tcPr>
            <w:tcW w:w="1273" w:type="dxa"/>
            <w:tcBorders>
              <w:top w:val="nil"/>
              <w:left w:val="nil"/>
              <w:right w:val="nil"/>
            </w:tcBorders>
            <w:shd w:val="clear" w:color="auto" w:fill="auto"/>
            <w:noWrap/>
            <w:vAlign w:val="bottom"/>
          </w:tcPr>
          <w:p w:rsidR="008E5363" w:rsidRPr="00FC5415" w:rsidRDefault="008E5363">
            <w:pPr>
              <w:jc w:val="center"/>
              <w:rPr>
                <w:rFonts w:eastAsia="Times New Roman"/>
                <w:color w:val="000000"/>
              </w:rPr>
            </w:pPr>
            <w:r w:rsidRPr="00FC5415">
              <w:rPr>
                <w:rFonts w:eastAsia="Times New Roman"/>
                <w:color w:val="000000"/>
              </w:rPr>
              <w:t>1.</w:t>
            </w:r>
            <w:r w:rsidR="006D4331" w:rsidRPr="00FC5415">
              <w:rPr>
                <w:rFonts w:eastAsia="Times New Roman"/>
                <w:color w:val="000000"/>
              </w:rPr>
              <w:t>01</w:t>
            </w:r>
            <w:r w:rsidR="006D4331">
              <w:rPr>
                <w:rFonts w:eastAsia="Times New Roman"/>
                <w:color w:val="000000"/>
              </w:rPr>
              <w:t>9</w:t>
            </w:r>
          </w:p>
        </w:tc>
        <w:tc>
          <w:tcPr>
            <w:tcW w:w="1312" w:type="dxa"/>
            <w:gridSpan w:val="2"/>
            <w:tcBorders>
              <w:top w:val="nil"/>
              <w:left w:val="nil"/>
              <w:right w:val="nil"/>
            </w:tcBorders>
            <w:shd w:val="clear" w:color="auto" w:fill="auto"/>
            <w:noWrap/>
            <w:vAlign w:val="bottom"/>
          </w:tcPr>
          <w:p w:rsidR="008E5363" w:rsidRPr="00FC5415" w:rsidRDefault="008E5363">
            <w:pPr>
              <w:jc w:val="center"/>
              <w:rPr>
                <w:rFonts w:eastAsia="Times New Roman"/>
                <w:color w:val="000000"/>
              </w:rPr>
            </w:pPr>
            <w:r w:rsidRPr="00FC5415">
              <w:rPr>
                <w:rFonts w:eastAsia="Times New Roman"/>
                <w:color w:val="000000"/>
              </w:rPr>
              <w:t>−0.</w:t>
            </w:r>
            <w:r w:rsidR="006D4331">
              <w:rPr>
                <w:rFonts w:eastAsia="Times New Roman"/>
                <w:color w:val="000000"/>
              </w:rPr>
              <w:t>163</w:t>
            </w:r>
            <w:r w:rsidRPr="00FC5415">
              <w:rPr>
                <w:rFonts w:eastAsia="Times New Roman"/>
                <w:color w:val="000000"/>
              </w:rPr>
              <w:t>***</w:t>
            </w:r>
          </w:p>
        </w:tc>
        <w:tc>
          <w:tcPr>
            <w:tcW w:w="1183" w:type="dxa"/>
            <w:tcBorders>
              <w:top w:val="nil"/>
              <w:left w:val="nil"/>
              <w:right w:val="nil"/>
            </w:tcBorders>
            <w:shd w:val="clear" w:color="auto" w:fill="auto"/>
            <w:noWrap/>
            <w:vAlign w:val="bottom"/>
          </w:tcPr>
          <w:p w:rsidR="008E5363" w:rsidRPr="00FC5415" w:rsidRDefault="008E5363">
            <w:pPr>
              <w:widowControl/>
              <w:tabs>
                <w:tab w:val="decimal" w:pos="342"/>
              </w:tabs>
              <w:overflowPunct/>
              <w:autoSpaceDE/>
              <w:autoSpaceDN/>
              <w:adjustRightInd/>
              <w:jc w:val="center"/>
              <w:rPr>
                <w:rFonts w:eastAsia="Times New Roman"/>
                <w:color w:val="000000"/>
              </w:rPr>
            </w:pPr>
            <w:r w:rsidRPr="00FC5415">
              <w:rPr>
                <w:rFonts w:eastAsia="Times New Roman"/>
                <w:color w:val="000000"/>
              </w:rPr>
              <w:t>−</w:t>
            </w:r>
            <w:r w:rsidR="006D4331">
              <w:rPr>
                <w:rFonts w:eastAsia="Times New Roman"/>
                <w:color w:val="000000"/>
              </w:rPr>
              <w:t>14.28</w:t>
            </w:r>
          </w:p>
        </w:tc>
        <w:tc>
          <w:tcPr>
            <w:tcW w:w="253" w:type="dxa"/>
            <w:tcBorders>
              <w:top w:val="nil"/>
              <w:left w:val="nil"/>
              <w:right w:val="nil"/>
            </w:tcBorders>
            <w:shd w:val="clear" w:color="auto" w:fill="auto"/>
            <w:noWrap/>
            <w:vAlign w:val="bottom"/>
          </w:tcPr>
          <w:p w:rsidR="008E5363" w:rsidRPr="00FC5415" w:rsidRDefault="008E5363" w:rsidP="00297F00">
            <w:pPr>
              <w:jc w:val="center"/>
              <w:rPr>
                <w:rFonts w:eastAsia="Times New Roman"/>
                <w:color w:val="000000"/>
              </w:rPr>
            </w:pPr>
          </w:p>
        </w:tc>
        <w:tc>
          <w:tcPr>
            <w:tcW w:w="992" w:type="dxa"/>
            <w:tcBorders>
              <w:top w:val="nil"/>
              <w:left w:val="nil"/>
              <w:right w:val="nil"/>
            </w:tcBorders>
            <w:shd w:val="clear" w:color="auto" w:fill="auto"/>
            <w:noWrap/>
            <w:vAlign w:val="bottom"/>
          </w:tcPr>
          <w:p w:rsidR="008E5363" w:rsidRPr="00FC5415" w:rsidRDefault="008E5363">
            <w:pPr>
              <w:jc w:val="center"/>
              <w:rPr>
                <w:rFonts w:eastAsia="Times New Roman"/>
                <w:color w:val="000000"/>
              </w:rPr>
            </w:pPr>
            <w:r w:rsidRPr="00FC5415">
              <w:rPr>
                <w:rFonts w:eastAsia="Times New Roman"/>
                <w:color w:val="000000"/>
              </w:rPr>
              <w:t>0.</w:t>
            </w:r>
            <w:r w:rsidR="00A26569" w:rsidRPr="00FC5415">
              <w:rPr>
                <w:rFonts w:eastAsia="Times New Roman"/>
                <w:color w:val="000000"/>
              </w:rPr>
              <w:t>0</w:t>
            </w:r>
            <w:r w:rsidR="00A26569">
              <w:rPr>
                <w:rFonts w:eastAsia="Times New Roman"/>
                <w:color w:val="000000"/>
              </w:rPr>
              <w:t>68</w:t>
            </w:r>
          </w:p>
        </w:tc>
        <w:tc>
          <w:tcPr>
            <w:tcW w:w="1022" w:type="dxa"/>
            <w:gridSpan w:val="2"/>
            <w:tcBorders>
              <w:top w:val="nil"/>
              <w:left w:val="nil"/>
              <w:right w:val="nil"/>
            </w:tcBorders>
            <w:shd w:val="clear" w:color="auto" w:fill="auto"/>
            <w:noWrap/>
            <w:vAlign w:val="bottom"/>
          </w:tcPr>
          <w:p w:rsidR="008E5363" w:rsidRPr="00FC5415" w:rsidRDefault="008E5363">
            <w:pPr>
              <w:jc w:val="center"/>
              <w:rPr>
                <w:rFonts w:eastAsia="Times New Roman"/>
                <w:color w:val="000000"/>
              </w:rPr>
            </w:pPr>
            <w:r w:rsidRPr="00FC5415">
              <w:rPr>
                <w:rFonts w:eastAsia="Times New Roman"/>
                <w:color w:val="000000"/>
              </w:rPr>
              <w:t>−0.</w:t>
            </w:r>
            <w:r w:rsidR="00A26569" w:rsidRPr="00FC5415">
              <w:rPr>
                <w:rFonts w:eastAsia="Times New Roman"/>
                <w:color w:val="000000"/>
              </w:rPr>
              <w:t>1</w:t>
            </w:r>
            <w:r w:rsidR="00A26569">
              <w:rPr>
                <w:rFonts w:eastAsia="Times New Roman"/>
                <w:color w:val="000000"/>
              </w:rPr>
              <w:t>93</w:t>
            </w:r>
          </w:p>
        </w:tc>
        <w:tc>
          <w:tcPr>
            <w:tcW w:w="1263" w:type="dxa"/>
            <w:tcBorders>
              <w:top w:val="nil"/>
              <w:left w:val="nil"/>
              <w:right w:val="nil"/>
            </w:tcBorders>
            <w:shd w:val="clear" w:color="auto" w:fill="auto"/>
            <w:noWrap/>
            <w:vAlign w:val="bottom"/>
          </w:tcPr>
          <w:p w:rsidR="008E5363" w:rsidRPr="00FC5415" w:rsidRDefault="008E5363">
            <w:pPr>
              <w:widowControl/>
              <w:tabs>
                <w:tab w:val="decimal" w:pos="342"/>
              </w:tabs>
              <w:overflowPunct/>
              <w:autoSpaceDE/>
              <w:autoSpaceDN/>
              <w:adjustRightInd/>
              <w:jc w:val="center"/>
              <w:rPr>
                <w:rFonts w:eastAsia="Times New Roman"/>
                <w:color w:val="000000"/>
              </w:rPr>
            </w:pPr>
            <w:r w:rsidRPr="00FC5415">
              <w:rPr>
                <w:rFonts w:eastAsia="Times New Roman"/>
                <w:color w:val="000000"/>
              </w:rPr>
              <w:t>−0.</w:t>
            </w:r>
            <w:r w:rsidR="00A26569" w:rsidRPr="00FC5415">
              <w:rPr>
                <w:rFonts w:eastAsia="Times New Roman"/>
                <w:color w:val="000000"/>
              </w:rPr>
              <w:t>26</w:t>
            </w:r>
            <w:r w:rsidR="00A26569">
              <w:rPr>
                <w:rFonts w:eastAsia="Times New Roman"/>
                <w:color w:val="000000"/>
              </w:rPr>
              <w:t>1</w:t>
            </w:r>
            <w:r w:rsidRPr="00FC5415">
              <w:rPr>
                <w:rFonts w:eastAsia="Times New Roman"/>
                <w:color w:val="000000"/>
              </w:rPr>
              <w:t>***</w:t>
            </w:r>
          </w:p>
        </w:tc>
        <w:tc>
          <w:tcPr>
            <w:tcW w:w="263" w:type="dxa"/>
            <w:vAlign w:val="bottom"/>
          </w:tcPr>
          <w:p w:rsidR="008E5363" w:rsidRPr="00FC5415" w:rsidRDefault="008E5363" w:rsidP="004E6E4A">
            <w:pPr>
              <w:rPr>
                <w:rFonts w:eastAsia="Times New Roman"/>
                <w:color w:val="000000"/>
              </w:rPr>
            </w:pPr>
          </w:p>
        </w:tc>
        <w:tc>
          <w:tcPr>
            <w:tcW w:w="1033" w:type="dxa"/>
            <w:vAlign w:val="bottom"/>
          </w:tcPr>
          <w:p w:rsidR="008E5363" w:rsidRPr="00FC5415" w:rsidRDefault="008E5363">
            <w:pPr>
              <w:jc w:val="center"/>
              <w:rPr>
                <w:rFonts w:eastAsia="Times New Roman"/>
                <w:color w:val="000000"/>
              </w:rPr>
            </w:pPr>
            <w:r w:rsidRPr="00FC5415">
              <w:rPr>
                <w:rFonts w:eastAsia="Times New Roman"/>
                <w:color w:val="000000"/>
              </w:rPr>
              <w:t>0.</w:t>
            </w:r>
            <w:r w:rsidR="006D4331" w:rsidRPr="00FC5415">
              <w:rPr>
                <w:rFonts w:eastAsia="Times New Roman"/>
                <w:color w:val="000000"/>
              </w:rPr>
              <w:t>0</w:t>
            </w:r>
            <w:r w:rsidR="006D4331">
              <w:rPr>
                <w:rFonts w:eastAsia="Times New Roman"/>
                <w:color w:val="000000"/>
              </w:rPr>
              <w:t>75</w:t>
            </w:r>
          </w:p>
        </w:tc>
        <w:tc>
          <w:tcPr>
            <w:tcW w:w="1072" w:type="dxa"/>
            <w:vAlign w:val="bottom"/>
          </w:tcPr>
          <w:p w:rsidR="008E5363" w:rsidRPr="00FC5415" w:rsidRDefault="008E5363">
            <w:pPr>
              <w:jc w:val="center"/>
              <w:rPr>
                <w:rFonts w:eastAsia="Times New Roman"/>
                <w:color w:val="000000"/>
              </w:rPr>
            </w:pPr>
            <w:r w:rsidRPr="00FC5415">
              <w:rPr>
                <w:rFonts w:eastAsia="Times New Roman"/>
                <w:color w:val="000000"/>
              </w:rPr>
              <w:t>−0.</w:t>
            </w:r>
            <w:r w:rsidR="006D4331" w:rsidRPr="00FC5415">
              <w:rPr>
                <w:rFonts w:eastAsia="Times New Roman"/>
                <w:color w:val="000000"/>
              </w:rPr>
              <w:t>1</w:t>
            </w:r>
            <w:r w:rsidR="006D4331">
              <w:rPr>
                <w:rFonts w:eastAsia="Times New Roman"/>
                <w:color w:val="000000"/>
              </w:rPr>
              <w:t>7</w:t>
            </w:r>
            <w:r w:rsidR="006D4331" w:rsidRPr="00FC5415">
              <w:rPr>
                <w:rFonts w:eastAsia="Times New Roman"/>
                <w:color w:val="000000"/>
              </w:rPr>
              <w:t>7</w:t>
            </w:r>
          </w:p>
        </w:tc>
        <w:tc>
          <w:tcPr>
            <w:tcW w:w="1262" w:type="dxa"/>
            <w:vAlign w:val="bottom"/>
          </w:tcPr>
          <w:p w:rsidR="008E5363" w:rsidRPr="00FC5415" w:rsidRDefault="008E5363">
            <w:pPr>
              <w:widowControl/>
              <w:tabs>
                <w:tab w:val="decimal" w:pos="342"/>
              </w:tabs>
              <w:overflowPunct/>
              <w:autoSpaceDE/>
              <w:autoSpaceDN/>
              <w:adjustRightInd/>
              <w:jc w:val="center"/>
              <w:rPr>
                <w:rFonts w:eastAsia="Times New Roman"/>
                <w:color w:val="000000"/>
              </w:rPr>
            </w:pPr>
            <w:r w:rsidRPr="00FC5415">
              <w:rPr>
                <w:rFonts w:eastAsia="Times New Roman"/>
                <w:color w:val="000000"/>
              </w:rPr>
              <w:t>−0.</w:t>
            </w:r>
            <w:r w:rsidR="006D4331" w:rsidRPr="00FC5415">
              <w:rPr>
                <w:rFonts w:eastAsia="Times New Roman"/>
                <w:color w:val="000000"/>
              </w:rPr>
              <w:t>25</w:t>
            </w:r>
            <w:r w:rsidR="006D4331">
              <w:rPr>
                <w:rFonts w:eastAsia="Times New Roman"/>
                <w:color w:val="000000"/>
              </w:rPr>
              <w:t>2</w:t>
            </w:r>
            <w:r w:rsidRPr="00FC5415">
              <w:rPr>
                <w:rFonts w:eastAsia="Times New Roman"/>
                <w:color w:val="000000"/>
              </w:rPr>
              <w:t>***</w:t>
            </w:r>
          </w:p>
        </w:tc>
      </w:tr>
      <w:tr w:rsidR="008E5363" w:rsidRPr="00FC5415" w:rsidTr="008010EB">
        <w:trPr>
          <w:trHeight w:val="30"/>
          <w:jc w:val="center"/>
        </w:trPr>
        <w:tc>
          <w:tcPr>
            <w:tcW w:w="1106" w:type="dxa"/>
            <w:tcBorders>
              <w:top w:val="nil"/>
              <w:left w:val="nil"/>
              <w:bottom w:val="single" w:sz="4" w:space="0" w:color="auto"/>
              <w:right w:val="nil"/>
            </w:tcBorders>
            <w:shd w:val="clear" w:color="auto" w:fill="auto"/>
            <w:noWrap/>
            <w:vAlign w:val="bottom"/>
            <w:hideMark/>
          </w:tcPr>
          <w:p w:rsidR="008E5363" w:rsidRPr="00FC5415" w:rsidRDefault="008E5363" w:rsidP="005D4CC8">
            <w:pPr>
              <w:rPr>
                <w:rFonts w:eastAsia="Times New Roman"/>
                <w:i/>
                <w:color w:val="000000"/>
              </w:rPr>
            </w:pPr>
            <w:r w:rsidRPr="00FC5415">
              <w:rPr>
                <w:rFonts w:eastAsia="Times New Roman"/>
                <w:i/>
                <w:color w:val="000000"/>
              </w:rPr>
              <w:t>IndEP</w:t>
            </w:r>
          </w:p>
        </w:tc>
        <w:tc>
          <w:tcPr>
            <w:tcW w:w="1273" w:type="dxa"/>
            <w:tcBorders>
              <w:top w:val="nil"/>
              <w:left w:val="nil"/>
              <w:bottom w:val="single" w:sz="4" w:space="0" w:color="auto"/>
              <w:right w:val="nil"/>
            </w:tcBorders>
            <w:shd w:val="clear" w:color="auto" w:fill="auto"/>
            <w:noWrap/>
            <w:vAlign w:val="bottom"/>
          </w:tcPr>
          <w:p w:rsidR="008E5363" w:rsidRPr="00FC5415" w:rsidRDefault="008E5363" w:rsidP="00242FC0">
            <w:pPr>
              <w:jc w:val="center"/>
              <w:rPr>
                <w:rFonts w:eastAsia="Times New Roman"/>
                <w:color w:val="000000"/>
              </w:rPr>
            </w:pPr>
            <w:r w:rsidRPr="00FC5415">
              <w:rPr>
                <w:rFonts w:eastAsia="Times New Roman"/>
                <w:color w:val="000000"/>
              </w:rPr>
              <w:t>0.</w:t>
            </w:r>
            <w:r w:rsidR="00242FC0" w:rsidRPr="00FC5415">
              <w:rPr>
                <w:rFonts w:eastAsia="Times New Roman"/>
                <w:color w:val="000000"/>
              </w:rPr>
              <w:t>005</w:t>
            </w:r>
          </w:p>
        </w:tc>
        <w:tc>
          <w:tcPr>
            <w:tcW w:w="1312" w:type="dxa"/>
            <w:gridSpan w:val="2"/>
            <w:tcBorders>
              <w:top w:val="nil"/>
              <w:left w:val="nil"/>
              <w:bottom w:val="single" w:sz="4" w:space="0" w:color="auto"/>
              <w:right w:val="nil"/>
            </w:tcBorders>
            <w:shd w:val="clear" w:color="auto" w:fill="auto"/>
            <w:noWrap/>
            <w:vAlign w:val="bottom"/>
          </w:tcPr>
          <w:p w:rsidR="008E5363" w:rsidRPr="00FC5415" w:rsidRDefault="008E5363">
            <w:pPr>
              <w:jc w:val="center"/>
              <w:rPr>
                <w:rFonts w:eastAsia="Times New Roman"/>
                <w:color w:val="000000"/>
              </w:rPr>
            </w:pPr>
            <w:r w:rsidRPr="00FC5415">
              <w:rPr>
                <w:rFonts w:eastAsia="Times New Roman"/>
                <w:color w:val="000000"/>
              </w:rPr>
              <w:t>−0.</w:t>
            </w:r>
            <w:r w:rsidR="006D4331" w:rsidRPr="00FC5415">
              <w:rPr>
                <w:rFonts w:eastAsia="Times New Roman"/>
                <w:color w:val="000000"/>
              </w:rPr>
              <w:t>0</w:t>
            </w:r>
            <w:r w:rsidR="006D4331">
              <w:rPr>
                <w:rFonts w:eastAsia="Times New Roman"/>
                <w:color w:val="000000"/>
              </w:rPr>
              <w:t>09</w:t>
            </w:r>
            <w:r w:rsidRPr="00FC5415">
              <w:rPr>
                <w:rFonts w:eastAsia="Times New Roman"/>
                <w:color w:val="000000"/>
              </w:rPr>
              <w:t>***</w:t>
            </w:r>
          </w:p>
        </w:tc>
        <w:tc>
          <w:tcPr>
            <w:tcW w:w="1183" w:type="dxa"/>
            <w:tcBorders>
              <w:top w:val="nil"/>
              <w:left w:val="nil"/>
              <w:bottom w:val="single" w:sz="4" w:space="0" w:color="auto"/>
              <w:right w:val="nil"/>
            </w:tcBorders>
            <w:shd w:val="clear" w:color="auto" w:fill="auto"/>
            <w:noWrap/>
            <w:vAlign w:val="bottom"/>
          </w:tcPr>
          <w:p w:rsidR="008E5363" w:rsidRPr="00FC5415" w:rsidRDefault="008E5363" w:rsidP="00242FC0">
            <w:pPr>
              <w:widowControl/>
              <w:tabs>
                <w:tab w:val="decimal" w:pos="342"/>
              </w:tabs>
              <w:overflowPunct/>
              <w:autoSpaceDE/>
              <w:autoSpaceDN/>
              <w:adjustRightInd/>
              <w:jc w:val="center"/>
              <w:rPr>
                <w:rFonts w:eastAsia="Times New Roman"/>
                <w:color w:val="000000"/>
              </w:rPr>
            </w:pPr>
            <w:r w:rsidRPr="00FC5415">
              <w:rPr>
                <w:rFonts w:eastAsia="Times New Roman"/>
                <w:color w:val="000000"/>
              </w:rPr>
              <w:t>−</w:t>
            </w:r>
            <w:r w:rsidR="00242FC0" w:rsidRPr="00FC5415">
              <w:rPr>
                <w:rFonts w:eastAsia="Times New Roman"/>
                <w:color w:val="000000"/>
              </w:rPr>
              <w:t>8.04</w:t>
            </w:r>
          </w:p>
        </w:tc>
        <w:tc>
          <w:tcPr>
            <w:tcW w:w="253" w:type="dxa"/>
            <w:tcBorders>
              <w:top w:val="nil"/>
              <w:left w:val="nil"/>
              <w:bottom w:val="single" w:sz="4" w:space="0" w:color="auto"/>
              <w:right w:val="nil"/>
            </w:tcBorders>
            <w:shd w:val="clear" w:color="auto" w:fill="auto"/>
            <w:noWrap/>
            <w:vAlign w:val="bottom"/>
          </w:tcPr>
          <w:p w:rsidR="008E5363" w:rsidRPr="00FC5415" w:rsidRDefault="008E5363" w:rsidP="00297F00">
            <w:pPr>
              <w:jc w:val="center"/>
              <w:rPr>
                <w:rFonts w:eastAsia="Times New Roman"/>
                <w:color w:val="000000"/>
              </w:rPr>
            </w:pPr>
          </w:p>
        </w:tc>
        <w:tc>
          <w:tcPr>
            <w:tcW w:w="992" w:type="dxa"/>
            <w:tcBorders>
              <w:top w:val="nil"/>
              <w:left w:val="nil"/>
              <w:bottom w:val="single" w:sz="4" w:space="0" w:color="auto"/>
              <w:right w:val="nil"/>
            </w:tcBorders>
            <w:shd w:val="clear" w:color="auto" w:fill="auto"/>
            <w:noWrap/>
            <w:vAlign w:val="bottom"/>
          </w:tcPr>
          <w:p w:rsidR="008E5363" w:rsidRPr="00FC5415" w:rsidRDefault="005B23EE" w:rsidP="005B23EE">
            <w:pPr>
              <w:jc w:val="center"/>
              <w:rPr>
                <w:rFonts w:eastAsia="Times New Roman"/>
                <w:color w:val="000000"/>
              </w:rPr>
            </w:pPr>
            <w:r w:rsidRPr="00FC5415">
              <w:rPr>
                <w:rFonts w:eastAsia="Times New Roman"/>
                <w:color w:val="000000"/>
              </w:rPr>
              <w:t>−</w:t>
            </w:r>
            <w:r w:rsidR="008E5363" w:rsidRPr="00FC5415">
              <w:rPr>
                <w:rFonts w:eastAsia="Times New Roman"/>
                <w:color w:val="000000"/>
              </w:rPr>
              <w:t>0.0</w:t>
            </w:r>
            <w:r w:rsidR="00242FC0" w:rsidRPr="00FC5415">
              <w:rPr>
                <w:rFonts w:eastAsia="Times New Roman"/>
                <w:color w:val="000000"/>
              </w:rPr>
              <w:t>0</w:t>
            </w:r>
            <w:r w:rsidRPr="00FC5415">
              <w:rPr>
                <w:rFonts w:eastAsia="Times New Roman"/>
                <w:color w:val="000000"/>
              </w:rPr>
              <w:t>1</w:t>
            </w:r>
          </w:p>
        </w:tc>
        <w:tc>
          <w:tcPr>
            <w:tcW w:w="1022" w:type="dxa"/>
            <w:gridSpan w:val="2"/>
            <w:tcBorders>
              <w:top w:val="nil"/>
              <w:left w:val="nil"/>
              <w:bottom w:val="single" w:sz="4" w:space="0" w:color="auto"/>
              <w:right w:val="nil"/>
            </w:tcBorders>
            <w:shd w:val="clear" w:color="auto" w:fill="auto"/>
            <w:noWrap/>
            <w:vAlign w:val="bottom"/>
          </w:tcPr>
          <w:p w:rsidR="008E5363" w:rsidRPr="00FC5415" w:rsidRDefault="00040718">
            <w:pPr>
              <w:jc w:val="center"/>
              <w:rPr>
                <w:rFonts w:eastAsia="Times New Roman"/>
                <w:color w:val="000000"/>
              </w:rPr>
            </w:pPr>
            <w:r w:rsidRPr="00FC5415">
              <w:rPr>
                <w:rFonts w:eastAsia="Times New Roman"/>
                <w:color w:val="000000"/>
              </w:rPr>
              <w:t>−</w:t>
            </w:r>
            <w:r w:rsidR="008E5363" w:rsidRPr="00FC5415">
              <w:rPr>
                <w:rFonts w:eastAsia="Times New Roman"/>
                <w:color w:val="000000"/>
              </w:rPr>
              <w:t>0.</w:t>
            </w:r>
            <w:r w:rsidR="006D4331" w:rsidRPr="00FC5415">
              <w:rPr>
                <w:rFonts w:eastAsia="Times New Roman"/>
                <w:color w:val="000000"/>
              </w:rPr>
              <w:t>00</w:t>
            </w:r>
            <w:r w:rsidR="00B75293">
              <w:rPr>
                <w:rFonts w:eastAsia="Times New Roman"/>
                <w:color w:val="000000"/>
              </w:rPr>
              <w:t>2</w:t>
            </w:r>
          </w:p>
        </w:tc>
        <w:tc>
          <w:tcPr>
            <w:tcW w:w="1263" w:type="dxa"/>
            <w:tcBorders>
              <w:top w:val="nil"/>
              <w:left w:val="nil"/>
              <w:bottom w:val="single" w:sz="4" w:space="0" w:color="auto"/>
              <w:right w:val="nil"/>
            </w:tcBorders>
            <w:shd w:val="clear" w:color="auto" w:fill="auto"/>
            <w:noWrap/>
            <w:vAlign w:val="bottom"/>
          </w:tcPr>
          <w:p w:rsidR="008E5363" w:rsidRPr="00FC5415" w:rsidRDefault="006D4331" w:rsidP="00931FD3">
            <w:pPr>
              <w:widowControl/>
              <w:tabs>
                <w:tab w:val="decimal" w:pos="-215"/>
              </w:tabs>
              <w:overflowPunct/>
              <w:autoSpaceDE/>
              <w:autoSpaceDN/>
              <w:adjustRightInd/>
              <w:jc w:val="center"/>
              <w:rPr>
                <w:rFonts w:eastAsia="Times New Roman"/>
                <w:color w:val="000000"/>
              </w:rPr>
            </w:pPr>
            <w:r w:rsidRPr="00FC5415">
              <w:rPr>
                <w:rFonts w:eastAsia="Times New Roman"/>
                <w:color w:val="000000"/>
              </w:rPr>
              <w:t>−</w:t>
            </w:r>
            <w:r w:rsidR="008E5363" w:rsidRPr="00FC5415">
              <w:rPr>
                <w:rFonts w:eastAsia="Times New Roman"/>
                <w:color w:val="000000"/>
              </w:rPr>
              <w:t>0.0</w:t>
            </w:r>
            <w:r w:rsidR="00242FC0" w:rsidRPr="00FC5415">
              <w:rPr>
                <w:rFonts w:eastAsia="Times New Roman"/>
                <w:color w:val="000000"/>
              </w:rPr>
              <w:t>0</w:t>
            </w:r>
            <w:r w:rsidR="00B75293">
              <w:rPr>
                <w:rFonts w:eastAsia="Times New Roman"/>
                <w:color w:val="000000"/>
              </w:rPr>
              <w:t>1</w:t>
            </w:r>
            <w:r w:rsidR="00B75293" w:rsidRPr="00FC5415">
              <w:rPr>
                <w:rFonts w:eastAsia="Times New Roman"/>
                <w:color w:val="000000"/>
              </w:rPr>
              <w:t>*</w:t>
            </w:r>
          </w:p>
        </w:tc>
        <w:tc>
          <w:tcPr>
            <w:tcW w:w="263" w:type="dxa"/>
            <w:tcBorders>
              <w:bottom w:val="single" w:sz="4" w:space="0" w:color="auto"/>
            </w:tcBorders>
            <w:vAlign w:val="bottom"/>
          </w:tcPr>
          <w:p w:rsidR="008E5363" w:rsidRPr="00FC5415" w:rsidRDefault="008E5363" w:rsidP="004E6E4A">
            <w:pPr>
              <w:rPr>
                <w:rFonts w:eastAsia="Times New Roman"/>
                <w:color w:val="000000"/>
              </w:rPr>
            </w:pPr>
          </w:p>
        </w:tc>
        <w:tc>
          <w:tcPr>
            <w:tcW w:w="1033" w:type="dxa"/>
            <w:tcBorders>
              <w:bottom w:val="single" w:sz="4" w:space="0" w:color="auto"/>
            </w:tcBorders>
            <w:vAlign w:val="bottom"/>
          </w:tcPr>
          <w:p w:rsidR="008E5363" w:rsidRPr="00FC5415" w:rsidRDefault="008E5363" w:rsidP="005B23EE">
            <w:pPr>
              <w:jc w:val="center"/>
              <w:rPr>
                <w:rFonts w:eastAsia="Times New Roman"/>
                <w:color w:val="000000"/>
              </w:rPr>
            </w:pPr>
            <w:r w:rsidRPr="00FC5415">
              <w:rPr>
                <w:rFonts w:eastAsia="Times New Roman"/>
                <w:color w:val="000000"/>
              </w:rPr>
              <w:t>0.0</w:t>
            </w:r>
            <w:r w:rsidR="00242FC0" w:rsidRPr="00FC5415">
              <w:rPr>
                <w:rFonts w:eastAsia="Times New Roman"/>
                <w:color w:val="000000"/>
              </w:rPr>
              <w:t>0</w:t>
            </w:r>
            <w:r w:rsidR="005B23EE" w:rsidRPr="00FC5415">
              <w:rPr>
                <w:rFonts w:eastAsia="Times New Roman"/>
                <w:color w:val="000000"/>
              </w:rPr>
              <w:t>0</w:t>
            </w:r>
          </w:p>
        </w:tc>
        <w:tc>
          <w:tcPr>
            <w:tcW w:w="1072" w:type="dxa"/>
            <w:tcBorders>
              <w:bottom w:val="single" w:sz="4" w:space="0" w:color="auto"/>
            </w:tcBorders>
            <w:vAlign w:val="bottom"/>
          </w:tcPr>
          <w:p w:rsidR="008E5363" w:rsidRPr="00FC5415" w:rsidRDefault="00040718">
            <w:pPr>
              <w:jc w:val="center"/>
              <w:rPr>
                <w:rFonts w:eastAsia="Times New Roman"/>
                <w:color w:val="000000"/>
              </w:rPr>
            </w:pPr>
            <w:r w:rsidRPr="00FC5415">
              <w:rPr>
                <w:rFonts w:eastAsia="Times New Roman"/>
                <w:color w:val="000000"/>
              </w:rPr>
              <w:t>−</w:t>
            </w:r>
            <w:r w:rsidR="008E5363" w:rsidRPr="00FC5415">
              <w:rPr>
                <w:rFonts w:eastAsia="Times New Roman"/>
                <w:color w:val="000000"/>
              </w:rPr>
              <w:t>0.</w:t>
            </w:r>
            <w:r w:rsidR="006D4331" w:rsidRPr="00FC5415">
              <w:rPr>
                <w:rFonts w:eastAsia="Times New Roman"/>
                <w:color w:val="000000"/>
              </w:rPr>
              <w:t>00</w:t>
            </w:r>
            <w:r w:rsidR="006D4331">
              <w:rPr>
                <w:rFonts w:eastAsia="Times New Roman"/>
                <w:color w:val="000000"/>
              </w:rPr>
              <w:t>1</w:t>
            </w:r>
          </w:p>
        </w:tc>
        <w:tc>
          <w:tcPr>
            <w:tcW w:w="1262" w:type="dxa"/>
            <w:tcBorders>
              <w:bottom w:val="single" w:sz="4" w:space="0" w:color="auto"/>
            </w:tcBorders>
            <w:vAlign w:val="bottom"/>
          </w:tcPr>
          <w:p w:rsidR="008E5363" w:rsidRPr="00FC5415" w:rsidRDefault="008E5363">
            <w:pPr>
              <w:widowControl/>
              <w:tabs>
                <w:tab w:val="decimal" w:pos="297"/>
              </w:tabs>
              <w:overflowPunct/>
              <w:autoSpaceDE/>
              <w:autoSpaceDN/>
              <w:adjustRightInd/>
              <w:jc w:val="center"/>
              <w:rPr>
                <w:rFonts w:eastAsia="Times New Roman"/>
                <w:color w:val="000000"/>
              </w:rPr>
            </w:pPr>
            <w:r w:rsidRPr="00FC5415">
              <w:rPr>
                <w:rFonts w:eastAsia="Times New Roman"/>
                <w:color w:val="000000"/>
              </w:rPr>
              <w:t>−0.</w:t>
            </w:r>
            <w:r w:rsidR="006D4331" w:rsidRPr="00FC5415">
              <w:rPr>
                <w:rFonts w:eastAsia="Times New Roman"/>
                <w:color w:val="000000"/>
              </w:rPr>
              <w:t>00</w:t>
            </w:r>
            <w:r w:rsidR="006D4331">
              <w:rPr>
                <w:rFonts w:eastAsia="Times New Roman"/>
                <w:color w:val="000000"/>
              </w:rPr>
              <w:t>1</w:t>
            </w:r>
            <w:r w:rsidR="00242FC0" w:rsidRPr="00FC5415">
              <w:rPr>
                <w:rFonts w:eastAsia="Times New Roman"/>
                <w:color w:val="000000"/>
              </w:rPr>
              <w:t>*</w:t>
            </w:r>
          </w:p>
        </w:tc>
      </w:tr>
    </w:tbl>
    <w:p w:rsidR="00A83050" w:rsidRPr="00A83050" w:rsidRDefault="00A83050" w:rsidP="00807193">
      <w:pPr>
        <w:ind w:left="540" w:hanging="810"/>
        <w:rPr>
          <w:b/>
          <w:sz w:val="4"/>
          <w:szCs w:val="4"/>
        </w:rPr>
      </w:pPr>
    </w:p>
    <w:p w:rsidR="00DF5E32" w:rsidRDefault="00611867" w:rsidP="00DF5E32">
      <w:pPr>
        <w:ind w:left="90"/>
        <w:rPr>
          <w:b/>
          <w:sz w:val="24"/>
          <w:szCs w:val="24"/>
        </w:rPr>
      </w:pPr>
      <w:r w:rsidRPr="0095272D">
        <w:rPr>
          <w:b/>
          <w:sz w:val="24"/>
          <w:szCs w:val="24"/>
        </w:rPr>
        <w:t xml:space="preserve"> </w:t>
      </w:r>
    </w:p>
    <w:p w:rsidR="00611867" w:rsidRPr="00D90FB0" w:rsidRDefault="00611867" w:rsidP="00931FD3">
      <w:pPr>
        <w:ind w:left="-90"/>
      </w:pPr>
      <w:r w:rsidRPr="00D90FB0">
        <w:rPr>
          <w:b/>
        </w:rPr>
        <w:t>Note:</w:t>
      </w:r>
      <w:r w:rsidRPr="00D90FB0">
        <w:t xml:space="preserve"> This table shows the </w:t>
      </w:r>
      <w:r w:rsidR="00453FCB" w:rsidRPr="00D90FB0">
        <w:t>equally weighted average values of</w:t>
      </w:r>
      <w:r w:rsidRPr="00D90FB0">
        <w:t xml:space="preserve"> </w:t>
      </w:r>
      <w:r w:rsidRPr="00D90FB0">
        <w:rPr>
          <w:rFonts w:eastAsia="Times New Roman"/>
          <w:i/>
          <w:color w:val="000000"/>
        </w:rPr>
        <w:t>ICoE</w:t>
      </w:r>
      <w:r w:rsidRPr="00D90FB0">
        <w:t>,</w:t>
      </w:r>
      <w:r w:rsidR="00081FC0" w:rsidRPr="00D90FB0">
        <w:rPr>
          <w:rFonts w:eastAsia="Times New Roman"/>
          <w:i/>
          <w:color w:val="000000"/>
        </w:rPr>
        <w:t xml:space="preserve"> </w:t>
      </w:r>
      <w:r w:rsidRPr="00D90FB0">
        <w:rPr>
          <w:rFonts w:eastAsia="Times New Roman"/>
          <w:i/>
          <w:color w:val="000000"/>
        </w:rPr>
        <w:t>Beta</w:t>
      </w:r>
      <w:r w:rsidRPr="00D90FB0">
        <w:t>,</w:t>
      </w:r>
      <w:r w:rsidR="00C10134" w:rsidRPr="00D90FB0">
        <w:t xml:space="preserve"> and</w:t>
      </w:r>
      <w:r w:rsidRPr="00D90FB0">
        <w:t xml:space="preserve"> </w:t>
      </w:r>
      <w:r w:rsidRPr="00D90FB0">
        <w:rPr>
          <w:rFonts w:eastAsia="Times New Roman"/>
          <w:i/>
          <w:color w:val="000000"/>
        </w:rPr>
        <w:t>IndEP</w:t>
      </w:r>
      <w:r w:rsidRPr="00D90FB0">
        <w:rPr>
          <w:rFonts w:eastAsia="Times New Roman"/>
          <w:i/>
        </w:rPr>
        <w:t xml:space="preserve"> </w:t>
      </w:r>
      <w:r w:rsidRPr="00D90FB0">
        <w:rPr>
          <w:rFonts w:eastAsia="Times New Roman"/>
        </w:rPr>
        <w:t>across different portfolios</w:t>
      </w:r>
      <w:r w:rsidRPr="00D90FB0">
        <w:t xml:space="preserve">. </w:t>
      </w:r>
      <w:r w:rsidR="00E33E6E" w:rsidRPr="00D90FB0">
        <w:t xml:space="preserve">In Panel A, the portfolios are sorted based on </w:t>
      </w:r>
      <w:r w:rsidR="00E33E6E" w:rsidRPr="00D90FB0">
        <w:rPr>
          <w:rFonts w:eastAsia="Times New Roman"/>
          <w:i/>
          <w:color w:val="000000"/>
        </w:rPr>
        <w:t>EQ</w:t>
      </w:r>
      <w:r w:rsidR="00E33E6E" w:rsidRPr="00D90FB0">
        <w:rPr>
          <w:rFonts w:eastAsia="Times New Roman"/>
          <w:color w:val="000000"/>
        </w:rPr>
        <w:t xml:space="preserve"> and </w:t>
      </w:r>
      <w:r w:rsidR="00E33E6E" w:rsidRPr="00D90FB0">
        <w:rPr>
          <w:rFonts w:eastAsia="Times New Roman"/>
          <w:i/>
          <w:color w:val="000000"/>
        </w:rPr>
        <w:t>P_EQ</w:t>
      </w:r>
      <w:r w:rsidR="00E33E6E" w:rsidRPr="00D90FB0">
        <w:t xml:space="preserve">. </w:t>
      </w:r>
      <w:r w:rsidRPr="00D90FB0">
        <w:t xml:space="preserve">In </w:t>
      </w:r>
      <w:r w:rsidR="00453FCB" w:rsidRPr="00D90FB0">
        <w:t>first column</w:t>
      </w:r>
      <w:r w:rsidRPr="00D90FB0">
        <w:t xml:space="preserve">, the portfolios are formed based on sorts on </w:t>
      </w:r>
      <w:r w:rsidRPr="00D90FB0">
        <w:rPr>
          <w:i/>
        </w:rPr>
        <w:t>EQ</w:t>
      </w:r>
      <w:r w:rsidRPr="00D90FB0">
        <w:t xml:space="preserve">. </w:t>
      </w:r>
      <w:r w:rsidR="00453FCB" w:rsidRPr="00D90FB0">
        <w:t xml:space="preserve">In second and third columns, </w:t>
      </w:r>
      <w:r w:rsidR="00666600" w:rsidRPr="00D90FB0">
        <w:t xml:space="preserve">the portfolios are formed based on sorts on </w:t>
      </w:r>
      <w:r w:rsidR="00666600" w:rsidRPr="00D90FB0">
        <w:rPr>
          <w:i/>
        </w:rPr>
        <w:t>P</w:t>
      </w:r>
      <w:r w:rsidR="00666600" w:rsidRPr="00D90FB0">
        <w:t>_</w:t>
      </w:r>
      <w:r w:rsidR="00666600" w:rsidRPr="00D90FB0">
        <w:rPr>
          <w:i/>
        </w:rPr>
        <w:t>EQew</w:t>
      </w:r>
      <w:r w:rsidR="00666600" w:rsidRPr="00D90FB0">
        <w:t xml:space="preserve"> and </w:t>
      </w:r>
      <w:r w:rsidR="00666600" w:rsidRPr="00D90FB0">
        <w:rPr>
          <w:i/>
        </w:rPr>
        <w:t>P</w:t>
      </w:r>
      <w:r w:rsidR="00666600" w:rsidRPr="00D90FB0">
        <w:t>_</w:t>
      </w:r>
      <w:r w:rsidR="00666600" w:rsidRPr="00D90FB0">
        <w:rPr>
          <w:i/>
        </w:rPr>
        <w:t xml:space="preserve">EQmsw, </w:t>
      </w:r>
      <w:r w:rsidR="00666600" w:rsidRPr="00D90FB0">
        <w:t xml:space="preserve">respectively. </w:t>
      </w:r>
      <w:r w:rsidR="00E33E6E" w:rsidRPr="00D90FB0">
        <w:t xml:space="preserve"> In Panel B, </w:t>
      </w:r>
      <w:r w:rsidR="00121591" w:rsidRPr="00D90FB0">
        <w:t xml:space="preserve">I provide residual sorts to isolate the effect of </w:t>
      </w:r>
      <w:r w:rsidR="00121591" w:rsidRPr="00D90FB0">
        <w:rPr>
          <w:i/>
        </w:rPr>
        <w:t xml:space="preserve">P_EQ </w:t>
      </w:r>
      <w:r w:rsidR="00121591" w:rsidRPr="00D90FB0">
        <w:t xml:space="preserve">from that of </w:t>
      </w:r>
      <w:r w:rsidR="00121591" w:rsidRPr="00D90FB0">
        <w:rPr>
          <w:i/>
        </w:rPr>
        <w:t>EQ</w:t>
      </w:r>
      <w:r w:rsidR="00121591" w:rsidRPr="00D90FB0">
        <w:t xml:space="preserve">. Specifically, </w:t>
      </w:r>
      <w:r w:rsidR="00121591" w:rsidRPr="00D90FB0">
        <w:rPr>
          <w:kern w:val="0"/>
        </w:rPr>
        <w:t xml:space="preserve">I first regress </w:t>
      </w:r>
      <w:r w:rsidR="00121591" w:rsidRPr="00D90FB0">
        <w:rPr>
          <w:i/>
          <w:kern w:val="0"/>
        </w:rPr>
        <w:t>ICoE</w:t>
      </w:r>
      <w:r w:rsidR="00121591" w:rsidRPr="00D90FB0">
        <w:rPr>
          <w:kern w:val="0"/>
        </w:rPr>
        <w:t>,</w:t>
      </w:r>
      <w:r w:rsidR="00662391" w:rsidRPr="00D90FB0">
        <w:rPr>
          <w:i/>
          <w:kern w:val="0"/>
        </w:rPr>
        <w:t xml:space="preserve"> Beta </w:t>
      </w:r>
      <w:r w:rsidR="00662391" w:rsidRPr="00D90FB0">
        <w:rPr>
          <w:kern w:val="0"/>
        </w:rPr>
        <w:t xml:space="preserve">and </w:t>
      </w:r>
      <w:r w:rsidR="00662391" w:rsidRPr="00D90FB0">
        <w:rPr>
          <w:i/>
          <w:kern w:val="0"/>
        </w:rPr>
        <w:t xml:space="preserve"> IndEP </w:t>
      </w:r>
      <w:r w:rsidR="00121591" w:rsidRPr="00D90FB0">
        <w:rPr>
          <w:kern w:val="0"/>
        </w:rPr>
        <w:t xml:space="preserve">on </w:t>
      </w:r>
      <w:r w:rsidR="00121591" w:rsidRPr="00D90FB0">
        <w:rPr>
          <w:i/>
          <w:kern w:val="0"/>
        </w:rPr>
        <w:t>EQ</w:t>
      </w:r>
      <w:r w:rsidR="00121591" w:rsidRPr="00D90FB0">
        <w:rPr>
          <w:kern w:val="0"/>
        </w:rPr>
        <w:t>separately.</w:t>
      </w:r>
      <w:r w:rsidR="00297F00" w:rsidRPr="00D90FB0">
        <w:rPr>
          <w:kern w:val="0"/>
        </w:rPr>
        <w:t xml:space="preserve"> </w:t>
      </w:r>
      <w:r w:rsidR="00121591" w:rsidRPr="00D90FB0">
        <w:rPr>
          <w:kern w:val="0"/>
        </w:rPr>
        <w:t xml:space="preserve">Then, I obtain the residuals from these regressions. Further, for each of the portfolios formed based on </w:t>
      </w:r>
      <w:r w:rsidR="00121591" w:rsidRPr="00D90FB0">
        <w:rPr>
          <w:i/>
          <w:kern w:val="0"/>
        </w:rPr>
        <w:t>P_EQ</w:t>
      </w:r>
      <w:r w:rsidR="00121591" w:rsidRPr="00D90FB0">
        <w:rPr>
          <w:kern w:val="0"/>
        </w:rPr>
        <w:t xml:space="preserve">, I calculate the equally weighted average regression residuals. </w:t>
      </w:r>
      <w:r w:rsidR="00666600" w:rsidRPr="00D90FB0">
        <w:rPr>
          <w:color w:val="000000"/>
          <w:lang w:eastAsia="en-US"/>
        </w:rPr>
        <w:t>***, ** and * refer to significance at the 1% level, 5% level and 10% level, two tails.</w:t>
      </w:r>
      <w:r w:rsidR="00666600" w:rsidRPr="00D90FB0">
        <w:rPr>
          <w:color w:val="000000"/>
        </w:rPr>
        <w:t xml:space="preserve"> </w:t>
      </w:r>
      <w:r w:rsidR="00666600" w:rsidRPr="00D90FB0">
        <w:t xml:space="preserve"> </w:t>
      </w:r>
      <w:r w:rsidRPr="00D90FB0">
        <w:t>Variable definitions are available in the appendix.</w:t>
      </w:r>
    </w:p>
    <w:p w:rsidR="00BA0D54" w:rsidRPr="00D90FB0" w:rsidRDefault="00BA0D54" w:rsidP="00910BA7">
      <w:pPr>
        <w:sectPr w:rsidR="00BA0D54" w:rsidRPr="00D90FB0" w:rsidSect="00931FD3">
          <w:pgSz w:w="15840" w:h="12240" w:orient="landscape"/>
          <w:pgMar w:top="2304" w:right="1440" w:bottom="1440" w:left="2304" w:header="720" w:footer="720" w:gutter="0"/>
          <w:cols w:space="720"/>
          <w:docGrid w:linePitch="360"/>
        </w:sectPr>
      </w:pPr>
    </w:p>
    <w:tbl>
      <w:tblPr>
        <w:tblW w:w="4888" w:type="pct"/>
        <w:jc w:val="center"/>
        <w:tblLayout w:type="fixed"/>
        <w:tblLook w:val="04A0" w:firstRow="1" w:lastRow="0" w:firstColumn="1" w:lastColumn="0" w:noHBand="0" w:noVBand="1"/>
      </w:tblPr>
      <w:tblGrid>
        <w:gridCol w:w="1509"/>
        <w:gridCol w:w="271"/>
        <w:gridCol w:w="39"/>
        <w:gridCol w:w="232"/>
        <w:gridCol w:w="899"/>
        <w:gridCol w:w="1139"/>
        <w:gridCol w:w="1229"/>
        <w:gridCol w:w="482"/>
        <w:gridCol w:w="708"/>
        <w:gridCol w:w="1468"/>
        <w:gridCol w:w="271"/>
        <w:gridCol w:w="1213"/>
        <w:gridCol w:w="466"/>
        <w:gridCol w:w="881"/>
        <w:gridCol w:w="1059"/>
        <w:gridCol w:w="1000"/>
        <w:gridCol w:w="15"/>
      </w:tblGrid>
      <w:tr w:rsidR="00742ADD" w:rsidRPr="004D06DA" w:rsidTr="008010EB">
        <w:trPr>
          <w:gridAfter w:val="1"/>
          <w:wAfter w:w="6" w:type="pct"/>
          <w:trHeight w:val="103"/>
          <w:jc w:val="center"/>
        </w:trPr>
        <w:tc>
          <w:tcPr>
            <w:tcW w:w="4994" w:type="pct"/>
            <w:gridSpan w:val="16"/>
            <w:tcBorders>
              <w:left w:val="nil"/>
              <w:bottom w:val="single" w:sz="4" w:space="0" w:color="auto"/>
              <w:right w:val="nil"/>
            </w:tcBorders>
            <w:vAlign w:val="bottom"/>
          </w:tcPr>
          <w:p w:rsidR="00742ADD" w:rsidRPr="00931FD3" w:rsidRDefault="00742ADD" w:rsidP="008010EB">
            <w:pPr>
              <w:pStyle w:val="Heading4"/>
              <w:rPr>
                <w:b w:val="0"/>
              </w:rPr>
            </w:pPr>
            <w:bookmarkStart w:id="218" w:name="_Toc378088914"/>
            <w:r w:rsidRPr="00931FD3">
              <w:lastRenderedPageBreak/>
              <w:t>Table 5</w:t>
            </w:r>
            <w:bookmarkEnd w:id="218"/>
          </w:p>
          <w:p w:rsidR="00742ADD" w:rsidRPr="004D06DA" w:rsidRDefault="00742ADD" w:rsidP="008010EB">
            <w:pPr>
              <w:pStyle w:val="Heading4"/>
              <w:rPr>
                <w:i/>
              </w:rPr>
            </w:pPr>
            <w:bookmarkStart w:id="219" w:name="_Toc378088915"/>
            <w:r w:rsidRPr="00931FD3">
              <w:t>Market Risk Factor Test</w:t>
            </w:r>
            <w:bookmarkEnd w:id="219"/>
          </w:p>
        </w:tc>
      </w:tr>
      <w:tr w:rsidR="004943A9" w:rsidRPr="005C608C" w:rsidTr="008010EB">
        <w:trPr>
          <w:trHeight w:val="162"/>
          <w:jc w:val="center"/>
        </w:trPr>
        <w:tc>
          <w:tcPr>
            <w:tcW w:w="2064" w:type="pct"/>
            <w:gridSpan w:val="7"/>
            <w:tcBorders>
              <w:top w:val="single" w:sz="4" w:space="0" w:color="auto"/>
              <w:left w:val="nil"/>
              <w:right w:val="nil"/>
            </w:tcBorders>
            <w:vAlign w:val="bottom"/>
          </w:tcPr>
          <w:p w:rsidR="004943A9" w:rsidRPr="00931FD3" w:rsidRDefault="004943A9" w:rsidP="008010EB">
            <w:pPr>
              <w:rPr>
                <w:rFonts w:eastAsia="Times New Roman"/>
                <w:sz w:val="16"/>
                <w:szCs w:val="16"/>
              </w:rPr>
            </w:pPr>
            <w:r w:rsidRPr="00B92F2F">
              <w:rPr>
                <w:rFonts w:eastAsia="Times New Roman"/>
                <w:b/>
                <w:sz w:val="16"/>
                <w:szCs w:val="16"/>
              </w:rPr>
              <w:t>Panel A. Regression</w:t>
            </w:r>
            <w:r w:rsidRPr="005C608C">
              <w:rPr>
                <w:rFonts w:eastAsia="Times New Roman"/>
                <w:sz w:val="16"/>
                <w:szCs w:val="16"/>
              </w:rPr>
              <w:t xml:space="preserve"> </w:t>
            </w:r>
            <w:r>
              <w:rPr>
                <w:rFonts w:eastAsia="Times New Roman"/>
                <w:sz w:val="16"/>
                <w:szCs w:val="16"/>
              </w:rPr>
              <w:t xml:space="preserve">    (  </w:t>
            </w:r>
            <w:r w:rsidRPr="00931FD3">
              <w:rPr>
                <w:rFonts w:eastAsia="Times New Roman"/>
                <w:sz w:val="16"/>
                <w:szCs w:val="16"/>
              </w:rPr>
              <w:t xml:space="preserve">Dependent Variable= </w:t>
            </w:r>
            <w:r w:rsidRPr="00931FD3">
              <w:rPr>
                <w:rFonts w:eastAsia="Times New Roman"/>
                <w:i/>
                <w:sz w:val="16"/>
                <w:szCs w:val="16"/>
              </w:rPr>
              <w:t>EXRET</w:t>
            </w:r>
            <w:r w:rsidRPr="00931FD3">
              <w:rPr>
                <w:rFonts w:eastAsia="Times New Roman"/>
                <w:sz w:val="16"/>
                <w:szCs w:val="16"/>
              </w:rPr>
              <w:t>)</w:t>
            </w:r>
          </w:p>
        </w:tc>
        <w:tc>
          <w:tcPr>
            <w:tcW w:w="1032" w:type="pct"/>
            <w:gridSpan w:val="3"/>
            <w:tcBorders>
              <w:top w:val="single" w:sz="4" w:space="0" w:color="auto"/>
              <w:left w:val="nil"/>
              <w:bottom w:val="single" w:sz="4" w:space="0" w:color="auto"/>
              <w:right w:val="nil"/>
            </w:tcBorders>
            <w:shd w:val="clear" w:color="auto" w:fill="auto"/>
            <w:noWrap/>
            <w:vAlign w:val="bottom"/>
          </w:tcPr>
          <w:p w:rsidR="004943A9" w:rsidRPr="00931FD3" w:rsidRDefault="004943A9" w:rsidP="008010EB">
            <w:pPr>
              <w:jc w:val="center"/>
              <w:rPr>
                <w:rFonts w:eastAsia="Times New Roman"/>
                <w:sz w:val="16"/>
                <w:szCs w:val="16"/>
              </w:rPr>
            </w:pPr>
            <w:r w:rsidRPr="00931FD3">
              <w:rPr>
                <w:rFonts w:eastAsia="Times New Roman"/>
                <w:sz w:val="16"/>
                <w:szCs w:val="16"/>
              </w:rPr>
              <w:t>Good Market−Level News</w:t>
            </w:r>
          </w:p>
        </w:tc>
        <w:tc>
          <w:tcPr>
            <w:tcW w:w="105" w:type="pct"/>
            <w:tcBorders>
              <w:top w:val="single" w:sz="4" w:space="0" w:color="auto"/>
              <w:left w:val="nil"/>
              <w:right w:val="nil"/>
            </w:tcBorders>
            <w:shd w:val="clear" w:color="auto" w:fill="auto"/>
            <w:noWrap/>
            <w:vAlign w:val="bottom"/>
          </w:tcPr>
          <w:p w:rsidR="004943A9" w:rsidRPr="00931FD3" w:rsidRDefault="004943A9" w:rsidP="008010EB">
            <w:pPr>
              <w:jc w:val="center"/>
              <w:rPr>
                <w:rFonts w:eastAsia="Times New Roman"/>
                <w:sz w:val="16"/>
                <w:szCs w:val="16"/>
              </w:rPr>
            </w:pPr>
          </w:p>
        </w:tc>
        <w:tc>
          <w:tcPr>
            <w:tcW w:w="994" w:type="pct"/>
            <w:gridSpan w:val="3"/>
            <w:tcBorders>
              <w:top w:val="single" w:sz="4" w:space="0" w:color="auto"/>
              <w:left w:val="nil"/>
              <w:bottom w:val="single" w:sz="4" w:space="0" w:color="auto"/>
              <w:right w:val="nil"/>
            </w:tcBorders>
            <w:shd w:val="clear" w:color="auto" w:fill="auto"/>
            <w:noWrap/>
            <w:vAlign w:val="bottom"/>
          </w:tcPr>
          <w:p w:rsidR="004943A9" w:rsidRPr="00931FD3" w:rsidRDefault="004943A9" w:rsidP="008010EB">
            <w:pPr>
              <w:jc w:val="center"/>
              <w:rPr>
                <w:rFonts w:eastAsia="Times New Roman"/>
                <w:sz w:val="16"/>
                <w:szCs w:val="16"/>
              </w:rPr>
            </w:pPr>
            <w:r w:rsidRPr="00931FD3">
              <w:rPr>
                <w:rFonts w:eastAsia="Times New Roman"/>
                <w:sz w:val="16"/>
                <w:szCs w:val="16"/>
              </w:rPr>
              <w:t>Bad Market−Level News</w:t>
            </w:r>
          </w:p>
        </w:tc>
        <w:tc>
          <w:tcPr>
            <w:tcW w:w="411" w:type="pct"/>
            <w:tcBorders>
              <w:top w:val="single" w:sz="4" w:space="0" w:color="auto"/>
              <w:left w:val="nil"/>
              <w:right w:val="nil"/>
            </w:tcBorders>
          </w:tcPr>
          <w:p w:rsidR="004943A9" w:rsidRPr="00931FD3" w:rsidRDefault="004943A9" w:rsidP="008010EB">
            <w:pPr>
              <w:jc w:val="center"/>
              <w:rPr>
                <w:rFonts w:eastAsia="Times New Roman"/>
                <w:sz w:val="16"/>
                <w:szCs w:val="16"/>
              </w:rPr>
            </w:pPr>
          </w:p>
        </w:tc>
        <w:tc>
          <w:tcPr>
            <w:tcW w:w="394" w:type="pct"/>
            <w:gridSpan w:val="2"/>
            <w:tcBorders>
              <w:top w:val="single" w:sz="4" w:space="0" w:color="auto"/>
              <w:left w:val="nil"/>
              <w:right w:val="nil"/>
            </w:tcBorders>
          </w:tcPr>
          <w:p w:rsidR="004943A9" w:rsidRPr="00931FD3" w:rsidRDefault="004943A9" w:rsidP="008010EB">
            <w:pPr>
              <w:jc w:val="center"/>
              <w:rPr>
                <w:rFonts w:eastAsia="Times New Roman"/>
                <w:sz w:val="16"/>
                <w:szCs w:val="16"/>
              </w:rPr>
            </w:pPr>
          </w:p>
        </w:tc>
      </w:tr>
      <w:tr w:rsidR="00676ACC" w:rsidRPr="005C608C" w:rsidTr="008010EB">
        <w:trPr>
          <w:trHeight w:val="233"/>
          <w:jc w:val="center"/>
        </w:trPr>
        <w:tc>
          <w:tcPr>
            <w:tcW w:w="706" w:type="pct"/>
            <w:gridSpan w:val="3"/>
            <w:tcBorders>
              <w:left w:val="nil"/>
              <w:bottom w:val="single" w:sz="4" w:space="0" w:color="auto"/>
              <w:right w:val="nil"/>
            </w:tcBorders>
          </w:tcPr>
          <w:p w:rsidR="00676ACC" w:rsidRPr="00931FD3" w:rsidRDefault="00676ACC" w:rsidP="008010EB">
            <w:pPr>
              <w:jc w:val="center"/>
              <w:rPr>
                <w:rFonts w:eastAsia="Times New Roman"/>
                <w:i/>
                <w:iCs/>
                <w:sz w:val="16"/>
                <w:szCs w:val="16"/>
              </w:rPr>
            </w:pPr>
          </w:p>
        </w:tc>
        <w:tc>
          <w:tcPr>
            <w:tcW w:w="439" w:type="pct"/>
            <w:gridSpan w:val="2"/>
            <w:tcBorders>
              <w:left w:val="nil"/>
              <w:bottom w:val="single" w:sz="4" w:space="0" w:color="auto"/>
              <w:right w:val="nil"/>
            </w:tcBorders>
          </w:tcPr>
          <w:p w:rsidR="00676ACC" w:rsidRPr="005C608C" w:rsidRDefault="00676ACC" w:rsidP="008010EB">
            <w:pPr>
              <w:jc w:val="center"/>
              <w:rPr>
                <w:rFonts w:eastAsia="Times New Roman"/>
                <w:sz w:val="16"/>
                <w:szCs w:val="16"/>
              </w:rPr>
            </w:pPr>
            <w:r w:rsidRPr="005C608C">
              <w:rPr>
                <w:rFonts w:eastAsia="Times New Roman"/>
                <w:sz w:val="16"/>
                <w:szCs w:val="16"/>
              </w:rPr>
              <w:t>(a1)</w:t>
            </w:r>
          </w:p>
        </w:tc>
        <w:tc>
          <w:tcPr>
            <w:tcW w:w="442" w:type="pct"/>
            <w:tcBorders>
              <w:left w:val="nil"/>
              <w:bottom w:val="single" w:sz="4" w:space="0" w:color="auto"/>
              <w:right w:val="nil"/>
            </w:tcBorders>
          </w:tcPr>
          <w:p w:rsidR="00676ACC" w:rsidRPr="005C608C" w:rsidRDefault="00676ACC" w:rsidP="008010EB">
            <w:pPr>
              <w:jc w:val="center"/>
              <w:rPr>
                <w:rFonts w:eastAsia="Times New Roman"/>
                <w:sz w:val="16"/>
                <w:szCs w:val="16"/>
              </w:rPr>
            </w:pPr>
            <w:r w:rsidRPr="005C608C">
              <w:rPr>
                <w:rFonts w:eastAsia="Times New Roman"/>
                <w:sz w:val="16"/>
                <w:szCs w:val="16"/>
              </w:rPr>
              <w:t>(a2)</w:t>
            </w:r>
            <w:r w:rsidRPr="005C608C">
              <w:rPr>
                <w:rFonts w:eastAsia="Times New Roman"/>
                <w:i/>
                <w:iCs/>
                <w:sz w:val="16"/>
                <w:szCs w:val="16"/>
              </w:rPr>
              <w:t>P_EQew</w:t>
            </w:r>
          </w:p>
        </w:tc>
        <w:tc>
          <w:tcPr>
            <w:tcW w:w="477" w:type="pct"/>
            <w:tcBorders>
              <w:left w:val="nil"/>
              <w:bottom w:val="single" w:sz="4" w:space="0" w:color="auto"/>
              <w:right w:val="nil"/>
            </w:tcBorders>
          </w:tcPr>
          <w:p w:rsidR="00676ACC" w:rsidRPr="005C608C" w:rsidRDefault="00676ACC" w:rsidP="008010EB">
            <w:pPr>
              <w:ind w:hanging="130"/>
              <w:jc w:val="center"/>
              <w:rPr>
                <w:rFonts w:eastAsia="Times New Roman"/>
                <w:sz w:val="16"/>
                <w:szCs w:val="16"/>
              </w:rPr>
            </w:pPr>
            <w:r w:rsidRPr="005C608C">
              <w:rPr>
                <w:rFonts w:eastAsia="Times New Roman"/>
                <w:sz w:val="16"/>
                <w:szCs w:val="16"/>
              </w:rPr>
              <w:t>(a3)</w:t>
            </w:r>
            <w:r w:rsidRPr="005C608C">
              <w:rPr>
                <w:rFonts w:eastAsia="Times New Roman"/>
                <w:i/>
                <w:iCs/>
                <w:sz w:val="16"/>
                <w:szCs w:val="16"/>
              </w:rPr>
              <w:t>P_EQmsw</w:t>
            </w:r>
          </w:p>
        </w:tc>
        <w:tc>
          <w:tcPr>
            <w:tcW w:w="462" w:type="pct"/>
            <w:gridSpan w:val="2"/>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r w:rsidRPr="005C608C">
              <w:rPr>
                <w:rFonts w:eastAsia="Times New Roman"/>
                <w:sz w:val="16"/>
                <w:szCs w:val="16"/>
              </w:rPr>
              <w:t>(a4)</w:t>
            </w:r>
            <w:r w:rsidRPr="005C608C">
              <w:rPr>
                <w:rFonts w:eastAsia="Times New Roman"/>
                <w:i/>
                <w:iCs/>
                <w:sz w:val="16"/>
                <w:szCs w:val="16"/>
              </w:rPr>
              <w:t>P_EQew</w:t>
            </w:r>
          </w:p>
        </w:tc>
        <w:tc>
          <w:tcPr>
            <w:tcW w:w="570" w:type="pct"/>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r w:rsidRPr="005C608C">
              <w:rPr>
                <w:rFonts w:eastAsia="Times New Roman"/>
                <w:sz w:val="16"/>
                <w:szCs w:val="16"/>
              </w:rPr>
              <w:t>(a5)</w:t>
            </w:r>
            <w:r w:rsidRPr="005C608C">
              <w:rPr>
                <w:rFonts w:eastAsia="Times New Roman"/>
                <w:i/>
                <w:iCs/>
                <w:sz w:val="16"/>
                <w:szCs w:val="16"/>
              </w:rPr>
              <w:t xml:space="preserve"> P_EQmsw</w:t>
            </w:r>
          </w:p>
        </w:tc>
        <w:tc>
          <w:tcPr>
            <w:tcW w:w="105" w:type="pct"/>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p>
        </w:tc>
        <w:tc>
          <w:tcPr>
            <w:tcW w:w="471" w:type="pct"/>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r w:rsidRPr="005C608C">
              <w:rPr>
                <w:rFonts w:eastAsia="Times New Roman"/>
                <w:sz w:val="16"/>
                <w:szCs w:val="16"/>
              </w:rPr>
              <w:t>(a6)</w:t>
            </w:r>
            <w:r w:rsidRPr="005C608C">
              <w:rPr>
                <w:rFonts w:eastAsia="Times New Roman"/>
                <w:i/>
                <w:iCs/>
                <w:sz w:val="16"/>
                <w:szCs w:val="16"/>
              </w:rPr>
              <w:t>P_EQew</w:t>
            </w:r>
          </w:p>
        </w:tc>
        <w:tc>
          <w:tcPr>
            <w:tcW w:w="523" w:type="pct"/>
            <w:gridSpan w:val="2"/>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r w:rsidRPr="005C608C">
              <w:rPr>
                <w:rFonts w:eastAsia="Times New Roman"/>
                <w:sz w:val="16"/>
                <w:szCs w:val="16"/>
              </w:rPr>
              <w:t>(a7)</w:t>
            </w:r>
            <w:r w:rsidRPr="005C608C">
              <w:rPr>
                <w:rFonts w:eastAsia="Times New Roman"/>
                <w:i/>
                <w:iCs/>
                <w:sz w:val="16"/>
                <w:szCs w:val="16"/>
              </w:rPr>
              <w:t xml:space="preserve"> P_EQmsw</w:t>
            </w:r>
          </w:p>
        </w:tc>
        <w:tc>
          <w:tcPr>
            <w:tcW w:w="411" w:type="pct"/>
            <w:tcBorders>
              <w:left w:val="nil"/>
              <w:bottom w:val="single" w:sz="4" w:space="0" w:color="auto"/>
              <w:right w:val="nil"/>
            </w:tcBorders>
          </w:tcPr>
          <w:p w:rsidR="00676ACC" w:rsidRPr="005C608C" w:rsidRDefault="00676ACC" w:rsidP="008010EB">
            <w:pPr>
              <w:jc w:val="center"/>
              <w:rPr>
                <w:rFonts w:eastAsia="Times New Roman"/>
                <w:sz w:val="16"/>
                <w:szCs w:val="16"/>
              </w:rPr>
            </w:pPr>
            <w:r w:rsidRPr="005C608C">
              <w:rPr>
                <w:rFonts w:eastAsia="Times New Roman"/>
                <w:sz w:val="16"/>
                <w:szCs w:val="16"/>
              </w:rPr>
              <w:t>(a6)</w:t>
            </w:r>
            <w:r w:rsidRPr="005C608C">
              <w:rPr>
                <w:rFonts w:eastAsia="Times New Roman"/>
                <w:color w:val="000000"/>
                <w:sz w:val="16"/>
                <w:szCs w:val="16"/>
              </w:rPr>
              <w:t>−</w:t>
            </w:r>
            <w:r w:rsidRPr="005C608C">
              <w:rPr>
                <w:rFonts w:eastAsia="Times New Roman"/>
                <w:sz w:val="16"/>
                <w:szCs w:val="16"/>
              </w:rPr>
              <w:t>(a4)</w:t>
            </w:r>
          </w:p>
        </w:tc>
        <w:tc>
          <w:tcPr>
            <w:tcW w:w="394" w:type="pct"/>
            <w:gridSpan w:val="2"/>
            <w:tcBorders>
              <w:left w:val="nil"/>
              <w:bottom w:val="single" w:sz="4" w:space="0" w:color="auto"/>
              <w:right w:val="nil"/>
            </w:tcBorders>
          </w:tcPr>
          <w:p w:rsidR="00676ACC" w:rsidRPr="005C608C" w:rsidRDefault="00676ACC" w:rsidP="008010EB">
            <w:pPr>
              <w:jc w:val="center"/>
              <w:rPr>
                <w:rFonts w:eastAsia="Times New Roman"/>
                <w:sz w:val="16"/>
                <w:szCs w:val="16"/>
              </w:rPr>
            </w:pPr>
            <w:r w:rsidRPr="005C608C">
              <w:rPr>
                <w:rFonts w:eastAsia="Times New Roman"/>
                <w:sz w:val="16"/>
                <w:szCs w:val="16"/>
              </w:rPr>
              <w:t>(a7)</w:t>
            </w:r>
            <w:r w:rsidRPr="005C608C">
              <w:rPr>
                <w:rFonts w:eastAsia="Times New Roman"/>
                <w:color w:val="000000"/>
                <w:sz w:val="16"/>
                <w:szCs w:val="16"/>
              </w:rPr>
              <w:t>−</w:t>
            </w:r>
            <w:r w:rsidRPr="005C608C">
              <w:rPr>
                <w:rFonts w:eastAsia="Times New Roman"/>
                <w:sz w:val="16"/>
                <w:szCs w:val="16"/>
              </w:rPr>
              <w:t>(a5)</w:t>
            </w:r>
          </w:p>
        </w:tc>
      </w:tr>
      <w:tr w:rsidR="00B35B16" w:rsidRPr="005C608C" w:rsidTr="008010EB">
        <w:trPr>
          <w:trHeight w:val="103"/>
          <w:jc w:val="center"/>
        </w:trPr>
        <w:tc>
          <w:tcPr>
            <w:tcW w:w="706" w:type="pct"/>
            <w:gridSpan w:val="3"/>
            <w:tcBorders>
              <w:top w:val="single" w:sz="4" w:space="0" w:color="auto"/>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sz w:val="16"/>
                <w:szCs w:val="16"/>
              </w:rPr>
              <w:t>H_</w:t>
            </w:r>
            <w:r w:rsidR="00F501C3" w:rsidRPr="005C608C">
              <w:rPr>
                <w:rFonts w:eastAsia="Times New Roman"/>
                <w:i/>
                <w:sz w:val="16"/>
                <w:szCs w:val="16"/>
              </w:rPr>
              <w:t>P_</w:t>
            </w:r>
            <w:r w:rsidRPr="005C608C">
              <w:rPr>
                <w:rFonts w:eastAsia="Times New Roman"/>
                <w:i/>
                <w:iCs/>
                <w:sz w:val="16"/>
                <w:szCs w:val="16"/>
              </w:rPr>
              <w:t>EQ×MKTRF</w:t>
            </w:r>
          </w:p>
        </w:tc>
        <w:tc>
          <w:tcPr>
            <w:tcW w:w="439" w:type="pct"/>
            <w:gridSpan w:val="2"/>
            <w:tcBorders>
              <w:top w:val="single" w:sz="4" w:space="0" w:color="auto"/>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p>
        </w:tc>
        <w:tc>
          <w:tcPr>
            <w:tcW w:w="442" w:type="pct"/>
            <w:tcBorders>
              <w:top w:val="single" w:sz="4" w:space="0" w:color="auto"/>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b/>
                <w:kern w:val="0"/>
                <w:sz w:val="16"/>
                <w:szCs w:val="16"/>
                <w:lang w:eastAsia="en-US"/>
              </w:rPr>
            </w:pPr>
            <w:r w:rsidRPr="002D65A3">
              <w:rPr>
                <w:b/>
                <w:sz w:val="16"/>
                <w:szCs w:val="16"/>
              </w:rPr>
              <w:t>−</w:t>
            </w:r>
            <w:r w:rsidR="00B35B16" w:rsidRPr="00931FD3">
              <w:rPr>
                <w:b/>
                <w:sz w:val="16"/>
                <w:szCs w:val="16"/>
              </w:rPr>
              <w:t>0.111***</w:t>
            </w:r>
          </w:p>
        </w:tc>
        <w:tc>
          <w:tcPr>
            <w:tcW w:w="477" w:type="pct"/>
            <w:tcBorders>
              <w:top w:val="single" w:sz="4" w:space="0" w:color="auto"/>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b/>
                <w:kern w:val="0"/>
                <w:sz w:val="16"/>
                <w:szCs w:val="16"/>
                <w:lang w:eastAsia="en-US"/>
              </w:rPr>
            </w:pPr>
            <w:r w:rsidRPr="002D65A3">
              <w:rPr>
                <w:b/>
                <w:sz w:val="16"/>
                <w:szCs w:val="16"/>
              </w:rPr>
              <w:t>−</w:t>
            </w:r>
            <w:r w:rsidR="00B35B16" w:rsidRPr="00931FD3">
              <w:rPr>
                <w:b/>
                <w:sz w:val="16"/>
                <w:szCs w:val="16"/>
              </w:rPr>
              <w:t>0.173***</w:t>
            </w:r>
          </w:p>
        </w:tc>
        <w:tc>
          <w:tcPr>
            <w:tcW w:w="462" w:type="pct"/>
            <w:gridSpan w:val="2"/>
            <w:tcBorders>
              <w:top w:val="single" w:sz="4" w:space="0" w:color="auto"/>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0.091**</w:t>
            </w:r>
          </w:p>
        </w:tc>
        <w:tc>
          <w:tcPr>
            <w:tcW w:w="570" w:type="pct"/>
            <w:tcBorders>
              <w:top w:val="single" w:sz="4" w:space="0" w:color="auto"/>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0.015</w:t>
            </w:r>
          </w:p>
        </w:tc>
        <w:tc>
          <w:tcPr>
            <w:tcW w:w="105" w:type="pct"/>
            <w:tcBorders>
              <w:top w:val="single" w:sz="4" w:space="0" w:color="auto"/>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single" w:sz="4" w:space="0" w:color="auto"/>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0.174***</w:t>
            </w:r>
          </w:p>
        </w:tc>
        <w:tc>
          <w:tcPr>
            <w:tcW w:w="523" w:type="pct"/>
            <w:gridSpan w:val="2"/>
            <w:tcBorders>
              <w:top w:val="single" w:sz="4" w:space="0" w:color="auto"/>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0.129***</w:t>
            </w:r>
          </w:p>
        </w:tc>
        <w:tc>
          <w:tcPr>
            <w:tcW w:w="411" w:type="pct"/>
            <w:tcBorders>
              <w:top w:val="single" w:sz="4" w:space="0" w:color="auto"/>
              <w:left w:val="nil"/>
              <w:bottom w:val="nil"/>
              <w:right w:val="nil"/>
            </w:tcBorders>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0.083</w:t>
            </w:r>
            <w:r w:rsidR="005A3BEE" w:rsidRPr="00931FD3">
              <w:rPr>
                <w:sz w:val="16"/>
                <w:szCs w:val="16"/>
              </w:rPr>
              <w:t>***</w:t>
            </w:r>
          </w:p>
        </w:tc>
        <w:tc>
          <w:tcPr>
            <w:tcW w:w="394" w:type="pct"/>
            <w:gridSpan w:val="2"/>
            <w:tcBorders>
              <w:top w:val="single" w:sz="4" w:space="0" w:color="auto"/>
              <w:left w:val="nil"/>
              <w:bottom w:val="nil"/>
              <w:right w:val="nil"/>
            </w:tcBorders>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0.114</w:t>
            </w:r>
            <w:r w:rsidR="005A3BEE" w:rsidRPr="00931FD3">
              <w:rPr>
                <w:sz w:val="16"/>
                <w:szCs w:val="16"/>
              </w:rPr>
              <w:t>***</w:t>
            </w: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r w:rsidRPr="00931FD3">
              <w:rPr>
                <w:b/>
                <w:sz w:val="16"/>
                <w:szCs w:val="16"/>
              </w:rPr>
              <w:t>(</w:t>
            </w:r>
            <w:r w:rsidR="00457C59" w:rsidRPr="002D65A3">
              <w:rPr>
                <w:b/>
                <w:sz w:val="16"/>
                <w:szCs w:val="16"/>
              </w:rPr>
              <w:t>−</w:t>
            </w:r>
            <w:r w:rsidRPr="00931FD3">
              <w:rPr>
                <w:b/>
                <w:sz w:val="16"/>
                <w:szCs w:val="16"/>
              </w:rPr>
              <w:t>6.63)</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r w:rsidRPr="00931FD3">
              <w:rPr>
                <w:b/>
                <w:sz w:val="16"/>
                <w:szCs w:val="16"/>
              </w:rPr>
              <w:t>(</w:t>
            </w:r>
            <w:r w:rsidR="00457C59" w:rsidRPr="002D65A3">
              <w:rPr>
                <w:b/>
                <w:sz w:val="16"/>
                <w:szCs w:val="16"/>
              </w:rPr>
              <w:t>−</w:t>
            </w:r>
            <w:r w:rsidRPr="00931FD3">
              <w:rPr>
                <w:b/>
                <w:sz w:val="16"/>
                <w:szCs w:val="16"/>
              </w:rPr>
              <w:t>10.00)</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2.43)</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0.42)</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6.93)</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5.30)</w:t>
            </w:r>
          </w:p>
        </w:tc>
        <w:tc>
          <w:tcPr>
            <w:tcW w:w="411" w:type="pct"/>
            <w:tcBorders>
              <w:top w:val="nil"/>
              <w:left w:val="nil"/>
              <w:bottom w:val="nil"/>
              <w:right w:val="nil"/>
            </w:tcBorders>
            <w:vAlign w:val="bottom"/>
          </w:tcPr>
          <w:p w:rsidR="00B35B16" w:rsidRPr="00931FD3" w:rsidRDefault="00B35B16" w:rsidP="008010EB">
            <w:pPr>
              <w:widowControl/>
              <w:tabs>
                <w:tab w:val="decimal" w:pos="248"/>
              </w:tabs>
              <w:overflowPunct/>
              <w:autoSpaceDE/>
              <w:autoSpaceDN/>
              <w:adjustRightInd/>
              <w:jc w:val="center"/>
              <w:rPr>
                <w:sz w:val="16"/>
                <w:szCs w:val="16"/>
              </w:rPr>
            </w:pPr>
            <w:r w:rsidRPr="002D65A3">
              <w:rPr>
                <w:sz w:val="16"/>
                <w:szCs w:val="16"/>
              </w:rPr>
              <w:t>[2.60</w:t>
            </w:r>
            <w:r w:rsidRPr="00931FD3">
              <w:rPr>
                <w:sz w:val="16"/>
                <w:szCs w:val="16"/>
              </w:rPr>
              <w:t>]</w:t>
            </w:r>
          </w:p>
        </w:tc>
        <w:tc>
          <w:tcPr>
            <w:tcW w:w="394" w:type="pct"/>
            <w:gridSpan w:val="2"/>
            <w:tcBorders>
              <w:top w:val="nil"/>
              <w:left w:val="nil"/>
              <w:bottom w:val="nil"/>
              <w:right w:val="nil"/>
            </w:tcBorders>
            <w:vAlign w:val="bottom"/>
          </w:tcPr>
          <w:p w:rsidR="00B35B16" w:rsidRPr="00931FD3" w:rsidRDefault="00B35B16" w:rsidP="008010EB">
            <w:pPr>
              <w:widowControl/>
              <w:tabs>
                <w:tab w:val="decimal" w:pos="248"/>
              </w:tabs>
              <w:overflowPunct/>
              <w:autoSpaceDE/>
              <w:autoSpaceDN/>
              <w:adjustRightInd/>
              <w:jc w:val="center"/>
              <w:rPr>
                <w:sz w:val="16"/>
                <w:szCs w:val="16"/>
              </w:rPr>
            </w:pPr>
            <w:r w:rsidRPr="002D65A3">
              <w:rPr>
                <w:sz w:val="16"/>
                <w:szCs w:val="16"/>
              </w:rPr>
              <w:t>[</w:t>
            </w:r>
            <w:r w:rsidRPr="00931FD3">
              <w:rPr>
                <w:sz w:val="16"/>
                <w:szCs w:val="16"/>
              </w:rPr>
              <w:t>3.73</w:t>
            </w:r>
            <w:r w:rsidRPr="002D65A3">
              <w:rPr>
                <w:sz w:val="16"/>
                <w:szCs w:val="16"/>
              </w:rPr>
              <w:t>]</w:t>
            </w: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sz w:val="16"/>
                <w:szCs w:val="16"/>
              </w:rPr>
              <w:t>H_</w:t>
            </w:r>
            <w:r w:rsidRPr="005C608C">
              <w:rPr>
                <w:rFonts w:eastAsia="Times New Roman"/>
                <w:i/>
                <w:iCs/>
                <w:sz w:val="16"/>
                <w:szCs w:val="16"/>
              </w:rPr>
              <w:t>EQ×MKTRF</w:t>
            </w:r>
          </w:p>
        </w:tc>
        <w:tc>
          <w:tcPr>
            <w:tcW w:w="439" w:type="pct"/>
            <w:gridSpan w:val="2"/>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b/>
                <w:kern w:val="0"/>
                <w:sz w:val="16"/>
                <w:szCs w:val="16"/>
                <w:lang w:eastAsia="en-US"/>
              </w:rPr>
            </w:pPr>
            <w:r w:rsidRPr="002D65A3">
              <w:rPr>
                <w:b/>
                <w:sz w:val="16"/>
                <w:szCs w:val="16"/>
              </w:rPr>
              <w:t>−</w:t>
            </w:r>
            <w:r w:rsidR="00B35B16" w:rsidRPr="00931FD3">
              <w:rPr>
                <w:b/>
                <w:sz w:val="16"/>
                <w:szCs w:val="16"/>
              </w:rPr>
              <w:t>0.229***</w:t>
            </w:r>
          </w:p>
        </w:tc>
        <w:tc>
          <w:tcPr>
            <w:tcW w:w="442"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b/>
                <w:kern w:val="0"/>
                <w:sz w:val="16"/>
                <w:szCs w:val="16"/>
                <w:lang w:eastAsia="en-US"/>
              </w:rPr>
            </w:pPr>
            <w:r w:rsidRPr="002D65A3">
              <w:rPr>
                <w:b/>
                <w:sz w:val="16"/>
                <w:szCs w:val="16"/>
              </w:rPr>
              <w:t>−</w:t>
            </w:r>
            <w:r w:rsidR="00B35B16" w:rsidRPr="00931FD3">
              <w:rPr>
                <w:b/>
                <w:sz w:val="16"/>
                <w:szCs w:val="16"/>
              </w:rPr>
              <w:t>0.175***</w:t>
            </w:r>
          </w:p>
        </w:tc>
        <w:tc>
          <w:tcPr>
            <w:tcW w:w="477"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b/>
                <w:kern w:val="0"/>
                <w:sz w:val="16"/>
                <w:szCs w:val="16"/>
                <w:lang w:eastAsia="en-US"/>
              </w:rPr>
            </w:pPr>
            <w:r w:rsidRPr="002D65A3">
              <w:rPr>
                <w:b/>
                <w:sz w:val="16"/>
                <w:szCs w:val="16"/>
              </w:rPr>
              <w:t>−</w:t>
            </w:r>
            <w:r w:rsidR="00B35B16" w:rsidRPr="00931FD3">
              <w:rPr>
                <w:b/>
                <w:sz w:val="16"/>
                <w:szCs w:val="16"/>
              </w:rPr>
              <w:t>0.145***</w:t>
            </w:r>
          </w:p>
        </w:tc>
        <w:tc>
          <w:tcPr>
            <w:tcW w:w="462"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0.132***</w:t>
            </w:r>
          </w:p>
        </w:tc>
        <w:tc>
          <w:tcPr>
            <w:tcW w:w="570"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0.170***</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0.140***</w:t>
            </w:r>
          </w:p>
        </w:tc>
        <w:tc>
          <w:tcPr>
            <w:tcW w:w="523"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0.163***</w:t>
            </w:r>
          </w:p>
        </w:tc>
        <w:tc>
          <w:tcPr>
            <w:tcW w:w="411" w:type="pct"/>
            <w:tcBorders>
              <w:top w:val="nil"/>
              <w:left w:val="nil"/>
              <w:bottom w:val="nil"/>
              <w:right w:val="nil"/>
            </w:tcBorders>
            <w:vAlign w:val="center"/>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p>
        </w:tc>
        <w:tc>
          <w:tcPr>
            <w:tcW w:w="394" w:type="pct"/>
            <w:gridSpan w:val="2"/>
            <w:tcBorders>
              <w:top w:val="nil"/>
              <w:left w:val="nil"/>
              <w:bottom w:val="nil"/>
              <w:right w:val="nil"/>
            </w:tcBorders>
            <w:vAlign w:val="center"/>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r w:rsidRPr="00931FD3">
              <w:rPr>
                <w:b/>
                <w:sz w:val="16"/>
                <w:szCs w:val="16"/>
              </w:rPr>
              <w:t>(</w:t>
            </w:r>
            <w:r w:rsidR="00457C59" w:rsidRPr="002D65A3">
              <w:rPr>
                <w:b/>
                <w:sz w:val="16"/>
                <w:szCs w:val="16"/>
              </w:rPr>
              <w:t>−</w:t>
            </w:r>
            <w:r w:rsidRPr="00931FD3">
              <w:rPr>
                <w:b/>
                <w:sz w:val="16"/>
                <w:szCs w:val="16"/>
              </w:rPr>
              <w:t>15.69)</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r w:rsidRPr="00931FD3">
              <w:rPr>
                <w:b/>
                <w:sz w:val="16"/>
                <w:szCs w:val="16"/>
              </w:rPr>
              <w:t>(</w:t>
            </w:r>
            <w:r w:rsidR="00457C59" w:rsidRPr="002D65A3">
              <w:rPr>
                <w:b/>
                <w:sz w:val="16"/>
                <w:szCs w:val="16"/>
              </w:rPr>
              <w:t>−</w:t>
            </w:r>
            <w:r w:rsidRPr="00931FD3">
              <w:rPr>
                <w:b/>
                <w:sz w:val="16"/>
                <w:szCs w:val="16"/>
              </w:rPr>
              <w:t>10.86)</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r w:rsidRPr="00931FD3">
              <w:rPr>
                <w:b/>
                <w:sz w:val="16"/>
                <w:szCs w:val="16"/>
              </w:rPr>
              <w:t>(</w:t>
            </w:r>
            <w:r w:rsidR="00457C59" w:rsidRPr="002D65A3">
              <w:rPr>
                <w:b/>
                <w:sz w:val="16"/>
                <w:szCs w:val="16"/>
              </w:rPr>
              <w:t>−</w:t>
            </w:r>
            <w:r w:rsidRPr="00931FD3">
              <w:rPr>
                <w:b/>
                <w:sz w:val="16"/>
                <w:szCs w:val="16"/>
              </w:rPr>
              <w:t>9.13)</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3.63)</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4.63)</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5.77)</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6.82)</w:t>
            </w:r>
          </w:p>
        </w:tc>
        <w:tc>
          <w:tcPr>
            <w:tcW w:w="411" w:type="pct"/>
            <w:tcBorders>
              <w:top w:val="nil"/>
              <w:left w:val="nil"/>
              <w:bottom w:val="nil"/>
              <w:right w:val="nil"/>
            </w:tcBorders>
            <w:vAlign w:val="center"/>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p>
        </w:tc>
        <w:tc>
          <w:tcPr>
            <w:tcW w:w="394" w:type="pct"/>
            <w:gridSpan w:val="2"/>
            <w:tcBorders>
              <w:top w:val="nil"/>
              <w:left w:val="nil"/>
              <w:bottom w:val="nil"/>
              <w:right w:val="nil"/>
            </w:tcBorders>
            <w:vAlign w:val="center"/>
          </w:tcPr>
          <w:p w:rsidR="00B35B16" w:rsidRPr="005C608C" w:rsidRDefault="00B35B16" w:rsidP="008010EB">
            <w:pPr>
              <w:widowControl/>
              <w:tabs>
                <w:tab w:val="decimal" w:pos="248"/>
              </w:tabs>
              <w:overflowPunct/>
              <w:autoSpaceDE/>
              <w:autoSpaceDN/>
              <w:adjustRightInd/>
              <w:jc w:val="center"/>
              <w:rPr>
                <w:b/>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Lev×MKTRF</w:t>
            </w:r>
          </w:p>
        </w:tc>
        <w:tc>
          <w:tcPr>
            <w:tcW w:w="439" w:type="pct"/>
            <w:gridSpan w:val="2"/>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0.040</w:t>
            </w:r>
          </w:p>
        </w:tc>
        <w:tc>
          <w:tcPr>
            <w:tcW w:w="442"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0.013</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0.021</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0.168**</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0.136</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0.181***</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0.151***</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1.01)</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0.33)</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(0.52)</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(2.02)</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(1.64)</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(3.33)</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(2.81)</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LnMV×MKTRF</w:t>
            </w:r>
          </w:p>
        </w:tc>
        <w:tc>
          <w:tcPr>
            <w:tcW w:w="439" w:type="pct"/>
            <w:gridSpan w:val="2"/>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0.019*</w:t>
            </w:r>
          </w:p>
        </w:tc>
        <w:tc>
          <w:tcPr>
            <w:tcW w:w="442"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0.019*</w:t>
            </w:r>
          </w:p>
        </w:tc>
        <w:tc>
          <w:tcPr>
            <w:tcW w:w="477"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0.013</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0.093***</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0.089***</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0.016</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0.011</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1.68)</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1.74)</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1.19)</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(3.87)</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(3.68)</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(1.02)</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(0.68)</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STD_CFO×MKTRF</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0.031***</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0.029***</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0.028***</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0.086***</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0.087***</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0.001</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0.002</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(7.24)</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(6.58)</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(6.35)</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(10.16)</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(10.28)</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(0.14)</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(0.31)</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CFO×MKTRF</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1.735***</w:t>
            </w:r>
          </w:p>
        </w:tc>
        <w:tc>
          <w:tcPr>
            <w:tcW w:w="442"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0.849***</w:t>
            </w:r>
          </w:p>
        </w:tc>
        <w:tc>
          <w:tcPr>
            <w:tcW w:w="477"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0.820***</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2.001***</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1.991***</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1.520***</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1.544***</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(10.14)</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13.69)</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13.30)</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(5.25)</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(5.24)</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(6.21)</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(6.28)</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BM×MKTRF</w:t>
            </w:r>
          </w:p>
        </w:tc>
        <w:tc>
          <w:tcPr>
            <w:tcW w:w="439" w:type="pct"/>
            <w:gridSpan w:val="2"/>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0.859***</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1.768***</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1.752***</w:t>
            </w:r>
          </w:p>
        </w:tc>
        <w:tc>
          <w:tcPr>
            <w:tcW w:w="462"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0.899***</w:t>
            </w:r>
          </w:p>
        </w:tc>
        <w:tc>
          <w:tcPr>
            <w:tcW w:w="570"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0.923***</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0.551***</w:t>
            </w:r>
          </w:p>
        </w:tc>
        <w:tc>
          <w:tcPr>
            <w:tcW w:w="523"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0.586***</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13.86)</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(10.31)</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(10.23)</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6.02)</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6.16)</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6.26)</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6.66)</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MKTRF</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0.595***</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0.567***</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0.544***</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0.132**</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0.162**</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0.728***</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0.744***</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(18.22)</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(17.33)</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(16.61)</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(2.05)</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(2.50)</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(16.08)</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(16.39)</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SMB</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0.193***</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0.183***</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0.183***</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0.158***</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0.160***</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0.168***</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0.165***</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(14.71)</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(13.76)</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(13.91)</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(8.79)</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(8.86)</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(12.86)</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(12.51)</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HML</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0.680***</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0.672***</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0.672***</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0.651***</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0.652***</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0.683***</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0.683***</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(56.99)</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(56.06)</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(56.53)</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(46.99)</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(46.40)</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(48.76)</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(48.77)</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UMD</w:t>
            </w:r>
          </w:p>
        </w:tc>
        <w:tc>
          <w:tcPr>
            <w:tcW w:w="439" w:type="pct"/>
            <w:gridSpan w:val="2"/>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0.207***</w:t>
            </w:r>
          </w:p>
        </w:tc>
        <w:tc>
          <w:tcPr>
            <w:tcW w:w="442"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0.201***</w:t>
            </w:r>
          </w:p>
        </w:tc>
        <w:tc>
          <w:tcPr>
            <w:tcW w:w="477"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0.200***</w:t>
            </w:r>
          </w:p>
        </w:tc>
        <w:tc>
          <w:tcPr>
            <w:tcW w:w="462"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0.258***</w:t>
            </w:r>
          </w:p>
        </w:tc>
        <w:tc>
          <w:tcPr>
            <w:tcW w:w="570"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0.259***</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0.054***</w:t>
            </w:r>
          </w:p>
        </w:tc>
        <w:tc>
          <w:tcPr>
            <w:tcW w:w="523"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0.055***</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28"/>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30.06)</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29.25)</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29.24)</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28.85)</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28.92)</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6.33)</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6.39)</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sz w:val="16"/>
                <w:szCs w:val="16"/>
              </w:rPr>
              <w:t>H_</w:t>
            </w:r>
            <w:r w:rsidRPr="005C608C">
              <w:rPr>
                <w:rFonts w:eastAsia="Times New Roman"/>
                <w:i/>
                <w:iCs/>
                <w:sz w:val="16"/>
                <w:szCs w:val="16"/>
              </w:rPr>
              <w:t>EQ</w:t>
            </w:r>
          </w:p>
        </w:tc>
        <w:tc>
          <w:tcPr>
            <w:tcW w:w="439" w:type="pct"/>
            <w:gridSpan w:val="2"/>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0.001**</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0.001</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0.001*</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0.001</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0.001</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0.002</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0.001</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2.46)</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2D65A3">
              <w:rPr>
                <w:sz w:val="16"/>
                <w:szCs w:val="16"/>
              </w:rPr>
              <w:t>(1.47)</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2D65A3">
              <w:rPr>
                <w:sz w:val="16"/>
                <w:szCs w:val="16"/>
              </w:rPr>
              <w:t>(1.91)</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(0.57)</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(0.47)</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(1.35)</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(1.29)</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sz w:val="16"/>
                <w:szCs w:val="16"/>
              </w:rPr>
              <w:t>H_</w:t>
            </w:r>
            <w:r w:rsidRPr="005C608C">
              <w:rPr>
                <w:rFonts w:eastAsia="Times New Roman"/>
                <w:i/>
                <w:iCs/>
                <w:sz w:val="16"/>
                <w:szCs w:val="16"/>
              </w:rPr>
              <w:t>P_EQ</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442"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0.004***</w:t>
            </w:r>
          </w:p>
        </w:tc>
        <w:tc>
          <w:tcPr>
            <w:tcW w:w="477"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0.004***</w:t>
            </w:r>
          </w:p>
        </w:tc>
        <w:tc>
          <w:tcPr>
            <w:tcW w:w="462"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0.007***</w:t>
            </w:r>
          </w:p>
        </w:tc>
        <w:tc>
          <w:tcPr>
            <w:tcW w:w="570"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0.007***</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0.003**</w:t>
            </w:r>
          </w:p>
        </w:tc>
        <w:tc>
          <w:tcPr>
            <w:tcW w:w="523"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0.003**</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6.58)</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7.92)</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5.83)</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5.46)</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2.42)</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2.34)</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Lev</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0.004***</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0.004***</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0.004***</w:t>
            </w:r>
          </w:p>
        </w:tc>
        <w:tc>
          <w:tcPr>
            <w:tcW w:w="462"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0.001</w:t>
            </w:r>
          </w:p>
        </w:tc>
        <w:tc>
          <w:tcPr>
            <w:tcW w:w="570"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0.001</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0.007***</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0.007***</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(12.23)</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(12.03)</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(12.47)</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0.60)</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0.87)</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(8.96)</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(8.84)</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LnMV</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0.006***</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0.007***</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0.007***</w:t>
            </w:r>
          </w:p>
        </w:tc>
        <w:tc>
          <w:tcPr>
            <w:tcW w:w="462"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0.000</w:t>
            </w:r>
          </w:p>
        </w:tc>
        <w:tc>
          <w:tcPr>
            <w:tcW w:w="570"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0.001</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0.018***</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0.018***</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(5.57)</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(6.36)</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(6.88)</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0.14)</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0.39)</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(7.24)</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(7.15)</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STD_CFO</w:t>
            </w:r>
          </w:p>
        </w:tc>
        <w:tc>
          <w:tcPr>
            <w:tcW w:w="439" w:type="pct"/>
            <w:gridSpan w:val="2"/>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0.002***</w:t>
            </w:r>
          </w:p>
        </w:tc>
        <w:tc>
          <w:tcPr>
            <w:tcW w:w="442"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0.002***</w:t>
            </w:r>
          </w:p>
        </w:tc>
        <w:tc>
          <w:tcPr>
            <w:tcW w:w="477"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0.002***</w:t>
            </w:r>
          </w:p>
        </w:tc>
        <w:tc>
          <w:tcPr>
            <w:tcW w:w="462"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0.004***</w:t>
            </w:r>
          </w:p>
        </w:tc>
        <w:tc>
          <w:tcPr>
            <w:tcW w:w="570"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0.004***</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0.003***</w:t>
            </w:r>
          </w:p>
        </w:tc>
        <w:tc>
          <w:tcPr>
            <w:tcW w:w="523"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0.003***</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13.47)</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14.53)</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14.63)</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13.67)</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13.64)</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9.22)</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9.23)</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CFO</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0.011***</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0.012***</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0.012***</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0.013**</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0.012**</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0.027***</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0.026***</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(5.43)</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(5.57)</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(5.76)</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(2.32)</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(2.23)</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(5.77)</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(5.65)</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i/>
                <w:iCs/>
                <w:sz w:val="16"/>
                <w:szCs w:val="16"/>
              </w:rPr>
            </w:pPr>
            <w:r w:rsidRPr="005C608C">
              <w:rPr>
                <w:rFonts w:eastAsia="Times New Roman"/>
                <w:i/>
                <w:iCs/>
                <w:sz w:val="16"/>
                <w:szCs w:val="16"/>
              </w:rPr>
              <w:t>BM</w:t>
            </w:r>
          </w:p>
        </w:tc>
        <w:tc>
          <w:tcPr>
            <w:tcW w:w="439" w:type="pct"/>
            <w:gridSpan w:val="2"/>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0.004</w:t>
            </w:r>
          </w:p>
        </w:tc>
        <w:tc>
          <w:tcPr>
            <w:tcW w:w="442"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0.003</w:t>
            </w:r>
          </w:p>
        </w:tc>
        <w:tc>
          <w:tcPr>
            <w:tcW w:w="477" w:type="pct"/>
            <w:tcBorders>
              <w:top w:val="nil"/>
              <w:left w:val="nil"/>
              <w:bottom w:val="nil"/>
              <w:right w:val="nil"/>
            </w:tcBorders>
            <w:vAlign w:val="bottom"/>
          </w:tcPr>
          <w:p w:rsidR="00B35B16" w:rsidRPr="005C608C" w:rsidRDefault="00457C59" w:rsidP="008010EB">
            <w:pPr>
              <w:widowControl/>
              <w:tabs>
                <w:tab w:val="decimal" w:pos="248"/>
              </w:tabs>
              <w:overflowPunct/>
              <w:autoSpaceDE/>
              <w:autoSpaceDN/>
              <w:adjustRightInd/>
              <w:jc w:val="center"/>
              <w:rPr>
                <w:kern w:val="0"/>
                <w:sz w:val="16"/>
                <w:szCs w:val="16"/>
                <w:lang w:eastAsia="en-US"/>
              </w:rPr>
            </w:pPr>
            <w:r w:rsidRPr="002D65A3">
              <w:rPr>
                <w:sz w:val="16"/>
                <w:szCs w:val="16"/>
              </w:rPr>
              <w:t>−</w:t>
            </w:r>
            <w:r w:rsidR="00B35B16" w:rsidRPr="00931FD3">
              <w:rPr>
                <w:sz w:val="16"/>
                <w:szCs w:val="16"/>
              </w:rPr>
              <w:t>0.004</w:t>
            </w:r>
          </w:p>
        </w:tc>
        <w:tc>
          <w:tcPr>
            <w:tcW w:w="462"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0.012</w:t>
            </w:r>
          </w:p>
        </w:tc>
        <w:tc>
          <w:tcPr>
            <w:tcW w:w="570"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0.011</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0.015</w:t>
            </w:r>
          </w:p>
        </w:tc>
        <w:tc>
          <w:tcPr>
            <w:tcW w:w="523" w:type="pct"/>
            <w:gridSpan w:val="2"/>
            <w:tcBorders>
              <w:top w:val="nil"/>
              <w:left w:val="nil"/>
              <w:bottom w:val="nil"/>
              <w:right w:val="nil"/>
            </w:tcBorders>
            <w:shd w:val="clear" w:color="auto" w:fill="auto"/>
            <w:noWrap/>
            <w:vAlign w:val="bottom"/>
          </w:tcPr>
          <w:p w:rsidR="00B35B16" w:rsidRPr="00931FD3" w:rsidRDefault="00457C59" w:rsidP="008010EB">
            <w:pPr>
              <w:widowControl/>
              <w:tabs>
                <w:tab w:val="decimal" w:pos="248"/>
              </w:tabs>
              <w:overflowPunct/>
              <w:autoSpaceDE/>
              <w:autoSpaceDN/>
              <w:adjustRightInd/>
              <w:jc w:val="center"/>
              <w:rPr>
                <w:sz w:val="16"/>
                <w:szCs w:val="16"/>
              </w:rPr>
            </w:pPr>
            <w:r w:rsidRPr="002D65A3">
              <w:rPr>
                <w:sz w:val="16"/>
                <w:szCs w:val="16"/>
              </w:rPr>
              <w:t>−</w:t>
            </w:r>
            <w:r w:rsidR="00B35B16" w:rsidRPr="00931FD3">
              <w:rPr>
                <w:sz w:val="16"/>
                <w:szCs w:val="16"/>
              </w:rPr>
              <w:t>0.014</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sz w:val="16"/>
                <w:szCs w:val="16"/>
              </w:rPr>
            </w:pP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0.67)</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0.53)</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w:t>
            </w:r>
            <w:r w:rsidR="00457C59" w:rsidRPr="002D65A3">
              <w:rPr>
                <w:sz w:val="16"/>
                <w:szCs w:val="16"/>
              </w:rPr>
              <w:t>−</w:t>
            </w:r>
            <w:r w:rsidRPr="00931FD3">
              <w:rPr>
                <w:sz w:val="16"/>
                <w:szCs w:val="16"/>
              </w:rPr>
              <w:t>0.65)</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0.92)</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0.79)</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1.20)</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w:t>
            </w:r>
            <w:r w:rsidR="00457C59" w:rsidRPr="002D65A3">
              <w:rPr>
                <w:sz w:val="16"/>
                <w:szCs w:val="16"/>
              </w:rPr>
              <w:t>−</w:t>
            </w:r>
            <w:r w:rsidRPr="00931FD3">
              <w:rPr>
                <w:sz w:val="16"/>
                <w:szCs w:val="16"/>
              </w:rPr>
              <w:t>1.16)</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bottom w:val="nil"/>
              <w:right w:val="nil"/>
            </w:tcBorders>
            <w:vAlign w:val="bottom"/>
          </w:tcPr>
          <w:p w:rsidR="00B35B16" w:rsidRPr="005C608C" w:rsidRDefault="00B35B16" w:rsidP="008010EB">
            <w:pPr>
              <w:rPr>
                <w:rFonts w:eastAsia="Times New Roman"/>
                <w:sz w:val="16"/>
                <w:szCs w:val="16"/>
              </w:rPr>
            </w:pPr>
            <w:r w:rsidRPr="005C608C">
              <w:rPr>
                <w:rFonts w:eastAsia="Times New Roman"/>
                <w:sz w:val="16"/>
                <w:szCs w:val="16"/>
              </w:rPr>
              <w:t>Intercept</w:t>
            </w:r>
          </w:p>
        </w:tc>
        <w:tc>
          <w:tcPr>
            <w:tcW w:w="439" w:type="pct"/>
            <w:gridSpan w:val="2"/>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0.012***</w:t>
            </w:r>
          </w:p>
        </w:tc>
        <w:tc>
          <w:tcPr>
            <w:tcW w:w="442"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0.011***</w:t>
            </w:r>
          </w:p>
        </w:tc>
        <w:tc>
          <w:tcPr>
            <w:tcW w:w="477" w:type="pct"/>
            <w:tcBorders>
              <w:top w:val="nil"/>
              <w:left w:val="nil"/>
              <w:bottom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0.011***</w:t>
            </w:r>
          </w:p>
        </w:tc>
        <w:tc>
          <w:tcPr>
            <w:tcW w:w="462"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0.027***</w:t>
            </w:r>
          </w:p>
        </w:tc>
        <w:tc>
          <w:tcPr>
            <w:tcW w:w="570"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0.027***</w:t>
            </w:r>
          </w:p>
        </w:tc>
        <w:tc>
          <w:tcPr>
            <w:tcW w:w="105"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0.015***</w:t>
            </w:r>
          </w:p>
        </w:tc>
        <w:tc>
          <w:tcPr>
            <w:tcW w:w="523" w:type="pct"/>
            <w:gridSpan w:val="2"/>
            <w:tcBorders>
              <w:top w:val="nil"/>
              <w:left w:val="nil"/>
              <w:bottom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0.015***</w:t>
            </w:r>
          </w:p>
        </w:tc>
        <w:tc>
          <w:tcPr>
            <w:tcW w:w="411" w:type="pct"/>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bottom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right w:val="nil"/>
            </w:tcBorders>
            <w:vAlign w:val="bottom"/>
          </w:tcPr>
          <w:p w:rsidR="00B35B16" w:rsidRPr="005C608C" w:rsidRDefault="00B35B16" w:rsidP="008010EB">
            <w:pPr>
              <w:rPr>
                <w:rFonts w:eastAsia="Times New Roman"/>
                <w:sz w:val="16"/>
                <w:szCs w:val="16"/>
              </w:rPr>
            </w:pPr>
          </w:p>
        </w:tc>
        <w:tc>
          <w:tcPr>
            <w:tcW w:w="439" w:type="pct"/>
            <w:gridSpan w:val="2"/>
            <w:tcBorders>
              <w:top w:val="nil"/>
              <w:left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(13.07)</w:t>
            </w:r>
          </w:p>
        </w:tc>
        <w:tc>
          <w:tcPr>
            <w:tcW w:w="442" w:type="pct"/>
            <w:tcBorders>
              <w:top w:val="nil"/>
              <w:left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(12.39)</w:t>
            </w:r>
          </w:p>
        </w:tc>
        <w:tc>
          <w:tcPr>
            <w:tcW w:w="477" w:type="pct"/>
            <w:tcBorders>
              <w:top w:val="nil"/>
              <w:left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(12.23)</w:t>
            </w:r>
          </w:p>
        </w:tc>
        <w:tc>
          <w:tcPr>
            <w:tcW w:w="462" w:type="pct"/>
            <w:gridSpan w:val="2"/>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(12.40)</w:t>
            </w:r>
          </w:p>
        </w:tc>
        <w:tc>
          <w:tcPr>
            <w:tcW w:w="570" w:type="pct"/>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(12.36)</w:t>
            </w:r>
          </w:p>
        </w:tc>
        <w:tc>
          <w:tcPr>
            <w:tcW w:w="105" w:type="pct"/>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(7.04)</w:t>
            </w:r>
          </w:p>
        </w:tc>
        <w:tc>
          <w:tcPr>
            <w:tcW w:w="523" w:type="pct"/>
            <w:gridSpan w:val="2"/>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931FD3">
              <w:rPr>
                <w:sz w:val="16"/>
                <w:szCs w:val="16"/>
              </w:rPr>
              <w:t>(7.02)</w:t>
            </w:r>
          </w:p>
        </w:tc>
        <w:tc>
          <w:tcPr>
            <w:tcW w:w="411" w:type="pct"/>
            <w:tcBorders>
              <w:top w:val="nil"/>
              <w:left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B35B16" w:rsidRPr="005C608C" w:rsidTr="008010EB">
        <w:trPr>
          <w:trHeight w:val="103"/>
          <w:jc w:val="center"/>
        </w:trPr>
        <w:tc>
          <w:tcPr>
            <w:tcW w:w="706" w:type="pct"/>
            <w:gridSpan w:val="3"/>
            <w:tcBorders>
              <w:top w:val="nil"/>
              <w:left w:val="nil"/>
              <w:right w:val="nil"/>
            </w:tcBorders>
            <w:vAlign w:val="bottom"/>
          </w:tcPr>
          <w:p w:rsidR="00B35B16" w:rsidRPr="005C608C" w:rsidRDefault="00B35B16" w:rsidP="008010EB">
            <w:pPr>
              <w:rPr>
                <w:rFonts w:eastAsia="Times New Roman"/>
                <w:sz w:val="16"/>
                <w:szCs w:val="16"/>
              </w:rPr>
            </w:pPr>
            <w:r w:rsidRPr="005C608C">
              <w:rPr>
                <w:rFonts w:eastAsia="Times New Roman"/>
                <w:sz w:val="16"/>
                <w:szCs w:val="16"/>
              </w:rPr>
              <w:t>R</w:t>
            </w:r>
            <w:r w:rsidR="000538F4">
              <w:rPr>
                <w:rFonts w:eastAsia="Times New Roman"/>
                <w:sz w:val="16"/>
                <w:szCs w:val="16"/>
              </w:rPr>
              <w:t>-</w:t>
            </w:r>
            <w:r w:rsidRPr="005C608C">
              <w:rPr>
                <w:rFonts w:eastAsia="Times New Roman"/>
                <w:sz w:val="16"/>
                <w:szCs w:val="16"/>
              </w:rPr>
              <w:t>squared</w:t>
            </w:r>
          </w:p>
        </w:tc>
        <w:tc>
          <w:tcPr>
            <w:tcW w:w="439" w:type="pct"/>
            <w:gridSpan w:val="2"/>
            <w:tcBorders>
              <w:top w:val="nil"/>
              <w:left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0.1106</w:t>
            </w:r>
          </w:p>
        </w:tc>
        <w:tc>
          <w:tcPr>
            <w:tcW w:w="442" w:type="pct"/>
            <w:tcBorders>
              <w:top w:val="nil"/>
              <w:left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0.1108</w:t>
            </w:r>
          </w:p>
        </w:tc>
        <w:tc>
          <w:tcPr>
            <w:tcW w:w="477" w:type="pct"/>
            <w:tcBorders>
              <w:top w:val="nil"/>
              <w:left w:val="nil"/>
              <w:right w:val="nil"/>
            </w:tcBorders>
            <w:vAlign w:val="bottom"/>
          </w:tcPr>
          <w:p w:rsidR="00B35B16" w:rsidRPr="005C608C" w:rsidRDefault="00B35B16" w:rsidP="008010EB">
            <w:pPr>
              <w:widowControl/>
              <w:tabs>
                <w:tab w:val="decimal" w:pos="248"/>
              </w:tabs>
              <w:overflowPunct/>
              <w:autoSpaceDE/>
              <w:autoSpaceDN/>
              <w:adjustRightInd/>
              <w:jc w:val="center"/>
              <w:rPr>
                <w:kern w:val="0"/>
                <w:sz w:val="16"/>
                <w:szCs w:val="16"/>
                <w:lang w:eastAsia="en-US"/>
              </w:rPr>
            </w:pPr>
            <w:r w:rsidRPr="00931FD3">
              <w:rPr>
                <w:sz w:val="16"/>
                <w:szCs w:val="16"/>
              </w:rPr>
              <w:t>0.1111</w:t>
            </w:r>
          </w:p>
        </w:tc>
        <w:tc>
          <w:tcPr>
            <w:tcW w:w="462" w:type="pct"/>
            <w:gridSpan w:val="2"/>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2D65A3">
              <w:rPr>
                <w:sz w:val="16"/>
                <w:szCs w:val="16"/>
              </w:rPr>
              <w:t>0.0465</w:t>
            </w:r>
          </w:p>
        </w:tc>
        <w:tc>
          <w:tcPr>
            <w:tcW w:w="570" w:type="pct"/>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2D65A3">
              <w:rPr>
                <w:sz w:val="16"/>
                <w:szCs w:val="16"/>
              </w:rPr>
              <w:t>0.0462</w:t>
            </w:r>
          </w:p>
        </w:tc>
        <w:tc>
          <w:tcPr>
            <w:tcW w:w="105" w:type="pct"/>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p>
        </w:tc>
        <w:tc>
          <w:tcPr>
            <w:tcW w:w="471" w:type="pct"/>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2D65A3">
              <w:rPr>
                <w:sz w:val="16"/>
                <w:szCs w:val="16"/>
              </w:rPr>
              <w:t>0.0892</w:t>
            </w:r>
          </w:p>
        </w:tc>
        <w:tc>
          <w:tcPr>
            <w:tcW w:w="523" w:type="pct"/>
            <w:gridSpan w:val="2"/>
            <w:tcBorders>
              <w:top w:val="nil"/>
              <w:left w:val="nil"/>
              <w:right w:val="nil"/>
            </w:tcBorders>
            <w:shd w:val="clear" w:color="auto" w:fill="auto"/>
            <w:noWrap/>
            <w:vAlign w:val="bottom"/>
          </w:tcPr>
          <w:p w:rsidR="00B35B16" w:rsidRPr="00931FD3" w:rsidRDefault="00B35B16" w:rsidP="008010EB">
            <w:pPr>
              <w:widowControl/>
              <w:tabs>
                <w:tab w:val="decimal" w:pos="248"/>
              </w:tabs>
              <w:overflowPunct/>
              <w:autoSpaceDE/>
              <w:autoSpaceDN/>
              <w:adjustRightInd/>
              <w:jc w:val="center"/>
              <w:rPr>
                <w:sz w:val="16"/>
                <w:szCs w:val="16"/>
              </w:rPr>
            </w:pPr>
            <w:r w:rsidRPr="002D65A3">
              <w:rPr>
                <w:sz w:val="16"/>
                <w:szCs w:val="16"/>
              </w:rPr>
              <w:t>0.0890</w:t>
            </w:r>
          </w:p>
        </w:tc>
        <w:tc>
          <w:tcPr>
            <w:tcW w:w="411" w:type="pct"/>
            <w:tcBorders>
              <w:top w:val="nil"/>
              <w:left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c>
          <w:tcPr>
            <w:tcW w:w="394" w:type="pct"/>
            <w:gridSpan w:val="2"/>
            <w:tcBorders>
              <w:top w:val="nil"/>
              <w:left w:val="nil"/>
              <w:right w:val="nil"/>
            </w:tcBorders>
          </w:tcPr>
          <w:p w:rsidR="00B35B16" w:rsidRPr="005C608C" w:rsidRDefault="00B35B16" w:rsidP="008010EB">
            <w:pPr>
              <w:widowControl/>
              <w:tabs>
                <w:tab w:val="decimal" w:pos="248"/>
              </w:tabs>
              <w:overflowPunct/>
              <w:autoSpaceDE/>
              <w:autoSpaceDN/>
              <w:adjustRightInd/>
              <w:jc w:val="center"/>
              <w:rPr>
                <w:kern w:val="0"/>
                <w:sz w:val="16"/>
                <w:szCs w:val="16"/>
                <w:lang w:eastAsia="en-US"/>
              </w:rPr>
            </w:pPr>
          </w:p>
        </w:tc>
      </w:tr>
      <w:tr w:rsidR="00676ACC" w:rsidRPr="005C608C" w:rsidTr="008010EB">
        <w:trPr>
          <w:trHeight w:val="103"/>
          <w:jc w:val="center"/>
        </w:trPr>
        <w:tc>
          <w:tcPr>
            <w:tcW w:w="706" w:type="pct"/>
            <w:gridSpan w:val="3"/>
            <w:tcBorders>
              <w:left w:val="nil"/>
              <w:bottom w:val="single" w:sz="4" w:space="0" w:color="auto"/>
              <w:right w:val="nil"/>
            </w:tcBorders>
          </w:tcPr>
          <w:p w:rsidR="00676ACC" w:rsidRPr="005C608C" w:rsidRDefault="00676ACC" w:rsidP="008010EB">
            <w:pPr>
              <w:rPr>
                <w:rFonts w:eastAsia="Times New Roman"/>
                <w:sz w:val="16"/>
                <w:szCs w:val="16"/>
              </w:rPr>
            </w:pPr>
            <w:r w:rsidRPr="005C608C">
              <w:rPr>
                <w:rFonts w:eastAsia="Times New Roman"/>
                <w:sz w:val="16"/>
                <w:szCs w:val="16"/>
              </w:rPr>
              <w:t>N</w:t>
            </w:r>
          </w:p>
        </w:tc>
        <w:tc>
          <w:tcPr>
            <w:tcW w:w="439" w:type="pct"/>
            <w:gridSpan w:val="2"/>
            <w:tcBorders>
              <w:left w:val="nil"/>
              <w:bottom w:val="single" w:sz="4" w:space="0" w:color="auto"/>
              <w:right w:val="nil"/>
            </w:tcBorders>
          </w:tcPr>
          <w:p w:rsidR="00676ACC" w:rsidRPr="005C608C" w:rsidRDefault="00676ACC" w:rsidP="008010EB">
            <w:pPr>
              <w:jc w:val="center"/>
              <w:rPr>
                <w:rFonts w:eastAsia="Times New Roman"/>
                <w:sz w:val="16"/>
                <w:szCs w:val="16"/>
              </w:rPr>
            </w:pPr>
            <w:r w:rsidRPr="005C608C">
              <w:rPr>
                <w:rFonts w:eastAsia="Times New Roman"/>
                <w:sz w:val="16"/>
                <w:szCs w:val="16"/>
              </w:rPr>
              <w:t>593,728</w:t>
            </w:r>
          </w:p>
        </w:tc>
        <w:tc>
          <w:tcPr>
            <w:tcW w:w="442" w:type="pct"/>
            <w:tcBorders>
              <w:left w:val="nil"/>
              <w:bottom w:val="single" w:sz="4" w:space="0" w:color="auto"/>
              <w:right w:val="nil"/>
            </w:tcBorders>
          </w:tcPr>
          <w:p w:rsidR="00676ACC" w:rsidRPr="005C608C" w:rsidRDefault="00676ACC" w:rsidP="008010EB">
            <w:pPr>
              <w:jc w:val="center"/>
              <w:rPr>
                <w:rFonts w:eastAsia="Times New Roman"/>
                <w:sz w:val="16"/>
                <w:szCs w:val="16"/>
              </w:rPr>
            </w:pPr>
            <w:r w:rsidRPr="005C608C">
              <w:rPr>
                <w:rFonts w:eastAsia="Times New Roman"/>
                <w:sz w:val="16"/>
                <w:szCs w:val="16"/>
              </w:rPr>
              <w:t>593,728</w:t>
            </w:r>
          </w:p>
        </w:tc>
        <w:tc>
          <w:tcPr>
            <w:tcW w:w="477" w:type="pct"/>
            <w:tcBorders>
              <w:left w:val="nil"/>
              <w:bottom w:val="single" w:sz="4" w:space="0" w:color="auto"/>
              <w:right w:val="nil"/>
            </w:tcBorders>
          </w:tcPr>
          <w:p w:rsidR="00676ACC" w:rsidRPr="005C608C" w:rsidRDefault="00676ACC" w:rsidP="008010EB">
            <w:pPr>
              <w:jc w:val="center"/>
              <w:rPr>
                <w:rFonts w:eastAsia="Times New Roman"/>
                <w:sz w:val="16"/>
                <w:szCs w:val="16"/>
              </w:rPr>
            </w:pPr>
            <w:r w:rsidRPr="005C608C">
              <w:rPr>
                <w:rFonts w:eastAsia="Times New Roman"/>
                <w:sz w:val="16"/>
                <w:szCs w:val="16"/>
              </w:rPr>
              <w:t>593,728</w:t>
            </w:r>
          </w:p>
        </w:tc>
        <w:tc>
          <w:tcPr>
            <w:tcW w:w="462" w:type="pct"/>
            <w:gridSpan w:val="2"/>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r w:rsidRPr="005C608C">
              <w:rPr>
                <w:rFonts w:eastAsia="Times New Roman"/>
                <w:sz w:val="16"/>
                <w:szCs w:val="16"/>
              </w:rPr>
              <w:t>365,255</w:t>
            </w:r>
          </w:p>
        </w:tc>
        <w:tc>
          <w:tcPr>
            <w:tcW w:w="570" w:type="pct"/>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r w:rsidRPr="005C608C">
              <w:rPr>
                <w:rFonts w:eastAsia="Times New Roman"/>
                <w:sz w:val="16"/>
                <w:szCs w:val="16"/>
              </w:rPr>
              <w:t>365,255</w:t>
            </w:r>
          </w:p>
        </w:tc>
        <w:tc>
          <w:tcPr>
            <w:tcW w:w="105" w:type="pct"/>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p>
        </w:tc>
        <w:tc>
          <w:tcPr>
            <w:tcW w:w="471" w:type="pct"/>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r w:rsidRPr="005C608C">
              <w:rPr>
                <w:rFonts w:eastAsia="Times New Roman"/>
                <w:sz w:val="16"/>
                <w:szCs w:val="16"/>
              </w:rPr>
              <w:t>228,473</w:t>
            </w:r>
          </w:p>
        </w:tc>
        <w:tc>
          <w:tcPr>
            <w:tcW w:w="523" w:type="pct"/>
            <w:gridSpan w:val="2"/>
            <w:tcBorders>
              <w:left w:val="nil"/>
              <w:bottom w:val="single" w:sz="4" w:space="0" w:color="auto"/>
              <w:right w:val="nil"/>
            </w:tcBorders>
            <w:shd w:val="clear" w:color="auto" w:fill="auto"/>
            <w:noWrap/>
          </w:tcPr>
          <w:p w:rsidR="00676ACC" w:rsidRPr="005C608C" w:rsidRDefault="00676ACC" w:rsidP="008010EB">
            <w:pPr>
              <w:jc w:val="center"/>
              <w:rPr>
                <w:rFonts w:eastAsia="Times New Roman"/>
                <w:sz w:val="16"/>
                <w:szCs w:val="16"/>
              </w:rPr>
            </w:pPr>
            <w:r w:rsidRPr="005C608C">
              <w:rPr>
                <w:rFonts w:eastAsia="Times New Roman"/>
                <w:sz w:val="16"/>
                <w:szCs w:val="16"/>
              </w:rPr>
              <w:t>228,473</w:t>
            </w:r>
          </w:p>
        </w:tc>
        <w:tc>
          <w:tcPr>
            <w:tcW w:w="411" w:type="pct"/>
            <w:tcBorders>
              <w:left w:val="nil"/>
              <w:bottom w:val="single" w:sz="4" w:space="0" w:color="auto"/>
              <w:right w:val="nil"/>
            </w:tcBorders>
          </w:tcPr>
          <w:p w:rsidR="00676ACC" w:rsidRPr="005C608C" w:rsidRDefault="00676ACC" w:rsidP="008010EB">
            <w:pPr>
              <w:jc w:val="center"/>
              <w:rPr>
                <w:rFonts w:eastAsia="Times New Roman"/>
                <w:sz w:val="16"/>
                <w:szCs w:val="16"/>
              </w:rPr>
            </w:pPr>
          </w:p>
        </w:tc>
        <w:tc>
          <w:tcPr>
            <w:tcW w:w="394" w:type="pct"/>
            <w:gridSpan w:val="2"/>
            <w:tcBorders>
              <w:left w:val="nil"/>
              <w:bottom w:val="single" w:sz="4" w:space="0" w:color="auto"/>
              <w:right w:val="nil"/>
            </w:tcBorders>
          </w:tcPr>
          <w:p w:rsidR="00676ACC" w:rsidRPr="005C608C" w:rsidRDefault="00676ACC" w:rsidP="008010EB">
            <w:pPr>
              <w:jc w:val="center"/>
              <w:rPr>
                <w:rFonts w:eastAsia="Times New Roman"/>
                <w:sz w:val="16"/>
                <w:szCs w:val="16"/>
              </w:rPr>
            </w:pPr>
          </w:p>
        </w:tc>
      </w:tr>
      <w:tr w:rsidR="00AA0FDE" w:rsidRPr="005C608C" w:rsidTr="008010EB">
        <w:trPr>
          <w:gridAfter w:val="1"/>
          <w:wAfter w:w="6" w:type="pct"/>
          <w:trHeight w:val="103"/>
          <w:jc w:val="center"/>
        </w:trPr>
        <w:tc>
          <w:tcPr>
            <w:tcW w:w="4994" w:type="pct"/>
            <w:gridSpan w:val="16"/>
            <w:tcBorders>
              <w:left w:val="nil"/>
              <w:bottom w:val="single" w:sz="4" w:space="0" w:color="auto"/>
              <w:right w:val="nil"/>
            </w:tcBorders>
            <w:vAlign w:val="bottom"/>
          </w:tcPr>
          <w:p w:rsidR="00AA0FDE" w:rsidRPr="002D65A3" w:rsidRDefault="00AA0FDE" w:rsidP="008010EB">
            <w:pPr>
              <w:jc w:val="center"/>
              <w:rPr>
                <w:rFonts w:eastAsia="Times New Roman"/>
                <w:b/>
                <w:szCs w:val="16"/>
              </w:rPr>
            </w:pPr>
          </w:p>
          <w:p w:rsidR="00AA0FDE" w:rsidRPr="00931FD3" w:rsidRDefault="00AA0FDE" w:rsidP="008010EB">
            <w:pPr>
              <w:jc w:val="center"/>
              <w:rPr>
                <w:rFonts w:eastAsia="Times New Roman"/>
                <w:i/>
                <w:szCs w:val="16"/>
              </w:rPr>
            </w:pPr>
            <w:r w:rsidRPr="00931FD3">
              <w:rPr>
                <w:rFonts w:eastAsia="Times New Roman"/>
                <w:b/>
                <w:szCs w:val="16"/>
              </w:rPr>
              <w:t>Table 5</w:t>
            </w:r>
            <w:r w:rsidRPr="00931FD3">
              <w:rPr>
                <w:rFonts w:eastAsia="Times New Roman"/>
                <w:i/>
                <w:szCs w:val="16"/>
              </w:rPr>
              <w:t xml:space="preserve"> (Cont’d)</w:t>
            </w:r>
          </w:p>
        </w:tc>
      </w:tr>
      <w:tr w:rsidR="00742ADD" w:rsidRPr="005C608C" w:rsidTr="008010EB">
        <w:trPr>
          <w:gridAfter w:val="1"/>
          <w:wAfter w:w="6" w:type="pct"/>
          <w:trHeight w:val="103"/>
          <w:jc w:val="center"/>
        </w:trPr>
        <w:tc>
          <w:tcPr>
            <w:tcW w:w="4994" w:type="pct"/>
            <w:gridSpan w:val="16"/>
            <w:tcBorders>
              <w:top w:val="single" w:sz="4" w:space="0" w:color="auto"/>
              <w:left w:val="nil"/>
              <w:right w:val="nil"/>
            </w:tcBorders>
            <w:shd w:val="clear" w:color="auto" w:fill="auto"/>
            <w:noWrap/>
            <w:vAlign w:val="bottom"/>
          </w:tcPr>
          <w:p w:rsidR="00742ADD" w:rsidRPr="00931FD3" w:rsidRDefault="00742ADD" w:rsidP="008010EB">
            <w:pPr>
              <w:rPr>
                <w:rFonts w:eastAsia="Times New Roman"/>
                <w:b/>
                <w:sz w:val="16"/>
                <w:szCs w:val="16"/>
              </w:rPr>
            </w:pPr>
            <w:r w:rsidRPr="00931FD3">
              <w:rPr>
                <w:rFonts w:eastAsia="Times New Roman"/>
                <w:b/>
                <w:sz w:val="16"/>
                <w:szCs w:val="16"/>
              </w:rPr>
              <w:t xml:space="preserve">Panel B. The Effect of </w:t>
            </w:r>
            <w:r w:rsidRPr="00931FD3">
              <w:rPr>
                <w:rFonts w:eastAsia="Times New Roman"/>
                <w:b/>
                <w:i/>
                <w:sz w:val="16"/>
                <w:szCs w:val="16"/>
              </w:rPr>
              <w:t>H_P_EQ</w:t>
            </w:r>
            <w:r w:rsidRPr="00931FD3">
              <w:rPr>
                <w:rFonts w:eastAsia="Times New Roman"/>
                <w:b/>
                <w:sz w:val="16"/>
                <w:szCs w:val="16"/>
              </w:rPr>
              <w:t xml:space="preserve"> on the Cost of Equity via Market Risk</w:t>
            </w:r>
          </w:p>
        </w:tc>
      </w:tr>
      <w:tr w:rsidR="0012580D" w:rsidRPr="005C608C" w:rsidTr="008010EB">
        <w:trPr>
          <w:gridAfter w:val="1"/>
          <w:wAfter w:w="6" w:type="pct"/>
          <w:trHeight w:val="103"/>
          <w:jc w:val="center"/>
        </w:trPr>
        <w:tc>
          <w:tcPr>
            <w:tcW w:w="586" w:type="pct"/>
            <w:tcBorders>
              <w:left w:val="nil"/>
              <w:bottom w:val="nil"/>
              <w:right w:val="nil"/>
            </w:tcBorders>
            <w:shd w:val="clear" w:color="auto" w:fill="auto"/>
            <w:noWrap/>
            <w:vAlign w:val="center"/>
            <w:hideMark/>
          </w:tcPr>
          <w:p w:rsidR="00742ADD" w:rsidRPr="00931FD3" w:rsidRDefault="00742ADD" w:rsidP="008010EB">
            <w:pPr>
              <w:jc w:val="center"/>
              <w:rPr>
                <w:rFonts w:eastAsia="Times New Roman"/>
                <w:sz w:val="16"/>
                <w:szCs w:val="16"/>
              </w:rPr>
            </w:pPr>
          </w:p>
        </w:tc>
        <w:tc>
          <w:tcPr>
            <w:tcW w:w="105" w:type="pct"/>
            <w:tcBorders>
              <w:left w:val="nil"/>
              <w:bottom w:val="single" w:sz="4" w:space="0" w:color="auto"/>
              <w:right w:val="nil"/>
            </w:tcBorders>
            <w:shd w:val="clear" w:color="auto" w:fill="auto"/>
            <w:vAlign w:val="center"/>
          </w:tcPr>
          <w:p w:rsidR="00742ADD" w:rsidRPr="00931FD3" w:rsidRDefault="00742ADD" w:rsidP="008010EB">
            <w:pPr>
              <w:jc w:val="center"/>
              <w:rPr>
                <w:rFonts w:eastAsia="Times New Roman"/>
                <w:sz w:val="16"/>
                <w:szCs w:val="16"/>
              </w:rPr>
            </w:pPr>
          </w:p>
        </w:tc>
        <w:tc>
          <w:tcPr>
            <w:tcW w:w="105" w:type="pct"/>
            <w:gridSpan w:val="2"/>
            <w:tcBorders>
              <w:left w:val="nil"/>
              <w:bottom w:val="single" w:sz="4" w:space="0" w:color="auto"/>
              <w:right w:val="nil"/>
            </w:tcBorders>
            <w:shd w:val="clear" w:color="auto" w:fill="auto"/>
            <w:vAlign w:val="center"/>
          </w:tcPr>
          <w:p w:rsidR="00742ADD" w:rsidRPr="00931FD3" w:rsidRDefault="00742ADD" w:rsidP="008010EB">
            <w:pPr>
              <w:jc w:val="center"/>
              <w:rPr>
                <w:rFonts w:eastAsia="Times New Roman"/>
                <w:sz w:val="16"/>
                <w:szCs w:val="16"/>
              </w:rPr>
            </w:pPr>
          </w:p>
        </w:tc>
        <w:tc>
          <w:tcPr>
            <w:tcW w:w="1455" w:type="pct"/>
            <w:gridSpan w:val="4"/>
            <w:tcBorders>
              <w:left w:val="nil"/>
              <w:bottom w:val="single" w:sz="4" w:space="0" w:color="auto"/>
              <w:right w:val="nil"/>
            </w:tcBorders>
            <w:shd w:val="clear" w:color="auto" w:fill="auto"/>
            <w:vAlign w:val="center"/>
          </w:tcPr>
          <w:p w:rsidR="00742ADD" w:rsidRPr="00931FD3" w:rsidRDefault="00742ADD" w:rsidP="008010EB">
            <w:pPr>
              <w:jc w:val="center"/>
              <w:rPr>
                <w:rFonts w:eastAsia="Times New Roman"/>
                <w:sz w:val="16"/>
                <w:szCs w:val="16"/>
              </w:rPr>
            </w:pPr>
            <w:r w:rsidRPr="00931FD3">
              <w:rPr>
                <w:rFonts w:eastAsia="Times New Roman"/>
                <w:sz w:val="16"/>
                <w:szCs w:val="16"/>
              </w:rPr>
              <w:t>(b1)Marginal Effect on Market Risk</w:t>
            </w:r>
          </w:p>
          <w:p w:rsidR="00742ADD" w:rsidRPr="00931FD3" w:rsidRDefault="00742ADD" w:rsidP="008010EB">
            <w:pPr>
              <w:jc w:val="center"/>
              <w:rPr>
                <w:rFonts w:eastAsia="Times New Roman"/>
                <w:sz w:val="16"/>
                <w:szCs w:val="16"/>
              </w:rPr>
            </w:pPr>
            <w:r w:rsidRPr="00931FD3">
              <w:rPr>
                <w:rFonts w:eastAsia="Times New Roman"/>
                <w:sz w:val="16"/>
                <w:szCs w:val="16"/>
              </w:rPr>
              <w:t>(Coefficients from Panel A)</w:t>
            </w:r>
          </w:p>
        </w:tc>
        <w:tc>
          <w:tcPr>
            <w:tcW w:w="1602" w:type="pct"/>
            <w:gridSpan w:val="5"/>
            <w:tcBorders>
              <w:left w:val="nil"/>
              <w:bottom w:val="single" w:sz="4" w:space="0" w:color="auto"/>
              <w:right w:val="nil"/>
            </w:tcBorders>
            <w:shd w:val="clear" w:color="auto" w:fill="auto"/>
            <w:vAlign w:val="center"/>
          </w:tcPr>
          <w:p w:rsidR="00742ADD" w:rsidRPr="00931FD3" w:rsidRDefault="00742ADD" w:rsidP="008010EB">
            <w:pPr>
              <w:jc w:val="center"/>
              <w:rPr>
                <w:rFonts w:eastAsia="Times New Roman"/>
                <w:sz w:val="16"/>
                <w:szCs w:val="16"/>
              </w:rPr>
            </w:pPr>
            <w:r w:rsidRPr="00931FD3">
              <w:rPr>
                <w:rFonts w:eastAsia="Times New Roman"/>
                <w:sz w:val="16"/>
                <w:szCs w:val="16"/>
              </w:rPr>
              <w:t>(b2) Risk premium (in basis points) per unit of market risk</w:t>
            </w:r>
          </w:p>
        </w:tc>
        <w:tc>
          <w:tcPr>
            <w:tcW w:w="1141" w:type="pct"/>
            <w:gridSpan w:val="3"/>
            <w:tcBorders>
              <w:left w:val="nil"/>
              <w:bottom w:val="single" w:sz="4" w:space="0" w:color="auto"/>
              <w:right w:val="nil"/>
            </w:tcBorders>
            <w:shd w:val="clear" w:color="auto" w:fill="auto"/>
            <w:vAlign w:val="center"/>
          </w:tcPr>
          <w:p w:rsidR="00742ADD" w:rsidRPr="00931FD3" w:rsidRDefault="00742ADD" w:rsidP="008010EB">
            <w:pPr>
              <w:jc w:val="center"/>
              <w:rPr>
                <w:rFonts w:eastAsia="Times New Roman"/>
                <w:sz w:val="16"/>
                <w:szCs w:val="16"/>
              </w:rPr>
            </w:pPr>
            <w:r w:rsidRPr="00931FD3">
              <w:rPr>
                <w:rFonts w:eastAsia="Times New Roman"/>
                <w:sz w:val="16"/>
                <w:szCs w:val="16"/>
              </w:rPr>
              <w:t>(b3) The effect on the cost of equity (in basis points) via market risk</w:t>
            </w:r>
          </w:p>
          <w:p w:rsidR="00742ADD" w:rsidRPr="00931FD3" w:rsidRDefault="00742ADD" w:rsidP="008010EB">
            <w:pPr>
              <w:jc w:val="center"/>
              <w:rPr>
                <w:rFonts w:eastAsia="Times New Roman"/>
                <w:sz w:val="16"/>
                <w:szCs w:val="16"/>
              </w:rPr>
            </w:pPr>
            <w:r w:rsidRPr="00931FD3">
              <w:rPr>
                <w:rFonts w:eastAsia="Times New Roman"/>
                <w:sz w:val="16"/>
                <w:szCs w:val="16"/>
              </w:rPr>
              <w:t>=(b1) × (b2)</w:t>
            </w:r>
          </w:p>
        </w:tc>
      </w:tr>
      <w:tr w:rsidR="00B35B16" w:rsidRPr="005C608C" w:rsidTr="008010EB">
        <w:trPr>
          <w:gridAfter w:val="1"/>
          <w:wAfter w:w="6" w:type="pct"/>
          <w:trHeight w:val="103"/>
          <w:jc w:val="center"/>
        </w:trPr>
        <w:tc>
          <w:tcPr>
            <w:tcW w:w="586" w:type="pct"/>
            <w:tcBorders>
              <w:top w:val="nil"/>
              <w:left w:val="nil"/>
              <w:right w:val="nil"/>
            </w:tcBorders>
            <w:shd w:val="clear" w:color="auto" w:fill="auto"/>
            <w:noWrap/>
            <w:vAlign w:val="bottom"/>
            <w:hideMark/>
          </w:tcPr>
          <w:p w:rsidR="00B35B16" w:rsidRPr="00931FD3" w:rsidRDefault="008010EB" w:rsidP="008010EB">
            <w:pPr>
              <w:rPr>
                <w:rFonts w:eastAsia="Times New Roman"/>
                <w:i/>
                <w:sz w:val="16"/>
                <w:szCs w:val="16"/>
              </w:rPr>
            </w:pPr>
            <w:r w:rsidRPr="00931FD3">
              <w:rPr>
                <w:rFonts w:eastAsia="Times New Roman"/>
                <w:i/>
                <w:sz w:val="16"/>
                <w:szCs w:val="16"/>
              </w:rPr>
              <w:t>H_</w:t>
            </w:r>
            <w:r w:rsidR="00B35B16" w:rsidRPr="00931FD3">
              <w:rPr>
                <w:rFonts w:eastAsia="Times New Roman"/>
                <w:i/>
                <w:sz w:val="16"/>
                <w:szCs w:val="16"/>
              </w:rPr>
              <w:t>EQ</w:t>
            </w:r>
          </w:p>
        </w:tc>
        <w:tc>
          <w:tcPr>
            <w:tcW w:w="105" w:type="pct"/>
            <w:tcBorders>
              <w:top w:val="nil"/>
              <w:left w:val="nil"/>
              <w:right w:val="nil"/>
            </w:tcBorders>
            <w:shd w:val="clear" w:color="auto" w:fill="auto"/>
            <w:noWrap/>
            <w:vAlign w:val="bottom"/>
          </w:tcPr>
          <w:p w:rsidR="00B35B16" w:rsidRPr="00931FD3" w:rsidRDefault="00B35B16" w:rsidP="008010EB">
            <w:pPr>
              <w:jc w:val="center"/>
              <w:rPr>
                <w:rFonts w:eastAsia="Times New Roman"/>
                <w:sz w:val="16"/>
                <w:szCs w:val="16"/>
              </w:rPr>
            </w:pPr>
          </w:p>
        </w:tc>
        <w:tc>
          <w:tcPr>
            <w:tcW w:w="105" w:type="pct"/>
            <w:gridSpan w:val="2"/>
            <w:tcBorders>
              <w:top w:val="nil"/>
              <w:left w:val="nil"/>
              <w:right w:val="nil"/>
            </w:tcBorders>
            <w:shd w:val="clear" w:color="auto" w:fill="auto"/>
            <w:noWrap/>
            <w:vAlign w:val="bottom"/>
          </w:tcPr>
          <w:p w:rsidR="00B35B16" w:rsidRPr="00931FD3" w:rsidRDefault="00B35B16" w:rsidP="008010EB">
            <w:pPr>
              <w:jc w:val="center"/>
              <w:rPr>
                <w:rFonts w:eastAsia="Times New Roman"/>
                <w:sz w:val="16"/>
                <w:szCs w:val="16"/>
              </w:rPr>
            </w:pPr>
          </w:p>
        </w:tc>
        <w:tc>
          <w:tcPr>
            <w:tcW w:w="1455" w:type="pct"/>
            <w:gridSpan w:val="4"/>
            <w:tcBorders>
              <w:top w:val="nil"/>
              <w:left w:val="nil"/>
              <w:right w:val="nil"/>
            </w:tcBorders>
            <w:shd w:val="clear" w:color="auto" w:fill="auto"/>
            <w:noWrap/>
            <w:vAlign w:val="bottom"/>
          </w:tcPr>
          <w:p w:rsidR="00B35B16" w:rsidRPr="00931FD3" w:rsidRDefault="00B35B16" w:rsidP="008010EB">
            <w:pPr>
              <w:jc w:val="center"/>
              <w:rPr>
                <w:rFonts w:eastAsia="Times New Roman"/>
                <w:sz w:val="16"/>
                <w:szCs w:val="16"/>
              </w:rPr>
            </w:pPr>
            <w:r w:rsidRPr="00931FD3">
              <w:rPr>
                <w:rFonts w:eastAsia="Times New Roman"/>
                <w:sz w:val="16"/>
                <w:szCs w:val="16"/>
              </w:rPr>
              <w:t>−0.111</w:t>
            </w:r>
          </w:p>
        </w:tc>
        <w:tc>
          <w:tcPr>
            <w:tcW w:w="1602" w:type="pct"/>
            <w:gridSpan w:val="5"/>
            <w:tcBorders>
              <w:top w:val="nil"/>
              <w:left w:val="nil"/>
              <w:right w:val="nil"/>
            </w:tcBorders>
            <w:shd w:val="clear" w:color="auto" w:fill="auto"/>
            <w:noWrap/>
            <w:vAlign w:val="bottom"/>
          </w:tcPr>
          <w:p w:rsidR="00B35B16" w:rsidRPr="00931FD3" w:rsidRDefault="00B35B16" w:rsidP="008010EB">
            <w:pPr>
              <w:jc w:val="center"/>
              <w:rPr>
                <w:rFonts w:eastAsia="Times New Roman"/>
                <w:sz w:val="16"/>
                <w:szCs w:val="16"/>
              </w:rPr>
            </w:pPr>
            <w:r w:rsidRPr="00931FD3">
              <w:rPr>
                <w:rFonts w:eastAsia="Times New Roman"/>
                <w:sz w:val="16"/>
                <w:szCs w:val="16"/>
              </w:rPr>
              <w:t>600</w:t>
            </w:r>
          </w:p>
        </w:tc>
        <w:tc>
          <w:tcPr>
            <w:tcW w:w="1141" w:type="pct"/>
            <w:gridSpan w:val="3"/>
            <w:tcBorders>
              <w:top w:val="nil"/>
              <w:left w:val="nil"/>
              <w:right w:val="nil"/>
            </w:tcBorders>
            <w:shd w:val="clear" w:color="auto" w:fill="auto"/>
            <w:noWrap/>
          </w:tcPr>
          <w:p w:rsidR="00B35B16" w:rsidRPr="00931FD3" w:rsidRDefault="00457C59" w:rsidP="008010EB">
            <w:pPr>
              <w:jc w:val="center"/>
              <w:rPr>
                <w:rFonts w:eastAsia="Times New Roman"/>
                <w:sz w:val="16"/>
                <w:szCs w:val="16"/>
              </w:rPr>
            </w:pPr>
            <w:r w:rsidRPr="00931FD3">
              <w:rPr>
                <w:sz w:val="16"/>
                <w:szCs w:val="16"/>
              </w:rPr>
              <w:t>−</w:t>
            </w:r>
            <w:r w:rsidR="00B35B16" w:rsidRPr="00931FD3">
              <w:rPr>
                <w:sz w:val="16"/>
                <w:szCs w:val="16"/>
              </w:rPr>
              <w:t>66.6</w:t>
            </w:r>
          </w:p>
        </w:tc>
      </w:tr>
      <w:tr w:rsidR="00B35B16" w:rsidRPr="005C608C" w:rsidTr="008010EB">
        <w:trPr>
          <w:gridAfter w:val="1"/>
          <w:wAfter w:w="6" w:type="pct"/>
          <w:trHeight w:val="103"/>
          <w:jc w:val="center"/>
        </w:trPr>
        <w:tc>
          <w:tcPr>
            <w:tcW w:w="586" w:type="pct"/>
            <w:tcBorders>
              <w:top w:val="nil"/>
              <w:left w:val="nil"/>
              <w:right w:val="nil"/>
            </w:tcBorders>
            <w:shd w:val="clear" w:color="auto" w:fill="auto"/>
            <w:noWrap/>
            <w:vAlign w:val="bottom"/>
            <w:hideMark/>
          </w:tcPr>
          <w:p w:rsidR="00B35B16" w:rsidRPr="00931FD3" w:rsidRDefault="00B35B16" w:rsidP="008010EB">
            <w:pPr>
              <w:rPr>
                <w:rFonts w:eastAsia="Times New Roman"/>
                <w:i/>
                <w:sz w:val="16"/>
                <w:szCs w:val="16"/>
              </w:rPr>
            </w:pPr>
            <w:r w:rsidRPr="00931FD3">
              <w:rPr>
                <w:rFonts w:eastAsia="Times New Roman"/>
                <w:i/>
                <w:sz w:val="16"/>
                <w:szCs w:val="16"/>
              </w:rPr>
              <w:t>H_P_EQew</w:t>
            </w:r>
          </w:p>
        </w:tc>
        <w:tc>
          <w:tcPr>
            <w:tcW w:w="105" w:type="pct"/>
            <w:tcBorders>
              <w:top w:val="nil"/>
              <w:left w:val="nil"/>
              <w:right w:val="nil"/>
            </w:tcBorders>
            <w:shd w:val="clear" w:color="auto" w:fill="auto"/>
            <w:noWrap/>
            <w:vAlign w:val="bottom"/>
          </w:tcPr>
          <w:p w:rsidR="00B35B16" w:rsidRPr="00931FD3" w:rsidRDefault="00B35B16" w:rsidP="008010EB">
            <w:pPr>
              <w:jc w:val="center"/>
              <w:rPr>
                <w:rFonts w:eastAsia="Times New Roman"/>
                <w:sz w:val="16"/>
                <w:szCs w:val="16"/>
              </w:rPr>
            </w:pPr>
          </w:p>
        </w:tc>
        <w:tc>
          <w:tcPr>
            <w:tcW w:w="105" w:type="pct"/>
            <w:gridSpan w:val="2"/>
            <w:tcBorders>
              <w:top w:val="nil"/>
              <w:left w:val="nil"/>
              <w:right w:val="nil"/>
            </w:tcBorders>
            <w:shd w:val="clear" w:color="auto" w:fill="auto"/>
            <w:noWrap/>
            <w:vAlign w:val="bottom"/>
          </w:tcPr>
          <w:p w:rsidR="00B35B16" w:rsidRPr="00931FD3" w:rsidRDefault="00B35B16" w:rsidP="008010EB">
            <w:pPr>
              <w:jc w:val="center"/>
              <w:rPr>
                <w:rFonts w:eastAsia="Times New Roman"/>
                <w:sz w:val="16"/>
                <w:szCs w:val="16"/>
              </w:rPr>
            </w:pPr>
          </w:p>
        </w:tc>
        <w:tc>
          <w:tcPr>
            <w:tcW w:w="1455" w:type="pct"/>
            <w:gridSpan w:val="4"/>
            <w:tcBorders>
              <w:top w:val="nil"/>
              <w:left w:val="nil"/>
              <w:right w:val="nil"/>
            </w:tcBorders>
            <w:shd w:val="clear" w:color="auto" w:fill="auto"/>
            <w:noWrap/>
            <w:vAlign w:val="bottom"/>
          </w:tcPr>
          <w:p w:rsidR="00B35B16" w:rsidRPr="00931FD3" w:rsidRDefault="00B35B16" w:rsidP="008010EB">
            <w:pPr>
              <w:jc w:val="center"/>
              <w:rPr>
                <w:rFonts w:eastAsia="Times New Roman"/>
                <w:sz w:val="16"/>
                <w:szCs w:val="16"/>
              </w:rPr>
            </w:pPr>
            <w:r w:rsidRPr="00931FD3">
              <w:rPr>
                <w:rFonts w:eastAsia="Times New Roman"/>
                <w:sz w:val="16"/>
                <w:szCs w:val="16"/>
              </w:rPr>
              <w:t>−0.175</w:t>
            </w:r>
          </w:p>
        </w:tc>
        <w:tc>
          <w:tcPr>
            <w:tcW w:w="1602" w:type="pct"/>
            <w:gridSpan w:val="5"/>
            <w:tcBorders>
              <w:top w:val="nil"/>
              <w:left w:val="nil"/>
              <w:right w:val="nil"/>
            </w:tcBorders>
            <w:shd w:val="clear" w:color="auto" w:fill="auto"/>
            <w:noWrap/>
            <w:vAlign w:val="bottom"/>
          </w:tcPr>
          <w:p w:rsidR="00B35B16" w:rsidRPr="00931FD3" w:rsidRDefault="00B35B16" w:rsidP="008010EB">
            <w:pPr>
              <w:jc w:val="center"/>
              <w:rPr>
                <w:rFonts w:eastAsia="Times New Roman"/>
                <w:sz w:val="16"/>
                <w:szCs w:val="16"/>
              </w:rPr>
            </w:pPr>
            <w:r w:rsidRPr="00931FD3">
              <w:rPr>
                <w:rFonts w:eastAsia="Times New Roman"/>
                <w:sz w:val="16"/>
                <w:szCs w:val="16"/>
              </w:rPr>
              <w:t>600</w:t>
            </w:r>
          </w:p>
        </w:tc>
        <w:tc>
          <w:tcPr>
            <w:tcW w:w="1141" w:type="pct"/>
            <w:gridSpan w:val="3"/>
            <w:tcBorders>
              <w:top w:val="nil"/>
              <w:left w:val="nil"/>
              <w:right w:val="nil"/>
            </w:tcBorders>
            <w:shd w:val="clear" w:color="auto" w:fill="auto"/>
            <w:noWrap/>
          </w:tcPr>
          <w:p w:rsidR="00B35B16" w:rsidRPr="00931FD3" w:rsidRDefault="00457C59" w:rsidP="008010EB">
            <w:pPr>
              <w:jc w:val="center"/>
              <w:rPr>
                <w:rFonts w:eastAsia="Times New Roman"/>
                <w:sz w:val="16"/>
                <w:szCs w:val="16"/>
              </w:rPr>
            </w:pPr>
            <w:r w:rsidRPr="00931FD3">
              <w:rPr>
                <w:sz w:val="16"/>
                <w:szCs w:val="16"/>
              </w:rPr>
              <w:t>−</w:t>
            </w:r>
            <w:r w:rsidR="00B35B16" w:rsidRPr="00931FD3">
              <w:rPr>
                <w:sz w:val="16"/>
                <w:szCs w:val="16"/>
              </w:rPr>
              <w:t>105</w:t>
            </w:r>
          </w:p>
        </w:tc>
      </w:tr>
      <w:tr w:rsidR="00B35B16" w:rsidRPr="005C608C" w:rsidTr="008010EB">
        <w:trPr>
          <w:gridAfter w:val="1"/>
          <w:wAfter w:w="6" w:type="pct"/>
          <w:trHeight w:val="103"/>
          <w:jc w:val="center"/>
        </w:trPr>
        <w:tc>
          <w:tcPr>
            <w:tcW w:w="586" w:type="pct"/>
            <w:tcBorders>
              <w:top w:val="nil"/>
              <w:left w:val="nil"/>
              <w:bottom w:val="single" w:sz="4" w:space="0" w:color="auto"/>
              <w:right w:val="nil"/>
            </w:tcBorders>
            <w:shd w:val="clear" w:color="auto" w:fill="auto"/>
            <w:noWrap/>
            <w:vAlign w:val="bottom"/>
            <w:hideMark/>
          </w:tcPr>
          <w:p w:rsidR="00B35B16" w:rsidRPr="00931FD3" w:rsidRDefault="00B35B16" w:rsidP="008010EB">
            <w:pPr>
              <w:rPr>
                <w:rFonts w:eastAsia="Times New Roman"/>
                <w:i/>
                <w:sz w:val="16"/>
                <w:szCs w:val="16"/>
              </w:rPr>
            </w:pPr>
            <w:r w:rsidRPr="00931FD3">
              <w:rPr>
                <w:rFonts w:eastAsia="Times New Roman"/>
                <w:i/>
                <w:sz w:val="16"/>
                <w:szCs w:val="16"/>
              </w:rPr>
              <w:t>H_P_EQmsw</w:t>
            </w:r>
          </w:p>
        </w:tc>
        <w:tc>
          <w:tcPr>
            <w:tcW w:w="105" w:type="pct"/>
            <w:tcBorders>
              <w:top w:val="nil"/>
              <w:left w:val="nil"/>
              <w:bottom w:val="single" w:sz="4" w:space="0" w:color="auto"/>
              <w:right w:val="nil"/>
            </w:tcBorders>
            <w:shd w:val="clear" w:color="auto" w:fill="auto"/>
            <w:noWrap/>
            <w:vAlign w:val="bottom"/>
          </w:tcPr>
          <w:p w:rsidR="00B35B16" w:rsidRPr="00931FD3" w:rsidRDefault="00B35B16" w:rsidP="008010EB">
            <w:pPr>
              <w:jc w:val="center"/>
              <w:rPr>
                <w:rFonts w:eastAsia="Times New Roman"/>
                <w:sz w:val="16"/>
                <w:szCs w:val="16"/>
              </w:rPr>
            </w:pPr>
          </w:p>
        </w:tc>
        <w:tc>
          <w:tcPr>
            <w:tcW w:w="105" w:type="pct"/>
            <w:gridSpan w:val="2"/>
            <w:tcBorders>
              <w:top w:val="nil"/>
              <w:left w:val="nil"/>
              <w:bottom w:val="single" w:sz="4" w:space="0" w:color="auto"/>
              <w:right w:val="nil"/>
            </w:tcBorders>
            <w:shd w:val="clear" w:color="auto" w:fill="auto"/>
            <w:noWrap/>
            <w:vAlign w:val="bottom"/>
          </w:tcPr>
          <w:p w:rsidR="00B35B16" w:rsidRPr="00931FD3" w:rsidRDefault="00B35B16" w:rsidP="008010EB">
            <w:pPr>
              <w:jc w:val="center"/>
              <w:rPr>
                <w:rFonts w:eastAsia="Times New Roman"/>
                <w:sz w:val="16"/>
                <w:szCs w:val="16"/>
              </w:rPr>
            </w:pPr>
          </w:p>
        </w:tc>
        <w:tc>
          <w:tcPr>
            <w:tcW w:w="1455" w:type="pct"/>
            <w:gridSpan w:val="4"/>
            <w:tcBorders>
              <w:top w:val="nil"/>
              <w:left w:val="nil"/>
              <w:bottom w:val="single" w:sz="4" w:space="0" w:color="auto"/>
              <w:right w:val="nil"/>
            </w:tcBorders>
            <w:shd w:val="clear" w:color="auto" w:fill="auto"/>
            <w:noWrap/>
            <w:vAlign w:val="bottom"/>
          </w:tcPr>
          <w:p w:rsidR="00B35B16" w:rsidRPr="00931FD3" w:rsidRDefault="00B35B16" w:rsidP="008010EB">
            <w:pPr>
              <w:jc w:val="center"/>
              <w:rPr>
                <w:rFonts w:eastAsia="Times New Roman"/>
                <w:sz w:val="16"/>
                <w:szCs w:val="16"/>
              </w:rPr>
            </w:pPr>
            <w:r w:rsidRPr="00931FD3">
              <w:rPr>
                <w:rFonts w:eastAsia="Times New Roman"/>
                <w:sz w:val="16"/>
                <w:szCs w:val="16"/>
              </w:rPr>
              <w:t>−0.145</w:t>
            </w:r>
          </w:p>
        </w:tc>
        <w:tc>
          <w:tcPr>
            <w:tcW w:w="1602" w:type="pct"/>
            <w:gridSpan w:val="5"/>
            <w:tcBorders>
              <w:top w:val="nil"/>
              <w:left w:val="nil"/>
              <w:bottom w:val="single" w:sz="4" w:space="0" w:color="auto"/>
              <w:right w:val="nil"/>
            </w:tcBorders>
            <w:shd w:val="clear" w:color="auto" w:fill="auto"/>
            <w:noWrap/>
            <w:vAlign w:val="bottom"/>
          </w:tcPr>
          <w:p w:rsidR="00B35B16" w:rsidRPr="00931FD3" w:rsidRDefault="00B35B16" w:rsidP="008010EB">
            <w:pPr>
              <w:jc w:val="center"/>
              <w:rPr>
                <w:rFonts w:eastAsia="Times New Roman"/>
                <w:sz w:val="16"/>
                <w:szCs w:val="16"/>
              </w:rPr>
            </w:pPr>
            <w:r w:rsidRPr="00931FD3">
              <w:rPr>
                <w:rFonts w:eastAsia="Times New Roman"/>
                <w:sz w:val="16"/>
                <w:szCs w:val="16"/>
              </w:rPr>
              <w:t>600</w:t>
            </w:r>
          </w:p>
        </w:tc>
        <w:tc>
          <w:tcPr>
            <w:tcW w:w="1141" w:type="pct"/>
            <w:gridSpan w:val="3"/>
            <w:tcBorders>
              <w:top w:val="nil"/>
              <w:left w:val="nil"/>
              <w:bottom w:val="single" w:sz="4" w:space="0" w:color="auto"/>
              <w:right w:val="nil"/>
            </w:tcBorders>
            <w:shd w:val="clear" w:color="auto" w:fill="auto"/>
            <w:noWrap/>
          </w:tcPr>
          <w:p w:rsidR="00B35B16" w:rsidRPr="00931FD3" w:rsidRDefault="00457C59" w:rsidP="008010EB">
            <w:pPr>
              <w:jc w:val="center"/>
              <w:rPr>
                <w:rFonts w:eastAsia="Times New Roman"/>
                <w:sz w:val="16"/>
                <w:szCs w:val="16"/>
              </w:rPr>
            </w:pPr>
            <w:r w:rsidRPr="00931FD3">
              <w:rPr>
                <w:sz w:val="16"/>
                <w:szCs w:val="16"/>
              </w:rPr>
              <w:t>−</w:t>
            </w:r>
            <w:r w:rsidR="00B35B16" w:rsidRPr="00931FD3">
              <w:rPr>
                <w:sz w:val="16"/>
                <w:szCs w:val="16"/>
              </w:rPr>
              <w:t>87</w:t>
            </w:r>
          </w:p>
        </w:tc>
      </w:tr>
    </w:tbl>
    <w:p w:rsidR="00742ADD" w:rsidRDefault="00742ADD" w:rsidP="008010EB">
      <w:pPr>
        <w:ind w:left="540" w:hanging="540"/>
        <w:jc w:val="center"/>
        <w:rPr>
          <w:color w:val="000000"/>
          <w:sz w:val="24"/>
          <w:szCs w:val="24"/>
          <w:lang w:eastAsia="en-US"/>
        </w:rPr>
      </w:pPr>
    </w:p>
    <w:p w:rsidR="00742ADD" w:rsidRDefault="00742ADD" w:rsidP="008010EB">
      <w:pPr>
        <w:widowControl/>
        <w:overflowPunct/>
        <w:autoSpaceDE/>
        <w:autoSpaceDN/>
        <w:adjustRightInd/>
      </w:pPr>
      <w:r w:rsidRPr="00103839">
        <w:rPr>
          <w:b/>
        </w:rPr>
        <w:t>Note:</w:t>
      </w:r>
      <w:r w:rsidRPr="00103839">
        <w:t xml:space="preserve"> This table shows the multiple regression results for the market risk factor test. In Panel A, the first three columns use the full sample. For the last two columns, the sample are divided into two subsamples based on whether the market excess return (</w:t>
      </w:r>
      <w:r w:rsidRPr="00103839">
        <w:rPr>
          <w:rFonts w:eastAsia="Times New Roman"/>
          <w:i/>
          <w:iCs/>
        </w:rPr>
        <w:t>MKTRF</w:t>
      </w:r>
      <w:r w:rsidRPr="00103839">
        <w:rPr>
          <w:rFonts w:eastAsia="Times New Roman"/>
          <w:iCs/>
        </w:rPr>
        <w:t>)</w:t>
      </w:r>
      <w:r w:rsidRPr="00103839">
        <w:t xml:space="preserve"> is positive (good news) or negative (bad news).  Panel B shows the economic significances, the effect of </w:t>
      </w:r>
      <w:r w:rsidRPr="00103839">
        <w:rPr>
          <w:i/>
        </w:rPr>
        <w:t>H_P_EQ</w:t>
      </w:r>
      <w:r w:rsidRPr="00103839">
        <w:t xml:space="preserve"> on the cost of equity via market risk. The marginal effects are the coefficients from Panel A. The average monthly market risk premium (</w:t>
      </w:r>
      <w:r w:rsidRPr="00103839">
        <w:rPr>
          <w:i/>
        </w:rPr>
        <w:t>MKTRF</w:t>
      </w:r>
      <w:r w:rsidRPr="00103839">
        <w:t>) is 0.005, so the annual market risk</w:t>
      </w:r>
      <w:r w:rsidR="00B30BB4">
        <w:t xml:space="preserve"> premium is 600 basis points (=0.005</w:t>
      </w:r>
      <w:r w:rsidR="00B30BB4" w:rsidRPr="00475B46">
        <w:rPr>
          <w:vertAlign w:val="superscript"/>
        </w:rPr>
        <w:t>12</w:t>
      </w:r>
      <w:r w:rsidRPr="00103839">
        <w:t xml:space="preserve">). </w:t>
      </w:r>
      <w:r w:rsidRPr="00103839">
        <w:rPr>
          <w:i/>
        </w:rPr>
        <w:t>t</w:t>
      </w:r>
      <w:r w:rsidRPr="00103839">
        <w:t xml:space="preserve">-statistics are reported in parentheses, and Z-statistics are reported in square brackets. Standard errors are clustered by firm. </w:t>
      </w:r>
      <w:r w:rsidRPr="00103839">
        <w:rPr>
          <w:color w:val="000000"/>
          <w:lang w:eastAsia="en-US"/>
        </w:rPr>
        <w:t xml:space="preserve">***, **, and * </w:t>
      </w:r>
      <w:r w:rsidR="00C71990">
        <w:rPr>
          <w:color w:val="000000"/>
          <w:lang w:eastAsia="en-US"/>
        </w:rPr>
        <w:t xml:space="preserve"> </w:t>
      </w:r>
      <w:r w:rsidRPr="00103839">
        <w:rPr>
          <w:color w:val="000000"/>
          <w:lang w:eastAsia="en-US"/>
        </w:rPr>
        <w:t>refer to significance (two-tailed) at the 1%, 5%, and 10% level, respectively.</w:t>
      </w:r>
      <w:r w:rsidRPr="00ED7F36">
        <w:rPr>
          <w:color w:val="000000"/>
          <w:sz w:val="24"/>
          <w:szCs w:val="24"/>
        </w:rPr>
        <w:t xml:space="preserve"> </w:t>
      </w:r>
      <w:r w:rsidRPr="00ED7F36">
        <w:rPr>
          <w:sz w:val="24"/>
          <w:szCs w:val="24"/>
        </w:rPr>
        <w:t xml:space="preserve"> </w:t>
      </w:r>
      <w:r>
        <w:br w:type="page"/>
      </w:r>
    </w:p>
    <w:tbl>
      <w:tblPr>
        <w:tblW w:w="11895" w:type="dxa"/>
        <w:jc w:val="center"/>
        <w:tblInd w:w="93" w:type="dxa"/>
        <w:tblLayout w:type="fixed"/>
        <w:tblLook w:val="04A0" w:firstRow="1" w:lastRow="0" w:firstColumn="1" w:lastColumn="0" w:noHBand="0" w:noVBand="1"/>
      </w:tblPr>
      <w:tblGrid>
        <w:gridCol w:w="2015"/>
        <w:gridCol w:w="783"/>
        <w:gridCol w:w="586"/>
        <w:gridCol w:w="584"/>
        <w:gridCol w:w="925"/>
        <w:gridCol w:w="515"/>
        <w:gridCol w:w="956"/>
        <w:gridCol w:w="1356"/>
        <w:gridCol w:w="1356"/>
        <w:gridCol w:w="1461"/>
        <w:gridCol w:w="1358"/>
      </w:tblGrid>
      <w:tr w:rsidR="005865E2" w:rsidRPr="009B395A" w:rsidTr="008010EB">
        <w:trPr>
          <w:trHeight w:val="259"/>
          <w:jc w:val="center"/>
        </w:trPr>
        <w:tc>
          <w:tcPr>
            <w:tcW w:w="11895" w:type="dxa"/>
            <w:gridSpan w:val="11"/>
            <w:tcBorders>
              <w:top w:val="nil"/>
              <w:left w:val="nil"/>
              <w:bottom w:val="single" w:sz="4" w:space="0" w:color="auto"/>
              <w:right w:val="nil"/>
            </w:tcBorders>
            <w:shd w:val="clear" w:color="auto" w:fill="auto"/>
            <w:noWrap/>
            <w:vAlign w:val="bottom"/>
            <w:hideMark/>
          </w:tcPr>
          <w:p w:rsidR="005865E2" w:rsidRPr="00931FD3" w:rsidRDefault="005865E2" w:rsidP="008010EB">
            <w:pPr>
              <w:pStyle w:val="Heading4"/>
              <w:rPr>
                <w:b w:val="0"/>
              </w:rPr>
            </w:pPr>
            <w:bookmarkStart w:id="220" w:name="_Toc378088916"/>
            <w:r w:rsidRPr="00931FD3">
              <w:lastRenderedPageBreak/>
              <w:t>Table 6</w:t>
            </w:r>
            <w:bookmarkEnd w:id="220"/>
          </w:p>
          <w:p w:rsidR="005865E2" w:rsidRPr="00931FD3" w:rsidRDefault="005865E2" w:rsidP="008010EB">
            <w:pPr>
              <w:pStyle w:val="Heading4"/>
            </w:pPr>
            <w:bookmarkStart w:id="221" w:name="_Toc378088917"/>
            <w:r w:rsidRPr="00931FD3">
              <w:t>Implied Cost of Equity Test</w:t>
            </w:r>
            <w:bookmarkEnd w:id="221"/>
          </w:p>
        </w:tc>
      </w:tr>
      <w:tr w:rsidR="005A3BEE" w:rsidRPr="009B395A" w:rsidTr="008010EB">
        <w:trPr>
          <w:trHeight w:val="259"/>
          <w:jc w:val="center"/>
        </w:trPr>
        <w:tc>
          <w:tcPr>
            <w:tcW w:w="10537" w:type="dxa"/>
            <w:gridSpan w:val="10"/>
            <w:tcBorders>
              <w:top w:val="single" w:sz="4" w:space="0" w:color="auto"/>
              <w:left w:val="nil"/>
              <w:right w:val="nil"/>
            </w:tcBorders>
            <w:shd w:val="clear" w:color="auto" w:fill="auto"/>
            <w:noWrap/>
            <w:vAlign w:val="bottom"/>
            <w:hideMark/>
          </w:tcPr>
          <w:p w:rsidR="005A3BEE" w:rsidRPr="004943A9" w:rsidRDefault="005A3BEE" w:rsidP="008010EB">
            <w:pPr>
              <w:widowControl/>
              <w:overflowPunct/>
              <w:autoSpaceDE/>
              <w:autoSpaceDN/>
              <w:adjustRightInd/>
              <w:rPr>
                <w:rFonts w:ascii="Arial" w:eastAsia="Times New Roman" w:hAnsi="Arial" w:cs="Arial"/>
                <w:kern w:val="0"/>
              </w:rPr>
            </w:pPr>
            <w:r w:rsidRPr="00D90FB0">
              <w:rPr>
                <w:rFonts w:eastAsia="Times New Roman"/>
                <w:b/>
                <w:bCs/>
              </w:rPr>
              <w:t xml:space="preserve">Panel A: Regressions </w:t>
            </w:r>
            <w:r>
              <w:rPr>
                <w:rFonts w:eastAsia="Times New Roman"/>
                <w:bCs/>
              </w:rPr>
              <w:t>(</w:t>
            </w:r>
            <w:r w:rsidRPr="00D90FB0">
              <w:rPr>
                <w:rFonts w:eastAsia="Times New Roman"/>
                <w:bCs/>
              </w:rPr>
              <w:t>Dependent Variable=</w:t>
            </w:r>
            <w:r w:rsidRPr="00D90FB0">
              <w:t xml:space="preserve"> </w:t>
            </w:r>
            <w:r w:rsidRPr="00D90FB0">
              <w:rPr>
                <w:rFonts w:eastAsia="Times New Roman"/>
                <w:bCs/>
                <w:i/>
              </w:rPr>
              <w:t>ICoE</w:t>
            </w:r>
            <w:r>
              <w:rPr>
                <w:rFonts w:eastAsia="Times New Roman"/>
                <w:bCs/>
              </w:rPr>
              <w:t>)</w:t>
            </w:r>
          </w:p>
        </w:tc>
        <w:tc>
          <w:tcPr>
            <w:tcW w:w="1358" w:type="dxa"/>
            <w:tcBorders>
              <w:top w:val="single" w:sz="4" w:space="0" w:color="auto"/>
              <w:left w:val="nil"/>
              <w:right w:val="nil"/>
            </w:tcBorders>
          </w:tcPr>
          <w:p w:rsidR="005A3BEE" w:rsidRPr="00D90FB0" w:rsidRDefault="005A3BEE" w:rsidP="008010EB">
            <w:pPr>
              <w:widowControl/>
              <w:overflowPunct/>
              <w:autoSpaceDE/>
              <w:autoSpaceDN/>
              <w:adjustRightInd/>
              <w:jc w:val="center"/>
              <w:rPr>
                <w:rFonts w:eastAsia="Times New Roman"/>
                <w:b/>
                <w:bCs/>
              </w:rPr>
            </w:pPr>
          </w:p>
        </w:tc>
      </w:tr>
      <w:tr w:rsidR="005A3BEE" w:rsidRPr="009B395A" w:rsidTr="008010EB">
        <w:trPr>
          <w:trHeight w:val="259"/>
          <w:jc w:val="center"/>
        </w:trPr>
        <w:tc>
          <w:tcPr>
            <w:tcW w:w="2015" w:type="dxa"/>
            <w:tcBorders>
              <w:left w:val="nil"/>
              <w:bottom w:val="single" w:sz="4" w:space="0" w:color="auto"/>
              <w:right w:val="nil"/>
            </w:tcBorders>
            <w:shd w:val="clear" w:color="auto" w:fill="auto"/>
            <w:noWrap/>
            <w:vAlign w:val="bottom"/>
            <w:hideMark/>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369" w:type="dxa"/>
            <w:gridSpan w:val="2"/>
            <w:tcBorders>
              <w:left w:val="nil"/>
              <w:bottom w:val="single" w:sz="4" w:space="0" w:color="auto"/>
              <w:right w:val="nil"/>
            </w:tcBorders>
            <w:shd w:val="clear" w:color="auto" w:fill="auto"/>
            <w:noWrap/>
            <w:vAlign w:val="bottom"/>
          </w:tcPr>
          <w:p w:rsidR="005A3BEE" w:rsidRPr="005A3BEE" w:rsidRDefault="005A3BEE" w:rsidP="008010EB">
            <w:pPr>
              <w:widowControl/>
              <w:overflowPunct/>
              <w:autoSpaceDE/>
              <w:autoSpaceDN/>
              <w:adjustRightInd/>
              <w:jc w:val="center"/>
              <w:rPr>
                <w:rFonts w:eastAsia="Times New Roman"/>
                <w:iCs/>
                <w:kern w:val="0"/>
              </w:rPr>
            </w:pPr>
            <w:r>
              <w:rPr>
                <w:rFonts w:eastAsia="Times New Roman"/>
                <w:iCs/>
                <w:kern w:val="0"/>
              </w:rPr>
              <w:t>(1)</w:t>
            </w:r>
          </w:p>
        </w:tc>
        <w:tc>
          <w:tcPr>
            <w:tcW w:w="1509" w:type="dxa"/>
            <w:gridSpan w:val="2"/>
            <w:tcBorders>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2</w:t>
            </w:r>
            <w:r w:rsidRPr="009B395A">
              <w:rPr>
                <w:rFonts w:eastAsia="Times New Roman"/>
                <w:kern w:val="0"/>
              </w:rPr>
              <w:t>)</w:t>
            </w:r>
            <w:r w:rsidRPr="009B395A">
              <w:rPr>
                <w:rFonts w:eastAsia="Times New Roman"/>
                <w:i/>
                <w:iCs/>
                <w:kern w:val="0"/>
              </w:rPr>
              <w:t xml:space="preserve"> P_EQew</w:t>
            </w:r>
          </w:p>
        </w:tc>
        <w:tc>
          <w:tcPr>
            <w:tcW w:w="1471" w:type="dxa"/>
            <w:gridSpan w:val="2"/>
            <w:tcBorders>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3</w:t>
            </w:r>
            <w:r w:rsidRPr="009B395A">
              <w:rPr>
                <w:rFonts w:eastAsia="Times New Roman"/>
                <w:kern w:val="0"/>
              </w:rPr>
              <w:t>)</w:t>
            </w:r>
            <w:r w:rsidRPr="009B395A">
              <w:rPr>
                <w:rFonts w:eastAsia="Times New Roman"/>
                <w:i/>
                <w:iCs/>
                <w:kern w:val="0"/>
              </w:rPr>
              <w:t xml:space="preserve"> P_EQew</w:t>
            </w:r>
          </w:p>
        </w:tc>
        <w:tc>
          <w:tcPr>
            <w:tcW w:w="1356" w:type="dxa"/>
            <w:tcBorders>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4</w:t>
            </w:r>
            <w:r w:rsidRPr="009B395A">
              <w:rPr>
                <w:rFonts w:eastAsia="Times New Roman"/>
                <w:kern w:val="0"/>
              </w:rPr>
              <w:t>)=(</w:t>
            </w:r>
            <w:r>
              <w:rPr>
                <w:rFonts w:eastAsia="Times New Roman"/>
                <w:kern w:val="0"/>
              </w:rPr>
              <w:t>3</w:t>
            </w:r>
            <w:r w:rsidRPr="009B395A">
              <w:rPr>
                <w:rFonts w:eastAsia="Times New Roman"/>
                <w:kern w:val="0"/>
              </w:rPr>
              <w:t>)</w:t>
            </w:r>
            <w:r>
              <w:rPr>
                <w:rFonts w:eastAsia="Times New Roman"/>
                <w:kern w:val="0"/>
              </w:rPr>
              <w:t>−</w:t>
            </w:r>
            <w:r w:rsidRPr="009B395A">
              <w:rPr>
                <w:rFonts w:eastAsia="Times New Roman"/>
                <w:kern w:val="0"/>
              </w:rPr>
              <w:t>(</w:t>
            </w:r>
            <w:r>
              <w:rPr>
                <w:rFonts w:eastAsia="Times New Roman"/>
                <w:kern w:val="0"/>
              </w:rPr>
              <w:t>2</w:t>
            </w:r>
            <w:r w:rsidRPr="009B395A">
              <w:rPr>
                <w:rFonts w:eastAsia="Times New Roman"/>
                <w:kern w:val="0"/>
              </w:rPr>
              <w:t>)</w:t>
            </w:r>
          </w:p>
        </w:tc>
        <w:tc>
          <w:tcPr>
            <w:tcW w:w="1356" w:type="dxa"/>
            <w:tcBorders>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5</w:t>
            </w:r>
            <w:r w:rsidRPr="009B395A">
              <w:rPr>
                <w:rFonts w:eastAsia="Times New Roman"/>
                <w:kern w:val="0"/>
              </w:rPr>
              <w:t>)</w:t>
            </w:r>
            <w:r w:rsidRPr="009B395A">
              <w:rPr>
                <w:rFonts w:eastAsia="Times New Roman"/>
                <w:i/>
                <w:iCs/>
                <w:kern w:val="0"/>
              </w:rPr>
              <w:t xml:space="preserve"> P_EQmsw</w:t>
            </w:r>
          </w:p>
        </w:tc>
        <w:tc>
          <w:tcPr>
            <w:tcW w:w="1461" w:type="dxa"/>
            <w:tcBorders>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6</w:t>
            </w:r>
            <w:r w:rsidRPr="009B395A">
              <w:rPr>
                <w:rFonts w:eastAsia="Times New Roman"/>
                <w:kern w:val="0"/>
              </w:rPr>
              <w:t>)</w:t>
            </w:r>
            <w:r w:rsidRPr="009B395A">
              <w:rPr>
                <w:rFonts w:eastAsia="Times New Roman"/>
                <w:i/>
                <w:iCs/>
                <w:kern w:val="0"/>
              </w:rPr>
              <w:t xml:space="preserve"> P_EQmsw</w:t>
            </w:r>
          </w:p>
        </w:tc>
        <w:tc>
          <w:tcPr>
            <w:tcW w:w="1358" w:type="dxa"/>
            <w:tcBorders>
              <w:left w:val="nil"/>
              <w:bottom w:val="single" w:sz="4" w:space="0" w:color="auto"/>
              <w:right w:val="nil"/>
            </w:tcBorders>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7</w:t>
            </w:r>
            <w:r w:rsidRPr="009B395A">
              <w:rPr>
                <w:rFonts w:eastAsia="Times New Roman"/>
                <w:kern w:val="0"/>
              </w:rPr>
              <w:t>)=(</w:t>
            </w:r>
            <w:r>
              <w:rPr>
                <w:rFonts w:eastAsia="Times New Roman"/>
                <w:kern w:val="0"/>
              </w:rPr>
              <w:t>6</w:t>
            </w:r>
            <w:r w:rsidRPr="009B395A">
              <w:rPr>
                <w:rFonts w:eastAsia="Times New Roman"/>
                <w:kern w:val="0"/>
              </w:rPr>
              <w:t>)</w:t>
            </w:r>
            <w:r>
              <w:rPr>
                <w:rFonts w:eastAsia="Times New Roman"/>
                <w:kern w:val="0"/>
              </w:rPr>
              <w:t>−</w:t>
            </w:r>
            <w:r w:rsidRPr="009B395A">
              <w:rPr>
                <w:rFonts w:eastAsia="Times New Roman"/>
                <w:kern w:val="0"/>
              </w:rPr>
              <w:t>(</w:t>
            </w:r>
            <w:r>
              <w:rPr>
                <w:rFonts w:eastAsia="Times New Roman"/>
                <w:kern w:val="0"/>
              </w:rPr>
              <w:t>5</w:t>
            </w:r>
            <w:r w:rsidRPr="009B395A">
              <w:rPr>
                <w:rFonts w:eastAsia="Times New Roman"/>
                <w:kern w:val="0"/>
              </w:rPr>
              <w:t>)</w:t>
            </w:r>
          </w:p>
        </w:tc>
      </w:tr>
      <w:tr w:rsidR="005A3BEE" w:rsidRPr="009B395A" w:rsidTr="008010EB">
        <w:trPr>
          <w:trHeight w:val="259"/>
          <w:jc w:val="center"/>
        </w:trPr>
        <w:tc>
          <w:tcPr>
            <w:tcW w:w="2015" w:type="dxa"/>
            <w:tcBorders>
              <w:top w:val="single" w:sz="4" w:space="0" w:color="auto"/>
              <w:left w:val="nil"/>
              <w:bottom w:val="nil"/>
              <w:right w:val="nil"/>
            </w:tcBorders>
            <w:shd w:val="clear" w:color="auto" w:fill="auto"/>
            <w:noWrap/>
            <w:vAlign w:val="center"/>
            <w:hideMark/>
          </w:tcPr>
          <w:p w:rsidR="005A3BEE" w:rsidRPr="009B395A" w:rsidRDefault="005A3BEE" w:rsidP="008010EB">
            <w:pPr>
              <w:widowControl/>
              <w:overflowPunct/>
              <w:autoSpaceDE/>
              <w:autoSpaceDN/>
              <w:adjustRightInd/>
              <w:rPr>
                <w:rFonts w:eastAsia="Times New Roman"/>
                <w:i/>
                <w:iCs/>
                <w:kern w:val="0"/>
              </w:rPr>
            </w:pPr>
            <w:r w:rsidRPr="009B395A">
              <w:rPr>
                <w:rFonts w:eastAsia="Times New Roman"/>
                <w:i/>
                <w:iCs/>
                <w:kern w:val="0"/>
              </w:rPr>
              <w:t>H_P_EQ</w:t>
            </w:r>
          </w:p>
        </w:tc>
        <w:tc>
          <w:tcPr>
            <w:tcW w:w="1369" w:type="dxa"/>
            <w:gridSpan w:val="2"/>
            <w:tcBorders>
              <w:top w:val="single" w:sz="4" w:space="0" w:color="auto"/>
              <w:left w:val="nil"/>
              <w:bottom w:val="nil"/>
              <w:right w:val="nil"/>
            </w:tcBorders>
            <w:shd w:val="clear" w:color="auto" w:fill="auto"/>
            <w:noWrap/>
            <w:vAlign w:val="bottom"/>
          </w:tcPr>
          <w:p w:rsidR="005A3BEE" w:rsidRPr="00F70D1C" w:rsidRDefault="005A3BEE" w:rsidP="008010EB">
            <w:pPr>
              <w:widowControl/>
              <w:overflowPunct/>
              <w:autoSpaceDE/>
              <w:autoSpaceDN/>
              <w:adjustRightInd/>
              <w:jc w:val="center"/>
              <w:rPr>
                <w:rFonts w:eastAsia="Times New Roman"/>
                <w:kern w:val="0"/>
              </w:rPr>
            </w:pPr>
          </w:p>
        </w:tc>
        <w:tc>
          <w:tcPr>
            <w:tcW w:w="1509" w:type="dxa"/>
            <w:gridSpan w:val="2"/>
            <w:tcBorders>
              <w:top w:val="single" w:sz="4" w:space="0" w:color="auto"/>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0.005***</w:t>
            </w:r>
          </w:p>
        </w:tc>
        <w:tc>
          <w:tcPr>
            <w:tcW w:w="1471" w:type="dxa"/>
            <w:gridSpan w:val="2"/>
            <w:tcBorders>
              <w:top w:val="single" w:sz="4" w:space="0" w:color="auto"/>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0.003</w:t>
            </w:r>
          </w:p>
        </w:tc>
        <w:tc>
          <w:tcPr>
            <w:tcW w:w="1356" w:type="dxa"/>
            <w:tcBorders>
              <w:top w:val="single" w:sz="4" w:space="0" w:color="auto"/>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0.002</w:t>
            </w:r>
          </w:p>
        </w:tc>
        <w:tc>
          <w:tcPr>
            <w:tcW w:w="1356" w:type="dxa"/>
            <w:tcBorders>
              <w:top w:val="single" w:sz="4" w:space="0" w:color="auto"/>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0.005***</w:t>
            </w:r>
          </w:p>
        </w:tc>
        <w:tc>
          <w:tcPr>
            <w:tcW w:w="1461" w:type="dxa"/>
            <w:tcBorders>
              <w:top w:val="single" w:sz="4" w:space="0" w:color="auto"/>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0.003*</w:t>
            </w:r>
          </w:p>
        </w:tc>
        <w:tc>
          <w:tcPr>
            <w:tcW w:w="1358" w:type="dxa"/>
            <w:tcBorders>
              <w:top w:val="single" w:sz="4" w:space="0" w:color="auto"/>
              <w:left w:val="nil"/>
              <w:bottom w:val="nil"/>
              <w:right w:val="nil"/>
            </w:tcBorders>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0.002</w:t>
            </w:r>
          </w:p>
        </w:tc>
      </w:tr>
      <w:tr w:rsidR="005A3BEE" w:rsidRPr="009B395A" w:rsidTr="008010EB">
        <w:trPr>
          <w:trHeight w:val="279"/>
          <w:jc w:val="center"/>
        </w:trPr>
        <w:tc>
          <w:tcPr>
            <w:tcW w:w="2015" w:type="dxa"/>
            <w:tcBorders>
              <w:top w:val="nil"/>
              <w:left w:val="nil"/>
              <w:bottom w:val="nil"/>
              <w:right w:val="nil"/>
            </w:tcBorders>
            <w:shd w:val="clear" w:color="auto" w:fill="auto"/>
            <w:noWrap/>
            <w:vAlign w:val="bottom"/>
            <w:hideMark/>
          </w:tcPr>
          <w:p w:rsidR="005A3BEE" w:rsidRPr="009B395A" w:rsidRDefault="005A3BEE" w:rsidP="008010EB">
            <w:pPr>
              <w:widowControl/>
              <w:overflowPunct/>
              <w:autoSpaceDE/>
              <w:autoSpaceDN/>
              <w:adjustRightInd/>
              <w:rPr>
                <w:rFonts w:ascii="Calibri" w:eastAsia="Times New Roman" w:hAnsi="Calibri" w:cs="Arial"/>
                <w:kern w:val="0"/>
              </w:rPr>
            </w:pPr>
          </w:p>
        </w:tc>
        <w:tc>
          <w:tcPr>
            <w:tcW w:w="1369" w:type="dxa"/>
            <w:gridSpan w:val="2"/>
            <w:tcBorders>
              <w:top w:val="nil"/>
              <w:left w:val="nil"/>
              <w:bottom w:val="nil"/>
              <w:right w:val="nil"/>
            </w:tcBorders>
            <w:shd w:val="clear" w:color="auto" w:fill="auto"/>
            <w:noWrap/>
            <w:vAlign w:val="bottom"/>
          </w:tcPr>
          <w:p w:rsidR="005A3BEE" w:rsidRPr="00F70D1C" w:rsidRDefault="005A3BEE" w:rsidP="008010EB">
            <w:pPr>
              <w:widowControl/>
              <w:overflowPunct/>
              <w:autoSpaceDE/>
              <w:autoSpaceDN/>
              <w:adjustRightInd/>
              <w:jc w:val="center"/>
              <w:rPr>
                <w:rFonts w:eastAsia="Times New Roman"/>
                <w:kern w:val="0"/>
              </w:rPr>
            </w:pPr>
          </w:p>
        </w:tc>
        <w:tc>
          <w:tcPr>
            <w:tcW w:w="1509" w:type="dxa"/>
            <w:gridSpan w:val="2"/>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2.98)</w:t>
            </w:r>
          </w:p>
        </w:tc>
        <w:tc>
          <w:tcPr>
            <w:tcW w:w="1471" w:type="dxa"/>
            <w:gridSpan w:val="2"/>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1.63)</w:t>
            </w:r>
          </w:p>
        </w:tc>
        <w:tc>
          <w:tcPr>
            <w:tcW w:w="1356" w:type="dxa"/>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[1.14]</w:t>
            </w:r>
          </w:p>
        </w:tc>
        <w:tc>
          <w:tcPr>
            <w:tcW w:w="1356" w:type="dxa"/>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3.15)</w:t>
            </w:r>
          </w:p>
        </w:tc>
        <w:tc>
          <w:tcPr>
            <w:tcW w:w="1461" w:type="dxa"/>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1.79)</w:t>
            </w:r>
          </w:p>
        </w:tc>
        <w:tc>
          <w:tcPr>
            <w:tcW w:w="1358" w:type="dxa"/>
            <w:tcBorders>
              <w:top w:val="nil"/>
              <w:left w:val="nil"/>
              <w:bottom w:val="nil"/>
              <w:right w:val="nil"/>
            </w:tcBorders>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[1.22]</w:t>
            </w:r>
          </w:p>
        </w:tc>
      </w:tr>
      <w:tr w:rsidR="00CA27F0" w:rsidRPr="009B395A" w:rsidTr="008010EB">
        <w:trPr>
          <w:trHeight w:val="259"/>
          <w:jc w:val="center"/>
        </w:trPr>
        <w:tc>
          <w:tcPr>
            <w:tcW w:w="2015" w:type="dxa"/>
            <w:tcBorders>
              <w:top w:val="nil"/>
              <w:left w:val="nil"/>
              <w:bottom w:val="nil"/>
              <w:right w:val="nil"/>
            </w:tcBorders>
            <w:shd w:val="clear" w:color="auto" w:fill="auto"/>
            <w:noWrap/>
            <w:vAlign w:val="center"/>
            <w:hideMark/>
          </w:tcPr>
          <w:p w:rsidR="00CA27F0" w:rsidRPr="009B395A" w:rsidRDefault="00CA27F0" w:rsidP="008010EB">
            <w:pPr>
              <w:widowControl/>
              <w:overflowPunct/>
              <w:autoSpaceDE/>
              <w:autoSpaceDN/>
              <w:adjustRightInd/>
              <w:rPr>
                <w:rFonts w:eastAsia="Times New Roman"/>
                <w:i/>
                <w:iCs/>
                <w:kern w:val="0"/>
              </w:rPr>
            </w:pPr>
            <w:r w:rsidRPr="009B395A">
              <w:rPr>
                <w:rFonts w:eastAsia="Times New Roman"/>
                <w:i/>
                <w:iCs/>
                <w:kern w:val="0"/>
              </w:rPr>
              <w:t>H_EQ</w:t>
            </w:r>
          </w:p>
        </w:tc>
        <w:tc>
          <w:tcPr>
            <w:tcW w:w="1369" w:type="dxa"/>
            <w:gridSpan w:val="2"/>
            <w:tcBorders>
              <w:top w:val="nil"/>
              <w:left w:val="nil"/>
              <w:bottom w:val="nil"/>
              <w:right w:val="nil"/>
            </w:tcBorders>
            <w:shd w:val="clear" w:color="auto" w:fill="auto"/>
            <w:noWrap/>
            <w:vAlign w:val="bottom"/>
          </w:tcPr>
          <w:p w:rsidR="00CA27F0" w:rsidRPr="00F70D1C" w:rsidRDefault="00CA27F0" w:rsidP="008010EB">
            <w:pPr>
              <w:widowControl/>
              <w:overflowPunct/>
              <w:autoSpaceDE/>
              <w:autoSpaceDN/>
              <w:adjustRightInd/>
              <w:jc w:val="center"/>
              <w:rPr>
                <w:rFonts w:eastAsia="Times New Roman"/>
                <w:kern w:val="0"/>
              </w:rPr>
            </w:pPr>
            <w:r w:rsidRPr="00F70D1C">
              <w:rPr>
                <w:rFonts w:eastAsia="Times New Roman"/>
                <w:kern w:val="0"/>
              </w:rPr>
              <w:t>−0.006***</w:t>
            </w:r>
          </w:p>
        </w:tc>
        <w:tc>
          <w:tcPr>
            <w:tcW w:w="1509" w:type="dxa"/>
            <w:gridSpan w:val="2"/>
            <w:tcBorders>
              <w:top w:val="nil"/>
              <w:left w:val="nil"/>
              <w:bottom w:val="nil"/>
              <w:right w:val="nil"/>
            </w:tcBorders>
            <w:shd w:val="clear" w:color="auto" w:fill="auto"/>
            <w:noWrap/>
            <w:vAlign w:val="bottom"/>
          </w:tcPr>
          <w:p w:rsidR="00CA27F0" w:rsidRPr="00931FD3" w:rsidRDefault="00CA27F0"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0.014***</w:t>
            </w:r>
          </w:p>
        </w:tc>
        <w:tc>
          <w:tcPr>
            <w:tcW w:w="1471" w:type="dxa"/>
            <w:gridSpan w:val="2"/>
            <w:tcBorders>
              <w:top w:val="nil"/>
              <w:left w:val="nil"/>
              <w:bottom w:val="nil"/>
              <w:right w:val="nil"/>
            </w:tcBorders>
            <w:shd w:val="clear" w:color="auto" w:fill="auto"/>
            <w:noWrap/>
            <w:vAlign w:val="bottom"/>
          </w:tcPr>
          <w:p w:rsidR="00CA27F0" w:rsidRPr="00931FD3" w:rsidRDefault="00CA27F0"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0.012***</w:t>
            </w:r>
          </w:p>
        </w:tc>
        <w:tc>
          <w:tcPr>
            <w:tcW w:w="1356" w:type="dxa"/>
            <w:tcBorders>
              <w:top w:val="nil"/>
              <w:left w:val="nil"/>
              <w:bottom w:val="nil"/>
              <w:right w:val="nil"/>
            </w:tcBorders>
            <w:shd w:val="clear" w:color="auto" w:fill="auto"/>
            <w:noWrap/>
            <w:vAlign w:val="center"/>
          </w:tcPr>
          <w:p w:rsidR="00CA27F0" w:rsidRPr="00931FD3" w:rsidRDefault="00CA27F0"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CA27F0" w:rsidRPr="00931FD3" w:rsidRDefault="00CA27F0"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0.014***</w:t>
            </w:r>
          </w:p>
        </w:tc>
        <w:tc>
          <w:tcPr>
            <w:tcW w:w="1461" w:type="dxa"/>
            <w:tcBorders>
              <w:top w:val="nil"/>
              <w:left w:val="nil"/>
              <w:bottom w:val="nil"/>
              <w:right w:val="nil"/>
            </w:tcBorders>
            <w:shd w:val="clear" w:color="auto" w:fill="auto"/>
            <w:noWrap/>
            <w:vAlign w:val="bottom"/>
          </w:tcPr>
          <w:p w:rsidR="00CA27F0" w:rsidRPr="00931FD3" w:rsidRDefault="00CA27F0"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0.012***</w:t>
            </w:r>
          </w:p>
        </w:tc>
        <w:tc>
          <w:tcPr>
            <w:tcW w:w="1358" w:type="dxa"/>
            <w:tcBorders>
              <w:top w:val="nil"/>
              <w:left w:val="nil"/>
              <w:bottom w:val="nil"/>
              <w:right w:val="nil"/>
            </w:tcBorders>
            <w:vAlign w:val="bottom"/>
          </w:tcPr>
          <w:p w:rsidR="00CA27F0" w:rsidRPr="009B395A" w:rsidRDefault="00CA27F0" w:rsidP="008010EB">
            <w:pPr>
              <w:widowControl/>
              <w:overflowPunct/>
              <w:autoSpaceDE/>
              <w:autoSpaceDN/>
              <w:adjustRightInd/>
              <w:jc w:val="center"/>
              <w:rPr>
                <w:rFonts w:ascii="Arial" w:eastAsia="Times New Roman" w:hAnsi="Arial" w:cs="Arial"/>
                <w:kern w:val="0"/>
              </w:rPr>
            </w:pPr>
          </w:p>
        </w:tc>
      </w:tr>
      <w:tr w:rsidR="00CA27F0" w:rsidRPr="009B395A" w:rsidTr="008010EB">
        <w:trPr>
          <w:trHeight w:val="259"/>
          <w:jc w:val="center"/>
        </w:trPr>
        <w:tc>
          <w:tcPr>
            <w:tcW w:w="2015" w:type="dxa"/>
            <w:tcBorders>
              <w:top w:val="nil"/>
              <w:left w:val="nil"/>
              <w:bottom w:val="nil"/>
              <w:right w:val="nil"/>
            </w:tcBorders>
            <w:shd w:val="clear" w:color="auto" w:fill="auto"/>
            <w:noWrap/>
            <w:vAlign w:val="bottom"/>
            <w:hideMark/>
          </w:tcPr>
          <w:p w:rsidR="00CA27F0" w:rsidRPr="009B395A" w:rsidRDefault="00CA27F0" w:rsidP="008010EB">
            <w:pPr>
              <w:widowControl/>
              <w:overflowPunct/>
              <w:autoSpaceDE/>
              <w:autoSpaceDN/>
              <w:adjustRightInd/>
              <w:rPr>
                <w:rFonts w:ascii="Calibri" w:eastAsia="Times New Roman" w:hAnsi="Calibri" w:cs="Arial"/>
                <w:kern w:val="0"/>
              </w:rPr>
            </w:pPr>
          </w:p>
        </w:tc>
        <w:tc>
          <w:tcPr>
            <w:tcW w:w="1369" w:type="dxa"/>
            <w:gridSpan w:val="2"/>
            <w:tcBorders>
              <w:top w:val="nil"/>
              <w:left w:val="nil"/>
              <w:bottom w:val="nil"/>
              <w:right w:val="nil"/>
            </w:tcBorders>
            <w:shd w:val="clear" w:color="auto" w:fill="auto"/>
            <w:noWrap/>
            <w:vAlign w:val="bottom"/>
          </w:tcPr>
          <w:p w:rsidR="00CA27F0" w:rsidRPr="00F70D1C" w:rsidRDefault="00CA27F0" w:rsidP="008010EB">
            <w:pPr>
              <w:widowControl/>
              <w:overflowPunct/>
              <w:autoSpaceDE/>
              <w:autoSpaceDN/>
              <w:adjustRightInd/>
              <w:jc w:val="center"/>
              <w:rPr>
                <w:rFonts w:eastAsia="Times New Roman"/>
                <w:kern w:val="0"/>
              </w:rPr>
            </w:pPr>
            <w:r w:rsidRPr="00F70D1C">
              <w:rPr>
                <w:rFonts w:eastAsia="Times New Roman"/>
                <w:kern w:val="0"/>
              </w:rPr>
              <w:t>(−11.40)</w:t>
            </w:r>
          </w:p>
        </w:tc>
        <w:tc>
          <w:tcPr>
            <w:tcW w:w="1509" w:type="dxa"/>
            <w:gridSpan w:val="2"/>
            <w:tcBorders>
              <w:top w:val="nil"/>
              <w:left w:val="nil"/>
              <w:bottom w:val="nil"/>
              <w:right w:val="nil"/>
            </w:tcBorders>
            <w:shd w:val="clear" w:color="auto" w:fill="auto"/>
            <w:noWrap/>
            <w:vAlign w:val="bottom"/>
          </w:tcPr>
          <w:p w:rsidR="00CA27F0" w:rsidRPr="00931FD3" w:rsidRDefault="00CA27F0"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9.01)</w:t>
            </w:r>
          </w:p>
        </w:tc>
        <w:tc>
          <w:tcPr>
            <w:tcW w:w="1471" w:type="dxa"/>
            <w:gridSpan w:val="2"/>
            <w:tcBorders>
              <w:top w:val="nil"/>
              <w:left w:val="nil"/>
              <w:bottom w:val="nil"/>
              <w:right w:val="nil"/>
            </w:tcBorders>
            <w:shd w:val="clear" w:color="auto" w:fill="auto"/>
            <w:noWrap/>
            <w:vAlign w:val="bottom"/>
          </w:tcPr>
          <w:p w:rsidR="00CA27F0" w:rsidRPr="00931FD3" w:rsidRDefault="00CA27F0"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8.07)</w:t>
            </w:r>
          </w:p>
        </w:tc>
        <w:tc>
          <w:tcPr>
            <w:tcW w:w="1356" w:type="dxa"/>
            <w:tcBorders>
              <w:top w:val="nil"/>
              <w:left w:val="nil"/>
              <w:bottom w:val="nil"/>
              <w:right w:val="nil"/>
            </w:tcBorders>
            <w:shd w:val="clear" w:color="auto" w:fill="auto"/>
            <w:noWrap/>
            <w:vAlign w:val="bottom"/>
          </w:tcPr>
          <w:p w:rsidR="00CA27F0" w:rsidRPr="00931FD3" w:rsidRDefault="00CA27F0"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CA27F0" w:rsidRPr="00931FD3" w:rsidRDefault="00CA27F0"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9.30)</w:t>
            </w:r>
          </w:p>
        </w:tc>
        <w:tc>
          <w:tcPr>
            <w:tcW w:w="1461" w:type="dxa"/>
            <w:tcBorders>
              <w:top w:val="nil"/>
              <w:left w:val="nil"/>
              <w:bottom w:val="nil"/>
              <w:right w:val="nil"/>
            </w:tcBorders>
            <w:shd w:val="clear" w:color="auto" w:fill="auto"/>
            <w:noWrap/>
            <w:vAlign w:val="bottom"/>
          </w:tcPr>
          <w:p w:rsidR="00CA27F0" w:rsidRPr="00931FD3" w:rsidRDefault="00CA27F0"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8.25)</w:t>
            </w:r>
          </w:p>
        </w:tc>
        <w:tc>
          <w:tcPr>
            <w:tcW w:w="1358" w:type="dxa"/>
            <w:tcBorders>
              <w:top w:val="nil"/>
              <w:left w:val="nil"/>
              <w:bottom w:val="nil"/>
              <w:right w:val="nil"/>
            </w:tcBorders>
            <w:vAlign w:val="bottom"/>
          </w:tcPr>
          <w:p w:rsidR="00CA27F0" w:rsidRPr="009B395A" w:rsidRDefault="00CA27F0" w:rsidP="008010EB">
            <w:pPr>
              <w:widowControl/>
              <w:overflowPunct/>
              <w:autoSpaceDE/>
              <w:autoSpaceDN/>
              <w:adjustRightInd/>
              <w:jc w:val="center"/>
              <w:rPr>
                <w:rFonts w:ascii="Arial" w:eastAsia="Times New Roman" w:hAnsi="Arial" w:cs="Arial"/>
                <w:kern w:val="0"/>
              </w:rPr>
            </w:pPr>
          </w:p>
        </w:tc>
      </w:tr>
      <w:tr w:rsidR="005A3BEE" w:rsidRPr="009B395A" w:rsidTr="008010EB">
        <w:trPr>
          <w:trHeight w:val="259"/>
          <w:jc w:val="center"/>
        </w:trPr>
        <w:tc>
          <w:tcPr>
            <w:tcW w:w="2015" w:type="dxa"/>
            <w:tcBorders>
              <w:top w:val="nil"/>
              <w:left w:val="nil"/>
              <w:bottom w:val="nil"/>
              <w:right w:val="nil"/>
            </w:tcBorders>
            <w:shd w:val="clear" w:color="auto" w:fill="auto"/>
            <w:noWrap/>
            <w:vAlign w:val="center"/>
            <w:hideMark/>
          </w:tcPr>
          <w:p w:rsidR="005A3BEE" w:rsidRPr="009B395A" w:rsidRDefault="005A3BEE" w:rsidP="008010EB">
            <w:pPr>
              <w:widowControl/>
              <w:overflowPunct/>
              <w:autoSpaceDE/>
              <w:autoSpaceDN/>
              <w:adjustRightInd/>
              <w:rPr>
                <w:rFonts w:eastAsia="Times New Roman"/>
                <w:i/>
                <w:iCs/>
                <w:kern w:val="0"/>
              </w:rPr>
            </w:pPr>
            <w:r w:rsidRPr="009B395A">
              <w:rPr>
                <w:rFonts w:eastAsia="Times New Roman"/>
                <w:i/>
                <w:iCs/>
                <w:kern w:val="0"/>
              </w:rPr>
              <w:t>Beta</w:t>
            </w:r>
          </w:p>
        </w:tc>
        <w:tc>
          <w:tcPr>
            <w:tcW w:w="1369" w:type="dxa"/>
            <w:gridSpan w:val="2"/>
            <w:tcBorders>
              <w:top w:val="nil"/>
              <w:left w:val="nil"/>
              <w:bottom w:val="nil"/>
              <w:right w:val="nil"/>
            </w:tcBorders>
            <w:shd w:val="clear" w:color="auto" w:fill="auto"/>
            <w:noWrap/>
            <w:vAlign w:val="bottom"/>
          </w:tcPr>
          <w:p w:rsidR="005A3BEE" w:rsidRPr="00F70D1C" w:rsidRDefault="005A3BEE" w:rsidP="008010EB">
            <w:pPr>
              <w:widowControl/>
              <w:overflowPunct/>
              <w:autoSpaceDE/>
              <w:autoSpaceDN/>
              <w:adjustRightInd/>
              <w:jc w:val="center"/>
              <w:rPr>
                <w:rFonts w:eastAsia="Times New Roman"/>
                <w:kern w:val="0"/>
              </w:rPr>
            </w:pPr>
          </w:p>
        </w:tc>
        <w:tc>
          <w:tcPr>
            <w:tcW w:w="1509" w:type="dxa"/>
            <w:gridSpan w:val="2"/>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p>
        </w:tc>
        <w:tc>
          <w:tcPr>
            <w:tcW w:w="1471" w:type="dxa"/>
            <w:gridSpan w:val="2"/>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0.024***</w:t>
            </w:r>
          </w:p>
        </w:tc>
        <w:tc>
          <w:tcPr>
            <w:tcW w:w="1356" w:type="dxa"/>
            <w:tcBorders>
              <w:top w:val="nil"/>
              <w:left w:val="nil"/>
              <w:bottom w:val="nil"/>
              <w:right w:val="nil"/>
            </w:tcBorders>
            <w:shd w:val="clear" w:color="auto" w:fill="auto"/>
            <w:noWrap/>
            <w:vAlign w:val="center"/>
          </w:tcPr>
          <w:p w:rsidR="005A3BEE" w:rsidRPr="00931FD3" w:rsidRDefault="005A3BEE"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p>
        </w:tc>
        <w:tc>
          <w:tcPr>
            <w:tcW w:w="1461" w:type="dxa"/>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0.024***</w:t>
            </w:r>
          </w:p>
        </w:tc>
        <w:tc>
          <w:tcPr>
            <w:tcW w:w="1358" w:type="dxa"/>
            <w:tcBorders>
              <w:top w:val="nil"/>
              <w:left w:val="nil"/>
              <w:bottom w:val="nil"/>
              <w:right w:val="nil"/>
            </w:tcBorders>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r>
      <w:tr w:rsidR="005A3BEE" w:rsidRPr="009B395A" w:rsidTr="008010EB">
        <w:trPr>
          <w:trHeight w:val="117"/>
          <w:jc w:val="center"/>
        </w:trPr>
        <w:tc>
          <w:tcPr>
            <w:tcW w:w="2015" w:type="dxa"/>
            <w:tcBorders>
              <w:top w:val="nil"/>
              <w:left w:val="nil"/>
              <w:bottom w:val="nil"/>
              <w:right w:val="nil"/>
            </w:tcBorders>
            <w:shd w:val="clear" w:color="auto" w:fill="auto"/>
            <w:noWrap/>
            <w:vAlign w:val="bottom"/>
            <w:hideMark/>
          </w:tcPr>
          <w:p w:rsidR="005A3BEE" w:rsidRPr="009B395A" w:rsidRDefault="005A3BEE" w:rsidP="008010EB">
            <w:pPr>
              <w:widowControl/>
              <w:overflowPunct/>
              <w:autoSpaceDE/>
              <w:autoSpaceDN/>
              <w:adjustRightInd/>
              <w:rPr>
                <w:rFonts w:ascii="Calibri" w:eastAsia="Times New Roman" w:hAnsi="Calibri" w:cs="Arial"/>
                <w:kern w:val="0"/>
              </w:rPr>
            </w:pPr>
          </w:p>
        </w:tc>
        <w:tc>
          <w:tcPr>
            <w:tcW w:w="1369" w:type="dxa"/>
            <w:gridSpan w:val="2"/>
            <w:tcBorders>
              <w:top w:val="nil"/>
              <w:left w:val="nil"/>
              <w:bottom w:val="nil"/>
              <w:right w:val="nil"/>
            </w:tcBorders>
            <w:shd w:val="clear" w:color="auto" w:fill="auto"/>
            <w:noWrap/>
            <w:vAlign w:val="bottom"/>
          </w:tcPr>
          <w:p w:rsidR="005A3BEE" w:rsidRPr="00F70D1C" w:rsidRDefault="005A3BEE" w:rsidP="008010EB">
            <w:pPr>
              <w:widowControl/>
              <w:overflowPunct/>
              <w:autoSpaceDE/>
              <w:autoSpaceDN/>
              <w:adjustRightInd/>
              <w:jc w:val="center"/>
              <w:rPr>
                <w:rFonts w:eastAsia="Times New Roman"/>
                <w:kern w:val="0"/>
              </w:rPr>
            </w:pPr>
          </w:p>
        </w:tc>
        <w:tc>
          <w:tcPr>
            <w:tcW w:w="1509" w:type="dxa"/>
            <w:gridSpan w:val="2"/>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p>
        </w:tc>
        <w:tc>
          <w:tcPr>
            <w:tcW w:w="1471" w:type="dxa"/>
            <w:gridSpan w:val="2"/>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(13.56)</w:t>
            </w:r>
          </w:p>
        </w:tc>
        <w:tc>
          <w:tcPr>
            <w:tcW w:w="1356" w:type="dxa"/>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p>
        </w:tc>
        <w:tc>
          <w:tcPr>
            <w:tcW w:w="1461" w:type="dxa"/>
            <w:tcBorders>
              <w:top w:val="nil"/>
              <w:left w:val="nil"/>
              <w:bottom w:val="nil"/>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(13.57)</w:t>
            </w:r>
          </w:p>
        </w:tc>
        <w:tc>
          <w:tcPr>
            <w:tcW w:w="1358" w:type="dxa"/>
            <w:tcBorders>
              <w:top w:val="nil"/>
              <w:left w:val="nil"/>
              <w:bottom w:val="nil"/>
              <w:right w:val="nil"/>
            </w:tcBorders>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Lev</w:t>
            </w: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0.040***</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0.041***</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0.050***</w:t>
            </w:r>
          </w:p>
        </w:tc>
        <w:tc>
          <w:tcPr>
            <w:tcW w:w="1356" w:type="dxa"/>
            <w:tcBorders>
              <w:top w:val="nil"/>
              <w:left w:val="nil"/>
              <w:bottom w:val="nil"/>
              <w:right w:val="nil"/>
            </w:tcBorders>
            <w:shd w:val="clear" w:color="auto" w:fill="auto"/>
            <w:noWrap/>
            <w:vAlign w:val="center"/>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0.041***</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0.049***</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(8.58)</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(8.98)</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(10.77)</w:t>
            </w: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(8.92)</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(10.71)</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LnMV</w:t>
            </w: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Pr>
                <w:rFonts w:eastAsia="Times New Roman"/>
                <w:kern w:val="0"/>
              </w:rPr>
              <w:t>−</w:t>
            </w:r>
            <w:r w:rsidRPr="00F70D1C">
              <w:rPr>
                <w:rFonts w:eastAsia="Times New Roman"/>
                <w:kern w:val="0"/>
              </w:rPr>
              <w:t>0.011***</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0.011***</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0.013***</w:t>
            </w:r>
          </w:p>
        </w:tc>
        <w:tc>
          <w:tcPr>
            <w:tcW w:w="1356" w:type="dxa"/>
            <w:tcBorders>
              <w:top w:val="nil"/>
              <w:left w:val="nil"/>
              <w:bottom w:val="nil"/>
              <w:right w:val="nil"/>
            </w:tcBorders>
            <w:shd w:val="clear" w:color="auto" w:fill="auto"/>
            <w:noWrap/>
            <w:vAlign w:val="center"/>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0.011***</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0.013***</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w:t>
            </w:r>
            <w:r>
              <w:rPr>
                <w:rFonts w:eastAsia="Times New Roman"/>
                <w:kern w:val="0"/>
              </w:rPr>
              <w:t>−</w:t>
            </w:r>
            <w:r w:rsidRPr="00F70D1C">
              <w:rPr>
                <w:rFonts w:eastAsia="Times New Roman"/>
                <w:kern w:val="0"/>
              </w:rPr>
              <w:t>19.69)</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19.82)</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22.15)</w:t>
            </w: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19.84)</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22.15)</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STD_CFO</w:t>
            </w: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0.334***</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0.333***</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0.300***</w:t>
            </w:r>
          </w:p>
        </w:tc>
        <w:tc>
          <w:tcPr>
            <w:tcW w:w="1356" w:type="dxa"/>
            <w:tcBorders>
              <w:top w:val="nil"/>
              <w:left w:val="nil"/>
              <w:bottom w:val="nil"/>
              <w:right w:val="nil"/>
            </w:tcBorders>
            <w:shd w:val="clear" w:color="auto" w:fill="auto"/>
            <w:noWrap/>
            <w:vAlign w:val="center"/>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0.334***</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0.300***</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(13.85)</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(13.83)</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(12.54)</w:t>
            </w: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(13.87)</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(12.56)</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CFO</w:t>
            </w: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Pr>
                <w:rFonts w:eastAsia="Times New Roman"/>
                <w:kern w:val="0"/>
              </w:rPr>
              <w:t>−</w:t>
            </w:r>
            <w:r w:rsidRPr="00F70D1C">
              <w:rPr>
                <w:rFonts w:eastAsia="Times New Roman"/>
                <w:kern w:val="0"/>
              </w:rPr>
              <w:t>0.189***</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0.188***</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0.184***</w:t>
            </w:r>
          </w:p>
        </w:tc>
        <w:tc>
          <w:tcPr>
            <w:tcW w:w="1356" w:type="dxa"/>
            <w:tcBorders>
              <w:top w:val="nil"/>
              <w:left w:val="nil"/>
              <w:bottom w:val="nil"/>
              <w:right w:val="nil"/>
            </w:tcBorders>
            <w:shd w:val="clear" w:color="auto" w:fill="auto"/>
            <w:noWrap/>
            <w:vAlign w:val="center"/>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0.188***</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0.184***</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w:t>
            </w:r>
            <w:r>
              <w:rPr>
                <w:rFonts w:eastAsia="Times New Roman"/>
                <w:kern w:val="0"/>
              </w:rPr>
              <w:t>−</w:t>
            </w:r>
            <w:r w:rsidRPr="00F70D1C">
              <w:rPr>
                <w:rFonts w:eastAsia="Times New Roman"/>
                <w:kern w:val="0"/>
              </w:rPr>
              <w:t>20.73)</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20.54)</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20.01)</w:t>
            </w: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20.56)</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20.01)</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BM</w:t>
            </w: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0.017***</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0.017***</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0.017***</w:t>
            </w:r>
          </w:p>
        </w:tc>
        <w:tc>
          <w:tcPr>
            <w:tcW w:w="1356" w:type="dxa"/>
            <w:tcBorders>
              <w:top w:val="nil"/>
              <w:left w:val="nil"/>
              <w:bottom w:val="nil"/>
              <w:right w:val="nil"/>
            </w:tcBorders>
            <w:shd w:val="clear" w:color="auto" w:fill="auto"/>
            <w:noWrap/>
            <w:vAlign w:val="center"/>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0.017***</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0.017***</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(12.94)</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(13.13)</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(13.01)</w:t>
            </w: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(13.07)</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(12.96)</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kern w:val="0"/>
              </w:rPr>
            </w:pPr>
            <w:r w:rsidRPr="009B395A">
              <w:rPr>
                <w:rFonts w:eastAsia="Times New Roman"/>
                <w:kern w:val="0"/>
              </w:rPr>
              <w:t>Intercept</w:t>
            </w: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0.197***</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0.196***</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0.178***</w:t>
            </w:r>
          </w:p>
        </w:tc>
        <w:tc>
          <w:tcPr>
            <w:tcW w:w="1356" w:type="dxa"/>
            <w:tcBorders>
              <w:top w:val="nil"/>
              <w:left w:val="nil"/>
              <w:bottom w:val="nil"/>
              <w:right w:val="nil"/>
            </w:tcBorders>
            <w:shd w:val="clear" w:color="auto" w:fill="auto"/>
            <w:noWrap/>
            <w:vAlign w:val="center"/>
          </w:tcPr>
          <w:p w:rsidR="00F70D1C" w:rsidRPr="009B395A"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0.196***</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0.178***</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75"/>
          <w:jc w:val="center"/>
        </w:trPr>
        <w:tc>
          <w:tcPr>
            <w:tcW w:w="2015"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kern w:val="0"/>
              </w:rPr>
            </w:pPr>
          </w:p>
        </w:tc>
        <w:tc>
          <w:tcPr>
            <w:tcW w:w="1369"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(43.15)</w:t>
            </w:r>
          </w:p>
        </w:tc>
        <w:tc>
          <w:tcPr>
            <w:tcW w:w="1509"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(42.69)</w:t>
            </w:r>
          </w:p>
        </w:tc>
        <w:tc>
          <w:tcPr>
            <w:tcW w:w="1471" w:type="dxa"/>
            <w:gridSpan w:val="2"/>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(36.50)</w:t>
            </w:r>
          </w:p>
        </w:tc>
        <w:tc>
          <w:tcPr>
            <w:tcW w:w="1356" w:type="dxa"/>
            <w:tcBorders>
              <w:top w:val="nil"/>
              <w:left w:val="nil"/>
              <w:bottom w:val="nil"/>
              <w:right w:val="nil"/>
            </w:tcBorders>
            <w:shd w:val="clear" w:color="auto" w:fill="auto"/>
            <w:noWrap/>
            <w:vAlign w:val="center"/>
          </w:tcPr>
          <w:p w:rsidR="00F70D1C" w:rsidRPr="009B395A" w:rsidRDefault="00F70D1C" w:rsidP="008010EB">
            <w:pPr>
              <w:widowControl/>
              <w:overflowPunct/>
              <w:autoSpaceDE/>
              <w:autoSpaceDN/>
              <w:adjustRightInd/>
              <w:jc w:val="center"/>
              <w:rPr>
                <w:rFonts w:eastAsia="Times New Roman"/>
                <w:kern w:val="0"/>
              </w:rPr>
            </w:pPr>
          </w:p>
        </w:tc>
        <w:tc>
          <w:tcPr>
            <w:tcW w:w="1356"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(42.44)</w:t>
            </w:r>
          </w:p>
        </w:tc>
        <w:tc>
          <w:tcPr>
            <w:tcW w:w="1461" w:type="dxa"/>
            <w:tcBorders>
              <w:top w:val="nil"/>
              <w:left w:val="nil"/>
              <w:bottom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(36.35)</w:t>
            </w:r>
          </w:p>
        </w:tc>
        <w:tc>
          <w:tcPr>
            <w:tcW w:w="1358" w:type="dxa"/>
            <w:tcBorders>
              <w:top w:val="nil"/>
              <w:left w:val="nil"/>
              <w:bottom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F70D1C" w:rsidRPr="009B395A" w:rsidTr="008010EB">
        <w:trPr>
          <w:trHeight w:val="259"/>
          <w:jc w:val="center"/>
        </w:trPr>
        <w:tc>
          <w:tcPr>
            <w:tcW w:w="2015" w:type="dxa"/>
            <w:tcBorders>
              <w:top w:val="nil"/>
              <w:left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kern w:val="0"/>
              </w:rPr>
            </w:pPr>
            <w:r w:rsidRPr="009B395A">
              <w:rPr>
                <w:rFonts w:eastAsia="Times New Roman"/>
                <w:kern w:val="0"/>
              </w:rPr>
              <w:t>R</w:t>
            </w:r>
            <w:r>
              <w:rPr>
                <w:rFonts w:eastAsia="Times New Roman"/>
                <w:kern w:val="0"/>
              </w:rPr>
              <w:t>-</w:t>
            </w:r>
            <w:r w:rsidRPr="009B395A">
              <w:rPr>
                <w:rFonts w:eastAsia="Times New Roman"/>
                <w:kern w:val="0"/>
              </w:rPr>
              <w:t>squared</w:t>
            </w:r>
          </w:p>
        </w:tc>
        <w:tc>
          <w:tcPr>
            <w:tcW w:w="1369" w:type="dxa"/>
            <w:gridSpan w:val="2"/>
            <w:tcBorders>
              <w:top w:val="nil"/>
              <w:left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0.2547</w:t>
            </w:r>
          </w:p>
        </w:tc>
        <w:tc>
          <w:tcPr>
            <w:tcW w:w="1509" w:type="dxa"/>
            <w:gridSpan w:val="2"/>
            <w:tcBorders>
              <w:top w:val="nil"/>
              <w:left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0.2552</w:t>
            </w:r>
          </w:p>
        </w:tc>
        <w:tc>
          <w:tcPr>
            <w:tcW w:w="1471" w:type="dxa"/>
            <w:gridSpan w:val="2"/>
            <w:tcBorders>
              <w:top w:val="nil"/>
              <w:left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0.2709</w:t>
            </w:r>
          </w:p>
        </w:tc>
        <w:tc>
          <w:tcPr>
            <w:tcW w:w="1356" w:type="dxa"/>
            <w:tcBorders>
              <w:top w:val="nil"/>
              <w:left w:val="nil"/>
              <w:right w:val="nil"/>
            </w:tcBorders>
            <w:shd w:val="clear" w:color="auto" w:fill="auto"/>
            <w:noWrap/>
            <w:vAlign w:val="center"/>
          </w:tcPr>
          <w:p w:rsidR="00F70D1C" w:rsidRPr="009B395A" w:rsidRDefault="00F70D1C" w:rsidP="008010EB">
            <w:pPr>
              <w:widowControl/>
              <w:overflowPunct/>
              <w:autoSpaceDE/>
              <w:autoSpaceDN/>
              <w:adjustRightInd/>
              <w:jc w:val="center"/>
              <w:rPr>
                <w:rFonts w:eastAsia="Times New Roman"/>
                <w:kern w:val="0"/>
              </w:rPr>
            </w:pPr>
          </w:p>
        </w:tc>
        <w:tc>
          <w:tcPr>
            <w:tcW w:w="1356" w:type="dxa"/>
            <w:tcBorders>
              <w:top w:val="nil"/>
              <w:left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0.2552</w:t>
            </w:r>
          </w:p>
        </w:tc>
        <w:tc>
          <w:tcPr>
            <w:tcW w:w="1461" w:type="dxa"/>
            <w:tcBorders>
              <w:top w:val="nil"/>
              <w:left w:val="nil"/>
              <w:right w:val="nil"/>
            </w:tcBorders>
            <w:shd w:val="clear" w:color="auto" w:fill="auto"/>
            <w:noWrap/>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0.2709</w:t>
            </w:r>
          </w:p>
        </w:tc>
        <w:tc>
          <w:tcPr>
            <w:tcW w:w="1358" w:type="dxa"/>
            <w:tcBorders>
              <w:top w:val="nil"/>
              <w:left w:val="nil"/>
              <w:right w:val="nil"/>
            </w:tcBorders>
            <w:vAlign w:val="bottom"/>
          </w:tcPr>
          <w:p w:rsidR="00F70D1C" w:rsidRPr="009B395A" w:rsidRDefault="00F70D1C" w:rsidP="008010EB">
            <w:pPr>
              <w:widowControl/>
              <w:overflowPunct/>
              <w:autoSpaceDE/>
              <w:autoSpaceDN/>
              <w:adjustRightInd/>
              <w:jc w:val="center"/>
              <w:rPr>
                <w:rFonts w:ascii="Arial" w:eastAsia="Times New Roman" w:hAnsi="Arial" w:cs="Arial"/>
                <w:kern w:val="0"/>
              </w:rPr>
            </w:pPr>
          </w:p>
        </w:tc>
      </w:tr>
      <w:tr w:rsidR="005A3BEE" w:rsidRPr="009B395A" w:rsidTr="008010EB">
        <w:trPr>
          <w:trHeight w:val="259"/>
          <w:jc w:val="center"/>
        </w:trPr>
        <w:tc>
          <w:tcPr>
            <w:tcW w:w="2015" w:type="dxa"/>
            <w:tcBorders>
              <w:top w:val="nil"/>
              <w:left w:val="nil"/>
              <w:bottom w:val="single" w:sz="4" w:space="0" w:color="auto"/>
              <w:right w:val="nil"/>
            </w:tcBorders>
            <w:shd w:val="clear" w:color="auto" w:fill="auto"/>
            <w:noWrap/>
            <w:vAlign w:val="center"/>
            <w:hideMark/>
          </w:tcPr>
          <w:p w:rsidR="005A3BEE" w:rsidRPr="009B395A" w:rsidRDefault="005A3BEE" w:rsidP="008010EB">
            <w:pPr>
              <w:widowControl/>
              <w:overflowPunct/>
              <w:autoSpaceDE/>
              <w:autoSpaceDN/>
              <w:adjustRightInd/>
              <w:rPr>
                <w:rFonts w:eastAsia="Times New Roman"/>
                <w:kern w:val="0"/>
              </w:rPr>
            </w:pPr>
            <w:r w:rsidRPr="009B395A">
              <w:rPr>
                <w:rFonts w:eastAsia="Times New Roman"/>
                <w:kern w:val="0"/>
              </w:rPr>
              <w:t>N</w:t>
            </w:r>
          </w:p>
        </w:tc>
        <w:tc>
          <w:tcPr>
            <w:tcW w:w="1369" w:type="dxa"/>
            <w:gridSpan w:val="2"/>
            <w:tcBorders>
              <w:top w:val="nil"/>
              <w:left w:val="nil"/>
              <w:bottom w:val="single" w:sz="4" w:space="0" w:color="auto"/>
              <w:right w:val="nil"/>
            </w:tcBorders>
            <w:shd w:val="clear" w:color="auto" w:fill="auto"/>
            <w:noWrap/>
            <w:vAlign w:val="bottom"/>
          </w:tcPr>
          <w:p w:rsidR="005A3BEE" w:rsidRPr="00F70D1C" w:rsidRDefault="005A3BEE" w:rsidP="008010EB">
            <w:pPr>
              <w:widowControl/>
              <w:overflowPunct/>
              <w:autoSpaceDE/>
              <w:autoSpaceDN/>
              <w:adjustRightInd/>
              <w:jc w:val="center"/>
              <w:rPr>
                <w:rFonts w:eastAsia="Times New Roman"/>
                <w:kern w:val="0"/>
              </w:rPr>
            </w:pPr>
            <w:r w:rsidRPr="00F70D1C">
              <w:rPr>
                <w:rFonts w:eastAsia="Times New Roman"/>
                <w:kern w:val="0"/>
              </w:rPr>
              <w:t>23,017</w:t>
            </w:r>
          </w:p>
        </w:tc>
        <w:tc>
          <w:tcPr>
            <w:tcW w:w="1509" w:type="dxa"/>
            <w:gridSpan w:val="2"/>
            <w:tcBorders>
              <w:top w:val="nil"/>
              <w:left w:val="nil"/>
              <w:bottom w:val="single" w:sz="4" w:space="0" w:color="auto"/>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23,017</w:t>
            </w:r>
          </w:p>
        </w:tc>
        <w:tc>
          <w:tcPr>
            <w:tcW w:w="1471" w:type="dxa"/>
            <w:gridSpan w:val="2"/>
            <w:tcBorders>
              <w:top w:val="nil"/>
              <w:left w:val="nil"/>
              <w:bottom w:val="single" w:sz="4" w:space="0" w:color="auto"/>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23,017</w:t>
            </w:r>
          </w:p>
        </w:tc>
        <w:tc>
          <w:tcPr>
            <w:tcW w:w="1356" w:type="dxa"/>
            <w:tcBorders>
              <w:top w:val="nil"/>
              <w:left w:val="nil"/>
              <w:bottom w:val="single" w:sz="4" w:space="0" w:color="auto"/>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1356" w:type="dxa"/>
            <w:tcBorders>
              <w:top w:val="nil"/>
              <w:left w:val="nil"/>
              <w:bottom w:val="single" w:sz="4" w:space="0" w:color="auto"/>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23,017</w:t>
            </w:r>
          </w:p>
        </w:tc>
        <w:tc>
          <w:tcPr>
            <w:tcW w:w="1461" w:type="dxa"/>
            <w:tcBorders>
              <w:top w:val="nil"/>
              <w:left w:val="nil"/>
              <w:bottom w:val="single" w:sz="4" w:space="0" w:color="auto"/>
              <w:right w:val="nil"/>
            </w:tcBorders>
            <w:shd w:val="clear" w:color="auto" w:fill="auto"/>
            <w:noWrap/>
            <w:vAlign w:val="bottom"/>
          </w:tcPr>
          <w:p w:rsidR="005A3BEE" w:rsidRPr="00931FD3" w:rsidRDefault="005A3BEE" w:rsidP="008010EB">
            <w:pPr>
              <w:widowControl/>
              <w:overflowPunct/>
              <w:autoSpaceDE/>
              <w:autoSpaceDN/>
              <w:adjustRightInd/>
              <w:jc w:val="center"/>
              <w:rPr>
                <w:rFonts w:eastAsia="Times New Roman"/>
                <w:kern w:val="0"/>
              </w:rPr>
            </w:pPr>
            <w:r w:rsidRPr="00931FD3">
              <w:rPr>
                <w:rFonts w:eastAsia="Times New Roman"/>
                <w:kern w:val="0"/>
              </w:rPr>
              <w:t>23,017</w:t>
            </w:r>
          </w:p>
        </w:tc>
        <w:tc>
          <w:tcPr>
            <w:tcW w:w="1358" w:type="dxa"/>
            <w:tcBorders>
              <w:top w:val="nil"/>
              <w:left w:val="nil"/>
              <w:bottom w:val="single" w:sz="4" w:space="0" w:color="auto"/>
              <w:right w:val="nil"/>
            </w:tcBorders>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r>
      <w:tr w:rsidR="005A3BEE" w:rsidRPr="009B395A" w:rsidTr="008010EB">
        <w:trPr>
          <w:trHeight w:val="259"/>
          <w:jc w:val="center"/>
        </w:trPr>
        <w:tc>
          <w:tcPr>
            <w:tcW w:w="10537" w:type="dxa"/>
            <w:gridSpan w:val="10"/>
            <w:tcBorders>
              <w:top w:val="single" w:sz="4" w:space="0" w:color="auto"/>
              <w:left w:val="nil"/>
              <w:right w:val="nil"/>
            </w:tcBorders>
            <w:shd w:val="clear" w:color="auto" w:fill="auto"/>
            <w:noWrap/>
            <w:vAlign w:val="center"/>
          </w:tcPr>
          <w:p w:rsidR="005A3BEE" w:rsidRPr="009B395A" w:rsidRDefault="005A3BEE" w:rsidP="008010EB">
            <w:pPr>
              <w:widowControl/>
              <w:overflowPunct/>
              <w:autoSpaceDE/>
              <w:autoSpaceDN/>
              <w:adjustRightInd/>
              <w:rPr>
                <w:rFonts w:ascii="Arial" w:eastAsia="Times New Roman" w:hAnsi="Arial" w:cs="Arial"/>
                <w:kern w:val="0"/>
              </w:rPr>
            </w:pPr>
            <w:r w:rsidRPr="00E80B95">
              <w:rPr>
                <w:rFonts w:eastAsia="Times New Roman"/>
                <w:b/>
                <w:bCs/>
              </w:rPr>
              <w:t xml:space="preserve">Panel </w:t>
            </w:r>
            <w:r>
              <w:rPr>
                <w:rFonts w:eastAsia="Times New Roman"/>
                <w:b/>
                <w:bCs/>
              </w:rPr>
              <w:t>B: Testing the moderating effect of Beta using path analyses</w:t>
            </w:r>
          </w:p>
        </w:tc>
        <w:tc>
          <w:tcPr>
            <w:tcW w:w="1358" w:type="dxa"/>
            <w:tcBorders>
              <w:top w:val="single" w:sz="4" w:space="0" w:color="auto"/>
              <w:left w:val="nil"/>
              <w:right w:val="nil"/>
            </w:tcBorders>
          </w:tcPr>
          <w:p w:rsidR="005A3BEE" w:rsidRPr="00E80B95" w:rsidRDefault="005A3BEE" w:rsidP="008010EB">
            <w:pPr>
              <w:widowControl/>
              <w:overflowPunct/>
              <w:autoSpaceDE/>
              <w:autoSpaceDN/>
              <w:adjustRightInd/>
              <w:jc w:val="center"/>
              <w:rPr>
                <w:rFonts w:eastAsia="Times New Roman"/>
                <w:b/>
                <w:bCs/>
              </w:rPr>
            </w:pPr>
          </w:p>
        </w:tc>
      </w:tr>
      <w:tr w:rsidR="005A3BEE" w:rsidRPr="009B395A" w:rsidTr="00167C9E">
        <w:trPr>
          <w:trHeight w:val="259"/>
          <w:jc w:val="center"/>
        </w:trPr>
        <w:tc>
          <w:tcPr>
            <w:tcW w:w="2798" w:type="dxa"/>
            <w:gridSpan w:val="2"/>
            <w:tcBorders>
              <w:top w:val="nil"/>
              <w:left w:val="nil"/>
              <w:bottom w:val="single" w:sz="4" w:space="0" w:color="auto"/>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1170"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r>
              <w:rPr>
                <w:kern w:val="0"/>
                <w:lang w:eastAsia="en-US"/>
              </w:rPr>
              <w:t>Effect</w:t>
            </w:r>
          </w:p>
        </w:tc>
        <w:tc>
          <w:tcPr>
            <w:tcW w:w="1440"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r w:rsidRPr="00D90FB0">
              <w:t>t</w:t>
            </w:r>
            <w:r>
              <w:t>-</w:t>
            </w:r>
            <w:r w:rsidRPr="00D90FB0">
              <w:t>statistics</w:t>
            </w:r>
          </w:p>
        </w:tc>
        <w:tc>
          <w:tcPr>
            <w:tcW w:w="956" w:type="dxa"/>
            <w:tcBorders>
              <w:top w:val="nil"/>
              <w:left w:val="nil"/>
              <w:bottom w:val="single" w:sz="4" w:space="0" w:color="auto"/>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1356"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356"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461"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358" w:type="dxa"/>
            <w:tcBorders>
              <w:top w:val="nil"/>
              <w:left w:val="nil"/>
              <w:bottom w:val="single" w:sz="4" w:space="0" w:color="auto"/>
              <w:right w:val="nil"/>
            </w:tcBorders>
          </w:tcPr>
          <w:p w:rsidR="005A3BEE" w:rsidRPr="009B395A" w:rsidRDefault="005A3BEE" w:rsidP="008010EB">
            <w:pPr>
              <w:widowControl/>
              <w:overflowPunct/>
              <w:autoSpaceDE/>
              <w:autoSpaceDN/>
              <w:adjustRightInd/>
              <w:jc w:val="center"/>
              <w:rPr>
                <w:rFonts w:ascii="Arial" w:eastAsia="Times New Roman" w:hAnsi="Arial" w:cs="Arial"/>
                <w:kern w:val="0"/>
              </w:rPr>
            </w:pPr>
          </w:p>
        </w:tc>
      </w:tr>
      <w:tr w:rsidR="005A3BEE" w:rsidRPr="009B395A" w:rsidTr="00167C9E">
        <w:trPr>
          <w:trHeight w:val="259"/>
          <w:jc w:val="center"/>
        </w:trPr>
        <w:tc>
          <w:tcPr>
            <w:tcW w:w="2798" w:type="dxa"/>
            <w:gridSpan w:val="2"/>
            <w:tcBorders>
              <w:top w:val="single" w:sz="4" w:space="0" w:color="auto"/>
              <w:left w:val="nil"/>
              <w:bottom w:val="nil"/>
              <w:right w:val="nil"/>
            </w:tcBorders>
            <w:shd w:val="clear" w:color="auto" w:fill="auto"/>
            <w:noWrap/>
            <w:vAlign w:val="bottom"/>
          </w:tcPr>
          <w:p w:rsidR="005A3BEE" w:rsidRPr="009B395A" w:rsidRDefault="00167C9E" w:rsidP="008010EB">
            <w:pPr>
              <w:widowControl/>
              <w:overflowPunct/>
              <w:autoSpaceDE/>
              <w:autoSpaceDN/>
              <w:adjustRightInd/>
              <w:rPr>
                <w:rFonts w:eastAsia="Times New Roman"/>
                <w:kern w:val="0"/>
              </w:rPr>
            </w:pPr>
            <w:r w:rsidRPr="009B395A">
              <w:rPr>
                <w:rFonts w:eastAsia="Times New Roman"/>
                <w:i/>
                <w:iCs/>
                <w:kern w:val="0"/>
              </w:rPr>
              <w:t>H_</w:t>
            </w:r>
            <w:r w:rsidR="005A3BEE" w:rsidRPr="00D90FB0">
              <w:rPr>
                <w:rFonts w:eastAsia="Times New Roman"/>
                <w:i/>
              </w:rPr>
              <w:t>P_EQew</w:t>
            </w:r>
            <w:r w:rsidR="005A3BEE" w:rsidRPr="0012580D">
              <w:rPr>
                <w:rFonts w:eastAsia="Times New Roman"/>
                <w:i/>
              </w:rPr>
              <w:t xml:space="preserve"> </w:t>
            </w:r>
            <w:r w:rsidR="005A3BEE" w:rsidRPr="0012580D">
              <w:rPr>
                <w:rFonts w:eastAsia="Times New Roman"/>
                <w:i/>
              </w:rPr>
              <w:sym w:font="Wingdings" w:char="F0E0"/>
            </w:r>
            <w:r w:rsidR="005A3BEE">
              <w:rPr>
                <w:rFonts w:eastAsia="Times New Roman"/>
                <w:i/>
              </w:rPr>
              <w:t xml:space="preserve"> Beta </w:t>
            </w:r>
            <w:r w:rsidR="005A3BEE" w:rsidRPr="0012580D">
              <w:rPr>
                <w:rFonts w:eastAsia="Times New Roman"/>
                <w:i/>
              </w:rPr>
              <w:sym w:font="Wingdings" w:char="F0E0"/>
            </w:r>
            <w:r w:rsidR="005A3BEE" w:rsidRPr="00D90FB0">
              <w:rPr>
                <w:rFonts w:eastAsia="Times New Roman"/>
                <w:bCs/>
                <w:i/>
              </w:rPr>
              <w:t xml:space="preserve"> ICoE</w:t>
            </w:r>
          </w:p>
        </w:tc>
        <w:tc>
          <w:tcPr>
            <w:tcW w:w="1170" w:type="dxa"/>
            <w:gridSpan w:val="2"/>
            <w:tcBorders>
              <w:top w:val="single" w:sz="4" w:space="0" w:color="auto"/>
              <w:left w:val="nil"/>
              <w:bottom w:val="nil"/>
              <w:right w:val="nil"/>
            </w:tcBorders>
            <w:shd w:val="clear" w:color="auto" w:fill="auto"/>
            <w:noWrap/>
            <w:vAlign w:val="bottom"/>
          </w:tcPr>
          <w:p w:rsidR="005A3BEE" w:rsidRPr="00931FD3" w:rsidRDefault="005A3BEE" w:rsidP="00167C9E">
            <w:pPr>
              <w:widowControl/>
              <w:overflowPunct/>
              <w:autoSpaceDE/>
              <w:autoSpaceDN/>
              <w:adjustRightInd/>
              <w:jc w:val="center"/>
              <w:rPr>
                <w:rFonts w:eastAsia="Times New Roman"/>
                <w:kern w:val="0"/>
              </w:rPr>
            </w:pPr>
            <w:r>
              <w:rPr>
                <w:rFonts w:eastAsia="Times New Roman"/>
                <w:kern w:val="0"/>
              </w:rPr>
              <w:t>−0.01</w:t>
            </w:r>
            <w:r w:rsidR="00167C9E">
              <w:rPr>
                <w:rFonts w:eastAsia="Times New Roman"/>
                <w:kern w:val="0"/>
              </w:rPr>
              <w:t>8</w:t>
            </w:r>
          </w:p>
        </w:tc>
        <w:tc>
          <w:tcPr>
            <w:tcW w:w="1440" w:type="dxa"/>
            <w:gridSpan w:val="2"/>
            <w:tcBorders>
              <w:top w:val="single" w:sz="4" w:space="0" w:color="auto"/>
              <w:left w:val="nil"/>
              <w:bottom w:val="nil"/>
              <w:right w:val="nil"/>
            </w:tcBorders>
            <w:shd w:val="clear" w:color="auto" w:fill="auto"/>
            <w:noWrap/>
            <w:vAlign w:val="bottom"/>
          </w:tcPr>
          <w:p w:rsidR="005A3BEE" w:rsidRPr="00931FD3" w:rsidRDefault="005A3BEE" w:rsidP="00167C9E">
            <w:pPr>
              <w:widowControl/>
              <w:overflowPunct/>
              <w:autoSpaceDE/>
              <w:autoSpaceDN/>
              <w:adjustRightInd/>
              <w:jc w:val="center"/>
              <w:rPr>
                <w:rFonts w:eastAsia="Times New Roman"/>
                <w:kern w:val="0"/>
              </w:rPr>
            </w:pPr>
            <w:r>
              <w:rPr>
                <w:rFonts w:eastAsia="Times New Roman"/>
                <w:kern w:val="0"/>
              </w:rPr>
              <w:t>−</w:t>
            </w:r>
            <w:r w:rsidR="00167C9E">
              <w:rPr>
                <w:rFonts w:eastAsia="Times New Roman"/>
                <w:kern w:val="0"/>
              </w:rPr>
              <w:t>13.94</w:t>
            </w:r>
            <w:r w:rsidRPr="00064CC9">
              <w:rPr>
                <w:rFonts w:eastAsia="Times New Roman"/>
                <w:kern w:val="0"/>
              </w:rPr>
              <w:t>***</w:t>
            </w:r>
          </w:p>
        </w:tc>
        <w:tc>
          <w:tcPr>
            <w:tcW w:w="956" w:type="dxa"/>
            <w:tcBorders>
              <w:top w:val="single" w:sz="4" w:space="0" w:color="auto"/>
              <w:left w:val="nil"/>
              <w:bottom w:val="nil"/>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1356" w:type="dxa"/>
            <w:tcBorders>
              <w:top w:val="single" w:sz="4" w:space="0" w:color="auto"/>
              <w:left w:val="nil"/>
              <w:bottom w:val="nil"/>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356" w:type="dxa"/>
            <w:tcBorders>
              <w:top w:val="single" w:sz="4" w:space="0" w:color="auto"/>
              <w:left w:val="nil"/>
              <w:bottom w:val="nil"/>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461" w:type="dxa"/>
            <w:tcBorders>
              <w:top w:val="single" w:sz="4" w:space="0" w:color="auto"/>
              <w:left w:val="nil"/>
              <w:bottom w:val="nil"/>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358" w:type="dxa"/>
            <w:tcBorders>
              <w:top w:val="single" w:sz="4" w:space="0" w:color="auto"/>
              <w:left w:val="nil"/>
              <w:bottom w:val="nil"/>
              <w:right w:val="nil"/>
            </w:tcBorders>
          </w:tcPr>
          <w:p w:rsidR="005A3BEE" w:rsidRPr="009B395A" w:rsidRDefault="005A3BEE" w:rsidP="008010EB">
            <w:pPr>
              <w:widowControl/>
              <w:overflowPunct/>
              <w:autoSpaceDE/>
              <w:autoSpaceDN/>
              <w:adjustRightInd/>
              <w:jc w:val="center"/>
              <w:rPr>
                <w:rFonts w:ascii="Arial" w:eastAsia="Times New Roman" w:hAnsi="Arial" w:cs="Arial"/>
                <w:kern w:val="0"/>
              </w:rPr>
            </w:pPr>
          </w:p>
        </w:tc>
      </w:tr>
      <w:tr w:rsidR="005A3BEE" w:rsidRPr="009B395A" w:rsidTr="00167C9E">
        <w:trPr>
          <w:trHeight w:val="259"/>
          <w:jc w:val="center"/>
        </w:trPr>
        <w:tc>
          <w:tcPr>
            <w:tcW w:w="2798" w:type="dxa"/>
            <w:gridSpan w:val="2"/>
            <w:tcBorders>
              <w:top w:val="nil"/>
              <w:left w:val="nil"/>
              <w:bottom w:val="single" w:sz="4" w:space="0" w:color="auto"/>
              <w:right w:val="nil"/>
            </w:tcBorders>
            <w:shd w:val="clear" w:color="auto" w:fill="auto"/>
            <w:noWrap/>
            <w:vAlign w:val="bottom"/>
          </w:tcPr>
          <w:p w:rsidR="005A3BEE" w:rsidRPr="009B395A" w:rsidRDefault="00167C9E" w:rsidP="008010EB">
            <w:pPr>
              <w:widowControl/>
              <w:overflowPunct/>
              <w:autoSpaceDE/>
              <w:autoSpaceDN/>
              <w:adjustRightInd/>
              <w:rPr>
                <w:rFonts w:eastAsia="Times New Roman"/>
                <w:kern w:val="0"/>
              </w:rPr>
            </w:pPr>
            <w:r w:rsidRPr="009B395A">
              <w:rPr>
                <w:rFonts w:eastAsia="Times New Roman"/>
                <w:i/>
                <w:iCs/>
                <w:kern w:val="0"/>
              </w:rPr>
              <w:t>H_</w:t>
            </w:r>
            <w:r w:rsidR="005A3BEE" w:rsidRPr="00D90FB0">
              <w:rPr>
                <w:rFonts w:eastAsia="Times New Roman"/>
                <w:i/>
              </w:rPr>
              <w:t>P_EQmsw</w:t>
            </w:r>
            <w:r w:rsidR="005A3BEE" w:rsidRPr="0012580D">
              <w:rPr>
                <w:rFonts w:eastAsia="Times New Roman"/>
                <w:i/>
              </w:rPr>
              <w:t xml:space="preserve"> </w:t>
            </w:r>
            <w:r w:rsidR="005A3BEE" w:rsidRPr="0012580D">
              <w:rPr>
                <w:rFonts w:eastAsia="Times New Roman"/>
                <w:i/>
              </w:rPr>
              <w:sym w:font="Wingdings" w:char="F0E0"/>
            </w:r>
            <w:r w:rsidR="005A3BEE">
              <w:rPr>
                <w:rFonts w:eastAsia="Times New Roman"/>
                <w:i/>
              </w:rPr>
              <w:t xml:space="preserve"> Beta </w:t>
            </w:r>
            <w:r w:rsidR="005A3BEE" w:rsidRPr="0012580D">
              <w:rPr>
                <w:rFonts w:eastAsia="Times New Roman"/>
                <w:i/>
              </w:rPr>
              <w:sym w:font="Wingdings" w:char="F0E0"/>
            </w:r>
            <w:r w:rsidR="005A3BEE" w:rsidRPr="00D90FB0">
              <w:rPr>
                <w:rFonts w:eastAsia="Times New Roman"/>
                <w:bCs/>
                <w:i/>
              </w:rPr>
              <w:t xml:space="preserve"> ICoE</w:t>
            </w:r>
          </w:p>
        </w:tc>
        <w:tc>
          <w:tcPr>
            <w:tcW w:w="1170" w:type="dxa"/>
            <w:gridSpan w:val="2"/>
            <w:tcBorders>
              <w:top w:val="nil"/>
              <w:left w:val="nil"/>
              <w:bottom w:val="single" w:sz="4" w:space="0" w:color="auto"/>
              <w:right w:val="nil"/>
            </w:tcBorders>
            <w:shd w:val="clear" w:color="auto" w:fill="auto"/>
            <w:noWrap/>
            <w:vAlign w:val="bottom"/>
          </w:tcPr>
          <w:p w:rsidR="005A3BEE" w:rsidRPr="00931FD3" w:rsidRDefault="005A3BEE" w:rsidP="00167C9E">
            <w:pPr>
              <w:widowControl/>
              <w:overflowPunct/>
              <w:autoSpaceDE/>
              <w:autoSpaceDN/>
              <w:adjustRightInd/>
              <w:jc w:val="center"/>
              <w:rPr>
                <w:rFonts w:eastAsia="Times New Roman"/>
                <w:kern w:val="0"/>
              </w:rPr>
            </w:pPr>
            <w:r>
              <w:rPr>
                <w:rFonts w:eastAsia="Times New Roman"/>
                <w:kern w:val="0"/>
              </w:rPr>
              <w:t>−0.01</w:t>
            </w:r>
            <w:r w:rsidR="00167C9E">
              <w:rPr>
                <w:rFonts w:eastAsia="Times New Roman"/>
                <w:kern w:val="0"/>
              </w:rPr>
              <w:t>6</w:t>
            </w:r>
          </w:p>
        </w:tc>
        <w:tc>
          <w:tcPr>
            <w:tcW w:w="1440" w:type="dxa"/>
            <w:gridSpan w:val="2"/>
            <w:tcBorders>
              <w:top w:val="nil"/>
              <w:left w:val="nil"/>
              <w:bottom w:val="single" w:sz="4" w:space="0" w:color="auto"/>
              <w:right w:val="nil"/>
            </w:tcBorders>
            <w:shd w:val="clear" w:color="auto" w:fill="auto"/>
            <w:noWrap/>
            <w:vAlign w:val="bottom"/>
          </w:tcPr>
          <w:p w:rsidR="005A3BEE" w:rsidRPr="00931FD3" w:rsidRDefault="005A3BEE" w:rsidP="00167C9E">
            <w:pPr>
              <w:widowControl/>
              <w:overflowPunct/>
              <w:autoSpaceDE/>
              <w:autoSpaceDN/>
              <w:adjustRightInd/>
              <w:jc w:val="center"/>
              <w:rPr>
                <w:rFonts w:eastAsia="Times New Roman"/>
                <w:kern w:val="0"/>
              </w:rPr>
            </w:pPr>
            <w:r>
              <w:rPr>
                <w:rFonts w:eastAsia="Times New Roman"/>
                <w:kern w:val="0"/>
              </w:rPr>
              <w:t>−</w:t>
            </w:r>
            <w:r w:rsidR="00167C9E">
              <w:rPr>
                <w:rFonts w:eastAsia="Times New Roman"/>
                <w:kern w:val="0"/>
              </w:rPr>
              <w:t>13.17</w:t>
            </w:r>
            <w:r w:rsidRPr="00064CC9">
              <w:rPr>
                <w:rFonts w:eastAsia="Times New Roman"/>
                <w:kern w:val="0"/>
              </w:rPr>
              <w:t>***</w:t>
            </w:r>
          </w:p>
        </w:tc>
        <w:tc>
          <w:tcPr>
            <w:tcW w:w="956" w:type="dxa"/>
            <w:tcBorders>
              <w:top w:val="nil"/>
              <w:left w:val="nil"/>
              <w:bottom w:val="single" w:sz="4" w:space="0" w:color="auto"/>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1356"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356"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461"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358" w:type="dxa"/>
            <w:tcBorders>
              <w:top w:val="nil"/>
              <w:left w:val="nil"/>
              <w:bottom w:val="single" w:sz="4" w:space="0" w:color="auto"/>
              <w:right w:val="nil"/>
            </w:tcBorders>
          </w:tcPr>
          <w:p w:rsidR="005A3BEE" w:rsidRPr="009B395A" w:rsidRDefault="005A3BEE" w:rsidP="008010EB">
            <w:pPr>
              <w:widowControl/>
              <w:overflowPunct/>
              <w:autoSpaceDE/>
              <w:autoSpaceDN/>
              <w:adjustRightInd/>
              <w:jc w:val="center"/>
              <w:rPr>
                <w:rFonts w:ascii="Arial" w:eastAsia="Times New Roman" w:hAnsi="Arial" w:cs="Arial"/>
                <w:kern w:val="0"/>
              </w:rPr>
            </w:pPr>
          </w:p>
        </w:tc>
      </w:tr>
    </w:tbl>
    <w:p w:rsidR="00454E96" w:rsidRPr="00D90FB0" w:rsidRDefault="00FC5415" w:rsidP="008010EB">
      <w:pPr>
        <w:ind w:left="540"/>
        <w:rPr>
          <w:color w:val="000000"/>
          <w:lang w:eastAsia="en-US"/>
        </w:rPr>
      </w:pPr>
      <w:r w:rsidRPr="00D90FB0">
        <w:rPr>
          <w:b/>
        </w:rPr>
        <w:t>Note:</w:t>
      </w:r>
      <w:r w:rsidRPr="00D90FB0">
        <w:t xml:space="preserve"> This table shows the multiple regression results for the implied cost of equity test. In Panel A, the regressions are estimated without controlling for </w:t>
      </w:r>
      <w:r w:rsidRPr="00D90FB0">
        <w:rPr>
          <w:i/>
        </w:rPr>
        <w:t>Beta</w:t>
      </w:r>
      <w:r w:rsidRPr="00D90FB0">
        <w:t xml:space="preserve">. In Panel B, the regressions are estimated </w:t>
      </w:r>
      <w:r w:rsidR="009B395A">
        <w:t xml:space="preserve">before and </w:t>
      </w:r>
      <w:r w:rsidRPr="00D90FB0">
        <w:t xml:space="preserve">after controlling for </w:t>
      </w:r>
      <w:r w:rsidRPr="00D90FB0">
        <w:rPr>
          <w:i/>
        </w:rPr>
        <w:t>Beta</w:t>
      </w:r>
      <w:r w:rsidRPr="00D90FB0">
        <w:t xml:space="preserve">. Panel </w:t>
      </w:r>
      <w:r w:rsidR="009B395A">
        <w:t>B</w:t>
      </w:r>
      <w:r w:rsidR="009B395A" w:rsidRPr="00D90FB0">
        <w:t xml:space="preserve"> </w:t>
      </w:r>
      <w:r w:rsidR="0012580D">
        <w:t>analyze the moderating effect of beta using path analyses.</w:t>
      </w:r>
      <w:r w:rsidRPr="00D90FB0">
        <w:t xml:space="preserve"> t-statistics are reported in parentheses, and Z-statistics are reported in square brackets. Standard errors are clustered by firm. </w:t>
      </w:r>
      <w:r w:rsidRPr="00D90FB0">
        <w:rPr>
          <w:color w:val="000000"/>
          <w:lang w:eastAsia="en-US"/>
        </w:rPr>
        <w:t>***, **, and * refer to significance (two-tailed) at the 1%, 5%, and 10% level, respectively.</w:t>
      </w:r>
      <w:r w:rsidRPr="00D90FB0">
        <w:rPr>
          <w:color w:val="000000"/>
        </w:rPr>
        <w:t xml:space="preserve"> </w:t>
      </w:r>
      <w:r w:rsidRPr="00D90FB0">
        <w:t xml:space="preserve"> Variable definitions are available in the appendix.</w:t>
      </w:r>
    </w:p>
    <w:tbl>
      <w:tblPr>
        <w:tblW w:w="11970" w:type="dxa"/>
        <w:jc w:val="center"/>
        <w:tblLayout w:type="fixed"/>
        <w:tblLook w:val="04A0" w:firstRow="1" w:lastRow="0" w:firstColumn="1" w:lastColumn="0" w:noHBand="0" w:noVBand="1"/>
      </w:tblPr>
      <w:tblGrid>
        <w:gridCol w:w="1490"/>
        <w:gridCol w:w="1255"/>
        <w:gridCol w:w="687"/>
        <w:gridCol w:w="213"/>
        <w:gridCol w:w="1411"/>
        <w:gridCol w:w="1579"/>
        <w:gridCol w:w="1345"/>
        <w:gridCol w:w="114"/>
        <w:gridCol w:w="1307"/>
        <w:gridCol w:w="152"/>
        <w:gridCol w:w="1247"/>
        <w:gridCol w:w="1170"/>
      </w:tblGrid>
      <w:tr w:rsidR="005865E2" w:rsidRPr="009B395A" w:rsidTr="008010EB">
        <w:trPr>
          <w:trHeight w:val="236"/>
          <w:jc w:val="center"/>
        </w:trPr>
        <w:tc>
          <w:tcPr>
            <w:tcW w:w="11970" w:type="dxa"/>
            <w:gridSpan w:val="12"/>
            <w:tcBorders>
              <w:top w:val="nil"/>
              <w:left w:val="nil"/>
              <w:bottom w:val="single" w:sz="4" w:space="0" w:color="auto"/>
              <w:right w:val="nil"/>
            </w:tcBorders>
            <w:shd w:val="clear" w:color="auto" w:fill="auto"/>
            <w:noWrap/>
            <w:vAlign w:val="bottom"/>
            <w:hideMark/>
          </w:tcPr>
          <w:p w:rsidR="005865E2" w:rsidRPr="00931FD3" w:rsidRDefault="005865E2" w:rsidP="008010EB">
            <w:pPr>
              <w:pStyle w:val="Heading4"/>
              <w:rPr>
                <w:b w:val="0"/>
              </w:rPr>
            </w:pPr>
            <w:bookmarkStart w:id="222" w:name="_Toc378088918"/>
            <w:r w:rsidRPr="00931FD3">
              <w:lastRenderedPageBreak/>
              <w:t>Table 7</w:t>
            </w:r>
            <w:bookmarkEnd w:id="222"/>
          </w:p>
          <w:p w:rsidR="005865E2" w:rsidRPr="00931FD3" w:rsidRDefault="005865E2" w:rsidP="008010EB">
            <w:pPr>
              <w:pStyle w:val="Heading4"/>
            </w:pPr>
            <w:bookmarkStart w:id="223" w:name="_Toc378088919"/>
            <w:r w:rsidRPr="00931FD3">
              <w:t>Industry-Adjusted Earnings-Price Ratio Test</w:t>
            </w:r>
            <w:bookmarkEnd w:id="223"/>
          </w:p>
        </w:tc>
      </w:tr>
      <w:tr w:rsidR="005A3BEE" w:rsidRPr="009B395A" w:rsidTr="008010EB">
        <w:trPr>
          <w:trHeight w:val="236"/>
          <w:jc w:val="center"/>
        </w:trPr>
        <w:tc>
          <w:tcPr>
            <w:tcW w:w="10800" w:type="dxa"/>
            <w:gridSpan w:val="11"/>
            <w:tcBorders>
              <w:top w:val="nil"/>
              <w:left w:val="nil"/>
              <w:right w:val="nil"/>
            </w:tcBorders>
            <w:shd w:val="clear" w:color="auto" w:fill="auto"/>
            <w:noWrap/>
            <w:vAlign w:val="bottom"/>
            <w:hideMark/>
          </w:tcPr>
          <w:p w:rsidR="005A3BEE" w:rsidRPr="00931FD3" w:rsidRDefault="005A3BEE" w:rsidP="008010EB">
            <w:pPr>
              <w:widowControl/>
              <w:overflowPunct/>
              <w:autoSpaceDE/>
              <w:autoSpaceDN/>
              <w:adjustRightInd/>
              <w:rPr>
                <w:rFonts w:eastAsia="Times New Roman"/>
                <w:b/>
                <w:bCs/>
              </w:rPr>
            </w:pPr>
            <w:r w:rsidRPr="00D90FB0">
              <w:rPr>
                <w:rFonts w:eastAsia="Times New Roman"/>
                <w:b/>
                <w:bCs/>
              </w:rPr>
              <w:t xml:space="preserve">Panel A: Regressions </w:t>
            </w:r>
            <w:r>
              <w:rPr>
                <w:rFonts w:eastAsia="Times New Roman"/>
                <w:b/>
                <w:bCs/>
              </w:rPr>
              <w:t xml:space="preserve"> </w:t>
            </w:r>
            <w:r>
              <w:rPr>
                <w:rFonts w:eastAsia="Times New Roman"/>
                <w:bCs/>
              </w:rPr>
              <w:t>(</w:t>
            </w:r>
            <w:r w:rsidRPr="00D90FB0">
              <w:rPr>
                <w:rFonts w:eastAsia="Times New Roman"/>
                <w:bCs/>
              </w:rPr>
              <w:t>Dependent Variable=</w:t>
            </w:r>
            <w:r w:rsidRPr="00D90FB0">
              <w:t xml:space="preserve"> </w:t>
            </w:r>
            <w:r w:rsidRPr="00D90FB0">
              <w:rPr>
                <w:rFonts w:eastAsia="Times New Roman"/>
                <w:bCs/>
                <w:i/>
              </w:rPr>
              <w:t>IndEP</w:t>
            </w:r>
            <w:r>
              <w:rPr>
                <w:rFonts w:eastAsia="Times New Roman"/>
                <w:bCs/>
              </w:rPr>
              <w:t>)</w:t>
            </w:r>
          </w:p>
        </w:tc>
        <w:tc>
          <w:tcPr>
            <w:tcW w:w="1170" w:type="dxa"/>
            <w:tcBorders>
              <w:top w:val="nil"/>
              <w:left w:val="nil"/>
              <w:right w:val="nil"/>
            </w:tcBorders>
          </w:tcPr>
          <w:p w:rsidR="005A3BEE" w:rsidRPr="00D90FB0" w:rsidRDefault="005A3BEE" w:rsidP="008010EB">
            <w:pPr>
              <w:widowControl/>
              <w:overflowPunct/>
              <w:autoSpaceDE/>
              <w:autoSpaceDN/>
              <w:adjustRightInd/>
              <w:jc w:val="center"/>
              <w:rPr>
                <w:rFonts w:eastAsia="Times New Roman"/>
                <w:b/>
                <w:bCs/>
              </w:rPr>
            </w:pPr>
          </w:p>
        </w:tc>
      </w:tr>
      <w:tr w:rsidR="00F70D1C" w:rsidRPr="009B395A" w:rsidTr="008010EB">
        <w:trPr>
          <w:trHeight w:val="236"/>
          <w:jc w:val="center"/>
        </w:trPr>
        <w:tc>
          <w:tcPr>
            <w:tcW w:w="1490" w:type="dxa"/>
            <w:tcBorders>
              <w:top w:val="nil"/>
              <w:left w:val="nil"/>
              <w:bottom w:val="single" w:sz="4" w:space="0" w:color="auto"/>
              <w:right w:val="nil"/>
            </w:tcBorders>
            <w:shd w:val="clear" w:color="auto" w:fill="auto"/>
            <w:noWrap/>
            <w:vAlign w:val="bottom"/>
            <w:hideMark/>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942" w:type="dxa"/>
            <w:gridSpan w:val="2"/>
            <w:tcBorders>
              <w:top w:val="nil"/>
              <w:left w:val="nil"/>
              <w:bottom w:val="single" w:sz="4" w:space="0" w:color="auto"/>
              <w:right w:val="nil"/>
            </w:tcBorders>
            <w:shd w:val="clear" w:color="auto" w:fill="auto"/>
            <w:noWrap/>
            <w:vAlign w:val="bottom"/>
          </w:tcPr>
          <w:p w:rsidR="005A3BEE" w:rsidRPr="005A3BEE" w:rsidRDefault="005A3BEE" w:rsidP="008010EB">
            <w:pPr>
              <w:widowControl/>
              <w:overflowPunct/>
              <w:autoSpaceDE/>
              <w:autoSpaceDN/>
              <w:adjustRightInd/>
              <w:jc w:val="center"/>
              <w:rPr>
                <w:rFonts w:eastAsia="Times New Roman"/>
                <w:iCs/>
                <w:kern w:val="0"/>
              </w:rPr>
            </w:pPr>
            <w:r>
              <w:rPr>
                <w:rFonts w:eastAsia="Times New Roman"/>
                <w:iCs/>
                <w:kern w:val="0"/>
              </w:rPr>
              <w:t>(1)</w:t>
            </w:r>
          </w:p>
        </w:tc>
        <w:tc>
          <w:tcPr>
            <w:tcW w:w="1624"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2</w:t>
            </w:r>
            <w:r w:rsidRPr="009B395A">
              <w:rPr>
                <w:rFonts w:eastAsia="Times New Roman"/>
                <w:kern w:val="0"/>
              </w:rPr>
              <w:t>)</w:t>
            </w:r>
            <w:r w:rsidRPr="009B395A">
              <w:rPr>
                <w:rFonts w:eastAsia="Times New Roman"/>
                <w:i/>
                <w:iCs/>
                <w:kern w:val="0"/>
              </w:rPr>
              <w:t xml:space="preserve"> P_EQew</w:t>
            </w:r>
          </w:p>
        </w:tc>
        <w:tc>
          <w:tcPr>
            <w:tcW w:w="1579"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3</w:t>
            </w:r>
            <w:r w:rsidRPr="009B395A">
              <w:rPr>
                <w:rFonts w:eastAsia="Times New Roman"/>
                <w:kern w:val="0"/>
              </w:rPr>
              <w:t>)</w:t>
            </w:r>
            <w:r w:rsidRPr="009B395A">
              <w:rPr>
                <w:rFonts w:eastAsia="Times New Roman"/>
                <w:i/>
                <w:iCs/>
                <w:kern w:val="0"/>
              </w:rPr>
              <w:t xml:space="preserve"> P_EQew</w:t>
            </w:r>
          </w:p>
        </w:tc>
        <w:tc>
          <w:tcPr>
            <w:tcW w:w="1345"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4</w:t>
            </w:r>
            <w:r w:rsidRPr="009B395A">
              <w:rPr>
                <w:rFonts w:eastAsia="Times New Roman"/>
                <w:kern w:val="0"/>
              </w:rPr>
              <w:t>)=(</w:t>
            </w:r>
            <w:r>
              <w:rPr>
                <w:rFonts w:eastAsia="Times New Roman"/>
                <w:kern w:val="0"/>
              </w:rPr>
              <w:t>3</w:t>
            </w:r>
            <w:r w:rsidRPr="009B395A">
              <w:rPr>
                <w:rFonts w:eastAsia="Times New Roman"/>
                <w:kern w:val="0"/>
              </w:rPr>
              <w:t>)</w:t>
            </w:r>
            <w:r>
              <w:rPr>
                <w:rFonts w:eastAsia="Times New Roman"/>
                <w:kern w:val="0"/>
              </w:rPr>
              <w:t>−</w:t>
            </w:r>
            <w:r w:rsidRPr="009B395A">
              <w:rPr>
                <w:rFonts w:eastAsia="Times New Roman"/>
                <w:kern w:val="0"/>
              </w:rPr>
              <w:t>(</w:t>
            </w:r>
            <w:r>
              <w:rPr>
                <w:rFonts w:eastAsia="Times New Roman"/>
                <w:kern w:val="0"/>
              </w:rPr>
              <w:t>2</w:t>
            </w:r>
            <w:r w:rsidRPr="009B395A">
              <w:rPr>
                <w:rFonts w:eastAsia="Times New Roman"/>
                <w:kern w:val="0"/>
              </w:rPr>
              <w:t>)</w:t>
            </w:r>
          </w:p>
        </w:tc>
        <w:tc>
          <w:tcPr>
            <w:tcW w:w="1421"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5</w:t>
            </w:r>
            <w:r w:rsidRPr="009B395A">
              <w:rPr>
                <w:rFonts w:eastAsia="Times New Roman"/>
                <w:kern w:val="0"/>
              </w:rPr>
              <w:t>)</w:t>
            </w:r>
            <w:r w:rsidRPr="009B395A">
              <w:rPr>
                <w:rFonts w:eastAsia="Times New Roman"/>
                <w:i/>
                <w:iCs/>
                <w:kern w:val="0"/>
              </w:rPr>
              <w:t xml:space="preserve"> P_EQmsw</w:t>
            </w:r>
          </w:p>
        </w:tc>
        <w:tc>
          <w:tcPr>
            <w:tcW w:w="1399"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6</w:t>
            </w:r>
            <w:r w:rsidRPr="009B395A">
              <w:rPr>
                <w:rFonts w:eastAsia="Times New Roman"/>
                <w:kern w:val="0"/>
              </w:rPr>
              <w:t>)</w:t>
            </w:r>
            <w:r w:rsidRPr="009B395A">
              <w:rPr>
                <w:rFonts w:eastAsia="Times New Roman"/>
                <w:i/>
                <w:iCs/>
                <w:kern w:val="0"/>
              </w:rPr>
              <w:t xml:space="preserve"> P_EQmsw</w:t>
            </w:r>
          </w:p>
        </w:tc>
        <w:tc>
          <w:tcPr>
            <w:tcW w:w="1170" w:type="dxa"/>
            <w:tcBorders>
              <w:top w:val="nil"/>
              <w:left w:val="nil"/>
              <w:bottom w:val="single" w:sz="4" w:space="0" w:color="auto"/>
              <w:right w:val="nil"/>
            </w:tcBorders>
            <w:vAlign w:val="bottom"/>
          </w:tcPr>
          <w:p w:rsidR="005A3BEE" w:rsidRPr="009B395A" w:rsidRDefault="005A3BEE" w:rsidP="008010EB">
            <w:pPr>
              <w:widowControl/>
              <w:overflowPunct/>
              <w:autoSpaceDE/>
              <w:autoSpaceDN/>
              <w:adjustRightInd/>
              <w:jc w:val="center"/>
              <w:rPr>
                <w:rFonts w:eastAsia="Times New Roman"/>
                <w:i/>
                <w:iCs/>
                <w:kern w:val="0"/>
              </w:rPr>
            </w:pPr>
            <w:r w:rsidRPr="009B395A">
              <w:rPr>
                <w:rFonts w:eastAsia="Times New Roman"/>
                <w:kern w:val="0"/>
              </w:rPr>
              <w:t>(</w:t>
            </w:r>
            <w:r>
              <w:rPr>
                <w:rFonts w:eastAsia="Times New Roman"/>
                <w:kern w:val="0"/>
              </w:rPr>
              <w:t>7</w:t>
            </w:r>
            <w:r w:rsidRPr="009B395A">
              <w:rPr>
                <w:rFonts w:eastAsia="Times New Roman"/>
                <w:kern w:val="0"/>
              </w:rPr>
              <w:t>)=(</w:t>
            </w:r>
            <w:r>
              <w:rPr>
                <w:rFonts w:eastAsia="Times New Roman"/>
                <w:kern w:val="0"/>
              </w:rPr>
              <w:t>6</w:t>
            </w:r>
            <w:r w:rsidRPr="009B395A">
              <w:rPr>
                <w:rFonts w:eastAsia="Times New Roman"/>
                <w:kern w:val="0"/>
              </w:rPr>
              <w:t>)</w:t>
            </w:r>
            <w:r>
              <w:rPr>
                <w:rFonts w:eastAsia="Times New Roman"/>
                <w:kern w:val="0"/>
              </w:rPr>
              <w:t>−</w:t>
            </w:r>
            <w:r w:rsidRPr="009B395A">
              <w:rPr>
                <w:rFonts w:eastAsia="Times New Roman"/>
                <w:kern w:val="0"/>
              </w:rPr>
              <w:t>(</w:t>
            </w:r>
            <w:r>
              <w:rPr>
                <w:rFonts w:eastAsia="Times New Roman"/>
                <w:kern w:val="0"/>
              </w:rPr>
              <w:t>5</w:t>
            </w:r>
            <w:r w:rsidRPr="009B395A">
              <w:rPr>
                <w:rFonts w:eastAsia="Times New Roman"/>
                <w:kern w:val="0"/>
              </w:rPr>
              <w:t>)</w:t>
            </w:r>
          </w:p>
        </w:tc>
      </w:tr>
      <w:tr w:rsidR="00F70D1C" w:rsidRPr="009B395A" w:rsidTr="008010EB">
        <w:trPr>
          <w:trHeight w:val="236"/>
          <w:jc w:val="center"/>
        </w:trPr>
        <w:tc>
          <w:tcPr>
            <w:tcW w:w="1490" w:type="dxa"/>
            <w:tcBorders>
              <w:top w:val="single" w:sz="4" w:space="0" w:color="auto"/>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H_P_EQ</w:t>
            </w:r>
          </w:p>
        </w:tc>
        <w:tc>
          <w:tcPr>
            <w:tcW w:w="1942" w:type="dxa"/>
            <w:gridSpan w:val="2"/>
            <w:tcBorders>
              <w:top w:val="single" w:sz="4" w:space="0" w:color="auto"/>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p>
        </w:tc>
        <w:tc>
          <w:tcPr>
            <w:tcW w:w="1624" w:type="dxa"/>
            <w:gridSpan w:val="2"/>
            <w:tcBorders>
              <w:top w:val="single" w:sz="4" w:space="0" w:color="auto"/>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0.003***</w:t>
            </w:r>
          </w:p>
        </w:tc>
        <w:tc>
          <w:tcPr>
            <w:tcW w:w="1579" w:type="dxa"/>
            <w:tcBorders>
              <w:top w:val="single" w:sz="4" w:space="0" w:color="auto"/>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0.002***</w:t>
            </w:r>
          </w:p>
        </w:tc>
        <w:tc>
          <w:tcPr>
            <w:tcW w:w="1345" w:type="dxa"/>
            <w:tcBorders>
              <w:top w:val="single" w:sz="4" w:space="0" w:color="auto"/>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0.001</w:t>
            </w:r>
          </w:p>
        </w:tc>
        <w:tc>
          <w:tcPr>
            <w:tcW w:w="1421" w:type="dxa"/>
            <w:gridSpan w:val="2"/>
            <w:tcBorders>
              <w:top w:val="single" w:sz="4" w:space="0" w:color="auto"/>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0.003***</w:t>
            </w:r>
          </w:p>
        </w:tc>
        <w:tc>
          <w:tcPr>
            <w:tcW w:w="1399" w:type="dxa"/>
            <w:gridSpan w:val="2"/>
            <w:tcBorders>
              <w:top w:val="single" w:sz="4" w:space="0" w:color="auto"/>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0.002***</w:t>
            </w:r>
          </w:p>
        </w:tc>
        <w:tc>
          <w:tcPr>
            <w:tcW w:w="1170" w:type="dxa"/>
            <w:tcBorders>
              <w:top w:val="single" w:sz="4" w:space="0" w:color="auto"/>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r w:rsidRPr="00931FD3">
              <w:rPr>
                <w:rFonts w:eastAsia="Times New Roman"/>
                <w:kern w:val="0"/>
              </w:rPr>
              <w:t>0.001</w:t>
            </w:r>
          </w:p>
        </w:tc>
      </w:tr>
      <w:tr w:rsidR="00F70D1C" w:rsidRPr="009B395A" w:rsidTr="008010EB">
        <w:trPr>
          <w:trHeight w:val="207"/>
          <w:jc w:val="center"/>
        </w:trPr>
        <w:tc>
          <w:tcPr>
            <w:tcW w:w="1490"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3.60)</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2.99)</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1.32</w:t>
            </w:r>
            <w:r>
              <w:rPr>
                <w:rFonts w:eastAsia="Times New Roman"/>
                <w:kern w:val="0"/>
              </w:rPr>
              <w:t>]</w:t>
            </w: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3.53)</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2.84)</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1.28</w:t>
            </w:r>
            <w:r>
              <w:rPr>
                <w:rFonts w:eastAsia="Times New Roman"/>
                <w:kern w:val="0"/>
              </w:rPr>
              <w:t>]</w:t>
            </w:r>
          </w:p>
        </w:tc>
      </w:tr>
      <w:tr w:rsidR="00CA27F0" w:rsidRPr="009B395A" w:rsidTr="008010EB">
        <w:trPr>
          <w:trHeight w:val="236"/>
          <w:jc w:val="center"/>
        </w:trPr>
        <w:tc>
          <w:tcPr>
            <w:tcW w:w="1490" w:type="dxa"/>
            <w:tcBorders>
              <w:top w:val="nil"/>
              <w:left w:val="nil"/>
              <w:bottom w:val="nil"/>
              <w:right w:val="nil"/>
            </w:tcBorders>
            <w:shd w:val="clear" w:color="auto" w:fill="auto"/>
            <w:noWrap/>
            <w:vAlign w:val="center"/>
            <w:hideMark/>
          </w:tcPr>
          <w:p w:rsidR="00CA27F0" w:rsidRPr="009B395A" w:rsidRDefault="00CA27F0" w:rsidP="008010EB">
            <w:pPr>
              <w:widowControl/>
              <w:overflowPunct/>
              <w:autoSpaceDE/>
              <w:autoSpaceDN/>
              <w:adjustRightInd/>
              <w:rPr>
                <w:rFonts w:eastAsia="Times New Roman"/>
                <w:i/>
                <w:iCs/>
                <w:kern w:val="0"/>
              </w:rPr>
            </w:pPr>
            <w:r w:rsidRPr="009B395A">
              <w:rPr>
                <w:rFonts w:eastAsia="Times New Roman"/>
                <w:i/>
                <w:iCs/>
                <w:kern w:val="0"/>
              </w:rPr>
              <w:t>H_EQ</w:t>
            </w:r>
          </w:p>
        </w:tc>
        <w:tc>
          <w:tcPr>
            <w:tcW w:w="1942" w:type="dxa"/>
            <w:gridSpan w:val="2"/>
            <w:tcBorders>
              <w:top w:val="nil"/>
              <w:left w:val="nil"/>
              <w:bottom w:val="nil"/>
              <w:right w:val="nil"/>
            </w:tcBorders>
            <w:shd w:val="clear" w:color="auto" w:fill="auto"/>
            <w:noWrap/>
            <w:vAlign w:val="bottom"/>
          </w:tcPr>
          <w:p w:rsidR="00CA27F0" w:rsidRPr="00F70D1C" w:rsidRDefault="00CA27F0" w:rsidP="008010EB">
            <w:pPr>
              <w:widowControl/>
              <w:overflowPunct/>
              <w:autoSpaceDE/>
              <w:autoSpaceDN/>
              <w:adjustRightInd/>
              <w:jc w:val="center"/>
              <w:rPr>
                <w:rFonts w:eastAsia="Times New Roman"/>
                <w:kern w:val="0"/>
              </w:rPr>
            </w:pPr>
            <w:r>
              <w:rPr>
                <w:rFonts w:eastAsia="Times New Roman"/>
                <w:kern w:val="0"/>
              </w:rPr>
              <w:t>−</w:t>
            </w:r>
            <w:r w:rsidRPr="00F70D1C">
              <w:rPr>
                <w:rFonts w:eastAsia="Times New Roman"/>
                <w:kern w:val="0"/>
              </w:rPr>
              <w:t>0.006***</w:t>
            </w:r>
          </w:p>
        </w:tc>
        <w:tc>
          <w:tcPr>
            <w:tcW w:w="1624" w:type="dxa"/>
            <w:gridSpan w:val="2"/>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0.004***</w:t>
            </w:r>
          </w:p>
        </w:tc>
        <w:tc>
          <w:tcPr>
            <w:tcW w:w="1579" w:type="dxa"/>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0.004***</w:t>
            </w:r>
          </w:p>
        </w:tc>
        <w:tc>
          <w:tcPr>
            <w:tcW w:w="1345" w:type="dxa"/>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0.004***</w:t>
            </w:r>
          </w:p>
        </w:tc>
        <w:tc>
          <w:tcPr>
            <w:tcW w:w="1399" w:type="dxa"/>
            <w:gridSpan w:val="2"/>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0.004***</w:t>
            </w:r>
          </w:p>
        </w:tc>
        <w:tc>
          <w:tcPr>
            <w:tcW w:w="1170" w:type="dxa"/>
            <w:tcBorders>
              <w:top w:val="nil"/>
              <w:left w:val="nil"/>
              <w:bottom w:val="nil"/>
              <w:right w:val="nil"/>
            </w:tcBorders>
            <w:vAlign w:val="bottom"/>
          </w:tcPr>
          <w:p w:rsidR="00CA27F0" w:rsidRPr="00931FD3" w:rsidRDefault="00CA27F0" w:rsidP="008010EB">
            <w:pPr>
              <w:widowControl/>
              <w:overflowPunct/>
              <w:autoSpaceDE/>
              <w:autoSpaceDN/>
              <w:adjustRightInd/>
              <w:jc w:val="center"/>
              <w:rPr>
                <w:rFonts w:eastAsia="Times New Roman"/>
                <w:kern w:val="0"/>
              </w:rPr>
            </w:pPr>
          </w:p>
        </w:tc>
      </w:tr>
      <w:tr w:rsidR="00CA27F0" w:rsidRPr="009B395A" w:rsidTr="008010EB">
        <w:trPr>
          <w:trHeight w:val="236"/>
          <w:jc w:val="center"/>
        </w:trPr>
        <w:tc>
          <w:tcPr>
            <w:tcW w:w="1490" w:type="dxa"/>
            <w:tcBorders>
              <w:top w:val="nil"/>
              <w:left w:val="nil"/>
              <w:bottom w:val="nil"/>
              <w:right w:val="nil"/>
            </w:tcBorders>
            <w:shd w:val="clear" w:color="auto" w:fill="auto"/>
            <w:noWrap/>
            <w:vAlign w:val="bottom"/>
            <w:hideMark/>
          </w:tcPr>
          <w:p w:rsidR="00CA27F0" w:rsidRPr="009B395A" w:rsidRDefault="00CA27F0" w:rsidP="008010EB">
            <w:pPr>
              <w:widowControl/>
              <w:overflowPunct/>
              <w:autoSpaceDE/>
              <w:autoSpaceDN/>
              <w:adjustRightInd/>
              <w:rPr>
                <w:rFonts w:ascii="Calibri" w:eastAsia="Times New Roman" w:hAnsi="Calibri" w:cs="Arial"/>
                <w:kern w:val="0"/>
              </w:rPr>
            </w:pPr>
          </w:p>
        </w:tc>
        <w:tc>
          <w:tcPr>
            <w:tcW w:w="1942" w:type="dxa"/>
            <w:gridSpan w:val="2"/>
            <w:tcBorders>
              <w:top w:val="nil"/>
              <w:left w:val="nil"/>
              <w:bottom w:val="nil"/>
              <w:right w:val="nil"/>
            </w:tcBorders>
            <w:shd w:val="clear" w:color="auto" w:fill="auto"/>
            <w:noWrap/>
            <w:vAlign w:val="bottom"/>
          </w:tcPr>
          <w:p w:rsidR="00CA27F0" w:rsidRPr="00F70D1C" w:rsidRDefault="00CA27F0" w:rsidP="008010EB">
            <w:pPr>
              <w:widowControl/>
              <w:overflowPunct/>
              <w:autoSpaceDE/>
              <w:autoSpaceDN/>
              <w:adjustRightInd/>
              <w:jc w:val="center"/>
              <w:rPr>
                <w:rFonts w:eastAsia="Times New Roman"/>
                <w:kern w:val="0"/>
              </w:rPr>
            </w:pPr>
            <w:r w:rsidRPr="00F70D1C">
              <w:rPr>
                <w:rFonts w:eastAsia="Times New Roman"/>
                <w:kern w:val="0"/>
              </w:rPr>
              <w:t>(</w:t>
            </w:r>
            <w:r>
              <w:rPr>
                <w:rFonts w:eastAsia="Times New Roman"/>
                <w:kern w:val="0"/>
              </w:rPr>
              <w:t>−</w:t>
            </w:r>
            <w:r w:rsidRPr="00F70D1C">
              <w:rPr>
                <w:rFonts w:eastAsia="Times New Roman"/>
                <w:kern w:val="0"/>
              </w:rPr>
              <w:t>8.84)</w:t>
            </w:r>
          </w:p>
        </w:tc>
        <w:tc>
          <w:tcPr>
            <w:tcW w:w="1624" w:type="dxa"/>
            <w:gridSpan w:val="2"/>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5.52)</w:t>
            </w:r>
          </w:p>
        </w:tc>
        <w:tc>
          <w:tcPr>
            <w:tcW w:w="1579" w:type="dxa"/>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5.17)</w:t>
            </w:r>
          </w:p>
        </w:tc>
        <w:tc>
          <w:tcPr>
            <w:tcW w:w="1345" w:type="dxa"/>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5.82)</w:t>
            </w:r>
          </w:p>
        </w:tc>
        <w:tc>
          <w:tcPr>
            <w:tcW w:w="1399" w:type="dxa"/>
            <w:gridSpan w:val="2"/>
            <w:tcBorders>
              <w:top w:val="nil"/>
              <w:left w:val="nil"/>
              <w:bottom w:val="nil"/>
              <w:right w:val="nil"/>
            </w:tcBorders>
            <w:shd w:val="clear" w:color="auto" w:fill="auto"/>
            <w:noWrap/>
            <w:vAlign w:val="bottom"/>
          </w:tcPr>
          <w:p w:rsidR="00CA27F0" w:rsidRPr="00064CC9" w:rsidRDefault="00CA27F0"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5.47)</w:t>
            </w:r>
          </w:p>
        </w:tc>
        <w:tc>
          <w:tcPr>
            <w:tcW w:w="1170" w:type="dxa"/>
            <w:tcBorders>
              <w:top w:val="nil"/>
              <w:left w:val="nil"/>
              <w:bottom w:val="nil"/>
              <w:right w:val="nil"/>
            </w:tcBorders>
            <w:vAlign w:val="bottom"/>
          </w:tcPr>
          <w:p w:rsidR="00CA27F0" w:rsidRPr="00931FD3" w:rsidRDefault="00CA27F0"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center"/>
            <w:hideMark/>
          </w:tcPr>
          <w:p w:rsidR="005A3BEE" w:rsidRPr="009B395A" w:rsidRDefault="005A3BEE" w:rsidP="008010EB">
            <w:pPr>
              <w:widowControl/>
              <w:overflowPunct/>
              <w:autoSpaceDE/>
              <w:autoSpaceDN/>
              <w:adjustRightInd/>
              <w:rPr>
                <w:rFonts w:eastAsia="Times New Roman"/>
                <w:i/>
                <w:iCs/>
                <w:kern w:val="0"/>
              </w:rPr>
            </w:pPr>
            <w:r w:rsidRPr="009B395A">
              <w:rPr>
                <w:rFonts w:eastAsia="Times New Roman"/>
                <w:i/>
                <w:iCs/>
                <w:kern w:val="0"/>
              </w:rPr>
              <w:t>Beta</w:t>
            </w:r>
          </w:p>
        </w:tc>
        <w:tc>
          <w:tcPr>
            <w:tcW w:w="1942" w:type="dxa"/>
            <w:gridSpan w:val="2"/>
            <w:tcBorders>
              <w:top w:val="nil"/>
              <w:left w:val="nil"/>
              <w:bottom w:val="nil"/>
              <w:right w:val="nil"/>
            </w:tcBorders>
            <w:shd w:val="clear" w:color="auto" w:fill="auto"/>
            <w:noWrap/>
            <w:vAlign w:val="bottom"/>
          </w:tcPr>
          <w:p w:rsidR="005A3BEE" w:rsidRPr="00F70D1C" w:rsidRDefault="005A3BEE" w:rsidP="008010EB">
            <w:pPr>
              <w:widowControl/>
              <w:overflowPunct/>
              <w:autoSpaceDE/>
              <w:autoSpaceDN/>
              <w:adjustRightInd/>
              <w:jc w:val="center"/>
              <w:rPr>
                <w:rFonts w:eastAsia="Times New Roman"/>
                <w:kern w:val="0"/>
              </w:rPr>
            </w:pPr>
          </w:p>
        </w:tc>
        <w:tc>
          <w:tcPr>
            <w:tcW w:w="1624" w:type="dxa"/>
            <w:gridSpan w:val="2"/>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p>
        </w:tc>
        <w:tc>
          <w:tcPr>
            <w:tcW w:w="1579" w:type="dxa"/>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r w:rsidRPr="00931FD3">
              <w:rPr>
                <w:rFonts w:eastAsia="Times New Roman"/>
                <w:kern w:val="0"/>
              </w:rPr>
              <w:t>0.005***</w:t>
            </w:r>
          </w:p>
        </w:tc>
        <w:tc>
          <w:tcPr>
            <w:tcW w:w="1345" w:type="dxa"/>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p>
        </w:tc>
        <w:tc>
          <w:tcPr>
            <w:tcW w:w="1399" w:type="dxa"/>
            <w:gridSpan w:val="2"/>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r w:rsidRPr="00931FD3">
              <w:rPr>
                <w:rFonts w:eastAsia="Times New Roman"/>
                <w:kern w:val="0"/>
              </w:rPr>
              <w:t>0.005***</w:t>
            </w:r>
          </w:p>
        </w:tc>
        <w:tc>
          <w:tcPr>
            <w:tcW w:w="1170" w:type="dxa"/>
            <w:tcBorders>
              <w:top w:val="nil"/>
              <w:left w:val="nil"/>
              <w:bottom w:val="nil"/>
              <w:right w:val="nil"/>
            </w:tcBorders>
            <w:vAlign w:val="bottom"/>
          </w:tcPr>
          <w:p w:rsidR="005A3BEE" w:rsidRPr="00931FD3" w:rsidRDefault="005A3BEE"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bottom"/>
            <w:hideMark/>
          </w:tcPr>
          <w:p w:rsidR="005A3BEE" w:rsidRPr="009B395A" w:rsidRDefault="005A3BEE" w:rsidP="008010EB">
            <w:pPr>
              <w:widowControl/>
              <w:overflowPunct/>
              <w:autoSpaceDE/>
              <w:autoSpaceDN/>
              <w:adjustRightInd/>
              <w:rPr>
                <w:rFonts w:ascii="Calibri" w:eastAsia="Times New Roman" w:hAnsi="Calibri" w:cs="Arial"/>
                <w:kern w:val="0"/>
              </w:rPr>
            </w:pPr>
          </w:p>
        </w:tc>
        <w:tc>
          <w:tcPr>
            <w:tcW w:w="1942" w:type="dxa"/>
            <w:gridSpan w:val="2"/>
            <w:tcBorders>
              <w:top w:val="nil"/>
              <w:left w:val="nil"/>
              <w:bottom w:val="nil"/>
              <w:right w:val="nil"/>
            </w:tcBorders>
            <w:shd w:val="clear" w:color="auto" w:fill="auto"/>
            <w:noWrap/>
            <w:vAlign w:val="bottom"/>
          </w:tcPr>
          <w:p w:rsidR="005A3BEE" w:rsidRPr="00F70D1C" w:rsidRDefault="005A3BEE" w:rsidP="008010EB">
            <w:pPr>
              <w:widowControl/>
              <w:overflowPunct/>
              <w:autoSpaceDE/>
              <w:autoSpaceDN/>
              <w:adjustRightInd/>
              <w:jc w:val="center"/>
              <w:rPr>
                <w:rFonts w:eastAsia="Times New Roman"/>
                <w:kern w:val="0"/>
              </w:rPr>
            </w:pPr>
          </w:p>
        </w:tc>
        <w:tc>
          <w:tcPr>
            <w:tcW w:w="1624" w:type="dxa"/>
            <w:gridSpan w:val="2"/>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p>
        </w:tc>
        <w:tc>
          <w:tcPr>
            <w:tcW w:w="1579" w:type="dxa"/>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r w:rsidRPr="00931FD3">
              <w:rPr>
                <w:rFonts w:eastAsia="Times New Roman"/>
                <w:kern w:val="0"/>
              </w:rPr>
              <w:t>(6.22)</w:t>
            </w:r>
          </w:p>
        </w:tc>
        <w:tc>
          <w:tcPr>
            <w:tcW w:w="1345" w:type="dxa"/>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p>
        </w:tc>
        <w:tc>
          <w:tcPr>
            <w:tcW w:w="1399" w:type="dxa"/>
            <w:gridSpan w:val="2"/>
            <w:tcBorders>
              <w:top w:val="nil"/>
              <w:left w:val="nil"/>
              <w:bottom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r w:rsidRPr="00931FD3">
              <w:rPr>
                <w:rFonts w:eastAsia="Times New Roman"/>
                <w:kern w:val="0"/>
              </w:rPr>
              <w:t>(6.22)</w:t>
            </w:r>
          </w:p>
        </w:tc>
        <w:tc>
          <w:tcPr>
            <w:tcW w:w="1170" w:type="dxa"/>
            <w:tcBorders>
              <w:top w:val="nil"/>
              <w:left w:val="nil"/>
              <w:bottom w:val="nil"/>
              <w:right w:val="nil"/>
            </w:tcBorders>
            <w:vAlign w:val="bottom"/>
          </w:tcPr>
          <w:p w:rsidR="005A3BEE" w:rsidRPr="00931FD3" w:rsidRDefault="005A3BEE"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Lev</w:t>
            </w: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0.028***</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0.029***</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0.030***</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0.029***</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0.030***</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(14.65)</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(15.00)</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(15.39)</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(14.91)</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(15.32)</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LnMV</w:t>
            </w: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0.001***</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0.001***</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0.001***</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0.001***</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0.001***</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(5.61)</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(5.22)</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(2.89)</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(5.23)</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(2.90)</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STD_CFO</w:t>
            </w: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0.103***</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0.103***</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0.097***</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0.103***</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0.097***</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(10.92)</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(11.01)</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(10.26)</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(11.01)</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(10.26)</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CFO</w:t>
            </w: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0.044***</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0.044***</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0.046***</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0.044***</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0.045***</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(10.69)</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(10.75)</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(11.05)</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(10.72)</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(11.02)</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sidRPr="009B395A">
              <w:rPr>
                <w:rFonts w:eastAsia="Times New Roman"/>
                <w:i/>
                <w:iCs/>
                <w:kern w:val="0"/>
              </w:rPr>
              <w:t>BM</w:t>
            </w: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0.013***</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0.013***</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0.014***</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0.013***</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0.014***</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(21.91)</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(22.02)</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(22.31)</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(22.00)</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(22.30)</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i/>
                <w:iCs/>
                <w:kern w:val="0"/>
              </w:rPr>
            </w:pPr>
            <w:r>
              <w:rPr>
                <w:rFonts w:eastAsia="Times New Roman"/>
                <w:i/>
                <w:iCs/>
                <w:kern w:val="0"/>
              </w:rPr>
              <w:t>Growth</w:t>
            </w: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0.012***</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0.012***</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0.011***</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0.012***</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0.011***</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bottom"/>
            <w:hideMark/>
          </w:tcPr>
          <w:p w:rsidR="00F70D1C" w:rsidRPr="009B395A" w:rsidRDefault="00F70D1C" w:rsidP="008010EB">
            <w:pPr>
              <w:widowControl/>
              <w:overflowPunct/>
              <w:autoSpaceDE/>
              <w:autoSpaceDN/>
              <w:adjustRightInd/>
              <w:rPr>
                <w:rFonts w:ascii="Calibri" w:eastAsia="Times New Roman" w:hAnsi="Calibri" w:cs="Arial"/>
                <w:kern w:val="0"/>
              </w:rPr>
            </w:pP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(9.07)</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(9.06)</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(8.67)</w:t>
            </w:r>
          </w:p>
        </w:tc>
        <w:tc>
          <w:tcPr>
            <w:tcW w:w="1345"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(9.04)</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(8.65)</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kern w:val="0"/>
              </w:rPr>
            </w:pPr>
            <w:r w:rsidRPr="009B395A">
              <w:rPr>
                <w:rFonts w:eastAsia="Times New Roman"/>
                <w:kern w:val="0"/>
              </w:rPr>
              <w:t>Intercept</w:t>
            </w: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Pr>
                <w:rFonts w:eastAsia="Times New Roman"/>
                <w:kern w:val="0"/>
              </w:rPr>
              <w:t>−</w:t>
            </w:r>
            <w:r w:rsidRPr="00F70D1C">
              <w:rPr>
                <w:rFonts w:eastAsia="Times New Roman"/>
                <w:kern w:val="0"/>
              </w:rPr>
              <w:t>0.019***</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0.020***</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0.020***</w:t>
            </w:r>
          </w:p>
        </w:tc>
        <w:tc>
          <w:tcPr>
            <w:tcW w:w="1345" w:type="dxa"/>
            <w:tcBorders>
              <w:top w:val="nil"/>
              <w:left w:val="nil"/>
              <w:bottom w:val="nil"/>
              <w:right w:val="nil"/>
            </w:tcBorders>
            <w:shd w:val="clear" w:color="auto" w:fill="auto"/>
            <w:noWrap/>
            <w:vAlign w:val="bottom"/>
          </w:tcPr>
          <w:p w:rsidR="00F70D1C" w:rsidRPr="009B395A"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0.019***</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Pr>
                <w:rFonts w:eastAsia="Times New Roman"/>
                <w:kern w:val="0"/>
              </w:rPr>
              <w:t>−</w:t>
            </w:r>
            <w:r w:rsidRPr="00931FD3">
              <w:rPr>
                <w:rFonts w:eastAsia="Times New Roman"/>
                <w:kern w:val="0"/>
              </w:rPr>
              <w:t>0.020***</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50"/>
          <w:jc w:val="center"/>
        </w:trPr>
        <w:tc>
          <w:tcPr>
            <w:tcW w:w="1490" w:type="dxa"/>
            <w:tcBorders>
              <w:top w:val="nil"/>
              <w:left w:val="nil"/>
              <w:bottom w:val="nil"/>
              <w:right w:val="nil"/>
            </w:tcBorders>
            <w:shd w:val="clear" w:color="auto" w:fill="auto"/>
            <w:noWrap/>
            <w:vAlign w:val="center"/>
            <w:hideMark/>
          </w:tcPr>
          <w:p w:rsidR="00F70D1C" w:rsidRPr="009B395A" w:rsidRDefault="00F70D1C" w:rsidP="008010EB">
            <w:pPr>
              <w:widowControl/>
              <w:overflowPunct/>
              <w:autoSpaceDE/>
              <w:autoSpaceDN/>
              <w:adjustRightInd/>
              <w:rPr>
                <w:rFonts w:eastAsia="Times New Roman"/>
                <w:kern w:val="0"/>
              </w:rPr>
            </w:pPr>
          </w:p>
        </w:tc>
        <w:tc>
          <w:tcPr>
            <w:tcW w:w="1942" w:type="dxa"/>
            <w:gridSpan w:val="2"/>
            <w:tcBorders>
              <w:top w:val="nil"/>
              <w:left w:val="nil"/>
              <w:bottom w:val="nil"/>
              <w:right w:val="nil"/>
            </w:tcBorders>
            <w:shd w:val="clear" w:color="auto" w:fill="auto"/>
            <w:noWrap/>
            <w:vAlign w:val="bottom"/>
          </w:tcPr>
          <w:p w:rsidR="00F70D1C" w:rsidRPr="00F70D1C" w:rsidRDefault="00F70D1C" w:rsidP="008010EB">
            <w:pPr>
              <w:widowControl/>
              <w:overflowPunct/>
              <w:autoSpaceDE/>
              <w:autoSpaceDN/>
              <w:adjustRightInd/>
              <w:jc w:val="center"/>
              <w:rPr>
                <w:rFonts w:eastAsia="Times New Roman"/>
                <w:kern w:val="0"/>
              </w:rPr>
            </w:pPr>
            <w:r w:rsidRPr="00F70D1C">
              <w:rPr>
                <w:rFonts w:eastAsia="Times New Roman"/>
                <w:kern w:val="0"/>
              </w:rPr>
              <w:t>(</w:t>
            </w:r>
            <w:r>
              <w:rPr>
                <w:rFonts w:eastAsia="Times New Roman"/>
                <w:kern w:val="0"/>
              </w:rPr>
              <w:t>−</w:t>
            </w:r>
            <w:r w:rsidRPr="00F70D1C">
              <w:rPr>
                <w:rFonts w:eastAsia="Times New Roman"/>
                <w:kern w:val="0"/>
              </w:rPr>
              <w:t>11.06)</w:t>
            </w:r>
          </w:p>
        </w:tc>
        <w:tc>
          <w:tcPr>
            <w:tcW w:w="1624"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11.38)</w:t>
            </w:r>
          </w:p>
        </w:tc>
        <w:tc>
          <w:tcPr>
            <w:tcW w:w="1579" w:type="dxa"/>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11.58)</w:t>
            </w:r>
          </w:p>
        </w:tc>
        <w:tc>
          <w:tcPr>
            <w:tcW w:w="1345" w:type="dxa"/>
            <w:tcBorders>
              <w:top w:val="nil"/>
              <w:left w:val="nil"/>
              <w:bottom w:val="nil"/>
              <w:right w:val="nil"/>
            </w:tcBorders>
            <w:shd w:val="clear" w:color="auto" w:fill="auto"/>
            <w:noWrap/>
            <w:vAlign w:val="bottom"/>
          </w:tcPr>
          <w:p w:rsidR="00F70D1C" w:rsidRPr="009B395A" w:rsidRDefault="00F70D1C" w:rsidP="008010EB">
            <w:pPr>
              <w:widowControl/>
              <w:overflowPunct/>
              <w:autoSpaceDE/>
              <w:autoSpaceDN/>
              <w:adjustRightInd/>
              <w:jc w:val="center"/>
              <w:rPr>
                <w:rFonts w:eastAsia="Times New Roman"/>
                <w:kern w:val="0"/>
              </w:rPr>
            </w:pPr>
          </w:p>
        </w:tc>
        <w:tc>
          <w:tcPr>
            <w:tcW w:w="1421"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11.32)</w:t>
            </w:r>
          </w:p>
        </w:tc>
        <w:tc>
          <w:tcPr>
            <w:tcW w:w="1399" w:type="dxa"/>
            <w:gridSpan w:val="2"/>
            <w:tcBorders>
              <w:top w:val="nil"/>
              <w:left w:val="nil"/>
              <w:bottom w:val="nil"/>
              <w:right w:val="nil"/>
            </w:tcBorders>
            <w:shd w:val="clear" w:color="auto" w:fill="auto"/>
            <w:noWrap/>
            <w:vAlign w:val="bottom"/>
          </w:tcPr>
          <w:p w:rsidR="00F70D1C" w:rsidRPr="00064CC9" w:rsidRDefault="00F70D1C" w:rsidP="008010EB">
            <w:pPr>
              <w:widowControl/>
              <w:overflowPunct/>
              <w:autoSpaceDE/>
              <w:autoSpaceDN/>
              <w:adjustRightInd/>
              <w:jc w:val="center"/>
              <w:rPr>
                <w:rFonts w:eastAsia="Times New Roman"/>
                <w:kern w:val="0"/>
              </w:rPr>
            </w:pPr>
            <w:r w:rsidRPr="00931FD3">
              <w:rPr>
                <w:rFonts w:eastAsia="Times New Roman"/>
                <w:kern w:val="0"/>
              </w:rPr>
              <w:t>(</w:t>
            </w:r>
            <w:r>
              <w:rPr>
                <w:rFonts w:eastAsia="Times New Roman"/>
                <w:kern w:val="0"/>
              </w:rPr>
              <w:t>−</w:t>
            </w:r>
            <w:r w:rsidRPr="00931FD3">
              <w:rPr>
                <w:rFonts w:eastAsia="Times New Roman"/>
                <w:kern w:val="0"/>
              </w:rPr>
              <w:t>11.53)</w:t>
            </w:r>
          </w:p>
        </w:tc>
        <w:tc>
          <w:tcPr>
            <w:tcW w:w="1170" w:type="dxa"/>
            <w:tcBorders>
              <w:top w:val="nil"/>
              <w:left w:val="nil"/>
              <w:bottom w:val="nil"/>
              <w:right w:val="nil"/>
            </w:tcBorders>
            <w:vAlign w:val="bottom"/>
          </w:tcPr>
          <w:p w:rsidR="00F70D1C" w:rsidRPr="00931FD3" w:rsidRDefault="00F70D1C"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right w:val="nil"/>
            </w:tcBorders>
            <w:shd w:val="clear" w:color="auto" w:fill="auto"/>
            <w:noWrap/>
            <w:vAlign w:val="center"/>
            <w:hideMark/>
          </w:tcPr>
          <w:p w:rsidR="005A3BEE" w:rsidRPr="009B395A" w:rsidRDefault="005A3BEE" w:rsidP="008010EB">
            <w:pPr>
              <w:widowControl/>
              <w:overflowPunct/>
              <w:autoSpaceDE/>
              <w:autoSpaceDN/>
              <w:adjustRightInd/>
              <w:rPr>
                <w:rFonts w:eastAsia="Times New Roman"/>
                <w:kern w:val="0"/>
              </w:rPr>
            </w:pPr>
            <w:r w:rsidRPr="009B395A">
              <w:rPr>
                <w:rFonts w:eastAsia="Times New Roman"/>
                <w:kern w:val="0"/>
              </w:rPr>
              <w:t>R</w:t>
            </w:r>
            <w:r>
              <w:rPr>
                <w:rFonts w:eastAsia="Times New Roman"/>
                <w:kern w:val="0"/>
              </w:rPr>
              <w:t>-</w:t>
            </w:r>
            <w:r w:rsidRPr="009B395A">
              <w:rPr>
                <w:rFonts w:eastAsia="Times New Roman"/>
                <w:kern w:val="0"/>
              </w:rPr>
              <w:t>squared</w:t>
            </w:r>
          </w:p>
        </w:tc>
        <w:tc>
          <w:tcPr>
            <w:tcW w:w="1942" w:type="dxa"/>
            <w:gridSpan w:val="2"/>
            <w:tcBorders>
              <w:top w:val="nil"/>
              <w:left w:val="nil"/>
              <w:right w:val="nil"/>
            </w:tcBorders>
            <w:shd w:val="clear" w:color="auto" w:fill="auto"/>
            <w:noWrap/>
            <w:vAlign w:val="bottom"/>
          </w:tcPr>
          <w:p w:rsidR="005A3BEE" w:rsidRPr="00F70D1C" w:rsidRDefault="005A3BEE" w:rsidP="008010EB">
            <w:pPr>
              <w:widowControl/>
              <w:overflowPunct/>
              <w:autoSpaceDE/>
              <w:autoSpaceDN/>
              <w:adjustRightInd/>
              <w:jc w:val="center"/>
              <w:rPr>
                <w:rFonts w:eastAsia="Times New Roman"/>
                <w:kern w:val="0"/>
              </w:rPr>
            </w:pPr>
            <w:r w:rsidRPr="00F70D1C">
              <w:rPr>
                <w:rFonts w:eastAsia="Times New Roman"/>
                <w:kern w:val="0"/>
              </w:rPr>
              <w:t>0.</w:t>
            </w:r>
            <w:r w:rsidR="00F70D1C" w:rsidRPr="00F70D1C">
              <w:rPr>
                <w:rFonts w:eastAsia="Times New Roman"/>
                <w:kern w:val="0"/>
              </w:rPr>
              <w:t>0376</w:t>
            </w:r>
          </w:p>
        </w:tc>
        <w:tc>
          <w:tcPr>
            <w:tcW w:w="1624" w:type="dxa"/>
            <w:gridSpan w:val="2"/>
            <w:tcBorders>
              <w:top w:val="nil"/>
              <w:left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r w:rsidRPr="00931FD3">
              <w:rPr>
                <w:rFonts w:eastAsia="Times New Roman"/>
                <w:kern w:val="0"/>
              </w:rPr>
              <w:t>0.0381</w:t>
            </w:r>
          </w:p>
        </w:tc>
        <w:tc>
          <w:tcPr>
            <w:tcW w:w="1579" w:type="dxa"/>
            <w:tcBorders>
              <w:top w:val="nil"/>
              <w:left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r w:rsidRPr="00931FD3">
              <w:rPr>
                <w:rFonts w:eastAsia="Times New Roman"/>
                <w:kern w:val="0"/>
              </w:rPr>
              <w:t>0.0396</w:t>
            </w:r>
          </w:p>
        </w:tc>
        <w:tc>
          <w:tcPr>
            <w:tcW w:w="1345" w:type="dxa"/>
            <w:tcBorders>
              <w:top w:val="nil"/>
              <w:left w:val="nil"/>
              <w:right w:val="nil"/>
            </w:tcBorders>
            <w:shd w:val="clear" w:color="auto" w:fill="auto"/>
            <w:noWrap/>
            <w:vAlign w:val="bottom"/>
          </w:tcPr>
          <w:p w:rsidR="005A3BEE" w:rsidRPr="009B395A" w:rsidRDefault="005A3BEE" w:rsidP="008010EB">
            <w:pPr>
              <w:widowControl/>
              <w:overflowPunct/>
              <w:autoSpaceDE/>
              <w:autoSpaceDN/>
              <w:adjustRightInd/>
              <w:jc w:val="center"/>
              <w:rPr>
                <w:rFonts w:eastAsia="Times New Roman"/>
                <w:kern w:val="0"/>
              </w:rPr>
            </w:pPr>
          </w:p>
        </w:tc>
        <w:tc>
          <w:tcPr>
            <w:tcW w:w="1421" w:type="dxa"/>
            <w:gridSpan w:val="2"/>
            <w:tcBorders>
              <w:top w:val="nil"/>
              <w:left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r w:rsidRPr="00931FD3">
              <w:rPr>
                <w:rFonts w:eastAsia="Times New Roman"/>
                <w:kern w:val="0"/>
              </w:rPr>
              <w:t>0.0380</w:t>
            </w:r>
          </w:p>
        </w:tc>
        <w:tc>
          <w:tcPr>
            <w:tcW w:w="1399" w:type="dxa"/>
            <w:gridSpan w:val="2"/>
            <w:tcBorders>
              <w:top w:val="nil"/>
              <w:left w:val="nil"/>
              <w:right w:val="nil"/>
            </w:tcBorders>
            <w:shd w:val="clear" w:color="auto" w:fill="auto"/>
            <w:noWrap/>
            <w:vAlign w:val="bottom"/>
          </w:tcPr>
          <w:p w:rsidR="005A3BEE" w:rsidRPr="00064CC9" w:rsidRDefault="005A3BEE" w:rsidP="008010EB">
            <w:pPr>
              <w:widowControl/>
              <w:overflowPunct/>
              <w:autoSpaceDE/>
              <w:autoSpaceDN/>
              <w:adjustRightInd/>
              <w:jc w:val="center"/>
              <w:rPr>
                <w:rFonts w:eastAsia="Times New Roman"/>
                <w:kern w:val="0"/>
              </w:rPr>
            </w:pPr>
            <w:r w:rsidRPr="00931FD3">
              <w:rPr>
                <w:rFonts w:eastAsia="Times New Roman"/>
                <w:kern w:val="0"/>
              </w:rPr>
              <w:t>0.0396</w:t>
            </w:r>
          </w:p>
        </w:tc>
        <w:tc>
          <w:tcPr>
            <w:tcW w:w="1170" w:type="dxa"/>
            <w:tcBorders>
              <w:top w:val="nil"/>
              <w:left w:val="nil"/>
              <w:right w:val="nil"/>
            </w:tcBorders>
            <w:vAlign w:val="bottom"/>
          </w:tcPr>
          <w:p w:rsidR="005A3BEE" w:rsidRPr="00931FD3" w:rsidRDefault="005A3BEE" w:rsidP="008010EB">
            <w:pPr>
              <w:widowControl/>
              <w:overflowPunct/>
              <w:autoSpaceDE/>
              <w:autoSpaceDN/>
              <w:adjustRightInd/>
              <w:jc w:val="center"/>
              <w:rPr>
                <w:rFonts w:eastAsia="Times New Roman"/>
                <w:kern w:val="0"/>
              </w:rPr>
            </w:pPr>
          </w:p>
        </w:tc>
      </w:tr>
      <w:tr w:rsidR="00F70D1C" w:rsidRPr="009B395A" w:rsidTr="008010EB">
        <w:trPr>
          <w:trHeight w:val="236"/>
          <w:jc w:val="center"/>
        </w:trPr>
        <w:tc>
          <w:tcPr>
            <w:tcW w:w="1490" w:type="dxa"/>
            <w:tcBorders>
              <w:top w:val="nil"/>
              <w:left w:val="nil"/>
              <w:bottom w:val="single" w:sz="4" w:space="0" w:color="auto"/>
              <w:right w:val="nil"/>
            </w:tcBorders>
            <w:shd w:val="clear" w:color="auto" w:fill="auto"/>
            <w:noWrap/>
            <w:vAlign w:val="center"/>
            <w:hideMark/>
          </w:tcPr>
          <w:p w:rsidR="005A3BEE" w:rsidRPr="009B395A" w:rsidRDefault="005A3BEE" w:rsidP="008010EB">
            <w:pPr>
              <w:widowControl/>
              <w:overflowPunct/>
              <w:autoSpaceDE/>
              <w:autoSpaceDN/>
              <w:adjustRightInd/>
              <w:rPr>
                <w:rFonts w:eastAsia="Times New Roman"/>
                <w:kern w:val="0"/>
              </w:rPr>
            </w:pPr>
            <w:r w:rsidRPr="009B395A">
              <w:rPr>
                <w:rFonts w:eastAsia="Times New Roman"/>
                <w:kern w:val="0"/>
              </w:rPr>
              <w:t>N</w:t>
            </w:r>
          </w:p>
        </w:tc>
        <w:tc>
          <w:tcPr>
            <w:tcW w:w="1942" w:type="dxa"/>
            <w:gridSpan w:val="2"/>
            <w:tcBorders>
              <w:top w:val="nil"/>
              <w:left w:val="nil"/>
              <w:bottom w:val="single" w:sz="4" w:space="0" w:color="auto"/>
              <w:right w:val="nil"/>
            </w:tcBorders>
            <w:shd w:val="clear" w:color="auto" w:fill="auto"/>
            <w:noWrap/>
          </w:tcPr>
          <w:p w:rsidR="005A3BEE" w:rsidRPr="00F70D1C" w:rsidRDefault="005A3BEE" w:rsidP="008010EB">
            <w:pPr>
              <w:widowControl/>
              <w:overflowPunct/>
              <w:autoSpaceDE/>
              <w:autoSpaceDN/>
              <w:adjustRightInd/>
              <w:jc w:val="center"/>
              <w:rPr>
                <w:rFonts w:eastAsia="Times New Roman"/>
                <w:kern w:val="0"/>
              </w:rPr>
            </w:pPr>
            <w:r w:rsidRPr="00F70D1C">
              <w:rPr>
                <w:rFonts w:eastAsia="Times New Roman"/>
                <w:kern w:val="0"/>
              </w:rPr>
              <w:t>40,102</w:t>
            </w:r>
          </w:p>
        </w:tc>
        <w:tc>
          <w:tcPr>
            <w:tcW w:w="1624" w:type="dxa"/>
            <w:gridSpan w:val="2"/>
            <w:tcBorders>
              <w:top w:val="nil"/>
              <w:left w:val="nil"/>
              <w:bottom w:val="single" w:sz="4" w:space="0" w:color="auto"/>
              <w:right w:val="nil"/>
            </w:tcBorders>
            <w:shd w:val="clear" w:color="auto" w:fill="auto"/>
            <w:noWrap/>
          </w:tcPr>
          <w:p w:rsidR="005A3BEE" w:rsidRPr="00064CC9" w:rsidRDefault="005A3BEE" w:rsidP="008010EB">
            <w:pPr>
              <w:widowControl/>
              <w:overflowPunct/>
              <w:autoSpaceDE/>
              <w:autoSpaceDN/>
              <w:adjustRightInd/>
              <w:jc w:val="center"/>
              <w:rPr>
                <w:rFonts w:eastAsia="Times New Roman"/>
                <w:kern w:val="0"/>
              </w:rPr>
            </w:pPr>
            <w:r w:rsidRPr="000F48E8">
              <w:t>40,102</w:t>
            </w:r>
          </w:p>
        </w:tc>
        <w:tc>
          <w:tcPr>
            <w:tcW w:w="1579" w:type="dxa"/>
            <w:tcBorders>
              <w:top w:val="nil"/>
              <w:left w:val="nil"/>
              <w:bottom w:val="single" w:sz="4" w:space="0" w:color="auto"/>
              <w:right w:val="nil"/>
            </w:tcBorders>
            <w:shd w:val="clear" w:color="auto" w:fill="auto"/>
            <w:noWrap/>
          </w:tcPr>
          <w:p w:rsidR="005A3BEE" w:rsidRPr="00064CC9" w:rsidRDefault="005A3BEE" w:rsidP="008010EB">
            <w:pPr>
              <w:widowControl/>
              <w:overflowPunct/>
              <w:autoSpaceDE/>
              <w:autoSpaceDN/>
              <w:adjustRightInd/>
              <w:jc w:val="center"/>
              <w:rPr>
                <w:rFonts w:eastAsia="Times New Roman"/>
                <w:kern w:val="0"/>
              </w:rPr>
            </w:pPr>
            <w:r w:rsidRPr="000F48E8">
              <w:t>40,102</w:t>
            </w:r>
          </w:p>
        </w:tc>
        <w:tc>
          <w:tcPr>
            <w:tcW w:w="1345" w:type="dxa"/>
            <w:tcBorders>
              <w:top w:val="nil"/>
              <w:left w:val="nil"/>
              <w:bottom w:val="single" w:sz="4" w:space="0" w:color="auto"/>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1421" w:type="dxa"/>
            <w:gridSpan w:val="2"/>
            <w:tcBorders>
              <w:top w:val="nil"/>
              <w:left w:val="nil"/>
              <w:bottom w:val="single" w:sz="4" w:space="0" w:color="auto"/>
              <w:right w:val="nil"/>
            </w:tcBorders>
            <w:shd w:val="clear" w:color="auto" w:fill="auto"/>
            <w:noWrap/>
          </w:tcPr>
          <w:p w:rsidR="005A3BEE" w:rsidRPr="00064CC9" w:rsidRDefault="005A3BEE" w:rsidP="008010EB">
            <w:pPr>
              <w:widowControl/>
              <w:overflowPunct/>
              <w:autoSpaceDE/>
              <w:autoSpaceDN/>
              <w:adjustRightInd/>
              <w:jc w:val="center"/>
              <w:rPr>
                <w:rFonts w:eastAsia="Times New Roman"/>
                <w:kern w:val="0"/>
              </w:rPr>
            </w:pPr>
            <w:r w:rsidRPr="002B0030">
              <w:t>40,102</w:t>
            </w:r>
          </w:p>
        </w:tc>
        <w:tc>
          <w:tcPr>
            <w:tcW w:w="1399" w:type="dxa"/>
            <w:gridSpan w:val="2"/>
            <w:tcBorders>
              <w:top w:val="nil"/>
              <w:left w:val="nil"/>
              <w:bottom w:val="single" w:sz="4" w:space="0" w:color="auto"/>
              <w:right w:val="nil"/>
            </w:tcBorders>
            <w:shd w:val="clear" w:color="auto" w:fill="auto"/>
            <w:noWrap/>
          </w:tcPr>
          <w:p w:rsidR="005A3BEE" w:rsidRPr="00064CC9" w:rsidRDefault="005A3BEE" w:rsidP="008010EB">
            <w:pPr>
              <w:widowControl/>
              <w:overflowPunct/>
              <w:autoSpaceDE/>
              <w:autoSpaceDN/>
              <w:adjustRightInd/>
              <w:jc w:val="center"/>
              <w:rPr>
                <w:rFonts w:eastAsia="Times New Roman"/>
                <w:kern w:val="0"/>
              </w:rPr>
            </w:pPr>
            <w:r w:rsidRPr="002B0030">
              <w:t>40,102</w:t>
            </w:r>
          </w:p>
        </w:tc>
        <w:tc>
          <w:tcPr>
            <w:tcW w:w="1170" w:type="dxa"/>
            <w:tcBorders>
              <w:top w:val="nil"/>
              <w:left w:val="nil"/>
              <w:bottom w:val="single" w:sz="4" w:space="0" w:color="auto"/>
              <w:right w:val="nil"/>
            </w:tcBorders>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r>
      <w:tr w:rsidR="005A3BEE" w:rsidRPr="009B395A" w:rsidTr="008010EB">
        <w:trPr>
          <w:trHeight w:val="236"/>
          <w:jc w:val="center"/>
        </w:trPr>
        <w:tc>
          <w:tcPr>
            <w:tcW w:w="10800" w:type="dxa"/>
            <w:gridSpan w:val="11"/>
            <w:tcBorders>
              <w:top w:val="single" w:sz="4" w:space="0" w:color="auto"/>
              <w:left w:val="nil"/>
              <w:right w:val="nil"/>
            </w:tcBorders>
            <w:shd w:val="clear" w:color="auto" w:fill="auto"/>
            <w:noWrap/>
            <w:vAlign w:val="center"/>
          </w:tcPr>
          <w:p w:rsidR="005A3BEE" w:rsidRPr="009B395A" w:rsidRDefault="005A3BEE" w:rsidP="008010EB">
            <w:pPr>
              <w:widowControl/>
              <w:overflowPunct/>
              <w:autoSpaceDE/>
              <w:autoSpaceDN/>
              <w:adjustRightInd/>
              <w:rPr>
                <w:rFonts w:ascii="Arial" w:eastAsia="Times New Roman" w:hAnsi="Arial" w:cs="Arial"/>
                <w:kern w:val="0"/>
              </w:rPr>
            </w:pPr>
            <w:r w:rsidRPr="00E80B95">
              <w:rPr>
                <w:rFonts w:eastAsia="Times New Roman"/>
                <w:b/>
                <w:bCs/>
              </w:rPr>
              <w:t xml:space="preserve">Panel </w:t>
            </w:r>
            <w:r>
              <w:rPr>
                <w:rFonts w:eastAsia="Times New Roman"/>
                <w:b/>
                <w:bCs/>
              </w:rPr>
              <w:t>B: Testing the moderating effect of Beta using path analyses</w:t>
            </w:r>
          </w:p>
        </w:tc>
        <w:tc>
          <w:tcPr>
            <w:tcW w:w="1170" w:type="dxa"/>
            <w:tcBorders>
              <w:top w:val="single" w:sz="4" w:space="0" w:color="auto"/>
              <w:left w:val="nil"/>
              <w:right w:val="nil"/>
            </w:tcBorders>
          </w:tcPr>
          <w:p w:rsidR="005A3BEE" w:rsidRPr="00E80B95" w:rsidRDefault="005A3BEE" w:rsidP="008010EB">
            <w:pPr>
              <w:widowControl/>
              <w:overflowPunct/>
              <w:autoSpaceDE/>
              <w:autoSpaceDN/>
              <w:adjustRightInd/>
              <w:jc w:val="center"/>
              <w:rPr>
                <w:rFonts w:eastAsia="Times New Roman"/>
                <w:b/>
                <w:bCs/>
              </w:rPr>
            </w:pPr>
          </w:p>
        </w:tc>
      </w:tr>
      <w:tr w:rsidR="00F70D1C" w:rsidRPr="009B395A" w:rsidTr="00167C9E">
        <w:trPr>
          <w:trHeight w:val="236"/>
          <w:jc w:val="center"/>
        </w:trPr>
        <w:tc>
          <w:tcPr>
            <w:tcW w:w="2745" w:type="dxa"/>
            <w:gridSpan w:val="2"/>
            <w:tcBorders>
              <w:top w:val="nil"/>
              <w:left w:val="nil"/>
              <w:bottom w:val="single" w:sz="4" w:space="0" w:color="auto"/>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900"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r>
              <w:rPr>
                <w:kern w:val="0"/>
                <w:lang w:eastAsia="en-US"/>
              </w:rPr>
              <w:t>Effect</w:t>
            </w:r>
          </w:p>
        </w:tc>
        <w:tc>
          <w:tcPr>
            <w:tcW w:w="1411"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r w:rsidRPr="00D90FB0">
              <w:t>t</w:t>
            </w:r>
            <w:r>
              <w:t>-</w:t>
            </w:r>
            <w:r w:rsidRPr="00D90FB0">
              <w:t>statistics</w:t>
            </w:r>
          </w:p>
        </w:tc>
        <w:tc>
          <w:tcPr>
            <w:tcW w:w="1579" w:type="dxa"/>
            <w:tcBorders>
              <w:top w:val="nil"/>
              <w:left w:val="nil"/>
              <w:bottom w:val="single" w:sz="4" w:space="0" w:color="auto"/>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1459"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459"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247"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170" w:type="dxa"/>
            <w:tcBorders>
              <w:top w:val="nil"/>
              <w:left w:val="nil"/>
              <w:bottom w:val="single" w:sz="4" w:space="0" w:color="auto"/>
              <w:right w:val="nil"/>
            </w:tcBorders>
          </w:tcPr>
          <w:p w:rsidR="005A3BEE" w:rsidRPr="009B395A" w:rsidRDefault="005A3BEE" w:rsidP="008010EB">
            <w:pPr>
              <w:widowControl/>
              <w:overflowPunct/>
              <w:autoSpaceDE/>
              <w:autoSpaceDN/>
              <w:adjustRightInd/>
              <w:jc w:val="center"/>
              <w:rPr>
                <w:rFonts w:ascii="Arial" w:eastAsia="Times New Roman" w:hAnsi="Arial" w:cs="Arial"/>
                <w:kern w:val="0"/>
              </w:rPr>
            </w:pPr>
          </w:p>
        </w:tc>
      </w:tr>
      <w:tr w:rsidR="00F70D1C" w:rsidRPr="009B395A" w:rsidTr="00167C9E">
        <w:trPr>
          <w:trHeight w:val="236"/>
          <w:jc w:val="center"/>
        </w:trPr>
        <w:tc>
          <w:tcPr>
            <w:tcW w:w="2745" w:type="dxa"/>
            <w:gridSpan w:val="2"/>
            <w:tcBorders>
              <w:top w:val="single" w:sz="4" w:space="0" w:color="auto"/>
              <w:left w:val="nil"/>
              <w:right w:val="nil"/>
            </w:tcBorders>
            <w:shd w:val="clear" w:color="auto" w:fill="auto"/>
            <w:noWrap/>
            <w:vAlign w:val="bottom"/>
          </w:tcPr>
          <w:p w:rsidR="005A3BEE" w:rsidRPr="009B395A" w:rsidRDefault="00167C9E" w:rsidP="008010EB">
            <w:pPr>
              <w:widowControl/>
              <w:overflowPunct/>
              <w:autoSpaceDE/>
              <w:autoSpaceDN/>
              <w:adjustRightInd/>
              <w:rPr>
                <w:rFonts w:eastAsia="Times New Roman"/>
                <w:kern w:val="0"/>
              </w:rPr>
            </w:pPr>
            <w:r w:rsidRPr="009B395A">
              <w:rPr>
                <w:rFonts w:eastAsia="Times New Roman"/>
                <w:i/>
                <w:iCs/>
                <w:kern w:val="0"/>
              </w:rPr>
              <w:t>H_</w:t>
            </w:r>
            <w:r w:rsidR="005A3BEE" w:rsidRPr="00D90FB0">
              <w:rPr>
                <w:rFonts w:eastAsia="Times New Roman"/>
                <w:i/>
              </w:rPr>
              <w:t>P_EQew</w:t>
            </w:r>
            <w:r w:rsidR="005A3BEE" w:rsidRPr="0012580D">
              <w:rPr>
                <w:rFonts w:eastAsia="Times New Roman"/>
                <w:i/>
              </w:rPr>
              <w:t xml:space="preserve"> </w:t>
            </w:r>
            <w:r w:rsidR="005A3BEE" w:rsidRPr="0012580D">
              <w:rPr>
                <w:rFonts w:eastAsia="Times New Roman"/>
                <w:i/>
              </w:rPr>
              <w:sym w:font="Wingdings" w:char="F0E0"/>
            </w:r>
            <w:r w:rsidR="005A3BEE">
              <w:rPr>
                <w:rFonts w:eastAsia="Times New Roman"/>
                <w:i/>
              </w:rPr>
              <w:t xml:space="preserve"> Beta </w:t>
            </w:r>
            <w:r w:rsidR="005A3BEE" w:rsidRPr="0012580D">
              <w:rPr>
                <w:rFonts w:eastAsia="Times New Roman"/>
                <w:i/>
              </w:rPr>
              <w:sym w:font="Wingdings" w:char="F0E0"/>
            </w:r>
            <w:r w:rsidR="005A3BEE" w:rsidRPr="00D90FB0">
              <w:rPr>
                <w:rFonts w:eastAsia="Times New Roman"/>
                <w:bCs/>
                <w:i/>
              </w:rPr>
              <w:t xml:space="preserve"> IndEP</w:t>
            </w:r>
          </w:p>
        </w:tc>
        <w:tc>
          <w:tcPr>
            <w:tcW w:w="900" w:type="dxa"/>
            <w:gridSpan w:val="2"/>
            <w:tcBorders>
              <w:top w:val="single" w:sz="4" w:space="0" w:color="auto"/>
              <w:left w:val="nil"/>
              <w:right w:val="nil"/>
            </w:tcBorders>
            <w:shd w:val="clear" w:color="auto" w:fill="auto"/>
            <w:noWrap/>
            <w:vAlign w:val="bottom"/>
          </w:tcPr>
          <w:p w:rsidR="005A3BEE" w:rsidRPr="00064CC9" w:rsidRDefault="005A3BEE" w:rsidP="00167C9E">
            <w:pPr>
              <w:widowControl/>
              <w:overflowPunct/>
              <w:autoSpaceDE/>
              <w:autoSpaceDN/>
              <w:adjustRightInd/>
              <w:jc w:val="center"/>
              <w:rPr>
                <w:rFonts w:eastAsia="Times New Roman"/>
                <w:kern w:val="0"/>
              </w:rPr>
            </w:pPr>
            <w:r>
              <w:rPr>
                <w:rFonts w:eastAsia="Times New Roman"/>
                <w:kern w:val="0"/>
              </w:rPr>
              <w:t>−0.00</w:t>
            </w:r>
            <w:r w:rsidR="00167C9E">
              <w:rPr>
                <w:rFonts w:eastAsia="Times New Roman"/>
                <w:kern w:val="0"/>
              </w:rPr>
              <w:t>9</w:t>
            </w:r>
          </w:p>
        </w:tc>
        <w:tc>
          <w:tcPr>
            <w:tcW w:w="1411" w:type="dxa"/>
            <w:tcBorders>
              <w:top w:val="single" w:sz="4" w:space="0" w:color="auto"/>
              <w:left w:val="nil"/>
              <w:right w:val="nil"/>
            </w:tcBorders>
            <w:shd w:val="clear" w:color="auto" w:fill="auto"/>
            <w:noWrap/>
            <w:vAlign w:val="bottom"/>
          </w:tcPr>
          <w:p w:rsidR="005A3BEE" w:rsidRPr="00064CC9" w:rsidRDefault="005A3BEE" w:rsidP="00167C9E">
            <w:pPr>
              <w:widowControl/>
              <w:overflowPunct/>
              <w:autoSpaceDE/>
              <w:autoSpaceDN/>
              <w:adjustRightInd/>
              <w:jc w:val="center"/>
              <w:rPr>
                <w:rFonts w:eastAsia="Times New Roman"/>
                <w:kern w:val="0"/>
              </w:rPr>
            </w:pPr>
            <w:r>
              <w:rPr>
                <w:rFonts w:eastAsia="Times New Roman"/>
                <w:kern w:val="0"/>
              </w:rPr>
              <w:t>−</w:t>
            </w:r>
            <w:r w:rsidR="00167C9E">
              <w:rPr>
                <w:rFonts w:eastAsia="Times New Roman"/>
                <w:kern w:val="0"/>
              </w:rPr>
              <w:t>10.25</w:t>
            </w:r>
            <w:r w:rsidRPr="00064CC9">
              <w:rPr>
                <w:rFonts w:eastAsia="Times New Roman"/>
                <w:kern w:val="0"/>
              </w:rPr>
              <w:t>***</w:t>
            </w:r>
          </w:p>
        </w:tc>
        <w:tc>
          <w:tcPr>
            <w:tcW w:w="1579" w:type="dxa"/>
            <w:tcBorders>
              <w:top w:val="single" w:sz="4" w:space="0" w:color="auto"/>
              <w:left w:val="nil"/>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1459" w:type="dxa"/>
            <w:gridSpan w:val="2"/>
            <w:tcBorders>
              <w:top w:val="single" w:sz="4" w:space="0" w:color="auto"/>
              <w:left w:val="nil"/>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459" w:type="dxa"/>
            <w:gridSpan w:val="2"/>
            <w:tcBorders>
              <w:top w:val="single" w:sz="4" w:space="0" w:color="auto"/>
              <w:left w:val="nil"/>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247" w:type="dxa"/>
            <w:tcBorders>
              <w:top w:val="single" w:sz="4" w:space="0" w:color="auto"/>
              <w:left w:val="nil"/>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170" w:type="dxa"/>
            <w:tcBorders>
              <w:top w:val="single" w:sz="4" w:space="0" w:color="auto"/>
              <w:left w:val="nil"/>
              <w:right w:val="nil"/>
            </w:tcBorders>
          </w:tcPr>
          <w:p w:rsidR="005A3BEE" w:rsidRPr="009B395A" w:rsidRDefault="005A3BEE" w:rsidP="008010EB">
            <w:pPr>
              <w:widowControl/>
              <w:overflowPunct/>
              <w:autoSpaceDE/>
              <w:autoSpaceDN/>
              <w:adjustRightInd/>
              <w:jc w:val="center"/>
              <w:rPr>
                <w:rFonts w:ascii="Arial" w:eastAsia="Times New Roman" w:hAnsi="Arial" w:cs="Arial"/>
                <w:kern w:val="0"/>
              </w:rPr>
            </w:pPr>
          </w:p>
        </w:tc>
      </w:tr>
      <w:tr w:rsidR="00F70D1C" w:rsidRPr="009B395A" w:rsidTr="00167C9E">
        <w:trPr>
          <w:trHeight w:val="236"/>
          <w:jc w:val="center"/>
        </w:trPr>
        <w:tc>
          <w:tcPr>
            <w:tcW w:w="2745" w:type="dxa"/>
            <w:gridSpan w:val="2"/>
            <w:tcBorders>
              <w:top w:val="nil"/>
              <w:left w:val="nil"/>
              <w:bottom w:val="single" w:sz="4" w:space="0" w:color="auto"/>
              <w:right w:val="nil"/>
            </w:tcBorders>
            <w:shd w:val="clear" w:color="auto" w:fill="auto"/>
            <w:noWrap/>
            <w:vAlign w:val="bottom"/>
          </w:tcPr>
          <w:p w:rsidR="005A3BEE" w:rsidRPr="009B395A" w:rsidRDefault="00167C9E" w:rsidP="008010EB">
            <w:pPr>
              <w:widowControl/>
              <w:overflowPunct/>
              <w:autoSpaceDE/>
              <w:autoSpaceDN/>
              <w:adjustRightInd/>
              <w:rPr>
                <w:rFonts w:eastAsia="Times New Roman"/>
                <w:kern w:val="0"/>
              </w:rPr>
            </w:pPr>
            <w:r w:rsidRPr="009B395A">
              <w:rPr>
                <w:rFonts w:eastAsia="Times New Roman"/>
                <w:i/>
                <w:iCs/>
                <w:kern w:val="0"/>
              </w:rPr>
              <w:t>H_</w:t>
            </w:r>
            <w:r w:rsidR="005A3BEE" w:rsidRPr="00D90FB0">
              <w:rPr>
                <w:rFonts w:eastAsia="Times New Roman"/>
                <w:i/>
              </w:rPr>
              <w:t>P_EQmsw</w:t>
            </w:r>
            <w:r w:rsidR="005A3BEE" w:rsidRPr="0012580D">
              <w:rPr>
                <w:rFonts w:eastAsia="Times New Roman"/>
                <w:i/>
              </w:rPr>
              <w:sym w:font="Wingdings" w:char="F0E0"/>
            </w:r>
            <w:r w:rsidR="005A3BEE">
              <w:rPr>
                <w:rFonts w:eastAsia="Times New Roman"/>
                <w:i/>
              </w:rPr>
              <w:t xml:space="preserve"> Beta </w:t>
            </w:r>
            <w:r w:rsidR="005A3BEE" w:rsidRPr="0012580D">
              <w:rPr>
                <w:rFonts w:eastAsia="Times New Roman"/>
                <w:i/>
              </w:rPr>
              <w:sym w:font="Wingdings" w:char="F0E0"/>
            </w:r>
            <w:r w:rsidR="005A3BEE" w:rsidRPr="00D90FB0">
              <w:rPr>
                <w:rFonts w:eastAsia="Times New Roman"/>
                <w:bCs/>
                <w:i/>
              </w:rPr>
              <w:t xml:space="preserve"> IndEP</w:t>
            </w:r>
          </w:p>
        </w:tc>
        <w:tc>
          <w:tcPr>
            <w:tcW w:w="900" w:type="dxa"/>
            <w:gridSpan w:val="2"/>
            <w:tcBorders>
              <w:top w:val="nil"/>
              <w:left w:val="nil"/>
              <w:bottom w:val="single" w:sz="4" w:space="0" w:color="auto"/>
              <w:right w:val="nil"/>
            </w:tcBorders>
            <w:shd w:val="clear" w:color="auto" w:fill="auto"/>
            <w:noWrap/>
            <w:vAlign w:val="bottom"/>
          </w:tcPr>
          <w:p w:rsidR="005A3BEE" w:rsidRPr="00064CC9" w:rsidRDefault="005A3BEE" w:rsidP="00167C9E">
            <w:pPr>
              <w:widowControl/>
              <w:overflowPunct/>
              <w:autoSpaceDE/>
              <w:autoSpaceDN/>
              <w:adjustRightInd/>
              <w:ind w:hanging="108"/>
              <w:jc w:val="center"/>
              <w:rPr>
                <w:rFonts w:eastAsia="Times New Roman"/>
                <w:kern w:val="0"/>
              </w:rPr>
            </w:pPr>
            <w:r>
              <w:rPr>
                <w:rFonts w:eastAsia="Times New Roman"/>
                <w:kern w:val="0"/>
              </w:rPr>
              <w:t>−0.0</w:t>
            </w:r>
            <w:r w:rsidR="00167C9E">
              <w:rPr>
                <w:rFonts w:eastAsia="Times New Roman"/>
                <w:kern w:val="0"/>
              </w:rPr>
              <w:t>10</w:t>
            </w:r>
          </w:p>
        </w:tc>
        <w:tc>
          <w:tcPr>
            <w:tcW w:w="1411" w:type="dxa"/>
            <w:tcBorders>
              <w:top w:val="nil"/>
              <w:left w:val="nil"/>
              <w:bottom w:val="single" w:sz="4" w:space="0" w:color="auto"/>
              <w:right w:val="nil"/>
            </w:tcBorders>
            <w:shd w:val="clear" w:color="auto" w:fill="auto"/>
            <w:noWrap/>
            <w:vAlign w:val="bottom"/>
          </w:tcPr>
          <w:p w:rsidR="005A3BEE" w:rsidRPr="00064CC9" w:rsidRDefault="005A3BEE" w:rsidP="00167C9E">
            <w:pPr>
              <w:widowControl/>
              <w:overflowPunct/>
              <w:autoSpaceDE/>
              <w:autoSpaceDN/>
              <w:adjustRightInd/>
              <w:ind w:hanging="144"/>
              <w:jc w:val="center"/>
              <w:rPr>
                <w:rFonts w:eastAsia="Times New Roman"/>
                <w:kern w:val="0"/>
              </w:rPr>
            </w:pPr>
            <w:r>
              <w:rPr>
                <w:rFonts w:eastAsia="Times New Roman"/>
                <w:kern w:val="0"/>
              </w:rPr>
              <w:t>−</w:t>
            </w:r>
            <w:r w:rsidR="00167C9E">
              <w:rPr>
                <w:rFonts w:eastAsia="Times New Roman"/>
                <w:kern w:val="0"/>
              </w:rPr>
              <w:t>10.33</w:t>
            </w:r>
            <w:r w:rsidRPr="00064CC9">
              <w:rPr>
                <w:rFonts w:eastAsia="Times New Roman"/>
                <w:kern w:val="0"/>
              </w:rPr>
              <w:t>***</w:t>
            </w:r>
          </w:p>
        </w:tc>
        <w:tc>
          <w:tcPr>
            <w:tcW w:w="1579" w:type="dxa"/>
            <w:tcBorders>
              <w:top w:val="nil"/>
              <w:left w:val="nil"/>
              <w:bottom w:val="single" w:sz="4" w:space="0" w:color="auto"/>
              <w:right w:val="nil"/>
            </w:tcBorders>
            <w:shd w:val="clear" w:color="auto" w:fill="auto"/>
            <w:noWrap/>
            <w:vAlign w:val="center"/>
          </w:tcPr>
          <w:p w:rsidR="005A3BEE" w:rsidRPr="009B395A" w:rsidRDefault="005A3BEE" w:rsidP="008010EB">
            <w:pPr>
              <w:widowControl/>
              <w:overflowPunct/>
              <w:autoSpaceDE/>
              <w:autoSpaceDN/>
              <w:adjustRightInd/>
              <w:jc w:val="center"/>
              <w:rPr>
                <w:rFonts w:eastAsia="Times New Roman"/>
                <w:kern w:val="0"/>
              </w:rPr>
            </w:pPr>
          </w:p>
        </w:tc>
        <w:tc>
          <w:tcPr>
            <w:tcW w:w="1459"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459" w:type="dxa"/>
            <w:gridSpan w:val="2"/>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247" w:type="dxa"/>
            <w:tcBorders>
              <w:top w:val="nil"/>
              <w:left w:val="nil"/>
              <w:bottom w:val="single" w:sz="4" w:space="0" w:color="auto"/>
              <w:right w:val="nil"/>
            </w:tcBorders>
            <w:shd w:val="clear" w:color="auto" w:fill="auto"/>
            <w:noWrap/>
            <w:vAlign w:val="bottom"/>
          </w:tcPr>
          <w:p w:rsidR="005A3BEE" w:rsidRPr="009B395A" w:rsidRDefault="005A3BEE" w:rsidP="008010EB">
            <w:pPr>
              <w:widowControl/>
              <w:overflowPunct/>
              <w:autoSpaceDE/>
              <w:autoSpaceDN/>
              <w:adjustRightInd/>
              <w:jc w:val="center"/>
              <w:rPr>
                <w:rFonts w:ascii="Arial" w:eastAsia="Times New Roman" w:hAnsi="Arial" w:cs="Arial"/>
                <w:kern w:val="0"/>
              </w:rPr>
            </w:pPr>
          </w:p>
        </w:tc>
        <w:tc>
          <w:tcPr>
            <w:tcW w:w="1170" w:type="dxa"/>
            <w:tcBorders>
              <w:top w:val="nil"/>
              <w:left w:val="nil"/>
              <w:bottom w:val="single" w:sz="4" w:space="0" w:color="auto"/>
              <w:right w:val="nil"/>
            </w:tcBorders>
          </w:tcPr>
          <w:p w:rsidR="005A3BEE" w:rsidRPr="009B395A" w:rsidRDefault="005A3BEE" w:rsidP="008010EB">
            <w:pPr>
              <w:widowControl/>
              <w:overflowPunct/>
              <w:autoSpaceDE/>
              <w:autoSpaceDN/>
              <w:adjustRightInd/>
              <w:jc w:val="center"/>
              <w:rPr>
                <w:rFonts w:ascii="Arial" w:eastAsia="Times New Roman" w:hAnsi="Arial" w:cs="Arial"/>
                <w:kern w:val="0"/>
              </w:rPr>
            </w:pPr>
          </w:p>
        </w:tc>
      </w:tr>
      <w:tr w:rsidR="002C1327" w:rsidRPr="009B395A" w:rsidTr="008010EB">
        <w:trPr>
          <w:trHeight w:val="236"/>
          <w:jc w:val="center"/>
        </w:trPr>
        <w:tc>
          <w:tcPr>
            <w:tcW w:w="11970" w:type="dxa"/>
            <w:gridSpan w:val="12"/>
            <w:tcBorders>
              <w:top w:val="single" w:sz="4" w:space="0" w:color="auto"/>
              <w:left w:val="nil"/>
              <w:right w:val="nil"/>
            </w:tcBorders>
            <w:shd w:val="clear" w:color="auto" w:fill="auto"/>
            <w:noWrap/>
            <w:vAlign w:val="bottom"/>
          </w:tcPr>
          <w:p w:rsidR="002C1327" w:rsidRPr="00D90FB0" w:rsidRDefault="002C1327" w:rsidP="00167C9E">
            <w:pPr>
              <w:widowControl/>
              <w:overflowPunct/>
              <w:autoSpaceDE/>
              <w:autoSpaceDN/>
              <w:adjustRightInd/>
              <w:rPr>
                <w:b/>
              </w:rPr>
            </w:pPr>
            <w:r w:rsidRPr="00D90FB0">
              <w:rPr>
                <w:b/>
              </w:rPr>
              <w:t>Note:</w:t>
            </w:r>
            <w:r w:rsidRPr="00D90FB0">
              <w:t xml:space="preserve"> This table shows the multiple regression results for the </w:t>
            </w:r>
            <w:r>
              <w:t>i</w:t>
            </w:r>
            <w:r w:rsidRPr="00454E96">
              <w:t>ndustry</w:t>
            </w:r>
            <w:r>
              <w:t>-a</w:t>
            </w:r>
            <w:r w:rsidRPr="00454E96">
              <w:t xml:space="preserve">djusted </w:t>
            </w:r>
            <w:r>
              <w:t>e</w:t>
            </w:r>
            <w:r w:rsidRPr="00454E96">
              <w:t>arnings</w:t>
            </w:r>
            <w:r>
              <w:t>-p</w:t>
            </w:r>
            <w:r w:rsidRPr="00454E96">
              <w:t xml:space="preserve">rice </w:t>
            </w:r>
            <w:r>
              <w:t>r</w:t>
            </w:r>
            <w:r w:rsidRPr="00454E96">
              <w:t xml:space="preserve">atio </w:t>
            </w:r>
            <w:r w:rsidRPr="00D90FB0">
              <w:t xml:space="preserve">test. In Panel A, the regressions are estimated without controlling for </w:t>
            </w:r>
            <w:r w:rsidRPr="00D90FB0">
              <w:rPr>
                <w:i/>
              </w:rPr>
              <w:t>Beta</w:t>
            </w:r>
            <w:r w:rsidRPr="00D90FB0">
              <w:t xml:space="preserve">. In Panel B, the regressions are estimated </w:t>
            </w:r>
            <w:r>
              <w:t xml:space="preserve">before and </w:t>
            </w:r>
            <w:r w:rsidRPr="00D90FB0">
              <w:t xml:space="preserve">after controlling for </w:t>
            </w:r>
            <w:r w:rsidRPr="00D90FB0">
              <w:rPr>
                <w:i/>
              </w:rPr>
              <w:t>Beta</w:t>
            </w:r>
            <w:r w:rsidRPr="00D90FB0">
              <w:t xml:space="preserve">. Panel </w:t>
            </w:r>
            <w:r>
              <w:t>B</w:t>
            </w:r>
            <w:r w:rsidRPr="00D90FB0">
              <w:t xml:space="preserve"> </w:t>
            </w:r>
            <w:r>
              <w:t>analyze the moderating effect of beta using path analyses.</w:t>
            </w:r>
            <w:r w:rsidRPr="00D90FB0">
              <w:t xml:space="preserve"> </w:t>
            </w:r>
            <w:r>
              <w:t>t-</w:t>
            </w:r>
            <w:r w:rsidRPr="00D90FB0">
              <w:t>statistics are reported in parentheses, and Z</w:t>
            </w:r>
            <w:r>
              <w:t>-</w:t>
            </w:r>
            <w:r w:rsidRPr="00D90FB0">
              <w:t xml:space="preserve">statistics are reported in square brackets. Standard errors are clustered by firm. </w:t>
            </w:r>
            <w:r w:rsidRPr="00D90FB0">
              <w:rPr>
                <w:color w:val="000000"/>
                <w:lang w:eastAsia="en-US"/>
              </w:rPr>
              <w:t>***, **, and * refer to significance (two</w:t>
            </w:r>
            <w:r>
              <w:rPr>
                <w:color w:val="000000"/>
                <w:lang w:eastAsia="en-US"/>
              </w:rPr>
              <w:t>-</w:t>
            </w:r>
            <w:r w:rsidRPr="00D90FB0">
              <w:rPr>
                <w:color w:val="000000"/>
                <w:lang w:eastAsia="en-US"/>
              </w:rPr>
              <w:t>tailed) at the 1%, 5%, and 10% level, respectively.</w:t>
            </w:r>
            <w:r w:rsidRPr="00D90FB0">
              <w:rPr>
                <w:color w:val="000000"/>
              </w:rPr>
              <w:t xml:space="preserve"> </w:t>
            </w:r>
            <w:r w:rsidRPr="00D90FB0">
              <w:t>Variable definitions are available in the appendix.</w:t>
            </w:r>
          </w:p>
        </w:tc>
      </w:tr>
    </w:tbl>
    <w:p w:rsidR="00A65AF1" w:rsidRDefault="00A65AF1" w:rsidP="008010EB">
      <w:pPr>
        <w:jc w:val="center"/>
      </w:pPr>
    </w:p>
    <w:tbl>
      <w:tblPr>
        <w:tblW w:w="11765" w:type="dxa"/>
        <w:jc w:val="center"/>
        <w:tblLayout w:type="fixed"/>
        <w:tblCellMar>
          <w:left w:w="0" w:type="dxa"/>
          <w:right w:w="0" w:type="dxa"/>
        </w:tblCellMar>
        <w:tblLook w:val="04A0" w:firstRow="1" w:lastRow="0" w:firstColumn="1" w:lastColumn="0" w:noHBand="0" w:noVBand="1"/>
      </w:tblPr>
      <w:tblGrid>
        <w:gridCol w:w="1830"/>
        <w:gridCol w:w="1207"/>
        <w:gridCol w:w="1100"/>
        <w:gridCol w:w="739"/>
        <w:gridCol w:w="913"/>
        <w:gridCol w:w="1174"/>
        <w:gridCol w:w="1192"/>
        <w:gridCol w:w="805"/>
        <w:gridCol w:w="40"/>
        <w:gridCol w:w="1022"/>
        <w:gridCol w:w="1034"/>
        <w:gridCol w:w="709"/>
      </w:tblGrid>
      <w:tr w:rsidR="0075492B" w:rsidRPr="004943A9" w:rsidTr="008010EB">
        <w:trPr>
          <w:trHeight w:val="252"/>
          <w:jc w:val="center"/>
        </w:trPr>
        <w:tc>
          <w:tcPr>
            <w:tcW w:w="11764" w:type="dxa"/>
            <w:gridSpan w:val="12"/>
            <w:tcBorders>
              <w:left w:val="nil"/>
              <w:bottom w:val="single" w:sz="4" w:space="0" w:color="auto"/>
              <w:right w:val="nil"/>
            </w:tcBorders>
            <w:shd w:val="clear" w:color="auto" w:fill="auto"/>
            <w:noWrap/>
            <w:tcMar>
              <w:top w:w="15" w:type="dxa"/>
              <w:left w:w="15" w:type="dxa"/>
              <w:bottom w:w="0" w:type="dxa"/>
              <w:right w:w="15" w:type="dxa"/>
            </w:tcMar>
            <w:vAlign w:val="bottom"/>
          </w:tcPr>
          <w:p w:rsidR="0075492B" w:rsidRPr="00931FD3" w:rsidRDefault="0075492B" w:rsidP="008010EB">
            <w:pPr>
              <w:pStyle w:val="Heading4"/>
              <w:rPr>
                <w:b w:val="0"/>
              </w:rPr>
            </w:pPr>
            <w:bookmarkStart w:id="224" w:name="_Toc378088920"/>
            <w:r w:rsidRPr="00931FD3">
              <w:t>Table 8</w:t>
            </w:r>
            <w:bookmarkEnd w:id="224"/>
          </w:p>
          <w:p w:rsidR="0075492B" w:rsidRPr="00931FD3" w:rsidRDefault="0075492B" w:rsidP="008010EB">
            <w:pPr>
              <w:pStyle w:val="Heading4"/>
              <w:rPr>
                <w:rFonts w:ascii="Arial" w:hAnsi="Arial" w:cs="Arial"/>
              </w:rPr>
            </w:pPr>
            <w:bookmarkStart w:id="225" w:name="_Toc378088921"/>
            <w:r w:rsidRPr="00931FD3">
              <w:t>Variation in the Cost of Equity Effect of Peer Firm Earnings Quality</w:t>
            </w:r>
            <w:bookmarkEnd w:id="225"/>
          </w:p>
        </w:tc>
      </w:tr>
      <w:tr w:rsidR="0075492B" w:rsidRPr="004943A9" w:rsidTr="008010EB">
        <w:trPr>
          <w:trHeight w:val="241"/>
          <w:jc w:val="center"/>
        </w:trPr>
        <w:tc>
          <w:tcPr>
            <w:tcW w:w="11764" w:type="dxa"/>
            <w:gridSpan w:val="12"/>
            <w:tcBorders>
              <w:top w:val="single" w:sz="4" w:space="0" w:color="auto"/>
              <w:left w:val="nil"/>
              <w:right w:val="nil"/>
            </w:tcBorders>
            <w:shd w:val="clear" w:color="auto" w:fill="auto"/>
            <w:noWrap/>
            <w:tcMar>
              <w:top w:w="15" w:type="dxa"/>
              <w:left w:w="15" w:type="dxa"/>
              <w:bottom w:w="0" w:type="dxa"/>
              <w:right w:w="15" w:type="dxa"/>
            </w:tcMar>
            <w:vAlign w:val="bottom"/>
          </w:tcPr>
          <w:p w:rsidR="0075492B" w:rsidRPr="00931FD3" w:rsidRDefault="0075492B" w:rsidP="008010EB">
            <w:pPr>
              <w:rPr>
                <w:rFonts w:eastAsia="Times New Roman"/>
                <w:b/>
                <w:bCs/>
                <w:sz w:val="16"/>
                <w:szCs w:val="16"/>
              </w:rPr>
            </w:pPr>
            <w:r w:rsidRPr="00931FD3">
              <w:rPr>
                <w:rFonts w:eastAsia="Times New Roman"/>
                <w:b/>
                <w:bCs/>
                <w:sz w:val="16"/>
                <w:szCs w:val="16"/>
              </w:rPr>
              <w:t>Panel A: Sample Split Base</w:t>
            </w:r>
            <w:r w:rsidR="007B329A" w:rsidRPr="00931FD3">
              <w:rPr>
                <w:rFonts w:eastAsia="Times New Roman"/>
                <w:b/>
                <w:bCs/>
                <w:sz w:val="16"/>
                <w:szCs w:val="16"/>
              </w:rPr>
              <w:t>d on Peer Firm Earnings Quality</w:t>
            </w:r>
          </w:p>
        </w:tc>
      </w:tr>
      <w:tr w:rsidR="00B44823" w:rsidRPr="004943A9" w:rsidTr="008010EB">
        <w:trPr>
          <w:trHeight w:val="252"/>
          <w:jc w:val="center"/>
        </w:trPr>
        <w:tc>
          <w:tcPr>
            <w:tcW w:w="1830" w:type="dxa"/>
            <w:tcBorders>
              <w:left w:val="nil"/>
              <w:right w:val="nil"/>
            </w:tcBorders>
            <w:shd w:val="clear" w:color="auto" w:fill="auto"/>
            <w:noWrap/>
            <w:tcMar>
              <w:top w:w="15" w:type="dxa"/>
              <w:left w:w="15" w:type="dxa"/>
              <w:bottom w:w="0" w:type="dxa"/>
              <w:right w:w="15" w:type="dxa"/>
            </w:tcMar>
            <w:vAlign w:val="bottom"/>
          </w:tcPr>
          <w:p w:rsidR="00B44823" w:rsidRPr="004943A9" w:rsidRDefault="00B44823" w:rsidP="008010EB">
            <w:pPr>
              <w:rPr>
                <w:sz w:val="16"/>
                <w:szCs w:val="16"/>
              </w:rPr>
            </w:pPr>
            <w:r w:rsidRPr="004943A9">
              <w:rPr>
                <w:sz w:val="16"/>
                <w:szCs w:val="16"/>
              </w:rPr>
              <w:t>Dep. Var.=</w:t>
            </w:r>
          </w:p>
        </w:tc>
        <w:tc>
          <w:tcPr>
            <w:tcW w:w="3046" w:type="dxa"/>
            <w:gridSpan w:val="3"/>
            <w:tcBorders>
              <w:left w:val="nil"/>
              <w:right w:val="nil"/>
            </w:tcBorders>
            <w:shd w:val="clear" w:color="auto" w:fill="auto"/>
            <w:noWrap/>
            <w:tcMar>
              <w:top w:w="15" w:type="dxa"/>
              <w:left w:w="15" w:type="dxa"/>
              <w:bottom w:w="0" w:type="dxa"/>
              <w:right w:w="15" w:type="dxa"/>
            </w:tcMar>
            <w:vAlign w:val="bottom"/>
          </w:tcPr>
          <w:p w:rsidR="00B44823" w:rsidRPr="004943A9" w:rsidRDefault="00B44823" w:rsidP="008010EB">
            <w:pPr>
              <w:jc w:val="center"/>
              <w:rPr>
                <w:i/>
                <w:sz w:val="16"/>
                <w:szCs w:val="16"/>
              </w:rPr>
            </w:pPr>
            <w:r w:rsidRPr="004943A9">
              <w:rPr>
                <w:i/>
                <w:iCs/>
                <w:sz w:val="16"/>
                <w:szCs w:val="16"/>
              </w:rPr>
              <w:t>EXRET</w:t>
            </w:r>
          </w:p>
        </w:tc>
        <w:tc>
          <w:tcPr>
            <w:tcW w:w="4084" w:type="dxa"/>
            <w:gridSpan w:val="4"/>
            <w:tcBorders>
              <w:left w:val="nil"/>
            </w:tcBorders>
            <w:shd w:val="clear" w:color="auto" w:fill="auto"/>
            <w:noWrap/>
            <w:tcMar>
              <w:top w:w="15" w:type="dxa"/>
              <w:left w:w="15" w:type="dxa"/>
              <w:bottom w:w="0" w:type="dxa"/>
              <w:right w:w="15" w:type="dxa"/>
            </w:tcMar>
            <w:vAlign w:val="center"/>
          </w:tcPr>
          <w:p w:rsidR="00B44823" w:rsidRPr="004943A9" w:rsidRDefault="00B44823" w:rsidP="008010EB">
            <w:pPr>
              <w:jc w:val="center"/>
              <w:rPr>
                <w:i/>
                <w:iCs/>
                <w:color w:val="000000"/>
                <w:sz w:val="16"/>
                <w:szCs w:val="16"/>
              </w:rPr>
            </w:pPr>
            <w:proofErr w:type="spellStart"/>
            <w:r w:rsidRPr="004943A9">
              <w:rPr>
                <w:i/>
                <w:iCs/>
                <w:color w:val="000000"/>
                <w:sz w:val="16"/>
                <w:szCs w:val="16"/>
              </w:rPr>
              <w:t>ICoE</w:t>
            </w:r>
            <w:proofErr w:type="spellEnd"/>
          </w:p>
        </w:tc>
        <w:tc>
          <w:tcPr>
            <w:tcW w:w="2804" w:type="dxa"/>
            <w:gridSpan w:val="4"/>
            <w:tcBorders>
              <w:right w:val="nil"/>
            </w:tcBorders>
            <w:shd w:val="clear" w:color="auto" w:fill="auto"/>
            <w:noWrap/>
            <w:tcMar>
              <w:top w:w="15" w:type="dxa"/>
              <w:left w:w="15" w:type="dxa"/>
              <w:bottom w:w="0" w:type="dxa"/>
              <w:right w:w="15" w:type="dxa"/>
            </w:tcMar>
            <w:vAlign w:val="center"/>
          </w:tcPr>
          <w:p w:rsidR="00B44823" w:rsidRPr="004943A9" w:rsidRDefault="00B44823" w:rsidP="008010EB">
            <w:pPr>
              <w:jc w:val="center"/>
              <w:rPr>
                <w:i/>
                <w:sz w:val="16"/>
                <w:szCs w:val="16"/>
              </w:rPr>
            </w:pPr>
            <w:proofErr w:type="spellStart"/>
            <w:r w:rsidRPr="004943A9">
              <w:rPr>
                <w:i/>
                <w:iCs/>
                <w:color w:val="000000"/>
                <w:sz w:val="16"/>
                <w:szCs w:val="16"/>
              </w:rPr>
              <w:t>IndEP</w:t>
            </w:r>
            <w:proofErr w:type="spellEnd"/>
          </w:p>
        </w:tc>
      </w:tr>
      <w:tr w:rsidR="004943A9" w:rsidRPr="004943A9" w:rsidTr="008010EB">
        <w:trPr>
          <w:trHeight w:val="331"/>
          <w:jc w:val="center"/>
        </w:trPr>
        <w:tc>
          <w:tcPr>
            <w:tcW w:w="1830" w:type="dxa"/>
            <w:tcBorders>
              <w:left w:val="nil"/>
              <w:right w:val="nil"/>
            </w:tcBorders>
            <w:shd w:val="clear" w:color="auto" w:fill="auto"/>
            <w:noWrap/>
            <w:tcMar>
              <w:top w:w="15" w:type="dxa"/>
              <w:left w:w="15" w:type="dxa"/>
              <w:bottom w:w="0" w:type="dxa"/>
              <w:right w:w="15" w:type="dxa"/>
            </w:tcMar>
            <w:vAlign w:val="center"/>
            <w:hideMark/>
          </w:tcPr>
          <w:p w:rsidR="00B44823" w:rsidRPr="004943A9" w:rsidRDefault="00B44823" w:rsidP="008010EB">
            <w:pPr>
              <w:jc w:val="center"/>
              <w:rPr>
                <w:sz w:val="16"/>
                <w:szCs w:val="16"/>
              </w:rPr>
            </w:pPr>
          </w:p>
        </w:tc>
        <w:tc>
          <w:tcPr>
            <w:tcW w:w="1207" w:type="dxa"/>
            <w:tcBorders>
              <w:left w:val="nil"/>
              <w:right w:val="nil"/>
            </w:tcBorders>
            <w:shd w:val="clear" w:color="auto" w:fill="auto"/>
            <w:noWrap/>
            <w:tcMar>
              <w:top w:w="15" w:type="dxa"/>
              <w:left w:w="15" w:type="dxa"/>
              <w:bottom w:w="0" w:type="dxa"/>
              <w:right w:w="15" w:type="dxa"/>
            </w:tcMar>
            <w:vAlign w:val="center"/>
            <w:hideMark/>
          </w:tcPr>
          <w:p w:rsidR="00B44823" w:rsidRPr="00931FD3" w:rsidRDefault="00B44823" w:rsidP="008010EB">
            <w:pPr>
              <w:jc w:val="center"/>
              <w:rPr>
                <w:iCs/>
                <w:sz w:val="16"/>
                <w:szCs w:val="16"/>
              </w:rPr>
            </w:pPr>
            <w:r w:rsidRPr="00931FD3">
              <w:rPr>
                <w:iCs/>
                <w:sz w:val="16"/>
                <w:szCs w:val="16"/>
              </w:rPr>
              <w:t>(1)High</w:t>
            </w:r>
          </w:p>
          <w:p w:rsidR="00B44823" w:rsidRPr="00931FD3" w:rsidRDefault="00B44823" w:rsidP="008010EB">
            <w:pPr>
              <w:jc w:val="center"/>
              <w:rPr>
                <w:iCs/>
                <w:sz w:val="16"/>
                <w:szCs w:val="16"/>
              </w:rPr>
            </w:pPr>
            <w:r w:rsidRPr="00931FD3">
              <w:rPr>
                <w:i/>
                <w:iCs/>
                <w:color w:val="000000"/>
                <w:sz w:val="16"/>
                <w:szCs w:val="16"/>
              </w:rPr>
              <w:t>P_EQ</w:t>
            </w:r>
          </w:p>
        </w:tc>
        <w:tc>
          <w:tcPr>
            <w:tcW w:w="1100" w:type="dxa"/>
            <w:tcBorders>
              <w:left w:val="nil"/>
              <w:right w:val="nil"/>
            </w:tcBorders>
            <w:shd w:val="clear" w:color="auto" w:fill="auto"/>
            <w:noWrap/>
            <w:tcMar>
              <w:top w:w="15" w:type="dxa"/>
              <w:left w:w="15" w:type="dxa"/>
              <w:bottom w:w="0" w:type="dxa"/>
              <w:right w:w="15" w:type="dxa"/>
            </w:tcMar>
            <w:vAlign w:val="center"/>
            <w:hideMark/>
          </w:tcPr>
          <w:p w:rsidR="00B44823" w:rsidRPr="00931FD3" w:rsidRDefault="00B44823" w:rsidP="008010EB">
            <w:pPr>
              <w:jc w:val="center"/>
              <w:rPr>
                <w:iCs/>
                <w:sz w:val="16"/>
                <w:szCs w:val="16"/>
              </w:rPr>
            </w:pPr>
            <w:r w:rsidRPr="00931FD3">
              <w:rPr>
                <w:iCs/>
                <w:sz w:val="16"/>
                <w:szCs w:val="16"/>
              </w:rPr>
              <w:t>(2) Low</w:t>
            </w:r>
          </w:p>
          <w:p w:rsidR="00B44823" w:rsidRPr="00931FD3" w:rsidRDefault="00B44823" w:rsidP="008010EB">
            <w:pPr>
              <w:jc w:val="center"/>
              <w:rPr>
                <w:iCs/>
                <w:sz w:val="16"/>
                <w:szCs w:val="16"/>
              </w:rPr>
            </w:pPr>
            <w:r w:rsidRPr="00931FD3">
              <w:rPr>
                <w:i/>
                <w:iCs/>
                <w:color w:val="000000"/>
                <w:sz w:val="16"/>
                <w:szCs w:val="16"/>
              </w:rPr>
              <w:t>P_EQ</w:t>
            </w:r>
          </w:p>
        </w:tc>
        <w:tc>
          <w:tcPr>
            <w:tcW w:w="739" w:type="dxa"/>
            <w:tcBorders>
              <w:left w:val="nil"/>
              <w:right w:val="nil"/>
            </w:tcBorders>
            <w:shd w:val="clear" w:color="auto" w:fill="auto"/>
            <w:noWrap/>
            <w:tcMar>
              <w:top w:w="15" w:type="dxa"/>
              <w:left w:w="15" w:type="dxa"/>
              <w:bottom w:w="0" w:type="dxa"/>
              <w:right w:w="15" w:type="dxa"/>
            </w:tcMar>
            <w:vAlign w:val="center"/>
            <w:hideMark/>
          </w:tcPr>
          <w:p w:rsidR="00B44823" w:rsidRPr="00931FD3" w:rsidRDefault="00B44823" w:rsidP="008010EB">
            <w:pPr>
              <w:jc w:val="center"/>
              <w:rPr>
                <w:sz w:val="16"/>
                <w:szCs w:val="16"/>
              </w:rPr>
            </w:pPr>
            <w:r w:rsidRPr="00931FD3">
              <w:rPr>
                <w:sz w:val="16"/>
                <w:szCs w:val="16"/>
              </w:rPr>
              <w:t>(2)</w:t>
            </w:r>
            <w:r w:rsidRPr="004943A9">
              <w:rPr>
                <w:sz w:val="16"/>
                <w:szCs w:val="16"/>
              </w:rPr>
              <w:t>−</w:t>
            </w:r>
            <w:r w:rsidRPr="00931FD3">
              <w:rPr>
                <w:sz w:val="16"/>
                <w:szCs w:val="16"/>
              </w:rPr>
              <w:t>(1)</w:t>
            </w:r>
          </w:p>
        </w:tc>
        <w:tc>
          <w:tcPr>
            <w:tcW w:w="913" w:type="dxa"/>
            <w:tcBorders>
              <w:left w:val="nil"/>
              <w:right w:val="nil"/>
            </w:tcBorders>
            <w:shd w:val="clear" w:color="auto" w:fill="auto"/>
            <w:noWrap/>
            <w:tcMar>
              <w:top w:w="15" w:type="dxa"/>
              <w:left w:w="15" w:type="dxa"/>
              <w:bottom w:w="0" w:type="dxa"/>
              <w:right w:w="15" w:type="dxa"/>
            </w:tcMar>
            <w:vAlign w:val="center"/>
            <w:hideMark/>
          </w:tcPr>
          <w:p w:rsidR="00B44823" w:rsidRPr="00931FD3" w:rsidRDefault="00B44823" w:rsidP="008010EB">
            <w:pPr>
              <w:jc w:val="center"/>
              <w:rPr>
                <w:sz w:val="16"/>
                <w:szCs w:val="16"/>
              </w:rPr>
            </w:pPr>
          </w:p>
        </w:tc>
        <w:tc>
          <w:tcPr>
            <w:tcW w:w="1174" w:type="dxa"/>
            <w:tcBorders>
              <w:left w:val="nil"/>
              <w:right w:val="nil"/>
            </w:tcBorders>
            <w:shd w:val="clear" w:color="auto" w:fill="auto"/>
            <w:noWrap/>
            <w:tcMar>
              <w:top w:w="15" w:type="dxa"/>
              <w:left w:w="15" w:type="dxa"/>
              <w:bottom w:w="0" w:type="dxa"/>
              <w:right w:w="15" w:type="dxa"/>
            </w:tcMar>
            <w:vAlign w:val="center"/>
            <w:hideMark/>
          </w:tcPr>
          <w:p w:rsidR="00B44823" w:rsidRPr="00931FD3" w:rsidRDefault="00B44823" w:rsidP="008010EB">
            <w:pPr>
              <w:jc w:val="center"/>
              <w:rPr>
                <w:iCs/>
                <w:sz w:val="16"/>
                <w:szCs w:val="16"/>
              </w:rPr>
            </w:pPr>
            <w:r w:rsidRPr="00931FD3">
              <w:rPr>
                <w:iCs/>
                <w:color w:val="000000"/>
                <w:sz w:val="16"/>
                <w:szCs w:val="16"/>
              </w:rPr>
              <w:t>(</w:t>
            </w:r>
            <w:r w:rsidRPr="004943A9">
              <w:rPr>
                <w:iCs/>
                <w:color w:val="000000"/>
                <w:sz w:val="16"/>
                <w:szCs w:val="16"/>
              </w:rPr>
              <w:t>3</w:t>
            </w:r>
            <w:r w:rsidRPr="00931FD3">
              <w:rPr>
                <w:iCs/>
                <w:color w:val="000000"/>
                <w:sz w:val="16"/>
                <w:szCs w:val="16"/>
              </w:rPr>
              <w:t>)</w:t>
            </w:r>
            <w:r w:rsidRPr="00931FD3">
              <w:rPr>
                <w:iCs/>
                <w:sz w:val="16"/>
                <w:szCs w:val="16"/>
              </w:rPr>
              <w:t xml:space="preserve"> High</w:t>
            </w:r>
          </w:p>
          <w:p w:rsidR="00B44823" w:rsidRPr="00931FD3" w:rsidRDefault="00B44823" w:rsidP="008010EB">
            <w:pPr>
              <w:jc w:val="center"/>
              <w:rPr>
                <w:iCs/>
                <w:color w:val="000000"/>
                <w:sz w:val="16"/>
                <w:szCs w:val="16"/>
              </w:rPr>
            </w:pPr>
            <w:r w:rsidRPr="00931FD3">
              <w:rPr>
                <w:i/>
                <w:iCs/>
                <w:color w:val="000000"/>
                <w:sz w:val="16"/>
                <w:szCs w:val="16"/>
              </w:rPr>
              <w:t>P_EQ</w:t>
            </w:r>
          </w:p>
        </w:tc>
        <w:tc>
          <w:tcPr>
            <w:tcW w:w="1192" w:type="dxa"/>
            <w:tcBorders>
              <w:left w:val="nil"/>
              <w:right w:val="nil"/>
            </w:tcBorders>
            <w:shd w:val="clear" w:color="auto" w:fill="auto"/>
            <w:tcMar>
              <w:top w:w="15" w:type="dxa"/>
              <w:left w:w="15" w:type="dxa"/>
              <w:bottom w:w="0" w:type="dxa"/>
              <w:right w:w="15" w:type="dxa"/>
            </w:tcMar>
            <w:vAlign w:val="center"/>
            <w:hideMark/>
          </w:tcPr>
          <w:p w:rsidR="00B44823" w:rsidRPr="00931FD3" w:rsidRDefault="00B44823" w:rsidP="008010EB">
            <w:pPr>
              <w:jc w:val="center"/>
              <w:rPr>
                <w:iCs/>
                <w:sz w:val="16"/>
                <w:szCs w:val="16"/>
              </w:rPr>
            </w:pPr>
            <w:r w:rsidRPr="00931FD3">
              <w:rPr>
                <w:iCs/>
                <w:color w:val="000000"/>
                <w:sz w:val="16"/>
                <w:szCs w:val="16"/>
              </w:rPr>
              <w:t>(</w:t>
            </w:r>
            <w:r w:rsidRPr="004943A9">
              <w:rPr>
                <w:iCs/>
                <w:color w:val="000000"/>
                <w:sz w:val="16"/>
                <w:szCs w:val="16"/>
              </w:rPr>
              <w:t>4</w:t>
            </w:r>
            <w:r w:rsidRPr="00931FD3">
              <w:rPr>
                <w:iCs/>
                <w:color w:val="000000"/>
                <w:sz w:val="16"/>
                <w:szCs w:val="16"/>
              </w:rPr>
              <w:t>)</w:t>
            </w:r>
            <w:r w:rsidRPr="00931FD3">
              <w:rPr>
                <w:iCs/>
                <w:sz w:val="16"/>
                <w:szCs w:val="16"/>
              </w:rPr>
              <w:t xml:space="preserve"> Low</w:t>
            </w:r>
          </w:p>
          <w:p w:rsidR="00B44823" w:rsidRPr="00931FD3" w:rsidRDefault="00B44823" w:rsidP="008010EB">
            <w:pPr>
              <w:jc w:val="center"/>
              <w:rPr>
                <w:iCs/>
                <w:color w:val="000000"/>
                <w:sz w:val="16"/>
                <w:szCs w:val="16"/>
              </w:rPr>
            </w:pPr>
            <w:r w:rsidRPr="00931FD3">
              <w:rPr>
                <w:i/>
                <w:iCs/>
                <w:color w:val="000000"/>
                <w:sz w:val="16"/>
                <w:szCs w:val="16"/>
              </w:rPr>
              <w:t>P_EQ</w:t>
            </w:r>
          </w:p>
        </w:tc>
        <w:tc>
          <w:tcPr>
            <w:tcW w:w="845" w:type="dxa"/>
            <w:gridSpan w:val="2"/>
            <w:tcBorders>
              <w:left w:val="nil"/>
              <w:right w:val="nil"/>
            </w:tcBorders>
            <w:shd w:val="clear" w:color="auto" w:fill="auto"/>
            <w:noWrap/>
            <w:tcMar>
              <w:top w:w="15" w:type="dxa"/>
              <w:left w:w="15" w:type="dxa"/>
              <w:bottom w:w="0" w:type="dxa"/>
              <w:right w:w="15" w:type="dxa"/>
            </w:tcMar>
            <w:vAlign w:val="center"/>
            <w:hideMark/>
          </w:tcPr>
          <w:p w:rsidR="00B44823" w:rsidRPr="00931FD3" w:rsidRDefault="00B44823" w:rsidP="008010EB">
            <w:pPr>
              <w:jc w:val="center"/>
              <w:rPr>
                <w:sz w:val="16"/>
                <w:szCs w:val="16"/>
              </w:rPr>
            </w:pPr>
            <w:r w:rsidRPr="00931FD3">
              <w:rPr>
                <w:sz w:val="16"/>
                <w:szCs w:val="16"/>
              </w:rPr>
              <w:t>(</w:t>
            </w:r>
            <w:r w:rsidRPr="004943A9">
              <w:rPr>
                <w:sz w:val="16"/>
                <w:szCs w:val="16"/>
              </w:rPr>
              <w:t>4</w:t>
            </w:r>
            <w:r w:rsidRPr="00931FD3">
              <w:rPr>
                <w:sz w:val="16"/>
                <w:szCs w:val="16"/>
              </w:rPr>
              <w:t>)</w:t>
            </w:r>
            <w:r w:rsidRPr="004943A9">
              <w:rPr>
                <w:sz w:val="16"/>
                <w:szCs w:val="16"/>
              </w:rPr>
              <w:t>−</w:t>
            </w:r>
            <w:r w:rsidRPr="00931FD3">
              <w:rPr>
                <w:sz w:val="16"/>
                <w:szCs w:val="16"/>
              </w:rPr>
              <w:t>(</w:t>
            </w:r>
            <w:r w:rsidRPr="004943A9">
              <w:rPr>
                <w:sz w:val="16"/>
                <w:szCs w:val="16"/>
              </w:rPr>
              <w:t>3</w:t>
            </w:r>
            <w:r w:rsidRPr="00931FD3">
              <w:rPr>
                <w:sz w:val="16"/>
                <w:szCs w:val="16"/>
              </w:rPr>
              <w:t>)</w:t>
            </w:r>
          </w:p>
        </w:tc>
        <w:tc>
          <w:tcPr>
            <w:tcW w:w="1022" w:type="dxa"/>
            <w:tcBorders>
              <w:right w:val="nil"/>
            </w:tcBorders>
            <w:shd w:val="clear" w:color="auto" w:fill="auto"/>
            <w:noWrap/>
            <w:tcMar>
              <w:top w:w="15" w:type="dxa"/>
              <w:left w:w="15" w:type="dxa"/>
              <w:bottom w:w="0" w:type="dxa"/>
              <w:right w:w="15" w:type="dxa"/>
            </w:tcMar>
            <w:vAlign w:val="center"/>
            <w:hideMark/>
          </w:tcPr>
          <w:p w:rsidR="004943A9" w:rsidRDefault="00B44823" w:rsidP="008010EB">
            <w:pPr>
              <w:jc w:val="center"/>
              <w:rPr>
                <w:iCs/>
                <w:sz w:val="16"/>
                <w:szCs w:val="16"/>
              </w:rPr>
            </w:pPr>
            <w:r w:rsidRPr="00931FD3">
              <w:rPr>
                <w:iCs/>
                <w:color w:val="000000"/>
                <w:sz w:val="16"/>
                <w:szCs w:val="16"/>
              </w:rPr>
              <w:t>(</w:t>
            </w:r>
            <w:r w:rsidRPr="004943A9">
              <w:rPr>
                <w:iCs/>
                <w:color w:val="000000"/>
                <w:sz w:val="16"/>
                <w:szCs w:val="16"/>
              </w:rPr>
              <w:t>5</w:t>
            </w:r>
            <w:r w:rsidRPr="00931FD3">
              <w:rPr>
                <w:iCs/>
                <w:color w:val="000000"/>
                <w:sz w:val="16"/>
                <w:szCs w:val="16"/>
              </w:rPr>
              <w:t>)</w:t>
            </w:r>
            <w:r w:rsidRPr="00931FD3">
              <w:rPr>
                <w:iCs/>
                <w:sz w:val="16"/>
                <w:szCs w:val="16"/>
              </w:rPr>
              <w:t xml:space="preserve"> High</w:t>
            </w:r>
          </w:p>
          <w:p w:rsidR="00B44823" w:rsidRPr="004943A9" w:rsidRDefault="00B44823" w:rsidP="008010EB">
            <w:pPr>
              <w:jc w:val="center"/>
              <w:rPr>
                <w:i/>
                <w:iCs/>
                <w:color w:val="000000"/>
                <w:sz w:val="16"/>
                <w:szCs w:val="16"/>
              </w:rPr>
            </w:pPr>
            <w:r w:rsidRPr="00931FD3">
              <w:rPr>
                <w:i/>
                <w:iCs/>
                <w:color w:val="000000"/>
                <w:sz w:val="16"/>
                <w:szCs w:val="16"/>
              </w:rPr>
              <w:t>P_EQ</w:t>
            </w:r>
          </w:p>
        </w:tc>
        <w:tc>
          <w:tcPr>
            <w:tcW w:w="1034" w:type="dxa"/>
            <w:tcBorders>
              <w:left w:val="nil"/>
              <w:right w:val="nil"/>
            </w:tcBorders>
            <w:shd w:val="clear" w:color="auto" w:fill="auto"/>
            <w:tcMar>
              <w:top w:w="15" w:type="dxa"/>
              <w:left w:w="15" w:type="dxa"/>
              <w:bottom w:w="0" w:type="dxa"/>
              <w:right w:w="15" w:type="dxa"/>
            </w:tcMar>
            <w:vAlign w:val="center"/>
            <w:hideMark/>
          </w:tcPr>
          <w:p w:rsidR="00B44823" w:rsidRPr="00931FD3" w:rsidRDefault="00B44823" w:rsidP="008010EB">
            <w:pPr>
              <w:jc w:val="center"/>
              <w:rPr>
                <w:iCs/>
                <w:sz w:val="16"/>
                <w:szCs w:val="16"/>
              </w:rPr>
            </w:pPr>
            <w:r w:rsidRPr="00931FD3">
              <w:rPr>
                <w:iCs/>
                <w:color w:val="000000"/>
                <w:sz w:val="16"/>
                <w:szCs w:val="16"/>
              </w:rPr>
              <w:t>(</w:t>
            </w:r>
            <w:r w:rsidRPr="004943A9">
              <w:rPr>
                <w:iCs/>
                <w:color w:val="000000"/>
                <w:sz w:val="16"/>
                <w:szCs w:val="16"/>
              </w:rPr>
              <w:t>6</w:t>
            </w:r>
            <w:r w:rsidRPr="00931FD3">
              <w:rPr>
                <w:iCs/>
                <w:color w:val="000000"/>
                <w:sz w:val="16"/>
                <w:szCs w:val="16"/>
              </w:rPr>
              <w:t>)</w:t>
            </w:r>
            <w:r w:rsidRPr="00931FD3">
              <w:rPr>
                <w:iCs/>
                <w:sz w:val="16"/>
                <w:szCs w:val="16"/>
              </w:rPr>
              <w:t xml:space="preserve"> Low</w:t>
            </w:r>
          </w:p>
          <w:p w:rsidR="00B44823" w:rsidRPr="00931FD3" w:rsidRDefault="00B44823" w:rsidP="008010EB">
            <w:pPr>
              <w:jc w:val="center"/>
              <w:rPr>
                <w:iCs/>
                <w:color w:val="000000"/>
                <w:sz w:val="16"/>
                <w:szCs w:val="16"/>
              </w:rPr>
            </w:pPr>
            <w:r w:rsidRPr="00931FD3">
              <w:rPr>
                <w:i/>
                <w:iCs/>
                <w:color w:val="000000"/>
                <w:sz w:val="16"/>
                <w:szCs w:val="16"/>
              </w:rPr>
              <w:t>P_EQ</w:t>
            </w:r>
          </w:p>
        </w:tc>
        <w:tc>
          <w:tcPr>
            <w:tcW w:w="709" w:type="dxa"/>
            <w:tcBorders>
              <w:left w:val="nil"/>
              <w:right w:val="nil"/>
            </w:tcBorders>
            <w:shd w:val="clear" w:color="auto" w:fill="auto"/>
            <w:noWrap/>
            <w:tcMar>
              <w:top w:w="15" w:type="dxa"/>
              <w:left w:w="15" w:type="dxa"/>
              <w:bottom w:w="0" w:type="dxa"/>
              <w:right w:w="15" w:type="dxa"/>
            </w:tcMar>
            <w:vAlign w:val="center"/>
            <w:hideMark/>
          </w:tcPr>
          <w:p w:rsidR="00B44823" w:rsidRPr="00931FD3" w:rsidRDefault="00B44823" w:rsidP="008010EB">
            <w:pPr>
              <w:jc w:val="center"/>
              <w:rPr>
                <w:sz w:val="16"/>
                <w:szCs w:val="16"/>
              </w:rPr>
            </w:pPr>
            <w:r w:rsidRPr="00931FD3">
              <w:rPr>
                <w:sz w:val="16"/>
                <w:szCs w:val="16"/>
              </w:rPr>
              <w:t>(</w:t>
            </w:r>
            <w:r w:rsidRPr="004943A9">
              <w:rPr>
                <w:sz w:val="16"/>
                <w:szCs w:val="16"/>
              </w:rPr>
              <w:t>6</w:t>
            </w:r>
            <w:r w:rsidRPr="00931FD3">
              <w:rPr>
                <w:sz w:val="16"/>
                <w:szCs w:val="16"/>
              </w:rPr>
              <w:t>)</w:t>
            </w:r>
            <w:r w:rsidRPr="004943A9">
              <w:rPr>
                <w:sz w:val="16"/>
                <w:szCs w:val="16"/>
              </w:rPr>
              <w:t>−</w:t>
            </w:r>
            <w:r w:rsidRPr="00931FD3">
              <w:rPr>
                <w:sz w:val="16"/>
                <w:szCs w:val="16"/>
              </w:rPr>
              <w:t>(</w:t>
            </w:r>
            <w:r w:rsidRPr="004943A9">
              <w:rPr>
                <w:sz w:val="16"/>
                <w:szCs w:val="16"/>
              </w:rPr>
              <w:t>5</w:t>
            </w:r>
            <w:r w:rsidRPr="00931FD3">
              <w:rPr>
                <w:sz w:val="16"/>
                <w:szCs w:val="16"/>
              </w:rPr>
              <w:t>)</w:t>
            </w:r>
          </w:p>
        </w:tc>
      </w:tr>
      <w:tr w:rsidR="004943A9" w:rsidRPr="004943A9" w:rsidTr="008010EB">
        <w:trPr>
          <w:trHeight w:val="250"/>
          <w:jc w:val="center"/>
        </w:trPr>
        <w:tc>
          <w:tcPr>
            <w:tcW w:w="1830" w:type="dxa"/>
            <w:tcBorders>
              <w:top w:val="single" w:sz="4" w:space="0" w:color="auto"/>
              <w:lef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H_</w:t>
            </w:r>
            <w:r w:rsidRPr="004943A9">
              <w:rPr>
                <w:i/>
                <w:iCs/>
                <w:color w:val="000000"/>
                <w:sz w:val="16"/>
                <w:szCs w:val="16"/>
              </w:rPr>
              <w:t xml:space="preserve"> </w:t>
            </w:r>
            <w:proofErr w:type="spellStart"/>
            <w:r w:rsidRPr="004943A9">
              <w:rPr>
                <w:i/>
                <w:iCs/>
                <w:color w:val="000000"/>
                <w:sz w:val="16"/>
                <w:szCs w:val="16"/>
              </w:rPr>
              <w:t>P_EQew</w:t>
            </w:r>
            <w:proofErr w:type="spellEnd"/>
            <w:r w:rsidRPr="004943A9">
              <w:rPr>
                <w:i/>
                <w:iCs/>
                <w:sz w:val="16"/>
                <w:szCs w:val="16"/>
              </w:rPr>
              <w:t xml:space="preserve"> ×MKTRF</w:t>
            </w:r>
          </w:p>
        </w:tc>
        <w:tc>
          <w:tcPr>
            <w:tcW w:w="1207" w:type="dxa"/>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−0.161***</w:t>
            </w:r>
          </w:p>
        </w:tc>
        <w:tc>
          <w:tcPr>
            <w:tcW w:w="1100" w:type="dxa"/>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0.001</w:t>
            </w:r>
          </w:p>
        </w:tc>
        <w:tc>
          <w:tcPr>
            <w:tcW w:w="739" w:type="dxa"/>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0.162</w:t>
            </w:r>
          </w:p>
        </w:tc>
        <w:tc>
          <w:tcPr>
            <w:tcW w:w="913" w:type="dxa"/>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H_ P_EQ</w:t>
            </w:r>
          </w:p>
        </w:tc>
        <w:tc>
          <w:tcPr>
            <w:tcW w:w="1174" w:type="dxa"/>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−0.010***</w:t>
            </w:r>
          </w:p>
        </w:tc>
        <w:tc>
          <w:tcPr>
            <w:tcW w:w="1192" w:type="dxa"/>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−0.003</w:t>
            </w:r>
          </w:p>
        </w:tc>
        <w:tc>
          <w:tcPr>
            <w:tcW w:w="845" w:type="dxa"/>
            <w:gridSpan w:val="2"/>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0.007</w:t>
            </w:r>
          </w:p>
        </w:tc>
        <w:tc>
          <w:tcPr>
            <w:tcW w:w="1022" w:type="dxa"/>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−0.004***</w:t>
            </w:r>
          </w:p>
        </w:tc>
        <w:tc>
          <w:tcPr>
            <w:tcW w:w="1034" w:type="dxa"/>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0.002**</w:t>
            </w:r>
          </w:p>
        </w:tc>
        <w:tc>
          <w:tcPr>
            <w:tcW w:w="709" w:type="dxa"/>
            <w:tcBorders>
              <w:top w:val="single" w:sz="4" w:space="0" w:color="auto"/>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0.006</w:t>
            </w:r>
          </w:p>
        </w:tc>
      </w:tr>
      <w:tr w:rsidR="004943A9" w:rsidRPr="004943A9" w:rsidTr="008010EB">
        <w:trPr>
          <w:trHeight w:val="250"/>
          <w:jc w:val="center"/>
        </w:trPr>
        <w:tc>
          <w:tcPr>
            <w:tcW w:w="1830" w:type="dxa"/>
            <w:tcBorders>
              <w:top w:val="nil"/>
              <w:lef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(−8.86)</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(0.06)</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[9.19]</w:t>
            </w: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(−5.45)</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(−1.58)</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[3.75]</w:t>
            </w: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(−3.98)</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(2.05)</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[6.06]</w:t>
            </w:r>
          </w:p>
        </w:tc>
      </w:tr>
      <w:tr w:rsidR="004943A9" w:rsidRPr="004943A9" w:rsidTr="008010EB">
        <w:trPr>
          <w:trHeight w:val="234"/>
          <w:jc w:val="center"/>
        </w:trPr>
        <w:tc>
          <w:tcPr>
            <w:tcW w:w="1830" w:type="dxa"/>
            <w:tcBorders>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931FD3">
              <w:rPr>
                <w:i/>
                <w:iCs/>
                <w:sz w:val="16"/>
                <w:szCs w:val="16"/>
              </w:rPr>
              <w:t>H_EQ×MKTRF</w:t>
            </w: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−0.151***</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−0.115***</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H_ EQ</w:t>
            </w: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−0.018***</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−0.006***</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−0.007***</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−0.003***</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(−6.45)</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(−5.27)</w:t>
            </w:r>
          </w:p>
        </w:tc>
        <w:tc>
          <w:tcPr>
            <w:tcW w:w="73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p>
        </w:tc>
        <w:tc>
          <w:tcPr>
            <w:tcW w:w="117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(−7.40)</w:t>
            </w:r>
          </w:p>
        </w:tc>
        <w:tc>
          <w:tcPr>
            <w:tcW w:w="119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(−3.32)</w:t>
            </w:r>
          </w:p>
        </w:tc>
        <w:tc>
          <w:tcPr>
            <w:tcW w:w="845" w:type="dxa"/>
            <w:gridSpan w:val="2"/>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(−5.21)</w:t>
            </w: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(−3.17)</w:t>
            </w:r>
          </w:p>
        </w:tc>
        <w:tc>
          <w:tcPr>
            <w:tcW w:w="70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roofErr w:type="spellStart"/>
            <w:r w:rsidRPr="00931FD3">
              <w:rPr>
                <w:i/>
                <w:iCs/>
                <w:sz w:val="16"/>
                <w:szCs w:val="16"/>
              </w:rPr>
              <w:t>Lev×MKTRF</w:t>
            </w:r>
            <w:proofErr w:type="spellEnd"/>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0.027</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0.086</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BM</w:t>
            </w: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0.019***</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0.017***</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0.014***</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0.013***</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(0.55)</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(1.51)</w:t>
            </w:r>
          </w:p>
        </w:tc>
        <w:tc>
          <w:tcPr>
            <w:tcW w:w="73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p>
        </w:tc>
        <w:tc>
          <w:tcPr>
            <w:tcW w:w="117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(10.19)</w:t>
            </w:r>
          </w:p>
        </w:tc>
        <w:tc>
          <w:tcPr>
            <w:tcW w:w="119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(10.06)</w:t>
            </w:r>
          </w:p>
        </w:tc>
        <w:tc>
          <w:tcPr>
            <w:tcW w:w="845" w:type="dxa"/>
            <w:gridSpan w:val="2"/>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(15.32)</w:t>
            </w: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(17.78)</w:t>
            </w:r>
          </w:p>
        </w:tc>
        <w:tc>
          <w:tcPr>
            <w:tcW w:w="70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roofErr w:type="spellStart"/>
            <w:r w:rsidRPr="00931FD3">
              <w:rPr>
                <w:i/>
                <w:iCs/>
                <w:sz w:val="16"/>
                <w:szCs w:val="16"/>
              </w:rPr>
              <w:t>LnMV×MKTRF</w:t>
            </w:r>
            <w:proofErr w:type="spellEnd"/>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0.029***</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0.033***</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Lev</w:t>
            </w: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0.050***</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0.041***</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0.028***</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0.030***</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(5.22)</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(5.50)</w:t>
            </w:r>
          </w:p>
        </w:tc>
        <w:tc>
          <w:tcPr>
            <w:tcW w:w="73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p>
        </w:tc>
        <w:tc>
          <w:tcPr>
            <w:tcW w:w="117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(7.80)</w:t>
            </w:r>
          </w:p>
        </w:tc>
        <w:tc>
          <w:tcPr>
            <w:tcW w:w="119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(6.83)</w:t>
            </w:r>
          </w:p>
        </w:tc>
        <w:tc>
          <w:tcPr>
            <w:tcW w:w="845" w:type="dxa"/>
            <w:gridSpan w:val="2"/>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(9.60)</w:t>
            </w: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(12.67)</w:t>
            </w:r>
          </w:p>
        </w:tc>
        <w:tc>
          <w:tcPr>
            <w:tcW w:w="70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89"/>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931FD3">
              <w:rPr>
                <w:i/>
                <w:iCs/>
                <w:sz w:val="16"/>
                <w:szCs w:val="16"/>
              </w:rPr>
              <w:t>STD_CFO×MKTRF</w:t>
            </w: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1.863***</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1.502***</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proofErr w:type="spellStart"/>
            <w:r w:rsidRPr="00931FD3">
              <w:rPr>
                <w:rFonts w:eastAsia="Times New Roman"/>
                <w:i/>
                <w:kern w:val="0"/>
                <w:sz w:val="16"/>
                <w:szCs w:val="16"/>
              </w:rPr>
              <w:t>LnMV</w:t>
            </w:r>
            <w:proofErr w:type="spellEnd"/>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−0.011***</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−0.012***</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0.002***</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0.000</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(7.38)</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(7.02)</w:t>
            </w:r>
          </w:p>
        </w:tc>
        <w:tc>
          <w:tcPr>
            <w:tcW w:w="73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p>
        </w:tc>
        <w:tc>
          <w:tcPr>
            <w:tcW w:w="117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(−14.07)</w:t>
            </w:r>
          </w:p>
        </w:tc>
        <w:tc>
          <w:tcPr>
            <w:tcW w:w="119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(−15.05)</w:t>
            </w:r>
          </w:p>
        </w:tc>
        <w:tc>
          <w:tcPr>
            <w:tcW w:w="845" w:type="dxa"/>
            <w:gridSpan w:val="2"/>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(6.41)</w:t>
            </w: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(1.56)</w:t>
            </w:r>
          </w:p>
        </w:tc>
        <w:tc>
          <w:tcPr>
            <w:tcW w:w="70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931FD3">
              <w:rPr>
                <w:i/>
                <w:iCs/>
                <w:sz w:val="16"/>
                <w:szCs w:val="16"/>
              </w:rPr>
              <w:t>CFO×MKTRF</w:t>
            </w: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−0.789***</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−0.886***</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STD_CFO</w:t>
            </w: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0.351***</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0.318***</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0.080***</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0.115***</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(−8.91)</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(−11.23)</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(9.84)</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(10.76)</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(5.45)</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(10.10)</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BM×MKTRF</w:t>
            </w: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0.018</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−0.006</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CFO</w:t>
            </w: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−0.148***</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−0.201***</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0.052***</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0.041***</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(1.22)</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(−0.39)</w:t>
            </w:r>
          </w:p>
        </w:tc>
        <w:tc>
          <w:tcPr>
            <w:tcW w:w="73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p>
        </w:tc>
        <w:tc>
          <w:tcPr>
            <w:tcW w:w="117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(−9.82)</w:t>
            </w:r>
          </w:p>
        </w:tc>
        <w:tc>
          <w:tcPr>
            <w:tcW w:w="119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(−18.87)</w:t>
            </w:r>
          </w:p>
        </w:tc>
        <w:tc>
          <w:tcPr>
            <w:tcW w:w="845" w:type="dxa"/>
            <w:gridSpan w:val="2"/>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(8.08)</w:t>
            </w: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(8.39)</w:t>
            </w:r>
          </w:p>
        </w:tc>
        <w:tc>
          <w:tcPr>
            <w:tcW w:w="70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MKTRF</w:t>
            </w: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0.543***</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0.652***</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Growth</w:t>
            </w: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0.011***</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0.013***</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(12.76)</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(14.04)</w:t>
            </w:r>
          </w:p>
        </w:tc>
        <w:tc>
          <w:tcPr>
            <w:tcW w:w="73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p>
        </w:tc>
        <w:tc>
          <w:tcPr>
            <w:tcW w:w="117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19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845" w:type="dxa"/>
            <w:gridSpan w:val="2"/>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(5.56)</w:t>
            </w: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(7.44)</w:t>
            </w:r>
          </w:p>
        </w:tc>
        <w:tc>
          <w:tcPr>
            <w:tcW w:w="70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H_EQ</w:t>
            </w: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0.001</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−0.000</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Intercept</w:t>
            </w: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0.178***</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0.208***</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−0.027***</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−0.012***</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(1.50)</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(−0.14)</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kern w:val="0"/>
                <w:sz w:val="16"/>
                <w:szCs w:val="16"/>
              </w:rPr>
            </w:pP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(28.11)</w:t>
            </w: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(33.62)</w:t>
            </w: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(−10.50)</w:t>
            </w: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(−5.40)</w:t>
            </w: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H_</w:t>
            </w:r>
            <w:r w:rsidRPr="004943A9">
              <w:rPr>
                <w:i/>
                <w:iCs/>
                <w:color w:val="000000"/>
                <w:sz w:val="16"/>
                <w:szCs w:val="16"/>
              </w:rPr>
              <w:t xml:space="preserve"> P_EQew</w:t>
            </w:r>
          </w:p>
        </w:tc>
        <w:tc>
          <w:tcPr>
            <w:tcW w:w="1207"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0.001**</w:t>
            </w:r>
          </w:p>
        </w:tc>
        <w:tc>
          <w:tcPr>
            <w:tcW w:w="1100"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0.001</w:t>
            </w:r>
          </w:p>
        </w:tc>
        <w:tc>
          <w:tcPr>
            <w:tcW w:w="73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kern w:val="0"/>
                <w:sz w:val="16"/>
                <w:szCs w:val="16"/>
              </w:rPr>
            </w:pPr>
          </w:p>
        </w:tc>
        <w:tc>
          <w:tcPr>
            <w:tcW w:w="117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19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845" w:type="dxa"/>
            <w:gridSpan w:val="2"/>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34"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709" w:type="dxa"/>
            <w:tcBorders>
              <w:top w:val="nil"/>
              <w:bottom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207"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(2.31)</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(1.05)</w:t>
            </w:r>
          </w:p>
        </w:tc>
        <w:tc>
          <w:tcPr>
            <w:tcW w:w="73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106453">
            <w:pPr>
              <w:widowControl/>
              <w:overflowPunct/>
              <w:autoSpaceDE/>
              <w:autoSpaceDN/>
              <w:adjustRightInd/>
              <w:rPr>
                <w:rFonts w:eastAsia="Times New Roman"/>
                <w:kern w:val="0"/>
                <w:sz w:val="16"/>
                <w:szCs w:val="16"/>
              </w:rPr>
            </w:pPr>
          </w:p>
        </w:tc>
        <w:tc>
          <w:tcPr>
            <w:tcW w:w="117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19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845" w:type="dxa"/>
            <w:gridSpan w:val="2"/>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709" w:type="dxa"/>
            <w:tcBorders>
              <w:top w:val="nil"/>
              <w:left w:val="nil"/>
              <w:bottom w:val="nil"/>
              <w:right w:val="nil"/>
            </w:tcBorders>
            <w:shd w:val="clear" w:color="auto" w:fill="auto"/>
            <w:noWrap/>
            <w:tcMar>
              <w:top w:w="15" w:type="dxa"/>
              <w:left w:w="15" w:type="dxa"/>
              <w:bottom w:w="0" w:type="dxa"/>
              <w:right w:w="15" w:type="dxa"/>
            </w:tcMar>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left w:val="nil"/>
              <w:right w:val="nil"/>
            </w:tcBorders>
            <w:shd w:val="clear" w:color="auto" w:fill="auto"/>
            <w:tcMar>
              <w:top w:w="15" w:type="dxa"/>
              <w:left w:w="15" w:type="dxa"/>
              <w:bottom w:w="0" w:type="dxa"/>
              <w:right w:w="15" w:type="dxa"/>
            </w:tcMar>
            <w:vAlign w:val="center"/>
            <w:hideMark/>
          </w:tcPr>
          <w:p w:rsidR="00B44823" w:rsidRPr="004943A9" w:rsidRDefault="00B44823" w:rsidP="008010EB">
            <w:pPr>
              <w:rPr>
                <w:sz w:val="16"/>
                <w:szCs w:val="16"/>
              </w:rPr>
            </w:pPr>
            <w:r w:rsidRPr="004943A9">
              <w:rPr>
                <w:sz w:val="16"/>
                <w:szCs w:val="16"/>
              </w:rPr>
              <w:t>Other Variables</w:t>
            </w:r>
          </w:p>
        </w:tc>
        <w:tc>
          <w:tcPr>
            <w:tcW w:w="1207" w:type="dxa"/>
            <w:tcBorders>
              <w:top w:val="nil"/>
              <w:left w:val="nil"/>
              <w:right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YES</w:t>
            </w:r>
          </w:p>
        </w:tc>
        <w:tc>
          <w:tcPr>
            <w:tcW w:w="1100" w:type="dxa"/>
            <w:tcBorders>
              <w:top w:val="nil"/>
              <w:left w:val="nil"/>
              <w:right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YES</w:t>
            </w:r>
          </w:p>
        </w:tc>
        <w:tc>
          <w:tcPr>
            <w:tcW w:w="739" w:type="dxa"/>
            <w:tcBorders>
              <w:top w:val="nil"/>
              <w:left w:val="nil"/>
              <w:right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left w:val="nil"/>
              <w:right w:val="nil"/>
            </w:tcBorders>
            <w:shd w:val="clear" w:color="auto" w:fill="auto"/>
            <w:noWrap/>
            <w:tcMar>
              <w:top w:w="15" w:type="dxa"/>
              <w:left w:w="15" w:type="dxa"/>
              <w:bottom w:w="0" w:type="dxa"/>
              <w:right w:w="15" w:type="dxa"/>
            </w:tcMar>
            <w:vAlign w:val="bottom"/>
            <w:hideMark/>
          </w:tcPr>
          <w:p w:rsidR="00B44823" w:rsidRPr="00931FD3" w:rsidRDefault="00B44823" w:rsidP="00106453">
            <w:pPr>
              <w:widowControl/>
              <w:overflowPunct/>
              <w:autoSpaceDE/>
              <w:autoSpaceDN/>
              <w:adjustRightInd/>
              <w:rPr>
                <w:rFonts w:eastAsia="Times New Roman"/>
                <w:kern w:val="0"/>
                <w:sz w:val="16"/>
                <w:szCs w:val="16"/>
              </w:rPr>
            </w:pPr>
          </w:p>
        </w:tc>
        <w:tc>
          <w:tcPr>
            <w:tcW w:w="1174" w:type="dxa"/>
            <w:tcBorders>
              <w:top w:val="nil"/>
              <w:left w:val="nil"/>
              <w:right w:val="nil"/>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p>
        </w:tc>
        <w:tc>
          <w:tcPr>
            <w:tcW w:w="1192" w:type="dxa"/>
            <w:tcBorders>
              <w:top w:val="nil"/>
              <w:left w:val="nil"/>
              <w:right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845" w:type="dxa"/>
            <w:gridSpan w:val="2"/>
            <w:tcBorders>
              <w:top w:val="nil"/>
              <w:left w:val="nil"/>
              <w:right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left w:val="nil"/>
              <w:right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34" w:type="dxa"/>
            <w:tcBorders>
              <w:top w:val="nil"/>
              <w:left w:val="nil"/>
              <w:right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709" w:type="dxa"/>
            <w:tcBorders>
              <w:top w:val="nil"/>
              <w:left w:val="nil"/>
              <w:right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top w:val="nil"/>
            </w:tcBorders>
            <w:shd w:val="clear" w:color="auto" w:fill="auto"/>
            <w:noWrap/>
            <w:tcMar>
              <w:top w:w="15" w:type="dxa"/>
              <w:left w:w="15" w:type="dxa"/>
              <w:bottom w:w="0" w:type="dxa"/>
              <w:right w:w="15" w:type="dxa"/>
            </w:tcMar>
            <w:vAlign w:val="center"/>
            <w:hideMark/>
          </w:tcPr>
          <w:p w:rsidR="00B44823" w:rsidRPr="00931FD3" w:rsidRDefault="00B44823" w:rsidP="008010EB">
            <w:pPr>
              <w:rPr>
                <w:sz w:val="16"/>
                <w:szCs w:val="16"/>
              </w:rPr>
            </w:pPr>
            <w:r w:rsidRPr="00931FD3">
              <w:rPr>
                <w:sz w:val="16"/>
                <w:szCs w:val="16"/>
              </w:rPr>
              <w:t>R-square</w:t>
            </w:r>
          </w:p>
        </w:tc>
        <w:tc>
          <w:tcPr>
            <w:tcW w:w="1207" w:type="dxa"/>
            <w:tcBorders>
              <w:top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0.0939</w:t>
            </w:r>
          </w:p>
        </w:tc>
        <w:tc>
          <w:tcPr>
            <w:tcW w:w="1100" w:type="dxa"/>
            <w:tcBorders>
              <w:top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0.1311</w:t>
            </w:r>
          </w:p>
        </w:tc>
        <w:tc>
          <w:tcPr>
            <w:tcW w:w="739" w:type="dxa"/>
            <w:tcBorders>
              <w:top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top w:val="nil"/>
            </w:tcBorders>
            <w:shd w:val="clear" w:color="auto" w:fill="auto"/>
            <w:noWrap/>
            <w:tcMar>
              <w:top w:w="15" w:type="dxa"/>
              <w:left w:w="15" w:type="dxa"/>
              <w:bottom w:w="0" w:type="dxa"/>
              <w:right w:w="15" w:type="dxa"/>
            </w:tcMar>
            <w:vAlign w:val="center"/>
            <w:hideMark/>
          </w:tcPr>
          <w:p w:rsidR="00B44823" w:rsidRPr="00931FD3" w:rsidRDefault="00B44823" w:rsidP="0073650E">
            <w:pPr>
              <w:widowControl/>
              <w:overflowPunct/>
              <w:autoSpaceDE/>
              <w:autoSpaceDN/>
              <w:adjustRightInd/>
              <w:ind w:left="-88" w:hanging="90"/>
              <w:jc w:val="center"/>
              <w:rPr>
                <w:rFonts w:eastAsia="Times New Roman"/>
                <w:kern w:val="0"/>
                <w:sz w:val="16"/>
                <w:szCs w:val="16"/>
              </w:rPr>
            </w:pPr>
            <w:r w:rsidRPr="00931FD3">
              <w:rPr>
                <w:rFonts w:eastAsia="Times New Roman"/>
                <w:kern w:val="0"/>
                <w:sz w:val="16"/>
                <w:szCs w:val="16"/>
              </w:rPr>
              <w:t>R-square</w:t>
            </w:r>
          </w:p>
        </w:tc>
        <w:tc>
          <w:tcPr>
            <w:tcW w:w="1174" w:type="dxa"/>
            <w:tcBorders>
              <w:top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0.2160</w:t>
            </w:r>
          </w:p>
        </w:tc>
        <w:tc>
          <w:tcPr>
            <w:tcW w:w="1192" w:type="dxa"/>
            <w:tcBorders>
              <w:top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0.2756</w:t>
            </w:r>
          </w:p>
        </w:tc>
        <w:tc>
          <w:tcPr>
            <w:tcW w:w="845" w:type="dxa"/>
            <w:gridSpan w:val="2"/>
            <w:tcBorders>
              <w:top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top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0.0342</w:t>
            </w:r>
          </w:p>
        </w:tc>
        <w:tc>
          <w:tcPr>
            <w:tcW w:w="1034" w:type="dxa"/>
            <w:tcBorders>
              <w:top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0.0465</w:t>
            </w:r>
          </w:p>
        </w:tc>
        <w:tc>
          <w:tcPr>
            <w:tcW w:w="709" w:type="dxa"/>
            <w:tcBorders>
              <w:top w:val="nil"/>
            </w:tcBorders>
            <w:shd w:val="clear" w:color="auto" w:fill="auto"/>
            <w:noWrap/>
            <w:tcMar>
              <w:top w:w="15" w:type="dxa"/>
              <w:left w:w="15" w:type="dxa"/>
              <w:bottom w:w="0" w:type="dxa"/>
              <w:right w:w="15" w:type="dxa"/>
            </w:tcMar>
            <w:vAlign w:val="bottom"/>
            <w:hideMark/>
          </w:tcPr>
          <w:p w:rsidR="00B44823" w:rsidRPr="00931FD3"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34"/>
          <w:jc w:val="center"/>
        </w:trPr>
        <w:tc>
          <w:tcPr>
            <w:tcW w:w="1830" w:type="dxa"/>
            <w:tcBorders>
              <w:bottom w:val="single" w:sz="4" w:space="0" w:color="auto"/>
            </w:tcBorders>
            <w:shd w:val="clear" w:color="auto" w:fill="auto"/>
            <w:noWrap/>
            <w:tcMar>
              <w:top w:w="15" w:type="dxa"/>
              <w:left w:w="15" w:type="dxa"/>
              <w:bottom w:w="0" w:type="dxa"/>
              <w:right w:w="15" w:type="dxa"/>
            </w:tcMar>
            <w:vAlign w:val="center"/>
            <w:hideMark/>
          </w:tcPr>
          <w:p w:rsidR="00B44823" w:rsidRPr="00931FD3" w:rsidRDefault="00B44823" w:rsidP="008010EB">
            <w:pPr>
              <w:rPr>
                <w:sz w:val="16"/>
                <w:szCs w:val="16"/>
              </w:rPr>
            </w:pPr>
            <w:r w:rsidRPr="00931FD3">
              <w:rPr>
                <w:sz w:val="16"/>
                <w:szCs w:val="16"/>
              </w:rPr>
              <w:t>N</w:t>
            </w:r>
          </w:p>
        </w:tc>
        <w:tc>
          <w:tcPr>
            <w:tcW w:w="1207" w:type="dxa"/>
            <w:tcBorders>
              <w:bottom w:val="single" w:sz="4" w:space="0" w:color="auto"/>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296,864</w:t>
            </w:r>
          </w:p>
        </w:tc>
        <w:tc>
          <w:tcPr>
            <w:tcW w:w="1100" w:type="dxa"/>
            <w:tcBorders>
              <w:bottom w:val="single" w:sz="4" w:space="0" w:color="auto"/>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296,864</w:t>
            </w:r>
          </w:p>
        </w:tc>
        <w:tc>
          <w:tcPr>
            <w:tcW w:w="739" w:type="dxa"/>
            <w:tcBorders>
              <w:bottom w:val="single" w:sz="4" w:space="0" w:color="auto"/>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p>
        </w:tc>
        <w:tc>
          <w:tcPr>
            <w:tcW w:w="913" w:type="dxa"/>
            <w:tcBorders>
              <w:bottom w:val="single" w:sz="4" w:space="0" w:color="auto"/>
            </w:tcBorders>
            <w:shd w:val="clear" w:color="auto" w:fill="auto"/>
            <w:noWrap/>
            <w:tcMar>
              <w:top w:w="15" w:type="dxa"/>
              <w:left w:w="15" w:type="dxa"/>
              <w:bottom w:w="0" w:type="dxa"/>
              <w:right w:w="15" w:type="dxa"/>
            </w:tcMar>
            <w:vAlign w:val="center"/>
          </w:tcPr>
          <w:p w:rsidR="00B44823" w:rsidRPr="00931FD3" w:rsidRDefault="00B44823" w:rsidP="00106453">
            <w:pPr>
              <w:widowControl/>
              <w:overflowPunct/>
              <w:autoSpaceDE/>
              <w:autoSpaceDN/>
              <w:adjustRightInd/>
              <w:rPr>
                <w:rFonts w:eastAsia="Times New Roman"/>
                <w:kern w:val="0"/>
                <w:sz w:val="16"/>
                <w:szCs w:val="16"/>
              </w:rPr>
            </w:pPr>
            <w:r w:rsidRPr="00931FD3">
              <w:rPr>
                <w:rFonts w:eastAsia="Times New Roman"/>
                <w:kern w:val="0"/>
                <w:sz w:val="16"/>
                <w:szCs w:val="16"/>
              </w:rPr>
              <w:t>N</w:t>
            </w:r>
          </w:p>
        </w:tc>
        <w:tc>
          <w:tcPr>
            <w:tcW w:w="1174" w:type="dxa"/>
            <w:tcBorders>
              <w:bottom w:val="single" w:sz="4" w:space="0" w:color="auto"/>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11,529</w:t>
            </w:r>
          </w:p>
        </w:tc>
        <w:tc>
          <w:tcPr>
            <w:tcW w:w="1192" w:type="dxa"/>
            <w:tcBorders>
              <w:bottom w:val="single" w:sz="4" w:space="0" w:color="auto"/>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11,488</w:t>
            </w:r>
          </w:p>
        </w:tc>
        <w:tc>
          <w:tcPr>
            <w:tcW w:w="845" w:type="dxa"/>
            <w:gridSpan w:val="2"/>
            <w:tcBorders>
              <w:bottom w:val="single" w:sz="4" w:space="0" w:color="auto"/>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p>
        </w:tc>
        <w:tc>
          <w:tcPr>
            <w:tcW w:w="1022" w:type="dxa"/>
            <w:tcBorders>
              <w:bottom w:val="single" w:sz="4" w:space="0" w:color="auto"/>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20,108</w:t>
            </w:r>
          </w:p>
        </w:tc>
        <w:tc>
          <w:tcPr>
            <w:tcW w:w="1034" w:type="dxa"/>
            <w:tcBorders>
              <w:bottom w:val="single" w:sz="4" w:space="0" w:color="auto"/>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19,994</w:t>
            </w:r>
          </w:p>
        </w:tc>
        <w:tc>
          <w:tcPr>
            <w:tcW w:w="709" w:type="dxa"/>
            <w:tcBorders>
              <w:bottom w:val="single" w:sz="4" w:space="0" w:color="auto"/>
            </w:tcBorders>
            <w:shd w:val="clear" w:color="auto" w:fill="auto"/>
            <w:noWrap/>
            <w:tcMar>
              <w:top w:w="15" w:type="dxa"/>
              <w:left w:w="15" w:type="dxa"/>
              <w:bottom w:w="0" w:type="dxa"/>
              <w:right w:w="15" w:type="dxa"/>
            </w:tcMar>
            <w:vAlign w:val="bottom"/>
          </w:tcPr>
          <w:p w:rsidR="00B44823" w:rsidRPr="00931FD3" w:rsidRDefault="00B44823" w:rsidP="008010EB">
            <w:pPr>
              <w:widowControl/>
              <w:overflowPunct/>
              <w:autoSpaceDE/>
              <w:autoSpaceDN/>
              <w:adjustRightInd/>
              <w:jc w:val="center"/>
              <w:rPr>
                <w:rFonts w:eastAsia="Times New Roman"/>
                <w:kern w:val="0"/>
                <w:sz w:val="16"/>
                <w:szCs w:val="16"/>
              </w:rPr>
            </w:pPr>
          </w:p>
        </w:tc>
      </w:tr>
    </w:tbl>
    <w:p w:rsidR="00F501C3" w:rsidRDefault="00F501C3" w:rsidP="008010EB">
      <w:pPr>
        <w:widowControl/>
        <w:overflowPunct/>
        <w:autoSpaceDE/>
        <w:autoSpaceDN/>
        <w:adjustRightInd/>
        <w:jc w:val="center"/>
      </w:pPr>
    </w:p>
    <w:p w:rsidR="00A65AF1" w:rsidRDefault="00A65AF1" w:rsidP="008010EB">
      <w:pPr>
        <w:widowControl/>
        <w:overflowPunct/>
        <w:autoSpaceDE/>
        <w:autoSpaceDN/>
        <w:adjustRightInd/>
        <w:jc w:val="center"/>
      </w:pPr>
    </w:p>
    <w:p w:rsidR="00B44823" w:rsidRDefault="00B44823" w:rsidP="008010EB">
      <w:pPr>
        <w:widowControl/>
        <w:overflowPunct/>
        <w:autoSpaceDE/>
        <w:autoSpaceDN/>
        <w:adjustRightInd/>
        <w:jc w:val="center"/>
      </w:pPr>
    </w:p>
    <w:tbl>
      <w:tblPr>
        <w:tblW w:w="11715" w:type="dxa"/>
        <w:jc w:val="center"/>
        <w:tblLayout w:type="fixed"/>
        <w:tblCellMar>
          <w:left w:w="0" w:type="dxa"/>
          <w:right w:w="0" w:type="dxa"/>
        </w:tblCellMar>
        <w:tblLook w:val="04A0" w:firstRow="1" w:lastRow="0" w:firstColumn="1" w:lastColumn="0" w:noHBand="0" w:noVBand="1"/>
      </w:tblPr>
      <w:tblGrid>
        <w:gridCol w:w="1898"/>
        <w:gridCol w:w="1004"/>
        <w:gridCol w:w="938"/>
        <w:gridCol w:w="763"/>
        <w:gridCol w:w="942"/>
        <w:gridCol w:w="1212"/>
        <w:gridCol w:w="1229"/>
        <w:gridCol w:w="849"/>
        <w:gridCol w:w="1081"/>
        <w:gridCol w:w="1068"/>
        <w:gridCol w:w="731"/>
      </w:tblGrid>
      <w:tr w:rsidR="00B44823" w:rsidRPr="00A82E36" w:rsidTr="008010EB">
        <w:trPr>
          <w:trHeight w:val="262"/>
          <w:jc w:val="center"/>
        </w:trPr>
        <w:tc>
          <w:tcPr>
            <w:tcW w:w="11715" w:type="dxa"/>
            <w:gridSpan w:val="11"/>
            <w:tcBorders>
              <w:left w:val="nil"/>
              <w:bottom w:val="single" w:sz="4" w:space="0" w:color="auto"/>
              <w:right w:val="nil"/>
            </w:tcBorders>
            <w:shd w:val="clear" w:color="auto" w:fill="auto"/>
            <w:noWrap/>
            <w:tcMar>
              <w:top w:w="15" w:type="dxa"/>
              <w:left w:w="15" w:type="dxa"/>
              <w:bottom w:w="0" w:type="dxa"/>
              <w:right w:w="15" w:type="dxa"/>
            </w:tcMar>
            <w:vAlign w:val="bottom"/>
          </w:tcPr>
          <w:p w:rsidR="00B44823" w:rsidRPr="00931FD3" w:rsidRDefault="00B44823" w:rsidP="008010EB">
            <w:pPr>
              <w:jc w:val="center"/>
              <w:rPr>
                <w:rFonts w:ascii="Arial" w:hAnsi="Arial" w:cs="Arial"/>
              </w:rPr>
            </w:pPr>
            <w:r w:rsidRPr="00931FD3">
              <w:rPr>
                <w:rFonts w:eastAsia="Times New Roman"/>
                <w:b/>
                <w:bCs/>
              </w:rPr>
              <w:lastRenderedPageBreak/>
              <w:t>Table 8</w:t>
            </w:r>
            <w:r w:rsidR="00FC5498">
              <w:rPr>
                <w:rFonts w:eastAsia="Times New Roman"/>
                <w:bCs/>
                <w:i/>
              </w:rPr>
              <w:t xml:space="preserve"> </w:t>
            </w:r>
            <w:r w:rsidR="005E29D0">
              <w:rPr>
                <w:rFonts w:eastAsia="Times New Roman"/>
                <w:bCs/>
                <w:i/>
              </w:rPr>
              <w:t>(Cont’d)</w:t>
            </w:r>
          </w:p>
        </w:tc>
      </w:tr>
      <w:tr w:rsidR="00B44823" w:rsidRPr="004943A9" w:rsidTr="008010EB">
        <w:trPr>
          <w:trHeight w:val="250"/>
          <w:jc w:val="center"/>
        </w:trPr>
        <w:tc>
          <w:tcPr>
            <w:tcW w:w="11715" w:type="dxa"/>
            <w:gridSpan w:val="11"/>
            <w:tcBorders>
              <w:top w:val="single" w:sz="4" w:space="0" w:color="auto"/>
              <w:left w:val="nil"/>
              <w:right w:val="nil"/>
            </w:tcBorders>
            <w:shd w:val="clear" w:color="auto" w:fill="auto"/>
            <w:noWrap/>
            <w:tcMar>
              <w:top w:w="15" w:type="dxa"/>
              <w:left w:w="15" w:type="dxa"/>
              <w:bottom w:w="0" w:type="dxa"/>
              <w:right w:w="15" w:type="dxa"/>
            </w:tcMar>
            <w:vAlign w:val="bottom"/>
          </w:tcPr>
          <w:p w:rsidR="00B44823" w:rsidRPr="004943A9" w:rsidRDefault="00B44823" w:rsidP="008010EB">
            <w:pPr>
              <w:rPr>
                <w:rFonts w:eastAsia="Times New Roman"/>
                <w:b/>
                <w:bCs/>
                <w:sz w:val="16"/>
                <w:szCs w:val="16"/>
              </w:rPr>
            </w:pPr>
            <w:r w:rsidRPr="004943A9">
              <w:rPr>
                <w:rFonts w:eastAsia="Times New Roman"/>
                <w:b/>
                <w:bCs/>
                <w:sz w:val="16"/>
                <w:szCs w:val="16"/>
              </w:rPr>
              <w:t>Panel B: Sample Split Based on Peer Firm Earnings Quality</w:t>
            </w:r>
          </w:p>
        </w:tc>
      </w:tr>
      <w:tr w:rsidR="00B44823" w:rsidRPr="004943A9" w:rsidTr="008010EB">
        <w:trPr>
          <w:trHeight w:val="262"/>
          <w:jc w:val="center"/>
        </w:trPr>
        <w:tc>
          <w:tcPr>
            <w:tcW w:w="1898" w:type="dxa"/>
            <w:tcBorders>
              <w:left w:val="nil"/>
              <w:right w:val="nil"/>
            </w:tcBorders>
            <w:shd w:val="clear" w:color="auto" w:fill="auto"/>
            <w:noWrap/>
            <w:tcMar>
              <w:top w:w="15" w:type="dxa"/>
              <w:left w:w="15" w:type="dxa"/>
              <w:bottom w:w="0" w:type="dxa"/>
              <w:right w:w="15" w:type="dxa"/>
            </w:tcMar>
            <w:vAlign w:val="bottom"/>
          </w:tcPr>
          <w:p w:rsidR="00B44823" w:rsidRPr="004943A9" w:rsidRDefault="00B44823" w:rsidP="008010EB">
            <w:pPr>
              <w:rPr>
                <w:sz w:val="16"/>
                <w:szCs w:val="16"/>
              </w:rPr>
            </w:pPr>
            <w:r w:rsidRPr="004943A9">
              <w:rPr>
                <w:sz w:val="16"/>
                <w:szCs w:val="16"/>
              </w:rPr>
              <w:t>Dep. Var.=</w:t>
            </w:r>
          </w:p>
        </w:tc>
        <w:tc>
          <w:tcPr>
            <w:tcW w:w="2705" w:type="dxa"/>
            <w:gridSpan w:val="3"/>
            <w:tcBorders>
              <w:left w:val="nil"/>
              <w:right w:val="nil"/>
            </w:tcBorders>
            <w:shd w:val="clear" w:color="auto" w:fill="auto"/>
            <w:noWrap/>
            <w:tcMar>
              <w:top w:w="15" w:type="dxa"/>
              <w:left w:w="15" w:type="dxa"/>
              <w:bottom w:w="0" w:type="dxa"/>
              <w:right w:w="15" w:type="dxa"/>
            </w:tcMar>
            <w:vAlign w:val="bottom"/>
          </w:tcPr>
          <w:p w:rsidR="00B44823" w:rsidRPr="004943A9" w:rsidRDefault="00B44823" w:rsidP="008010EB">
            <w:pPr>
              <w:jc w:val="center"/>
              <w:rPr>
                <w:i/>
                <w:sz w:val="16"/>
                <w:szCs w:val="16"/>
              </w:rPr>
            </w:pPr>
            <w:r w:rsidRPr="004943A9">
              <w:rPr>
                <w:i/>
                <w:iCs/>
                <w:sz w:val="16"/>
                <w:szCs w:val="16"/>
              </w:rPr>
              <w:t>EXRET</w:t>
            </w:r>
          </w:p>
        </w:tc>
        <w:tc>
          <w:tcPr>
            <w:tcW w:w="4232" w:type="dxa"/>
            <w:gridSpan w:val="4"/>
            <w:tcBorders>
              <w:left w:val="nil"/>
            </w:tcBorders>
            <w:shd w:val="clear" w:color="auto" w:fill="auto"/>
            <w:noWrap/>
            <w:tcMar>
              <w:top w:w="15" w:type="dxa"/>
              <w:left w:w="15" w:type="dxa"/>
              <w:bottom w:w="0" w:type="dxa"/>
              <w:right w:w="15" w:type="dxa"/>
            </w:tcMar>
            <w:vAlign w:val="center"/>
          </w:tcPr>
          <w:p w:rsidR="00B44823" w:rsidRPr="004943A9" w:rsidRDefault="00B44823" w:rsidP="008010EB">
            <w:pPr>
              <w:jc w:val="center"/>
              <w:rPr>
                <w:i/>
                <w:iCs/>
                <w:color w:val="000000"/>
                <w:sz w:val="16"/>
                <w:szCs w:val="16"/>
              </w:rPr>
            </w:pPr>
            <w:r w:rsidRPr="004943A9">
              <w:rPr>
                <w:i/>
                <w:iCs/>
                <w:color w:val="000000"/>
                <w:sz w:val="16"/>
                <w:szCs w:val="16"/>
              </w:rPr>
              <w:t>ICoE</w:t>
            </w:r>
          </w:p>
        </w:tc>
        <w:tc>
          <w:tcPr>
            <w:tcW w:w="2880" w:type="dxa"/>
            <w:gridSpan w:val="3"/>
            <w:tcBorders>
              <w:right w:val="nil"/>
            </w:tcBorders>
            <w:shd w:val="clear" w:color="auto" w:fill="auto"/>
            <w:noWrap/>
            <w:tcMar>
              <w:top w:w="15" w:type="dxa"/>
              <w:left w:w="15" w:type="dxa"/>
              <w:bottom w:w="0" w:type="dxa"/>
              <w:right w:w="15" w:type="dxa"/>
            </w:tcMar>
            <w:vAlign w:val="center"/>
          </w:tcPr>
          <w:p w:rsidR="00B44823" w:rsidRPr="004943A9" w:rsidRDefault="00B44823" w:rsidP="008010EB">
            <w:pPr>
              <w:jc w:val="center"/>
              <w:rPr>
                <w:i/>
                <w:sz w:val="16"/>
                <w:szCs w:val="16"/>
              </w:rPr>
            </w:pPr>
            <w:r w:rsidRPr="004943A9">
              <w:rPr>
                <w:i/>
                <w:iCs/>
                <w:color w:val="000000"/>
                <w:sz w:val="16"/>
                <w:szCs w:val="16"/>
              </w:rPr>
              <w:t>IndEP</w:t>
            </w:r>
          </w:p>
        </w:tc>
      </w:tr>
      <w:tr w:rsidR="004943A9" w:rsidRPr="004943A9" w:rsidTr="008010EB">
        <w:trPr>
          <w:trHeight w:val="345"/>
          <w:jc w:val="center"/>
        </w:trPr>
        <w:tc>
          <w:tcPr>
            <w:tcW w:w="1898" w:type="dxa"/>
            <w:tcBorders>
              <w:left w:val="nil"/>
              <w:right w:val="nil"/>
            </w:tcBorders>
            <w:shd w:val="clear" w:color="auto" w:fill="auto"/>
            <w:noWrap/>
            <w:tcMar>
              <w:top w:w="15" w:type="dxa"/>
              <w:left w:w="15" w:type="dxa"/>
              <w:bottom w:w="0" w:type="dxa"/>
              <w:right w:w="15" w:type="dxa"/>
            </w:tcMar>
            <w:vAlign w:val="center"/>
            <w:hideMark/>
          </w:tcPr>
          <w:p w:rsidR="00B44823" w:rsidRPr="004943A9" w:rsidRDefault="00B44823" w:rsidP="008010EB">
            <w:pPr>
              <w:rPr>
                <w:sz w:val="16"/>
                <w:szCs w:val="16"/>
              </w:rPr>
            </w:pPr>
          </w:p>
        </w:tc>
        <w:tc>
          <w:tcPr>
            <w:tcW w:w="1004" w:type="dxa"/>
            <w:tcBorders>
              <w:left w:val="nil"/>
              <w:right w:val="nil"/>
            </w:tcBorders>
            <w:shd w:val="clear" w:color="auto" w:fill="auto"/>
            <w:noWrap/>
            <w:tcMar>
              <w:top w:w="15" w:type="dxa"/>
              <w:left w:w="15" w:type="dxa"/>
              <w:bottom w:w="0" w:type="dxa"/>
              <w:right w:w="15" w:type="dxa"/>
            </w:tcMar>
            <w:vAlign w:val="center"/>
            <w:hideMark/>
          </w:tcPr>
          <w:p w:rsidR="00A82E36" w:rsidRPr="00931FD3" w:rsidRDefault="00B44823" w:rsidP="008010EB">
            <w:pPr>
              <w:jc w:val="center"/>
              <w:rPr>
                <w:iCs/>
                <w:sz w:val="16"/>
                <w:szCs w:val="16"/>
              </w:rPr>
            </w:pPr>
            <w:r w:rsidRPr="004943A9">
              <w:rPr>
                <w:iCs/>
                <w:sz w:val="16"/>
                <w:szCs w:val="16"/>
              </w:rPr>
              <w:t>(1)High</w:t>
            </w:r>
          </w:p>
          <w:p w:rsidR="00B44823" w:rsidRPr="004943A9" w:rsidRDefault="00B44823" w:rsidP="008010EB">
            <w:pPr>
              <w:jc w:val="center"/>
              <w:rPr>
                <w:iCs/>
                <w:sz w:val="16"/>
                <w:szCs w:val="16"/>
              </w:rPr>
            </w:pPr>
            <w:r w:rsidRPr="004943A9">
              <w:rPr>
                <w:i/>
                <w:iCs/>
                <w:color w:val="000000"/>
                <w:sz w:val="16"/>
                <w:szCs w:val="16"/>
              </w:rPr>
              <w:t>P_EQ</w:t>
            </w:r>
          </w:p>
        </w:tc>
        <w:tc>
          <w:tcPr>
            <w:tcW w:w="938" w:type="dxa"/>
            <w:tcBorders>
              <w:left w:val="nil"/>
              <w:right w:val="nil"/>
            </w:tcBorders>
            <w:shd w:val="clear" w:color="auto" w:fill="auto"/>
            <w:noWrap/>
            <w:tcMar>
              <w:top w:w="15" w:type="dxa"/>
              <w:left w:w="15" w:type="dxa"/>
              <w:bottom w:w="0" w:type="dxa"/>
              <w:right w:w="15" w:type="dxa"/>
            </w:tcMar>
            <w:vAlign w:val="center"/>
            <w:hideMark/>
          </w:tcPr>
          <w:p w:rsidR="00B44823" w:rsidRPr="004943A9" w:rsidRDefault="00B44823" w:rsidP="008010EB">
            <w:pPr>
              <w:jc w:val="center"/>
              <w:rPr>
                <w:iCs/>
                <w:sz w:val="16"/>
                <w:szCs w:val="16"/>
              </w:rPr>
            </w:pPr>
            <w:r w:rsidRPr="004943A9">
              <w:rPr>
                <w:iCs/>
                <w:sz w:val="16"/>
                <w:szCs w:val="16"/>
              </w:rPr>
              <w:t xml:space="preserve">(2) Low </w:t>
            </w:r>
            <w:r w:rsidRPr="004943A9">
              <w:rPr>
                <w:i/>
                <w:iCs/>
                <w:color w:val="000000"/>
                <w:sz w:val="16"/>
                <w:szCs w:val="16"/>
              </w:rPr>
              <w:t>P_EQ</w:t>
            </w:r>
          </w:p>
        </w:tc>
        <w:tc>
          <w:tcPr>
            <w:tcW w:w="763" w:type="dxa"/>
            <w:tcBorders>
              <w:left w:val="nil"/>
              <w:right w:val="nil"/>
            </w:tcBorders>
            <w:shd w:val="clear" w:color="auto" w:fill="auto"/>
            <w:noWrap/>
            <w:tcMar>
              <w:top w:w="15" w:type="dxa"/>
              <w:left w:w="15" w:type="dxa"/>
              <w:bottom w:w="0" w:type="dxa"/>
              <w:right w:w="15" w:type="dxa"/>
            </w:tcMar>
            <w:vAlign w:val="center"/>
            <w:hideMark/>
          </w:tcPr>
          <w:p w:rsidR="00B44823" w:rsidRPr="004943A9" w:rsidRDefault="00B44823" w:rsidP="008010EB">
            <w:pPr>
              <w:jc w:val="center"/>
              <w:rPr>
                <w:sz w:val="16"/>
                <w:szCs w:val="16"/>
              </w:rPr>
            </w:pPr>
            <w:r w:rsidRPr="004943A9">
              <w:rPr>
                <w:sz w:val="16"/>
                <w:szCs w:val="16"/>
              </w:rPr>
              <w:t>(2)−(1)</w:t>
            </w:r>
          </w:p>
        </w:tc>
        <w:tc>
          <w:tcPr>
            <w:tcW w:w="942" w:type="dxa"/>
            <w:tcBorders>
              <w:left w:val="nil"/>
              <w:right w:val="nil"/>
            </w:tcBorders>
            <w:shd w:val="clear" w:color="auto" w:fill="auto"/>
            <w:noWrap/>
            <w:tcMar>
              <w:top w:w="15" w:type="dxa"/>
              <w:left w:w="15" w:type="dxa"/>
              <w:bottom w:w="0" w:type="dxa"/>
              <w:right w:w="15" w:type="dxa"/>
            </w:tcMar>
            <w:vAlign w:val="center"/>
            <w:hideMark/>
          </w:tcPr>
          <w:p w:rsidR="00B44823" w:rsidRPr="004943A9" w:rsidRDefault="00B44823" w:rsidP="008010EB">
            <w:pPr>
              <w:jc w:val="center"/>
              <w:rPr>
                <w:sz w:val="16"/>
                <w:szCs w:val="16"/>
              </w:rPr>
            </w:pPr>
          </w:p>
        </w:tc>
        <w:tc>
          <w:tcPr>
            <w:tcW w:w="1212" w:type="dxa"/>
            <w:tcBorders>
              <w:left w:val="nil"/>
              <w:right w:val="nil"/>
            </w:tcBorders>
            <w:shd w:val="clear" w:color="auto" w:fill="auto"/>
            <w:noWrap/>
            <w:tcMar>
              <w:top w:w="15" w:type="dxa"/>
              <w:left w:w="15" w:type="dxa"/>
              <w:bottom w:w="0" w:type="dxa"/>
              <w:right w:w="15" w:type="dxa"/>
            </w:tcMar>
            <w:vAlign w:val="center"/>
            <w:hideMark/>
          </w:tcPr>
          <w:p w:rsidR="004943A9" w:rsidRDefault="00B44823" w:rsidP="008010EB">
            <w:pPr>
              <w:jc w:val="center"/>
              <w:rPr>
                <w:iCs/>
                <w:sz w:val="16"/>
                <w:szCs w:val="16"/>
              </w:rPr>
            </w:pPr>
            <w:r w:rsidRPr="004943A9">
              <w:rPr>
                <w:iCs/>
                <w:color w:val="000000"/>
                <w:sz w:val="16"/>
                <w:szCs w:val="16"/>
              </w:rPr>
              <w:t>(3)</w:t>
            </w:r>
            <w:r w:rsidRPr="004943A9">
              <w:rPr>
                <w:iCs/>
                <w:sz w:val="16"/>
                <w:szCs w:val="16"/>
              </w:rPr>
              <w:t xml:space="preserve"> High</w:t>
            </w:r>
          </w:p>
          <w:p w:rsidR="00B44823" w:rsidRPr="004943A9" w:rsidRDefault="00B44823" w:rsidP="008010EB">
            <w:pPr>
              <w:jc w:val="center"/>
              <w:rPr>
                <w:iCs/>
                <w:color w:val="000000"/>
                <w:sz w:val="16"/>
                <w:szCs w:val="16"/>
              </w:rPr>
            </w:pPr>
            <w:r w:rsidRPr="004943A9">
              <w:rPr>
                <w:i/>
                <w:iCs/>
                <w:color w:val="000000"/>
                <w:sz w:val="16"/>
                <w:szCs w:val="16"/>
              </w:rPr>
              <w:t>P_EQ</w:t>
            </w:r>
          </w:p>
        </w:tc>
        <w:tc>
          <w:tcPr>
            <w:tcW w:w="1229" w:type="dxa"/>
            <w:tcBorders>
              <w:left w:val="nil"/>
              <w:right w:val="nil"/>
            </w:tcBorders>
            <w:shd w:val="clear" w:color="auto" w:fill="auto"/>
            <w:tcMar>
              <w:top w:w="15" w:type="dxa"/>
              <w:left w:w="15" w:type="dxa"/>
              <w:bottom w:w="0" w:type="dxa"/>
              <w:right w:w="15" w:type="dxa"/>
            </w:tcMar>
            <w:vAlign w:val="center"/>
            <w:hideMark/>
          </w:tcPr>
          <w:p w:rsidR="004943A9" w:rsidRDefault="00B44823" w:rsidP="008010EB">
            <w:pPr>
              <w:jc w:val="center"/>
              <w:rPr>
                <w:iCs/>
                <w:sz w:val="16"/>
                <w:szCs w:val="16"/>
              </w:rPr>
            </w:pPr>
            <w:r w:rsidRPr="004943A9">
              <w:rPr>
                <w:iCs/>
                <w:color w:val="000000"/>
                <w:sz w:val="16"/>
                <w:szCs w:val="16"/>
              </w:rPr>
              <w:t>(4)</w:t>
            </w:r>
            <w:r w:rsidRPr="004943A9">
              <w:rPr>
                <w:iCs/>
                <w:sz w:val="16"/>
                <w:szCs w:val="16"/>
              </w:rPr>
              <w:t xml:space="preserve"> Low</w:t>
            </w:r>
          </w:p>
          <w:p w:rsidR="00B44823" w:rsidRPr="004943A9" w:rsidRDefault="00B44823" w:rsidP="008010EB">
            <w:pPr>
              <w:jc w:val="center"/>
              <w:rPr>
                <w:iCs/>
                <w:color w:val="000000"/>
                <w:sz w:val="16"/>
                <w:szCs w:val="16"/>
              </w:rPr>
            </w:pPr>
            <w:r w:rsidRPr="004943A9">
              <w:rPr>
                <w:i/>
                <w:iCs/>
                <w:color w:val="000000"/>
                <w:sz w:val="16"/>
                <w:szCs w:val="16"/>
              </w:rPr>
              <w:t>P_EQ</w:t>
            </w:r>
          </w:p>
        </w:tc>
        <w:tc>
          <w:tcPr>
            <w:tcW w:w="849" w:type="dxa"/>
            <w:tcBorders>
              <w:left w:val="nil"/>
              <w:right w:val="nil"/>
            </w:tcBorders>
            <w:shd w:val="clear" w:color="auto" w:fill="auto"/>
            <w:noWrap/>
            <w:tcMar>
              <w:top w:w="15" w:type="dxa"/>
              <w:left w:w="15" w:type="dxa"/>
              <w:bottom w:w="0" w:type="dxa"/>
              <w:right w:w="15" w:type="dxa"/>
            </w:tcMar>
            <w:vAlign w:val="center"/>
            <w:hideMark/>
          </w:tcPr>
          <w:p w:rsidR="00B44823" w:rsidRPr="004943A9" w:rsidRDefault="00B44823" w:rsidP="008010EB">
            <w:pPr>
              <w:jc w:val="center"/>
              <w:rPr>
                <w:sz w:val="16"/>
                <w:szCs w:val="16"/>
              </w:rPr>
            </w:pPr>
            <w:r w:rsidRPr="004943A9">
              <w:rPr>
                <w:sz w:val="16"/>
                <w:szCs w:val="16"/>
              </w:rPr>
              <w:t>(4)−(3)</w:t>
            </w:r>
          </w:p>
        </w:tc>
        <w:tc>
          <w:tcPr>
            <w:tcW w:w="1081" w:type="dxa"/>
            <w:tcBorders>
              <w:right w:val="nil"/>
            </w:tcBorders>
            <w:shd w:val="clear" w:color="auto" w:fill="auto"/>
            <w:noWrap/>
            <w:tcMar>
              <w:top w:w="15" w:type="dxa"/>
              <w:left w:w="15" w:type="dxa"/>
              <w:bottom w:w="0" w:type="dxa"/>
              <w:right w:w="15" w:type="dxa"/>
            </w:tcMar>
            <w:vAlign w:val="center"/>
            <w:hideMark/>
          </w:tcPr>
          <w:p w:rsidR="004943A9" w:rsidRDefault="00B44823" w:rsidP="008010EB">
            <w:pPr>
              <w:jc w:val="center"/>
              <w:rPr>
                <w:iCs/>
                <w:sz w:val="16"/>
                <w:szCs w:val="16"/>
              </w:rPr>
            </w:pPr>
            <w:r w:rsidRPr="004943A9">
              <w:rPr>
                <w:iCs/>
                <w:color w:val="000000"/>
                <w:sz w:val="16"/>
                <w:szCs w:val="16"/>
              </w:rPr>
              <w:t>(5)</w:t>
            </w:r>
            <w:r w:rsidRPr="004943A9">
              <w:rPr>
                <w:iCs/>
                <w:sz w:val="16"/>
                <w:szCs w:val="16"/>
              </w:rPr>
              <w:t xml:space="preserve"> High</w:t>
            </w:r>
          </w:p>
          <w:p w:rsidR="00B44823" w:rsidRPr="004943A9" w:rsidRDefault="00B44823" w:rsidP="008010EB">
            <w:pPr>
              <w:jc w:val="center"/>
              <w:rPr>
                <w:i/>
                <w:iCs/>
                <w:color w:val="000000"/>
                <w:sz w:val="16"/>
                <w:szCs w:val="16"/>
              </w:rPr>
            </w:pPr>
            <w:r w:rsidRPr="004943A9">
              <w:rPr>
                <w:i/>
                <w:iCs/>
                <w:color w:val="000000"/>
                <w:sz w:val="16"/>
                <w:szCs w:val="16"/>
              </w:rPr>
              <w:t>P_EQ</w:t>
            </w:r>
          </w:p>
        </w:tc>
        <w:tc>
          <w:tcPr>
            <w:tcW w:w="1068" w:type="dxa"/>
            <w:tcBorders>
              <w:left w:val="nil"/>
              <w:right w:val="nil"/>
            </w:tcBorders>
            <w:shd w:val="clear" w:color="auto" w:fill="auto"/>
            <w:tcMar>
              <w:top w:w="15" w:type="dxa"/>
              <w:left w:w="15" w:type="dxa"/>
              <w:bottom w:w="0" w:type="dxa"/>
              <w:right w:w="15" w:type="dxa"/>
            </w:tcMar>
            <w:vAlign w:val="center"/>
            <w:hideMark/>
          </w:tcPr>
          <w:p w:rsidR="004943A9" w:rsidRDefault="00B44823" w:rsidP="008010EB">
            <w:pPr>
              <w:jc w:val="center"/>
              <w:rPr>
                <w:iCs/>
                <w:sz w:val="16"/>
                <w:szCs w:val="16"/>
              </w:rPr>
            </w:pPr>
            <w:r w:rsidRPr="004943A9">
              <w:rPr>
                <w:iCs/>
                <w:color w:val="000000"/>
                <w:sz w:val="16"/>
                <w:szCs w:val="16"/>
              </w:rPr>
              <w:t>(6)</w:t>
            </w:r>
            <w:r w:rsidRPr="004943A9">
              <w:rPr>
                <w:iCs/>
                <w:sz w:val="16"/>
                <w:szCs w:val="16"/>
              </w:rPr>
              <w:t xml:space="preserve"> Low</w:t>
            </w:r>
          </w:p>
          <w:p w:rsidR="00B44823" w:rsidRPr="004943A9" w:rsidRDefault="00B44823" w:rsidP="008010EB">
            <w:pPr>
              <w:jc w:val="center"/>
              <w:rPr>
                <w:iCs/>
                <w:color w:val="000000"/>
                <w:sz w:val="16"/>
                <w:szCs w:val="16"/>
              </w:rPr>
            </w:pPr>
            <w:r w:rsidRPr="004943A9">
              <w:rPr>
                <w:i/>
                <w:iCs/>
                <w:color w:val="000000"/>
                <w:sz w:val="16"/>
                <w:szCs w:val="16"/>
              </w:rPr>
              <w:t>P_EQ</w:t>
            </w:r>
          </w:p>
        </w:tc>
        <w:tc>
          <w:tcPr>
            <w:tcW w:w="731" w:type="dxa"/>
            <w:tcBorders>
              <w:left w:val="nil"/>
              <w:right w:val="nil"/>
            </w:tcBorders>
            <w:shd w:val="clear" w:color="auto" w:fill="auto"/>
            <w:noWrap/>
            <w:tcMar>
              <w:top w:w="15" w:type="dxa"/>
              <w:left w:w="15" w:type="dxa"/>
              <w:bottom w:w="0" w:type="dxa"/>
              <w:right w:w="15" w:type="dxa"/>
            </w:tcMar>
            <w:vAlign w:val="center"/>
            <w:hideMark/>
          </w:tcPr>
          <w:p w:rsidR="00B44823" w:rsidRPr="004943A9" w:rsidRDefault="00B44823" w:rsidP="008010EB">
            <w:pPr>
              <w:jc w:val="center"/>
              <w:rPr>
                <w:sz w:val="16"/>
                <w:szCs w:val="16"/>
              </w:rPr>
            </w:pPr>
            <w:r w:rsidRPr="004943A9">
              <w:rPr>
                <w:sz w:val="16"/>
                <w:szCs w:val="16"/>
              </w:rPr>
              <w:t>(6)−(5)</w:t>
            </w:r>
          </w:p>
        </w:tc>
      </w:tr>
      <w:tr w:rsidR="004943A9" w:rsidRPr="004943A9" w:rsidTr="008010EB">
        <w:trPr>
          <w:trHeight w:val="260"/>
          <w:jc w:val="center"/>
        </w:trPr>
        <w:tc>
          <w:tcPr>
            <w:tcW w:w="1898" w:type="dxa"/>
            <w:tcBorders>
              <w:top w:val="single" w:sz="4" w:space="0" w:color="auto"/>
              <w:lef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H_</w:t>
            </w:r>
            <w:r w:rsidRPr="004943A9">
              <w:rPr>
                <w:i/>
                <w:iCs/>
                <w:color w:val="000000"/>
                <w:sz w:val="16"/>
                <w:szCs w:val="16"/>
              </w:rPr>
              <w:t>P_EQmsw</w:t>
            </w:r>
            <w:r w:rsidRPr="004943A9">
              <w:rPr>
                <w:i/>
                <w:iCs/>
                <w:sz w:val="16"/>
                <w:szCs w:val="16"/>
              </w:rPr>
              <w:t>×MKTRF</w:t>
            </w:r>
          </w:p>
        </w:tc>
        <w:tc>
          <w:tcPr>
            <w:tcW w:w="1004"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−0.130***</w:t>
            </w:r>
          </w:p>
        </w:tc>
        <w:tc>
          <w:tcPr>
            <w:tcW w:w="938"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−0.011</w:t>
            </w:r>
          </w:p>
        </w:tc>
        <w:tc>
          <w:tcPr>
            <w:tcW w:w="763"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0.119</w:t>
            </w:r>
          </w:p>
        </w:tc>
        <w:tc>
          <w:tcPr>
            <w:tcW w:w="942"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r w:rsidRPr="004943A9">
              <w:rPr>
                <w:rFonts w:eastAsia="Times New Roman"/>
                <w:i/>
                <w:kern w:val="0"/>
                <w:sz w:val="16"/>
                <w:szCs w:val="16"/>
              </w:rPr>
              <w:t>H_ P_EQ</w:t>
            </w:r>
          </w:p>
        </w:tc>
        <w:tc>
          <w:tcPr>
            <w:tcW w:w="1212"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−0.010***</w:t>
            </w:r>
          </w:p>
        </w:tc>
        <w:tc>
          <w:tcPr>
            <w:tcW w:w="1229"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−0.001</w:t>
            </w:r>
          </w:p>
        </w:tc>
        <w:tc>
          <w:tcPr>
            <w:tcW w:w="849"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0.009</w:t>
            </w:r>
          </w:p>
        </w:tc>
        <w:tc>
          <w:tcPr>
            <w:tcW w:w="1081"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−0.004***</w:t>
            </w:r>
          </w:p>
        </w:tc>
        <w:tc>
          <w:tcPr>
            <w:tcW w:w="1068"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0.000</w:t>
            </w:r>
          </w:p>
        </w:tc>
        <w:tc>
          <w:tcPr>
            <w:tcW w:w="731" w:type="dxa"/>
            <w:tcBorders>
              <w:top w:val="single" w:sz="4" w:space="0" w:color="auto"/>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0.004</w:t>
            </w:r>
          </w:p>
        </w:tc>
      </w:tr>
      <w:tr w:rsidR="004943A9" w:rsidRPr="004943A9" w:rsidTr="008010EB">
        <w:trPr>
          <w:trHeight w:val="260"/>
          <w:jc w:val="center"/>
        </w:trPr>
        <w:tc>
          <w:tcPr>
            <w:tcW w:w="1898" w:type="dxa"/>
            <w:tcBorders>
              <w:top w:val="nil"/>
              <w:lef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(−7.07)</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(−0.56)</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[8.51]</w:t>
            </w: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(−5.29)</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(−0.69)</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[5.43]</w:t>
            </w: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(−5.05)</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(0.50)</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[10.63]</w:t>
            </w:r>
          </w:p>
        </w:tc>
      </w:tr>
      <w:tr w:rsidR="004943A9" w:rsidRPr="004943A9" w:rsidTr="008010EB">
        <w:trPr>
          <w:trHeight w:val="244"/>
          <w:jc w:val="center"/>
        </w:trPr>
        <w:tc>
          <w:tcPr>
            <w:tcW w:w="1898" w:type="dxa"/>
            <w:tcBorders>
              <w:left w:val="nil"/>
              <w:bottom w:val="nil"/>
            </w:tcBorders>
            <w:shd w:val="clear" w:color="auto" w:fill="auto"/>
            <w:tcMar>
              <w:top w:w="15" w:type="dxa"/>
              <w:left w:w="15" w:type="dxa"/>
              <w:bottom w:w="0" w:type="dxa"/>
              <w:right w:w="15" w:type="dxa"/>
            </w:tcMar>
            <w:hideMark/>
          </w:tcPr>
          <w:p w:rsidR="00B44823" w:rsidRPr="004943A9" w:rsidRDefault="00A82E36" w:rsidP="008010EB">
            <w:pPr>
              <w:rPr>
                <w:i/>
                <w:iCs/>
                <w:sz w:val="16"/>
                <w:szCs w:val="16"/>
              </w:rPr>
            </w:pPr>
            <w:r w:rsidRPr="00931FD3">
              <w:rPr>
                <w:i/>
                <w:iCs/>
                <w:sz w:val="16"/>
                <w:szCs w:val="16"/>
              </w:rPr>
              <w:t>H_EQ</w:t>
            </w:r>
            <w:r w:rsidR="00B44823" w:rsidRPr="004943A9">
              <w:rPr>
                <w:i/>
                <w:iCs/>
                <w:sz w:val="16"/>
                <w:szCs w:val="16"/>
              </w:rPr>
              <w:t>×MKTRF</w:t>
            </w: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−0.184***</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−0.107***</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r w:rsidRPr="004943A9">
              <w:rPr>
                <w:rFonts w:eastAsia="Times New Roman"/>
                <w:i/>
                <w:kern w:val="0"/>
                <w:sz w:val="16"/>
                <w:szCs w:val="16"/>
              </w:rPr>
              <w:t>H_ EQ</w:t>
            </w: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−0.017***</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−0.008***</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0.006***</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0.003***</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(−7.48)</w:t>
            </w:r>
          </w:p>
        </w:tc>
        <w:tc>
          <w:tcPr>
            <w:tcW w:w="93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(−4.89)</w:t>
            </w:r>
          </w:p>
        </w:tc>
        <w:tc>
          <w:tcPr>
            <w:tcW w:w="763"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p>
        </w:tc>
        <w:tc>
          <w:tcPr>
            <w:tcW w:w="121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(−7.36)</w:t>
            </w:r>
          </w:p>
        </w:tc>
        <w:tc>
          <w:tcPr>
            <w:tcW w:w="122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(−4.03)</w:t>
            </w:r>
          </w:p>
        </w:tc>
        <w:tc>
          <w:tcPr>
            <w:tcW w:w="84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(5.25)</w:t>
            </w:r>
          </w:p>
        </w:tc>
        <w:tc>
          <w:tcPr>
            <w:tcW w:w="106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(2.85)</w:t>
            </w:r>
          </w:p>
        </w:tc>
        <w:tc>
          <w:tcPr>
            <w:tcW w:w="73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A82E36" w:rsidP="008010EB">
            <w:pPr>
              <w:rPr>
                <w:i/>
                <w:iCs/>
                <w:sz w:val="16"/>
                <w:szCs w:val="16"/>
              </w:rPr>
            </w:pPr>
            <w:r w:rsidRPr="00931FD3">
              <w:rPr>
                <w:i/>
                <w:iCs/>
                <w:sz w:val="16"/>
                <w:szCs w:val="16"/>
              </w:rPr>
              <w:t>Lev</w:t>
            </w:r>
            <w:r w:rsidR="00B44823" w:rsidRPr="004943A9">
              <w:rPr>
                <w:i/>
                <w:iCs/>
                <w:sz w:val="16"/>
                <w:szCs w:val="16"/>
              </w:rPr>
              <w:t>×MKTRF</w:t>
            </w: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−0.063</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0.121**</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r w:rsidRPr="004943A9">
              <w:rPr>
                <w:rFonts w:eastAsia="Times New Roman"/>
                <w:i/>
                <w:kern w:val="0"/>
                <w:sz w:val="16"/>
                <w:szCs w:val="16"/>
              </w:rPr>
              <w:t>BM</w:t>
            </w: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0.018***</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0.018***</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0.014***</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0.014***</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(−1.30)</w:t>
            </w:r>
          </w:p>
        </w:tc>
        <w:tc>
          <w:tcPr>
            <w:tcW w:w="93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(2.07)</w:t>
            </w:r>
          </w:p>
        </w:tc>
        <w:tc>
          <w:tcPr>
            <w:tcW w:w="763"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p>
        </w:tc>
        <w:tc>
          <w:tcPr>
            <w:tcW w:w="121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(9.75)</w:t>
            </w:r>
          </w:p>
        </w:tc>
        <w:tc>
          <w:tcPr>
            <w:tcW w:w="122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(10.04)</w:t>
            </w:r>
          </w:p>
        </w:tc>
        <w:tc>
          <w:tcPr>
            <w:tcW w:w="84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(15.33)</w:t>
            </w:r>
          </w:p>
        </w:tc>
        <w:tc>
          <w:tcPr>
            <w:tcW w:w="106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(18.07)</w:t>
            </w:r>
          </w:p>
        </w:tc>
        <w:tc>
          <w:tcPr>
            <w:tcW w:w="73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A82E36" w:rsidP="008010EB">
            <w:pPr>
              <w:rPr>
                <w:i/>
                <w:iCs/>
                <w:sz w:val="16"/>
                <w:szCs w:val="16"/>
              </w:rPr>
            </w:pPr>
            <w:r w:rsidRPr="00931FD3">
              <w:rPr>
                <w:i/>
                <w:iCs/>
                <w:sz w:val="16"/>
                <w:szCs w:val="16"/>
              </w:rPr>
              <w:t>LnMV</w:t>
            </w:r>
            <w:r w:rsidR="00B44823" w:rsidRPr="004943A9">
              <w:rPr>
                <w:i/>
                <w:iCs/>
                <w:sz w:val="16"/>
                <w:szCs w:val="16"/>
              </w:rPr>
              <w:t>×MKTRF</w:t>
            </w: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0.028***</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0.036***</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r w:rsidRPr="004943A9">
              <w:rPr>
                <w:rFonts w:eastAsia="Times New Roman"/>
                <w:i/>
                <w:kern w:val="0"/>
                <w:sz w:val="16"/>
                <w:szCs w:val="16"/>
              </w:rPr>
              <w:t>Lev</w:t>
            </w: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0.047***</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0.042***</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0.029***</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0.030***</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(4.97)</w:t>
            </w:r>
          </w:p>
        </w:tc>
        <w:tc>
          <w:tcPr>
            <w:tcW w:w="93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(6.04)</w:t>
            </w:r>
          </w:p>
        </w:tc>
        <w:tc>
          <w:tcPr>
            <w:tcW w:w="763"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p>
        </w:tc>
        <w:tc>
          <w:tcPr>
            <w:tcW w:w="121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(7.57)</w:t>
            </w:r>
          </w:p>
        </w:tc>
        <w:tc>
          <w:tcPr>
            <w:tcW w:w="122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(6.97)</w:t>
            </w:r>
          </w:p>
        </w:tc>
        <w:tc>
          <w:tcPr>
            <w:tcW w:w="84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(10.52)</w:t>
            </w:r>
          </w:p>
        </w:tc>
        <w:tc>
          <w:tcPr>
            <w:tcW w:w="106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(12.43)</w:t>
            </w:r>
          </w:p>
        </w:tc>
        <w:tc>
          <w:tcPr>
            <w:tcW w:w="73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301"/>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A82E36" w:rsidP="008010EB">
            <w:pPr>
              <w:rPr>
                <w:i/>
                <w:iCs/>
                <w:sz w:val="16"/>
                <w:szCs w:val="16"/>
              </w:rPr>
            </w:pPr>
            <w:r w:rsidRPr="00931FD3">
              <w:rPr>
                <w:i/>
                <w:iCs/>
                <w:sz w:val="16"/>
                <w:szCs w:val="16"/>
              </w:rPr>
              <w:t>STD_CFO</w:t>
            </w:r>
            <w:r w:rsidR="00B44823" w:rsidRPr="004943A9">
              <w:rPr>
                <w:i/>
                <w:iCs/>
                <w:sz w:val="16"/>
                <w:szCs w:val="16"/>
              </w:rPr>
              <w:t>×MKTRF</w:t>
            </w: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1.630***</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1.724***</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r w:rsidRPr="004943A9">
              <w:rPr>
                <w:rFonts w:eastAsia="Times New Roman"/>
                <w:i/>
                <w:kern w:val="0"/>
                <w:sz w:val="16"/>
                <w:szCs w:val="16"/>
              </w:rPr>
              <w:t>LnMV</w:t>
            </w: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−0.011***</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−0.012***</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0.002***</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0.000*</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(6.72)</w:t>
            </w:r>
          </w:p>
        </w:tc>
        <w:tc>
          <w:tcPr>
            <w:tcW w:w="93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(7.70)</w:t>
            </w:r>
          </w:p>
        </w:tc>
        <w:tc>
          <w:tcPr>
            <w:tcW w:w="763"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p>
        </w:tc>
        <w:tc>
          <w:tcPr>
            <w:tcW w:w="121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(−14.48)</w:t>
            </w:r>
          </w:p>
        </w:tc>
        <w:tc>
          <w:tcPr>
            <w:tcW w:w="122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(−15.25)</w:t>
            </w:r>
          </w:p>
        </w:tc>
        <w:tc>
          <w:tcPr>
            <w:tcW w:w="84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(6.32)</w:t>
            </w:r>
          </w:p>
        </w:tc>
        <w:tc>
          <w:tcPr>
            <w:tcW w:w="106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(1.80)</w:t>
            </w:r>
          </w:p>
        </w:tc>
        <w:tc>
          <w:tcPr>
            <w:tcW w:w="73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A82E36" w:rsidP="008010EB">
            <w:pPr>
              <w:rPr>
                <w:i/>
                <w:iCs/>
                <w:sz w:val="16"/>
                <w:szCs w:val="16"/>
              </w:rPr>
            </w:pPr>
            <w:r w:rsidRPr="00931FD3">
              <w:rPr>
                <w:i/>
                <w:iCs/>
                <w:sz w:val="16"/>
                <w:szCs w:val="16"/>
              </w:rPr>
              <w:t>CFO</w:t>
            </w:r>
            <w:r w:rsidR="00B44823" w:rsidRPr="004943A9">
              <w:rPr>
                <w:i/>
                <w:iCs/>
                <w:sz w:val="16"/>
                <w:szCs w:val="16"/>
              </w:rPr>
              <w:t>×MKTRF</w:t>
            </w: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−0.911***</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−0.855***</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r w:rsidRPr="004943A9">
              <w:rPr>
                <w:rFonts w:eastAsia="Times New Roman"/>
                <w:i/>
                <w:kern w:val="0"/>
                <w:sz w:val="16"/>
                <w:szCs w:val="16"/>
              </w:rPr>
              <w:t>STD_CFO</w:t>
            </w: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0.348***</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0.322***</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0.092***</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0.109***</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(−10.41)</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(−10.53)</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(10.49)</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(10.74)</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(6.32)</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(9.34)</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BM×MKTRF</w:t>
            </w: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−0.018</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0.007</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r w:rsidRPr="004943A9">
              <w:rPr>
                <w:rFonts w:eastAsia="Times New Roman"/>
                <w:i/>
                <w:kern w:val="0"/>
                <w:sz w:val="16"/>
                <w:szCs w:val="16"/>
              </w:rPr>
              <w:t>CFO</w:t>
            </w: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−0.166***</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−0.198***</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0.058***</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0.037***</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(−1.21)</w:t>
            </w:r>
          </w:p>
        </w:tc>
        <w:tc>
          <w:tcPr>
            <w:tcW w:w="93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(0.44)</w:t>
            </w:r>
          </w:p>
        </w:tc>
        <w:tc>
          <w:tcPr>
            <w:tcW w:w="763"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p>
        </w:tc>
        <w:tc>
          <w:tcPr>
            <w:tcW w:w="121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(−12.28)</w:t>
            </w:r>
          </w:p>
        </w:tc>
        <w:tc>
          <w:tcPr>
            <w:tcW w:w="122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(−18.20)</w:t>
            </w:r>
          </w:p>
        </w:tc>
        <w:tc>
          <w:tcPr>
            <w:tcW w:w="84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(8.99)</w:t>
            </w:r>
          </w:p>
        </w:tc>
        <w:tc>
          <w:tcPr>
            <w:tcW w:w="106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(7.36)</w:t>
            </w:r>
          </w:p>
        </w:tc>
        <w:tc>
          <w:tcPr>
            <w:tcW w:w="73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MKTRF</w:t>
            </w: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0.593***</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0.628***</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r w:rsidRPr="004943A9">
              <w:rPr>
                <w:rFonts w:eastAsia="Times New Roman"/>
                <w:i/>
                <w:kern w:val="0"/>
                <w:sz w:val="16"/>
                <w:szCs w:val="16"/>
              </w:rPr>
              <w:t>Growth</w:t>
            </w: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0.010***</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0.014***</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(14.09)</w:t>
            </w:r>
          </w:p>
        </w:tc>
        <w:tc>
          <w:tcPr>
            <w:tcW w:w="93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(13.48)</w:t>
            </w:r>
          </w:p>
        </w:tc>
        <w:tc>
          <w:tcPr>
            <w:tcW w:w="763"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p>
        </w:tc>
        <w:tc>
          <w:tcPr>
            <w:tcW w:w="121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22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84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(5.28)</w:t>
            </w:r>
          </w:p>
        </w:tc>
        <w:tc>
          <w:tcPr>
            <w:tcW w:w="106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(7.74)</w:t>
            </w:r>
          </w:p>
        </w:tc>
        <w:tc>
          <w:tcPr>
            <w:tcW w:w="73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H_EQ</w:t>
            </w: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0.001*</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0.001</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i/>
                <w:kern w:val="0"/>
                <w:sz w:val="16"/>
                <w:szCs w:val="16"/>
              </w:rPr>
            </w:pPr>
            <w:r w:rsidRPr="004943A9">
              <w:rPr>
                <w:rFonts w:eastAsia="Times New Roman"/>
                <w:i/>
                <w:kern w:val="0"/>
                <w:sz w:val="16"/>
                <w:szCs w:val="16"/>
              </w:rPr>
              <w:t>Intercept</w:t>
            </w: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0.182***</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0.207***</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−0.028***</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−0.012***</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(1.67)</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(1.51)</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kern w:val="0"/>
                <w:sz w:val="16"/>
                <w:szCs w:val="16"/>
              </w:rPr>
            </w:pP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(28.81)</w:t>
            </w: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(35.08)</w:t>
            </w: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(−11.34)</w:t>
            </w: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(−5.29)</w:t>
            </w: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r w:rsidRPr="004943A9">
              <w:rPr>
                <w:i/>
                <w:iCs/>
                <w:sz w:val="16"/>
                <w:szCs w:val="16"/>
              </w:rPr>
              <w:t>H_</w:t>
            </w:r>
            <w:r w:rsidRPr="004943A9">
              <w:rPr>
                <w:i/>
                <w:iCs/>
                <w:color w:val="000000"/>
                <w:sz w:val="16"/>
                <w:szCs w:val="16"/>
              </w:rPr>
              <w:t xml:space="preserve"> P_EQmsw</w:t>
            </w:r>
          </w:p>
        </w:tc>
        <w:tc>
          <w:tcPr>
            <w:tcW w:w="1004"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0.001*</w:t>
            </w:r>
          </w:p>
        </w:tc>
        <w:tc>
          <w:tcPr>
            <w:tcW w:w="93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0.002***</w:t>
            </w:r>
          </w:p>
        </w:tc>
        <w:tc>
          <w:tcPr>
            <w:tcW w:w="763"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kern w:val="0"/>
                <w:sz w:val="16"/>
                <w:szCs w:val="16"/>
              </w:rPr>
            </w:pPr>
          </w:p>
        </w:tc>
        <w:tc>
          <w:tcPr>
            <w:tcW w:w="1212"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22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849"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68"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731" w:type="dxa"/>
            <w:tcBorders>
              <w:top w:val="nil"/>
              <w:bottom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bottom w:val="nil"/>
              <w:right w:val="nil"/>
            </w:tcBorders>
            <w:shd w:val="clear" w:color="auto" w:fill="auto"/>
            <w:tcMar>
              <w:top w:w="15" w:type="dxa"/>
              <w:left w:w="15" w:type="dxa"/>
              <w:bottom w:w="0" w:type="dxa"/>
              <w:right w:w="15" w:type="dxa"/>
            </w:tcMar>
            <w:hideMark/>
          </w:tcPr>
          <w:p w:rsidR="00B44823" w:rsidRPr="004943A9" w:rsidRDefault="00B44823" w:rsidP="008010EB">
            <w:pPr>
              <w:rPr>
                <w:i/>
                <w:iCs/>
                <w:sz w:val="16"/>
                <w:szCs w:val="16"/>
              </w:rPr>
            </w:pPr>
          </w:p>
        </w:tc>
        <w:tc>
          <w:tcPr>
            <w:tcW w:w="1004"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(1.73)</w:t>
            </w:r>
          </w:p>
        </w:tc>
        <w:tc>
          <w:tcPr>
            <w:tcW w:w="93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(2.73)</w:t>
            </w:r>
          </w:p>
        </w:tc>
        <w:tc>
          <w:tcPr>
            <w:tcW w:w="763"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106453">
            <w:pPr>
              <w:widowControl/>
              <w:overflowPunct/>
              <w:autoSpaceDE/>
              <w:autoSpaceDN/>
              <w:adjustRightInd/>
              <w:rPr>
                <w:rFonts w:eastAsia="Times New Roman"/>
                <w:kern w:val="0"/>
                <w:sz w:val="16"/>
                <w:szCs w:val="16"/>
              </w:rPr>
            </w:pPr>
          </w:p>
        </w:tc>
        <w:tc>
          <w:tcPr>
            <w:tcW w:w="1212"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22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849"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68"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731" w:type="dxa"/>
            <w:tcBorders>
              <w:top w:val="nil"/>
              <w:left w:val="nil"/>
              <w:bottom w:val="nil"/>
              <w:right w:val="nil"/>
            </w:tcBorders>
            <w:shd w:val="clear" w:color="auto" w:fill="auto"/>
            <w:noWrap/>
            <w:tcMar>
              <w:top w:w="15" w:type="dxa"/>
              <w:left w:w="15" w:type="dxa"/>
              <w:bottom w:w="0" w:type="dxa"/>
              <w:right w:w="15" w:type="dxa"/>
            </w:tcMar>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left w:val="nil"/>
              <w:right w:val="nil"/>
            </w:tcBorders>
            <w:shd w:val="clear" w:color="auto" w:fill="auto"/>
            <w:tcMar>
              <w:top w:w="15" w:type="dxa"/>
              <w:left w:w="15" w:type="dxa"/>
              <w:bottom w:w="0" w:type="dxa"/>
              <w:right w:w="15" w:type="dxa"/>
            </w:tcMar>
            <w:vAlign w:val="center"/>
            <w:hideMark/>
          </w:tcPr>
          <w:p w:rsidR="00B44823" w:rsidRPr="004943A9" w:rsidRDefault="00B44823" w:rsidP="008010EB">
            <w:pPr>
              <w:rPr>
                <w:sz w:val="16"/>
                <w:szCs w:val="16"/>
              </w:rPr>
            </w:pPr>
            <w:r w:rsidRPr="004943A9">
              <w:rPr>
                <w:sz w:val="16"/>
                <w:szCs w:val="16"/>
              </w:rPr>
              <w:t>Other Variables</w:t>
            </w:r>
          </w:p>
        </w:tc>
        <w:tc>
          <w:tcPr>
            <w:tcW w:w="1004" w:type="dxa"/>
            <w:tcBorders>
              <w:top w:val="nil"/>
              <w:left w:val="nil"/>
              <w:right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YES</w:t>
            </w:r>
          </w:p>
        </w:tc>
        <w:tc>
          <w:tcPr>
            <w:tcW w:w="938" w:type="dxa"/>
            <w:tcBorders>
              <w:top w:val="nil"/>
              <w:left w:val="nil"/>
              <w:right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YES</w:t>
            </w:r>
          </w:p>
        </w:tc>
        <w:tc>
          <w:tcPr>
            <w:tcW w:w="763" w:type="dxa"/>
            <w:tcBorders>
              <w:top w:val="nil"/>
              <w:left w:val="nil"/>
              <w:right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left w:val="nil"/>
              <w:right w:val="nil"/>
            </w:tcBorders>
            <w:shd w:val="clear" w:color="auto" w:fill="auto"/>
            <w:noWrap/>
            <w:tcMar>
              <w:top w:w="15" w:type="dxa"/>
              <w:left w:w="15" w:type="dxa"/>
              <w:bottom w:w="0" w:type="dxa"/>
              <w:right w:w="15" w:type="dxa"/>
            </w:tcMar>
            <w:vAlign w:val="bottom"/>
            <w:hideMark/>
          </w:tcPr>
          <w:p w:rsidR="00B44823" w:rsidRPr="004943A9" w:rsidRDefault="00B44823" w:rsidP="00106453">
            <w:pPr>
              <w:widowControl/>
              <w:overflowPunct/>
              <w:autoSpaceDE/>
              <w:autoSpaceDN/>
              <w:adjustRightInd/>
              <w:rPr>
                <w:rFonts w:eastAsia="Times New Roman"/>
                <w:kern w:val="0"/>
                <w:sz w:val="16"/>
                <w:szCs w:val="16"/>
              </w:rPr>
            </w:pPr>
          </w:p>
        </w:tc>
        <w:tc>
          <w:tcPr>
            <w:tcW w:w="1212" w:type="dxa"/>
            <w:tcBorders>
              <w:top w:val="nil"/>
              <w:left w:val="nil"/>
              <w:right w:val="nil"/>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p>
        </w:tc>
        <w:tc>
          <w:tcPr>
            <w:tcW w:w="1229" w:type="dxa"/>
            <w:tcBorders>
              <w:top w:val="nil"/>
              <w:left w:val="nil"/>
              <w:right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849" w:type="dxa"/>
            <w:tcBorders>
              <w:top w:val="nil"/>
              <w:left w:val="nil"/>
              <w:right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left w:val="nil"/>
              <w:right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68" w:type="dxa"/>
            <w:tcBorders>
              <w:top w:val="nil"/>
              <w:left w:val="nil"/>
              <w:right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731" w:type="dxa"/>
            <w:tcBorders>
              <w:top w:val="nil"/>
              <w:left w:val="nil"/>
              <w:right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top w:val="nil"/>
            </w:tcBorders>
            <w:shd w:val="clear" w:color="auto" w:fill="auto"/>
            <w:noWrap/>
            <w:tcMar>
              <w:top w:w="15" w:type="dxa"/>
              <w:left w:w="15" w:type="dxa"/>
              <w:bottom w:w="0" w:type="dxa"/>
              <w:right w:w="15" w:type="dxa"/>
            </w:tcMar>
            <w:vAlign w:val="center"/>
            <w:hideMark/>
          </w:tcPr>
          <w:p w:rsidR="00B44823" w:rsidRPr="004943A9" w:rsidRDefault="00B44823" w:rsidP="008010EB">
            <w:pPr>
              <w:rPr>
                <w:sz w:val="16"/>
                <w:szCs w:val="16"/>
              </w:rPr>
            </w:pPr>
            <w:r w:rsidRPr="004943A9">
              <w:rPr>
                <w:sz w:val="16"/>
                <w:szCs w:val="16"/>
              </w:rPr>
              <w:t>R-square</w:t>
            </w:r>
          </w:p>
        </w:tc>
        <w:tc>
          <w:tcPr>
            <w:tcW w:w="1004" w:type="dxa"/>
            <w:tcBorders>
              <w:top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0.0903</w:t>
            </w:r>
          </w:p>
        </w:tc>
        <w:tc>
          <w:tcPr>
            <w:tcW w:w="938" w:type="dxa"/>
            <w:tcBorders>
              <w:top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0.1313</w:t>
            </w:r>
          </w:p>
        </w:tc>
        <w:tc>
          <w:tcPr>
            <w:tcW w:w="763" w:type="dxa"/>
            <w:tcBorders>
              <w:top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top w:val="nil"/>
            </w:tcBorders>
            <w:shd w:val="clear" w:color="auto" w:fill="auto"/>
            <w:noWrap/>
            <w:tcMar>
              <w:top w:w="15" w:type="dxa"/>
              <w:left w:w="15" w:type="dxa"/>
              <w:bottom w:w="0" w:type="dxa"/>
              <w:right w:w="15" w:type="dxa"/>
            </w:tcMar>
            <w:vAlign w:val="center"/>
            <w:hideMark/>
          </w:tcPr>
          <w:p w:rsidR="00B44823" w:rsidRPr="004943A9" w:rsidRDefault="00B44823" w:rsidP="00106453">
            <w:pPr>
              <w:widowControl/>
              <w:overflowPunct/>
              <w:autoSpaceDE/>
              <w:autoSpaceDN/>
              <w:adjustRightInd/>
              <w:rPr>
                <w:rFonts w:eastAsia="Times New Roman"/>
                <w:kern w:val="0"/>
                <w:sz w:val="16"/>
                <w:szCs w:val="16"/>
              </w:rPr>
            </w:pPr>
            <w:r w:rsidRPr="004943A9">
              <w:rPr>
                <w:rFonts w:eastAsia="Times New Roman"/>
                <w:kern w:val="0"/>
                <w:sz w:val="16"/>
                <w:szCs w:val="16"/>
              </w:rPr>
              <w:t>R-square</w:t>
            </w:r>
          </w:p>
        </w:tc>
        <w:tc>
          <w:tcPr>
            <w:tcW w:w="1212" w:type="dxa"/>
            <w:tcBorders>
              <w:top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0.2302</w:t>
            </w:r>
          </w:p>
        </w:tc>
        <w:tc>
          <w:tcPr>
            <w:tcW w:w="1229" w:type="dxa"/>
            <w:tcBorders>
              <w:top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0.2689</w:t>
            </w:r>
          </w:p>
        </w:tc>
        <w:tc>
          <w:tcPr>
            <w:tcW w:w="849" w:type="dxa"/>
            <w:tcBorders>
              <w:top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top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0.0352</w:t>
            </w:r>
          </w:p>
        </w:tc>
        <w:tc>
          <w:tcPr>
            <w:tcW w:w="1068" w:type="dxa"/>
            <w:tcBorders>
              <w:top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0.0456</w:t>
            </w:r>
          </w:p>
        </w:tc>
        <w:tc>
          <w:tcPr>
            <w:tcW w:w="731" w:type="dxa"/>
            <w:tcBorders>
              <w:top w:val="nil"/>
            </w:tcBorders>
            <w:shd w:val="clear" w:color="auto" w:fill="auto"/>
            <w:noWrap/>
            <w:tcMar>
              <w:top w:w="15" w:type="dxa"/>
              <w:left w:w="15" w:type="dxa"/>
              <w:bottom w:w="0" w:type="dxa"/>
              <w:right w:w="15" w:type="dxa"/>
            </w:tcMar>
            <w:vAlign w:val="bottom"/>
            <w:hideMark/>
          </w:tcPr>
          <w:p w:rsidR="00B44823" w:rsidRPr="004943A9" w:rsidRDefault="00B44823" w:rsidP="008010EB">
            <w:pPr>
              <w:widowControl/>
              <w:overflowPunct/>
              <w:autoSpaceDE/>
              <w:autoSpaceDN/>
              <w:adjustRightInd/>
              <w:jc w:val="center"/>
              <w:rPr>
                <w:rFonts w:eastAsia="Times New Roman"/>
                <w:kern w:val="0"/>
                <w:sz w:val="16"/>
                <w:szCs w:val="16"/>
              </w:rPr>
            </w:pPr>
          </w:p>
        </w:tc>
      </w:tr>
      <w:tr w:rsidR="004943A9" w:rsidRPr="004943A9" w:rsidTr="008010EB">
        <w:trPr>
          <w:trHeight w:val="244"/>
          <w:jc w:val="center"/>
        </w:trPr>
        <w:tc>
          <w:tcPr>
            <w:tcW w:w="1898" w:type="dxa"/>
            <w:tcBorders>
              <w:bottom w:val="single" w:sz="4" w:space="0" w:color="auto"/>
            </w:tcBorders>
            <w:shd w:val="clear" w:color="auto" w:fill="auto"/>
            <w:noWrap/>
            <w:tcMar>
              <w:top w:w="15" w:type="dxa"/>
              <w:left w:w="15" w:type="dxa"/>
              <w:bottom w:w="0" w:type="dxa"/>
              <w:right w:w="15" w:type="dxa"/>
            </w:tcMar>
            <w:vAlign w:val="center"/>
            <w:hideMark/>
          </w:tcPr>
          <w:p w:rsidR="00B44823" w:rsidRPr="004943A9" w:rsidRDefault="00B44823" w:rsidP="008010EB">
            <w:pPr>
              <w:rPr>
                <w:sz w:val="16"/>
                <w:szCs w:val="16"/>
              </w:rPr>
            </w:pPr>
            <w:r w:rsidRPr="004943A9">
              <w:rPr>
                <w:sz w:val="16"/>
                <w:szCs w:val="16"/>
              </w:rPr>
              <w:t>N</w:t>
            </w:r>
          </w:p>
        </w:tc>
        <w:tc>
          <w:tcPr>
            <w:tcW w:w="1004" w:type="dxa"/>
            <w:tcBorders>
              <w:bottom w:val="single" w:sz="4" w:space="0" w:color="auto"/>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296,864</w:t>
            </w:r>
          </w:p>
        </w:tc>
        <w:tc>
          <w:tcPr>
            <w:tcW w:w="938" w:type="dxa"/>
            <w:tcBorders>
              <w:bottom w:val="single" w:sz="4" w:space="0" w:color="auto"/>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296,864</w:t>
            </w:r>
          </w:p>
        </w:tc>
        <w:tc>
          <w:tcPr>
            <w:tcW w:w="763" w:type="dxa"/>
            <w:tcBorders>
              <w:bottom w:val="single" w:sz="4" w:space="0" w:color="auto"/>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p>
        </w:tc>
        <w:tc>
          <w:tcPr>
            <w:tcW w:w="942" w:type="dxa"/>
            <w:tcBorders>
              <w:bottom w:val="single" w:sz="4" w:space="0" w:color="auto"/>
            </w:tcBorders>
            <w:shd w:val="clear" w:color="auto" w:fill="auto"/>
            <w:noWrap/>
            <w:tcMar>
              <w:top w:w="15" w:type="dxa"/>
              <w:left w:w="15" w:type="dxa"/>
              <w:bottom w:w="0" w:type="dxa"/>
              <w:right w:w="15" w:type="dxa"/>
            </w:tcMar>
            <w:vAlign w:val="center"/>
          </w:tcPr>
          <w:p w:rsidR="00B44823" w:rsidRPr="004943A9" w:rsidRDefault="00B44823" w:rsidP="00106453">
            <w:pPr>
              <w:widowControl/>
              <w:overflowPunct/>
              <w:autoSpaceDE/>
              <w:autoSpaceDN/>
              <w:adjustRightInd/>
              <w:rPr>
                <w:rFonts w:eastAsia="Times New Roman"/>
                <w:kern w:val="0"/>
                <w:sz w:val="16"/>
                <w:szCs w:val="16"/>
              </w:rPr>
            </w:pPr>
            <w:r w:rsidRPr="004943A9">
              <w:rPr>
                <w:rFonts w:eastAsia="Times New Roman"/>
                <w:kern w:val="0"/>
                <w:sz w:val="16"/>
                <w:szCs w:val="16"/>
              </w:rPr>
              <w:t>N</w:t>
            </w:r>
          </w:p>
        </w:tc>
        <w:tc>
          <w:tcPr>
            <w:tcW w:w="1212" w:type="dxa"/>
            <w:tcBorders>
              <w:bottom w:val="single" w:sz="4" w:space="0" w:color="auto"/>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11,529</w:t>
            </w:r>
          </w:p>
        </w:tc>
        <w:tc>
          <w:tcPr>
            <w:tcW w:w="1229" w:type="dxa"/>
            <w:tcBorders>
              <w:bottom w:val="single" w:sz="4" w:space="0" w:color="auto"/>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11,488</w:t>
            </w:r>
          </w:p>
        </w:tc>
        <w:tc>
          <w:tcPr>
            <w:tcW w:w="849" w:type="dxa"/>
            <w:tcBorders>
              <w:bottom w:val="single" w:sz="4" w:space="0" w:color="auto"/>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p>
        </w:tc>
        <w:tc>
          <w:tcPr>
            <w:tcW w:w="1081" w:type="dxa"/>
            <w:tcBorders>
              <w:bottom w:val="single" w:sz="4" w:space="0" w:color="auto"/>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20,108</w:t>
            </w:r>
          </w:p>
        </w:tc>
        <w:tc>
          <w:tcPr>
            <w:tcW w:w="1068" w:type="dxa"/>
            <w:tcBorders>
              <w:bottom w:val="single" w:sz="4" w:space="0" w:color="auto"/>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r w:rsidRPr="004943A9">
              <w:rPr>
                <w:rFonts w:eastAsia="Times New Roman"/>
                <w:kern w:val="0"/>
                <w:sz w:val="16"/>
                <w:szCs w:val="16"/>
              </w:rPr>
              <w:t>19,994</w:t>
            </w:r>
          </w:p>
        </w:tc>
        <w:tc>
          <w:tcPr>
            <w:tcW w:w="731" w:type="dxa"/>
            <w:tcBorders>
              <w:bottom w:val="single" w:sz="4" w:space="0" w:color="auto"/>
            </w:tcBorders>
            <w:shd w:val="clear" w:color="auto" w:fill="auto"/>
            <w:noWrap/>
            <w:tcMar>
              <w:top w:w="15" w:type="dxa"/>
              <w:left w:w="15" w:type="dxa"/>
              <w:bottom w:w="0" w:type="dxa"/>
              <w:right w:w="15" w:type="dxa"/>
            </w:tcMar>
            <w:vAlign w:val="bottom"/>
          </w:tcPr>
          <w:p w:rsidR="00B44823" w:rsidRPr="004943A9" w:rsidRDefault="00B44823" w:rsidP="008010EB">
            <w:pPr>
              <w:widowControl/>
              <w:overflowPunct/>
              <w:autoSpaceDE/>
              <w:autoSpaceDN/>
              <w:adjustRightInd/>
              <w:jc w:val="center"/>
              <w:rPr>
                <w:rFonts w:eastAsia="Times New Roman"/>
                <w:kern w:val="0"/>
                <w:sz w:val="16"/>
                <w:szCs w:val="16"/>
              </w:rPr>
            </w:pPr>
          </w:p>
        </w:tc>
      </w:tr>
    </w:tbl>
    <w:p w:rsidR="00B44823" w:rsidRDefault="00B44823" w:rsidP="008010EB">
      <w:pPr>
        <w:widowControl/>
        <w:overflowPunct/>
        <w:autoSpaceDE/>
        <w:autoSpaceDN/>
        <w:adjustRightInd/>
        <w:jc w:val="center"/>
      </w:pPr>
    </w:p>
    <w:p w:rsidR="00B44823" w:rsidRDefault="00B44823" w:rsidP="008010EB">
      <w:pPr>
        <w:widowControl/>
        <w:overflowPunct/>
        <w:autoSpaceDE/>
        <w:autoSpaceDN/>
        <w:adjustRightInd/>
        <w:jc w:val="center"/>
      </w:pPr>
    </w:p>
    <w:p w:rsidR="004943A9" w:rsidRDefault="004943A9" w:rsidP="008010EB">
      <w:pPr>
        <w:widowControl/>
        <w:overflowPunct/>
        <w:autoSpaceDE/>
        <w:autoSpaceDN/>
        <w:adjustRightInd/>
        <w:jc w:val="center"/>
      </w:pPr>
    </w:p>
    <w:p w:rsidR="00B44823" w:rsidRDefault="00B44823" w:rsidP="008010EB">
      <w:pPr>
        <w:widowControl/>
        <w:overflowPunct/>
        <w:autoSpaceDE/>
        <w:autoSpaceDN/>
        <w:adjustRightInd/>
        <w:jc w:val="center"/>
      </w:pPr>
    </w:p>
    <w:tbl>
      <w:tblPr>
        <w:tblW w:w="11994" w:type="dxa"/>
        <w:jc w:val="center"/>
        <w:tblLayout w:type="fixed"/>
        <w:tblCellMar>
          <w:left w:w="0" w:type="dxa"/>
          <w:right w:w="0" w:type="dxa"/>
        </w:tblCellMar>
        <w:tblLook w:val="04A0" w:firstRow="1" w:lastRow="0" w:firstColumn="1" w:lastColumn="0" w:noHBand="0" w:noVBand="1"/>
      </w:tblPr>
      <w:tblGrid>
        <w:gridCol w:w="1945"/>
        <w:gridCol w:w="969"/>
        <w:gridCol w:w="1146"/>
        <w:gridCol w:w="705"/>
        <w:gridCol w:w="910"/>
        <w:gridCol w:w="1242"/>
        <w:gridCol w:w="1260"/>
        <w:gridCol w:w="858"/>
        <w:gridCol w:w="36"/>
        <w:gridCol w:w="1081"/>
        <w:gridCol w:w="1132"/>
        <w:gridCol w:w="710"/>
      </w:tblGrid>
      <w:tr w:rsidR="00A82E36" w:rsidRPr="004943A9" w:rsidTr="008010EB">
        <w:trPr>
          <w:trHeight w:val="254"/>
          <w:jc w:val="center"/>
        </w:trPr>
        <w:tc>
          <w:tcPr>
            <w:tcW w:w="11994" w:type="dxa"/>
            <w:gridSpan w:val="12"/>
            <w:tcBorders>
              <w:left w:val="nil"/>
              <w:bottom w:val="single" w:sz="4" w:space="0" w:color="auto"/>
              <w:right w:val="nil"/>
            </w:tcBorders>
            <w:shd w:val="clear" w:color="auto" w:fill="auto"/>
            <w:noWrap/>
            <w:tcMar>
              <w:top w:w="15" w:type="dxa"/>
              <w:left w:w="15" w:type="dxa"/>
              <w:bottom w:w="0" w:type="dxa"/>
              <w:right w:w="15" w:type="dxa"/>
            </w:tcMar>
            <w:vAlign w:val="bottom"/>
          </w:tcPr>
          <w:p w:rsidR="00A82E36" w:rsidRPr="004943A9" w:rsidRDefault="00A82E36" w:rsidP="008010EB">
            <w:pPr>
              <w:jc w:val="center"/>
              <w:rPr>
                <w:rFonts w:ascii="Arial" w:hAnsi="Arial" w:cs="Arial"/>
              </w:rPr>
            </w:pPr>
            <w:r w:rsidRPr="004943A9">
              <w:rPr>
                <w:rFonts w:eastAsia="Times New Roman"/>
                <w:b/>
                <w:bCs/>
              </w:rPr>
              <w:lastRenderedPageBreak/>
              <w:t>Table 8</w:t>
            </w:r>
            <w:r w:rsidR="00FC5498" w:rsidRPr="004943A9">
              <w:rPr>
                <w:rFonts w:eastAsia="Times New Roman"/>
                <w:bCs/>
                <w:i/>
              </w:rPr>
              <w:t xml:space="preserve"> </w:t>
            </w:r>
            <w:r w:rsidR="005E29D0" w:rsidRPr="004943A9">
              <w:rPr>
                <w:rFonts w:eastAsia="Times New Roman"/>
                <w:bCs/>
                <w:i/>
              </w:rPr>
              <w:t>(Cont’d)</w:t>
            </w:r>
          </w:p>
        </w:tc>
      </w:tr>
      <w:tr w:rsidR="00A82E36" w:rsidRPr="004943A9" w:rsidTr="008010EB">
        <w:trPr>
          <w:trHeight w:val="243"/>
          <w:jc w:val="center"/>
        </w:trPr>
        <w:tc>
          <w:tcPr>
            <w:tcW w:w="11994" w:type="dxa"/>
            <w:gridSpan w:val="12"/>
            <w:tcBorders>
              <w:top w:val="single" w:sz="4" w:space="0" w:color="auto"/>
              <w:left w:val="nil"/>
              <w:right w:val="nil"/>
            </w:tcBorders>
            <w:shd w:val="clear" w:color="auto" w:fill="auto"/>
            <w:noWrap/>
            <w:tcMar>
              <w:top w:w="15" w:type="dxa"/>
              <w:left w:w="15" w:type="dxa"/>
              <w:bottom w:w="0" w:type="dxa"/>
              <w:right w:w="15" w:type="dxa"/>
            </w:tcMar>
            <w:vAlign w:val="bottom"/>
          </w:tcPr>
          <w:p w:rsidR="00A82E36" w:rsidRPr="00931FD3" w:rsidRDefault="00A82E36" w:rsidP="0073650E">
            <w:pPr>
              <w:rPr>
                <w:rFonts w:eastAsia="Times New Roman"/>
                <w:b/>
                <w:bCs/>
                <w:sz w:val="16"/>
                <w:szCs w:val="16"/>
              </w:rPr>
            </w:pPr>
            <w:r w:rsidRPr="00931FD3">
              <w:rPr>
                <w:rFonts w:eastAsia="Times New Roman"/>
                <w:b/>
                <w:bCs/>
                <w:sz w:val="16"/>
                <w:szCs w:val="16"/>
              </w:rPr>
              <w:t>Panel C: Sample Split Based on Multi</w:t>
            </w:r>
            <w:r w:rsidR="00E57265">
              <w:rPr>
                <w:rFonts w:eastAsia="Times New Roman"/>
                <w:b/>
                <w:bCs/>
                <w:sz w:val="16"/>
                <w:szCs w:val="16"/>
              </w:rPr>
              <w:t>-</w:t>
            </w:r>
            <w:r w:rsidRPr="00931FD3">
              <w:rPr>
                <w:rFonts w:eastAsia="Times New Roman"/>
                <w:b/>
                <w:bCs/>
                <w:sz w:val="16"/>
                <w:szCs w:val="16"/>
              </w:rPr>
              <w:t>national Operations</w:t>
            </w:r>
          </w:p>
        </w:tc>
      </w:tr>
      <w:tr w:rsidR="00A82E36" w:rsidRPr="004943A9" w:rsidTr="008010EB">
        <w:trPr>
          <w:trHeight w:val="254"/>
          <w:jc w:val="center"/>
        </w:trPr>
        <w:tc>
          <w:tcPr>
            <w:tcW w:w="1945" w:type="dxa"/>
            <w:tcBorders>
              <w:left w:val="nil"/>
              <w:right w:val="nil"/>
            </w:tcBorders>
            <w:shd w:val="clear" w:color="auto" w:fill="auto"/>
            <w:noWrap/>
            <w:tcMar>
              <w:top w:w="15" w:type="dxa"/>
              <w:left w:w="15" w:type="dxa"/>
              <w:bottom w:w="0" w:type="dxa"/>
              <w:right w:w="15" w:type="dxa"/>
            </w:tcMar>
            <w:vAlign w:val="bottom"/>
          </w:tcPr>
          <w:p w:rsidR="00A82E36" w:rsidRPr="00931FD3" w:rsidRDefault="00A82E36" w:rsidP="008010EB">
            <w:pPr>
              <w:rPr>
                <w:sz w:val="16"/>
                <w:szCs w:val="16"/>
              </w:rPr>
            </w:pPr>
            <w:r w:rsidRPr="00931FD3">
              <w:rPr>
                <w:sz w:val="16"/>
                <w:szCs w:val="16"/>
              </w:rPr>
              <w:t>Dep. Var.=</w:t>
            </w:r>
          </w:p>
        </w:tc>
        <w:tc>
          <w:tcPr>
            <w:tcW w:w="2820" w:type="dxa"/>
            <w:gridSpan w:val="3"/>
            <w:tcBorders>
              <w:left w:val="nil"/>
              <w:right w:val="nil"/>
            </w:tcBorders>
            <w:shd w:val="clear" w:color="auto" w:fill="auto"/>
            <w:noWrap/>
            <w:tcMar>
              <w:top w:w="15" w:type="dxa"/>
              <w:left w:w="15" w:type="dxa"/>
              <w:bottom w:w="0" w:type="dxa"/>
              <w:right w:w="15" w:type="dxa"/>
            </w:tcMar>
            <w:vAlign w:val="bottom"/>
          </w:tcPr>
          <w:p w:rsidR="00A82E36" w:rsidRPr="00931FD3" w:rsidRDefault="00A82E36" w:rsidP="008010EB">
            <w:pPr>
              <w:jc w:val="center"/>
              <w:rPr>
                <w:i/>
                <w:sz w:val="16"/>
                <w:szCs w:val="16"/>
              </w:rPr>
            </w:pPr>
            <w:r w:rsidRPr="00931FD3">
              <w:rPr>
                <w:i/>
                <w:iCs/>
                <w:sz w:val="16"/>
                <w:szCs w:val="16"/>
              </w:rPr>
              <w:t>EXRET</w:t>
            </w:r>
          </w:p>
        </w:tc>
        <w:tc>
          <w:tcPr>
            <w:tcW w:w="4270" w:type="dxa"/>
            <w:gridSpan w:val="4"/>
            <w:tcBorders>
              <w:left w:val="nil"/>
            </w:tcBorders>
            <w:shd w:val="clear" w:color="auto" w:fill="auto"/>
            <w:noWrap/>
            <w:tcMar>
              <w:top w:w="15" w:type="dxa"/>
              <w:left w:w="15" w:type="dxa"/>
              <w:bottom w:w="0" w:type="dxa"/>
              <w:right w:w="15" w:type="dxa"/>
            </w:tcMar>
            <w:vAlign w:val="center"/>
          </w:tcPr>
          <w:p w:rsidR="00A82E36" w:rsidRPr="00931FD3" w:rsidRDefault="00A82E36" w:rsidP="008010EB">
            <w:pPr>
              <w:jc w:val="center"/>
              <w:rPr>
                <w:i/>
                <w:iCs/>
                <w:color w:val="000000"/>
                <w:sz w:val="16"/>
                <w:szCs w:val="16"/>
              </w:rPr>
            </w:pPr>
            <w:r w:rsidRPr="00931FD3">
              <w:rPr>
                <w:i/>
                <w:iCs/>
                <w:color w:val="000000"/>
                <w:sz w:val="16"/>
                <w:szCs w:val="16"/>
              </w:rPr>
              <w:t>ICoE</w:t>
            </w:r>
          </w:p>
        </w:tc>
        <w:tc>
          <w:tcPr>
            <w:tcW w:w="2959" w:type="dxa"/>
            <w:gridSpan w:val="4"/>
            <w:tcBorders>
              <w:right w:val="nil"/>
            </w:tcBorders>
            <w:shd w:val="clear" w:color="auto" w:fill="auto"/>
            <w:noWrap/>
            <w:tcMar>
              <w:top w:w="15" w:type="dxa"/>
              <w:left w:w="15" w:type="dxa"/>
              <w:bottom w:w="0" w:type="dxa"/>
              <w:right w:w="15" w:type="dxa"/>
            </w:tcMar>
            <w:vAlign w:val="center"/>
          </w:tcPr>
          <w:p w:rsidR="00A82E36" w:rsidRPr="00931FD3" w:rsidRDefault="00A82E36" w:rsidP="008010EB">
            <w:pPr>
              <w:jc w:val="center"/>
              <w:rPr>
                <w:i/>
                <w:sz w:val="16"/>
                <w:szCs w:val="16"/>
              </w:rPr>
            </w:pPr>
            <w:r w:rsidRPr="00931FD3">
              <w:rPr>
                <w:i/>
                <w:iCs/>
                <w:color w:val="000000"/>
                <w:sz w:val="16"/>
                <w:szCs w:val="16"/>
              </w:rPr>
              <w:t>IndEP</w:t>
            </w:r>
          </w:p>
        </w:tc>
      </w:tr>
      <w:tr w:rsidR="00A82E36" w:rsidRPr="004943A9" w:rsidTr="008010EB">
        <w:trPr>
          <w:trHeight w:val="335"/>
          <w:jc w:val="center"/>
        </w:trPr>
        <w:tc>
          <w:tcPr>
            <w:tcW w:w="1945" w:type="dxa"/>
            <w:tcBorders>
              <w:left w:val="nil"/>
              <w:right w:val="nil"/>
            </w:tcBorders>
            <w:shd w:val="clear" w:color="auto" w:fill="auto"/>
            <w:noWrap/>
            <w:tcMar>
              <w:top w:w="15" w:type="dxa"/>
              <w:left w:w="15" w:type="dxa"/>
              <w:bottom w:w="0" w:type="dxa"/>
              <w:right w:w="15" w:type="dxa"/>
            </w:tcMar>
            <w:vAlign w:val="center"/>
            <w:hideMark/>
          </w:tcPr>
          <w:p w:rsidR="00A82E36" w:rsidRPr="00931FD3" w:rsidRDefault="00A82E36" w:rsidP="008010EB">
            <w:pPr>
              <w:rPr>
                <w:sz w:val="16"/>
                <w:szCs w:val="16"/>
              </w:rPr>
            </w:pPr>
          </w:p>
        </w:tc>
        <w:tc>
          <w:tcPr>
            <w:tcW w:w="969" w:type="dxa"/>
            <w:tcBorders>
              <w:left w:val="nil"/>
              <w:right w:val="nil"/>
            </w:tcBorders>
            <w:shd w:val="clear" w:color="auto" w:fill="auto"/>
            <w:noWrap/>
            <w:tcMar>
              <w:top w:w="15" w:type="dxa"/>
              <w:left w:w="15" w:type="dxa"/>
              <w:bottom w:w="0" w:type="dxa"/>
              <w:right w:w="15" w:type="dxa"/>
            </w:tcMar>
            <w:vAlign w:val="center"/>
            <w:hideMark/>
          </w:tcPr>
          <w:p w:rsidR="00A82E36" w:rsidRPr="00931FD3" w:rsidRDefault="00A82E36" w:rsidP="008010EB">
            <w:pPr>
              <w:jc w:val="center"/>
              <w:rPr>
                <w:rFonts w:eastAsia="Times New Roman"/>
                <w:color w:val="000000"/>
                <w:sz w:val="16"/>
                <w:szCs w:val="16"/>
              </w:rPr>
            </w:pPr>
            <w:r w:rsidRPr="00931FD3">
              <w:rPr>
                <w:iCs/>
                <w:sz w:val="16"/>
                <w:szCs w:val="16"/>
              </w:rPr>
              <w:t>(1)</w:t>
            </w:r>
          </w:p>
          <w:p w:rsidR="00A82E36" w:rsidRPr="00931FD3" w:rsidRDefault="001E4A3F" w:rsidP="008010EB">
            <w:pPr>
              <w:jc w:val="center"/>
              <w:rPr>
                <w:iCs/>
                <w:sz w:val="16"/>
                <w:szCs w:val="16"/>
              </w:rPr>
            </w:pPr>
            <w:r w:rsidRPr="00931FD3">
              <w:rPr>
                <w:rFonts w:eastAsia="Times New Roman"/>
                <w:color w:val="000000"/>
                <w:sz w:val="16"/>
                <w:szCs w:val="16"/>
              </w:rPr>
              <w:t xml:space="preserve">Multinational </w:t>
            </w:r>
            <w:r w:rsidR="00A82E36" w:rsidRPr="00931FD3">
              <w:rPr>
                <w:rFonts w:eastAsia="Times New Roman"/>
                <w:color w:val="000000"/>
                <w:sz w:val="16"/>
                <w:szCs w:val="16"/>
              </w:rPr>
              <w:t>Firms</w:t>
            </w:r>
          </w:p>
        </w:tc>
        <w:tc>
          <w:tcPr>
            <w:tcW w:w="1146" w:type="dxa"/>
            <w:tcBorders>
              <w:left w:val="nil"/>
              <w:right w:val="nil"/>
            </w:tcBorders>
            <w:shd w:val="clear" w:color="auto" w:fill="auto"/>
            <w:noWrap/>
            <w:tcMar>
              <w:top w:w="15" w:type="dxa"/>
              <w:left w:w="15" w:type="dxa"/>
              <w:bottom w:w="0" w:type="dxa"/>
              <w:right w:w="15" w:type="dxa"/>
            </w:tcMar>
            <w:vAlign w:val="center"/>
            <w:hideMark/>
          </w:tcPr>
          <w:p w:rsidR="00A82E36" w:rsidRPr="00931FD3" w:rsidRDefault="00A82E36" w:rsidP="008010EB">
            <w:pPr>
              <w:jc w:val="center"/>
              <w:rPr>
                <w:iCs/>
                <w:sz w:val="16"/>
                <w:szCs w:val="16"/>
              </w:rPr>
            </w:pPr>
            <w:r w:rsidRPr="00931FD3">
              <w:rPr>
                <w:iCs/>
                <w:sz w:val="16"/>
                <w:szCs w:val="16"/>
              </w:rPr>
              <w:t>(2)</w:t>
            </w:r>
          </w:p>
          <w:p w:rsidR="00A82E36" w:rsidRPr="00931FD3" w:rsidRDefault="001E4A3F" w:rsidP="008010EB">
            <w:pPr>
              <w:jc w:val="center"/>
              <w:rPr>
                <w:iCs/>
                <w:sz w:val="16"/>
                <w:szCs w:val="16"/>
              </w:rPr>
            </w:pPr>
            <w:r w:rsidRPr="00931FD3">
              <w:rPr>
                <w:rFonts w:eastAsia="Times New Roman"/>
                <w:color w:val="000000"/>
                <w:sz w:val="16"/>
                <w:szCs w:val="16"/>
              </w:rPr>
              <w:t xml:space="preserve">Domestic </w:t>
            </w:r>
            <w:r w:rsidR="00A82E36" w:rsidRPr="00931FD3">
              <w:rPr>
                <w:rFonts w:eastAsia="Times New Roman"/>
                <w:color w:val="000000"/>
                <w:sz w:val="16"/>
                <w:szCs w:val="16"/>
              </w:rPr>
              <w:t>Firms</w:t>
            </w:r>
          </w:p>
        </w:tc>
        <w:tc>
          <w:tcPr>
            <w:tcW w:w="705" w:type="dxa"/>
            <w:tcBorders>
              <w:left w:val="nil"/>
              <w:right w:val="nil"/>
            </w:tcBorders>
            <w:shd w:val="clear" w:color="auto" w:fill="auto"/>
            <w:noWrap/>
            <w:tcMar>
              <w:top w:w="15" w:type="dxa"/>
              <w:left w:w="15" w:type="dxa"/>
              <w:bottom w:w="0" w:type="dxa"/>
              <w:right w:w="15" w:type="dxa"/>
            </w:tcMar>
            <w:vAlign w:val="center"/>
            <w:hideMark/>
          </w:tcPr>
          <w:p w:rsidR="00A82E36" w:rsidRPr="00931FD3" w:rsidRDefault="00A82E36" w:rsidP="008010EB">
            <w:pPr>
              <w:jc w:val="center"/>
              <w:rPr>
                <w:sz w:val="16"/>
                <w:szCs w:val="16"/>
              </w:rPr>
            </w:pPr>
            <w:r w:rsidRPr="00931FD3">
              <w:rPr>
                <w:sz w:val="16"/>
                <w:szCs w:val="16"/>
              </w:rPr>
              <w:t>(2)−(1)</w:t>
            </w:r>
          </w:p>
        </w:tc>
        <w:tc>
          <w:tcPr>
            <w:tcW w:w="910" w:type="dxa"/>
            <w:tcBorders>
              <w:left w:val="nil"/>
              <w:right w:val="nil"/>
            </w:tcBorders>
            <w:shd w:val="clear" w:color="auto" w:fill="auto"/>
            <w:noWrap/>
            <w:tcMar>
              <w:top w:w="15" w:type="dxa"/>
              <w:left w:w="15" w:type="dxa"/>
              <w:bottom w:w="0" w:type="dxa"/>
              <w:right w:w="15" w:type="dxa"/>
            </w:tcMar>
            <w:vAlign w:val="center"/>
            <w:hideMark/>
          </w:tcPr>
          <w:p w:rsidR="00A82E36" w:rsidRPr="00931FD3" w:rsidRDefault="00A82E36" w:rsidP="008010EB">
            <w:pPr>
              <w:jc w:val="center"/>
              <w:rPr>
                <w:sz w:val="16"/>
                <w:szCs w:val="16"/>
              </w:rPr>
            </w:pPr>
          </w:p>
        </w:tc>
        <w:tc>
          <w:tcPr>
            <w:tcW w:w="1242" w:type="dxa"/>
            <w:tcBorders>
              <w:left w:val="nil"/>
              <w:right w:val="nil"/>
            </w:tcBorders>
            <w:shd w:val="clear" w:color="auto" w:fill="auto"/>
            <w:noWrap/>
            <w:tcMar>
              <w:top w:w="15" w:type="dxa"/>
              <w:left w:w="15" w:type="dxa"/>
              <w:bottom w:w="0" w:type="dxa"/>
              <w:right w:w="15" w:type="dxa"/>
            </w:tcMar>
            <w:vAlign w:val="center"/>
            <w:hideMark/>
          </w:tcPr>
          <w:p w:rsidR="00A82E36" w:rsidRPr="00931FD3" w:rsidRDefault="00A82E36" w:rsidP="008010EB">
            <w:pPr>
              <w:jc w:val="center"/>
              <w:rPr>
                <w:rFonts w:eastAsia="Times New Roman"/>
                <w:color w:val="000000"/>
                <w:sz w:val="16"/>
                <w:szCs w:val="16"/>
              </w:rPr>
            </w:pPr>
            <w:r w:rsidRPr="00931FD3">
              <w:rPr>
                <w:iCs/>
                <w:sz w:val="16"/>
                <w:szCs w:val="16"/>
              </w:rPr>
              <w:t>(3)</w:t>
            </w:r>
          </w:p>
          <w:p w:rsidR="00A82E36" w:rsidRPr="00931FD3" w:rsidRDefault="001E4A3F" w:rsidP="008010EB">
            <w:pPr>
              <w:jc w:val="center"/>
              <w:rPr>
                <w:iCs/>
                <w:color w:val="000000"/>
                <w:sz w:val="16"/>
                <w:szCs w:val="16"/>
              </w:rPr>
            </w:pPr>
            <w:r w:rsidRPr="00931FD3">
              <w:rPr>
                <w:rFonts w:eastAsia="Times New Roman"/>
                <w:color w:val="000000"/>
                <w:sz w:val="16"/>
                <w:szCs w:val="16"/>
              </w:rPr>
              <w:t>Multinational</w:t>
            </w:r>
            <w:r w:rsidR="00A82E36" w:rsidRPr="00931FD3">
              <w:rPr>
                <w:rFonts w:eastAsia="Times New Roman"/>
                <w:color w:val="000000"/>
                <w:sz w:val="16"/>
                <w:szCs w:val="16"/>
              </w:rPr>
              <w:t xml:space="preserve"> Firms</w:t>
            </w:r>
          </w:p>
        </w:tc>
        <w:tc>
          <w:tcPr>
            <w:tcW w:w="1260" w:type="dxa"/>
            <w:tcBorders>
              <w:left w:val="nil"/>
              <w:right w:val="nil"/>
            </w:tcBorders>
            <w:shd w:val="clear" w:color="auto" w:fill="auto"/>
            <w:tcMar>
              <w:top w:w="15" w:type="dxa"/>
              <w:left w:w="15" w:type="dxa"/>
              <w:bottom w:w="0" w:type="dxa"/>
              <w:right w:w="15" w:type="dxa"/>
            </w:tcMar>
            <w:vAlign w:val="center"/>
            <w:hideMark/>
          </w:tcPr>
          <w:p w:rsidR="00A82E36" w:rsidRPr="00931FD3" w:rsidRDefault="00A82E36" w:rsidP="008010EB">
            <w:pPr>
              <w:jc w:val="center"/>
              <w:rPr>
                <w:iCs/>
                <w:sz w:val="16"/>
                <w:szCs w:val="16"/>
              </w:rPr>
            </w:pPr>
            <w:r w:rsidRPr="00931FD3">
              <w:rPr>
                <w:iCs/>
                <w:sz w:val="16"/>
                <w:szCs w:val="16"/>
              </w:rPr>
              <w:t>(4)</w:t>
            </w:r>
          </w:p>
          <w:p w:rsidR="00A82E36" w:rsidRPr="00931FD3" w:rsidRDefault="001E4A3F" w:rsidP="008010EB">
            <w:pPr>
              <w:jc w:val="center"/>
              <w:rPr>
                <w:iCs/>
                <w:color w:val="000000"/>
                <w:sz w:val="16"/>
                <w:szCs w:val="16"/>
              </w:rPr>
            </w:pPr>
            <w:r w:rsidRPr="00931FD3">
              <w:rPr>
                <w:rFonts w:eastAsia="Times New Roman"/>
                <w:color w:val="000000"/>
                <w:sz w:val="16"/>
                <w:szCs w:val="16"/>
              </w:rPr>
              <w:t xml:space="preserve">Domestic </w:t>
            </w:r>
            <w:r w:rsidR="00A82E36" w:rsidRPr="00931FD3">
              <w:rPr>
                <w:rFonts w:eastAsia="Times New Roman"/>
                <w:color w:val="000000"/>
                <w:sz w:val="16"/>
                <w:szCs w:val="16"/>
              </w:rPr>
              <w:t>Firms</w:t>
            </w:r>
          </w:p>
        </w:tc>
        <w:tc>
          <w:tcPr>
            <w:tcW w:w="894" w:type="dxa"/>
            <w:gridSpan w:val="2"/>
            <w:tcBorders>
              <w:left w:val="nil"/>
              <w:right w:val="nil"/>
            </w:tcBorders>
            <w:shd w:val="clear" w:color="auto" w:fill="auto"/>
            <w:noWrap/>
            <w:tcMar>
              <w:top w:w="15" w:type="dxa"/>
              <w:left w:w="15" w:type="dxa"/>
              <w:bottom w:w="0" w:type="dxa"/>
              <w:right w:w="15" w:type="dxa"/>
            </w:tcMar>
            <w:vAlign w:val="center"/>
            <w:hideMark/>
          </w:tcPr>
          <w:p w:rsidR="00A82E36" w:rsidRPr="00931FD3" w:rsidRDefault="00A82E36" w:rsidP="008010EB">
            <w:pPr>
              <w:jc w:val="center"/>
              <w:rPr>
                <w:sz w:val="16"/>
                <w:szCs w:val="16"/>
              </w:rPr>
            </w:pPr>
            <w:r w:rsidRPr="00931FD3">
              <w:rPr>
                <w:sz w:val="16"/>
                <w:szCs w:val="16"/>
              </w:rPr>
              <w:t>(4)−(3)</w:t>
            </w:r>
          </w:p>
        </w:tc>
        <w:tc>
          <w:tcPr>
            <w:tcW w:w="1081" w:type="dxa"/>
            <w:tcBorders>
              <w:right w:val="nil"/>
            </w:tcBorders>
            <w:shd w:val="clear" w:color="auto" w:fill="auto"/>
            <w:noWrap/>
            <w:tcMar>
              <w:top w:w="15" w:type="dxa"/>
              <w:left w:w="15" w:type="dxa"/>
              <w:bottom w:w="0" w:type="dxa"/>
              <w:right w:w="15" w:type="dxa"/>
            </w:tcMar>
            <w:vAlign w:val="center"/>
            <w:hideMark/>
          </w:tcPr>
          <w:p w:rsidR="00A82E36" w:rsidRPr="00931FD3" w:rsidRDefault="00A82E36" w:rsidP="008010EB">
            <w:pPr>
              <w:jc w:val="center"/>
              <w:rPr>
                <w:rFonts w:eastAsia="Times New Roman"/>
                <w:color w:val="000000"/>
                <w:sz w:val="16"/>
                <w:szCs w:val="16"/>
              </w:rPr>
            </w:pPr>
            <w:r w:rsidRPr="00931FD3">
              <w:rPr>
                <w:iCs/>
                <w:sz w:val="16"/>
                <w:szCs w:val="16"/>
              </w:rPr>
              <w:t>(5)</w:t>
            </w:r>
          </w:p>
          <w:p w:rsidR="00A82E36" w:rsidRPr="00931FD3" w:rsidRDefault="001E4A3F" w:rsidP="008010EB">
            <w:pPr>
              <w:jc w:val="center"/>
              <w:rPr>
                <w:i/>
                <w:iCs/>
                <w:color w:val="000000"/>
                <w:sz w:val="16"/>
                <w:szCs w:val="16"/>
              </w:rPr>
            </w:pPr>
            <w:r w:rsidRPr="00931FD3">
              <w:rPr>
                <w:rFonts w:eastAsia="Times New Roman"/>
                <w:color w:val="000000"/>
                <w:sz w:val="16"/>
                <w:szCs w:val="16"/>
              </w:rPr>
              <w:t>Multinational</w:t>
            </w:r>
            <w:r w:rsidR="00A82E36" w:rsidRPr="00931FD3">
              <w:rPr>
                <w:rFonts w:eastAsia="Times New Roman"/>
                <w:color w:val="000000"/>
                <w:sz w:val="16"/>
                <w:szCs w:val="16"/>
              </w:rPr>
              <w:t xml:space="preserve"> Firms</w:t>
            </w:r>
          </w:p>
        </w:tc>
        <w:tc>
          <w:tcPr>
            <w:tcW w:w="1132" w:type="dxa"/>
            <w:tcBorders>
              <w:left w:val="nil"/>
              <w:right w:val="nil"/>
            </w:tcBorders>
            <w:shd w:val="clear" w:color="auto" w:fill="auto"/>
            <w:tcMar>
              <w:top w:w="15" w:type="dxa"/>
              <w:left w:w="15" w:type="dxa"/>
              <w:bottom w:w="0" w:type="dxa"/>
              <w:right w:w="15" w:type="dxa"/>
            </w:tcMar>
            <w:vAlign w:val="center"/>
            <w:hideMark/>
          </w:tcPr>
          <w:p w:rsidR="00A82E36" w:rsidRPr="00931FD3" w:rsidRDefault="00A82E36" w:rsidP="008010EB">
            <w:pPr>
              <w:jc w:val="center"/>
              <w:rPr>
                <w:iCs/>
                <w:sz w:val="16"/>
                <w:szCs w:val="16"/>
              </w:rPr>
            </w:pPr>
            <w:r w:rsidRPr="00931FD3">
              <w:rPr>
                <w:iCs/>
                <w:sz w:val="16"/>
                <w:szCs w:val="16"/>
              </w:rPr>
              <w:t>(6)</w:t>
            </w:r>
          </w:p>
          <w:p w:rsidR="00A82E36" w:rsidRPr="00931FD3" w:rsidRDefault="001E4A3F" w:rsidP="008010EB">
            <w:pPr>
              <w:jc w:val="center"/>
              <w:rPr>
                <w:iCs/>
                <w:color w:val="000000"/>
                <w:sz w:val="16"/>
                <w:szCs w:val="16"/>
              </w:rPr>
            </w:pPr>
            <w:r w:rsidRPr="00931FD3">
              <w:rPr>
                <w:rFonts w:eastAsia="Times New Roman"/>
                <w:color w:val="000000"/>
                <w:sz w:val="16"/>
                <w:szCs w:val="16"/>
              </w:rPr>
              <w:t>Domestic</w:t>
            </w:r>
            <w:r w:rsidR="00A82E36" w:rsidRPr="00931FD3">
              <w:rPr>
                <w:rFonts w:eastAsia="Times New Roman"/>
                <w:color w:val="000000"/>
                <w:sz w:val="16"/>
                <w:szCs w:val="16"/>
              </w:rPr>
              <w:t xml:space="preserve"> Firms</w:t>
            </w:r>
          </w:p>
        </w:tc>
        <w:tc>
          <w:tcPr>
            <w:tcW w:w="710" w:type="dxa"/>
            <w:tcBorders>
              <w:left w:val="nil"/>
              <w:right w:val="nil"/>
            </w:tcBorders>
            <w:shd w:val="clear" w:color="auto" w:fill="auto"/>
            <w:noWrap/>
            <w:tcMar>
              <w:top w:w="15" w:type="dxa"/>
              <w:left w:w="15" w:type="dxa"/>
              <w:bottom w:w="0" w:type="dxa"/>
              <w:right w:w="15" w:type="dxa"/>
            </w:tcMar>
            <w:vAlign w:val="center"/>
            <w:hideMark/>
          </w:tcPr>
          <w:p w:rsidR="00A82E36" w:rsidRPr="00931FD3" w:rsidRDefault="00A82E36" w:rsidP="008010EB">
            <w:pPr>
              <w:jc w:val="center"/>
              <w:rPr>
                <w:sz w:val="16"/>
                <w:szCs w:val="16"/>
              </w:rPr>
            </w:pPr>
            <w:r w:rsidRPr="00931FD3">
              <w:rPr>
                <w:sz w:val="16"/>
                <w:szCs w:val="16"/>
              </w:rPr>
              <w:t>(6)−(5)</w:t>
            </w:r>
          </w:p>
        </w:tc>
      </w:tr>
      <w:tr w:rsidR="00E57265" w:rsidRPr="004943A9" w:rsidTr="008010EB">
        <w:trPr>
          <w:trHeight w:val="227"/>
          <w:jc w:val="center"/>
        </w:trPr>
        <w:tc>
          <w:tcPr>
            <w:tcW w:w="1945" w:type="dxa"/>
            <w:tcBorders>
              <w:top w:val="single" w:sz="4" w:space="0" w:color="auto"/>
              <w:left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H_</w:t>
            </w:r>
            <w:r w:rsidRPr="00931FD3">
              <w:rPr>
                <w:i/>
                <w:iCs/>
                <w:color w:val="000000"/>
                <w:sz w:val="16"/>
                <w:szCs w:val="16"/>
              </w:rPr>
              <w:t>P_EQ</w:t>
            </w:r>
            <w:r>
              <w:rPr>
                <w:i/>
                <w:iCs/>
                <w:color w:val="000000"/>
                <w:sz w:val="16"/>
                <w:szCs w:val="16"/>
              </w:rPr>
              <w:t>e</w:t>
            </w:r>
            <w:r w:rsidRPr="00931FD3">
              <w:rPr>
                <w:i/>
                <w:iCs/>
                <w:color w:val="000000"/>
                <w:sz w:val="16"/>
                <w:szCs w:val="16"/>
              </w:rPr>
              <w:t>w</w:t>
            </w:r>
            <w:r w:rsidRPr="00931FD3">
              <w:rPr>
                <w:i/>
                <w:iCs/>
                <w:sz w:val="16"/>
                <w:szCs w:val="16"/>
              </w:rPr>
              <w:t>×MKTRF</w:t>
            </w:r>
          </w:p>
        </w:tc>
        <w:tc>
          <w:tcPr>
            <w:tcW w:w="969" w:type="dxa"/>
            <w:tcBorders>
              <w:top w:val="single" w:sz="4" w:space="0" w:color="auto"/>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−0.136***</w:t>
            </w:r>
          </w:p>
        </w:tc>
        <w:tc>
          <w:tcPr>
            <w:tcW w:w="1146" w:type="dxa"/>
            <w:tcBorders>
              <w:top w:val="single" w:sz="4" w:space="0" w:color="auto"/>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−0.186***</w:t>
            </w:r>
          </w:p>
        </w:tc>
        <w:tc>
          <w:tcPr>
            <w:tcW w:w="705" w:type="dxa"/>
            <w:tcBorders>
              <w:top w:val="single" w:sz="4" w:space="0" w:color="auto"/>
              <w:bottom w:val="nil"/>
            </w:tcBorders>
            <w:shd w:val="clear" w:color="auto" w:fill="auto"/>
            <w:noWrap/>
            <w:tcMar>
              <w:top w:w="15" w:type="dxa"/>
              <w:left w:w="15" w:type="dxa"/>
              <w:bottom w:w="0" w:type="dxa"/>
              <w:right w:w="15" w:type="dxa"/>
            </w:tcMar>
          </w:tcPr>
          <w:p w:rsidR="00E57265" w:rsidRPr="00931FD3" w:rsidRDefault="0008457B" w:rsidP="008010EB">
            <w:pPr>
              <w:widowControl/>
              <w:overflowPunct/>
              <w:autoSpaceDE/>
              <w:autoSpaceDN/>
              <w:adjustRightInd/>
              <w:jc w:val="center"/>
              <w:rPr>
                <w:rFonts w:eastAsia="Times New Roman"/>
                <w:kern w:val="0"/>
                <w:sz w:val="16"/>
                <w:szCs w:val="16"/>
              </w:rPr>
            </w:pPr>
            <w:r>
              <w:rPr>
                <w:sz w:val="16"/>
                <w:szCs w:val="16"/>
              </w:rPr>
              <w:t>-</w:t>
            </w:r>
            <w:r w:rsidR="00E57265" w:rsidRPr="00931FD3">
              <w:rPr>
                <w:sz w:val="16"/>
                <w:szCs w:val="16"/>
              </w:rPr>
              <w:t>0.05</w:t>
            </w:r>
          </w:p>
        </w:tc>
        <w:tc>
          <w:tcPr>
            <w:tcW w:w="910" w:type="dxa"/>
            <w:tcBorders>
              <w:top w:val="single" w:sz="4" w:space="0" w:color="auto"/>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H_ P_EQ</w:t>
            </w:r>
            <w:r>
              <w:rPr>
                <w:i/>
                <w:iCs/>
                <w:color w:val="000000"/>
                <w:sz w:val="16"/>
                <w:szCs w:val="16"/>
              </w:rPr>
              <w:t>e</w:t>
            </w:r>
            <w:r w:rsidRPr="00931FD3">
              <w:rPr>
                <w:i/>
                <w:iCs/>
                <w:color w:val="000000"/>
                <w:sz w:val="16"/>
                <w:szCs w:val="16"/>
              </w:rPr>
              <w:t>w</w:t>
            </w:r>
          </w:p>
        </w:tc>
        <w:tc>
          <w:tcPr>
            <w:tcW w:w="1242" w:type="dxa"/>
            <w:tcBorders>
              <w:top w:val="single" w:sz="4" w:space="0" w:color="auto"/>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931FD3">
              <w:rPr>
                <w:sz w:val="16"/>
                <w:szCs w:val="16"/>
              </w:rPr>
              <w:t>−</w:t>
            </w:r>
            <w:r w:rsidRPr="00CB6827">
              <w:rPr>
                <w:sz w:val="16"/>
                <w:szCs w:val="16"/>
              </w:rPr>
              <w:t>0.005**</w:t>
            </w:r>
          </w:p>
        </w:tc>
        <w:tc>
          <w:tcPr>
            <w:tcW w:w="1260" w:type="dxa"/>
            <w:tcBorders>
              <w:top w:val="single" w:sz="4" w:space="0" w:color="auto"/>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931FD3">
              <w:rPr>
                <w:sz w:val="16"/>
                <w:szCs w:val="16"/>
              </w:rPr>
              <w:t>−</w:t>
            </w:r>
            <w:r w:rsidRPr="00CB6827">
              <w:rPr>
                <w:sz w:val="16"/>
                <w:szCs w:val="16"/>
              </w:rPr>
              <w:t>0.004</w:t>
            </w:r>
          </w:p>
        </w:tc>
        <w:tc>
          <w:tcPr>
            <w:tcW w:w="894" w:type="dxa"/>
            <w:gridSpan w:val="2"/>
            <w:tcBorders>
              <w:top w:val="single" w:sz="4" w:space="0" w:color="auto"/>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0.001</w:t>
            </w:r>
          </w:p>
        </w:tc>
        <w:tc>
          <w:tcPr>
            <w:tcW w:w="1081" w:type="dxa"/>
            <w:tcBorders>
              <w:top w:val="single" w:sz="4" w:space="0" w:color="auto"/>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931FD3">
              <w:rPr>
                <w:sz w:val="16"/>
                <w:szCs w:val="16"/>
              </w:rPr>
              <w:t>−</w:t>
            </w:r>
            <w:r w:rsidRPr="00CB6827">
              <w:rPr>
                <w:sz w:val="16"/>
                <w:szCs w:val="16"/>
              </w:rPr>
              <w:t>0.001</w:t>
            </w:r>
          </w:p>
        </w:tc>
        <w:tc>
          <w:tcPr>
            <w:tcW w:w="1132" w:type="dxa"/>
            <w:tcBorders>
              <w:top w:val="single" w:sz="4" w:space="0" w:color="auto"/>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931FD3">
              <w:rPr>
                <w:sz w:val="16"/>
                <w:szCs w:val="16"/>
              </w:rPr>
              <w:t>−</w:t>
            </w:r>
            <w:r w:rsidRPr="00CB6827">
              <w:rPr>
                <w:sz w:val="16"/>
                <w:szCs w:val="16"/>
              </w:rPr>
              <w:t>0.006***</w:t>
            </w:r>
          </w:p>
        </w:tc>
        <w:tc>
          <w:tcPr>
            <w:tcW w:w="710" w:type="dxa"/>
            <w:tcBorders>
              <w:top w:val="single" w:sz="4" w:space="0" w:color="auto"/>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931FD3">
              <w:rPr>
                <w:sz w:val="16"/>
                <w:szCs w:val="16"/>
              </w:rPr>
              <w:t>−</w:t>
            </w:r>
            <w:r w:rsidRPr="00CB6827">
              <w:rPr>
                <w:sz w:val="16"/>
                <w:szCs w:val="16"/>
              </w:rPr>
              <w:t>0.005</w:t>
            </w:r>
          </w:p>
        </w:tc>
      </w:tr>
      <w:tr w:rsidR="00E57265" w:rsidRPr="004943A9" w:rsidTr="008010EB">
        <w:trPr>
          <w:trHeight w:val="252"/>
          <w:jc w:val="center"/>
        </w:trPr>
        <w:tc>
          <w:tcPr>
            <w:tcW w:w="1945" w:type="dxa"/>
            <w:tcBorders>
              <w:top w:val="nil"/>
              <w:left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(−5.26)</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(−8.20)</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[2.29]</w:t>
            </w: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w:t>
            </w:r>
            <w:r w:rsidRPr="00931FD3">
              <w:rPr>
                <w:sz w:val="16"/>
                <w:szCs w:val="16"/>
              </w:rPr>
              <w:t>−</w:t>
            </w:r>
            <w:r w:rsidRPr="00CB6827">
              <w:rPr>
                <w:sz w:val="16"/>
                <w:szCs w:val="16"/>
              </w:rPr>
              <w:t>2.37)</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w:t>
            </w:r>
            <w:r w:rsidRPr="00931FD3">
              <w:rPr>
                <w:sz w:val="16"/>
                <w:szCs w:val="16"/>
              </w:rPr>
              <w:t>−</w:t>
            </w:r>
            <w:r w:rsidRPr="00CB6827">
              <w:rPr>
                <w:sz w:val="16"/>
                <w:szCs w:val="16"/>
              </w:rPr>
              <w:t>1.25)</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Pr>
                <w:sz w:val="16"/>
                <w:szCs w:val="16"/>
              </w:rPr>
              <w:t>[</w:t>
            </w:r>
            <w:r w:rsidRPr="00CB6827">
              <w:rPr>
                <w:sz w:val="16"/>
                <w:szCs w:val="16"/>
              </w:rPr>
              <w:t>0.36</w:t>
            </w:r>
            <w:r>
              <w:rPr>
                <w:sz w:val="16"/>
                <w:szCs w:val="16"/>
              </w:rPr>
              <w:t>]</w:t>
            </w: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w:t>
            </w:r>
            <w:r w:rsidRPr="00931FD3">
              <w:rPr>
                <w:sz w:val="16"/>
                <w:szCs w:val="16"/>
              </w:rPr>
              <w:t>−</w:t>
            </w:r>
            <w:r w:rsidRPr="00CB6827">
              <w:rPr>
                <w:sz w:val="16"/>
                <w:szCs w:val="16"/>
              </w:rPr>
              <w:t>1.10)</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w:t>
            </w:r>
            <w:r w:rsidRPr="00931FD3">
              <w:rPr>
                <w:sz w:val="16"/>
                <w:szCs w:val="16"/>
              </w:rPr>
              <w:t>−</w:t>
            </w:r>
            <w:r w:rsidRPr="00CB6827">
              <w:rPr>
                <w:sz w:val="16"/>
                <w:szCs w:val="16"/>
              </w:rPr>
              <w:t>5.09)</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Pr>
                <w:sz w:val="16"/>
                <w:szCs w:val="16"/>
              </w:rPr>
              <w:t>[</w:t>
            </w:r>
            <w:r w:rsidRPr="00CB6827">
              <w:rPr>
                <w:sz w:val="16"/>
                <w:szCs w:val="16"/>
              </w:rPr>
              <w:t>4.75</w:t>
            </w:r>
            <w:r>
              <w:rPr>
                <w:sz w:val="16"/>
                <w:szCs w:val="16"/>
              </w:rPr>
              <w:t>]</w:t>
            </w:r>
          </w:p>
        </w:tc>
      </w:tr>
      <w:tr w:rsidR="00E57265" w:rsidRPr="004943A9" w:rsidTr="008010EB">
        <w:trPr>
          <w:trHeight w:val="238"/>
          <w:jc w:val="center"/>
        </w:trPr>
        <w:tc>
          <w:tcPr>
            <w:tcW w:w="1945" w:type="dxa"/>
            <w:tcBorders>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H_EQ×MKTRF</w:t>
            </w: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−0.145***</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−0.131***</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H_ EQ</w:t>
            </w: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931FD3">
              <w:rPr>
                <w:sz w:val="16"/>
                <w:szCs w:val="16"/>
              </w:rPr>
              <w:t>−</w:t>
            </w:r>
            <w:r w:rsidRPr="00CB6827">
              <w:rPr>
                <w:sz w:val="16"/>
                <w:szCs w:val="16"/>
              </w:rPr>
              <w:t>0.009***</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931FD3">
              <w:rPr>
                <w:sz w:val="16"/>
                <w:szCs w:val="16"/>
              </w:rPr>
              <w:t>−</w:t>
            </w:r>
            <w:r w:rsidRPr="00CB6827">
              <w:rPr>
                <w:sz w:val="16"/>
                <w:szCs w:val="16"/>
              </w:rPr>
              <w:t>0.018***</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931FD3">
              <w:rPr>
                <w:sz w:val="16"/>
                <w:szCs w:val="16"/>
              </w:rPr>
              <w:t>−</w:t>
            </w:r>
            <w:r w:rsidRPr="00CB6827">
              <w:rPr>
                <w:sz w:val="16"/>
                <w:szCs w:val="16"/>
              </w:rPr>
              <w:t>0.003***</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931FD3">
              <w:rPr>
                <w:sz w:val="16"/>
                <w:szCs w:val="16"/>
              </w:rPr>
              <w:t>−</w:t>
            </w:r>
            <w:r w:rsidRPr="00CB6827">
              <w:rPr>
                <w:sz w:val="16"/>
                <w:szCs w:val="16"/>
              </w:rPr>
              <w:t>0.006***</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right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(−6.45)</w:t>
            </w:r>
          </w:p>
        </w:tc>
        <w:tc>
          <w:tcPr>
            <w:tcW w:w="1146"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(−6.11)</w:t>
            </w:r>
          </w:p>
        </w:tc>
        <w:tc>
          <w:tcPr>
            <w:tcW w:w="705"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left w:val="nil"/>
              <w:bottom w:val="nil"/>
              <w:right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p>
        </w:tc>
        <w:tc>
          <w:tcPr>
            <w:tcW w:w="124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w:t>
            </w:r>
            <w:r w:rsidRPr="00931FD3">
              <w:rPr>
                <w:sz w:val="16"/>
                <w:szCs w:val="16"/>
              </w:rPr>
              <w:t>−</w:t>
            </w:r>
            <w:r w:rsidRPr="00CB6827">
              <w:rPr>
                <w:sz w:val="16"/>
                <w:szCs w:val="16"/>
              </w:rPr>
              <w:t>4.51)</w:t>
            </w:r>
          </w:p>
        </w:tc>
        <w:tc>
          <w:tcPr>
            <w:tcW w:w="126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w:t>
            </w:r>
            <w:r w:rsidRPr="00931FD3">
              <w:rPr>
                <w:sz w:val="16"/>
                <w:szCs w:val="16"/>
              </w:rPr>
              <w:t>−</w:t>
            </w:r>
            <w:r w:rsidRPr="00CB6827">
              <w:rPr>
                <w:sz w:val="16"/>
                <w:szCs w:val="16"/>
              </w:rPr>
              <w:t>6.24)</w:t>
            </w:r>
          </w:p>
        </w:tc>
        <w:tc>
          <w:tcPr>
            <w:tcW w:w="89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w:t>
            </w:r>
            <w:r w:rsidRPr="00931FD3">
              <w:rPr>
                <w:sz w:val="16"/>
                <w:szCs w:val="16"/>
              </w:rPr>
              <w:t>−</w:t>
            </w:r>
            <w:r w:rsidRPr="00CB6827">
              <w:rPr>
                <w:sz w:val="16"/>
                <w:szCs w:val="16"/>
              </w:rPr>
              <w:t>2.92)</w:t>
            </w: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w:t>
            </w:r>
            <w:r w:rsidRPr="00931FD3">
              <w:rPr>
                <w:sz w:val="16"/>
                <w:szCs w:val="16"/>
              </w:rPr>
              <w:t>−</w:t>
            </w:r>
            <w:r w:rsidRPr="00CB6827">
              <w:rPr>
                <w:sz w:val="16"/>
                <w:szCs w:val="16"/>
              </w:rPr>
              <w:t>5.74)</w:t>
            </w:r>
          </w:p>
        </w:tc>
        <w:tc>
          <w:tcPr>
            <w:tcW w:w="71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Lev×MKTRF</w:t>
            </w: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0.126*</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−0.007</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BM</w:t>
            </w: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0.021***</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0.013***</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0.012***</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0.015***</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right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(1.80)</w:t>
            </w:r>
          </w:p>
        </w:tc>
        <w:tc>
          <w:tcPr>
            <w:tcW w:w="1146"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(−0.14)</w:t>
            </w:r>
          </w:p>
        </w:tc>
        <w:tc>
          <w:tcPr>
            <w:tcW w:w="705"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left w:val="nil"/>
              <w:bottom w:val="nil"/>
              <w:right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p>
        </w:tc>
        <w:tc>
          <w:tcPr>
            <w:tcW w:w="124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(10.98)</w:t>
            </w:r>
          </w:p>
        </w:tc>
        <w:tc>
          <w:tcPr>
            <w:tcW w:w="126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(6.54)</w:t>
            </w:r>
          </w:p>
        </w:tc>
        <w:tc>
          <w:tcPr>
            <w:tcW w:w="89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(13.02)</w:t>
            </w: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(18.26)</w:t>
            </w:r>
          </w:p>
        </w:tc>
        <w:tc>
          <w:tcPr>
            <w:tcW w:w="71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LnMV×MKTRF</w:t>
            </w: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0.022***</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0.022***</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Lev</w:t>
            </w: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0.054***</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0.042***</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0.029***</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0.028***</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right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(3.08)</w:t>
            </w:r>
          </w:p>
        </w:tc>
        <w:tc>
          <w:tcPr>
            <w:tcW w:w="1146"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(4.06)</w:t>
            </w:r>
          </w:p>
        </w:tc>
        <w:tc>
          <w:tcPr>
            <w:tcW w:w="705"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left w:val="nil"/>
              <w:bottom w:val="nil"/>
              <w:right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p>
        </w:tc>
        <w:tc>
          <w:tcPr>
            <w:tcW w:w="124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(8.49)</w:t>
            </w:r>
          </w:p>
        </w:tc>
        <w:tc>
          <w:tcPr>
            <w:tcW w:w="126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(6.07)</w:t>
            </w:r>
          </w:p>
        </w:tc>
        <w:tc>
          <w:tcPr>
            <w:tcW w:w="89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(9.98)</w:t>
            </w: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(11.28)</w:t>
            </w:r>
          </w:p>
        </w:tc>
        <w:tc>
          <w:tcPr>
            <w:tcW w:w="71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94"/>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STD_CFO×MKTRF</w:t>
            </w: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1.890***</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1.696***</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LnMV</w:t>
            </w: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-0.010***</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-0.014***</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-0.000</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0.002***</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right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(5.98)</w:t>
            </w:r>
          </w:p>
        </w:tc>
        <w:tc>
          <w:tcPr>
            <w:tcW w:w="1146"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(8.48)</w:t>
            </w:r>
          </w:p>
        </w:tc>
        <w:tc>
          <w:tcPr>
            <w:tcW w:w="705"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left w:val="nil"/>
              <w:bottom w:val="nil"/>
              <w:right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p>
        </w:tc>
        <w:tc>
          <w:tcPr>
            <w:tcW w:w="124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(-12.44)</w:t>
            </w:r>
          </w:p>
        </w:tc>
        <w:tc>
          <w:tcPr>
            <w:tcW w:w="126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(-15.89)</w:t>
            </w:r>
          </w:p>
        </w:tc>
        <w:tc>
          <w:tcPr>
            <w:tcW w:w="89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(-0.59)</w:t>
            </w: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(8.12)</w:t>
            </w:r>
          </w:p>
        </w:tc>
        <w:tc>
          <w:tcPr>
            <w:tcW w:w="71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CFO×MKTRF</w:t>
            </w: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−0.793***</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−0.838***</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STD_CFO</w:t>
            </w: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0.337***</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0.362***</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0.079***</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0.119***</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(−6.44)</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(−11.96)</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(10.23)</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(10.28)</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(5.41)</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(10.26)</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BM×MKTRF</w:t>
            </w: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0.038**</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−0.039***</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CFO</w:t>
            </w: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-0.132***</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-0.191***</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0.063***</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0.035***</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right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(1.99)</w:t>
            </w:r>
          </w:p>
        </w:tc>
        <w:tc>
          <w:tcPr>
            <w:tcW w:w="1146"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(−2.93)</w:t>
            </w:r>
          </w:p>
        </w:tc>
        <w:tc>
          <w:tcPr>
            <w:tcW w:w="705"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left w:val="nil"/>
              <w:bottom w:val="nil"/>
              <w:right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p>
        </w:tc>
        <w:tc>
          <w:tcPr>
            <w:tcW w:w="124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(-8.72)</w:t>
            </w:r>
          </w:p>
        </w:tc>
        <w:tc>
          <w:tcPr>
            <w:tcW w:w="126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(-16.30)</w:t>
            </w:r>
          </w:p>
        </w:tc>
        <w:tc>
          <w:tcPr>
            <w:tcW w:w="89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(8.77)</w:t>
            </w: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(7.07)</w:t>
            </w:r>
          </w:p>
        </w:tc>
        <w:tc>
          <w:tcPr>
            <w:tcW w:w="71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MKTRF</w:t>
            </w: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0.671***</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0.521***</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Growth</w:t>
            </w: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0.013***</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0.011***</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right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(11.43)</w:t>
            </w:r>
          </w:p>
        </w:tc>
        <w:tc>
          <w:tcPr>
            <w:tcW w:w="1146"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(13.48)</w:t>
            </w:r>
          </w:p>
        </w:tc>
        <w:tc>
          <w:tcPr>
            <w:tcW w:w="705"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left w:val="nil"/>
              <w:bottom w:val="nil"/>
              <w:right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p>
        </w:tc>
        <w:tc>
          <w:tcPr>
            <w:tcW w:w="124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26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89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(6.52)</w:t>
            </w: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(6.38)</w:t>
            </w:r>
          </w:p>
        </w:tc>
        <w:tc>
          <w:tcPr>
            <w:tcW w:w="71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H_EQ</w:t>
            </w: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−0.000</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−0.001**</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Intercept</w:t>
            </w: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0.178***</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0.204***</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-0.014***</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-0.030***</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(−0.17)</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(−2.03)</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kern w:val="0"/>
                <w:sz w:val="16"/>
                <w:szCs w:val="16"/>
              </w:rPr>
            </w:pP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(28.17)</w:t>
            </w: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(29.84)</w:t>
            </w: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(-4.63)</w:t>
            </w: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(-12.60)</w:t>
            </w: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r w:rsidRPr="00931FD3">
              <w:rPr>
                <w:i/>
                <w:iCs/>
                <w:sz w:val="16"/>
                <w:szCs w:val="16"/>
              </w:rPr>
              <w:t>H_</w:t>
            </w:r>
            <w:r w:rsidRPr="00931FD3">
              <w:rPr>
                <w:i/>
                <w:iCs/>
                <w:color w:val="000000"/>
                <w:sz w:val="16"/>
                <w:szCs w:val="16"/>
              </w:rPr>
              <w:t xml:space="preserve"> P_EQ</w:t>
            </w:r>
            <w:r>
              <w:rPr>
                <w:i/>
                <w:iCs/>
                <w:color w:val="000000"/>
                <w:sz w:val="16"/>
                <w:szCs w:val="16"/>
              </w:rPr>
              <w:t>e</w:t>
            </w:r>
            <w:r w:rsidRPr="00931FD3">
              <w:rPr>
                <w:i/>
                <w:iCs/>
                <w:color w:val="000000"/>
                <w:sz w:val="16"/>
                <w:szCs w:val="16"/>
              </w:rPr>
              <w:t>w</w:t>
            </w:r>
          </w:p>
        </w:tc>
        <w:tc>
          <w:tcPr>
            <w:tcW w:w="969"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0.003***</w:t>
            </w:r>
          </w:p>
        </w:tc>
        <w:tc>
          <w:tcPr>
            <w:tcW w:w="1146"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0.004***</w:t>
            </w:r>
          </w:p>
        </w:tc>
        <w:tc>
          <w:tcPr>
            <w:tcW w:w="705" w:type="dxa"/>
            <w:tcBorders>
              <w:top w:val="nil"/>
              <w:bottom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bottom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kern w:val="0"/>
                <w:sz w:val="16"/>
                <w:szCs w:val="16"/>
              </w:rPr>
            </w:pPr>
          </w:p>
        </w:tc>
        <w:tc>
          <w:tcPr>
            <w:tcW w:w="124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26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894" w:type="dxa"/>
            <w:gridSpan w:val="2"/>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132"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710" w:type="dxa"/>
            <w:tcBorders>
              <w:top w:val="nil"/>
              <w:bottom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bottom w:val="nil"/>
              <w:right w:val="nil"/>
            </w:tcBorders>
            <w:shd w:val="clear" w:color="auto" w:fill="auto"/>
            <w:tcMar>
              <w:top w:w="15" w:type="dxa"/>
              <w:left w:w="15" w:type="dxa"/>
              <w:bottom w:w="0" w:type="dxa"/>
              <w:right w:w="15" w:type="dxa"/>
            </w:tcMar>
            <w:hideMark/>
          </w:tcPr>
          <w:p w:rsidR="00E57265" w:rsidRPr="00931FD3" w:rsidRDefault="00E57265" w:rsidP="008010EB">
            <w:pPr>
              <w:rPr>
                <w:i/>
                <w:iCs/>
                <w:sz w:val="16"/>
                <w:szCs w:val="16"/>
              </w:rPr>
            </w:pPr>
          </w:p>
        </w:tc>
        <w:tc>
          <w:tcPr>
            <w:tcW w:w="969"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(4.49)</w:t>
            </w:r>
          </w:p>
        </w:tc>
        <w:tc>
          <w:tcPr>
            <w:tcW w:w="1146"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(5.99)</w:t>
            </w:r>
          </w:p>
        </w:tc>
        <w:tc>
          <w:tcPr>
            <w:tcW w:w="705" w:type="dxa"/>
            <w:tcBorders>
              <w:top w:val="nil"/>
              <w:left w:val="nil"/>
              <w:bottom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left w:val="nil"/>
              <w:bottom w:val="nil"/>
              <w:right w:val="nil"/>
            </w:tcBorders>
            <w:shd w:val="clear" w:color="auto" w:fill="auto"/>
            <w:noWrap/>
            <w:tcMar>
              <w:top w:w="15" w:type="dxa"/>
              <w:left w:w="15" w:type="dxa"/>
              <w:bottom w:w="0" w:type="dxa"/>
              <w:right w:w="15" w:type="dxa"/>
            </w:tcMar>
            <w:hideMark/>
          </w:tcPr>
          <w:p w:rsidR="00E57265" w:rsidRPr="00931FD3" w:rsidRDefault="00E57265" w:rsidP="00106453">
            <w:pPr>
              <w:widowControl/>
              <w:overflowPunct/>
              <w:autoSpaceDE/>
              <w:autoSpaceDN/>
              <w:adjustRightInd/>
              <w:rPr>
                <w:rFonts w:eastAsia="Times New Roman"/>
                <w:kern w:val="0"/>
                <w:sz w:val="16"/>
                <w:szCs w:val="16"/>
              </w:rPr>
            </w:pPr>
          </w:p>
        </w:tc>
        <w:tc>
          <w:tcPr>
            <w:tcW w:w="124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26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894"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081"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1132"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c>
          <w:tcPr>
            <w:tcW w:w="710" w:type="dxa"/>
            <w:tcBorders>
              <w:top w:val="nil"/>
              <w:left w:val="nil"/>
              <w:bottom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left w:val="nil"/>
              <w:right w:val="nil"/>
            </w:tcBorders>
            <w:shd w:val="clear" w:color="auto" w:fill="auto"/>
            <w:tcMar>
              <w:top w:w="15" w:type="dxa"/>
              <w:left w:w="15" w:type="dxa"/>
              <w:bottom w:w="0" w:type="dxa"/>
              <w:right w:w="15" w:type="dxa"/>
            </w:tcMar>
            <w:vAlign w:val="center"/>
            <w:hideMark/>
          </w:tcPr>
          <w:p w:rsidR="00E57265" w:rsidRPr="00931FD3" w:rsidRDefault="00E57265" w:rsidP="008010EB">
            <w:pPr>
              <w:rPr>
                <w:sz w:val="16"/>
                <w:szCs w:val="16"/>
              </w:rPr>
            </w:pPr>
            <w:r w:rsidRPr="00931FD3">
              <w:rPr>
                <w:sz w:val="16"/>
                <w:szCs w:val="16"/>
              </w:rPr>
              <w:t>Other Variables</w:t>
            </w:r>
          </w:p>
        </w:tc>
        <w:tc>
          <w:tcPr>
            <w:tcW w:w="969" w:type="dxa"/>
            <w:tcBorders>
              <w:top w:val="nil"/>
              <w:left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YES</w:t>
            </w:r>
          </w:p>
        </w:tc>
        <w:tc>
          <w:tcPr>
            <w:tcW w:w="1146" w:type="dxa"/>
            <w:tcBorders>
              <w:top w:val="nil"/>
              <w:left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YES</w:t>
            </w:r>
          </w:p>
        </w:tc>
        <w:tc>
          <w:tcPr>
            <w:tcW w:w="705" w:type="dxa"/>
            <w:tcBorders>
              <w:top w:val="nil"/>
              <w:left w:val="nil"/>
              <w:right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left w:val="nil"/>
              <w:right w:val="nil"/>
            </w:tcBorders>
            <w:shd w:val="clear" w:color="auto" w:fill="auto"/>
            <w:noWrap/>
            <w:tcMar>
              <w:top w:w="15" w:type="dxa"/>
              <w:left w:w="15" w:type="dxa"/>
              <w:bottom w:w="0" w:type="dxa"/>
              <w:right w:w="15" w:type="dxa"/>
            </w:tcMar>
            <w:vAlign w:val="bottom"/>
            <w:hideMark/>
          </w:tcPr>
          <w:p w:rsidR="00E57265" w:rsidRPr="00931FD3" w:rsidRDefault="00E57265" w:rsidP="00106453">
            <w:pPr>
              <w:widowControl/>
              <w:overflowPunct/>
              <w:autoSpaceDE/>
              <w:autoSpaceDN/>
              <w:adjustRightInd/>
              <w:rPr>
                <w:rFonts w:eastAsia="Times New Roman"/>
                <w:kern w:val="0"/>
                <w:sz w:val="16"/>
                <w:szCs w:val="16"/>
              </w:rPr>
            </w:pPr>
          </w:p>
        </w:tc>
        <w:tc>
          <w:tcPr>
            <w:tcW w:w="1242" w:type="dxa"/>
            <w:tcBorders>
              <w:top w:val="nil"/>
              <w:left w:val="nil"/>
              <w:right w:val="nil"/>
            </w:tcBorders>
            <w:shd w:val="clear" w:color="auto" w:fill="auto"/>
            <w:noWrap/>
            <w:tcMar>
              <w:top w:w="15" w:type="dxa"/>
              <w:left w:w="15" w:type="dxa"/>
              <w:bottom w:w="0" w:type="dxa"/>
              <w:right w:w="15" w:type="dxa"/>
            </w:tcMar>
            <w:vAlign w:val="bottom"/>
          </w:tcPr>
          <w:p w:rsidR="00E57265" w:rsidRPr="00CB6827" w:rsidRDefault="00E57265" w:rsidP="008010EB">
            <w:pPr>
              <w:widowControl/>
              <w:overflowPunct/>
              <w:autoSpaceDE/>
              <w:autoSpaceDN/>
              <w:adjustRightInd/>
              <w:jc w:val="center"/>
              <w:rPr>
                <w:sz w:val="16"/>
                <w:szCs w:val="16"/>
              </w:rPr>
            </w:pPr>
          </w:p>
        </w:tc>
        <w:tc>
          <w:tcPr>
            <w:tcW w:w="1260" w:type="dxa"/>
            <w:tcBorders>
              <w:top w:val="nil"/>
              <w:left w:val="nil"/>
              <w:right w:val="nil"/>
            </w:tcBorders>
            <w:shd w:val="clear" w:color="auto" w:fill="auto"/>
            <w:noWrap/>
            <w:tcMar>
              <w:top w:w="15" w:type="dxa"/>
              <w:left w:w="15" w:type="dxa"/>
              <w:bottom w:w="0" w:type="dxa"/>
              <w:right w:w="15" w:type="dxa"/>
            </w:tcMar>
            <w:vAlign w:val="bottom"/>
          </w:tcPr>
          <w:p w:rsidR="00E57265" w:rsidRPr="00CB6827" w:rsidRDefault="00E57265" w:rsidP="008010EB">
            <w:pPr>
              <w:widowControl/>
              <w:overflowPunct/>
              <w:autoSpaceDE/>
              <w:autoSpaceDN/>
              <w:adjustRightInd/>
              <w:jc w:val="center"/>
              <w:rPr>
                <w:sz w:val="16"/>
                <w:szCs w:val="16"/>
              </w:rPr>
            </w:pPr>
          </w:p>
        </w:tc>
        <w:tc>
          <w:tcPr>
            <w:tcW w:w="894" w:type="dxa"/>
            <w:gridSpan w:val="2"/>
            <w:tcBorders>
              <w:top w:val="nil"/>
              <w:left w:val="nil"/>
              <w:right w:val="nil"/>
            </w:tcBorders>
            <w:shd w:val="clear" w:color="auto" w:fill="auto"/>
            <w:noWrap/>
            <w:tcMar>
              <w:top w:w="15" w:type="dxa"/>
              <w:left w:w="15" w:type="dxa"/>
              <w:bottom w:w="0" w:type="dxa"/>
              <w:right w:w="15" w:type="dxa"/>
            </w:tcMar>
            <w:vAlign w:val="bottom"/>
          </w:tcPr>
          <w:p w:rsidR="00E57265" w:rsidRPr="00CB6827" w:rsidRDefault="00E57265" w:rsidP="008010EB">
            <w:pPr>
              <w:widowControl/>
              <w:overflowPunct/>
              <w:autoSpaceDE/>
              <w:autoSpaceDN/>
              <w:adjustRightInd/>
              <w:jc w:val="center"/>
              <w:rPr>
                <w:sz w:val="16"/>
                <w:szCs w:val="16"/>
              </w:rPr>
            </w:pPr>
          </w:p>
        </w:tc>
        <w:tc>
          <w:tcPr>
            <w:tcW w:w="1081" w:type="dxa"/>
            <w:tcBorders>
              <w:top w:val="nil"/>
              <w:left w:val="nil"/>
              <w:right w:val="nil"/>
            </w:tcBorders>
            <w:shd w:val="clear" w:color="auto" w:fill="auto"/>
            <w:noWrap/>
            <w:tcMar>
              <w:top w:w="15" w:type="dxa"/>
              <w:left w:w="15" w:type="dxa"/>
              <w:bottom w:w="0" w:type="dxa"/>
              <w:right w:w="15" w:type="dxa"/>
            </w:tcMar>
            <w:vAlign w:val="bottom"/>
          </w:tcPr>
          <w:p w:rsidR="00E57265" w:rsidRPr="00CB6827" w:rsidRDefault="00E57265" w:rsidP="008010EB">
            <w:pPr>
              <w:widowControl/>
              <w:overflowPunct/>
              <w:autoSpaceDE/>
              <w:autoSpaceDN/>
              <w:adjustRightInd/>
              <w:jc w:val="center"/>
              <w:rPr>
                <w:sz w:val="16"/>
                <w:szCs w:val="16"/>
              </w:rPr>
            </w:pPr>
          </w:p>
        </w:tc>
        <w:tc>
          <w:tcPr>
            <w:tcW w:w="1132" w:type="dxa"/>
            <w:tcBorders>
              <w:top w:val="nil"/>
              <w:left w:val="nil"/>
              <w:right w:val="nil"/>
            </w:tcBorders>
            <w:shd w:val="clear" w:color="auto" w:fill="auto"/>
            <w:noWrap/>
            <w:tcMar>
              <w:top w:w="15" w:type="dxa"/>
              <w:left w:w="15" w:type="dxa"/>
              <w:bottom w:w="0" w:type="dxa"/>
              <w:right w:w="15" w:type="dxa"/>
            </w:tcMar>
            <w:vAlign w:val="bottom"/>
          </w:tcPr>
          <w:p w:rsidR="00E57265" w:rsidRPr="00CB6827" w:rsidRDefault="00E57265" w:rsidP="008010EB">
            <w:pPr>
              <w:widowControl/>
              <w:overflowPunct/>
              <w:autoSpaceDE/>
              <w:autoSpaceDN/>
              <w:adjustRightInd/>
              <w:jc w:val="center"/>
              <w:rPr>
                <w:sz w:val="16"/>
                <w:szCs w:val="16"/>
              </w:rPr>
            </w:pPr>
          </w:p>
        </w:tc>
        <w:tc>
          <w:tcPr>
            <w:tcW w:w="710" w:type="dxa"/>
            <w:tcBorders>
              <w:top w:val="nil"/>
              <w:left w:val="nil"/>
              <w:right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top w:val="nil"/>
            </w:tcBorders>
            <w:shd w:val="clear" w:color="auto" w:fill="auto"/>
            <w:noWrap/>
            <w:tcMar>
              <w:top w:w="15" w:type="dxa"/>
              <w:left w:w="15" w:type="dxa"/>
              <w:bottom w:w="0" w:type="dxa"/>
              <w:right w:w="15" w:type="dxa"/>
            </w:tcMar>
            <w:vAlign w:val="center"/>
            <w:hideMark/>
          </w:tcPr>
          <w:p w:rsidR="00E57265" w:rsidRPr="00931FD3" w:rsidRDefault="00E57265" w:rsidP="008010EB">
            <w:pPr>
              <w:rPr>
                <w:sz w:val="16"/>
                <w:szCs w:val="16"/>
              </w:rPr>
            </w:pPr>
            <w:r w:rsidRPr="00931FD3">
              <w:rPr>
                <w:sz w:val="16"/>
                <w:szCs w:val="16"/>
              </w:rPr>
              <w:t>R-square</w:t>
            </w:r>
          </w:p>
        </w:tc>
        <w:tc>
          <w:tcPr>
            <w:tcW w:w="969" w:type="dxa"/>
            <w:tcBorders>
              <w:top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0.09160</w:t>
            </w:r>
          </w:p>
        </w:tc>
        <w:tc>
          <w:tcPr>
            <w:tcW w:w="1146" w:type="dxa"/>
            <w:tcBorders>
              <w:top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0.09160</w:t>
            </w:r>
          </w:p>
        </w:tc>
        <w:tc>
          <w:tcPr>
            <w:tcW w:w="705" w:type="dxa"/>
            <w:tcBorders>
              <w:top w:val="nil"/>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top w:val="nil"/>
            </w:tcBorders>
            <w:shd w:val="clear" w:color="auto" w:fill="auto"/>
            <w:noWrap/>
            <w:tcMar>
              <w:top w:w="15" w:type="dxa"/>
              <w:left w:w="15" w:type="dxa"/>
              <w:bottom w:w="0" w:type="dxa"/>
              <w:right w:w="15" w:type="dxa"/>
            </w:tcMar>
            <w:vAlign w:val="center"/>
            <w:hideMark/>
          </w:tcPr>
          <w:p w:rsidR="00E57265" w:rsidRPr="00931FD3" w:rsidRDefault="00E57265" w:rsidP="00106453">
            <w:pPr>
              <w:widowControl/>
              <w:overflowPunct/>
              <w:autoSpaceDE/>
              <w:autoSpaceDN/>
              <w:adjustRightInd/>
              <w:rPr>
                <w:rFonts w:eastAsia="Times New Roman"/>
                <w:kern w:val="0"/>
                <w:sz w:val="16"/>
                <w:szCs w:val="16"/>
              </w:rPr>
            </w:pPr>
            <w:r w:rsidRPr="00931FD3">
              <w:rPr>
                <w:rFonts w:eastAsia="Times New Roman"/>
                <w:kern w:val="0"/>
                <w:sz w:val="16"/>
                <w:szCs w:val="16"/>
              </w:rPr>
              <w:t>R-square</w:t>
            </w:r>
          </w:p>
        </w:tc>
        <w:tc>
          <w:tcPr>
            <w:tcW w:w="1242" w:type="dxa"/>
            <w:tcBorders>
              <w:top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0.2325</w:t>
            </w:r>
          </w:p>
        </w:tc>
        <w:tc>
          <w:tcPr>
            <w:tcW w:w="1260" w:type="dxa"/>
            <w:tcBorders>
              <w:top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0.2796</w:t>
            </w:r>
          </w:p>
        </w:tc>
        <w:tc>
          <w:tcPr>
            <w:tcW w:w="894" w:type="dxa"/>
            <w:gridSpan w:val="2"/>
            <w:tcBorders>
              <w:top w:val="nil"/>
            </w:tcBorders>
            <w:shd w:val="clear" w:color="auto" w:fill="auto"/>
            <w:noWrap/>
            <w:tcMar>
              <w:top w:w="15" w:type="dxa"/>
              <w:left w:w="15" w:type="dxa"/>
              <w:bottom w:w="0" w:type="dxa"/>
              <w:right w:w="15" w:type="dxa"/>
            </w:tcMar>
            <w:vAlign w:val="bottom"/>
          </w:tcPr>
          <w:p w:rsidR="00E57265" w:rsidRPr="00CB6827" w:rsidRDefault="00E57265" w:rsidP="008010EB">
            <w:pPr>
              <w:widowControl/>
              <w:overflowPunct/>
              <w:autoSpaceDE/>
              <w:autoSpaceDN/>
              <w:adjustRightInd/>
              <w:jc w:val="center"/>
              <w:rPr>
                <w:sz w:val="16"/>
                <w:szCs w:val="16"/>
              </w:rPr>
            </w:pPr>
          </w:p>
        </w:tc>
        <w:tc>
          <w:tcPr>
            <w:tcW w:w="1081" w:type="dxa"/>
            <w:tcBorders>
              <w:top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0.04049</w:t>
            </w:r>
          </w:p>
        </w:tc>
        <w:tc>
          <w:tcPr>
            <w:tcW w:w="1132" w:type="dxa"/>
            <w:tcBorders>
              <w:top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r w:rsidRPr="00CB6827">
              <w:rPr>
                <w:sz w:val="16"/>
                <w:szCs w:val="16"/>
              </w:rPr>
              <w:t>0.03869</w:t>
            </w:r>
          </w:p>
        </w:tc>
        <w:tc>
          <w:tcPr>
            <w:tcW w:w="710" w:type="dxa"/>
            <w:tcBorders>
              <w:top w:val="nil"/>
            </w:tcBorders>
            <w:shd w:val="clear" w:color="auto" w:fill="auto"/>
            <w:noWrap/>
            <w:tcMar>
              <w:top w:w="15" w:type="dxa"/>
              <w:left w:w="15" w:type="dxa"/>
              <w:bottom w:w="0" w:type="dxa"/>
              <w:right w:w="15" w:type="dxa"/>
            </w:tcMar>
            <w:vAlign w:val="bottom"/>
            <w:hideMark/>
          </w:tcPr>
          <w:p w:rsidR="00E57265" w:rsidRPr="00CB6827" w:rsidRDefault="00E57265" w:rsidP="008010EB">
            <w:pPr>
              <w:widowControl/>
              <w:overflowPunct/>
              <w:autoSpaceDE/>
              <w:autoSpaceDN/>
              <w:adjustRightInd/>
              <w:jc w:val="center"/>
              <w:rPr>
                <w:sz w:val="16"/>
                <w:szCs w:val="16"/>
              </w:rPr>
            </w:pPr>
          </w:p>
        </w:tc>
      </w:tr>
      <w:tr w:rsidR="00E57265" w:rsidRPr="004943A9" w:rsidTr="008010EB">
        <w:trPr>
          <w:trHeight w:val="238"/>
          <w:jc w:val="center"/>
        </w:trPr>
        <w:tc>
          <w:tcPr>
            <w:tcW w:w="1945" w:type="dxa"/>
            <w:tcBorders>
              <w:bottom w:val="single" w:sz="4" w:space="0" w:color="auto"/>
            </w:tcBorders>
            <w:shd w:val="clear" w:color="auto" w:fill="auto"/>
            <w:noWrap/>
            <w:tcMar>
              <w:top w:w="15" w:type="dxa"/>
              <w:left w:w="15" w:type="dxa"/>
              <w:bottom w:w="0" w:type="dxa"/>
              <w:right w:w="15" w:type="dxa"/>
            </w:tcMar>
            <w:vAlign w:val="center"/>
            <w:hideMark/>
          </w:tcPr>
          <w:p w:rsidR="00E57265" w:rsidRPr="00931FD3" w:rsidRDefault="00E57265" w:rsidP="008010EB">
            <w:pPr>
              <w:rPr>
                <w:sz w:val="16"/>
                <w:szCs w:val="16"/>
              </w:rPr>
            </w:pPr>
            <w:r w:rsidRPr="00931FD3">
              <w:rPr>
                <w:sz w:val="16"/>
                <w:szCs w:val="16"/>
              </w:rPr>
              <w:t>N</w:t>
            </w:r>
          </w:p>
        </w:tc>
        <w:tc>
          <w:tcPr>
            <w:tcW w:w="969" w:type="dxa"/>
            <w:tcBorders>
              <w:bottom w:val="single" w:sz="4" w:space="0" w:color="auto"/>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374,420</w:t>
            </w:r>
          </w:p>
        </w:tc>
        <w:tc>
          <w:tcPr>
            <w:tcW w:w="1146" w:type="dxa"/>
            <w:tcBorders>
              <w:bottom w:val="single" w:sz="4" w:space="0" w:color="auto"/>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sz w:val="16"/>
                <w:szCs w:val="16"/>
              </w:rPr>
              <w:t>219,308</w:t>
            </w:r>
          </w:p>
        </w:tc>
        <w:tc>
          <w:tcPr>
            <w:tcW w:w="705" w:type="dxa"/>
            <w:tcBorders>
              <w:bottom w:val="single" w:sz="4" w:space="0" w:color="auto"/>
            </w:tcBorders>
            <w:shd w:val="clear" w:color="auto" w:fill="auto"/>
            <w:noWrap/>
            <w:tcMar>
              <w:top w:w="15" w:type="dxa"/>
              <w:left w:w="15" w:type="dxa"/>
              <w:bottom w:w="0" w:type="dxa"/>
              <w:right w:w="15" w:type="dxa"/>
            </w:tcMar>
          </w:tcPr>
          <w:p w:rsidR="00E57265" w:rsidRPr="00931FD3" w:rsidRDefault="00E57265" w:rsidP="008010EB">
            <w:pPr>
              <w:widowControl/>
              <w:overflowPunct/>
              <w:autoSpaceDE/>
              <w:autoSpaceDN/>
              <w:adjustRightInd/>
              <w:jc w:val="center"/>
              <w:rPr>
                <w:rFonts w:eastAsia="Times New Roman"/>
                <w:kern w:val="0"/>
                <w:sz w:val="16"/>
                <w:szCs w:val="16"/>
              </w:rPr>
            </w:pPr>
          </w:p>
        </w:tc>
        <w:tc>
          <w:tcPr>
            <w:tcW w:w="910" w:type="dxa"/>
            <w:tcBorders>
              <w:bottom w:val="single" w:sz="4" w:space="0" w:color="auto"/>
            </w:tcBorders>
            <w:shd w:val="clear" w:color="auto" w:fill="auto"/>
            <w:noWrap/>
            <w:tcMar>
              <w:top w:w="15" w:type="dxa"/>
              <w:left w:w="15" w:type="dxa"/>
              <w:bottom w:w="0" w:type="dxa"/>
              <w:right w:w="15" w:type="dxa"/>
            </w:tcMar>
            <w:vAlign w:val="center"/>
          </w:tcPr>
          <w:p w:rsidR="00E57265" w:rsidRPr="00931FD3" w:rsidRDefault="00E57265" w:rsidP="00106453">
            <w:pPr>
              <w:widowControl/>
              <w:overflowPunct/>
              <w:autoSpaceDE/>
              <w:autoSpaceDN/>
              <w:adjustRightInd/>
              <w:rPr>
                <w:rFonts w:eastAsia="Times New Roman"/>
                <w:kern w:val="0"/>
                <w:sz w:val="16"/>
                <w:szCs w:val="16"/>
              </w:rPr>
            </w:pPr>
            <w:r w:rsidRPr="00931FD3">
              <w:rPr>
                <w:rFonts w:eastAsia="Times New Roman"/>
                <w:kern w:val="0"/>
                <w:sz w:val="16"/>
                <w:szCs w:val="16"/>
              </w:rPr>
              <w:t>N</w:t>
            </w:r>
          </w:p>
        </w:tc>
        <w:tc>
          <w:tcPr>
            <w:tcW w:w="1242" w:type="dxa"/>
            <w:tcBorders>
              <w:bottom w:val="single" w:sz="4" w:space="0" w:color="auto"/>
            </w:tcBorders>
            <w:shd w:val="clear" w:color="auto" w:fill="auto"/>
            <w:noWrap/>
            <w:tcMar>
              <w:top w:w="15" w:type="dxa"/>
              <w:left w:w="15" w:type="dxa"/>
              <w:bottom w:w="0" w:type="dxa"/>
              <w:right w:w="15" w:type="dxa"/>
            </w:tcMar>
            <w:vAlign w:val="bottom"/>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11,529</w:t>
            </w:r>
          </w:p>
        </w:tc>
        <w:tc>
          <w:tcPr>
            <w:tcW w:w="1260" w:type="dxa"/>
            <w:tcBorders>
              <w:bottom w:val="single" w:sz="4" w:space="0" w:color="auto"/>
            </w:tcBorders>
            <w:shd w:val="clear" w:color="auto" w:fill="auto"/>
            <w:noWrap/>
            <w:tcMar>
              <w:top w:w="15" w:type="dxa"/>
              <w:left w:w="15" w:type="dxa"/>
              <w:bottom w:w="0" w:type="dxa"/>
              <w:right w:w="15" w:type="dxa"/>
            </w:tcMar>
            <w:vAlign w:val="bottom"/>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11,488</w:t>
            </w:r>
          </w:p>
        </w:tc>
        <w:tc>
          <w:tcPr>
            <w:tcW w:w="894" w:type="dxa"/>
            <w:gridSpan w:val="2"/>
            <w:tcBorders>
              <w:bottom w:val="single" w:sz="4" w:space="0" w:color="auto"/>
            </w:tcBorders>
            <w:shd w:val="clear" w:color="auto" w:fill="auto"/>
            <w:noWrap/>
            <w:tcMar>
              <w:top w:w="15" w:type="dxa"/>
              <w:left w:w="15" w:type="dxa"/>
              <w:bottom w:w="0" w:type="dxa"/>
              <w:right w:w="15" w:type="dxa"/>
            </w:tcMar>
            <w:vAlign w:val="bottom"/>
          </w:tcPr>
          <w:p w:rsidR="00E57265" w:rsidRPr="00931FD3" w:rsidRDefault="00E57265" w:rsidP="008010EB">
            <w:pPr>
              <w:widowControl/>
              <w:overflowPunct/>
              <w:autoSpaceDE/>
              <w:autoSpaceDN/>
              <w:adjustRightInd/>
              <w:jc w:val="center"/>
              <w:rPr>
                <w:rFonts w:eastAsia="Times New Roman"/>
                <w:kern w:val="0"/>
                <w:sz w:val="16"/>
                <w:szCs w:val="16"/>
              </w:rPr>
            </w:pPr>
          </w:p>
        </w:tc>
        <w:tc>
          <w:tcPr>
            <w:tcW w:w="1081" w:type="dxa"/>
            <w:tcBorders>
              <w:bottom w:val="single" w:sz="4" w:space="0" w:color="auto"/>
            </w:tcBorders>
            <w:shd w:val="clear" w:color="auto" w:fill="auto"/>
            <w:noWrap/>
            <w:tcMar>
              <w:top w:w="15" w:type="dxa"/>
              <w:left w:w="15" w:type="dxa"/>
              <w:bottom w:w="0" w:type="dxa"/>
              <w:right w:w="15" w:type="dxa"/>
            </w:tcMar>
            <w:vAlign w:val="bottom"/>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20,108</w:t>
            </w:r>
          </w:p>
        </w:tc>
        <w:tc>
          <w:tcPr>
            <w:tcW w:w="1132" w:type="dxa"/>
            <w:tcBorders>
              <w:bottom w:val="single" w:sz="4" w:space="0" w:color="auto"/>
            </w:tcBorders>
            <w:shd w:val="clear" w:color="auto" w:fill="auto"/>
            <w:noWrap/>
            <w:tcMar>
              <w:top w:w="15" w:type="dxa"/>
              <w:left w:w="15" w:type="dxa"/>
              <w:bottom w:w="0" w:type="dxa"/>
              <w:right w:w="15" w:type="dxa"/>
            </w:tcMar>
            <w:vAlign w:val="bottom"/>
          </w:tcPr>
          <w:p w:rsidR="00E57265" w:rsidRPr="00931FD3" w:rsidRDefault="00E57265" w:rsidP="008010EB">
            <w:pPr>
              <w:widowControl/>
              <w:overflowPunct/>
              <w:autoSpaceDE/>
              <w:autoSpaceDN/>
              <w:adjustRightInd/>
              <w:jc w:val="center"/>
              <w:rPr>
                <w:rFonts w:eastAsia="Times New Roman"/>
                <w:kern w:val="0"/>
                <w:sz w:val="16"/>
                <w:szCs w:val="16"/>
              </w:rPr>
            </w:pPr>
            <w:r w:rsidRPr="00931FD3">
              <w:rPr>
                <w:rFonts w:eastAsia="Times New Roman"/>
                <w:kern w:val="0"/>
                <w:sz w:val="16"/>
                <w:szCs w:val="16"/>
              </w:rPr>
              <w:t>19,994</w:t>
            </w:r>
          </w:p>
        </w:tc>
        <w:tc>
          <w:tcPr>
            <w:tcW w:w="710" w:type="dxa"/>
            <w:tcBorders>
              <w:bottom w:val="single" w:sz="4" w:space="0" w:color="auto"/>
            </w:tcBorders>
            <w:shd w:val="clear" w:color="auto" w:fill="auto"/>
            <w:noWrap/>
            <w:tcMar>
              <w:top w:w="15" w:type="dxa"/>
              <w:left w:w="15" w:type="dxa"/>
              <w:bottom w:w="0" w:type="dxa"/>
              <w:right w:w="15" w:type="dxa"/>
            </w:tcMar>
            <w:vAlign w:val="bottom"/>
          </w:tcPr>
          <w:p w:rsidR="00E57265" w:rsidRPr="00931FD3" w:rsidRDefault="00E57265" w:rsidP="008010EB">
            <w:pPr>
              <w:widowControl/>
              <w:overflowPunct/>
              <w:autoSpaceDE/>
              <w:autoSpaceDN/>
              <w:adjustRightInd/>
              <w:jc w:val="center"/>
              <w:rPr>
                <w:rFonts w:eastAsia="Times New Roman"/>
                <w:kern w:val="0"/>
                <w:sz w:val="16"/>
                <w:szCs w:val="16"/>
              </w:rPr>
            </w:pPr>
          </w:p>
        </w:tc>
      </w:tr>
    </w:tbl>
    <w:p w:rsidR="004943A9" w:rsidRDefault="004943A9" w:rsidP="008010EB">
      <w:pPr>
        <w:jc w:val="center"/>
      </w:pPr>
      <w:r>
        <w:br w:type="page"/>
      </w:r>
    </w:p>
    <w:tbl>
      <w:tblPr>
        <w:tblW w:w="12056" w:type="dxa"/>
        <w:jc w:val="center"/>
        <w:tblLayout w:type="fixed"/>
        <w:tblCellMar>
          <w:left w:w="0" w:type="dxa"/>
          <w:right w:w="0" w:type="dxa"/>
        </w:tblCellMar>
        <w:tblLook w:val="04A0" w:firstRow="1" w:lastRow="0" w:firstColumn="1" w:lastColumn="0" w:noHBand="0" w:noVBand="1"/>
      </w:tblPr>
      <w:tblGrid>
        <w:gridCol w:w="1951"/>
        <w:gridCol w:w="1034"/>
        <w:gridCol w:w="966"/>
        <w:gridCol w:w="785"/>
        <w:gridCol w:w="968"/>
        <w:gridCol w:w="1248"/>
        <w:gridCol w:w="1266"/>
        <w:gridCol w:w="856"/>
        <w:gridCol w:w="43"/>
        <w:gridCol w:w="1085"/>
        <w:gridCol w:w="1100"/>
        <w:gridCol w:w="754"/>
      </w:tblGrid>
      <w:tr w:rsidR="00A82E36" w:rsidRPr="004943A9" w:rsidTr="0073650E">
        <w:trPr>
          <w:trHeight w:val="254"/>
          <w:jc w:val="center"/>
        </w:trPr>
        <w:tc>
          <w:tcPr>
            <w:tcW w:w="12056" w:type="dxa"/>
            <w:gridSpan w:val="12"/>
            <w:tcBorders>
              <w:left w:val="nil"/>
              <w:bottom w:val="single" w:sz="4" w:space="0" w:color="auto"/>
              <w:right w:val="nil"/>
            </w:tcBorders>
            <w:shd w:val="clear" w:color="auto" w:fill="auto"/>
            <w:noWrap/>
            <w:tcMar>
              <w:top w:w="15" w:type="dxa"/>
              <w:left w:w="15" w:type="dxa"/>
              <w:bottom w:w="0" w:type="dxa"/>
              <w:right w:w="15" w:type="dxa"/>
            </w:tcMar>
            <w:vAlign w:val="bottom"/>
          </w:tcPr>
          <w:p w:rsidR="00A82E36" w:rsidRPr="004943A9" w:rsidRDefault="00A82E36" w:rsidP="008010EB">
            <w:pPr>
              <w:jc w:val="center"/>
              <w:rPr>
                <w:rFonts w:ascii="Arial" w:hAnsi="Arial" w:cs="Arial"/>
              </w:rPr>
            </w:pPr>
            <w:r w:rsidRPr="004943A9">
              <w:rPr>
                <w:rFonts w:eastAsia="Times New Roman"/>
                <w:b/>
                <w:bCs/>
              </w:rPr>
              <w:lastRenderedPageBreak/>
              <w:t>Table 8</w:t>
            </w:r>
            <w:r w:rsidR="00FC5498" w:rsidRPr="004943A9">
              <w:rPr>
                <w:rFonts w:eastAsia="Times New Roman"/>
                <w:bCs/>
                <w:i/>
              </w:rPr>
              <w:t xml:space="preserve"> </w:t>
            </w:r>
            <w:r w:rsidR="005E29D0" w:rsidRPr="004943A9">
              <w:rPr>
                <w:rFonts w:eastAsia="Times New Roman"/>
                <w:bCs/>
                <w:i/>
              </w:rPr>
              <w:t>(Cont’d)</w:t>
            </w:r>
          </w:p>
        </w:tc>
      </w:tr>
      <w:tr w:rsidR="00A82E36" w:rsidRPr="004943A9" w:rsidTr="0073650E">
        <w:trPr>
          <w:trHeight w:val="243"/>
          <w:jc w:val="center"/>
        </w:trPr>
        <w:tc>
          <w:tcPr>
            <w:tcW w:w="12056" w:type="dxa"/>
            <w:gridSpan w:val="12"/>
            <w:tcBorders>
              <w:top w:val="single" w:sz="4" w:space="0" w:color="auto"/>
              <w:left w:val="nil"/>
              <w:right w:val="nil"/>
            </w:tcBorders>
            <w:shd w:val="clear" w:color="auto" w:fill="auto"/>
            <w:noWrap/>
            <w:tcMar>
              <w:top w:w="15" w:type="dxa"/>
              <w:left w:w="15" w:type="dxa"/>
              <w:bottom w:w="0" w:type="dxa"/>
              <w:right w:w="15" w:type="dxa"/>
            </w:tcMar>
            <w:vAlign w:val="bottom"/>
          </w:tcPr>
          <w:p w:rsidR="00A82E36" w:rsidRPr="00931FD3" w:rsidRDefault="00A82E36" w:rsidP="008010EB">
            <w:pPr>
              <w:rPr>
                <w:rFonts w:eastAsia="Times New Roman"/>
                <w:b/>
                <w:bCs/>
                <w:sz w:val="16"/>
                <w:szCs w:val="16"/>
              </w:rPr>
            </w:pPr>
            <w:r w:rsidRPr="00931FD3">
              <w:rPr>
                <w:rFonts w:eastAsia="Times New Roman"/>
                <w:b/>
                <w:bCs/>
                <w:sz w:val="16"/>
                <w:szCs w:val="16"/>
              </w:rPr>
              <w:t>Panel D: Sample Split Based on Multi−national Operations</w:t>
            </w:r>
          </w:p>
        </w:tc>
      </w:tr>
      <w:tr w:rsidR="00A82E36" w:rsidRPr="004943A9" w:rsidTr="0073650E">
        <w:trPr>
          <w:trHeight w:val="254"/>
          <w:jc w:val="center"/>
        </w:trPr>
        <w:tc>
          <w:tcPr>
            <w:tcW w:w="1951" w:type="dxa"/>
            <w:tcBorders>
              <w:left w:val="nil"/>
              <w:right w:val="nil"/>
            </w:tcBorders>
            <w:shd w:val="clear" w:color="auto" w:fill="auto"/>
            <w:noWrap/>
            <w:tcMar>
              <w:top w:w="15" w:type="dxa"/>
              <w:left w:w="15" w:type="dxa"/>
              <w:bottom w:w="0" w:type="dxa"/>
              <w:right w:w="15" w:type="dxa"/>
            </w:tcMar>
            <w:vAlign w:val="bottom"/>
          </w:tcPr>
          <w:p w:rsidR="00A82E36" w:rsidRPr="00931FD3" w:rsidRDefault="00A82E36" w:rsidP="008010EB">
            <w:pPr>
              <w:rPr>
                <w:sz w:val="16"/>
                <w:szCs w:val="16"/>
              </w:rPr>
            </w:pPr>
            <w:r w:rsidRPr="00931FD3">
              <w:rPr>
                <w:sz w:val="16"/>
                <w:szCs w:val="16"/>
              </w:rPr>
              <w:t>Dep. Var.=</w:t>
            </w:r>
          </w:p>
        </w:tc>
        <w:tc>
          <w:tcPr>
            <w:tcW w:w="2785" w:type="dxa"/>
            <w:gridSpan w:val="3"/>
            <w:tcBorders>
              <w:left w:val="nil"/>
              <w:right w:val="nil"/>
            </w:tcBorders>
            <w:shd w:val="clear" w:color="auto" w:fill="auto"/>
            <w:noWrap/>
            <w:tcMar>
              <w:top w:w="15" w:type="dxa"/>
              <w:left w:w="15" w:type="dxa"/>
              <w:bottom w:w="0" w:type="dxa"/>
              <w:right w:w="15" w:type="dxa"/>
            </w:tcMar>
            <w:vAlign w:val="bottom"/>
          </w:tcPr>
          <w:p w:rsidR="00A82E36" w:rsidRPr="00931FD3" w:rsidRDefault="00A82E36" w:rsidP="008010EB">
            <w:pPr>
              <w:jc w:val="center"/>
              <w:rPr>
                <w:i/>
                <w:sz w:val="16"/>
                <w:szCs w:val="16"/>
              </w:rPr>
            </w:pPr>
            <w:r w:rsidRPr="00931FD3">
              <w:rPr>
                <w:i/>
                <w:iCs/>
                <w:sz w:val="16"/>
                <w:szCs w:val="16"/>
              </w:rPr>
              <w:t>EXRET</w:t>
            </w:r>
          </w:p>
        </w:tc>
        <w:tc>
          <w:tcPr>
            <w:tcW w:w="4338" w:type="dxa"/>
            <w:gridSpan w:val="4"/>
            <w:tcBorders>
              <w:left w:val="nil"/>
            </w:tcBorders>
            <w:shd w:val="clear" w:color="auto" w:fill="auto"/>
            <w:noWrap/>
            <w:tcMar>
              <w:top w:w="15" w:type="dxa"/>
              <w:left w:w="15" w:type="dxa"/>
              <w:bottom w:w="0" w:type="dxa"/>
              <w:right w:w="15" w:type="dxa"/>
            </w:tcMar>
            <w:vAlign w:val="center"/>
          </w:tcPr>
          <w:p w:rsidR="00A82E36" w:rsidRPr="00931FD3" w:rsidRDefault="00A82E36" w:rsidP="008010EB">
            <w:pPr>
              <w:jc w:val="center"/>
              <w:rPr>
                <w:i/>
                <w:iCs/>
                <w:color w:val="000000"/>
                <w:sz w:val="16"/>
                <w:szCs w:val="16"/>
              </w:rPr>
            </w:pPr>
            <w:r w:rsidRPr="00931FD3">
              <w:rPr>
                <w:i/>
                <w:iCs/>
                <w:color w:val="000000"/>
                <w:sz w:val="16"/>
                <w:szCs w:val="16"/>
              </w:rPr>
              <w:t>ICoE</w:t>
            </w:r>
          </w:p>
        </w:tc>
        <w:tc>
          <w:tcPr>
            <w:tcW w:w="2982" w:type="dxa"/>
            <w:gridSpan w:val="4"/>
            <w:tcBorders>
              <w:right w:val="nil"/>
            </w:tcBorders>
            <w:shd w:val="clear" w:color="auto" w:fill="auto"/>
            <w:noWrap/>
            <w:tcMar>
              <w:top w:w="15" w:type="dxa"/>
              <w:left w:w="15" w:type="dxa"/>
              <w:bottom w:w="0" w:type="dxa"/>
              <w:right w:w="15" w:type="dxa"/>
            </w:tcMar>
            <w:vAlign w:val="center"/>
          </w:tcPr>
          <w:p w:rsidR="00A82E36" w:rsidRPr="00931FD3" w:rsidRDefault="00A82E36" w:rsidP="008010EB">
            <w:pPr>
              <w:jc w:val="center"/>
              <w:rPr>
                <w:i/>
                <w:sz w:val="16"/>
                <w:szCs w:val="16"/>
              </w:rPr>
            </w:pPr>
            <w:r w:rsidRPr="00931FD3">
              <w:rPr>
                <w:i/>
                <w:iCs/>
                <w:color w:val="000000"/>
                <w:sz w:val="16"/>
                <w:szCs w:val="16"/>
              </w:rPr>
              <w:t>IndEP</w:t>
            </w:r>
          </w:p>
        </w:tc>
      </w:tr>
      <w:tr w:rsidR="0073650E" w:rsidRPr="004943A9" w:rsidTr="008010EB">
        <w:trPr>
          <w:trHeight w:val="335"/>
          <w:jc w:val="center"/>
        </w:trPr>
        <w:tc>
          <w:tcPr>
            <w:tcW w:w="1951" w:type="dxa"/>
            <w:tcBorders>
              <w:left w:val="nil"/>
              <w:right w:val="nil"/>
            </w:tcBorders>
            <w:shd w:val="clear" w:color="auto" w:fill="auto"/>
            <w:noWrap/>
            <w:tcMar>
              <w:top w:w="15" w:type="dxa"/>
              <w:left w:w="15" w:type="dxa"/>
              <w:bottom w:w="0" w:type="dxa"/>
              <w:right w:w="15" w:type="dxa"/>
            </w:tcMar>
            <w:vAlign w:val="center"/>
            <w:hideMark/>
          </w:tcPr>
          <w:p w:rsidR="0073650E" w:rsidRPr="00931FD3" w:rsidRDefault="0073650E" w:rsidP="008010EB">
            <w:pPr>
              <w:rPr>
                <w:sz w:val="16"/>
                <w:szCs w:val="16"/>
              </w:rPr>
            </w:pPr>
          </w:p>
        </w:tc>
        <w:tc>
          <w:tcPr>
            <w:tcW w:w="1034" w:type="dxa"/>
            <w:tcBorders>
              <w:left w:val="nil"/>
              <w:right w:val="nil"/>
            </w:tcBorders>
            <w:shd w:val="clear" w:color="auto" w:fill="auto"/>
            <w:noWrap/>
            <w:tcMar>
              <w:top w:w="15" w:type="dxa"/>
              <w:left w:w="15" w:type="dxa"/>
              <w:bottom w:w="0" w:type="dxa"/>
              <w:right w:w="15" w:type="dxa"/>
            </w:tcMar>
            <w:vAlign w:val="center"/>
            <w:hideMark/>
          </w:tcPr>
          <w:p w:rsidR="0073650E" w:rsidRPr="00931FD3" w:rsidRDefault="0073650E" w:rsidP="00F43FEC">
            <w:pPr>
              <w:jc w:val="center"/>
              <w:rPr>
                <w:rFonts w:eastAsia="Times New Roman"/>
                <w:color w:val="000000"/>
                <w:sz w:val="16"/>
                <w:szCs w:val="16"/>
              </w:rPr>
            </w:pPr>
            <w:r w:rsidRPr="00931FD3">
              <w:rPr>
                <w:iCs/>
                <w:sz w:val="16"/>
                <w:szCs w:val="16"/>
              </w:rPr>
              <w:t>(1)</w:t>
            </w:r>
          </w:p>
          <w:p w:rsidR="0073650E" w:rsidRPr="00931FD3" w:rsidRDefault="0073650E" w:rsidP="00F43FEC">
            <w:pPr>
              <w:jc w:val="center"/>
              <w:rPr>
                <w:iCs/>
                <w:sz w:val="16"/>
                <w:szCs w:val="16"/>
              </w:rPr>
            </w:pPr>
            <w:r w:rsidRPr="00931FD3">
              <w:rPr>
                <w:rFonts w:eastAsia="Times New Roman"/>
                <w:color w:val="000000"/>
                <w:sz w:val="16"/>
                <w:szCs w:val="16"/>
              </w:rPr>
              <w:t>Multinational Firms</w:t>
            </w:r>
          </w:p>
        </w:tc>
        <w:tc>
          <w:tcPr>
            <w:tcW w:w="966" w:type="dxa"/>
            <w:tcBorders>
              <w:left w:val="nil"/>
              <w:right w:val="nil"/>
            </w:tcBorders>
            <w:shd w:val="clear" w:color="auto" w:fill="auto"/>
            <w:noWrap/>
            <w:tcMar>
              <w:top w:w="15" w:type="dxa"/>
              <w:left w:w="15" w:type="dxa"/>
              <w:bottom w:w="0" w:type="dxa"/>
              <w:right w:w="15" w:type="dxa"/>
            </w:tcMar>
            <w:vAlign w:val="center"/>
            <w:hideMark/>
          </w:tcPr>
          <w:p w:rsidR="0073650E" w:rsidRPr="00931FD3" w:rsidRDefault="0073650E" w:rsidP="00F43FEC">
            <w:pPr>
              <w:jc w:val="center"/>
              <w:rPr>
                <w:iCs/>
                <w:sz w:val="16"/>
                <w:szCs w:val="16"/>
              </w:rPr>
            </w:pPr>
            <w:r w:rsidRPr="00931FD3">
              <w:rPr>
                <w:iCs/>
                <w:sz w:val="16"/>
                <w:szCs w:val="16"/>
              </w:rPr>
              <w:t>(2)</w:t>
            </w:r>
          </w:p>
          <w:p w:rsidR="0073650E" w:rsidRPr="00931FD3" w:rsidRDefault="0073650E" w:rsidP="00F43FEC">
            <w:pPr>
              <w:jc w:val="center"/>
              <w:rPr>
                <w:iCs/>
                <w:sz w:val="16"/>
                <w:szCs w:val="16"/>
              </w:rPr>
            </w:pPr>
            <w:r w:rsidRPr="00931FD3">
              <w:rPr>
                <w:rFonts w:eastAsia="Times New Roman"/>
                <w:color w:val="000000"/>
                <w:sz w:val="16"/>
                <w:szCs w:val="16"/>
              </w:rPr>
              <w:t>Domestic Firms</w:t>
            </w:r>
          </w:p>
        </w:tc>
        <w:tc>
          <w:tcPr>
            <w:tcW w:w="785" w:type="dxa"/>
            <w:tcBorders>
              <w:left w:val="nil"/>
              <w:right w:val="nil"/>
            </w:tcBorders>
            <w:shd w:val="clear" w:color="auto" w:fill="auto"/>
            <w:noWrap/>
            <w:tcMar>
              <w:top w:w="15" w:type="dxa"/>
              <w:left w:w="15" w:type="dxa"/>
              <w:bottom w:w="0" w:type="dxa"/>
              <w:right w:w="15" w:type="dxa"/>
            </w:tcMar>
            <w:vAlign w:val="center"/>
            <w:hideMark/>
          </w:tcPr>
          <w:p w:rsidR="0073650E" w:rsidRPr="00931FD3" w:rsidRDefault="0073650E" w:rsidP="00F43FEC">
            <w:pPr>
              <w:jc w:val="center"/>
              <w:rPr>
                <w:sz w:val="16"/>
                <w:szCs w:val="16"/>
              </w:rPr>
            </w:pPr>
            <w:r w:rsidRPr="00931FD3">
              <w:rPr>
                <w:sz w:val="16"/>
                <w:szCs w:val="16"/>
              </w:rPr>
              <w:t>(2)−(1)</w:t>
            </w:r>
          </w:p>
        </w:tc>
        <w:tc>
          <w:tcPr>
            <w:tcW w:w="968" w:type="dxa"/>
            <w:tcBorders>
              <w:left w:val="nil"/>
              <w:right w:val="nil"/>
            </w:tcBorders>
            <w:shd w:val="clear" w:color="auto" w:fill="auto"/>
            <w:noWrap/>
            <w:tcMar>
              <w:top w:w="15" w:type="dxa"/>
              <w:left w:w="15" w:type="dxa"/>
              <w:bottom w:w="0" w:type="dxa"/>
              <w:right w:w="15" w:type="dxa"/>
            </w:tcMar>
            <w:vAlign w:val="center"/>
            <w:hideMark/>
          </w:tcPr>
          <w:p w:rsidR="0073650E" w:rsidRPr="00931FD3" w:rsidRDefault="0073650E" w:rsidP="00F43FEC">
            <w:pPr>
              <w:jc w:val="center"/>
              <w:rPr>
                <w:sz w:val="16"/>
                <w:szCs w:val="16"/>
              </w:rPr>
            </w:pPr>
          </w:p>
        </w:tc>
        <w:tc>
          <w:tcPr>
            <w:tcW w:w="1248" w:type="dxa"/>
            <w:tcBorders>
              <w:left w:val="nil"/>
              <w:right w:val="nil"/>
            </w:tcBorders>
            <w:shd w:val="clear" w:color="auto" w:fill="auto"/>
            <w:noWrap/>
            <w:tcMar>
              <w:top w:w="15" w:type="dxa"/>
              <w:left w:w="15" w:type="dxa"/>
              <w:bottom w:w="0" w:type="dxa"/>
              <w:right w:w="15" w:type="dxa"/>
            </w:tcMar>
            <w:vAlign w:val="center"/>
            <w:hideMark/>
          </w:tcPr>
          <w:p w:rsidR="0073650E" w:rsidRPr="00931FD3" w:rsidRDefault="0073650E" w:rsidP="00F43FEC">
            <w:pPr>
              <w:jc w:val="center"/>
              <w:rPr>
                <w:rFonts w:eastAsia="Times New Roman"/>
                <w:color w:val="000000"/>
                <w:sz w:val="16"/>
                <w:szCs w:val="16"/>
              </w:rPr>
            </w:pPr>
            <w:r w:rsidRPr="00931FD3">
              <w:rPr>
                <w:iCs/>
                <w:sz w:val="16"/>
                <w:szCs w:val="16"/>
              </w:rPr>
              <w:t>(3)</w:t>
            </w:r>
          </w:p>
          <w:p w:rsidR="0073650E" w:rsidRPr="00931FD3" w:rsidRDefault="0073650E" w:rsidP="00F43FEC">
            <w:pPr>
              <w:jc w:val="center"/>
              <w:rPr>
                <w:iCs/>
                <w:color w:val="000000"/>
                <w:sz w:val="16"/>
                <w:szCs w:val="16"/>
              </w:rPr>
            </w:pPr>
            <w:r w:rsidRPr="00931FD3">
              <w:rPr>
                <w:rFonts w:eastAsia="Times New Roman"/>
                <w:color w:val="000000"/>
                <w:sz w:val="16"/>
                <w:szCs w:val="16"/>
              </w:rPr>
              <w:t>Multinational Firms</w:t>
            </w:r>
          </w:p>
        </w:tc>
        <w:tc>
          <w:tcPr>
            <w:tcW w:w="1266" w:type="dxa"/>
            <w:tcBorders>
              <w:left w:val="nil"/>
              <w:right w:val="nil"/>
            </w:tcBorders>
            <w:shd w:val="clear" w:color="auto" w:fill="auto"/>
            <w:tcMar>
              <w:top w:w="15" w:type="dxa"/>
              <w:left w:w="15" w:type="dxa"/>
              <w:bottom w:w="0" w:type="dxa"/>
              <w:right w:w="15" w:type="dxa"/>
            </w:tcMar>
            <w:vAlign w:val="center"/>
            <w:hideMark/>
          </w:tcPr>
          <w:p w:rsidR="0073650E" w:rsidRPr="00931FD3" w:rsidRDefault="0073650E" w:rsidP="00F43FEC">
            <w:pPr>
              <w:jc w:val="center"/>
              <w:rPr>
                <w:iCs/>
                <w:sz w:val="16"/>
                <w:szCs w:val="16"/>
              </w:rPr>
            </w:pPr>
            <w:r w:rsidRPr="00931FD3">
              <w:rPr>
                <w:iCs/>
                <w:sz w:val="16"/>
                <w:szCs w:val="16"/>
              </w:rPr>
              <w:t>(4)</w:t>
            </w:r>
          </w:p>
          <w:p w:rsidR="0073650E" w:rsidRPr="00931FD3" w:rsidRDefault="0073650E" w:rsidP="00F43FEC">
            <w:pPr>
              <w:jc w:val="center"/>
              <w:rPr>
                <w:iCs/>
                <w:color w:val="000000"/>
                <w:sz w:val="16"/>
                <w:szCs w:val="16"/>
              </w:rPr>
            </w:pPr>
            <w:r w:rsidRPr="00931FD3">
              <w:rPr>
                <w:rFonts w:eastAsia="Times New Roman"/>
                <w:color w:val="000000"/>
                <w:sz w:val="16"/>
                <w:szCs w:val="16"/>
              </w:rPr>
              <w:t>Domestic Firms</w:t>
            </w:r>
          </w:p>
        </w:tc>
        <w:tc>
          <w:tcPr>
            <w:tcW w:w="899" w:type="dxa"/>
            <w:gridSpan w:val="2"/>
            <w:tcBorders>
              <w:left w:val="nil"/>
              <w:right w:val="nil"/>
            </w:tcBorders>
            <w:shd w:val="clear" w:color="auto" w:fill="auto"/>
            <w:noWrap/>
            <w:tcMar>
              <w:top w:w="15" w:type="dxa"/>
              <w:left w:w="15" w:type="dxa"/>
              <w:bottom w:w="0" w:type="dxa"/>
              <w:right w:w="15" w:type="dxa"/>
            </w:tcMar>
            <w:vAlign w:val="center"/>
            <w:hideMark/>
          </w:tcPr>
          <w:p w:rsidR="0073650E" w:rsidRPr="00931FD3" w:rsidRDefault="0073650E" w:rsidP="00F43FEC">
            <w:pPr>
              <w:jc w:val="center"/>
              <w:rPr>
                <w:sz w:val="16"/>
                <w:szCs w:val="16"/>
              </w:rPr>
            </w:pPr>
            <w:r w:rsidRPr="00931FD3">
              <w:rPr>
                <w:sz w:val="16"/>
                <w:szCs w:val="16"/>
              </w:rPr>
              <w:t>(4)−(3)</w:t>
            </w:r>
          </w:p>
        </w:tc>
        <w:tc>
          <w:tcPr>
            <w:tcW w:w="1085" w:type="dxa"/>
            <w:tcBorders>
              <w:right w:val="nil"/>
            </w:tcBorders>
            <w:shd w:val="clear" w:color="auto" w:fill="auto"/>
            <w:noWrap/>
            <w:tcMar>
              <w:top w:w="15" w:type="dxa"/>
              <w:left w:w="15" w:type="dxa"/>
              <w:bottom w:w="0" w:type="dxa"/>
              <w:right w:w="15" w:type="dxa"/>
            </w:tcMar>
            <w:vAlign w:val="center"/>
            <w:hideMark/>
          </w:tcPr>
          <w:p w:rsidR="0073650E" w:rsidRPr="00931FD3" w:rsidRDefault="0073650E" w:rsidP="00F43FEC">
            <w:pPr>
              <w:jc w:val="center"/>
              <w:rPr>
                <w:rFonts w:eastAsia="Times New Roman"/>
                <w:color w:val="000000"/>
                <w:sz w:val="16"/>
                <w:szCs w:val="16"/>
              </w:rPr>
            </w:pPr>
            <w:r w:rsidRPr="00931FD3">
              <w:rPr>
                <w:iCs/>
                <w:sz w:val="16"/>
                <w:szCs w:val="16"/>
              </w:rPr>
              <w:t>(5)</w:t>
            </w:r>
          </w:p>
          <w:p w:rsidR="0073650E" w:rsidRPr="00931FD3" w:rsidRDefault="0073650E" w:rsidP="00F43FEC">
            <w:pPr>
              <w:jc w:val="center"/>
              <w:rPr>
                <w:i/>
                <w:iCs/>
                <w:color w:val="000000"/>
                <w:sz w:val="16"/>
                <w:szCs w:val="16"/>
              </w:rPr>
            </w:pPr>
            <w:r w:rsidRPr="00931FD3">
              <w:rPr>
                <w:rFonts w:eastAsia="Times New Roman"/>
                <w:color w:val="000000"/>
                <w:sz w:val="16"/>
                <w:szCs w:val="16"/>
              </w:rPr>
              <w:t>Multinational Firms</w:t>
            </w:r>
          </w:p>
        </w:tc>
        <w:tc>
          <w:tcPr>
            <w:tcW w:w="1100" w:type="dxa"/>
            <w:tcBorders>
              <w:left w:val="nil"/>
              <w:right w:val="nil"/>
            </w:tcBorders>
            <w:shd w:val="clear" w:color="auto" w:fill="auto"/>
            <w:tcMar>
              <w:top w:w="15" w:type="dxa"/>
              <w:left w:w="15" w:type="dxa"/>
              <w:bottom w:w="0" w:type="dxa"/>
              <w:right w:w="15" w:type="dxa"/>
            </w:tcMar>
            <w:vAlign w:val="center"/>
            <w:hideMark/>
          </w:tcPr>
          <w:p w:rsidR="0073650E" w:rsidRPr="00931FD3" w:rsidRDefault="0073650E" w:rsidP="00F43FEC">
            <w:pPr>
              <w:jc w:val="center"/>
              <w:rPr>
                <w:iCs/>
                <w:sz w:val="16"/>
                <w:szCs w:val="16"/>
              </w:rPr>
            </w:pPr>
            <w:r w:rsidRPr="00931FD3">
              <w:rPr>
                <w:iCs/>
                <w:sz w:val="16"/>
                <w:szCs w:val="16"/>
              </w:rPr>
              <w:t>(6)</w:t>
            </w:r>
          </w:p>
          <w:p w:rsidR="0073650E" w:rsidRPr="00931FD3" w:rsidRDefault="0073650E" w:rsidP="00F43FEC">
            <w:pPr>
              <w:jc w:val="center"/>
              <w:rPr>
                <w:iCs/>
                <w:color w:val="000000"/>
                <w:sz w:val="16"/>
                <w:szCs w:val="16"/>
              </w:rPr>
            </w:pPr>
            <w:r w:rsidRPr="00931FD3">
              <w:rPr>
                <w:rFonts w:eastAsia="Times New Roman"/>
                <w:color w:val="000000"/>
                <w:sz w:val="16"/>
                <w:szCs w:val="16"/>
              </w:rPr>
              <w:t>Domestic Firms</w:t>
            </w:r>
          </w:p>
        </w:tc>
        <w:tc>
          <w:tcPr>
            <w:tcW w:w="754" w:type="dxa"/>
            <w:tcBorders>
              <w:left w:val="nil"/>
              <w:right w:val="nil"/>
            </w:tcBorders>
            <w:shd w:val="clear" w:color="auto" w:fill="auto"/>
            <w:noWrap/>
            <w:tcMar>
              <w:top w:w="15" w:type="dxa"/>
              <w:left w:w="15" w:type="dxa"/>
              <w:bottom w:w="0" w:type="dxa"/>
              <w:right w:w="15" w:type="dxa"/>
            </w:tcMar>
            <w:vAlign w:val="center"/>
            <w:hideMark/>
          </w:tcPr>
          <w:p w:rsidR="0073650E" w:rsidRPr="00931FD3" w:rsidRDefault="0073650E" w:rsidP="00F43FEC">
            <w:pPr>
              <w:jc w:val="center"/>
              <w:rPr>
                <w:sz w:val="16"/>
                <w:szCs w:val="16"/>
              </w:rPr>
            </w:pPr>
            <w:r w:rsidRPr="00931FD3">
              <w:rPr>
                <w:sz w:val="16"/>
                <w:szCs w:val="16"/>
              </w:rPr>
              <w:t>(6)−(5)</w:t>
            </w:r>
          </w:p>
        </w:tc>
      </w:tr>
      <w:tr w:rsidR="005E29D0" w:rsidRPr="004943A9" w:rsidTr="008010EB">
        <w:trPr>
          <w:trHeight w:val="252"/>
          <w:jc w:val="center"/>
        </w:trPr>
        <w:tc>
          <w:tcPr>
            <w:tcW w:w="1951" w:type="dxa"/>
            <w:tcBorders>
              <w:top w:val="single" w:sz="4" w:space="0" w:color="auto"/>
              <w:left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r w:rsidRPr="00931FD3">
              <w:rPr>
                <w:i/>
                <w:iCs/>
                <w:sz w:val="16"/>
                <w:szCs w:val="16"/>
              </w:rPr>
              <w:t>H_</w:t>
            </w:r>
            <w:r w:rsidRPr="00931FD3">
              <w:rPr>
                <w:i/>
                <w:iCs/>
                <w:color w:val="000000"/>
                <w:sz w:val="16"/>
                <w:szCs w:val="16"/>
              </w:rPr>
              <w:t>P_EQmsw</w:t>
            </w:r>
            <w:r w:rsidRPr="00931FD3">
              <w:rPr>
                <w:i/>
                <w:iCs/>
                <w:sz w:val="16"/>
                <w:szCs w:val="16"/>
              </w:rPr>
              <w:t>×MKTRF</w:t>
            </w:r>
          </w:p>
        </w:tc>
        <w:tc>
          <w:tcPr>
            <w:tcW w:w="1034" w:type="dxa"/>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−0.106***</w:t>
            </w:r>
          </w:p>
        </w:tc>
        <w:tc>
          <w:tcPr>
            <w:tcW w:w="966" w:type="dxa"/>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−0.159***</w:t>
            </w:r>
          </w:p>
        </w:tc>
        <w:tc>
          <w:tcPr>
            <w:tcW w:w="785" w:type="dxa"/>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73650E" w:rsidP="008010EB">
            <w:pPr>
              <w:widowControl/>
              <w:overflowPunct/>
              <w:autoSpaceDE/>
              <w:autoSpaceDN/>
              <w:adjustRightInd/>
              <w:jc w:val="center"/>
              <w:rPr>
                <w:rFonts w:eastAsia="Times New Roman"/>
                <w:kern w:val="0"/>
                <w:sz w:val="16"/>
                <w:szCs w:val="16"/>
              </w:rPr>
            </w:pPr>
            <w:r w:rsidRPr="00931FD3">
              <w:rPr>
                <w:sz w:val="16"/>
                <w:szCs w:val="16"/>
              </w:rPr>
              <w:t>−</w:t>
            </w:r>
            <w:r w:rsidR="005E29D0" w:rsidRPr="00931FD3">
              <w:rPr>
                <w:sz w:val="16"/>
                <w:szCs w:val="16"/>
              </w:rPr>
              <w:t>0.05</w:t>
            </w:r>
          </w:p>
        </w:tc>
        <w:tc>
          <w:tcPr>
            <w:tcW w:w="968" w:type="dxa"/>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H_ P_EQ</w:t>
            </w:r>
            <w:r w:rsidR="00E57265" w:rsidRPr="00931FD3">
              <w:rPr>
                <w:i/>
                <w:iCs/>
                <w:color w:val="000000"/>
                <w:sz w:val="16"/>
                <w:szCs w:val="16"/>
              </w:rPr>
              <w:t>msw</w:t>
            </w:r>
          </w:p>
        </w:tc>
        <w:tc>
          <w:tcPr>
            <w:tcW w:w="1248" w:type="dxa"/>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−0.001</w:t>
            </w:r>
          </w:p>
        </w:tc>
        <w:tc>
          <w:tcPr>
            <w:tcW w:w="1266" w:type="dxa"/>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−0.006**</w:t>
            </w:r>
          </w:p>
        </w:tc>
        <w:tc>
          <w:tcPr>
            <w:tcW w:w="899" w:type="dxa"/>
            <w:gridSpan w:val="2"/>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73650E" w:rsidP="008010EB">
            <w:pPr>
              <w:widowControl/>
              <w:overflowPunct/>
              <w:autoSpaceDE/>
              <w:autoSpaceDN/>
              <w:adjustRightInd/>
              <w:jc w:val="center"/>
              <w:rPr>
                <w:sz w:val="16"/>
                <w:szCs w:val="16"/>
              </w:rPr>
            </w:pPr>
            <w:r w:rsidRPr="00931FD3">
              <w:rPr>
                <w:sz w:val="16"/>
                <w:szCs w:val="16"/>
              </w:rPr>
              <w:t>−</w:t>
            </w:r>
            <w:r w:rsidR="005E29D0" w:rsidRPr="00931FD3">
              <w:rPr>
                <w:sz w:val="16"/>
                <w:szCs w:val="16"/>
              </w:rPr>
              <w:t>0.005</w:t>
            </w:r>
          </w:p>
        </w:tc>
        <w:tc>
          <w:tcPr>
            <w:tcW w:w="1085" w:type="dxa"/>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−0.001</w:t>
            </w:r>
          </w:p>
        </w:tc>
        <w:tc>
          <w:tcPr>
            <w:tcW w:w="1100" w:type="dxa"/>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−0.005***</w:t>
            </w:r>
          </w:p>
        </w:tc>
        <w:tc>
          <w:tcPr>
            <w:tcW w:w="754" w:type="dxa"/>
            <w:tcBorders>
              <w:top w:val="single" w:sz="4" w:space="0" w:color="auto"/>
              <w:bottom w:val="nil"/>
            </w:tcBorders>
            <w:shd w:val="clear" w:color="auto" w:fill="auto"/>
            <w:noWrap/>
            <w:tcMar>
              <w:top w:w="15" w:type="dxa"/>
              <w:left w:w="15" w:type="dxa"/>
              <w:bottom w:w="0" w:type="dxa"/>
              <w:right w:w="15" w:type="dxa"/>
            </w:tcMar>
            <w:hideMark/>
          </w:tcPr>
          <w:p w:rsidR="005E29D0" w:rsidRPr="00931FD3" w:rsidRDefault="0073650E" w:rsidP="008010EB">
            <w:pPr>
              <w:widowControl/>
              <w:overflowPunct/>
              <w:autoSpaceDE/>
              <w:autoSpaceDN/>
              <w:adjustRightInd/>
              <w:jc w:val="center"/>
              <w:rPr>
                <w:sz w:val="16"/>
                <w:szCs w:val="16"/>
              </w:rPr>
            </w:pPr>
            <w:r w:rsidRPr="00931FD3">
              <w:rPr>
                <w:sz w:val="16"/>
                <w:szCs w:val="16"/>
              </w:rPr>
              <w:t>−</w:t>
            </w:r>
            <w:r w:rsidR="005E29D0" w:rsidRPr="00931FD3">
              <w:rPr>
                <w:sz w:val="16"/>
                <w:szCs w:val="16"/>
              </w:rPr>
              <w:t>0.004</w:t>
            </w:r>
          </w:p>
        </w:tc>
      </w:tr>
      <w:tr w:rsidR="005E29D0" w:rsidRPr="004943A9" w:rsidTr="008010EB">
        <w:trPr>
          <w:trHeight w:val="252"/>
          <w:jc w:val="center"/>
        </w:trPr>
        <w:tc>
          <w:tcPr>
            <w:tcW w:w="1951" w:type="dxa"/>
            <w:tcBorders>
              <w:top w:val="nil"/>
              <w:left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(−4.21)</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(−7.22)</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[2.24]</w:t>
            </w: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(−0.59)</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(−2.20)</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[2.20]</w:t>
            </w: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(−1.10)</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(−5.01)</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[4.19]</w:t>
            </w:r>
          </w:p>
        </w:tc>
      </w:tr>
      <w:tr w:rsidR="005E29D0" w:rsidRPr="004943A9" w:rsidTr="008010EB">
        <w:trPr>
          <w:trHeight w:val="238"/>
          <w:jc w:val="center"/>
        </w:trPr>
        <w:tc>
          <w:tcPr>
            <w:tcW w:w="1951" w:type="dxa"/>
            <w:tcBorders>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r w:rsidRPr="00931FD3">
              <w:rPr>
                <w:i/>
                <w:iCs/>
                <w:sz w:val="16"/>
                <w:szCs w:val="16"/>
              </w:rPr>
              <w:t>H_EQ×MKTRF</w:t>
            </w: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−0.158***</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−0.141***</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H_ EQ</w:t>
            </w: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−0.011***</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−0.017***</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−0.003***</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−0.006***</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right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(−6.94)</w:t>
            </w:r>
          </w:p>
        </w:tc>
        <w:tc>
          <w:tcPr>
            <w:tcW w:w="9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(−6.59)</w:t>
            </w:r>
          </w:p>
        </w:tc>
        <w:tc>
          <w:tcPr>
            <w:tcW w:w="7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p>
        </w:tc>
        <w:tc>
          <w:tcPr>
            <w:tcW w:w="124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(−5.48)</w:t>
            </w:r>
          </w:p>
        </w:tc>
        <w:tc>
          <w:tcPr>
            <w:tcW w:w="12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(−6.05)</w:t>
            </w:r>
          </w:p>
        </w:tc>
        <w:tc>
          <w:tcPr>
            <w:tcW w:w="899" w:type="dxa"/>
            <w:gridSpan w:val="2"/>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(−2.92)</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(−6.06)</w:t>
            </w:r>
          </w:p>
        </w:tc>
        <w:tc>
          <w:tcPr>
            <w:tcW w:w="75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roofErr w:type="spellStart"/>
            <w:r w:rsidRPr="00931FD3">
              <w:rPr>
                <w:i/>
                <w:iCs/>
                <w:sz w:val="16"/>
                <w:szCs w:val="16"/>
              </w:rPr>
              <w:t>Lev×MKTRF</w:t>
            </w:r>
            <w:proofErr w:type="spellEnd"/>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0.107</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−0.027</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BM</w:t>
            </w: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0.021***</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0.013***</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0.012***</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0.015***</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right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(1.54)</w:t>
            </w:r>
          </w:p>
        </w:tc>
        <w:tc>
          <w:tcPr>
            <w:tcW w:w="9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(−0.56)</w:t>
            </w:r>
          </w:p>
        </w:tc>
        <w:tc>
          <w:tcPr>
            <w:tcW w:w="7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p>
        </w:tc>
        <w:tc>
          <w:tcPr>
            <w:tcW w:w="124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(10.96)</w:t>
            </w:r>
          </w:p>
        </w:tc>
        <w:tc>
          <w:tcPr>
            <w:tcW w:w="12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(6.51)</w:t>
            </w:r>
          </w:p>
        </w:tc>
        <w:tc>
          <w:tcPr>
            <w:tcW w:w="899" w:type="dxa"/>
            <w:gridSpan w:val="2"/>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(13.02)</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(18.19)</w:t>
            </w:r>
          </w:p>
        </w:tc>
        <w:tc>
          <w:tcPr>
            <w:tcW w:w="75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r w:rsidRPr="00931FD3">
              <w:rPr>
                <w:i/>
                <w:iCs/>
                <w:sz w:val="16"/>
                <w:szCs w:val="16"/>
              </w:rPr>
              <w:t>LnMV×MKTRF</w:t>
            </w: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0.023***</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0.022***</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Lev</w:t>
            </w: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0.052***</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0.043***</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0.029***</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0.028***</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right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(3.13)</w:t>
            </w:r>
          </w:p>
        </w:tc>
        <w:tc>
          <w:tcPr>
            <w:tcW w:w="9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(4.09)</w:t>
            </w:r>
          </w:p>
        </w:tc>
        <w:tc>
          <w:tcPr>
            <w:tcW w:w="7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p>
        </w:tc>
        <w:tc>
          <w:tcPr>
            <w:tcW w:w="124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(8.32)</w:t>
            </w:r>
          </w:p>
        </w:tc>
        <w:tc>
          <w:tcPr>
            <w:tcW w:w="12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(6.13)</w:t>
            </w:r>
          </w:p>
        </w:tc>
        <w:tc>
          <w:tcPr>
            <w:tcW w:w="899" w:type="dxa"/>
            <w:gridSpan w:val="2"/>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(9.98)</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(11.28)</w:t>
            </w:r>
          </w:p>
        </w:tc>
        <w:tc>
          <w:tcPr>
            <w:tcW w:w="75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93"/>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r w:rsidRPr="00931FD3">
              <w:rPr>
                <w:i/>
                <w:iCs/>
                <w:sz w:val="16"/>
                <w:szCs w:val="16"/>
              </w:rPr>
              <w:t>STD_CFO×MKTRF</w:t>
            </w: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1.919***</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1.718***</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LnMV</w:t>
            </w: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−0.009***</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−0.014***</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−0.000</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0.002***</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right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(6.06)</w:t>
            </w:r>
          </w:p>
        </w:tc>
        <w:tc>
          <w:tcPr>
            <w:tcW w:w="9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(8.57)</w:t>
            </w:r>
          </w:p>
        </w:tc>
        <w:tc>
          <w:tcPr>
            <w:tcW w:w="7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p>
        </w:tc>
        <w:tc>
          <w:tcPr>
            <w:tcW w:w="124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(−12.35)</w:t>
            </w:r>
          </w:p>
        </w:tc>
        <w:tc>
          <w:tcPr>
            <w:tcW w:w="12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(−15.98)</w:t>
            </w:r>
          </w:p>
        </w:tc>
        <w:tc>
          <w:tcPr>
            <w:tcW w:w="899" w:type="dxa"/>
            <w:gridSpan w:val="2"/>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(−0.59)</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(8.09)</w:t>
            </w:r>
          </w:p>
        </w:tc>
        <w:tc>
          <w:tcPr>
            <w:tcW w:w="75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r w:rsidRPr="00931FD3">
              <w:rPr>
                <w:i/>
                <w:iCs/>
                <w:sz w:val="16"/>
                <w:szCs w:val="16"/>
              </w:rPr>
              <w:t>CFO×MKTRF</w:t>
            </w: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−0.803***</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−0.862***</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STD_CFO</w:t>
            </w: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0.337***</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0.363***</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0.079***</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0.119***</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(−6.52)</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(−12.20)</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(10.24)</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(10.31)</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(5.41)</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(10.30)</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r w:rsidRPr="00931FD3">
              <w:rPr>
                <w:i/>
                <w:iCs/>
                <w:sz w:val="16"/>
                <w:szCs w:val="16"/>
              </w:rPr>
              <w:t>BM×MKTRF</w:t>
            </w: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0.035*</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−0.045***</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CFO</w:t>
            </w: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−0.133***</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−0.191***</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0.063***</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0.035***</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right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(1.82)</w:t>
            </w:r>
          </w:p>
        </w:tc>
        <w:tc>
          <w:tcPr>
            <w:tcW w:w="9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(−3.34)</w:t>
            </w:r>
          </w:p>
        </w:tc>
        <w:tc>
          <w:tcPr>
            <w:tcW w:w="7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p>
        </w:tc>
        <w:tc>
          <w:tcPr>
            <w:tcW w:w="124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(−8.78)</w:t>
            </w:r>
          </w:p>
        </w:tc>
        <w:tc>
          <w:tcPr>
            <w:tcW w:w="12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(−16.38)</w:t>
            </w:r>
          </w:p>
        </w:tc>
        <w:tc>
          <w:tcPr>
            <w:tcW w:w="899" w:type="dxa"/>
            <w:gridSpan w:val="2"/>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(8.77)</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(7.13)</w:t>
            </w:r>
          </w:p>
        </w:tc>
        <w:tc>
          <w:tcPr>
            <w:tcW w:w="75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r w:rsidRPr="00931FD3">
              <w:rPr>
                <w:i/>
                <w:iCs/>
                <w:sz w:val="16"/>
                <w:szCs w:val="16"/>
              </w:rPr>
              <w:t>MKTRF</w:t>
            </w: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0.686***</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0.531***</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Growth</w:t>
            </w: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0.013***</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0.011***</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right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(11.77)</w:t>
            </w:r>
          </w:p>
        </w:tc>
        <w:tc>
          <w:tcPr>
            <w:tcW w:w="9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(13.79)</w:t>
            </w:r>
          </w:p>
        </w:tc>
        <w:tc>
          <w:tcPr>
            <w:tcW w:w="7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p>
        </w:tc>
        <w:tc>
          <w:tcPr>
            <w:tcW w:w="124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2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899" w:type="dxa"/>
            <w:gridSpan w:val="2"/>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(6.52)</w:t>
            </w: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(6.42)</w:t>
            </w:r>
          </w:p>
        </w:tc>
        <w:tc>
          <w:tcPr>
            <w:tcW w:w="75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r w:rsidRPr="00931FD3">
              <w:rPr>
                <w:i/>
                <w:iCs/>
                <w:sz w:val="16"/>
                <w:szCs w:val="16"/>
              </w:rPr>
              <w:t>H_EQ</w:t>
            </w: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−0.000</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−0.001*</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i/>
                <w:kern w:val="0"/>
                <w:sz w:val="16"/>
                <w:szCs w:val="16"/>
              </w:rPr>
            </w:pPr>
            <w:r w:rsidRPr="00931FD3">
              <w:rPr>
                <w:rFonts w:eastAsia="Times New Roman"/>
                <w:i/>
                <w:kern w:val="0"/>
                <w:sz w:val="16"/>
                <w:szCs w:val="16"/>
              </w:rPr>
              <w:t>Intercept</w:t>
            </w: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0.179***</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0.203***</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−0.014***</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−0.030***</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(−0.21)</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(−1.81)</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kern w:val="0"/>
                <w:sz w:val="16"/>
                <w:szCs w:val="16"/>
              </w:rPr>
            </w:pP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(28.56)</w:t>
            </w: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(29.74)</w:t>
            </w: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(−4.63)</w:t>
            </w: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(−12.46)</w:t>
            </w: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r w:rsidRPr="00931FD3">
              <w:rPr>
                <w:i/>
                <w:iCs/>
                <w:sz w:val="16"/>
                <w:szCs w:val="16"/>
              </w:rPr>
              <w:t>H_</w:t>
            </w:r>
            <w:r w:rsidRPr="00931FD3">
              <w:rPr>
                <w:i/>
                <w:iCs/>
                <w:color w:val="000000"/>
                <w:sz w:val="16"/>
                <w:szCs w:val="16"/>
              </w:rPr>
              <w:t xml:space="preserve"> P_EQmsw</w:t>
            </w:r>
          </w:p>
        </w:tc>
        <w:tc>
          <w:tcPr>
            <w:tcW w:w="103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0.003***</w:t>
            </w:r>
          </w:p>
        </w:tc>
        <w:tc>
          <w:tcPr>
            <w:tcW w:w="9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0.004***</w:t>
            </w:r>
          </w:p>
        </w:tc>
        <w:tc>
          <w:tcPr>
            <w:tcW w:w="7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kern w:val="0"/>
                <w:sz w:val="16"/>
                <w:szCs w:val="16"/>
              </w:rPr>
            </w:pPr>
          </w:p>
        </w:tc>
        <w:tc>
          <w:tcPr>
            <w:tcW w:w="1248"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266"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899" w:type="dxa"/>
            <w:gridSpan w:val="2"/>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100"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754" w:type="dxa"/>
            <w:tcBorders>
              <w:top w:val="nil"/>
              <w:bottom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bottom w:val="nil"/>
              <w:right w:val="nil"/>
            </w:tcBorders>
            <w:shd w:val="clear" w:color="auto" w:fill="auto"/>
            <w:tcMar>
              <w:top w:w="15" w:type="dxa"/>
              <w:left w:w="15" w:type="dxa"/>
              <w:bottom w:w="0" w:type="dxa"/>
              <w:right w:w="15" w:type="dxa"/>
            </w:tcMar>
            <w:hideMark/>
          </w:tcPr>
          <w:p w:rsidR="005E29D0" w:rsidRPr="00931FD3" w:rsidRDefault="005E29D0" w:rsidP="008010EB">
            <w:pPr>
              <w:rPr>
                <w:i/>
                <w:iCs/>
                <w:sz w:val="16"/>
                <w:szCs w:val="16"/>
              </w:rPr>
            </w:pPr>
          </w:p>
        </w:tc>
        <w:tc>
          <w:tcPr>
            <w:tcW w:w="103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(4.14)</w:t>
            </w:r>
          </w:p>
        </w:tc>
        <w:tc>
          <w:tcPr>
            <w:tcW w:w="9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(5.07)</w:t>
            </w:r>
          </w:p>
        </w:tc>
        <w:tc>
          <w:tcPr>
            <w:tcW w:w="7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106453">
            <w:pPr>
              <w:widowControl/>
              <w:overflowPunct/>
              <w:autoSpaceDE/>
              <w:autoSpaceDN/>
              <w:adjustRightInd/>
              <w:rPr>
                <w:rFonts w:eastAsia="Times New Roman"/>
                <w:kern w:val="0"/>
                <w:sz w:val="16"/>
                <w:szCs w:val="16"/>
              </w:rPr>
            </w:pPr>
          </w:p>
        </w:tc>
        <w:tc>
          <w:tcPr>
            <w:tcW w:w="1248"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266"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899" w:type="dxa"/>
            <w:gridSpan w:val="2"/>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100"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754" w:type="dxa"/>
            <w:tcBorders>
              <w:top w:val="nil"/>
              <w:left w:val="nil"/>
              <w:bottom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left w:val="nil"/>
              <w:right w:val="nil"/>
            </w:tcBorders>
            <w:shd w:val="clear" w:color="auto" w:fill="auto"/>
            <w:tcMar>
              <w:top w:w="15" w:type="dxa"/>
              <w:left w:w="15" w:type="dxa"/>
              <w:bottom w:w="0" w:type="dxa"/>
              <w:right w:w="15" w:type="dxa"/>
            </w:tcMar>
            <w:vAlign w:val="center"/>
            <w:hideMark/>
          </w:tcPr>
          <w:p w:rsidR="005E29D0" w:rsidRPr="00931FD3" w:rsidRDefault="005E29D0" w:rsidP="008010EB">
            <w:pPr>
              <w:rPr>
                <w:sz w:val="16"/>
                <w:szCs w:val="16"/>
              </w:rPr>
            </w:pPr>
            <w:r w:rsidRPr="00931FD3">
              <w:rPr>
                <w:sz w:val="16"/>
                <w:szCs w:val="16"/>
              </w:rPr>
              <w:t>Other Variables</w:t>
            </w:r>
          </w:p>
        </w:tc>
        <w:tc>
          <w:tcPr>
            <w:tcW w:w="1034" w:type="dxa"/>
            <w:tcBorders>
              <w:top w:val="nil"/>
              <w:left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YES</w:t>
            </w:r>
          </w:p>
        </w:tc>
        <w:tc>
          <w:tcPr>
            <w:tcW w:w="966" w:type="dxa"/>
            <w:tcBorders>
              <w:top w:val="nil"/>
              <w:left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YES</w:t>
            </w:r>
          </w:p>
        </w:tc>
        <w:tc>
          <w:tcPr>
            <w:tcW w:w="785" w:type="dxa"/>
            <w:tcBorders>
              <w:top w:val="nil"/>
              <w:left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left w:val="nil"/>
              <w:right w:val="nil"/>
            </w:tcBorders>
            <w:shd w:val="clear" w:color="auto" w:fill="auto"/>
            <w:noWrap/>
            <w:tcMar>
              <w:top w:w="15" w:type="dxa"/>
              <w:left w:w="15" w:type="dxa"/>
              <w:bottom w:w="0" w:type="dxa"/>
              <w:right w:w="15" w:type="dxa"/>
            </w:tcMar>
            <w:vAlign w:val="bottom"/>
            <w:hideMark/>
          </w:tcPr>
          <w:p w:rsidR="005E29D0" w:rsidRPr="00931FD3" w:rsidRDefault="005E29D0" w:rsidP="00106453">
            <w:pPr>
              <w:widowControl/>
              <w:overflowPunct/>
              <w:autoSpaceDE/>
              <w:autoSpaceDN/>
              <w:adjustRightInd/>
              <w:rPr>
                <w:rFonts w:eastAsia="Times New Roman"/>
                <w:kern w:val="0"/>
                <w:sz w:val="16"/>
                <w:szCs w:val="16"/>
              </w:rPr>
            </w:pPr>
          </w:p>
        </w:tc>
        <w:tc>
          <w:tcPr>
            <w:tcW w:w="1248" w:type="dxa"/>
            <w:tcBorders>
              <w:top w:val="nil"/>
              <w:left w:val="nil"/>
              <w:right w:val="nil"/>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sz w:val="16"/>
                <w:szCs w:val="16"/>
              </w:rPr>
            </w:pPr>
          </w:p>
        </w:tc>
        <w:tc>
          <w:tcPr>
            <w:tcW w:w="1266" w:type="dxa"/>
            <w:tcBorders>
              <w:top w:val="nil"/>
              <w:left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899" w:type="dxa"/>
            <w:gridSpan w:val="2"/>
            <w:tcBorders>
              <w:top w:val="nil"/>
              <w:left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left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100" w:type="dxa"/>
            <w:tcBorders>
              <w:top w:val="nil"/>
              <w:left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754" w:type="dxa"/>
            <w:tcBorders>
              <w:top w:val="nil"/>
              <w:left w:val="nil"/>
              <w:right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top w:val="nil"/>
            </w:tcBorders>
            <w:shd w:val="clear" w:color="auto" w:fill="auto"/>
            <w:noWrap/>
            <w:tcMar>
              <w:top w:w="15" w:type="dxa"/>
              <w:left w:w="15" w:type="dxa"/>
              <w:bottom w:w="0" w:type="dxa"/>
              <w:right w:w="15" w:type="dxa"/>
            </w:tcMar>
            <w:vAlign w:val="center"/>
            <w:hideMark/>
          </w:tcPr>
          <w:p w:rsidR="005E29D0" w:rsidRPr="00931FD3" w:rsidRDefault="005E29D0" w:rsidP="008010EB">
            <w:pPr>
              <w:rPr>
                <w:sz w:val="16"/>
                <w:szCs w:val="16"/>
              </w:rPr>
            </w:pPr>
            <w:r w:rsidRPr="00931FD3">
              <w:rPr>
                <w:sz w:val="16"/>
                <w:szCs w:val="16"/>
              </w:rPr>
              <w:t>R-square</w:t>
            </w:r>
          </w:p>
        </w:tc>
        <w:tc>
          <w:tcPr>
            <w:tcW w:w="1034" w:type="dxa"/>
            <w:tcBorders>
              <w:top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0.1600</w:t>
            </w:r>
          </w:p>
        </w:tc>
        <w:tc>
          <w:tcPr>
            <w:tcW w:w="966" w:type="dxa"/>
            <w:tcBorders>
              <w:top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0.09147</w:t>
            </w:r>
          </w:p>
        </w:tc>
        <w:tc>
          <w:tcPr>
            <w:tcW w:w="785" w:type="dxa"/>
            <w:tcBorders>
              <w:top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top w:val="nil"/>
            </w:tcBorders>
            <w:shd w:val="clear" w:color="auto" w:fill="auto"/>
            <w:noWrap/>
            <w:tcMar>
              <w:top w:w="15" w:type="dxa"/>
              <w:left w:w="15" w:type="dxa"/>
              <w:bottom w:w="0" w:type="dxa"/>
              <w:right w:w="15" w:type="dxa"/>
            </w:tcMar>
            <w:vAlign w:val="center"/>
            <w:hideMark/>
          </w:tcPr>
          <w:p w:rsidR="005E29D0" w:rsidRPr="00931FD3" w:rsidRDefault="005E29D0" w:rsidP="00106453">
            <w:pPr>
              <w:widowControl/>
              <w:overflowPunct/>
              <w:autoSpaceDE/>
              <w:autoSpaceDN/>
              <w:adjustRightInd/>
              <w:rPr>
                <w:rFonts w:eastAsia="Times New Roman"/>
                <w:kern w:val="0"/>
                <w:sz w:val="16"/>
                <w:szCs w:val="16"/>
              </w:rPr>
            </w:pPr>
            <w:r w:rsidRPr="00931FD3">
              <w:rPr>
                <w:rFonts w:eastAsia="Times New Roman"/>
                <w:kern w:val="0"/>
                <w:sz w:val="16"/>
                <w:szCs w:val="16"/>
              </w:rPr>
              <w:t>R-square</w:t>
            </w:r>
          </w:p>
        </w:tc>
        <w:tc>
          <w:tcPr>
            <w:tcW w:w="1248" w:type="dxa"/>
            <w:tcBorders>
              <w:top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0.2319</w:t>
            </w:r>
          </w:p>
        </w:tc>
        <w:tc>
          <w:tcPr>
            <w:tcW w:w="1266" w:type="dxa"/>
            <w:tcBorders>
              <w:top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0.2800</w:t>
            </w:r>
          </w:p>
        </w:tc>
        <w:tc>
          <w:tcPr>
            <w:tcW w:w="899" w:type="dxa"/>
            <w:gridSpan w:val="2"/>
            <w:tcBorders>
              <w:top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c>
          <w:tcPr>
            <w:tcW w:w="1085" w:type="dxa"/>
            <w:tcBorders>
              <w:top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0.04049</w:t>
            </w:r>
          </w:p>
        </w:tc>
        <w:tc>
          <w:tcPr>
            <w:tcW w:w="1100" w:type="dxa"/>
            <w:tcBorders>
              <w:top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r w:rsidRPr="00931FD3">
              <w:rPr>
                <w:sz w:val="16"/>
                <w:szCs w:val="16"/>
              </w:rPr>
              <w:t>0.03868</w:t>
            </w:r>
          </w:p>
        </w:tc>
        <w:tc>
          <w:tcPr>
            <w:tcW w:w="754" w:type="dxa"/>
            <w:tcBorders>
              <w:top w:val="nil"/>
            </w:tcBorders>
            <w:shd w:val="clear" w:color="auto" w:fill="auto"/>
            <w:noWrap/>
            <w:tcMar>
              <w:top w:w="15" w:type="dxa"/>
              <w:left w:w="15" w:type="dxa"/>
              <w:bottom w:w="0" w:type="dxa"/>
              <w:right w:w="15" w:type="dxa"/>
            </w:tcMar>
            <w:hideMark/>
          </w:tcPr>
          <w:p w:rsidR="005E29D0" w:rsidRPr="00931FD3" w:rsidRDefault="005E29D0" w:rsidP="008010EB">
            <w:pPr>
              <w:widowControl/>
              <w:overflowPunct/>
              <w:autoSpaceDE/>
              <w:autoSpaceDN/>
              <w:adjustRightInd/>
              <w:jc w:val="center"/>
              <w:rPr>
                <w:sz w:val="16"/>
                <w:szCs w:val="16"/>
              </w:rPr>
            </w:pPr>
          </w:p>
        </w:tc>
      </w:tr>
      <w:tr w:rsidR="005E29D0" w:rsidRPr="004943A9" w:rsidTr="008010EB">
        <w:trPr>
          <w:trHeight w:val="238"/>
          <w:jc w:val="center"/>
        </w:trPr>
        <w:tc>
          <w:tcPr>
            <w:tcW w:w="1951" w:type="dxa"/>
            <w:tcBorders>
              <w:bottom w:val="single" w:sz="4" w:space="0" w:color="auto"/>
            </w:tcBorders>
            <w:shd w:val="clear" w:color="auto" w:fill="auto"/>
            <w:noWrap/>
            <w:tcMar>
              <w:top w:w="15" w:type="dxa"/>
              <w:left w:w="15" w:type="dxa"/>
              <w:bottom w:w="0" w:type="dxa"/>
              <w:right w:w="15" w:type="dxa"/>
            </w:tcMar>
            <w:vAlign w:val="center"/>
            <w:hideMark/>
          </w:tcPr>
          <w:p w:rsidR="005E29D0" w:rsidRPr="00931FD3" w:rsidRDefault="005E29D0" w:rsidP="008010EB">
            <w:pPr>
              <w:rPr>
                <w:sz w:val="16"/>
                <w:szCs w:val="16"/>
              </w:rPr>
            </w:pPr>
            <w:r w:rsidRPr="00931FD3">
              <w:rPr>
                <w:sz w:val="16"/>
                <w:szCs w:val="16"/>
              </w:rPr>
              <w:t>N</w:t>
            </w:r>
          </w:p>
        </w:tc>
        <w:tc>
          <w:tcPr>
            <w:tcW w:w="1034" w:type="dxa"/>
            <w:tcBorders>
              <w:bottom w:val="single" w:sz="4" w:space="0" w:color="auto"/>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374,420</w:t>
            </w:r>
          </w:p>
        </w:tc>
        <w:tc>
          <w:tcPr>
            <w:tcW w:w="966" w:type="dxa"/>
            <w:tcBorders>
              <w:bottom w:val="single" w:sz="4" w:space="0" w:color="auto"/>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rFonts w:eastAsia="Times New Roman"/>
                <w:kern w:val="0"/>
                <w:sz w:val="16"/>
                <w:szCs w:val="16"/>
              </w:rPr>
            </w:pPr>
            <w:r w:rsidRPr="00931FD3">
              <w:rPr>
                <w:sz w:val="16"/>
                <w:szCs w:val="16"/>
              </w:rPr>
              <w:t>219,308</w:t>
            </w:r>
          </w:p>
        </w:tc>
        <w:tc>
          <w:tcPr>
            <w:tcW w:w="785" w:type="dxa"/>
            <w:tcBorders>
              <w:bottom w:val="single" w:sz="4" w:space="0" w:color="auto"/>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rFonts w:eastAsia="Times New Roman"/>
                <w:kern w:val="0"/>
                <w:sz w:val="16"/>
                <w:szCs w:val="16"/>
              </w:rPr>
            </w:pPr>
          </w:p>
        </w:tc>
        <w:tc>
          <w:tcPr>
            <w:tcW w:w="968" w:type="dxa"/>
            <w:tcBorders>
              <w:bottom w:val="single" w:sz="4" w:space="0" w:color="auto"/>
            </w:tcBorders>
            <w:shd w:val="clear" w:color="auto" w:fill="auto"/>
            <w:noWrap/>
            <w:tcMar>
              <w:top w:w="15" w:type="dxa"/>
              <w:left w:w="15" w:type="dxa"/>
              <w:bottom w:w="0" w:type="dxa"/>
              <w:right w:w="15" w:type="dxa"/>
            </w:tcMar>
            <w:vAlign w:val="center"/>
          </w:tcPr>
          <w:p w:rsidR="005E29D0" w:rsidRPr="00931FD3" w:rsidRDefault="005E29D0" w:rsidP="00106453">
            <w:pPr>
              <w:widowControl/>
              <w:overflowPunct/>
              <w:autoSpaceDE/>
              <w:autoSpaceDN/>
              <w:adjustRightInd/>
              <w:rPr>
                <w:rFonts w:eastAsia="Times New Roman"/>
                <w:kern w:val="0"/>
                <w:sz w:val="16"/>
                <w:szCs w:val="16"/>
              </w:rPr>
            </w:pPr>
            <w:r w:rsidRPr="00931FD3">
              <w:rPr>
                <w:rFonts w:eastAsia="Times New Roman"/>
                <w:kern w:val="0"/>
                <w:sz w:val="16"/>
                <w:szCs w:val="16"/>
              </w:rPr>
              <w:t>N</w:t>
            </w:r>
          </w:p>
        </w:tc>
        <w:tc>
          <w:tcPr>
            <w:tcW w:w="1248" w:type="dxa"/>
            <w:tcBorders>
              <w:bottom w:val="single" w:sz="4" w:space="0" w:color="auto"/>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sz w:val="16"/>
                <w:szCs w:val="16"/>
              </w:rPr>
            </w:pPr>
            <w:r w:rsidRPr="00931FD3">
              <w:rPr>
                <w:sz w:val="16"/>
                <w:szCs w:val="16"/>
              </w:rPr>
              <w:t>9,683</w:t>
            </w:r>
          </w:p>
        </w:tc>
        <w:tc>
          <w:tcPr>
            <w:tcW w:w="1266" w:type="dxa"/>
            <w:tcBorders>
              <w:bottom w:val="single" w:sz="4" w:space="0" w:color="auto"/>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sz w:val="16"/>
                <w:szCs w:val="16"/>
              </w:rPr>
            </w:pPr>
            <w:r w:rsidRPr="00931FD3">
              <w:rPr>
                <w:sz w:val="16"/>
                <w:szCs w:val="16"/>
              </w:rPr>
              <w:t>10,519</w:t>
            </w:r>
          </w:p>
        </w:tc>
        <w:tc>
          <w:tcPr>
            <w:tcW w:w="899" w:type="dxa"/>
            <w:gridSpan w:val="2"/>
            <w:tcBorders>
              <w:bottom w:val="single" w:sz="4" w:space="0" w:color="auto"/>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sz w:val="16"/>
                <w:szCs w:val="16"/>
              </w:rPr>
            </w:pPr>
          </w:p>
        </w:tc>
        <w:tc>
          <w:tcPr>
            <w:tcW w:w="1085" w:type="dxa"/>
            <w:tcBorders>
              <w:bottom w:val="single" w:sz="4" w:space="0" w:color="auto"/>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sz w:val="16"/>
                <w:szCs w:val="16"/>
              </w:rPr>
            </w:pPr>
            <w:r w:rsidRPr="00931FD3">
              <w:rPr>
                <w:sz w:val="16"/>
                <w:szCs w:val="16"/>
              </w:rPr>
              <w:t>15,415</w:t>
            </w:r>
          </w:p>
        </w:tc>
        <w:tc>
          <w:tcPr>
            <w:tcW w:w="1100" w:type="dxa"/>
            <w:tcBorders>
              <w:bottom w:val="single" w:sz="4" w:space="0" w:color="auto"/>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sz w:val="16"/>
                <w:szCs w:val="16"/>
              </w:rPr>
            </w:pPr>
            <w:r w:rsidRPr="00931FD3">
              <w:rPr>
                <w:sz w:val="16"/>
                <w:szCs w:val="16"/>
              </w:rPr>
              <w:t>24,956</w:t>
            </w:r>
          </w:p>
        </w:tc>
        <w:tc>
          <w:tcPr>
            <w:tcW w:w="754" w:type="dxa"/>
            <w:tcBorders>
              <w:bottom w:val="single" w:sz="4" w:space="0" w:color="auto"/>
            </w:tcBorders>
            <w:shd w:val="clear" w:color="auto" w:fill="auto"/>
            <w:noWrap/>
            <w:tcMar>
              <w:top w:w="15" w:type="dxa"/>
              <w:left w:w="15" w:type="dxa"/>
              <w:bottom w:w="0" w:type="dxa"/>
              <w:right w:w="15" w:type="dxa"/>
            </w:tcMar>
          </w:tcPr>
          <w:p w:rsidR="005E29D0" w:rsidRPr="00931FD3" w:rsidRDefault="005E29D0" w:rsidP="008010EB">
            <w:pPr>
              <w:widowControl/>
              <w:overflowPunct/>
              <w:autoSpaceDE/>
              <w:autoSpaceDN/>
              <w:adjustRightInd/>
              <w:jc w:val="center"/>
              <w:rPr>
                <w:sz w:val="16"/>
                <w:szCs w:val="16"/>
              </w:rPr>
            </w:pPr>
          </w:p>
        </w:tc>
      </w:tr>
    </w:tbl>
    <w:p w:rsidR="00A82E36" w:rsidRDefault="00A82E36" w:rsidP="008010EB">
      <w:pPr>
        <w:widowControl/>
        <w:overflowPunct/>
        <w:autoSpaceDE/>
        <w:autoSpaceDN/>
        <w:adjustRightInd/>
        <w:jc w:val="center"/>
      </w:pPr>
    </w:p>
    <w:p w:rsidR="00A65AF1" w:rsidRDefault="00A65AF1" w:rsidP="008010EB">
      <w:pPr>
        <w:widowControl/>
        <w:overflowPunct/>
        <w:autoSpaceDE/>
        <w:autoSpaceDN/>
        <w:adjustRightInd/>
        <w:jc w:val="center"/>
      </w:pPr>
    </w:p>
    <w:p w:rsidR="00CA59F9" w:rsidRDefault="00CA59F9" w:rsidP="008010EB">
      <w:pPr>
        <w:widowControl/>
        <w:overflowPunct/>
        <w:autoSpaceDE/>
        <w:autoSpaceDN/>
        <w:adjustRightInd/>
        <w:jc w:val="center"/>
      </w:pPr>
    </w:p>
    <w:p w:rsidR="00F501C3" w:rsidRDefault="00F501C3" w:rsidP="008010EB">
      <w:pPr>
        <w:jc w:val="center"/>
      </w:pPr>
    </w:p>
    <w:tbl>
      <w:tblPr>
        <w:tblW w:w="12060" w:type="dxa"/>
        <w:jc w:val="center"/>
        <w:tblLayout w:type="fixed"/>
        <w:tblCellMar>
          <w:left w:w="0" w:type="dxa"/>
          <w:right w:w="0" w:type="dxa"/>
        </w:tblCellMar>
        <w:tblLook w:val="04A0" w:firstRow="1" w:lastRow="0" w:firstColumn="1" w:lastColumn="0" w:noHBand="0" w:noVBand="1"/>
      </w:tblPr>
      <w:tblGrid>
        <w:gridCol w:w="1095"/>
        <w:gridCol w:w="819"/>
        <w:gridCol w:w="81"/>
        <w:gridCol w:w="824"/>
        <w:gridCol w:w="631"/>
        <w:gridCol w:w="913"/>
        <w:gridCol w:w="913"/>
        <w:gridCol w:w="814"/>
        <w:gridCol w:w="1026"/>
        <w:gridCol w:w="900"/>
        <w:gridCol w:w="903"/>
        <w:gridCol w:w="727"/>
        <w:gridCol w:w="911"/>
        <w:gridCol w:w="912"/>
        <w:gridCol w:w="591"/>
      </w:tblGrid>
      <w:tr w:rsidR="005E29D0" w:rsidRPr="00A65AF1" w:rsidTr="008010EB">
        <w:trPr>
          <w:trHeight w:val="225"/>
          <w:jc w:val="center"/>
        </w:trPr>
        <w:tc>
          <w:tcPr>
            <w:tcW w:w="12060" w:type="dxa"/>
            <w:gridSpan w:val="15"/>
            <w:tcBorders>
              <w:left w:val="nil"/>
              <w:bottom w:val="single" w:sz="4" w:space="0" w:color="auto"/>
              <w:right w:val="nil"/>
            </w:tcBorders>
            <w:shd w:val="clear" w:color="auto" w:fill="auto"/>
            <w:noWrap/>
            <w:tcMar>
              <w:top w:w="15" w:type="dxa"/>
              <w:left w:w="15" w:type="dxa"/>
              <w:bottom w:w="0" w:type="dxa"/>
              <w:right w:w="15" w:type="dxa"/>
            </w:tcMar>
            <w:vAlign w:val="bottom"/>
          </w:tcPr>
          <w:p w:rsidR="005E29D0" w:rsidRPr="0073407F" w:rsidRDefault="005E29D0" w:rsidP="008010EB">
            <w:pPr>
              <w:jc w:val="center"/>
              <w:rPr>
                <w:rFonts w:eastAsia="Times New Roman"/>
                <w:b/>
                <w:bCs/>
                <w:i/>
                <w:sz w:val="16"/>
              </w:rPr>
            </w:pPr>
            <w:r w:rsidRPr="0073407F">
              <w:rPr>
                <w:rFonts w:eastAsia="Times New Roman"/>
                <w:b/>
                <w:bCs/>
              </w:rPr>
              <w:lastRenderedPageBreak/>
              <w:t>Table 8</w:t>
            </w:r>
            <w:r>
              <w:rPr>
                <w:rFonts w:eastAsia="Times New Roman"/>
                <w:bCs/>
                <w:i/>
              </w:rPr>
              <w:t xml:space="preserve"> (Cont’d)</w:t>
            </w:r>
          </w:p>
        </w:tc>
      </w:tr>
      <w:tr w:rsidR="004A036E" w:rsidRPr="00A65AF1" w:rsidTr="008010EB">
        <w:trPr>
          <w:trHeight w:val="225"/>
          <w:jc w:val="center"/>
        </w:trPr>
        <w:tc>
          <w:tcPr>
            <w:tcW w:w="12060" w:type="dxa"/>
            <w:gridSpan w:val="15"/>
            <w:tcBorders>
              <w:top w:val="single" w:sz="4" w:space="0" w:color="auto"/>
              <w:left w:val="nil"/>
              <w:right w:val="nil"/>
            </w:tcBorders>
            <w:shd w:val="clear" w:color="auto" w:fill="auto"/>
            <w:noWrap/>
            <w:tcMar>
              <w:top w:w="15" w:type="dxa"/>
              <w:left w:w="15" w:type="dxa"/>
              <w:bottom w:w="0" w:type="dxa"/>
              <w:right w:w="15" w:type="dxa"/>
            </w:tcMar>
            <w:vAlign w:val="bottom"/>
          </w:tcPr>
          <w:p w:rsidR="004A036E" w:rsidRPr="008010EB" w:rsidRDefault="004A036E" w:rsidP="008010EB">
            <w:pPr>
              <w:rPr>
                <w:rFonts w:eastAsia="Times New Roman"/>
                <w:b/>
                <w:bCs/>
                <w:sz w:val="16"/>
              </w:rPr>
            </w:pPr>
            <w:r w:rsidRPr="008010EB">
              <w:rPr>
                <w:rFonts w:eastAsia="Times New Roman"/>
                <w:b/>
                <w:bCs/>
                <w:sz w:val="16"/>
              </w:rPr>
              <w:t xml:space="preserve">Panel </w:t>
            </w:r>
            <w:r w:rsidR="005E29D0" w:rsidRPr="008010EB">
              <w:rPr>
                <w:rFonts w:eastAsia="Times New Roman"/>
                <w:b/>
                <w:bCs/>
                <w:sz w:val="16"/>
              </w:rPr>
              <w:t>E</w:t>
            </w:r>
            <w:r w:rsidRPr="008010EB">
              <w:rPr>
                <w:rFonts w:eastAsia="Times New Roman"/>
                <w:b/>
                <w:bCs/>
                <w:sz w:val="16"/>
              </w:rPr>
              <w:t>: Sample Split Based on Relative Profitability</w:t>
            </w:r>
          </w:p>
        </w:tc>
      </w:tr>
      <w:tr w:rsidR="004A036E" w:rsidRPr="00A65AF1" w:rsidTr="008010EB">
        <w:trPr>
          <w:trHeight w:val="253"/>
          <w:jc w:val="center"/>
        </w:trPr>
        <w:tc>
          <w:tcPr>
            <w:tcW w:w="1095" w:type="dxa"/>
            <w:tcBorders>
              <w:left w:val="nil"/>
              <w:bottom w:val="single" w:sz="4" w:space="0" w:color="auto"/>
              <w:right w:val="nil"/>
            </w:tcBorders>
            <w:shd w:val="clear" w:color="auto" w:fill="auto"/>
            <w:noWrap/>
            <w:tcMar>
              <w:top w:w="15" w:type="dxa"/>
              <w:left w:w="15" w:type="dxa"/>
              <w:bottom w:w="0" w:type="dxa"/>
              <w:right w:w="15" w:type="dxa"/>
            </w:tcMar>
            <w:vAlign w:val="bottom"/>
          </w:tcPr>
          <w:p w:rsidR="004A036E" w:rsidRPr="008010EB" w:rsidRDefault="004A036E" w:rsidP="008010EB">
            <w:pPr>
              <w:rPr>
                <w:sz w:val="16"/>
                <w:szCs w:val="16"/>
              </w:rPr>
            </w:pPr>
            <w:r w:rsidRPr="008010EB">
              <w:rPr>
                <w:sz w:val="16"/>
                <w:szCs w:val="16"/>
              </w:rPr>
              <w:t>Dep. Var.=</w:t>
            </w:r>
          </w:p>
        </w:tc>
        <w:tc>
          <w:tcPr>
            <w:tcW w:w="4995" w:type="dxa"/>
            <w:gridSpan w:val="7"/>
            <w:tcBorders>
              <w:left w:val="nil"/>
              <w:bottom w:val="single" w:sz="4" w:space="0" w:color="auto"/>
              <w:right w:val="nil"/>
            </w:tcBorders>
            <w:shd w:val="clear" w:color="auto" w:fill="auto"/>
            <w:noWrap/>
            <w:tcMar>
              <w:top w:w="15" w:type="dxa"/>
              <w:left w:w="15" w:type="dxa"/>
              <w:bottom w:w="0" w:type="dxa"/>
              <w:right w:w="15" w:type="dxa"/>
            </w:tcMar>
            <w:vAlign w:val="bottom"/>
          </w:tcPr>
          <w:p w:rsidR="004A036E" w:rsidRPr="00A65AF1" w:rsidRDefault="004A036E" w:rsidP="008010EB">
            <w:pPr>
              <w:jc w:val="center"/>
              <w:rPr>
                <w:i/>
                <w:sz w:val="16"/>
                <w:szCs w:val="16"/>
              </w:rPr>
            </w:pPr>
            <w:r w:rsidRPr="00A65AF1">
              <w:rPr>
                <w:i/>
                <w:iCs/>
                <w:sz w:val="16"/>
                <w:szCs w:val="16"/>
              </w:rPr>
              <w:t>EXRET</w:t>
            </w:r>
          </w:p>
        </w:tc>
        <w:tc>
          <w:tcPr>
            <w:tcW w:w="1026" w:type="dxa"/>
            <w:tcBorders>
              <w:left w:val="nil"/>
              <w:bottom w:val="single" w:sz="4" w:space="0" w:color="auto"/>
              <w:right w:val="nil"/>
            </w:tcBorders>
            <w:shd w:val="clear" w:color="auto" w:fill="auto"/>
            <w:noWrap/>
            <w:tcMar>
              <w:top w:w="15" w:type="dxa"/>
              <w:left w:w="15" w:type="dxa"/>
              <w:bottom w:w="0" w:type="dxa"/>
              <w:right w:w="15" w:type="dxa"/>
            </w:tcMar>
            <w:vAlign w:val="bottom"/>
          </w:tcPr>
          <w:p w:rsidR="004A036E" w:rsidRPr="00A65AF1" w:rsidRDefault="004A036E" w:rsidP="008010EB">
            <w:pPr>
              <w:jc w:val="center"/>
              <w:rPr>
                <w:i/>
                <w:sz w:val="16"/>
                <w:szCs w:val="16"/>
              </w:rPr>
            </w:pPr>
          </w:p>
        </w:tc>
        <w:tc>
          <w:tcPr>
            <w:tcW w:w="4944" w:type="dxa"/>
            <w:gridSpan w:val="6"/>
            <w:tcBorders>
              <w:left w:val="nil"/>
              <w:bottom w:val="single" w:sz="4" w:space="0" w:color="auto"/>
            </w:tcBorders>
            <w:shd w:val="clear" w:color="auto" w:fill="auto"/>
            <w:noWrap/>
            <w:tcMar>
              <w:top w:w="15" w:type="dxa"/>
              <w:left w:w="15" w:type="dxa"/>
              <w:bottom w:w="0" w:type="dxa"/>
              <w:right w:w="15" w:type="dxa"/>
            </w:tcMar>
            <w:vAlign w:val="center"/>
          </w:tcPr>
          <w:p w:rsidR="004A036E" w:rsidRPr="00A65AF1" w:rsidRDefault="004A036E" w:rsidP="008010EB">
            <w:pPr>
              <w:jc w:val="center"/>
              <w:rPr>
                <w:i/>
                <w:iCs/>
                <w:color w:val="000000"/>
                <w:sz w:val="16"/>
                <w:szCs w:val="16"/>
              </w:rPr>
            </w:pPr>
            <w:r w:rsidRPr="00A65AF1">
              <w:rPr>
                <w:i/>
                <w:iCs/>
                <w:color w:val="000000"/>
                <w:sz w:val="16"/>
                <w:szCs w:val="16"/>
              </w:rPr>
              <w:t>ICoE</w:t>
            </w:r>
          </w:p>
        </w:tc>
      </w:tr>
      <w:tr w:rsidR="004943A9" w:rsidRPr="00A65AF1" w:rsidTr="008010EB">
        <w:trPr>
          <w:trHeight w:val="334"/>
          <w:jc w:val="center"/>
        </w:trPr>
        <w:tc>
          <w:tcPr>
            <w:tcW w:w="1095"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sz w:val="16"/>
                <w:szCs w:val="16"/>
              </w:rPr>
            </w:pPr>
          </w:p>
        </w:tc>
        <w:tc>
          <w:tcPr>
            <w:tcW w:w="900" w:type="dxa"/>
            <w:gridSpan w:val="2"/>
            <w:tcBorders>
              <w:top w:val="single" w:sz="4" w:space="0" w:color="auto"/>
              <w:left w:val="nil"/>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rFonts w:eastAsia="Times New Roman"/>
                <w:color w:val="000000"/>
                <w:sz w:val="16"/>
                <w:szCs w:val="16"/>
              </w:rPr>
            </w:pPr>
            <w:r w:rsidRPr="00A65AF1">
              <w:rPr>
                <w:iCs/>
                <w:sz w:val="16"/>
                <w:szCs w:val="16"/>
              </w:rPr>
              <w:t>(1)</w:t>
            </w:r>
          </w:p>
          <w:p w:rsidR="00755D17" w:rsidRPr="00A65AF1" w:rsidRDefault="00755D17" w:rsidP="008010EB">
            <w:pPr>
              <w:jc w:val="center"/>
              <w:rPr>
                <w:rFonts w:eastAsia="Times New Roman"/>
                <w:color w:val="000000"/>
                <w:sz w:val="16"/>
                <w:szCs w:val="16"/>
              </w:rPr>
            </w:pPr>
            <w:r w:rsidRPr="00A65AF1">
              <w:rPr>
                <w:rFonts w:eastAsia="Times New Roman"/>
                <w:color w:val="000000"/>
                <w:sz w:val="16"/>
                <w:szCs w:val="16"/>
              </w:rPr>
              <w:t>High</w:t>
            </w:r>
          </w:p>
          <w:p w:rsidR="004A036E" w:rsidRPr="00A65AF1" w:rsidRDefault="00755D17" w:rsidP="008010EB">
            <w:pPr>
              <w:jc w:val="center"/>
              <w:rPr>
                <w:iCs/>
                <w:sz w:val="16"/>
                <w:szCs w:val="16"/>
              </w:rPr>
            </w:pPr>
            <w:r w:rsidRPr="00931FD3">
              <w:rPr>
                <w:rFonts w:eastAsia="Times New Roman"/>
                <w:bCs/>
                <w:sz w:val="16"/>
              </w:rPr>
              <w:t>Profitability</w:t>
            </w:r>
          </w:p>
        </w:tc>
        <w:tc>
          <w:tcPr>
            <w:tcW w:w="824"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iCs/>
                <w:sz w:val="16"/>
                <w:szCs w:val="16"/>
              </w:rPr>
            </w:pPr>
            <w:r w:rsidRPr="00A65AF1">
              <w:rPr>
                <w:iCs/>
                <w:sz w:val="16"/>
                <w:szCs w:val="16"/>
              </w:rPr>
              <w:t>(2)</w:t>
            </w:r>
          </w:p>
          <w:p w:rsidR="00755D17" w:rsidRPr="00A65AF1" w:rsidRDefault="00755D17" w:rsidP="008010EB">
            <w:pPr>
              <w:jc w:val="center"/>
              <w:rPr>
                <w:rFonts w:eastAsia="Times New Roman"/>
                <w:color w:val="000000"/>
                <w:sz w:val="16"/>
                <w:szCs w:val="16"/>
              </w:rPr>
            </w:pPr>
            <w:r w:rsidRPr="00A65AF1">
              <w:rPr>
                <w:rFonts w:eastAsia="Times New Roman"/>
                <w:color w:val="000000"/>
                <w:sz w:val="16"/>
                <w:szCs w:val="16"/>
              </w:rPr>
              <w:t>Low</w:t>
            </w:r>
          </w:p>
          <w:p w:rsidR="004A036E" w:rsidRPr="00A65AF1" w:rsidRDefault="00755D17" w:rsidP="008010EB">
            <w:pPr>
              <w:jc w:val="center"/>
              <w:rPr>
                <w:iCs/>
                <w:sz w:val="16"/>
                <w:szCs w:val="16"/>
              </w:rPr>
            </w:pPr>
            <w:r w:rsidRPr="00A65AF1">
              <w:rPr>
                <w:rFonts w:eastAsia="Times New Roman"/>
                <w:bCs/>
                <w:sz w:val="16"/>
              </w:rPr>
              <w:t>Profitability</w:t>
            </w:r>
          </w:p>
        </w:tc>
        <w:tc>
          <w:tcPr>
            <w:tcW w:w="631"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sz w:val="16"/>
                <w:szCs w:val="16"/>
              </w:rPr>
            </w:pPr>
            <w:r w:rsidRPr="00A65AF1">
              <w:rPr>
                <w:sz w:val="16"/>
                <w:szCs w:val="16"/>
              </w:rPr>
              <w:t>(2)</w:t>
            </w:r>
            <w:r w:rsidR="00D33E9F" w:rsidRPr="00A65AF1">
              <w:rPr>
                <w:sz w:val="16"/>
                <w:szCs w:val="16"/>
              </w:rPr>
              <w:t>−</w:t>
            </w:r>
            <w:r w:rsidRPr="00A65AF1">
              <w:rPr>
                <w:sz w:val="16"/>
                <w:szCs w:val="16"/>
              </w:rPr>
              <w:t>(1)</w:t>
            </w:r>
          </w:p>
        </w:tc>
        <w:tc>
          <w:tcPr>
            <w:tcW w:w="913"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755D17" w:rsidRPr="00A65AF1" w:rsidRDefault="004A036E" w:rsidP="008010EB">
            <w:pPr>
              <w:jc w:val="center"/>
              <w:rPr>
                <w:iCs/>
                <w:sz w:val="16"/>
                <w:szCs w:val="16"/>
              </w:rPr>
            </w:pPr>
            <w:r w:rsidRPr="00A65AF1">
              <w:rPr>
                <w:iCs/>
                <w:sz w:val="16"/>
                <w:szCs w:val="16"/>
              </w:rPr>
              <w:t>(3)</w:t>
            </w:r>
          </w:p>
          <w:p w:rsidR="00755D17" w:rsidRPr="00A65AF1" w:rsidRDefault="00755D17" w:rsidP="008010EB">
            <w:pPr>
              <w:jc w:val="center"/>
              <w:rPr>
                <w:rFonts w:eastAsia="Times New Roman"/>
                <w:color w:val="000000"/>
                <w:sz w:val="16"/>
                <w:szCs w:val="16"/>
              </w:rPr>
            </w:pPr>
            <w:r w:rsidRPr="00A65AF1">
              <w:rPr>
                <w:rFonts w:eastAsia="Times New Roman"/>
                <w:color w:val="000000"/>
                <w:sz w:val="16"/>
                <w:szCs w:val="16"/>
              </w:rPr>
              <w:t>High</w:t>
            </w:r>
          </w:p>
          <w:p w:rsidR="004A036E" w:rsidRPr="00A65AF1" w:rsidRDefault="00755D17" w:rsidP="008010EB">
            <w:pPr>
              <w:jc w:val="center"/>
              <w:rPr>
                <w:iCs/>
                <w:sz w:val="16"/>
                <w:szCs w:val="16"/>
              </w:rPr>
            </w:pPr>
            <w:r w:rsidRPr="00A65AF1">
              <w:rPr>
                <w:rFonts w:eastAsia="Times New Roman"/>
                <w:bCs/>
                <w:sz w:val="16"/>
              </w:rPr>
              <w:t>Profitability</w:t>
            </w:r>
          </w:p>
        </w:tc>
        <w:tc>
          <w:tcPr>
            <w:tcW w:w="913"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iCs/>
                <w:sz w:val="16"/>
                <w:szCs w:val="16"/>
              </w:rPr>
            </w:pPr>
            <w:r w:rsidRPr="00A65AF1">
              <w:rPr>
                <w:iCs/>
                <w:sz w:val="16"/>
                <w:szCs w:val="16"/>
              </w:rPr>
              <w:t>(4)</w:t>
            </w:r>
          </w:p>
          <w:p w:rsidR="00755D17" w:rsidRPr="00A65AF1" w:rsidRDefault="00755D17" w:rsidP="008010EB">
            <w:pPr>
              <w:jc w:val="center"/>
              <w:rPr>
                <w:rFonts w:eastAsia="Times New Roman"/>
                <w:color w:val="000000"/>
                <w:sz w:val="16"/>
                <w:szCs w:val="16"/>
              </w:rPr>
            </w:pPr>
            <w:r w:rsidRPr="00A65AF1">
              <w:rPr>
                <w:rFonts w:eastAsia="Times New Roman"/>
                <w:color w:val="000000"/>
                <w:sz w:val="16"/>
                <w:szCs w:val="16"/>
              </w:rPr>
              <w:t>Low</w:t>
            </w:r>
          </w:p>
          <w:p w:rsidR="004A036E" w:rsidRPr="00931FD3" w:rsidRDefault="00755D17" w:rsidP="008010EB">
            <w:pPr>
              <w:jc w:val="center"/>
              <w:rPr>
                <w:iCs/>
                <w:sz w:val="16"/>
                <w:szCs w:val="16"/>
              </w:rPr>
            </w:pPr>
            <w:r w:rsidRPr="00A65AF1">
              <w:rPr>
                <w:rFonts w:eastAsia="Times New Roman"/>
                <w:bCs/>
                <w:sz w:val="16"/>
              </w:rPr>
              <w:t>Profitability</w:t>
            </w:r>
          </w:p>
        </w:tc>
        <w:tc>
          <w:tcPr>
            <w:tcW w:w="814"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sz w:val="16"/>
                <w:szCs w:val="16"/>
              </w:rPr>
            </w:pPr>
            <w:r w:rsidRPr="00A65AF1">
              <w:rPr>
                <w:sz w:val="16"/>
                <w:szCs w:val="16"/>
              </w:rPr>
              <w:t>(4)</w:t>
            </w:r>
            <w:r w:rsidR="00D33E9F" w:rsidRPr="00A65AF1">
              <w:rPr>
                <w:sz w:val="16"/>
                <w:szCs w:val="16"/>
              </w:rPr>
              <w:t>−</w:t>
            </w:r>
            <w:r w:rsidRPr="00A65AF1">
              <w:rPr>
                <w:sz w:val="16"/>
                <w:szCs w:val="16"/>
              </w:rPr>
              <w:t>(3)</w:t>
            </w:r>
          </w:p>
        </w:tc>
        <w:tc>
          <w:tcPr>
            <w:tcW w:w="1026"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sz w:val="16"/>
                <w:szCs w:val="16"/>
              </w:rPr>
            </w:pPr>
          </w:p>
        </w:tc>
        <w:tc>
          <w:tcPr>
            <w:tcW w:w="900"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rFonts w:eastAsia="Times New Roman"/>
                <w:color w:val="000000"/>
                <w:sz w:val="16"/>
                <w:szCs w:val="16"/>
              </w:rPr>
            </w:pPr>
            <w:r w:rsidRPr="00A65AF1">
              <w:rPr>
                <w:iCs/>
                <w:color w:val="000000"/>
                <w:sz w:val="16"/>
                <w:szCs w:val="16"/>
              </w:rPr>
              <w:t>(5)</w:t>
            </w:r>
          </w:p>
          <w:p w:rsidR="00755D17" w:rsidRPr="00A65AF1" w:rsidRDefault="00755D17" w:rsidP="008010EB">
            <w:pPr>
              <w:jc w:val="center"/>
              <w:rPr>
                <w:rFonts w:eastAsia="Times New Roman"/>
                <w:color w:val="000000"/>
                <w:sz w:val="16"/>
                <w:szCs w:val="16"/>
              </w:rPr>
            </w:pPr>
            <w:r w:rsidRPr="00A65AF1">
              <w:rPr>
                <w:rFonts w:eastAsia="Times New Roman"/>
                <w:color w:val="000000"/>
                <w:sz w:val="16"/>
                <w:szCs w:val="16"/>
              </w:rPr>
              <w:t>High</w:t>
            </w:r>
          </w:p>
          <w:p w:rsidR="00755D17" w:rsidRPr="00A65AF1" w:rsidRDefault="00755D17" w:rsidP="008010EB">
            <w:pPr>
              <w:jc w:val="center"/>
              <w:rPr>
                <w:iCs/>
                <w:color w:val="000000"/>
                <w:sz w:val="16"/>
                <w:szCs w:val="16"/>
              </w:rPr>
            </w:pPr>
            <w:r w:rsidRPr="00A65AF1">
              <w:rPr>
                <w:rFonts w:eastAsia="Times New Roman"/>
                <w:bCs/>
                <w:sz w:val="16"/>
              </w:rPr>
              <w:t>Profitability</w:t>
            </w:r>
          </w:p>
        </w:tc>
        <w:tc>
          <w:tcPr>
            <w:tcW w:w="903" w:type="dxa"/>
            <w:tcBorders>
              <w:top w:val="single" w:sz="4" w:space="0" w:color="auto"/>
              <w:left w:val="nil"/>
              <w:right w:val="nil"/>
            </w:tcBorders>
            <w:shd w:val="clear" w:color="auto" w:fill="auto"/>
            <w:tcMar>
              <w:top w:w="15" w:type="dxa"/>
              <w:left w:w="15" w:type="dxa"/>
              <w:bottom w:w="0" w:type="dxa"/>
              <w:right w:w="15" w:type="dxa"/>
            </w:tcMar>
            <w:vAlign w:val="center"/>
            <w:hideMark/>
          </w:tcPr>
          <w:p w:rsidR="004A036E" w:rsidRPr="00A65AF1" w:rsidRDefault="004A036E" w:rsidP="008010EB">
            <w:pPr>
              <w:jc w:val="center"/>
              <w:rPr>
                <w:iCs/>
                <w:sz w:val="16"/>
                <w:szCs w:val="16"/>
              </w:rPr>
            </w:pPr>
            <w:r w:rsidRPr="00A65AF1">
              <w:rPr>
                <w:iCs/>
                <w:color w:val="000000"/>
                <w:sz w:val="16"/>
                <w:szCs w:val="16"/>
              </w:rPr>
              <w:t>(6)</w:t>
            </w:r>
          </w:p>
          <w:p w:rsidR="00755D17" w:rsidRPr="00A65AF1" w:rsidRDefault="00755D17" w:rsidP="008010EB">
            <w:pPr>
              <w:jc w:val="center"/>
              <w:rPr>
                <w:rFonts w:eastAsia="Times New Roman"/>
                <w:color w:val="000000"/>
                <w:sz w:val="16"/>
                <w:szCs w:val="16"/>
              </w:rPr>
            </w:pPr>
            <w:r w:rsidRPr="00A65AF1">
              <w:rPr>
                <w:rFonts w:eastAsia="Times New Roman"/>
                <w:color w:val="000000"/>
                <w:sz w:val="16"/>
                <w:szCs w:val="16"/>
              </w:rPr>
              <w:t>Low</w:t>
            </w:r>
          </w:p>
          <w:p w:rsidR="004A036E" w:rsidRPr="00A65AF1" w:rsidRDefault="00755D17" w:rsidP="008010EB">
            <w:pPr>
              <w:jc w:val="center"/>
              <w:rPr>
                <w:iCs/>
                <w:color w:val="000000"/>
                <w:sz w:val="16"/>
                <w:szCs w:val="16"/>
              </w:rPr>
            </w:pPr>
            <w:r w:rsidRPr="00A65AF1">
              <w:rPr>
                <w:rFonts w:eastAsia="Times New Roman"/>
                <w:bCs/>
                <w:sz w:val="16"/>
              </w:rPr>
              <w:t>Profitability</w:t>
            </w:r>
          </w:p>
        </w:tc>
        <w:tc>
          <w:tcPr>
            <w:tcW w:w="727"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sz w:val="16"/>
                <w:szCs w:val="16"/>
              </w:rPr>
            </w:pPr>
            <w:r w:rsidRPr="00A65AF1">
              <w:rPr>
                <w:sz w:val="16"/>
                <w:szCs w:val="16"/>
              </w:rPr>
              <w:t>(6)</w:t>
            </w:r>
            <w:r w:rsidR="00D33E9F" w:rsidRPr="00A65AF1">
              <w:rPr>
                <w:sz w:val="16"/>
                <w:szCs w:val="16"/>
              </w:rPr>
              <w:t>−</w:t>
            </w:r>
            <w:r w:rsidRPr="00A65AF1">
              <w:rPr>
                <w:sz w:val="16"/>
                <w:szCs w:val="16"/>
              </w:rPr>
              <w:t>(5)</w:t>
            </w:r>
          </w:p>
        </w:tc>
        <w:tc>
          <w:tcPr>
            <w:tcW w:w="911" w:type="dxa"/>
            <w:tcBorders>
              <w:top w:val="single" w:sz="4" w:space="0" w:color="auto"/>
              <w:left w:val="nil"/>
              <w:right w:val="nil"/>
            </w:tcBorders>
            <w:shd w:val="clear" w:color="auto" w:fill="auto"/>
            <w:noWrap/>
            <w:tcMar>
              <w:top w:w="15" w:type="dxa"/>
              <w:left w:w="15" w:type="dxa"/>
              <w:bottom w:w="0" w:type="dxa"/>
              <w:right w:w="15" w:type="dxa"/>
            </w:tcMar>
            <w:vAlign w:val="center"/>
            <w:hideMark/>
          </w:tcPr>
          <w:p w:rsidR="00755D17" w:rsidRPr="00A65AF1" w:rsidRDefault="004A036E" w:rsidP="008010EB">
            <w:pPr>
              <w:jc w:val="center"/>
              <w:rPr>
                <w:iCs/>
                <w:color w:val="000000"/>
                <w:sz w:val="16"/>
                <w:szCs w:val="16"/>
              </w:rPr>
            </w:pPr>
            <w:r w:rsidRPr="00A65AF1">
              <w:rPr>
                <w:iCs/>
                <w:color w:val="000000"/>
                <w:sz w:val="16"/>
                <w:szCs w:val="16"/>
              </w:rPr>
              <w:t>(7)</w:t>
            </w:r>
          </w:p>
          <w:p w:rsidR="00755D17" w:rsidRPr="00A65AF1" w:rsidRDefault="00755D17" w:rsidP="008010EB">
            <w:pPr>
              <w:jc w:val="center"/>
              <w:rPr>
                <w:rFonts w:eastAsia="Times New Roman"/>
                <w:color w:val="000000"/>
                <w:sz w:val="16"/>
                <w:szCs w:val="16"/>
              </w:rPr>
            </w:pPr>
            <w:r w:rsidRPr="00A65AF1">
              <w:rPr>
                <w:rFonts w:eastAsia="Times New Roman"/>
                <w:color w:val="000000"/>
                <w:sz w:val="16"/>
                <w:szCs w:val="16"/>
              </w:rPr>
              <w:t>High</w:t>
            </w:r>
          </w:p>
          <w:p w:rsidR="004A036E" w:rsidRPr="00A65AF1" w:rsidRDefault="00755D17" w:rsidP="008010EB">
            <w:pPr>
              <w:jc w:val="center"/>
              <w:rPr>
                <w:iCs/>
                <w:color w:val="000000"/>
                <w:sz w:val="16"/>
                <w:szCs w:val="16"/>
              </w:rPr>
            </w:pPr>
            <w:r w:rsidRPr="00A65AF1">
              <w:rPr>
                <w:rFonts w:eastAsia="Times New Roman"/>
                <w:bCs/>
                <w:sz w:val="16"/>
              </w:rPr>
              <w:t>Profitability</w:t>
            </w:r>
          </w:p>
        </w:tc>
        <w:tc>
          <w:tcPr>
            <w:tcW w:w="912" w:type="dxa"/>
            <w:tcBorders>
              <w:top w:val="single" w:sz="4" w:space="0" w:color="auto"/>
              <w:left w:val="nil"/>
              <w:right w:val="nil"/>
            </w:tcBorders>
            <w:shd w:val="clear" w:color="auto" w:fill="auto"/>
            <w:tcMar>
              <w:top w:w="15" w:type="dxa"/>
              <w:left w:w="15" w:type="dxa"/>
              <w:bottom w:w="0" w:type="dxa"/>
              <w:right w:w="15" w:type="dxa"/>
            </w:tcMar>
            <w:vAlign w:val="center"/>
            <w:hideMark/>
          </w:tcPr>
          <w:p w:rsidR="004A036E" w:rsidRPr="00A65AF1" w:rsidRDefault="004A036E" w:rsidP="008010EB">
            <w:pPr>
              <w:jc w:val="center"/>
              <w:rPr>
                <w:iCs/>
                <w:sz w:val="16"/>
                <w:szCs w:val="16"/>
              </w:rPr>
            </w:pPr>
            <w:r w:rsidRPr="00A65AF1">
              <w:rPr>
                <w:iCs/>
                <w:color w:val="000000"/>
                <w:sz w:val="16"/>
                <w:szCs w:val="16"/>
              </w:rPr>
              <w:t>(8)</w:t>
            </w:r>
          </w:p>
          <w:p w:rsidR="00755D17" w:rsidRPr="00A65AF1" w:rsidRDefault="00755D17" w:rsidP="008010EB">
            <w:pPr>
              <w:jc w:val="center"/>
              <w:rPr>
                <w:rFonts w:eastAsia="Times New Roman"/>
                <w:color w:val="000000"/>
                <w:sz w:val="16"/>
                <w:szCs w:val="16"/>
              </w:rPr>
            </w:pPr>
            <w:r w:rsidRPr="00A65AF1">
              <w:rPr>
                <w:rFonts w:eastAsia="Times New Roman"/>
                <w:color w:val="000000"/>
                <w:sz w:val="16"/>
                <w:szCs w:val="16"/>
              </w:rPr>
              <w:t>Low</w:t>
            </w:r>
          </w:p>
          <w:p w:rsidR="004A036E" w:rsidRPr="00931FD3" w:rsidRDefault="00755D17" w:rsidP="008010EB">
            <w:pPr>
              <w:jc w:val="center"/>
              <w:rPr>
                <w:iCs/>
                <w:color w:val="000000"/>
                <w:sz w:val="16"/>
                <w:szCs w:val="16"/>
              </w:rPr>
            </w:pPr>
            <w:r w:rsidRPr="00A65AF1">
              <w:rPr>
                <w:rFonts w:eastAsia="Times New Roman"/>
                <w:bCs/>
                <w:sz w:val="16"/>
              </w:rPr>
              <w:t>Profitability</w:t>
            </w:r>
          </w:p>
        </w:tc>
        <w:tc>
          <w:tcPr>
            <w:tcW w:w="591" w:type="dxa"/>
            <w:tcBorders>
              <w:top w:val="single" w:sz="4" w:space="0" w:color="auto"/>
              <w:lef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iCs/>
                <w:color w:val="000000"/>
                <w:sz w:val="16"/>
                <w:szCs w:val="16"/>
              </w:rPr>
            </w:pPr>
            <w:r w:rsidRPr="00A65AF1">
              <w:rPr>
                <w:iCs/>
                <w:color w:val="000000"/>
                <w:sz w:val="16"/>
                <w:szCs w:val="16"/>
              </w:rPr>
              <w:t>(8)</w:t>
            </w:r>
            <w:r w:rsidR="00D33E9F" w:rsidRPr="00A65AF1">
              <w:rPr>
                <w:iCs/>
                <w:color w:val="000000"/>
                <w:sz w:val="16"/>
                <w:szCs w:val="16"/>
              </w:rPr>
              <w:t>−</w:t>
            </w:r>
            <w:r w:rsidRPr="00A65AF1">
              <w:rPr>
                <w:iCs/>
                <w:color w:val="000000"/>
                <w:sz w:val="16"/>
                <w:szCs w:val="16"/>
              </w:rPr>
              <w:t>(7)</w:t>
            </w:r>
          </w:p>
        </w:tc>
      </w:tr>
      <w:tr w:rsidR="004943A9" w:rsidRPr="00A65AF1" w:rsidTr="008010EB">
        <w:trPr>
          <w:trHeight w:val="238"/>
          <w:jc w:val="center"/>
        </w:trPr>
        <w:tc>
          <w:tcPr>
            <w:tcW w:w="1095" w:type="dxa"/>
            <w:tcBorders>
              <w:left w:val="nil"/>
              <w:bottom w:val="single" w:sz="4" w:space="0" w:color="auto"/>
              <w:right w:val="nil"/>
            </w:tcBorders>
            <w:shd w:val="clear" w:color="auto" w:fill="auto"/>
            <w:noWrap/>
            <w:tcMar>
              <w:top w:w="15" w:type="dxa"/>
              <w:left w:w="15" w:type="dxa"/>
              <w:bottom w:w="0" w:type="dxa"/>
              <w:right w:w="15" w:type="dxa"/>
            </w:tcMar>
            <w:vAlign w:val="bottom"/>
            <w:hideMark/>
          </w:tcPr>
          <w:p w:rsidR="004A036E" w:rsidRPr="00931FD3" w:rsidRDefault="004A036E" w:rsidP="008010EB">
            <w:pPr>
              <w:jc w:val="center"/>
              <w:rPr>
                <w:i/>
                <w:sz w:val="16"/>
              </w:rPr>
            </w:pPr>
          </w:p>
        </w:tc>
        <w:tc>
          <w:tcPr>
            <w:tcW w:w="1724" w:type="dxa"/>
            <w:gridSpan w:val="3"/>
            <w:tcBorders>
              <w:left w:val="nil"/>
              <w:bottom w:val="single" w:sz="4" w:space="0" w:color="auto"/>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i/>
                <w:iCs/>
                <w:color w:val="000000"/>
                <w:sz w:val="16"/>
              </w:rPr>
            </w:pPr>
            <w:r w:rsidRPr="00A65AF1">
              <w:rPr>
                <w:i/>
                <w:iCs/>
                <w:color w:val="000000"/>
                <w:sz w:val="16"/>
              </w:rPr>
              <w:t>P_EQew</w:t>
            </w:r>
          </w:p>
        </w:tc>
        <w:tc>
          <w:tcPr>
            <w:tcW w:w="631" w:type="dxa"/>
            <w:tcBorders>
              <w:left w:val="nil"/>
              <w:bottom w:val="single" w:sz="4" w:space="0" w:color="auto"/>
              <w:right w:val="nil"/>
            </w:tcBorders>
            <w:shd w:val="clear" w:color="auto" w:fill="auto"/>
            <w:noWrap/>
            <w:tcMar>
              <w:top w:w="15" w:type="dxa"/>
              <w:left w:w="15" w:type="dxa"/>
              <w:bottom w:w="0" w:type="dxa"/>
              <w:right w:w="15" w:type="dxa"/>
            </w:tcMar>
            <w:vAlign w:val="bottom"/>
            <w:hideMark/>
          </w:tcPr>
          <w:p w:rsidR="004A036E" w:rsidRPr="00931FD3" w:rsidRDefault="004A036E" w:rsidP="008010EB">
            <w:pPr>
              <w:jc w:val="center"/>
              <w:rPr>
                <w:i/>
                <w:sz w:val="16"/>
              </w:rPr>
            </w:pPr>
          </w:p>
        </w:tc>
        <w:tc>
          <w:tcPr>
            <w:tcW w:w="1826" w:type="dxa"/>
            <w:gridSpan w:val="2"/>
            <w:tcBorders>
              <w:left w:val="nil"/>
              <w:bottom w:val="single" w:sz="4" w:space="0" w:color="auto"/>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i/>
                <w:iCs/>
                <w:color w:val="000000"/>
                <w:sz w:val="16"/>
              </w:rPr>
            </w:pPr>
            <w:r w:rsidRPr="00A65AF1">
              <w:rPr>
                <w:i/>
                <w:iCs/>
                <w:color w:val="000000"/>
                <w:sz w:val="16"/>
              </w:rPr>
              <w:t>P_EQmsw</w:t>
            </w:r>
          </w:p>
        </w:tc>
        <w:tc>
          <w:tcPr>
            <w:tcW w:w="814" w:type="dxa"/>
            <w:tcBorders>
              <w:left w:val="nil"/>
              <w:bottom w:val="single" w:sz="4" w:space="0" w:color="auto"/>
              <w:right w:val="nil"/>
            </w:tcBorders>
            <w:shd w:val="clear" w:color="auto" w:fill="auto"/>
            <w:noWrap/>
            <w:tcMar>
              <w:top w:w="15" w:type="dxa"/>
              <w:left w:w="15" w:type="dxa"/>
              <w:bottom w:w="0" w:type="dxa"/>
              <w:right w:w="15" w:type="dxa"/>
            </w:tcMar>
            <w:vAlign w:val="bottom"/>
            <w:hideMark/>
          </w:tcPr>
          <w:p w:rsidR="004A036E" w:rsidRPr="00931FD3" w:rsidRDefault="004A036E" w:rsidP="008010EB">
            <w:pPr>
              <w:jc w:val="center"/>
              <w:rPr>
                <w:i/>
                <w:sz w:val="16"/>
              </w:rPr>
            </w:pPr>
          </w:p>
        </w:tc>
        <w:tc>
          <w:tcPr>
            <w:tcW w:w="1026" w:type="dxa"/>
            <w:tcBorders>
              <w:left w:val="nil"/>
              <w:bottom w:val="single" w:sz="4" w:space="0" w:color="auto"/>
              <w:right w:val="nil"/>
            </w:tcBorders>
            <w:shd w:val="clear" w:color="auto" w:fill="auto"/>
            <w:noWrap/>
            <w:tcMar>
              <w:top w:w="15" w:type="dxa"/>
              <w:left w:w="15" w:type="dxa"/>
              <w:bottom w:w="0" w:type="dxa"/>
              <w:right w:w="15" w:type="dxa"/>
            </w:tcMar>
            <w:vAlign w:val="bottom"/>
            <w:hideMark/>
          </w:tcPr>
          <w:p w:rsidR="004A036E" w:rsidRPr="00931FD3" w:rsidRDefault="004A036E" w:rsidP="008010EB">
            <w:pPr>
              <w:jc w:val="center"/>
              <w:rPr>
                <w:i/>
                <w:sz w:val="16"/>
              </w:rPr>
            </w:pPr>
          </w:p>
        </w:tc>
        <w:tc>
          <w:tcPr>
            <w:tcW w:w="1803" w:type="dxa"/>
            <w:gridSpan w:val="2"/>
            <w:tcBorders>
              <w:left w:val="nil"/>
              <w:bottom w:val="single" w:sz="4" w:space="0" w:color="auto"/>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i/>
                <w:iCs/>
                <w:color w:val="000000"/>
                <w:sz w:val="16"/>
              </w:rPr>
            </w:pPr>
            <w:r w:rsidRPr="00A65AF1">
              <w:rPr>
                <w:i/>
                <w:iCs/>
                <w:color w:val="000000"/>
                <w:sz w:val="16"/>
              </w:rPr>
              <w:t>P_EQew</w:t>
            </w:r>
          </w:p>
        </w:tc>
        <w:tc>
          <w:tcPr>
            <w:tcW w:w="727" w:type="dxa"/>
            <w:tcBorders>
              <w:left w:val="nil"/>
              <w:bottom w:val="single" w:sz="4" w:space="0" w:color="auto"/>
              <w:right w:val="nil"/>
            </w:tcBorders>
            <w:shd w:val="clear" w:color="auto" w:fill="auto"/>
            <w:noWrap/>
            <w:tcMar>
              <w:top w:w="15" w:type="dxa"/>
              <w:left w:w="15" w:type="dxa"/>
              <w:bottom w:w="0" w:type="dxa"/>
              <w:right w:w="15" w:type="dxa"/>
            </w:tcMar>
            <w:vAlign w:val="bottom"/>
            <w:hideMark/>
          </w:tcPr>
          <w:p w:rsidR="004A036E" w:rsidRPr="00931FD3" w:rsidRDefault="004A036E" w:rsidP="008010EB">
            <w:pPr>
              <w:jc w:val="center"/>
              <w:rPr>
                <w:i/>
                <w:sz w:val="16"/>
              </w:rPr>
            </w:pPr>
          </w:p>
        </w:tc>
        <w:tc>
          <w:tcPr>
            <w:tcW w:w="1823" w:type="dxa"/>
            <w:gridSpan w:val="2"/>
            <w:tcBorders>
              <w:left w:val="nil"/>
              <w:bottom w:val="single" w:sz="4" w:space="0" w:color="auto"/>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i/>
                <w:iCs/>
                <w:color w:val="000000"/>
                <w:sz w:val="16"/>
              </w:rPr>
            </w:pPr>
            <w:r w:rsidRPr="00A65AF1">
              <w:rPr>
                <w:i/>
                <w:iCs/>
                <w:color w:val="000000"/>
                <w:sz w:val="16"/>
              </w:rPr>
              <w:t>P_EQmsw</w:t>
            </w:r>
          </w:p>
        </w:tc>
        <w:tc>
          <w:tcPr>
            <w:tcW w:w="591" w:type="dxa"/>
            <w:tcBorders>
              <w:left w:val="nil"/>
              <w:bottom w:val="single" w:sz="4" w:space="0" w:color="auto"/>
              <w:right w:val="nil"/>
            </w:tcBorders>
            <w:shd w:val="clear" w:color="auto" w:fill="auto"/>
            <w:noWrap/>
            <w:tcMar>
              <w:top w:w="15" w:type="dxa"/>
              <w:left w:w="15" w:type="dxa"/>
              <w:bottom w:w="0" w:type="dxa"/>
              <w:right w:w="15" w:type="dxa"/>
            </w:tcMar>
            <w:vAlign w:val="center"/>
            <w:hideMark/>
          </w:tcPr>
          <w:p w:rsidR="004A036E" w:rsidRPr="00A65AF1" w:rsidRDefault="004A036E" w:rsidP="008010EB">
            <w:pPr>
              <w:jc w:val="center"/>
              <w:rPr>
                <w:i/>
                <w:iCs/>
                <w:color w:val="000000"/>
                <w:sz w:val="16"/>
              </w:rPr>
            </w:pPr>
          </w:p>
        </w:tc>
      </w:tr>
      <w:tr w:rsidR="004943A9" w:rsidRPr="00A65AF1" w:rsidTr="008010EB">
        <w:trPr>
          <w:trHeight w:val="253"/>
          <w:jc w:val="center"/>
        </w:trPr>
        <w:tc>
          <w:tcPr>
            <w:tcW w:w="1095" w:type="dxa"/>
            <w:tcBorders>
              <w:top w:val="single" w:sz="4" w:space="0" w:color="auto"/>
              <w:left w:val="nil"/>
            </w:tcBorders>
            <w:shd w:val="clear" w:color="auto" w:fill="auto"/>
            <w:tcMar>
              <w:top w:w="15" w:type="dxa"/>
              <w:left w:w="15" w:type="dxa"/>
              <w:bottom w:w="0" w:type="dxa"/>
              <w:right w:w="15" w:type="dxa"/>
            </w:tcMar>
            <w:vAlign w:val="center"/>
            <w:hideMark/>
          </w:tcPr>
          <w:p w:rsidR="00A82E36" w:rsidRDefault="00396D6D" w:rsidP="008010EB">
            <w:pPr>
              <w:rPr>
                <w:i/>
                <w:iCs/>
                <w:sz w:val="16"/>
                <w:szCs w:val="16"/>
              </w:rPr>
            </w:pPr>
            <w:r w:rsidRPr="00A65AF1">
              <w:rPr>
                <w:i/>
                <w:iCs/>
                <w:sz w:val="16"/>
                <w:szCs w:val="16"/>
              </w:rPr>
              <w:t>H_P_EQ</w:t>
            </w:r>
          </w:p>
          <w:p w:rsidR="00396D6D" w:rsidRPr="00A65AF1" w:rsidRDefault="00396D6D" w:rsidP="008010EB">
            <w:pPr>
              <w:rPr>
                <w:i/>
                <w:iCs/>
                <w:sz w:val="16"/>
                <w:szCs w:val="16"/>
              </w:rPr>
            </w:pPr>
            <w:r w:rsidRPr="00A65AF1">
              <w:rPr>
                <w:i/>
                <w:iCs/>
                <w:sz w:val="16"/>
                <w:szCs w:val="16"/>
              </w:rPr>
              <w:t>×MKTRF</w:t>
            </w:r>
          </w:p>
        </w:tc>
        <w:tc>
          <w:tcPr>
            <w:tcW w:w="819"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0.158***</w:t>
            </w:r>
          </w:p>
        </w:tc>
        <w:tc>
          <w:tcPr>
            <w:tcW w:w="905" w:type="dxa"/>
            <w:gridSpan w:val="2"/>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0.198***</w:t>
            </w:r>
          </w:p>
        </w:tc>
        <w:tc>
          <w:tcPr>
            <w:tcW w:w="631"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0.04</w:t>
            </w:r>
          </w:p>
        </w:tc>
        <w:tc>
          <w:tcPr>
            <w:tcW w:w="913"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0.125***</w:t>
            </w:r>
          </w:p>
        </w:tc>
        <w:tc>
          <w:tcPr>
            <w:tcW w:w="913"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0.198***</w:t>
            </w:r>
          </w:p>
        </w:tc>
        <w:tc>
          <w:tcPr>
            <w:tcW w:w="814"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0.074</w:t>
            </w:r>
          </w:p>
        </w:tc>
        <w:tc>
          <w:tcPr>
            <w:tcW w:w="1026"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r w:rsidRPr="00A65AF1">
              <w:rPr>
                <w:rFonts w:eastAsia="Times New Roman"/>
                <w:i/>
                <w:kern w:val="0"/>
                <w:sz w:val="16"/>
              </w:rPr>
              <w:t>H_ P_EQ</w:t>
            </w:r>
          </w:p>
        </w:tc>
        <w:tc>
          <w:tcPr>
            <w:tcW w:w="900"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0.000</w:t>
            </w:r>
          </w:p>
        </w:tc>
        <w:tc>
          <w:tcPr>
            <w:tcW w:w="903"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0.010***</w:t>
            </w:r>
          </w:p>
        </w:tc>
        <w:tc>
          <w:tcPr>
            <w:tcW w:w="727"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0.01</w:t>
            </w:r>
          </w:p>
        </w:tc>
        <w:tc>
          <w:tcPr>
            <w:tcW w:w="911"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0.001</w:t>
            </w:r>
          </w:p>
        </w:tc>
        <w:tc>
          <w:tcPr>
            <w:tcW w:w="912"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0.010***</w:t>
            </w:r>
          </w:p>
        </w:tc>
        <w:tc>
          <w:tcPr>
            <w:tcW w:w="591" w:type="dxa"/>
            <w:tcBorders>
              <w:top w:val="single" w:sz="4" w:space="0" w:color="auto"/>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0.009</w:t>
            </w:r>
          </w:p>
        </w:tc>
      </w:tr>
      <w:tr w:rsidR="004943A9" w:rsidRPr="00A65AF1" w:rsidTr="008010EB">
        <w:trPr>
          <w:trHeight w:val="192"/>
          <w:jc w:val="center"/>
        </w:trPr>
        <w:tc>
          <w:tcPr>
            <w:tcW w:w="1095" w:type="dxa"/>
            <w:tcBorders>
              <w:top w:val="nil"/>
              <w:left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8.30)</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7.92)</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EC36FF" w:rsidP="008010EB">
            <w:pPr>
              <w:jc w:val="center"/>
              <w:rPr>
                <w:iCs/>
                <w:sz w:val="16"/>
                <w:szCs w:val="16"/>
              </w:rPr>
            </w:pPr>
            <w:r w:rsidRPr="00A65AF1">
              <w:rPr>
                <w:iCs/>
                <w:sz w:val="16"/>
                <w:szCs w:val="16"/>
              </w:rPr>
              <w:t>[</w:t>
            </w:r>
            <w:r w:rsidR="00396D6D" w:rsidRPr="00931FD3">
              <w:rPr>
                <w:iCs/>
                <w:sz w:val="16"/>
                <w:szCs w:val="16"/>
              </w:rPr>
              <w:t>1.8</w:t>
            </w:r>
            <w:r w:rsidRPr="00A65AF1">
              <w:rPr>
                <w:iCs/>
                <w:sz w:val="16"/>
                <w:szCs w:val="16"/>
              </w:rPr>
              <w:t>0]</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6.60)</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7.92)</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EC36FF" w:rsidP="008010EB">
            <w:pPr>
              <w:jc w:val="center"/>
              <w:rPr>
                <w:iCs/>
                <w:sz w:val="16"/>
                <w:szCs w:val="16"/>
              </w:rPr>
            </w:pPr>
            <w:r w:rsidRPr="00A65AF1">
              <w:rPr>
                <w:iCs/>
                <w:sz w:val="16"/>
                <w:szCs w:val="16"/>
              </w:rPr>
              <w:t>[</w:t>
            </w:r>
            <w:r w:rsidR="00396D6D" w:rsidRPr="00931FD3">
              <w:rPr>
                <w:iCs/>
                <w:sz w:val="16"/>
                <w:szCs w:val="16"/>
              </w:rPr>
              <w:t>2.25</w:t>
            </w:r>
            <w:r w:rsidRPr="00A65AF1">
              <w:rPr>
                <w:iCs/>
                <w:sz w:val="16"/>
                <w:szCs w:val="16"/>
              </w:rPr>
              <w:t>]</w:t>
            </w:r>
          </w:p>
        </w:tc>
        <w:tc>
          <w:tcPr>
            <w:tcW w:w="1026" w:type="dxa"/>
            <w:tcBorders>
              <w:top w:val="nil"/>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EC36F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0.11)</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4.03)</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EC36F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3.88</w:t>
            </w:r>
            <w:r w:rsidRPr="00A65AF1">
              <w:rPr>
                <w:sz w:val="16"/>
                <w:szCs w:val="16"/>
              </w:rPr>
              <w:t>]</w:t>
            </w: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0.96)</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3.96)</w:t>
            </w: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EC36F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4.65</w:t>
            </w:r>
            <w:r w:rsidRPr="00A65AF1">
              <w:rPr>
                <w:sz w:val="16"/>
                <w:szCs w:val="16"/>
              </w:rPr>
              <w:t>]</w:t>
            </w:r>
          </w:p>
        </w:tc>
      </w:tr>
      <w:tr w:rsidR="004943A9" w:rsidRPr="00A65AF1" w:rsidTr="008010EB">
        <w:trPr>
          <w:trHeight w:val="238"/>
          <w:jc w:val="center"/>
        </w:trPr>
        <w:tc>
          <w:tcPr>
            <w:tcW w:w="1095" w:type="dxa"/>
            <w:tcBorders>
              <w:left w:val="nil"/>
              <w:bottom w:val="nil"/>
            </w:tcBorders>
            <w:shd w:val="clear" w:color="auto" w:fill="auto"/>
            <w:tcMar>
              <w:top w:w="15" w:type="dxa"/>
              <w:left w:w="15" w:type="dxa"/>
              <w:bottom w:w="0" w:type="dxa"/>
              <w:right w:w="15" w:type="dxa"/>
            </w:tcMar>
            <w:vAlign w:val="center"/>
            <w:hideMark/>
          </w:tcPr>
          <w:p w:rsidR="00A82E36" w:rsidRDefault="00396D6D" w:rsidP="008010EB">
            <w:pPr>
              <w:rPr>
                <w:i/>
                <w:iCs/>
                <w:sz w:val="16"/>
                <w:szCs w:val="16"/>
              </w:rPr>
            </w:pPr>
            <w:r w:rsidRPr="00A65AF1">
              <w:rPr>
                <w:i/>
                <w:iCs/>
                <w:sz w:val="16"/>
                <w:szCs w:val="16"/>
              </w:rPr>
              <w:t>H_EQ</w:t>
            </w:r>
          </w:p>
          <w:p w:rsidR="00396D6D" w:rsidRPr="00A65AF1" w:rsidRDefault="00396D6D" w:rsidP="008010EB">
            <w:pPr>
              <w:rPr>
                <w:i/>
                <w:iCs/>
                <w:sz w:val="16"/>
                <w:szCs w:val="16"/>
              </w:rPr>
            </w:pPr>
            <w:r w:rsidRPr="00A65AF1">
              <w:rPr>
                <w:i/>
                <w:iCs/>
                <w:sz w:val="16"/>
                <w:szCs w:val="16"/>
              </w:rPr>
              <w:t>×MKTRF</w:t>
            </w: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0.035**</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0.246***</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0.049***</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0.246***</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r w:rsidRPr="00A65AF1">
              <w:rPr>
                <w:rFonts w:eastAsia="Times New Roman"/>
                <w:i/>
                <w:kern w:val="0"/>
                <w:sz w:val="16"/>
              </w:rPr>
              <w:t>H_ EQ</w:t>
            </w: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0.007***</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0.017***</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0.007***</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0.017***</w:t>
            </w: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120"/>
          <w:jc w:val="center"/>
        </w:trPr>
        <w:tc>
          <w:tcPr>
            <w:tcW w:w="1095" w:type="dxa"/>
            <w:tcBorders>
              <w:top w:val="nil"/>
              <w:left w:val="nil"/>
              <w:bottom w:val="nil"/>
              <w:right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1.96)</w:t>
            </w:r>
          </w:p>
        </w:tc>
        <w:tc>
          <w:tcPr>
            <w:tcW w:w="9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10.17)</w:t>
            </w:r>
          </w:p>
        </w:tc>
        <w:tc>
          <w:tcPr>
            <w:tcW w:w="63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2.67)</w:t>
            </w: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10.17)</w:t>
            </w:r>
          </w:p>
        </w:tc>
        <w:tc>
          <w:tcPr>
            <w:tcW w:w="814"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p>
        </w:tc>
        <w:tc>
          <w:tcPr>
            <w:tcW w:w="900"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6.13)</w:t>
            </w:r>
          </w:p>
        </w:tc>
        <w:tc>
          <w:tcPr>
            <w:tcW w:w="90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6.65)</w:t>
            </w:r>
          </w:p>
        </w:tc>
        <w:tc>
          <w:tcPr>
            <w:tcW w:w="727"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5.82)</w:t>
            </w:r>
          </w:p>
        </w:tc>
        <w:tc>
          <w:tcPr>
            <w:tcW w:w="912"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6.89)</w:t>
            </w:r>
          </w:p>
        </w:tc>
        <w:tc>
          <w:tcPr>
            <w:tcW w:w="59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38"/>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A82E36" w:rsidRDefault="00396D6D" w:rsidP="008010EB">
            <w:pPr>
              <w:rPr>
                <w:i/>
                <w:iCs/>
                <w:sz w:val="16"/>
                <w:szCs w:val="16"/>
              </w:rPr>
            </w:pPr>
            <w:r w:rsidRPr="00A65AF1">
              <w:rPr>
                <w:i/>
                <w:iCs/>
                <w:sz w:val="16"/>
                <w:szCs w:val="16"/>
              </w:rPr>
              <w:t>Lev</w:t>
            </w:r>
          </w:p>
          <w:p w:rsidR="00396D6D" w:rsidRPr="00A65AF1" w:rsidRDefault="00396D6D" w:rsidP="008010EB">
            <w:pPr>
              <w:rPr>
                <w:i/>
                <w:iCs/>
                <w:sz w:val="16"/>
                <w:szCs w:val="16"/>
              </w:rPr>
            </w:pPr>
            <w:r w:rsidRPr="00A65AF1">
              <w:rPr>
                <w:i/>
                <w:iCs/>
                <w:sz w:val="16"/>
                <w:szCs w:val="16"/>
              </w:rPr>
              <w:t>×MKTRF</w:t>
            </w: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0.221***</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0.116**</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0.248***</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0.116**</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r w:rsidRPr="00A65AF1">
              <w:rPr>
                <w:rFonts w:eastAsia="Times New Roman"/>
                <w:i/>
                <w:kern w:val="0"/>
                <w:sz w:val="16"/>
              </w:rPr>
              <w:t>BM</w:t>
            </w: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0.011***</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0.020***</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0.011***</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0.020***</w:t>
            </w: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01"/>
          <w:jc w:val="center"/>
        </w:trPr>
        <w:tc>
          <w:tcPr>
            <w:tcW w:w="1095" w:type="dxa"/>
            <w:tcBorders>
              <w:top w:val="nil"/>
              <w:left w:val="nil"/>
              <w:bottom w:val="nil"/>
              <w:right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4.67)</w:t>
            </w:r>
          </w:p>
        </w:tc>
        <w:tc>
          <w:tcPr>
            <w:tcW w:w="9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(2.14)</w:t>
            </w:r>
          </w:p>
        </w:tc>
        <w:tc>
          <w:tcPr>
            <w:tcW w:w="63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5.27)</w:t>
            </w: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(2.14)</w:t>
            </w:r>
          </w:p>
        </w:tc>
        <w:tc>
          <w:tcPr>
            <w:tcW w:w="814"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p>
        </w:tc>
        <w:tc>
          <w:tcPr>
            <w:tcW w:w="900"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(9.98)</w:t>
            </w:r>
          </w:p>
        </w:tc>
        <w:tc>
          <w:tcPr>
            <w:tcW w:w="90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(9.08)</w:t>
            </w:r>
          </w:p>
        </w:tc>
        <w:tc>
          <w:tcPr>
            <w:tcW w:w="727"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(10.02)</w:t>
            </w:r>
          </w:p>
        </w:tc>
        <w:tc>
          <w:tcPr>
            <w:tcW w:w="912"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(8.99)</w:t>
            </w:r>
          </w:p>
        </w:tc>
        <w:tc>
          <w:tcPr>
            <w:tcW w:w="59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38"/>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A82E36" w:rsidRDefault="00396D6D" w:rsidP="008010EB">
            <w:pPr>
              <w:rPr>
                <w:i/>
                <w:iCs/>
                <w:sz w:val="16"/>
                <w:szCs w:val="16"/>
              </w:rPr>
            </w:pPr>
            <w:r w:rsidRPr="00A65AF1">
              <w:rPr>
                <w:i/>
                <w:iCs/>
                <w:sz w:val="16"/>
                <w:szCs w:val="16"/>
              </w:rPr>
              <w:t>LnMV</w:t>
            </w:r>
          </w:p>
          <w:p w:rsidR="00396D6D" w:rsidRPr="00A65AF1" w:rsidRDefault="00396D6D" w:rsidP="008010EB">
            <w:pPr>
              <w:rPr>
                <w:i/>
                <w:iCs/>
                <w:sz w:val="16"/>
                <w:szCs w:val="16"/>
              </w:rPr>
            </w:pPr>
            <w:r w:rsidRPr="00A65AF1">
              <w:rPr>
                <w:i/>
                <w:iCs/>
                <w:sz w:val="16"/>
                <w:szCs w:val="16"/>
              </w:rPr>
              <w:t>×MKTRF</w:t>
            </w: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0.023***</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0.056***</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0.024***</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0.056***</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r w:rsidRPr="00A65AF1">
              <w:rPr>
                <w:rFonts w:eastAsia="Times New Roman"/>
                <w:i/>
                <w:kern w:val="0"/>
                <w:sz w:val="16"/>
              </w:rPr>
              <w:t>Lev</w:t>
            </w: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0.020***</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0.070***</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0.021***</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0.070***</w:t>
            </w: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01"/>
          <w:jc w:val="center"/>
        </w:trPr>
        <w:tc>
          <w:tcPr>
            <w:tcW w:w="1095" w:type="dxa"/>
            <w:tcBorders>
              <w:top w:val="nil"/>
              <w:left w:val="nil"/>
              <w:bottom w:val="nil"/>
              <w:right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(4.57)</w:t>
            </w:r>
          </w:p>
        </w:tc>
        <w:tc>
          <w:tcPr>
            <w:tcW w:w="9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(9.20)</w:t>
            </w:r>
          </w:p>
        </w:tc>
        <w:tc>
          <w:tcPr>
            <w:tcW w:w="63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(4.75)</w:t>
            </w: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(9.20)</w:t>
            </w:r>
          </w:p>
        </w:tc>
        <w:tc>
          <w:tcPr>
            <w:tcW w:w="814"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p>
        </w:tc>
        <w:tc>
          <w:tcPr>
            <w:tcW w:w="900"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(5.80)</w:t>
            </w:r>
          </w:p>
        </w:tc>
        <w:tc>
          <w:tcPr>
            <w:tcW w:w="90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(10.16)</w:t>
            </w:r>
          </w:p>
        </w:tc>
        <w:tc>
          <w:tcPr>
            <w:tcW w:w="727"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(5.91)</w:t>
            </w:r>
          </w:p>
        </w:tc>
        <w:tc>
          <w:tcPr>
            <w:tcW w:w="912"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(10.06)</w:t>
            </w:r>
          </w:p>
        </w:tc>
        <w:tc>
          <w:tcPr>
            <w:tcW w:w="59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94"/>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A82E36" w:rsidRDefault="00396D6D" w:rsidP="008010EB">
            <w:pPr>
              <w:rPr>
                <w:i/>
                <w:iCs/>
                <w:sz w:val="16"/>
                <w:szCs w:val="16"/>
              </w:rPr>
            </w:pPr>
            <w:r w:rsidRPr="00A65AF1">
              <w:rPr>
                <w:i/>
                <w:iCs/>
                <w:sz w:val="16"/>
                <w:szCs w:val="16"/>
              </w:rPr>
              <w:t>STD_CFO</w:t>
            </w:r>
          </w:p>
          <w:p w:rsidR="00396D6D" w:rsidRPr="00A65AF1" w:rsidRDefault="00396D6D" w:rsidP="008010EB">
            <w:pPr>
              <w:rPr>
                <w:i/>
                <w:iCs/>
                <w:sz w:val="16"/>
                <w:szCs w:val="16"/>
              </w:rPr>
            </w:pPr>
            <w:r w:rsidRPr="00A65AF1">
              <w:rPr>
                <w:i/>
                <w:iCs/>
                <w:sz w:val="16"/>
                <w:szCs w:val="16"/>
              </w:rPr>
              <w:t>×MKTRF</w:t>
            </w: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1.944***</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1.496***</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1.966***</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1.496***</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r w:rsidRPr="00A65AF1">
              <w:rPr>
                <w:rFonts w:eastAsia="Times New Roman"/>
                <w:i/>
                <w:kern w:val="0"/>
                <w:sz w:val="16"/>
              </w:rPr>
              <w:t>LnMV</w:t>
            </w: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0.004***</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0.017***</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0.004***</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0.017***</w:t>
            </w: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01"/>
          <w:jc w:val="center"/>
        </w:trPr>
        <w:tc>
          <w:tcPr>
            <w:tcW w:w="1095" w:type="dxa"/>
            <w:tcBorders>
              <w:top w:val="nil"/>
              <w:left w:val="nil"/>
              <w:bottom w:val="nil"/>
              <w:right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(7.95)</w:t>
            </w:r>
          </w:p>
        </w:tc>
        <w:tc>
          <w:tcPr>
            <w:tcW w:w="9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(6.83)</w:t>
            </w:r>
          </w:p>
        </w:tc>
        <w:tc>
          <w:tcPr>
            <w:tcW w:w="63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(8.02)</w:t>
            </w: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(6.83)</w:t>
            </w:r>
          </w:p>
        </w:tc>
        <w:tc>
          <w:tcPr>
            <w:tcW w:w="814"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p>
        </w:tc>
        <w:tc>
          <w:tcPr>
            <w:tcW w:w="900"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10.41)</w:t>
            </w:r>
          </w:p>
        </w:tc>
        <w:tc>
          <w:tcPr>
            <w:tcW w:w="90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18.31)</w:t>
            </w:r>
          </w:p>
        </w:tc>
        <w:tc>
          <w:tcPr>
            <w:tcW w:w="727"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10.46)</w:t>
            </w:r>
          </w:p>
        </w:tc>
        <w:tc>
          <w:tcPr>
            <w:tcW w:w="912"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18.36)</w:t>
            </w:r>
          </w:p>
        </w:tc>
        <w:tc>
          <w:tcPr>
            <w:tcW w:w="59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38"/>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A82E36" w:rsidRDefault="00396D6D" w:rsidP="008010EB">
            <w:pPr>
              <w:rPr>
                <w:i/>
                <w:iCs/>
                <w:sz w:val="16"/>
                <w:szCs w:val="16"/>
              </w:rPr>
            </w:pPr>
            <w:r w:rsidRPr="00A65AF1">
              <w:rPr>
                <w:i/>
                <w:iCs/>
                <w:sz w:val="16"/>
                <w:szCs w:val="16"/>
              </w:rPr>
              <w:t>CFO</w:t>
            </w:r>
          </w:p>
          <w:p w:rsidR="00396D6D" w:rsidRPr="00A65AF1" w:rsidRDefault="00396D6D" w:rsidP="008010EB">
            <w:pPr>
              <w:rPr>
                <w:i/>
                <w:iCs/>
                <w:sz w:val="16"/>
                <w:szCs w:val="16"/>
              </w:rPr>
            </w:pPr>
            <w:r w:rsidRPr="00A65AF1">
              <w:rPr>
                <w:i/>
                <w:iCs/>
                <w:sz w:val="16"/>
                <w:szCs w:val="16"/>
              </w:rPr>
              <w:t>×MKTRF</w:t>
            </w: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0.880***</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0.577***</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0.907***</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0.577***</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r w:rsidRPr="00A65AF1">
              <w:rPr>
                <w:rFonts w:eastAsia="Times New Roman"/>
                <w:i/>
                <w:kern w:val="0"/>
                <w:sz w:val="16"/>
              </w:rPr>
              <w:t>STD</w:t>
            </w:r>
            <w:r w:rsidRPr="00A65AF1">
              <w:rPr>
                <w:rFonts w:eastAsia="Times New Roman"/>
                <w:i/>
                <w:kern w:val="0"/>
                <w:sz w:val="14"/>
              </w:rPr>
              <w:t>_</w:t>
            </w:r>
            <w:r w:rsidRPr="00A65AF1">
              <w:rPr>
                <w:rFonts w:eastAsia="Times New Roman"/>
                <w:i/>
                <w:kern w:val="0"/>
                <w:sz w:val="16"/>
              </w:rPr>
              <w:t>CFO</w:t>
            </w: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0.231***</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0.345***</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0.231***</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0.348***</w:t>
            </w: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192"/>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9.11)</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6.58)</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9.37)</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6.58)</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(11.74)</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(9.78)</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(11.74)</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(9.85)</w:t>
            </w: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38"/>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A82E36" w:rsidRDefault="00396D6D" w:rsidP="008010EB">
            <w:pPr>
              <w:rPr>
                <w:i/>
                <w:iCs/>
                <w:sz w:val="16"/>
                <w:szCs w:val="16"/>
              </w:rPr>
            </w:pPr>
            <w:r w:rsidRPr="00A65AF1">
              <w:rPr>
                <w:i/>
                <w:iCs/>
                <w:sz w:val="16"/>
                <w:szCs w:val="16"/>
              </w:rPr>
              <w:t>BM</w:t>
            </w:r>
          </w:p>
          <w:p w:rsidR="00396D6D" w:rsidRPr="00A65AF1" w:rsidRDefault="00396D6D" w:rsidP="008010EB">
            <w:pPr>
              <w:rPr>
                <w:i/>
                <w:iCs/>
                <w:sz w:val="16"/>
                <w:szCs w:val="16"/>
              </w:rPr>
            </w:pPr>
            <w:r w:rsidRPr="00A65AF1">
              <w:rPr>
                <w:i/>
                <w:iCs/>
                <w:sz w:val="16"/>
                <w:szCs w:val="16"/>
              </w:rPr>
              <w:t>×MKTRF</w:t>
            </w: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0.086***</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0.040**</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0.089***</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0.040**</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r w:rsidRPr="00A65AF1">
              <w:rPr>
                <w:rFonts w:eastAsia="Times New Roman"/>
                <w:i/>
                <w:kern w:val="0"/>
                <w:sz w:val="16"/>
              </w:rPr>
              <w:t>CFO</w:t>
            </w: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0.042***</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0.201***</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0.041***</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widowControl/>
              <w:overflowPunct/>
              <w:autoSpaceDE/>
              <w:autoSpaceDN/>
              <w:adjustRightInd/>
              <w:jc w:val="center"/>
              <w:rPr>
                <w:sz w:val="16"/>
                <w:szCs w:val="16"/>
              </w:rPr>
            </w:pPr>
            <w:r w:rsidRPr="00A65AF1">
              <w:rPr>
                <w:sz w:val="16"/>
                <w:szCs w:val="16"/>
              </w:rPr>
              <w:t>−</w:t>
            </w:r>
            <w:r w:rsidR="00396D6D" w:rsidRPr="00931FD3">
              <w:rPr>
                <w:sz w:val="16"/>
                <w:szCs w:val="16"/>
              </w:rPr>
              <w:t>0.202***</w:t>
            </w: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183"/>
          <w:jc w:val="center"/>
        </w:trPr>
        <w:tc>
          <w:tcPr>
            <w:tcW w:w="1095" w:type="dxa"/>
            <w:tcBorders>
              <w:top w:val="nil"/>
              <w:left w:val="nil"/>
              <w:bottom w:val="nil"/>
              <w:right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6.05)</w:t>
            </w:r>
          </w:p>
        </w:tc>
        <w:tc>
          <w:tcPr>
            <w:tcW w:w="9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2.54)</w:t>
            </w:r>
          </w:p>
        </w:tc>
        <w:tc>
          <w:tcPr>
            <w:tcW w:w="63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6.26)</w:t>
            </w: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2.54)</w:t>
            </w:r>
          </w:p>
        </w:tc>
        <w:tc>
          <w:tcPr>
            <w:tcW w:w="814"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left w:val="nil"/>
              <w:bottom w:val="nil"/>
              <w:right w:val="nil"/>
            </w:tcBorders>
            <w:shd w:val="clear" w:color="auto" w:fill="auto"/>
            <w:noWrap/>
            <w:tcMar>
              <w:top w:w="15" w:type="dxa"/>
              <w:left w:w="15" w:type="dxa"/>
              <w:bottom w:w="0" w:type="dxa"/>
              <w:right w:w="15" w:type="dxa"/>
            </w:tcMar>
            <w:hideMark/>
          </w:tcPr>
          <w:p w:rsidR="00396D6D" w:rsidRPr="00A65AF1" w:rsidRDefault="00396D6D" w:rsidP="00106453">
            <w:pPr>
              <w:widowControl/>
              <w:overflowPunct/>
              <w:autoSpaceDE/>
              <w:autoSpaceDN/>
              <w:adjustRightInd/>
              <w:rPr>
                <w:rFonts w:eastAsia="Times New Roman"/>
                <w:i/>
                <w:kern w:val="0"/>
                <w:sz w:val="16"/>
              </w:rPr>
            </w:pPr>
          </w:p>
        </w:tc>
        <w:tc>
          <w:tcPr>
            <w:tcW w:w="900"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4.35)</w:t>
            </w:r>
          </w:p>
        </w:tc>
        <w:tc>
          <w:tcPr>
            <w:tcW w:w="90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15.56)</w:t>
            </w:r>
          </w:p>
        </w:tc>
        <w:tc>
          <w:tcPr>
            <w:tcW w:w="727"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4.30)</w:t>
            </w:r>
          </w:p>
        </w:tc>
        <w:tc>
          <w:tcPr>
            <w:tcW w:w="912"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w:t>
            </w:r>
            <w:r w:rsidR="00D33E9F" w:rsidRPr="00A65AF1">
              <w:rPr>
                <w:sz w:val="16"/>
                <w:szCs w:val="16"/>
              </w:rPr>
              <w:t>−</w:t>
            </w:r>
            <w:r w:rsidRPr="00931FD3">
              <w:rPr>
                <w:sz w:val="16"/>
                <w:szCs w:val="16"/>
              </w:rPr>
              <w:t>15.62)</w:t>
            </w:r>
          </w:p>
        </w:tc>
        <w:tc>
          <w:tcPr>
            <w:tcW w:w="59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38"/>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r w:rsidRPr="00A65AF1">
              <w:rPr>
                <w:i/>
                <w:iCs/>
                <w:sz w:val="16"/>
                <w:szCs w:val="16"/>
              </w:rPr>
              <w:t>MKTRF</w:t>
            </w: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0.669***</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0.296***</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0.685***</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0.296***</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vAlign w:val="bottom"/>
            <w:hideMark/>
          </w:tcPr>
          <w:p w:rsidR="00396D6D" w:rsidRPr="00A65AF1" w:rsidRDefault="00396D6D" w:rsidP="00106453">
            <w:pPr>
              <w:widowControl/>
              <w:overflowPunct/>
              <w:autoSpaceDE/>
              <w:autoSpaceDN/>
              <w:adjustRightInd/>
              <w:rPr>
                <w:rFonts w:eastAsia="Times New Roman"/>
                <w:i/>
                <w:kern w:val="0"/>
                <w:sz w:val="16"/>
              </w:rPr>
            </w:pPr>
            <w:r w:rsidRPr="00A65AF1">
              <w:rPr>
                <w:rFonts w:eastAsia="Times New Roman"/>
                <w:i/>
                <w:kern w:val="0"/>
                <w:sz w:val="16"/>
              </w:rPr>
              <w:t>Intercept</w:t>
            </w: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0.124***</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0.226***</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0.124***</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0.227***</w:t>
            </w: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129"/>
          <w:jc w:val="center"/>
        </w:trPr>
        <w:tc>
          <w:tcPr>
            <w:tcW w:w="1095" w:type="dxa"/>
            <w:tcBorders>
              <w:top w:val="nil"/>
              <w:left w:val="nil"/>
              <w:bottom w:val="nil"/>
              <w:right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(16.86)</w:t>
            </w:r>
          </w:p>
        </w:tc>
        <w:tc>
          <w:tcPr>
            <w:tcW w:w="9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(6.63)</w:t>
            </w:r>
          </w:p>
        </w:tc>
        <w:tc>
          <w:tcPr>
            <w:tcW w:w="63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(17.30)</w:t>
            </w: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(6.63)</w:t>
            </w:r>
          </w:p>
        </w:tc>
        <w:tc>
          <w:tcPr>
            <w:tcW w:w="814"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left w:val="nil"/>
              <w:bottom w:val="nil"/>
              <w:right w:val="nil"/>
            </w:tcBorders>
            <w:shd w:val="clear" w:color="auto" w:fill="auto"/>
            <w:noWrap/>
            <w:tcMar>
              <w:top w:w="15" w:type="dxa"/>
              <w:left w:w="15" w:type="dxa"/>
              <w:bottom w:w="0" w:type="dxa"/>
              <w:right w:w="15" w:type="dxa"/>
            </w:tcMar>
            <w:hideMark/>
          </w:tcPr>
          <w:p w:rsidR="00396D6D" w:rsidRPr="00A65AF1" w:rsidRDefault="00396D6D" w:rsidP="00106453">
            <w:pPr>
              <w:widowControl/>
              <w:overflowPunct/>
              <w:autoSpaceDE/>
              <w:autoSpaceDN/>
              <w:adjustRightInd/>
              <w:rPr>
                <w:rFonts w:eastAsia="Times New Roman"/>
                <w:i/>
                <w:kern w:val="0"/>
                <w:sz w:val="16"/>
              </w:rPr>
            </w:pPr>
          </w:p>
        </w:tc>
        <w:tc>
          <w:tcPr>
            <w:tcW w:w="900"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(33.00)</w:t>
            </w:r>
          </w:p>
        </w:tc>
        <w:tc>
          <w:tcPr>
            <w:tcW w:w="90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(32.30)</w:t>
            </w:r>
          </w:p>
        </w:tc>
        <w:tc>
          <w:tcPr>
            <w:tcW w:w="727"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(32.83)</w:t>
            </w:r>
          </w:p>
        </w:tc>
        <w:tc>
          <w:tcPr>
            <w:tcW w:w="912"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(32.09)</w:t>
            </w:r>
          </w:p>
        </w:tc>
        <w:tc>
          <w:tcPr>
            <w:tcW w:w="59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38"/>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r w:rsidRPr="00A65AF1">
              <w:rPr>
                <w:i/>
                <w:iCs/>
                <w:sz w:val="16"/>
                <w:szCs w:val="16"/>
              </w:rPr>
              <w:t>H_EQ</w:t>
            </w: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0.000</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0.002**</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0.000</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0.002**</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tcPr>
          <w:p w:rsidR="00396D6D" w:rsidRPr="00A65AF1" w:rsidRDefault="00396D6D" w:rsidP="00106453">
            <w:pPr>
              <w:widowControl/>
              <w:overflowPunct/>
              <w:autoSpaceDE/>
              <w:autoSpaceDN/>
              <w:adjustRightInd/>
              <w:rPr>
                <w:rFonts w:eastAsia="Times New Roman"/>
                <w:i/>
                <w:kern w:val="0"/>
                <w:sz w:val="16"/>
              </w:rPr>
            </w:pPr>
          </w:p>
        </w:tc>
        <w:tc>
          <w:tcPr>
            <w:tcW w:w="900"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903"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727"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912"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59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156"/>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0.51)</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EC36FF" w:rsidP="008010EB">
            <w:pPr>
              <w:jc w:val="center"/>
              <w:rPr>
                <w:iCs/>
                <w:sz w:val="16"/>
                <w:szCs w:val="16"/>
              </w:rPr>
            </w:pPr>
            <w:r w:rsidRPr="00A65AF1">
              <w:rPr>
                <w:iCs/>
                <w:sz w:val="16"/>
                <w:szCs w:val="16"/>
              </w:rPr>
              <w:t>(</w:t>
            </w:r>
            <w:r w:rsidR="00396D6D" w:rsidRPr="00931FD3">
              <w:rPr>
                <w:iCs/>
                <w:sz w:val="16"/>
                <w:szCs w:val="16"/>
              </w:rPr>
              <w:t>2.29)</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0.61)</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EC36FF" w:rsidP="008010EB">
            <w:pPr>
              <w:jc w:val="center"/>
              <w:rPr>
                <w:iCs/>
                <w:sz w:val="16"/>
                <w:szCs w:val="16"/>
              </w:rPr>
            </w:pPr>
            <w:r w:rsidRPr="00A65AF1">
              <w:rPr>
                <w:iCs/>
                <w:sz w:val="16"/>
                <w:szCs w:val="16"/>
              </w:rPr>
              <w:t>(</w:t>
            </w:r>
            <w:r w:rsidR="00396D6D" w:rsidRPr="00931FD3">
              <w:rPr>
                <w:iCs/>
                <w:sz w:val="16"/>
                <w:szCs w:val="16"/>
              </w:rPr>
              <w:t>2.29)</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tcPr>
          <w:p w:rsidR="00396D6D" w:rsidRPr="00931FD3" w:rsidRDefault="00396D6D" w:rsidP="00106453">
            <w:pPr>
              <w:widowControl/>
              <w:overflowPunct/>
              <w:autoSpaceDE/>
              <w:autoSpaceDN/>
              <w:adjustRightInd/>
              <w:rPr>
                <w:rFonts w:eastAsia="Times New Roman"/>
                <w:i/>
                <w:kern w:val="0"/>
                <w:sz w:val="16"/>
              </w:rPr>
            </w:pPr>
          </w:p>
        </w:tc>
        <w:tc>
          <w:tcPr>
            <w:tcW w:w="900"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903"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727"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912"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c>
          <w:tcPr>
            <w:tcW w:w="591"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38"/>
          <w:jc w:val="center"/>
        </w:trPr>
        <w:tc>
          <w:tcPr>
            <w:tcW w:w="1095" w:type="dxa"/>
            <w:tcBorders>
              <w:top w:val="nil"/>
              <w:left w:val="nil"/>
              <w:bottom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r w:rsidRPr="00A65AF1">
              <w:rPr>
                <w:i/>
                <w:iCs/>
                <w:sz w:val="16"/>
                <w:szCs w:val="16"/>
              </w:rPr>
              <w:t>H_P_EQ</w:t>
            </w:r>
          </w:p>
        </w:tc>
        <w:tc>
          <w:tcPr>
            <w:tcW w:w="819"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0.003***</w:t>
            </w:r>
          </w:p>
        </w:tc>
        <w:tc>
          <w:tcPr>
            <w:tcW w:w="905" w:type="dxa"/>
            <w:gridSpan w:val="2"/>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0.004***</w:t>
            </w:r>
          </w:p>
        </w:tc>
        <w:tc>
          <w:tcPr>
            <w:tcW w:w="63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0.002***</w:t>
            </w:r>
          </w:p>
        </w:tc>
        <w:tc>
          <w:tcPr>
            <w:tcW w:w="91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D33E9F" w:rsidP="008010EB">
            <w:pPr>
              <w:jc w:val="center"/>
              <w:rPr>
                <w:iCs/>
                <w:sz w:val="16"/>
                <w:szCs w:val="16"/>
              </w:rPr>
            </w:pPr>
            <w:r w:rsidRPr="00A65AF1">
              <w:rPr>
                <w:iCs/>
                <w:sz w:val="16"/>
                <w:szCs w:val="16"/>
              </w:rPr>
              <w:t>−</w:t>
            </w:r>
            <w:r w:rsidR="00396D6D" w:rsidRPr="00931FD3">
              <w:rPr>
                <w:iCs/>
                <w:sz w:val="16"/>
                <w:szCs w:val="16"/>
              </w:rPr>
              <w:t>0.004***</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hideMark/>
          </w:tcPr>
          <w:p w:rsidR="00396D6D" w:rsidRPr="00931FD3" w:rsidRDefault="00396D6D" w:rsidP="00106453">
            <w:pPr>
              <w:widowControl/>
              <w:overflowPunct/>
              <w:autoSpaceDE/>
              <w:autoSpaceDN/>
              <w:adjustRightInd/>
              <w:rPr>
                <w:rFonts w:eastAsia="Times New Roman"/>
                <w:i/>
                <w:kern w:val="0"/>
                <w:sz w:val="16"/>
              </w:rPr>
            </w:pPr>
          </w:p>
        </w:tc>
        <w:tc>
          <w:tcPr>
            <w:tcW w:w="900" w:type="dxa"/>
            <w:tcBorders>
              <w:top w:val="nil"/>
              <w:bottom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903" w:type="dxa"/>
            <w:tcBorders>
              <w:top w:val="nil"/>
              <w:bottom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727" w:type="dxa"/>
            <w:tcBorders>
              <w:top w:val="nil"/>
              <w:bottom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912" w:type="dxa"/>
            <w:tcBorders>
              <w:top w:val="nil"/>
              <w:bottom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591" w:type="dxa"/>
            <w:tcBorders>
              <w:top w:val="nil"/>
              <w:bottom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192"/>
          <w:jc w:val="center"/>
        </w:trPr>
        <w:tc>
          <w:tcPr>
            <w:tcW w:w="1095" w:type="dxa"/>
            <w:tcBorders>
              <w:top w:val="nil"/>
              <w:left w:val="nil"/>
              <w:bottom w:val="nil"/>
              <w:right w:val="nil"/>
            </w:tcBorders>
            <w:shd w:val="clear" w:color="auto" w:fill="auto"/>
            <w:tcMar>
              <w:top w:w="15" w:type="dxa"/>
              <w:left w:w="15" w:type="dxa"/>
              <w:bottom w:w="0" w:type="dxa"/>
              <w:right w:w="15" w:type="dxa"/>
            </w:tcMar>
            <w:vAlign w:val="center"/>
            <w:hideMark/>
          </w:tcPr>
          <w:p w:rsidR="00396D6D" w:rsidRPr="00A65AF1" w:rsidRDefault="00396D6D" w:rsidP="008010EB">
            <w:pPr>
              <w:rPr>
                <w:i/>
                <w:iCs/>
                <w:sz w:val="16"/>
                <w:szCs w:val="16"/>
              </w:rPr>
            </w:pPr>
          </w:p>
        </w:tc>
        <w:tc>
          <w:tcPr>
            <w:tcW w:w="819"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4.28)</w:t>
            </w:r>
          </w:p>
        </w:tc>
        <w:tc>
          <w:tcPr>
            <w:tcW w:w="905"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5.23)</w:t>
            </w:r>
          </w:p>
        </w:tc>
        <w:tc>
          <w:tcPr>
            <w:tcW w:w="631"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3.68)</w:t>
            </w:r>
          </w:p>
        </w:tc>
        <w:tc>
          <w:tcPr>
            <w:tcW w:w="913"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r w:rsidRPr="00931FD3">
              <w:rPr>
                <w:iCs/>
                <w:sz w:val="16"/>
                <w:szCs w:val="16"/>
              </w:rPr>
              <w:t>(</w:t>
            </w:r>
            <w:r w:rsidR="00D33E9F" w:rsidRPr="00A65AF1">
              <w:rPr>
                <w:iCs/>
                <w:sz w:val="16"/>
                <w:szCs w:val="16"/>
              </w:rPr>
              <w:t>−</w:t>
            </w:r>
            <w:r w:rsidRPr="00931FD3">
              <w:rPr>
                <w:iCs/>
                <w:sz w:val="16"/>
                <w:szCs w:val="16"/>
              </w:rPr>
              <w:t>5.23)</w:t>
            </w:r>
          </w:p>
        </w:tc>
        <w:tc>
          <w:tcPr>
            <w:tcW w:w="814" w:type="dxa"/>
            <w:tcBorders>
              <w:top w:val="nil"/>
              <w:left w:val="nil"/>
              <w:bottom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left w:val="nil"/>
              <w:bottom w:val="nil"/>
              <w:right w:val="nil"/>
            </w:tcBorders>
            <w:shd w:val="clear" w:color="auto" w:fill="auto"/>
            <w:noWrap/>
            <w:tcMar>
              <w:top w:w="15" w:type="dxa"/>
              <w:left w:w="15" w:type="dxa"/>
              <w:bottom w:w="0" w:type="dxa"/>
              <w:right w:w="15" w:type="dxa"/>
            </w:tcMar>
            <w:hideMark/>
          </w:tcPr>
          <w:p w:rsidR="00396D6D" w:rsidRPr="00931FD3" w:rsidRDefault="00396D6D" w:rsidP="00106453">
            <w:pPr>
              <w:widowControl/>
              <w:overflowPunct/>
              <w:autoSpaceDE/>
              <w:autoSpaceDN/>
              <w:adjustRightInd/>
              <w:rPr>
                <w:rFonts w:eastAsia="Times New Roman"/>
                <w:i/>
                <w:kern w:val="0"/>
                <w:sz w:val="16"/>
              </w:rPr>
            </w:pPr>
          </w:p>
        </w:tc>
        <w:tc>
          <w:tcPr>
            <w:tcW w:w="900" w:type="dxa"/>
            <w:tcBorders>
              <w:top w:val="nil"/>
              <w:left w:val="nil"/>
              <w:bottom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903" w:type="dxa"/>
            <w:tcBorders>
              <w:top w:val="nil"/>
              <w:left w:val="nil"/>
              <w:bottom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727" w:type="dxa"/>
            <w:tcBorders>
              <w:top w:val="nil"/>
              <w:left w:val="nil"/>
              <w:bottom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left w:val="nil"/>
              <w:bottom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912" w:type="dxa"/>
            <w:tcBorders>
              <w:top w:val="nil"/>
              <w:left w:val="nil"/>
              <w:bottom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591" w:type="dxa"/>
            <w:tcBorders>
              <w:top w:val="nil"/>
              <w:left w:val="nil"/>
              <w:bottom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19"/>
          <w:jc w:val="center"/>
        </w:trPr>
        <w:tc>
          <w:tcPr>
            <w:tcW w:w="1095" w:type="dxa"/>
            <w:tcBorders>
              <w:top w:val="nil"/>
              <w:left w:val="nil"/>
              <w:right w:val="nil"/>
            </w:tcBorders>
            <w:shd w:val="clear" w:color="auto" w:fill="auto"/>
            <w:tcMar>
              <w:top w:w="15" w:type="dxa"/>
              <w:left w:w="15" w:type="dxa"/>
              <w:bottom w:w="0" w:type="dxa"/>
              <w:right w:w="15" w:type="dxa"/>
            </w:tcMar>
            <w:vAlign w:val="center"/>
          </w:tcPr>
          <w:p w:rsidR="00396D6D" w:rsidRPr="00931FD3" w:rsidRDefault="00396D6D" w:rsidP="008010EB">
            <w:pPr>
              <w:rPr>
                <w:i/>
                <w:sz w:val="16"/>
                <w:szCs w:val="16"/>
              </w:rPr>
            </w:pPr>
            <w:r w:rsidRPr="00931FD3">
              <w:rPr>
                <w:i/>
                <w:sz w:val="16"/>
                <w:szCs w:val="16"/>
              </w:rPr>
              <w:t>Other Variables</w:t>
            </w:r>
          </w:p>
        </w:tc>
        <w:tc>
          <w:tcPr>
            <w:tcW w:w="819" w:type="dxa"/>
            <w:tcBorders>
              <w:top w:val="nil"/>
              <w:left w:val="nil"/>
              <w:right w:val="nil"/>
            </w:tcBorders>
            <w:shd w:val="clear" w:color="auto" w:fill="auto"/>
            <w:noWrap/>
            <w:tcMar>
              <w:top w:w="15" w:type="dxa"/>
              <w:left w:w="15" w:type="dxa"/>
              <w:bottom w:w="0" w:type="dxa"/>
              <w:right w:w="15" w:type="dxa"/>
            </w:tcMar>
          </w:tcPr>
          <w:p w:rsidR="00396D6D" w:rsidRPr="00931FD3" w:rsidRDefault="00396D6D" w:rsidP="008010EB">
            <w:pPr>
              <w:jc w:val="center"/>
              <w:rPr>
                <w:iCs/>
                <w:sz w:val="16"/>
                <w:szCs w:val="16"/>
              </w:rPr>
            </w:pPr>
            <w:r w:rsidRPr="00A65AF1">
              <w:rPr>
                <w:iCs/>
                <w:sz w:val="16"/>
                <w:szCs w:val="16"/>
              </w:rPr>
              <w:t>YES</w:t>
            </w:r>
          </w:p>
        </w:tc>
        <w:tc>
          <w:tcPr>
            <w:tcW w:w="905" w:type="dxa"/>
            <w:gridSpan w:val="2"/>
            <w:tcBorders>
              <w:top w:val="nil"/>
              <w:left w:val="nil"/>
              <w:right w:val="nil"/>
            </w:tcBorders>
            <w:shd w:val="clear" w:color="auto" w:fill="auto"/>
            <w:noWrap/>
            <w:tcMar>
              <w:top w:w="15" w:type="dxa"/>
              <w:left w:w="15" w:type="dxa"/>
              <w:bottom w:w="0" w:type="dxa"/>
              <w:right w:w="15" w:type="dxa"/>
            </w:tcMar>
          </w:tcPr>
          <w:p w:rsidR="00396D6D" w:rsidRPr="00931FD3" w:rsidRDefault="00396D6D" w:rsidP="008010EB">
            <w:pPr>
              <w:jc w:val="center"/>
              <w:rPr>
                <w:iCs/>
                <w:sz w:val="16"/>
                <w:szCs w:val="16"/>
              </w:rPr>
            </w:pPr>
            <w:r w:rsidRPr="00A65AF1">
              <w:rPr>
                <w:iCs/>
                <w:sz w:val="16"/>
                <w:szCs w:val="16"/>
              </w:rPr>
              <w:t>YES</w:t>
            </w:r>
          </w:p>
        </w:tc>
        <w:tc>
          <w:tcPr>
            <w:tcW w:w="631" w:type="dxa"/>
            <w:tcBorders>
              <w:top w:val="nil"/>
              <w:left w:val="nil"/>
              <w:right w:val="nil"/>
            </w:tcBorders>
            <w:shd w:val="clear" w:color="auto" w:fill="auto"/>
            <w:noWrap/>
            <w:tcMar>
              <w:top w:w="15" w:type="dxa"/>
              <w:left w:w="15" w:type="dxa"/>
              <w:bottom w:w="0" w:type="dxa"/>
              <w:right w:w="15" w:type="dxa"/>
            </w:tcMar>
          </w:tcPr>
          <w:p w:rsidR="00396D6D" w:rsidRPr="00931FD3" w:rsidRDefault="00396D6D" w:rsidP="008010EB">
            <w:pPr>
              <w:jc w:val="center"/>
              <w:rPr>
                <w:iCs/>
                <w:sz w:val="16"/>
                <w:szCs w:val="16"/>
              </w:rPr>
            </w:pPr>
          </w:p>
        </w:tc>
        <w:tc>
          <w:tcPr>
            <w:tcW w:w="913" w:type="dxa"/>
            <w:tcBorders>
              <w:top w:val="nil"/>
              <w:left w:val="nil"/>
              <w:right w:val="nil"/>
            </w:tcBorders>
            <w:shd w:val="clear" w:color="auto" w:fill="auto"/>
            <w:noWrap/>
            <w:tcMar>
              <w:top w:w="15" w:type="dxa"/>
              <w:left w:w="15" w:type="dxa"/>
              <w:bottom w:w="0" w:type="dxa"/>
              <w:right w:w="15" w:type="dxa"/>
            </w:tcMar>
          </w:tcPr>
          <w:p w:rsidR="00396D6D" w:rsidRPr="00931FD3" w:rsidRDefault="00396D6D" w:rsidP="008010EB">
            <w:pPr>
              <w:jc w:val="center"/>
              <w:rPr>
                <w:iCs/>
                <w:sz w:val="16"/>
                <w:szCs w:val="16"/>
              </w:rPr>
            </w:pPr>
            <w:r w:rsidRPr="00A65AF1">
              <w:rPr>
                <w:iCs/>
                <w:sz w:val="16"/>
                <w:szCs w:val="16"/>
              </w:rPr>
              <w:t>YES</w:t>
            </w:r>
          </w:p>
        </w:tc>
        <w:tc>
          <w:tcPr>
            <w:tcW w:w="913" w:type="dxa"/>
            <w:tcBorders>
              <w:top w:val="nil"/>
              <w:left w:val="nil"/>
              <w:right w:val="nil"/>
            </w:tcBorders>
            <w:shd w:val="clear" w:color="auto" w:fill="auto"/>
            <w:noWrap/>
            <w:tcMar>
              <w:top w:w="15" w:type="dxa"/>
              <w:left w:w="15" w:type="dxa"/>
              <w:bottom w:w="0" w:type="dxa"/>
              <w:right w:w="15" w:type="dxa"/>
            </w:tcMar>
          </w:tcPr>
          <w:p w:rsidR="00396D6D" w:rsidRPr="00931FD3" w:rsidRDefault="00396D6D" w:rsidP="008010EB">
            <w:pPr>
              <w:jc w:val="center"/>
              <w:rPr>
                <w:iCs/>
                <w:sz w:val="16"/>
                <w:szCs w:val="16"/>
              </w:rPr>
            </w:pPr>
            <w:r w:rsidRPr="00A65AF1">
              <w:rPr>
                <w:iCs/>
                <w:sz w:val="16"/>
                <w:szCs w:val="16"/>
              </w:rPr>
              <w:t>YES</w:t>
            </w:r>
          </w:p>
        </w:tc>
        <w:tc>
          <w:tcPr>
            <w:tcW w:w="814" w:type="dxa"/>
            <w:tcBorders>
              <w:top w:val="nil"/>
              <w:left w:val="nil"/>
              <w:right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left w:val="nil"/>
              <w:right w:val="nil"/>
            </w:tcBorders>
            <w:shd w:val="clear" w:color="auto" w:fill="auto"/>
            <w:noWrap/>
            <w:tcMar>
              <w:top w:w="15" w:type="dxa"/>
              <w:left w:w="15" w:type="dxa"/>
              <w:bottom w:w="0" w:type="dxa"/>
              <w:right w:w="15" w:type="dxa"/>
            </w:tcMar>
            <w:vAlign w:val="bottom"/>
            <w:hideMark/>
          </w:tcPr>
          <w:p w:rsidR="00396D6D" w:rsidRPr="00931FD3" w:rsidRDefault="00396D6D" w:rsidP="00106453">
            <w:pPr>
              <w:widowControl/>
              <w:overflowPunct/>
              <w:autoSpaceDE/>
              <w:autoSpaceDN/>
              <w:adjustRightInd/>
              <w:rPr>
                <w:rFonts w:eastAsia="Times New Roman"/>
                <w:i/>
                <w:kern w:val="0"/>
                <w:sz w:val="16"/>
              </w:rPr>
            </w:pPr>
          </w:p>
        </w:tc>
        <w:tc>
          <w:tcPr>
            <w:tcW w:w="900" w:type="dxa"/>
            <w:tcBorders>
              <w:top w:val="nil"/>
              <w:left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903" w:type="dxa"/>
            <w:tcBorders>
              <w:top w:val="nil"/>
              <w:left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727" w:type="dxa"/>
            <w:tcBorders>
              <w:top w:val="nil"/>
              <w:left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left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912" w:type="dxa"/>
            <w:tcBorders>
              <w:top w:val="nil"/>
              <w:left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c>
          <w:tcPr>
            <w:tcW w:w="591" w:type="dxa"/>
            <w:tcBorders>
              <w:top w:val="nil"/>
              <w:left w:val="nil"/>
              <w:right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195"/>
          <w:jc w:val="center"/>
        </w:trPr>
        <w:tc>
          <w:tcPr>
            <w:tcW w:w="1095" w:type="dxa"/>
            <w:tcBorders>
              <w:top w:val="nil"/>
              <w:bottom w:val="nil"/>
            </w:tcBorders>
            <w:shd w:val="clear" w:color="auto" w:fill="auto"/>
            <w:noWrap/>
            <w:tcMar>
              <w:top w:w="15" w:type="dxa"/>
              <w:left w:w="15" w:type="dxa"/>
              <w:bottom w:w="0" w:type="dxa"/>
              <w:right w:w="15" w:type="dxa"/>
            </w:tcMar>
            <w:vAlign w:val="center"/>
          </w:tcPr>
          <w:p w:rsidR="00396D6D" w:rsidRPr="00180B18" w:rsidRDefault="00396D6D" w:rsidP="008010EB">
            <w:pPr>
              <w:rPr>
                <w:sz w:val="16"/>
              </w:rPr>
            </w:pPr>
            <w:r w:rsidRPr="00180B18">
              <w:rPr>
                <w:sz w:val="16"/>
                <w:szCs w:val="16"/>
              </w:rPr>
              <w:t>R</w:t>
            </w:r>
            <w:r w:rsidR="000538F4">
              <w:rPr>
                <w:sz w:val="16"/>
                <w:szCs w:val="16"/>
              </w:rPr>
              <w:t>-</w:t>
            </w:r>
            <w:r w:rsidRPr="00180B18">
              <w:rPr>
                <w:sz w:val="16"/>
                <w:szCs w:val="16"/>
              </w:rPr>
              <w:t>squared</w:t>
            </w:r>
          </w:p>
        </w:tc>
        <w:tc>
          <w:tcPr>
            <w:tcW w:w="819"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jc w:val="center"/>
              <w:rPr>
                <w:iCs/>
                <w:sz w:val="16"/>
                <w:szCs w:val="16"/>
              </w:rPr>
            </w:pPr>
            <w:r w:rsidRPr="00931FD3">
              <w:rPr>
                <w:iCs/>
                <w:sz w:val="16"/>
                <w:szCs w:val="16"/>
              </w:rPr>
              <w:t>0.1290</w:t>
            </w:r>
          </w:p>
        </w:tc>
        <w:tc>
          <w:tcPr>
            <w:tcW w:w="905" w:type="dxa"/>
            <w:gridSpan w:val="2"/>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jc w:val="center"/>
              <w:rPr>
                <w:iCs/>
                <w:sz w:val="16"/>
                <w:szCs w:val="16"/>
              </w:rPr>
            </w:pPr>
            <w:r w:rsidRPr="00931FD3">
              <w:rPr>
                <w:iCs/>
                <w:sz w:val="16"/>
                <w:szCs w:val="16"/>
              </w:rPr>
              <w:t>0.1087</w:t>
            </w:r>
          </w:p>
        </w:tc>
        <w:tc>
          <w:tcPr>
            <w:tcW w:w="631"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jc w:val="center"/>
              <w:rPr>
                <w:iCs/>
                <w:sz w:val="16"/>
                <w:szCs w:val="16"/>
              </w:rPr>
            </w:pPr>
          </w:p>
        </w:tc>
        <w:tc>
          <w:tcPr>
            <w:tcW w:w="913"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jc w:val="center"/>
              <w:rPr>
                <w:iCs/>
                <w:sz w:val="16"/>
                <w:szCs w:val="16"/>
              </w:rPr>
            </w:pPr>
            <w:r w:rsidRPr="00931FD3">
              <w:rPr>
                <w:iCs/>
                <w:sz w:val="16"/>
                <w:szCs w:val="16"/>
              </w:rPr>
              <w:t>0.1287</w:t>
            </w:r>
          </w:p>
        </w:tc>
        <w:tc>
          <w:tcPr>
            <w:tcW w:w="913" w:type="dxa"/>
            <w:tcBorders>
              <w:top w:val="nil"/>
              <w:bottom w:val="nil"/>
            </w:tcBorders>
            <w:shd w:val="clear" w:color="auto" w:fill="auto"/>
            <w:noWrap/>
            <w:tcMar>
              <w:top w:w="15" w:type="dxa"/>
              <w:left w:w="15" w:type="dxa"/>
              <w:bottom w:w="0" w:type="dxa"/>
              <w:right w:w="15" w:type="dxa"/>
            </w:tcMar>
            <w:vAlign w:val="bottom"/>
          </w:tcPr>
          <w:p w:rsidR="00396D6D" w:rsidRPr="00931FD3" w:rsidRDefault="00396D6D" w:rsidP="008010EB">
            <w:pPr>
              <w:jc w:val="center"/>
              <w:rPr>
                <w:iCs/>
                <w:sz w:val="16"/>
                <w:szCs w:val="16"/>
              </w:rPr>
            </w:pPr>
            <w:r w:rsidRPr="00931FD3">
              <w:rPr>
                <w:iCs/>
                <w:sz w:val="16"/>
                <w:szCs w:val="16"/>
              </w:rPr>
              <w:t>0.1087</w:t>
            </w:r>
          </w:p>
        </w:tc>
        <w:tc>
          <w:tcPr>
            <w:tcW w:w="814"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jc w:val="center"/>
              <w:rPr>
                <w:iCs/>
                <w:sz w:val="16"/>
                <w:szCs w:val="16"/>
              </w:rPr>
            </w:pPr>
          </w:p>
        </w:tc>
        <w:tc>
          <w:tcPr>
            <w:tcW w:w="1026" w:type="dxa"/>
            <w:tcBorders>
              <w:top w:val="nil"/>
              <w:bottom w:val="nil"/>
            </w:tcBorders>
            <w:shd w:val="clear" w:color="auto" w:fill="auto"/>
            <w:noWrap/>
            <w:tcMar>
              <w:top w:w="15" w:type="dxa"/>
              <w:left w:w="15" w:type="dxa"/>
              <w:bottom w:w="0" w:type="dxa"/>
              <w:right w:w="15" w:type="dxa"/>
            </w:tcMar>
            <w:vAlign w:val="center"/>
            <w:hideMark/>
          </w:tcPr>
          <w:p w:rsidR="00396D6D" w:rsidRPr="00180B18" w:rsidRDefault="00396D6D" w:rsidP="00106453">
            <w:pPr>
              <w:widowControl/>
              <w:overflowPunct/>
              <w:autoSpaceDE/>
              <w:autoSpaceDN/>
              <w:adjustRightInd/>
              <w:rPr>
                <w:rFonts w:eastAsia="Times New Roman"/>
                <w:kern w:val="0"/>
                <w:sz w:val="16"/>
              </w:rPr>
            </w:pPr>
            <w:r w:rsidRPr="00180B18">
              <w:rPr>
                <w:rFonts w:eastAsia="Times New Roman"/>
                <w:kern w:val="0"/>
                <w:sz w:val="16"/>
              </w:rPr>
              <w:t>R</w:t>
            </w:r>
            <w:r w:rsidR="000538F4">
              <w:rPr>
                <w:rFonts w:eastAsia="Times New Roman"/>
                <w:kern w:val="0"/>
                <w:sz w:val="16"/>
              </w:rPr>
              <w:t>-</w:t>
            </w:r>
            <w:r w:rsidRPr="00180B18">
              <w:rPr>
                <w:rFonts w:eastAsia="Times New Roman"/>
                <w:kern w:val="0"/>
                <w:sz w:val="16"/>
              </w:rPr>
              <w:t>square</w:t>
            </w:r>
          </w:p>
        </w:tc>
        <w:tc>
          <w:tcPr>
            <w:tcW w:w="900"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0.1117</w:t>
            </w:r>
          </w:p>
        </w:tc>
        <w:tc>
          <w:tcPr>
            <w:tcW w:w="903"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0.2356</w:t>
            </w:r>
          </w:p>
        </w:tc>
        <w:tc>
          <w:tcPr>
            <w:tcW w:w="727"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p>
        </w:tc>
        <w:tc>
          <w:tcPr>
            <w:tcW w:w="911"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0.1118</w:t>
            </w:r>
          </w:p>
        </w:tc>
        <w:tc>
          <w:tcPr>
            <w:tcW w:w="912" w:type="dxa"/>
            <w:tcBorders>
              <w:top w:val="nil"/>
              <w:bottom w:val="nil"/>
            </w:tcBorders>
            <w:shd w:val="clear" w:color="auto" w:fill="auto"/>
            <w:noWrap/>
            <w:tcMar>
              <w:top w:w="15" w:type="dxa"/>
              <w:left w:w="15" w:type="dxa"/>
              <w:bottom w:w="0" w:type="dxa"/>
              <w:right w:w="15" w:type="dxa"/>
            </w:tcMar>
            <w:vAlign w:val="bottom"/>
            <w:hideMark/>
          </w:tcPr>
          <w:p w:rsidR="00396D6D" w:rsidRPr="00931FD3" w:rsidRDefault="00396D6D" w:rsidP="008010EB">
            <w:pPr>
              <w:widowControl/>
              <w:overflowPunct/>
              <w:autoSpaceDE/>
              <w:autoSpaceDN/>
              <w:adjustRightInd/>
              <w:jc w:val="center"/>
              <w:rPr>
                <w:sz w:val="16"/>
                <w:szCs w:val="16"/>
              </w:rPr>
            </w:pPr>
            <w:r w:rsidRPr="00931FD3">
              <w:rPr>
                <w:sz w:val="16"/>
                <w:szCs w:val="16"/>
              </w:rPr>
              <w:t>0.2356</w:t>
            </w:r>
          </w:p>
        </w:tc>
        <w:tc>
          <w:tcPr>
            <w:tcW w:w="591" w:type="dxa"/>
            <w:tcBorders>
              <w:top w:val="nil"/>
              <w:bottom w:val="nil"/>
            </w:tcBorders>
            <w:shd w:val="clear" w:color="auto" w:fill="auto"/>
            <w:noWrap/>
            <w:tcMar>
              <w:top w:w="15" w:type="dxa"/>
              <w:left w:w="15" w:type="dxa"/>
              <w:bottom w:w="0" w:type="dxa"/>
              <w:right w:w="15" w:type="dxa"/>
            </w:tcMar>
            <w:hideMark/>
          </w:tcPr>
          <w:p w:rsidR="00396D6D" w:rsidRPr="00931FD3" w:rsidRDefault="00396D6D" w:rsidP="008010EB">
            <w:pPr>
              <w:widowControl/>
              <w:overflowPunct/>
              <w:autoSpaceDE/>
              <w:autoSpaceDN/>
              <w:adjustRightInd/>
              <w:jc w:val="center"/>
              <w:rPr>
                <w:sz w:val="16"/>
                <w:szCs w:val="16"/>
              </w:rPr>
            </w:pPr>
          </w:p>
        </w:tc>
      </w:tr>
      <w:tr w:rsidR="004943A9" w:rsidRPr="00A65AF1" w:rsidTr="008010EB">
        <w:trPr>
          <w:trHeight w:val="238"/>
          <w:jc w:val="center"/>
        </w:trPr>
        <w:tc>
          <w:tcPr>
            <w:tcW w:w="1095" w:type="dxa"/>
            <w:tcBorders>
              <w:top w:val="nil"/>
              <w:bottom w:val="single" w:sz="4" w:space="0" w:color="auto"/>
            </w:tcBorders>
            <w:shd w:val="clear" w:color="auto" w:fill="auto"/>
            <w:noWrap/>
            <w:tcMar>
              <w:top w:w="15" w:type="dxa"/>
              <w:left w:w="15" w:type="dxa"/>
              <w:bottom w:w="0" w:type="dxa"/>
              <w:right w:w="15" w:type="dxa"/>
            </w:tcMar>
            <w:vAlign w:val="center"/>
          </w:tcPr>
          <w:p w:rsidR="00396D6D" w:rsidRPr="00931FD3" w:rsidRDefault="00396D6D" w:rsidP="008010EB">
            <w:pPr>
              <w:rPr>
                <w:i/>
                <w:sz w:val="16"/>
              </w:rPr>
            </w:pPr>
            <w:r w:rsidRPr="00931FD3">
              <w:rPr>
                <w:i/>
                <w:sz w:val="16"/>
                <w:szCs w:val="16"/>
              </w:rPr>
              <w:t>N</w:t>
            </w:r>
          </w:p>
        </w:tc>
        <w:tc>
          <w:tcPr>
            <w:tcW w:w="819" w:type="dxa"/>
            <w:tcBorders>
              <w:top w:val="nil"/>
              <w:bottom w:val="single" w:sz="4" w:space="0" w:color="auto"/>
            </w:tcBorders>
            <w:shd w:val="clear" w:color="auto" w:fill="auto"/>
            <w:noWrap/>
            <w:tcMar>
              <w:top w:w="15" w:type="dxa"/>
              <w:left w:w="15" w:type="dxa"/>
              <w:bottom w:w="0" w:type="dxa"/>
              <w:right w:w="15" w:type="dxa"/>
            </w:tcMar>
            <w:vAlign w:val="bottom"/>
          </w:tcPr>
          <w:p w:rsidR="00396D6D" w:rsidRPr="002D65A3" w:rsidRDefault="00BF7DB4" w:rsidP="008010EB">
            <w:pPr>
              <w:jc w:val="center"/>
              <w:rPr>
                <w:iCs/>
                <w:sz w:val="16"/>
                <w:szCs w:val="16"/>
              </w:rPr>
            </w:pPr>
            <w:r w:rsidRPr="00931FD3">
              <w:rPr>
                <w:iCs/>
                <w:sz w:val="16"/>
                <w:szCs w:val="16"/>
              </w:rPr>
              <w:t>296</w:t>
            </w:r>
            <w:r w:rsidR="00D33E9F" w:rsidRPr="00931FD3">
              <w:rPr>
                <w:iCs/>
                <w:sz w:val="16"/>
                <w:szCs w:val="16"/>
              </w:rPr>
              <w:t>,</w:t>
            </w:r>
            <w:r w:rsidRPr="00931FD3">
              <w:rPr>
                <w:iCs/>
                <w:sz w:val="16"/>
                <w:szCs w:val="16"/>
              </w:rPr>
              <w:t>903</w:t>
            </w:r>
          </w:p>
        </w:tc>
        <w:tc>
          <w:tcPr>
            <w:tcW w:w="905" w:type="dxa"/>
            <w:gridSpan w:val="2"/>
            <w:tcBorders>
              <w:top w:val="nil"/>
              <w:bottom w:val="single" w:sz="4" w:space="0" w:color="auto"/>
            </w:tcBorders>
            <w:shd w:val="clear" w:color="auto" w:fill="auto"/>
            <w:noWrap/>
            <w:tcMar>
              <w:top w:w="15" w:type="dxa"/>
              <w:left w:w="15" w:type="dxa"/>
              <w:bottom w:w="0" w:type="dxa"/>
              <w:right w:w="15" w:type="dxa"/>
            </w:tcMar>
            <w:vAlign w:val="bottom"/>
          </w:tcPr>
          <w:p w:rsidR="00396D6D" w:rsidRPr="00931FD3" w:rsidRDefault="00D33E9F" w:rsidP="008010EB">
            <w:pPr>
              <w:jc w:val="center"/>
              <w:rPr>
                <w:iCs/>
                <w:sz w:val="16"/>
                <w:szCs w:val="16"/>
              </w:rPr>
            </w:pPr>
            <w:r w:rsidRPr="00931FD3">
              <w:rPr>
                <w:iCs/>
                <w:sz w:val="16"/>
                <w:szCs w:val="16"/>
              </w:rPr>
              <w:t>296,825</w:t>
            </w:r>
          </w:p>
        </w:tc>
        <w:tc>
          <w:tcPr>
            <w:tcW w:w="631" w:type="dxa"/>
            <w:tcBorders>
              <w:top w:val="nil"/>
              <w:bottom w:val="single" w:sz="4" w:space="0" w:color="auto"/>
            </w:tcBorders>
            <w:shd w:val="clear" w:color="auto" w:fill="auto"/>
            <w:noWrap/>
            <w:tcMar>
              <w:top w:w="15" w:type="dxa"/>
              <w:left w:w="15" w:type="dxa"/>
              <w:bottom w:w="0" w:type="dxa"/>
              <w:right w:w="15" w:type="dxa"/>
            </w:tcMar>
            <w:vAlign w:val="bottom"/>
          </w:tcPr>
          <w:p w:rsidR="00396D6D" w:rsidRPr="00931FD3" w:rsidRDefault="00396D6D" w:rsidP="008010EB">
            <w:pPr>
              <w:jc w:val="center"/>
              <w:rPr>
                <w:iCs/>
                <w:sz w:val="16"/>
                <w:szCs w:val="16"/>
              </w:rPr>
            </w:pPr>
          </w:p>
        </w:tc>
        <w:tc>
          <w:tcPr>
            <w:tcW w:w="913" w:type="dxa"/>
            <w:tcBorders>
              <w:top w:val="nil"/>
              <w:bottom w:val="single" w:sz="4" w:space="0" w:color="auto"/>
            </w:tcBorders>
            <w:shd w:val="clear" w:color="auto" w:fill="auto"/>
            <w:noWrap/>
            <w:tcMar>
              <w:top w:w="15" w:type="dxa"/>
              <w:left w:w="15" w:type="dxa"/>
              <w:bottom w:w="0" w:type="dxa"/>
              <w:right w:w="15" w:type="dxa"/>
            </w:tcMar>
            <w:vAlign w:val="bottom"/>
          </w:tcPr>
          <w:p w:rsidR="00396D6D" w:rsidRPr="002D65A3" w:rsidRDefault="00BF7DB4" w:rsidP="008010EB">
            <w:pPr>
              <w:jc w:val="center"/>
              <w:rPr>
                <w:iCs/>
                <w:sz w:val="16"/>
                <w:szCs w:val="16"/>
              </w:rPr>
            </w:pPr>
            <w:r w:rsidRPr="00931FD3">
              <w:rPr>
                <w:iCs/>
                <w:sz w:val="16"/>
                <w:szCs w:val="16"/>
              </w:rPr>
              <w:t>296</w:t>
            </w:r>
            <w:r w:rsidR="00D33E9F" w:rsidRPr="00931FD3">
              <w:rPr>
                <w:iCs/>
                <w:sz w:val="16"/>
                <w:szCs w:val="16"/>
              </w:rPr>
              <w:t>,</w:t>
            </w:r>
            <w:r w:rsidRPr="00931FD3">
              <w:rPr>
                <w:iCs/>
                <w:sz w:val="16"/>
                <w:szCs w:val="16"/>
              </w:rPr>
              <w:t>903</w:t>
            </w:r>
          </w:p>
        </w:tc>
        <w:tc>
          <w:tcPr>
            <w:tcW w:w="913" w:type="dxa"/>
            <w:tcBorders>
              <w:top w:val="nil"/>
              <w:bottom w:val="single" w:sz="4" w:space="0" w:color="auto"/>
            </w:tcBorders>
            <w:shd w:val="clear" w:color="auto" w:fill="auto"/>
            <w:noWrap/>
            <w:tcMar>
              <w:top w:w="15" w:type="dxa"/>
              <w:left w:w="15" w:type="dxa"/>
              <w:bottom w:w="0" w:type="dxa"/>
              <w:right w:w="15" w:type="dxa"/>
            </w:tcMar>
            <w:vAlign w:val="bottom"/>
          </w:tcPr>
          <w:p w:rsidR="00396D6D" w:rsidRPr="00931FD3" w:rsidRDefault="00D33E9F" w:rsidP="008010EB">
            <w:pPr>
              <w:jc w:val="center"/>
              <w:rPr>
                <w:iCs/>
                <w:sz w:val="16"/>
                <w:szCs w:val="16"/>
              </w:rPr>
            </w:pPr>
            <w:r w:rsidRPr="00931FD3">
              <w:rPr>
                <w:iCs/>
                <w:sz w:val="16"/>
                <w:szCs w:val="16"/>
              </w:rPr>
              <w:t>296,825</w:t>
            </w:r>
          </w:p>
        </w:tc>
        <w:tc>
          <w:tcPr>
            <w:tcW w:w="814" w:type="dxa"/>
            <w:tcBorders>
              <w:top w:val="nil"/>
              <w:bottom w:val="single" w:sz="4" w:space="0" w:color="auto"/>
            </w:tcBorders>
            <w:shd w:val="clear" w:color="auto" w:fill="auto"/>
            <w:noWrap/>
            <w:tcMar>
              <w:top w:w="15" w:type="dxa"/>
              <w:left w:w="15" w:type="dxa"/>
              <w:bottom w:w="0" w:type="dxa"/>
              <w:right w:w="15" w:type="dxa"/>
            </w:tcMar>
          </w:tcPr>
          <w:p w:rsidR="00396D6D" w:rsidRPr="00931FD3" w:rsidRDefault="00396D6D" w:rsidP="008010EB">
            <w:pPr>
              <w:jc w:val="center"/>
              <w:rPr>
                <w:iCs/>
                <w:sz w:val="16"/>
                <w:szCs w:val="16"/>
              </w:rPr>
            </w:pPr>
          </w:p>
        </w:tc>
        <w:tc>
          <w:tcPr>
            <w:tcW w:w="1026" w:type="dxa"/>
            <w:tcBorders>
              <w:top w:val="nil"/>
              <w:bottom w:val="single" w:sz="4" w:space="0" w:color="auto"/>
            </w:tcBorders>
            <w:shd w:val="clear" w:color="auto" w:fill="auto"/>
            <w:noWrap/>
            <w:tcMar>
              <w:top w:w="15" w:type="dxa"/>
              <w:left w:w="15" w:type="dxa"/>
              <w:bottom w:w="0" w:type="dxa"/>
              <w:right w:w="15" w:type="dxa"/>
            </w:tcMar>
            <w:vAlign w:val="center"/>
          </w:tcPr>
          <w:p w:rsidR="00396D6D" w:rsidRPr="00931FD3" w:rsidRDefault="00396D6D" w:rsidP="00106453">
            <w:pPr>
              <w:rPr>
                <w:i/>
                <w:iCs/>
                <w:sz w:val="16"/>
                <w:szCs w:val="16"/>
              </w:rPr>
            </w:pPr>
            <w:r w:rsidRPr="00931FD3">
              <w:rPr>
                <w:i/>
                <w:iCs/>
                <w:sz w:val="16"/>
                <w:szCs w:val="16"/>
              </w:rPr>
              <w:t>N</w:t>
            </w:r>
          </w:p>
        </w:tc>
        <w:tc>
          <w:tcPr>
            <w:tcW w:w="900" w:type="dxa"/>
            <w:tcBorders>
              <w:top w:val="nil"/>
              <w:bottom w:val="single" w:sz="4" w:space="0" w:color="auto"/>
            </w:tcBorders>
            <w:shd w:val="clear" w:color="auto" w:fill="auto"/>
            <w:noWrap/>
            <w:tcMar>
              <w:top w:w="15" w:type="dxa"/>
              <w:left w:w="15" w:type="dxa"/>
              <w:bottom w:w="0" w:type="dxa"/>
              <w:right w:w="15" w:type="dxa"/>
            </w:tcMar>
          </w:tcPr>
          <w:p w:rsidR="00396D6D" w:rsidRPr="002D65A3" w:rsidRDefault="00BF7DB4" w:rsidP="008010EB">
            <w:pPr>
              <w:jc w:val="center"/>
              <w:rPr>
                <w:iCs/>
                <w:sz w:val="16"/>
                <w:szCs w:val="16"/>
              </w:rPr>
            </w:pPr>
            <w:r w:rsidRPr="00931FD3">
              <w:rPr>
                <w:iCs/>
                <w:sz w:val="16"/>
                <w:szCs w:val="16"/>
              </w:rPr>
              <w:t>11</w:t>
            </w:r>
            <w:r w:rsidR="00D33E9F" w:rsidRPr="00931FD3">
              <w:rPr>
                <w:iCs/>
                <w:sz w:val="16"/>
                <w:szCs w:val="16"/>
              </w:rPr>
              <w:t>,</w:t>
            </w:r>
            <w:r w:rsidRPr="00931FD3">
              <w:rPr>
                <w:iCs/>
                <w:sz w:val="16"/>
                <w:szCs w:val="16"/>
              </w:rPr>
              <w:t>521</w:t>
            </w:r>
          </w:p>
        </w:tc>
        <w:tc>
          <w:tcPr>
            <w:tcW w:w="903" w:type="dxa"/>
            <w:tcBorders>
              <w:top w:val="nil"/>
              <w:bottom w:val="single" w:sz="4" w:space="0" w:color="auto"/>
            </w:tcBorders>
            <w:shd w:val="clear" w:color="auto" w:fill="auto"/>
            <w:noWrap/>
            <w:tcMar>
              <w:top w:w="15" w:type="dxa"/>
              <w:left w:w="15" w:type="dxa"/>
              <w:bottom w:w="0" w:type="dxa"/>
              <w:right w:w="15" w:type="dxa"/>
            </w:tcMar>
          </w:tcPr>
          <w:p w:rsidR="00396D6D" w:rsidRPr="00931FD3" w:rsidRDefault="00D33E9F" w:rsidP="008010EB">
            <w:pPr>
              <w:jc w:val="center"/>
              <w:rPr>
                <w:iCs/>
                <w:sz w:val="16"/>
                <w:szCs w:val="16"/>
              </w:rPr>
            </w:pPr>
            <w:r w:rsidRPr="00931FD3">
              <w:rPr>
                <w:iCs/>
                <w:sz w:val="16"/>
                <w:szCs w:val="16"/>
              </w:rPr>
              <w:t>11.496</w:t>
            </w:r>
          </w:p>
        </w:tc>
        <w:tc>
          <w:tcPr>
            <w:tcW w:w="727" w:type="dxa"/>
            <w:tcBorders>
              <w:top w:val="nil"/>
              <w:bottom w:val="single" w:sz="4" w:space="0" w:color="auto"/>
            </w:tcBorders>
            <w:shd w:val="clear" w:color="auto" w:fill="auto"/>
            <w:noWrap/>
            <w:tcMar>
              <w:top w:w="15" w:type="dxa"/>
              <w:left w:w="15" w:type="dxa"/>
              <w:bottom w:w="0" w:type="dxa"/>
              <w:right w:w="15" w:type="dxa"/>
            </w:tcMar>
          </w:tcPr>
          <w:p w:rsidR="00396D6D" w:rsidRPr="00931FD3" w:rsidRDefault="00396D6D" w:rsidP="008010EB">
            <w:pPr>
              <w:jc w:val="center"/>
              <w:rPr>
                <w:iCs/>
                <w:sz w:val="16"/>
                <w:szCs w:val="16"/>
              </w:rPr>
            </w:pPr>
          </w:p>
        </w:tc>
        <w:tc>
          <w:tcPr>
            <w:tcW w:w="911" w:type="dxa"/>
            <w:tcBorders>
              <w:top w:val="nil"/>
              <w:bottom w:val="single" w:sz="4" w:space="0" w:color="auto"/>
            </w:tcBorders>
            <w:shd w:val="clear" w:color="auto" w:fill="auto"/>
            <w:noWrap/>
            <w:tcMar>
              <w:top w:w="15" w:type="dxa"/>
              <w:left w:w="15" w:type="dxa"/>
              <w:bottom w:w="0" w:type="dxa"/>
              <w:right w:w="15" w:type="dxa"/>
            </w:tcMar>
          </w:tcPr>
          <w:p w:rsidR="00396D6D" w:rsidRPr="002D65A3" w:rsidRDefault="00BF7DB4" w:rsidP="008010EB">
            <w:pPr>
              <w:jc w:val="center"/>
              <w:rPr>
                <w:iCs/>
                <w:sz w:val="16"/>
                <w:szCs w:val="16"/>
              </w:rPr>
            </w:pPr>
            <w:r w:rsidRPr="00931FD3">
              <w:rPr>
                <w:iCs/>
                <w:sz w:val="16"/>
                <w:szCs w:val="16"/>
              </w:rPr>
              <w:t>11</w:t>
            </w:r>
            <w:r w:rsidR="00D33E9F" w:rsidRPr="00931FD3">
              <w:rPr>
                <w:iCs/>
                <w:sz w:val="16"/>
                <w:szCs w:val="16"/>
              </w:rPr>
              <w:t>,</w:t>
            </w:r>
            <w:r w:rsidRPr="00931FD3">
              <w:rPr>
                <w:iCs/>
                <w:sz w:val="16"/>
                <w:szCs w:val="16"/>
              </w:rPr>
              <w:t>521</w:t>
            </w:r>
          </w:p>
        </w:tc>
        <w:tc>
          <w:tcPr>
            <w:tcW w:w="912" w:type="dxa"/>
            <w:tcBorders>
              <w:top w:val="nil"/>
              <w:bottom w:val="single" w:sz="4" w:space="0" w:color="auto"/>
            </w:tcBorders>
            <w:shd w:val="clear" w:color="auto" w:fill="auto"/>
            <w:noWrap/>
            <w:tcMar>
              <w:top w:w="15" w:type="dxa"/>
              <w:left w:w="15" w:type="dxa"/>
              <w:bottom w:w="0" w:type="dxa"/>
              <w:right w:w="15" w:type="dxa"/>
            </w:tcMar>
          </w:tcPr>
          <w:p w:rsidR="00396D6D" w:rsidRPr="00931FD3" w:rsidRDefault="00D33E9F" w:rsidP="008010EB">
            <w:pPr>
              <w:jc w:val="center"/>
              <w:rPr>
                <w:iCs/>
                <w:sz w:val="16"/>
                <w:szCs w:val="16"/>
              </w:rPr>
            </w:pPr>
            <w:r w:rsidRPr="00931FD3">
              <w:rPr>
                <w:iCs/>
                <w:sz w:val="16"/>
                <w:szCs w:val="16"/>
              </w:rPr>
              <w:t>11.496</w:t>
            </w:r>
          </w:p>
        </w:tc>
        <w:tc>
          <w:tcPr>
            <w:tcW w:w="591" w:type="dxa"/>
            <w:tcBorders>
              <w:top w:val="nil"/>
              <w:bottom w:val="single" w:sz="4" w:space="0" w:color="auto"/>
            </w:tcBorders>
            <w:shd w:val="clear" w:color="auto" w:fill="auto"/>
            <w:noWrap/>
            <w:tcMar>
              <w:top w:w="15" w:type="dxa"/>
              <w:left w:w="15" w:type="dxa"/>
              <w:bottom w:w="0" w:type="dxa"/>
              <w:right w:w="15" w:type="dxa"/>
            </w:tcMar>
          </w:tcPr>
          <w:p w:rsidR="00396D6D" w:rsidRPr="00A65AF1" w:rsidRDefault="00396D6D" w:rsidP="008010EB">
            <w:pPr>
              <w:widowControl/>
              <w:overflowPunct/>
              <w:autoSpaceDE/>
              <w:autoSpaceDN/>
              <w:adjustRightInd/>
              <w:jc w:val="center"/>
              <w:rPr>
                <w:rFonts w:eastAsia="Times New Roman"/>
                <w:kern w:val="0"/>
                <w:sz w:val="16"/>
                <w:szCs w:val="16"/>
              </w:rPr>
            </w:pPr>
          </w:p>
        </w:tc>
      </w:tr>
    </w:tbl>
    <w:p w:rsidR="00B55AD1" w:rsidRDefault="00B55AD1">
      <w:pPr>
        <w:rPr>
          <w:b/>
          <w:sz w:val="24"/>
          <w:szCs w:val="24"/>
        </w:rPr>
        <w:sectPr w:rsidR="00B55AD1" w:rsidSect="008010EB">
          <w:pgSz w:w="15840" w:h="12240" w:orient="landscape"/>
          <w:pgMar w:top="2304" w:right="1440" w:bottom="1440" w:left="1440" w:header="720" w:footer="720" w:gutter="0"/>
          <w:cols w:space="720"/>
          <w:docGrid w:linePitch="360"/>
        </w:sectPr>
      </w:pPr>
    </w:p>
    <w:p w:rsidR="002202FE" w:rsidRPr="00DB26E6" w:rsidRDefault="002202FE" w:rsidP="00931FD3">
      <w:pPr>
        <w:rPr>
          <w:rFonts w:eastAsia="SimSun"/>
        </w:rPr>
      </w:pPr>
      <w:r w:rsidRPr="00DB26E6">
        <w:rPr>
          <w:rFonts w:eastAsia="SimSun"/>
          <w:b/>
        </w:rPr>
        <w:lastRenderedPageBreak/>
        <w:t>Note:</w:t>
      </w:r>
      <w:r w:rsidRPr="00DB26E6">
        <w:rPr>
          <w:rFonts w:eastAsia="SimSun"/>
        </w:rPr>
        <w:t xml:space="preserve"> </w:t>
      </w:r>
      <w:r w:rsidR="00CA12E3" w:rsidRPr="00DB26E6">
        <w:rPr>
          <w:rFonts w:eastAsia="SimSun"/>
        </w:rPr>
        <w:t>This table analyzes</w:t>
      </w:r>
      <w:r w:rsidR="00CA12E3" w:rsidRPr="00DB26E6">
        <w:t xml:space="preserve"> </w:t>
      </w:r>
      <w:r w:rsidR="00CA12E3" w:rsidRPr="00DB26E6">
        <w:rPr>
          <w:rFonts w:eastAsia="SimSun"/>
        </w:rPr>
        <w:t xml:space="preserve">variations in the cost of equity effect of peer firm earnings quality. </w:t>
      </w:r>
      <w:r w:rsidR="00E400D9" w:rsidRPr="00DB26E6">
        <w:rPr>
          <w:rFonts w:eastAsia="SimSun"/>
        </w:rPr>
        <w:t>Panel A</w:t>
      </w:r>
      <w:r w:rsidR="005E29D0">
        <w:rPr>
          <w:rFonts w:eastAsia="SimSun"/>
        </w:rPr>
        <w:t xml:space="preserve"> and Panel B</w:t>
      </w:r>
      <w:r w:rsidRPr="00DB26E6">
        <w:rPr>
          <w:rFonts w:eastAsia="SimSun"/>
        </w:rPr>
        <w:t xml:space="preserve"> test the non-linear increasing effects of peer firm earnings quality. The sample is split into two subsamples based on </w:t>
      </w:r>
      <w:r w:rsidRPr="00DB26E6">
        <w:rPr>
          <w:rFonts w:eastAsia="SimSun"/>
          <w:i/>
        </w:rPr>
        <w:t>P</w:t>
      </w:r>
      <w:r w:rsidRPr="00DB26E6">
        <w:rPr>
          <w:rFonts w:eastAsia="SimSun"/>
        </w:rPr>
        <w:t>_</w:t>
      </w:r>
      <w:r w:rsidRPr="00DB26E6">
        <w:rPr>
          <w:rFonts w:eastAsia="SimSun"/>
          <w:i/>
        </w:rPr>
        <w:t>EQew</w:t>
      </w:r>
      <w:r w:rsidRPr="00DB26E6">
        <w:rPr>
          <w:rFonts w:eastAsia="SimSun"/>
        </w:rPr>
        <w:t xml:space="preserve"> and </w:t>
      </w:r>
      <w:r w:rsidRPr="00DB26E6">
        <w:rPr>
          <w:rFonts w:eastAsia="SimSun"/>
          <w:i/>
        </w:rPr>
        <w:t>P</w:t>
      </w:r>
      <w:r w:rsidRPr="00DB26E6">
        <w:rPr>
          <w:rFonts w:eastAsia="SimSun"/>
        </w:rPr>
        <w:t>_</w:t>
      </w:r>
      <w:r w:rsidRPr="00DB26E6">
        <w:rPr>
          <w:rFonts w:eastAsia="SimSun"/>
          <w:i/>
        </w:rPr>
        <w:t xml:space="preserve">EQmsw, </w:t>
      </w:r>
      <w:r w:rsidRPr="00DB26E6">
        <w:rPr>
          <w:rFonts w:eastAsia="SimSun"/>
        </w:rPr>
        <w:t xml:space="preserve">respectively. </w:t>
      </w:r>
      <w:r w:rsidR="00182128" w:rsidRPr="00DB26E6">
        <w:rPr>
          <w:rFonts w:eastAsia="SimSun"/>
        </w:rPr>
        <w:t xml:space="preserve">Panel </w:t>
      </w:r>
      <w:r w:rsidR="005E29D0">
        <w:rPr>
          <w:rFonts w:eastAsia="SimSun"/>
        </w:rPr>
        <w:t>C and Panel D</w:t>
      </w:r>
      <w:r w:rsidR="00182128" w:rsidRPr="00DB26E6">
        <w:rPr>
          <w:rFonts w:eastAsia="SimSun"/>
        </w:rPr>
        <w:t xml:space="preserve"> test the moderating effects of multinational operation. The sample is split into two subsamples based on whether a firm is a multinational firm or not. Panel </w:t>
      </w:r>
      <w:r w:rsidR="005E29D0">
        <w:rPr>
          <w:rFonts w:eastAsia="SimSun"/>
        </w:rPr>
        <w:t>E</w:t>
      </w:r>
      <w:r w:rsidR="005E29D0" w:rsidRPr="00DB26E6">
        <w:rPr>
          <w:rFonts w:eastAsia="SimSun"/>
        </w:rPr>
        <w:t xml:space="preserve"> </w:t>
      </w:r>
      <w:r w:rsidR="00182128" w:rsidRPr="00DB26E6">
        <w:rPr>
          <w:rFonts w:eastAsia="SimSun"/>
        </w:rPr>
        <w:t>tests the moderating effects of relative profitability. The sample is split into two subsamples based on relative profitability. T</w:t>
      </w:r>
      <w:r w:rsidRPr="00DB26E6">
        <w:rPr>
          <w:rFonts w:eastAsia="SimSun"/>
        </w:rPr>
        <w:t xml:space="preserve">he differences in coefficients are tested using Z-statistics. All the control variables </w:t>
      </w:r>
      <w:r w:rsidR="00284696" w:rsidRPr="00DB26E6">
        <w:rPr>
          <w:rFonts w:eastAsia="SimSun"/>
        </w:rPr>
        <w:t xml:space="preserve">and an intercept </w:t>
      </w:r>
      <w:r w:rsidRPr="00DB26E6">
        <w:rPr>
          <w:rFonts w:eastAsia="SimSun"/>
        </w:rPr>
        <w:t>are included</w:t>
      </w:r>
      <w:r w:rsidR="00284696" w:rsidRPr="00DB26E6">
        <w:rPr>
          <w:rFonts w:eastAsia="SimSun"/>
        </w:rPr>
        <w:t xml:space="preserve"> in each regression</w:t>
      </w:r>
      <w:r w:rsidRPr="00DB26E6">
        <w:rPr>
          <w:rFonts w:eastAsia="SimSun"/>
        </w:rPr>
        <w:t xml:space="preserve">, but for brevity, </w:t>
      </w:r>
      <w:r w:rsidR="00950C35">
        <w:rPr>
          <w:rFonts w:eastAsia="SimSun"/>
        </w:rPr>
        <w:t xml:space="preserve">some </w:t>
      </w:r>
      <w:r w:rsidRPr="00DB26E6">
        <w:rPr>
          <w:rFonts w:eastAsia="SimSun"/>
        </w:rPr>
        <w:t xml:space="preserve">coefficients are not reported. t-statistics are reported in parentheses, and Z-statistics are reported in square brackets. Standard errors are clustered by firm. </w:t>
      </w:r>
      <w:r w:rsidRPr="00DB26E6">
        <w:rPr>
          <w:rFonts w:eastAsia="SimSun"/>
          <w:color w:val="000000"/>
        </w:rPr>
        <w:t xml:space="preserve">***, **, and * refer to significance at the 1%, 5%, and 10% level, respectively. </w:t>
      </w:r>
      <w:r w:rsidRPr="00DB26E6">
        <w:rPr>
          <w:rFonts w:eastAsia="SimSun"/>
        </w:rPr>
        <w:t xml:space="preserve"> Variable definitions are available in the appendix</w:t>
      </w:r>
    </w:p>
    <w:p w:rsidR="005D2452" w:rsidRPr="00DB26E6" w:rsidRDefault="005D2452"/>
    <w:sectPr w:rsidR="005D2452" w:rsidRPr="00DB26E6" w:rsidSect="008010EB">
      <w:headerReference w:type="default" r:id="rId71"/>
      <w:footerReference w:type="default" r:id="rId72"/>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07E" w:rsidRDefault="0093607E" w:rsidP="00A956A9">
      <w:r>
        <w:separator/>
      </w:r>
    </w:p>
  </w:endnote>
  <w:endnote w:type="continuationSeparator" w:id="0">
    <w:p w:rsidR="0093607E" w:rsidRDefault="0093607E" w:rsidP="00A95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dvTimes">
    <w:altName w:val="Times New Roman"/>
    <w:panose1 w:val="00000000000000000000"/>
    <w:charset w:val="00"/>
    <w:family w:val="auto"/>
    <w:notTrueType/>
    <w:pitch w:val="default"/>
    <w:sig w:usb0="00000003" w:usb1="00000000" w:usb2="00000000" w:usb3="00000000" w:csb0="00000001" w:csb1="00000000"/>
  </w:font>
  <w:font w:name="DAIAJL+TimesNewRoman,Bold">
    <w:altName w:val="Arial Unicode MS"/>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F1" w:rsidRDefault="00F62EF1">
    <w:pPr>
      <w:pStyle w:val="Footer"/>
      <w:jc w:val="center"/>
    </w:pPr>
  </w:p>
  <w:p w:rsidR="00F62EF1" w:rsidRDefault="00F62E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F1" w:rsidRPr="00931FD3" w:rsidRDefault="00F62EF1">
    <w:pPr>
      <w:pStyle w:val="Footer"/>
      <w:jc w:val="center"/>
      <w:rPr>
        <w:sz w:val="24"/>
        <w:szCs w:val="24"/>
      </w:rPr>
    </w:pPr>
    <w:r w:rsidRPr="00931FD3">
      <w:rPr>
        <w:sz w:val="24"/>
        <w:szCs w:val="24"/>
      </w:rPr>
      <w:fldChar w:fldCharType="begin"/>
    </w:r>
    <w:r w:rsidRPr="00931FD3">
      <w:rPr>
        <w:sz w:val="24"/>
        <w:szCs w:val="24"/>
      </w:rPr>
      <w:instrText xml:space="preserve"> PAGE   \* MERGEFORMAT </w:instrText>
    </w:r>
    <w:r w:rsidRPr="00931FD3">
      <w:rPr>
        <w:sz w:val="24"/>
        <w:szCs w:val="24"/>
      </w:rPr>
      <w:fldChar w:fldCharType="separate"/>
    </w:r>
    <w:r w:rsidR="00634836">
      <w:rPr>
        <w:noProof/>
        <w:sz w:val="24"/>
        <w:szCs w:val="24"/>
      </w:rPr>
      <w:t>vi</w:t>
    </w:r>
    <w:r w:rsidRPr="00931FD3">
      <w:rPr>
        <w:noProof/>
        <w:sz w:val="24"/>
        <w:szCs w:val="24"/>
      </w:rPr>
      <w:fldChar w:fldCharType="end"/>
    </w:r>
  </w:p>
  <w:p w:rsidR="00F62EF1" w:rsidRDefault="00F62E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F1" w:rsidRPr="00931FD3" w:rsidRDefault="00F62EF1">
    <w:pPr>
      <w:pStyle w:val="Footer"/>
      <w:jc w:val="center"/>
      <w:rPr>
        <w:sz w:val="24"/>
        <w:szCs w:val="24"/>
      </w:rPr>
    </w:pPr>
    <w:r w:rsidRPr="00931FD3">
      <w:rPr>
        <w:sz w:val="24"/>
        <w:szCs w:val="24"/>
      </w:rPr>
      <w:fldChar w:fldCharType="begin"/>
    </w:r>
    <w:r w:rsidRPr="00931FD3">
      <w:rPr>
        <w:sz w:val="24"/>
        <w:szCs w:val="24"/>
      </w:rPr>
      <w:instrText xml:space="preserve"> PAGE   \* MERGEFORMAT </w:instrText>
    </w:r>
    <w:r w:rsidRPr="00931FD3">
      <w:rPr>
        <w:sz w:val="24"/>
        <w:szCs w:val="24"/>
      </w:rPr>
      <w:fldChar w:fldCharType="separate"/>
    </w:r>
    <w:r w:rsidR="00634836">
      <w:rPr>
        <w:noProof/>
        <w:sz w:val="24"/>
        <w:szCs w:val="24"/>
      </w:rPr>
      <w:t>54</w:t>
    </w:r>
    <w:r w:rsidRPr="00931FD3">
      <w:rPr>
        <w:noProof/>
        <w:sz w:val="24"/>
        <w:szCs w:val="24"/>
      </w:rPr>
      <w:fldChar w:fldCharType="end"/>
    </w:r>
  </w:p>
  <w:p w:rsidR="00F62EF1" w:rsidRDefault="00F62EF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F1" w:rsidRPr="00931FD3" w:rsidRDefault="00F62EF1">
    <w:pPr>
      <w:pStyle w:val="Footer"/>
      <w:jc w:val="center"/>
      <w:rPr>
        <w:color w:val="FFFFFF" w:themeColor="background1"/>
      </w:rPr>
    </w:pPr>
  </w:p>
  <w:p w:rsidR="00F62EF1" w:rsidRDefault="00F62EF1" w:rsidP="006D2541">
    <w:pPr>
      <w:tabs>
        <w:tab w:val="left" w:pos="5250"/>
      </w:tabs>
      <w:rPr>
        <w:kern w:val="0"/>
      </w:rPr>
    </w:pPr>
    <w:r>
      <w:rPr>
        <w:kern w:val="0"/>
      </w:rPr>
      <w:tab/>
    </w:r>
  </w:p>
  <w:p w:rsidR="00F62EF1" w:rsidRDefault="00F62EF1"/>
  <w:p w:rsidR="00F62EF1" w:rsidRDefault="00F62EF1"/>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952036"/>
      <w:docPartObj>
        <w:docPartGallery w:val="Page Numbers (Bottom of Page)"/>
        <w:docPartUnique/>
      </w:docPartObj>
    </w:sdtPr>
    <w:sdtEndPr>
      <w:rPr>
        <w:noProof/>
        <w:sz w:val="24"/>
        <w:szCs w:val="24"/>
      </w:rPr>
    </w:sdtEndPr>
    <w:sdtContent>
      <w:p w:rsidR="00F62EF1" w:rsidRPr="00931FD3" w:rsidRDefault="00F62EF1">
        <w:pPr>
          <w:pStyle w:val="Footer"/>
          <w:jc w:val="center"/>
          <w:rPr>
            <w:sz w:val="24"/>
            <w:szCs w:val="24"/>
          </w:rPr>
        </w:pPr>
        <w:r w:rsidRPr="00931FD3">
          <w:rPr>
            <w:sz w:val="24"/>
            <w:szCs w:val="24"/>
          </w:rPr>
          <w:fldChar w:fldCharType="begin"/>
        </w:r>
        <w:r w:rsidRPr="00931FD3">
          <w:rPr>
            <w:sz w:val="24"/>
            <w:szCs w:val="24"/>
          </w:rPr>
          <w:instrText xml:space="preserve"> PAGE   \* MERGEFORMAT </w:instrText>
        </w:r>
        <w:r w:rsidRPr="00931FD3">
          <w:rPr>
            <w:sz w:val="24"/>
            <w:szCs w:val="24"/>
          </w:rPr>
          <w:fldChar w:fldCharType="separate"/>
        </w:r>
        <w:r w:rsidR="00634836">
          <w:rPr>
            <w:noProof/>
            <w:sz w:val="24"/>
            <w:szCs w:val="24"/>
          </w:rPr>
          <w:t>70</w:t>
        </w:r>
        <w:r w:rsidRPr="00931FD3">
          <w:rPr>
            <w:noProo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07E" w:rsidRDefault="0093607E" w:rsidP="00A956A9">
      <w:r>
        <w:separator/>
      </w:r>
    </w:p>
  </w:footnote>
  <w:footnote w:type="continuationSeparator" w:id="0">
    <w:p w:rsidR="0093607E" w:rsidRDefault="0093607E" w:rsidP="00A956A9">
      <w:r>
        <w:continuationSeparator/>
      </w:r>
    </w:p>
  </w:footnote>
  <w:footnote w:id="1">
    <w:p w:rsidR="00F62EF1" w:rsidRPr="00DD7A28" w:rsidRDefault="00F62EF1" w:rsidP="00C174EA">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By industry peer firms, I refer to firms in the same industry. </w:t>
      </w:r>
    </w:p>
  </w:footnote>
  <w:footnote w:id="2">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LLV’s theory is applicable to firms whose values are correlated. My study concentrates on the cost of equity effects of industry peer firm earnings quality, because according to prior literature (e.g., Foster [1981], King [1966], </w:t>
      </w:r>
      <w:proofErr w:type="spellStart"/>
      <w:r w:rsidRPr="00DD7A28">
        <w:rPr>
          <w:rFonts w:ascii="Times New Roman" w:hAnsi="Times New Roman"/>
        </w:rPr>
        <w:t>Grinold</w:t>
      </w:r>
      <w:proofErr w:type="spellEnd"/>
      <w:r w:rsidRPr="00DD7A28">
        <w:rPr>
          <w:rFonts w:ascii="Times New Roman" w:hAnsi="Times New Roman"/>
        </w:rPr>
        <w:t xml:space="preserve">, Rudd and </w:t>
      </w:r>
      <w:proofErr w:type="spellStart"/>
      <w:r w:rsidRPr="00DD7A28">
        <w:rPr>
          <w:rFonts w:ascii="Times New Roman" w:hAnsi="Times New Roman"/>
        </w:rPr>
        <w:t>Stefek</w:t>
      </w:r>
      <w:proofErr w:type="spellEnd"/>
      <w:r w:rsidRPr="00DD7A28">
        <w:rPr>
          <w:rFonts w:ascii="Times New Roman" w:hAnsi="Times New Roman"/>
        </w:rPr>
        <w:t xml:space="preserve">[1989]), industry peer firms’ expected cash flows are significantly correlated, and industry captures a substantial portion of stock return co-movement. For instance, Roll </w:t>
      </w:r>
      <w:r>
        <w:rPr>
          <w:rFonts w:ascii="Times New Roman" w:hAnsi="Times New Roman"/>
        </w:rPr>
        <w:t>(</w:t>
      </w:r>
      <w:r w:rsidRPr="00DD7A28">
        <w:rPr>
          <w:rFonts w:ascii="Times New Roman" w:hAnsi="Times New Roman"/>
        </w:rPr>
        <w:t>1992</w:t>
      </w:r>
      <w:r>
        <w:rPr>
          <w:rFonts w:ascii="Times New Roman" w:hAnsi="Times New Roman"/>
        </w:rPr>
        <w:t>)</w:t>
      </w:r>
      <w:r w:rsidRPr="00DD7A28">
        <w:rPr>
          <w:rFonts w:ascii="Times New Roman" w:hAnsi="Times New Roman"/>
        </w:rPr>
        <w:t xml:space="preserve"> suggests that </w:t>
      </w:r>
      <w:r>
        <w:rPr>
          <w:rFonts w:ascii="Times New Roman" w:hAnsi="Times New Roman"/>
        </w:rPr>
        <w:t>an industry</w:t>
      </w:r>
      <w:r w:rsidRPr="00DD7A28">
        <w:rPr>
          <w:rFonts w:ascii="Times New Roman" w:hAnsi="Times New Roman"/>
        </w:rPr>
        <w:t xml:space="preserve"> factor </w:t>
      </w:r>
      <w:r>
        <w:rPr>
          <w:rFonts w:ascii="Times New Roman" w:hAnsi="Times New Roman"/>
        </w:rPr>
        <w:t>explains</w:t>
      </w:r>
      <w:r w:rsidRPr="00DD7A28">
        <w:rPr>
          <w:rFonts w:ascii="Times New Roman" w:hAnsi="Times New Roman"/>
        </w:rPr>
        <w:t xml:space="preserve"> up to 40 percent</w:t>
      </w:r>
      <w:r>
        <w:rPr>
          <w:rFonts w:ascii="Times New Roman" w:hAnsi="Times New Roman"/>
        </w:rPr>
        <w:t xml:space="preserve"> of the total stock return volatilities</w:t>
      </w:r>
      <w:r w:rsidRPr="00DD7A28">
        <w:rPr>
          <w:rFonts w:ascii="Times New Roman" w:hAnsi="Times New Roman"/>
        </w:rPr>
        <w:t>.</w:t>
      </w:r>
    </w:p>
  </w:footnote>
  <w:footnote w:id="3">
    <w:p w:rsidR="00F62EF1" w:rsidRPr="00DD7A28" w:rsidRDefault="00F62EF1" w:rsidP="00374707">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The capital market pricing model (CAPM) suggests the cost of equity is a positive function of the covariance of the firm’s expected future cash flows with the expected cash flows of other firms</w:t>
      </w:r>
      <w:r>
        <w:rPr>
          <w:rFonts w:ascii="Times New Roman" w:hAnsi="Times New Roman"/>
        </w:rPr>
        <w:t xml:space="preserve"> in the market</w:t>
      </w:r>
      <w:r w:rsidRPr="00DD7A28">
        <w:rPr>
          <w:rFonts w:ascii="Times New Roman" w:hAnsi="Times New Roman"/>
        </w:rPr>
        <w:t>.</w:t>
      </w:r>
    </w:p>
  </w:footnote>
  <w:footnote w:id="4">
    <w:p w:rsidR="00F62EF1" w:rsidRPr="00DD7A28" w:rsidRDefault="00F62EF1" w:rsidP="00C174EA">
      <w:pPr>
        <w:pStyle w:val="FootnoteText"/>
        <w:rPr>
          <w:rFonts w:ascii="Times New Roman" w:hAnsi="Times New Roman"/>
          <w:lang w:eastAsia="zh-CN"/>
        </w:rPr>
      </w:pPr>
      <w:r w:rsidRPr="00DD7A28">
        <w:rPr>
          <w:rStyle w:val="FootnoteReference"/>
          <w:rFonts w:ascii="Times New Roman" w:hAnsi="Times New Roman"/>
        </w:rPr>
        <w:footnoteRef/>
      </w:r>
      <w:r w:rsidRPr="00DD7A28">
        <w:rPr>
          <w:rFonts w:ascii="Times New Roman" w:hAnsi="Times New Roman"/>
        </w:rPr>
        <w:t xml:space="preserve"> </w:t>
      </w:r>
      <w:r w:rsidRPr="00DD7A28">
        <w:rPr>
          <w:rFonts w:ascii="Times New Roman" w:eastAsia="Times" w:hAnsi="Times New Roman"/>
        </w:rPr>
        <w:t>LLV</w:t>
      </w:r>
      <w:r w:rsidRPr="00DD7A28">
        <w:rPr>
          <w:rFonts w:ascii="Times New Roman" w:hAnsi="Times New Roman"/>
          <w:lang w:eastAsia="zh-CN"/>
        </w:rPr>
        <w:t>’s</w:t>
      </w:r>
      <w:r w:rsidRPr="00DD7A28">
        <w:rPr>
          <w:rFonts w:ascii="Times New Roman" w:eastAsia="Times" w:hAnsi="Times New Roman"/>
        </w:rPr>
        <w:t xml:space="preserve"> </w:t>
      </w:r>
      <w:r w:rsidRPr="00DD7A28">
        <w:rPr>
          <w:rFonts w:ascii="Times New Roman" w:hAnsi="Times New Roman"/>
          <w:lang w:eastAsia="zh-CN"/>
        </w:rPr>
        <w:t xml:space="preserve">implication is that either a firm’s or peer firms’ high information quality moves the cost of equity toward the risk free rate. If the unconditional covariance of a firm’s cash flows and other firms’ cash flows is positive, then high information quality reduces the cost of equity; otherwise, high information quality increases the cost of equity. On average, firms’ (especially industry peers’) unconditional </w:t>
      </w:r>
      <w:proofErr w:type="spellStart"/>
      <w:r w:rsidRPr="00DD7A28">
        <w:rPr>
          <w:rFonts w:ascii="Times New Roman" w:hAnsi="Times New Roman"/>
          <w:lang w:eastAsia="zh-CN"/>
        </w:rPr>
        <w:t>covariances</w:t>
      </w:r>
      <w:proofErr w:type="spellEnd"/>
      <w:r w:rsidRPr="00DD7A28">
        <w:rPr>
          <w:rFonts w:ascii="Times New Roman" w:hAnsi="Times New Roman"/>
          <w:lang w:eastAsia="zh-CN"/>
        </w:rPr>
        <w:t xml:space="preserve"> are expected to be positive (e.g., Foster [1981]). </w:t>
      </w:r>
    </w:p>
  </w:footnote>
  <w:footnote w:id="5">
    <w:p w:rsidR="00F62EF1" w:rsidRPr="00DD7A28" w:rsidRDefault="00F62EF1" w:rsidP="00A06C30">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For example, Easley and O’Hara (2004) suggest the ratio of private information to public information affects a firm’s cost of equity. Multinational firms have more complicated operating environment</w:t>
      </w:r>
      <w:r>
        <w:rPr>
          <w:rFonts w:ascii="Times New Roman" w:hAnsi="Times New Roman"/>
        </w:rPr>
        <w:t>s</w:t>
      </w:r>
      <w:r w:rsidRPr="00DD7A28">
        <w:rPr>
          <w:rFonts w:ascii="Times New Roman" w:hAnsi="Times New Roman"/>
        </w:rPr>
        <w:t xml:space="preserve"> </w:t>
      </w:r>
      <w:r>
        <w:rPr>
          <w:rFonts w:ascii="Times New Roman" w:hAnsi="Times New Roman"/>
        </w:rPr>
        <w:t>that</w:t>
      </w:r>
      <w:r w:rsidRPr="00DD7A28">
        <w:rPr>
          <w:rFonts w:ascii="Times New Roman" w:hAnsi="Times New Roman"/>
        </w:rPr>
        <w:t xml:space="preserve"> are likely to create information asymmetry between investors and managers. Thus, Easley and O’Hara (2004) should expect the cost of equity effect of peer firm’s earnings quality to be greater for multinational firms, inconsistent with my findings.  Therefore, it is hard to provide an explanation based on the model in Easley and O’Hara (2004) for the evidence on the direct effect.  </w:t>
      </w:r>
    </w:p>
  </w:footnote>
  <w:footnote w:id="6">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Easley and O’Hara (2004) develop their model in a multiple firm setting. But, Easley and O’Hara (2004) </w:t>
      </w:r>
      <w:r w:rsidRPr="00DD7A28">
        <w:rPr>
          <w:rFonts w:ascii="Times New Roman" w:hAnsi="Times New Roman"/>
          <w:bCs/>
        </w:rPr>
        <w:t>limited</w:t>
      </w:r>
      <w:r w:rsidRPr="00DD7A28">
        <w:rPr>
          <w:rFonts w:ascii="Times New Roman" w:hAnsi="Times New Roman"/>
        </w:rPr>
        <w:t xml:space="preserve"> the number of firms in the economy. Hughes, Liu and Liu (2007) suggest the effect in Easley and O’Hara (2004) is </w:t>
      </w:r>
      <w:r w:rsidRPr="00DD7A28">
        <w:rPr>
          <w:rFonts w:ascii="Times New Roman" w:hAnsi="Times New Roman"/>
          <w:bCs/>
          <w:i/>
          <w:iCs/>
        </w:rPr>
        <w:t>diversifiable</w:t>
      </w:r>
      <w:r w:rsidRPr="00DD7A28">
        <w:rPr>
          <w:rFonts w:ascii="Times New Roman" w:hAnsi="Times New Roman"/>
          <w:b/>
          <w:bCs/>
        </w:rPr>
        <w:t xml:space="preserve"> </w:t>
      </w:r>
      <w:r w:rsidRPr="00DD7A28">
        <w:rPr>
          <w:rFonts w:ascii="Times New Roman" w:hAnsi="Times New Roman"/>
        </w:rPr>
        <w:t>when the number of assets becomes very large.</w:t>
      </w:r>
    </w:p>
  </w:footnote>
  <w:footnote w:id="7">
    <w:p w:rsidR="00F62EF1" w:rsidRPr="00DD7A28" w:rsidRDefault="00F62EF1" w:rsidP="00C174EA">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The classic financial economics theories cast doubt on the use of the firm-specific effect of information quality in evaluating regulations. These studies argue that, since firms can voluntarily enforce high quality reporting and make decisions in their best interest, regulations may not be necessary (e.g., Ross </w:t>
      </w:r>
      <w:r>
        <w:rPr>
          <w:rFonts w:ascii="Times New Roman" w:hAnsi="Times New Roman"/>
        </w:rPr>
        <w:t>[</w:t>
      </w:r>
      <w:r w:rsidRPr="00DD7A28">
        <w:rPr>
          <w:rFonts w:ascii="Times New Roman" w:hAnsi="Times New Roman"/>
        </w:rPr>
        <w:t>1979</w:t>
      </w:r>
      <w:r>
        <w:rPr>
          <w:rFonts w:ascii="Times New Roman" w:hAnsi="Times New Roman"/>
        </w:rPr>
        <w:t>]</w:t>
      </w:r>
      <w:r w:rsidRPr="00DD7A28">
        <w:rPr>
          <w:rFonts w:ascii="Times New Roman" w:hAnsi="Times New Roman"/>
        </w:rPr>
        <w:t xml:space="preserve">; Grossman </w:t>
      </w:r>
      <w:r>
        <w:rPr>
          <w:rFonts w:ascii="Times New Roman" w:hAnsi="Times New Roman"/>
        </w:rPr>
        <w:t>[</w:t>
      </w:r>
      <w:r w:rsidRPr="00DD7A28">
        <w:rPr>
          <w:rFonts w:ascii="Times New Roman" w:hAnsi="Times New Roman"/>
        </w:rPr>
        <w:t>1981</w:t>
      </w:r>
      <w:r>
        <w:rPr>
          <w:rFonts w:ascii="Times New Roman" w:hAnsi="Times New Roman"/>
        </w:rPr>
        <w:t>]</w:t>
      </w:r>
      <w:r w:rsidRPr="00DD7A28">
        <w:rPr>
          <w:rFonts w:ascii="Times New Roman" w:hAnsi="Times New Roman"/>
        </w:rPr>
        <w:t xml:space="preserve">; </w:t>
      </w:r>
      <w:proofErr w:type="spellStart"/>
      <w:r w:rsidRPr="00DD7A28">
        <w:rPr>
          <w:rFonts w:ascii="Times New Roman" w:hAnsi="Times New Roman"/>
        </w:rPr>
        <w:t>Milgrom</w:t>
      </w:r>
      <w:proofErr w:type="spellEnd"/>
      <w:r w:rsidRPr="00DD7A28">
        <w:rPr>
          <w:rFonts w:ascii="Times New Roman" w:hAnsi="Times New Roman"/>
        </w:rPr>
        <w:t xml:space="preserve"> </w:t>
      </w:r>
      <w:r>
        <w:rPr>
          <w:rFonts w:ascii="Times New Roman" w:hAnsi="Times New Roman"/>
        </w:rPr>
        <w:t>[</w:t>
      </w:r>
      <w:r w:rsidRPr="00DD7A28">
        <w:rPr>
          <w:rFonts w:ascii="Times New Roman" w:hAnsi="Times New Roman"/>
        </w:rPr>
        <w:t>1981</w:t>
      </w:r>
      <w:r>
        <w:rPr>
          <w:rFonts w:ascii="Times New Roman" w:hAnsi="Times New Roman"/>
        </w:rPr>
        <w:t>]</w:t>
      </w:r>
      <w:r w:rsidRPr="00DD7A28">
        <w:rPr>
          <w:rFonts w:ascii="Times New Roman" w:hAnsi="Times New Roman"/>
        </w:rPr>
        <w:t>). Therefore, analyses on firm-specific effects may not be enough for assessing the need for financial reporting regulation.</w:t>
      </w:r>
    </w:p>
  </w:footnote>
  <w:footnote w:id="8">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Social benefit (cost) refers to the benefit (cost) to society as a whole from the production of certain goods. Private benefit (cost) refers to the benefit (cost) to the producer of the goods.  If there is a negative (positive) externality, then social costs (benefits) will be greater than private costs (benefits). </w:t>
      </w:r>
    </w:p>
  </w:footnote>
  <w:footnote w:id="9">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For example, as discussed earlier, if there is a positive externality, </w:t>
      </w:r>
      <w:proofErr w:type="spellStart"/>
      <w:r w:rsidRPr="00DD7A28">
        <w:rPr>
          <w:rFonts w:ascii="Times New Roman" w:eastAsia="Times" w:hAnsi="Times New Roman"/>
        </w:rPr>
        <w:t>Admati</w:t>
      </w:r>
      <w:proofErr w:type="spellEnd"/>
      <w:r w:rsidRPr="00DD7A28">
        <w:rPr>
          <w:rFonts w:ascii="Times New Roman" w:eastAsia="Times" w:hAnsi="Times New Roman"/>
        </w:rPr>
        <w:t xml:space="preserve"> and </w:t>
      </w:r>
      <w:proofErr w:type="spellStart"/>
      <w:r w:rsidRPr="00DD7A28">
        <w:rPr>
          <w:rFonts w:ascii="Times New Roman" w:eastAsia="Times" w:hAnsi="Times New Roman"/>
        </w:rPr>
        <w:t>Pfleiderer</w:t>
      </w:r>
      <w:proofErr w:type="spellEnd"/>
      <w:r w:rsidRPr="00DD7A28">
        <w:rPr>
          <w:rFonts w:ascii="Times New Roman" w:eastAsia="Times" w:hAnsi="Times New Roman"/>
        </w:rPr>
        <w:t xml:space="preserve"> (2000) suggest social values can be improved by regulations requiring a minimum level of financial reporting quality.</w:t>
      </w:r>
    </w:p>
  </w:footnote>
  <w:footnote w:id="10">
    <w:p w:rsidR="00F62EF1" w:rsidRPr="00DD7A28" w:rsidRDefault="00F62EF1" w:rsidP="00C174EA">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LLV do not number this equation. I use LLV</w:t>
      </w:r>
      <w:proofErr w:type="gramStart"/>
      <w:r w:rsidRPr="00DD7A28">
        <w:rPr>
          <w:rFonts w:ascii="Times New Roman" w:hAnsi="Times New Roman"/>
        </w:rPr>
        <w:t>:U1</w:t>
      </w:r>
      <w:proofErr w:type="gramEnd"/>
      <w:r w:rsidRPr="00DD7A28">
        <w:rPr>
          <w:rFonts w:ascii="Times New Roman" w:hAnsi="Times New Roman"/>
        </w:rPr>
        <w:t xml:space="preserve"> as the number for this unnumbered equation. Equation LLV</w:t>
      </w:r>
      <w:proofErr w:type="gramStart"/>
      <w:r w:rsidRPr="00DD7A28">
        <w:rPr>
          <w:rFonts w:ascii="Times New Roman" w:hAnsi="Times New Roman"/>
        </w:rPr>
        <w:t>:U2</w:t>
      </w:r>
      <w:proofErr w:type="gramEnd"/>
      <w:r w:rsidRPr="00DD7A28">
        <w:rPr>
          <w:rFonts w:ascii="Times New Roman" w:hAnsi="Times New Roman"/>
        </w:rPr>
        <w:t xml:space="preserve"> below is another unnumbered equation from LLV. In addition, equations numbered with “LLV:” refer to equations from LLV.</w:t>
      </w:r>
    </w:p>
  </w:footnote>
  <w:footnote w:id="11">
    <w:p w:rsidR="00F62EF1" w:rsidRPr="00DD7A28" w:rsidRDefault="00F62EF1" w:rsidP="00C174EA">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Different from LLV, the competition for price efficiency theory predicts that a firm’s price efficiency can be </w:t>
      </w:r>
      <w:r w:rsidRPr="00DD7A28">
        <w:rPr>
          <w:rFonts w:ascii="Times New Roman" w:hAnsi="Times New Roman"/>
          <w:lang w:eastAsia="zh-CN"/>
        </w:rPr>
        <w:t xml:space="preserve">reduced </w:t>
      </w:r>
      <w:r w:rsidRPr="00DD7A28">
        <w:rPr>
          <w:rFonts w:ascii="Times New Roman" w:hAnsi="Times New Roman"/>
        </w:rPr>
        <w:t xml:space="preserve">by peer firms’ high </w:t>
      </w:r>
      <w:r w:rsidRPr="00DD7A28">
        <w:rPr>
          <w:rFonts w:ascii="Times New Roman" w:hAnsi="Times New Roman"/>
          <w:szCs w:val="24"/>
        </w:rPr>
        <w:t xml:space="preserve">earnings </w:t>
      </w:r>
      <w:proofErr w:type="gramStart"/>
      <w:r w:rsidRPr="00DD7A28">
        <w:rPr>
          <w:rFonts w:ascii="Times New Roman" w:hAnsi="Times New Roman"/>
          <w:szCs w:val="24"/>
        </w:rPr>
        <w:t>quality</w:t>
      </w:r>
      <w:r w:rsidRPr="00DD7A28">
        <w:rPr>
          <w:rFonts w:ascii="Times New Roman" w:hAnsi="Times New Roman"/>
        </w:rPr>
        <w:t>,</w:t>
      </w:r>
      <w:proofErr w:type="gramEnd"/>
      <w:r w:rsidRPr="00DD7A28">
        <w:rPr>
          <w:rFonts w:ascii="Times New Roman" w:hAnsi="Times New Roman"/>
        </w:rPr>
        <w:t xml:space="preserve"> possibly resulting in an increase in the firm’s cost of equity</w:t>
      </w:r>
      <w:r w:rsidRPr="00DD7A28">
        <w:rPr>
          <w:rFonts w:ascii="Times New Roman" w:hAnsi="Times New Roman"/>
          <w:lang w:eastAsia="zh-CN"/>
        </w:rPr>
        <w:t xml:space="preserve"> (</w:t>
      </w:r>
      <w:r w:rsidRPr="00DD7A28">
        <w:rPr>
          <w:rFonts w:ascii="Times New Roman" w:hAnsi="Times New Roman"/>
        </w:rPr>
        <w:t xml:space="preserve">Fishman and </w:t>
      </w:r>
      <w:proofErr w:type="spellStart"/>
      <w:r w:rsidRPr="00DD7A28">
        <w:rPr>
          <w:rFonts w:ascii="Times New Roman" w:hAnsi="Times New Roman"/>
        </w:rPr>
        <w:t>Hagerty</w:t>
      </w:r>
      <w:proofErr w:type="spellEnd"/>
      <w:r w:rsidRPr="00DD7A28">
        <w:rPr>
          <w:rFonts w:ascii="Times New Roman" w:hAnsi="Times New Roman"/>
        </w:rPr>
        <w:t xml:space="preserve"> </w:t>
      </w:r>
      <w:r>
        <w:rPr>
          <w:rFonts w:ascii="Times New Roman" w:hAnsi="Times New Roman"/>
        </w:rPr>
        <w:t>[</w:t>
      </w:r>
      <w:r w:rsidRPr="00DD7A28">
        <w:rPr>
          <w:rFonts w:ascii="Times New Roman" w:hAnsi="Times New Roman"/>
        </w:rPr>
        <w:t>1989</w:t>
      </w:r>
      <w:r>
        <w:rPr>
          <w:rFonts w:ascii="Times New Roman" w:hAnsi="Times New Roman"/>
        </w:rPr>
        <w:t>]</w:t>
      </w:r>
      <w:r w:rsidRPr="00DD7A28">
        <w:rPr>
          <w:rFonts w:ascii="Times New Roman" w:hAnsi="Times New Roman"/>
        </w:rPr>
        <w:t>). This effect could be diversified away in a large economy.</w:t>
      </w:r>
    </w:p>
  </w:footnote>
  <w:footnote w:id="12">
    <w:p w:rsidR="00F62EF1" w:rsidRPr="00DD7A28" w:rsidRDefault="00F62EF1" w:rsidP="00C174EA">
      <w:pPr>
        <w:pStyle w:val="FootnoteText"/>
        <w:rPr>
          <w:rFonts w:ascii="Times New Roman" w:hAnsi="Times New Roman"/>
          <w:lang w:eastAsia="zh-CN"/>
        </w:rPr>
      </w:pPr>
      <w:r w:rsidRPr="00DD7A28">
        <w:rPr>
          <w:rStyle w:val="FootnoteReference"/>
          <w:rFonts w:ascii="Times New Roman" w:hAnsi="Times New Roman"/>
        </w:rPr>
        <w:footnoteRef/>
      </w:r>
      <w:r w:rsidRPr="00DD7A28">
        <w:rPr>
          <w:rFonts w:ascii="Times New Roman" w:hAnsi="Times New Roman"/>
        </w:rPr>
        <w:t xml:space="preserve"> </w:t>
      </w:r>
      <w:r w:rsidRPr="00DD7A28">
        <w:rPr>
          <w:rFonts w:ascii="Times New Roman" w:hAnsi="Times New Roman"/>
          <w:lang w:eastAsia="zh-CN"/>
        </w:rPr>
        <w:t>Basically, no observation in my sample continuously has negative Betas, or, in other words, unconditionally has negative Betas.</w:t>
      </w:r>
    </w:p>
  </w:footnote>
  <w:footnote w:id="13">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When a firm makes investment decisions, the firm will weigh the expected returns and the cost of financing. Thus, lower cost of external financing will likely lead the firm’s optimal investment level to be higher. </w:t>
      </w:r>
    </w:p>
  </w:footnote>
  <w:footnote w:id="14">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This information transfer occurs because of the industry-level information contained in peer firms.</w:t>
      </w:r>
    </w:p>
  </w:footnote>
  <w:footnote w:id="15">
    <w:p w:rsidR="00F62EF1" w:rsidRPr="00DD7A28" w:rsidRDefault="00F62EF1" w:rsidP="00C174EA">
      <w:pPr>
        <w:pStyle w:val="FootnoteText"/>
        <w:rPr>
          <w:rFonts w:ascii="Times New Roman" w:hAnsi="Times New Roman"/>
          <w:lang w:eastAsia="zh-CN"/>
        </w:rPr>
      </w:pPr>
      <w:r w:rsidRPr="00DD7A28">
        <w:rPr>
          <w:rStyle w:val="FootnoteReference"/>
          <w:rFonts w:ascii="Times New Roman" w:hAnsi="Times New Roman"/>
        </w:rPr>
        <w:footnoteRef/>
      </w:r>
      <w:r w:rsidRPr="00DD7A28">
        <w:rPr>
          <w:rFonts w:ascii="Times New Roman" w:hAnsi="Times New Roman"/>
        </w:rPr>
        <w:t xml:space="preserve"> </w:t>
      </w:r>
      <w:r w:rsidRPr="00DD7A28">
        <w:rPr>
          <w:rFonts w:ascii="Times New Roman" w:hAnsi="Times New Roman"/>
          <w:lang w:eastAsia="zh-CN"/>
        </w:rPr>
        <w:t xml:space="preserve">Similarly, </w:t>
      </w:r>
      <w:proofErr w:type="spellStart"/>
      <w:r w:rsidRPr="00DD7A28">
        <w:rPr>
          <w:rFonts w:ascii="Times New Roman" w:hAnsi="Times New Roman"/>
          <w:lang w:eastAsia="zh-CN"/>
        </w:rPr>
        <w:t>Sidak</w:t>
      </w:r>
      <w:proofErr w:type="spellEnd"/>
      <w:r w:rsidRPr="00DD7A28">
        <w:rPr>
          <w:rFonts w:ascii="Times New Roman" w:hAnsi="Times New Roman"/>
          <w:lang w:eastAsia="zh-CN"/>
        </w:rPr>
        <w:t xml:space="preserve"> (2003) studies the case of the </w:t>
      </w:r>
      <w:proofErr w:type="spellStart"/>
      <w:r w:rsidRPr="00DD7A28">
        <w:rPr>
          <w:rFonts w:ascii="Times New Roman" w:hAnsi="Times New Roman"/>
          <w:lang w:eastAsia="zh-CN"/>
        </w:rPr>
        <w:t>Worldcom</w:t>
      </w:r>
      <w:proofErr w:type="spellEnd"/>
      <w:r w:rsidRPr="00DD7A28">
        <w:rPr>
          <w:rFonts w:ascii="Times New Roman" w:hAnsi="Times New Roman"/>
          <w:lang w:eastAsia="zh-CN"/>
        </w:rPr>
        <w:t xml:space="preserve"> accounting fraud. He finds that WorldCom's fraudulent financial</w:t>
      </w:r>
      <w:r>
        <w:rPr>
          <w:rFonts w:ascii="Times New Roman" w:hAnsi="Times New Roman"/>
          <w:lang w:eastAsia="zh-CN"/>
        </w:rPr>
        <w:t xml:space="preserve"> information</w:t>
      </w:r>
      <w:r w:rsidRPr="00DD7A28">
        <w:rPr>
          <w:rFonts w:ascii="Times New Roman" w:hAnsi="Times New Roman"/>
          <w:lang w:eastAsia="zh-CN"/>
        </w:rPr>
        <w:t xml:space="preserve"> led </w:t>
      </w:r>
      <w:r>
        <w:rPr>
          <w:rFonts w:ascii="Times New Roman" w:hAnsi="Times New Roman"/>
          <w:lang w:eastAsia="zh-CN"/>
        </w:rPr>
        <w:t xml:space="preserve">other industry </w:t>
      </w:r>
      <w:r w:rsidRPr="00DD7A28">
        <w:rPr>
          <w:rFonts w:ascii="Times New Roman" w:hAnsi="Times New Roman"/>
          <w:lang w:eastAsia="zh-CN"/>
        </w:rPr>
        <w:t xml:space="preserve">peer firms to </w:t>
      </w:r>
      <w:r>
        <w:rPr>
          <w:rFonts w:ascii="Times New Roman" w:hAnsi="Times New Roman"/>
          <w:lang w:eastAsia="zh-CN"/>
        </w:rPr>
        <w:t xml:space="preserve">significantly </w:t>
      </w:r>
      <w:r w:rsidRPr="00DD7A28">
        <w:rPr>
          <w:rFonts w:ascii="Times New Roman" w:hAnsi="Times New Roman"/>
          <w:lang w:eastAsia="zh-CN"/>
        </w:rPr>
        <w:t xml:space="preserve">overinvest. </w:t>
      </w:r>
    </w:p>
  </w:footnote>
  <w:footnote w:id="16">
    <w:p w:rsidR="00F62EF1" w:rsidRPr="00C248BF" w:rsidRDefault="00F62EF1" w:rsidP="004D0F5E">
      <w:pPr>
        <w:pStyle w:val="FootnoteText"/>
        <w:rPr>
          <w:lang w:eastAsia="zh-CN"/>
        </w:rPr>
      </w:pPr>
      <w:r w:rsidRPr="0069030D">
        <w:rPr>
          <w:rStyle w:val="FootnoteReference"/>
          <w:rFonts w:ascii="Times New Roman" w:eastAsia="Arial Unicode MS" w:hAnsi="Times New Roman"/>
        </w:rPr>
        <w:footnoteRef/>
      </w:r>
      <w:r w:rsidRPr="0069030D">
        <w:rPr>
          <w:rFonts w:ascii="Times New Roman" w:eastAsia="Arial Unicode MS" w:hAnsi="Times New Roman"/>
        </w:rPr>
        <w:t xml:space="preserve"> </w:t>
      </w:r>
      <w:r w:rsidRPr="00C248BF">
        <w:rPr>
          <w:rFonts w:ascii="Times New Roman" w:hAnsi="Times New Roman"/>
          <w:lang w:eastAsia="zh-CN"/>
        </w:rPr>
        <w:t>They use seven measures:</w:t>
      </w:r>
      <w:r w:rsidRPr="00C248BF">
        <w:rPr>
          <w:rFonts w:ascii="Times New Roman" w:hAnsi="Times New Roman"/>
        </w:rPr>
        <w:t xml:space="preserve"> </w:t>
      </w:r>
      <w:r w:rsidRPr="00C248BF">
        <w:rPr>
          <w:rFonts w:ascii="Times New Roman" w:hAnsi="Times New Roman"/>
          <w:lang w:eastAsia="zh-CN"/>
        </w:rPr>
        <w:t xml:space="preserve">earnings </w:t>
      </w:r>
      <w:r w:rsidRPr="00C248BF">
        <w:rPr>
          <w:rFonts w:ascii="Times New Roman" w:hAnsi="Times New Roman"/>
        </w:rPr>
        <w:t>quality, persistence, predictability, smoothness, value relevance, timeliness, and conservatism</w:t>
      </w:r>
      <w:r>
        <w:rPr>
          <w:rFonts w:ascii="Times New Roman" w:hAnsi="Times New Roman" w:hint="eastAsia"/>
          <w:lang w:eastAsia="zh-CN"/>
        </w:rPr>
        <w:t>.</w:t>
      </w:r>
    </w:p>
  </w:footnote>
  <w:footnote w:id="17">
    <w:p w:rsidR="00F62EF1" w:rsidRPr="00DD7A28" w:rsidRDefault="00F62EF1" w:rsidP="00C174EA">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Ng (2011) also use earnings quality measures as proxies for information quality defined in LLV.</w:t>
      </w:r>
    </w:p>
  </w:footnote>
  <w:footnote w:id="18">
    <w:p w:rsidR="00F62EF1" w:rsidRPr="00DD7A28" w:rsidRDefault="00F62EF1" w:rsidP="00EA226B">
      <w:pPr>
        <w:widowControl/>
        <w:overflowPunct/>
        <w:rPr>
          <w:kern w:val="0"/>
        </w:rPr>
      </w:pPr>
      <w:r w:rsidRPr="00DD7A28">
        <w:rPr>
          <w:rStyle w:val="FootnoteReference"/>
        </w:rPr>
        <w:footnoteRef/>
      </w:r>
      <w:r w:rsidRPr="00DD7A28">
        <w:t xml:space="preserve"> Chan et al. (2007) examine various methods to classify industry peer firms</w:t>
      </w:r>
      <w:r w:rsidRPr="00DD7A28">
        <w:rPr>
          <w:kern w:val="0"/>
        </w:rPr>
        <w:t>.</w:t>
      </w:r>
      <w:r w:rsidRPr="00DD7A28">
        <w:t xml:space="preserve"> </w:t>
      </w:r>
      <w:r w:rsidRPr="00DD7A28">
        <w:rPr>
          <w:kern w:val="0"/>
        </w:rPr>
        <w:t xml:space="preserve">Their results show that </w:t>
      </w:r>
      <w:proofErr w:type="spellStart"/>
      <w:r w:rsidRPr="00DD7A28">
        <w:rPr>
          <w:kern w:val="0"/>
        </w:rPr>
        <w:t>Fama</w:t>
      </w:r>
      <w:proofErr w:type="spellEnd"/>
      <w:r w:rsidRPr="00DD7A28">
        <w:rPr>
          <w:kern w:val="0"/>
        </w:rPr>
        <w:t>-French industry classification consistently outperforms other methods in explaining firm-level return co-movement.</w:t>
      </w:r>
    </w:p>
  </w:footnote>
  <w:footnote w:id="19">
    <w:p w:rsidR="00F62EF1" w:rsidRPr="00DD7A28" w:rsidRDefault="00F62EF1" w:rsidP="00C174EA">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Prior studies (e.g., Leary and Roberts</w:t>
      </w:r>
      <w:r>
        <w:rPr>
          <w:rFonts w:ascii="Times New Roman" w:hAnsi="Times New Roman"/>
        </w:rPr>
        <w:t xml:space="preserve"> [</w:t>
      </w:r>
      <w:r w:rsidRPr="00DD7A28">
        <w:rPr>
          <w:rFonts w:ascii="Times New Roman" w:hAnsi="Times New Roman"/>
        </w:rPr>
        <w:t>201</w:t>
      </w:r>
      <w:r>
        <w:rPr>
          <w:rFonts w:ascii="Times New Roman" w:hAnsi="Times New Roman"/>
        </w:rPr>
        <w:t>4]</w:t>
      </w:r>
      <w:r w:rsidRPr="00DD7A28">
        <w:rPr>
          <w:rFonts w:ascii="Times New Roman" w:hAnsi="Times New Roman"/>
        </w:rPr>
        <w:t>) also use peer firms’ average value as a measure of a peer firm variable, such as peer firm leverage.</w:t>
      </w:r>
    </w:p>
  </w:footnote>
  <w:footnote w:id="20">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I use stock price at the end of June (in the calendar year t+1) to make sure that all peer firms’ earnings information (in fiscal year t) are available to firm j’s information. </w:t>
      </w:r>
      <w:proofErr w:type="spellStart"/>
      <w:r w:rsidRPr="00DD7A28">
        <w:rPr>
          <w:rFonts w:ascii="Times New Roman" w:hAnsi="Times New Roman"/>
        </w:rPr>
        <w:t>Fama</w:t>
      </w:r>
      <w:proofErr w:type="spellEnd"/>
      <w:r w:rsidRPr="00DD7A28">
        <w:rPr>
          <w:rFonts w:ascii="Times New Roman" w:hAnsi="Times New Roman"/>
        </w:rPr>
        <w:t xml:space="preserve"> and French (1992) discussed the advantages and disadvantages of measuring stock prices at the end of June. This timing of stock price measurement may not be good for firms with non-calendar fiscal year ends or industries where most firms have non-calendar fiscal year ends. In </w:t>
      </w:r>
      <w:proofErr w:type="spellStart"/>
      <w:r w:rsidRPr="00DD7A28">
        <w:rPr>
          <w:rFonts w:ascii="Times New Roman" w:hAnsi="Times New Roman"/>
        </w:rPr>
        <w:t>untabulated</w:t>
      </w:r>
      <w:proofErr w:type="spellEnd"/>
      <w:r w:rsidRPr="00DD7A28">
        <w:rPr>
          <w:rFonts w:ascii="Times New Roman" w:hAnsi="Times New Roman"/>
        </w:rPr>
        <w:t xml:space="preserve"> tests, I also measure stock prices at the end of July, August, and September.  My results are generally robust. My results are also not sensitive to using only observations with December fiscal year-ends.</w:t>
      </w:r>
    </w:p>
  </w:footnote>
  <w:footnote w:id="21">
    <w:p w:rsidR="00F62EF1" w:rsidRPr="00DD7A28" w:rsidRDefault="00F62EF1" w:rsidP="00C174EA">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w:t>
      </w:r>
      <w:proofErr w:type="spellStart"/>
      <w:r w:rsidRPr="00DD7A28">
        <w:rPr>
          <w:rFonts w:ascii="Times New Roman" w:hAnsi="Times New Roman"/>
          <w:i/>
          <w:iCs/>
          <w:color w:val="000000"/>
        </w:rPr>
        <w:t>P</w:t>
      </w:r>
      <w:r w:rsidRPr="00DD7A28">
        <w:rPr>
          <w:rFonts w:ascii="Times New Roman" w:hAnsi="Times New Roman"/>
          <w:i/>
          <w:iCs/>
          <w:color w:val="000000"/>
          <w:vertAlign w:val="subscript"/>
        </w:rPr>
        <w:t>j</w:t>
      </w:r>
      <w:proofErr w:type="gramStart"/>
      <w:r w:rsidRPr="00DD7A28">
        <w:rPr>
          <w:rFonts w:ascii="Times New Roman" w:hAnsi="Times New Roman"/>
          <w:i/>
          <w:iCs/>
          <w:color w:val="000000"/>
          <w:vertAlign w:val="subscript"/>
        </w:rPr>
        <w:t>,t</w:t>
      </w:r>
      <w:proofErr w:type="spellEnd"/>
      <w:proofErr w:type="gramEnd"/>
      <w:r w:rsidRPr="00DD7A28">
        <w:rPr>
          <w:rFonts w:ascii="Times New Roman" w:hAnsi="Times New Roman"/>
          <w:i/>
          <w:iCs/>
          <w:color w:val="000000"/>
          <w:vertAlign w:val="subscript"/>
        </w:rPr>
        <w:t xml:space="preserve"> </w:t>
      </w:r>
      <w:r w:rsidRPr="00DD7A28">
        <w:rPr>
          <w:rFonts w:ascii="Times New Roman" w:hAnsi="Times New Roman"/>
          <w:color w:val="000000"/>
        </w:rPr>
        <w:t>is measured at July 1</w:t>
      </w:r>
      <w:r w:rsidRPr="00DD7A28">
        <w:rPr>
          <w:rFonts w:ascii="Times New Roman" w:hAnsi="Times New Roman"/>
          <w:color w:val="000000"/>
          <w:vertAlign w:val="superscript"/>
        </w:rPr>
        <w:t>st</w:t>
      </w:r>
      <w:r w:rsidRPr="00DD7A28">
        <w:rPr>
          <w:rFonts w:ascii="Times New Roman" w:hAnsi="Times New Roman"/>
          <w:color w:val="000000"/>
        </w:rPr>
        <w:t xml:space="preserve"> of the calendar year t+1 (</w:t>
      </w:r>
      <w:proofErr w:type="spellStart"/>
      <w:r w:rsidRPr="00DD7A28">
        <w:rPr>
          <w:rFonts w:ascii="Times New Roman" w:hAnsi="Times New Roman"/>
          <w:color w:val="000000"/>
        </w:rPr>
        <w:t>Fama</w:t>
      </w:r>
      <w:proofErr w:type="spellEnd"/>
      <w:r w:rsidRPr="00DD7A28">
        <w:rPr>
          <w:rFonts w:ascii="Times New Roman" w:hAnsi="Times New Roman"/>
          <w:color w:val="000000"/>
        </w:rPr>
        <w:t xml:space="preserve"> and French, </w:t>
      </w:r>
      <w:r>
        <w:rPr>
          <w:rFonts w:ascii="Times New Roman" w:hAnsi="Times New Roman"/>
          <w:color w:val="000000"/>
        </w:rPr>
        <w:t>[</w:t>
      </w:r>
      <w:r w:rsidRPr="00DD7A28">
        <w:rPr>
          <w:rFonts w:ascii="Times New Roman" w:hAnsi="Times New Roman"/>
          <w:color w:val="000000"/>
        </w:rPr>
        <w:t>1992</w:t>
      </w:r>
      <w:r>
        <w:rPr>
          <w:rFonts w:ascii="Times New Roman" w:hAnsi="Times New Roman"/>
          <w:color w:val="000000"/>
        </w:rPr>
        <w:t>]</w:t>
      </w:r>
      <w:r w:rsidRPr="00DD7A28">
        <w:rPr>
          <w:rFonts w:ascii="Times New Roman" w:hAnsi="Times New Roman"/>
          <w:color w:val="000000"/>
        </w:rPr>
        <w:t>) .</w:t>
      </w:r>
    </w:p>
  </w:footnote>
  <w:footnote w:id="22">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To calculate the median earnings-price ratio, I only use observations with positive earnings.</w:t>
      </w:r>
    </w:p>
  </w:footnote>
  <w:footnote w:id="23">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sz w:val="24"/>
        </w:rPr>
        <w:t xml:space="preserve"> </w:t>
      </w:r>
      <w:r w:rsidRPr="00DD7A28">
        <w:rPr>
          <w:rFonts w:ascii="Times New Roman" w:hAnsi="Times New Roman"/>
        </w:rPr>
        <w:t>The option-style valuation model (e.g.</w:t>
      </w:r>
      <w:proofErr w:type="gramStart"/>
      <w:r w:rsidRPr="00DD7A28">
        <w:rPr>
          <w:rFonts w:ascii="Times New Roman" w:hAnsi="Times New Roman"/>
        </w:rPr>
        <w:t>,</w:t>
      </w:r>
      <w:proofErr w:type="spellStart"/>
      <w:r w:rsidRPr="00DD7A28">
        <w:rPr>
          <w:rFonts w:ascii="Times New Roman" w:hAnsi="Times New Roman"/>
        </w:rPr>
        <w:t>Hayn</w:t>
      </w:r>
      <w:proofErr w:type="spellEnd"/>
      <w:proofErr w:type="gramEnd"/>
      <w:r w:rsidRPr="00DD7A28">
        <w:rPr>
          <w:rFonts w:ascii="Times New Roman" w:hAnsi="Times New Roman"/>
        </w:rPr>
        <w:t xml:space="preserve"> [1995]; </w:t>
      </w:r>
      <w:proofErr w:type="spellStart"/>
      <w:r w:rsidRPr="00DD7A28">
        <w:rPr>
          <w:rFonts w:ascii="Times New Roman" w:hAnsi="Times New Roman"/>
        </w:rPr>
        <w:t>Burgstahler</w:t>
      </w:r>
      <w:proofErr w:type="spellEnd"/>
      <w:r w:rsidRPr="00DD7A28">
        <w:rPr>
          <w:rFonts w:ascii="Times New Roman" w:hAnsi="Times New Roman"/>
        </w:rPr>
        <w:t xml:space="preserve"> and </w:t>
      </w:r>
      <w:proofErr w:type="spellStart"/>
      <w:r w:rsidRPr="00DD7A28">
        <w:rPr>
          <w:rFonts w:ascii="Times New Roman" w:hAnsi="Times New Roman"/>
        </w:rPr>
        <w:t>Dichev</w:t>
      </w:r>
      <w:proofErr w:type="spellEnd"/>
      <w:r w:rsidRPr="00DD7A28">
        <w:rPr>
          <w:rFonts w:ascii="Times New Roman" w:hAnsi="Times New Roman"/>
        </w:rPr>
        <w:t xml:space="preserve"> [1997]) suggests loss firms and low-profit firms are valued based on their adaptation value (book value of equity) rather than recursion value (as a function of earnings). Thus, for firms with low profitability, earnings are a less important determinant of stock price.</w:t>
      </w:r>
      <w:r w:rsidRPr="00DD7A28">
        <w:rPr>
          <w:rFonts w:ascii="Times New Roman" w:hAnsi="Times New Roman"/>
          <w:sz w:val="24"/>
        </w:rPr>
        <w:t xml:space="preserve">  </w:t>
      </w:r>
    </w:p>
  </w:footnote>
  <w:footnote w:id="24">
    <w:p w:rsidR="00F62EF1" w:rsidRPr="00DD7A28" w:rsidRDefault="00F62EF1" w:rsidP="00250178">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The Spearman correlation between </w:t>
      </w:r>
      <w:r w:rsidRPr="00DD7A28">
        <w:rPr>
          <w:rFonts w:ascii="Times New Roman" w:hAnsi="Times New Roman"/>
          <w:i/>
        </w:rPr>
        <w:t xml:space="preserve">H_P_EQ </w:t>
      </w:r>
      <w:r w:rsidRPr="00DD7A28">
        <w:rPr>
          <w:rFonts w:ascii="Times New Roman" w:hAnsi="Times New Roman"/>
        </w:rPr>
        <w:t>and</w:t>
      </w:r>
      <w:r w:rsidRPr="00DD7A28">
        <w:rPr>
          <w:rFonts w:ascii="Times New Roman" w:hAnsi="Times New Roman"/>
          <w:i/>
        </w:rPr>
        <w:t xml:space="preserve"> H_EQ </w:t>
      </w:r>
      <w:r w:rsidRPr="00DD7A28">
        <w:rPr>
          <w:rFonts w:ascii="Times New Roman" w:hAnsi="Times New Roman"/>
        </w:rPr>
        <w:t>is 0.437. In additional tests, I take measures to deal with concerns related to this high correlation.</w:t>
      </w:r>
    </w:p>
  </w:footnote>
  <w:footnote w:id="25">
    <w:p w:rsidR="00F62EF1" w:rsidRPr="00DD7A28" w:rsidRDefault="00F62EF1" w:rsidP="00250178">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Using </w:t>
      </w:r>
      <w:r>
        <w:rPr>
          <w:rFonts w:ascii="Times New Roman" w:hAnsi="Times New Roman"/>
        </w:rPr>
        <w:t>indicator</w:t>
      </w:r>
      <w:r w:rsidRPr="00DD7A28">
        <w:rPr>
          <w:rFonts w:ascii="Times New Roman" w:hAnsi="Times New Roman"/>
        </w:rPr>
        <w:t xml:space="preserve"> variables mitigate</w:t>
      </w:r>
      <w:r>
        <w:rPr>
          <w:rFonts w:ascii="Times New Roman" w:hAnsi="Times New Roman"/>
        </w:rPr>
        <w:t>s</w:t>
      </w:r>
      <w:r w:rsidRPr="00DD7A28">
        <w:rPr>
          <w:rFonts w:ascii="Times New Roman" w:hAnsi="Times New Roman"/>
        </w:rPr>
        <w:t xml:space="preserve"> concerns about model misspecification because it does not force the cost of equity to be a cubic, quadratic or any other specific function of peer firm earnings quality. In additional tests, I also use other non-linear specification</w:t>
      </w:r>
      <w:r>
        <w:rPr>
          <w:rFonts w:ascii="Times New Roman" w:hAnsi="Times New Roman"/>
        </w:rPr>
        <w:t>s</w:t>
      </w:r>
      <w:r w:rsidRPr="00DD7A28">
        <w:rPr>
          <w:rFonts w:ascii="Times New Roman" w:hAnsi="Times New Roman"/>
        </w:rPr>
        <w:t xml:space="preserve">, such as the square of </w:t>
      </w:r>
      <w:r w:rsidRPr="00DD7A28">
        <w:rPr>
          <w:rFonts w:ascii="Times New Roman" w:hAnsi="Times New Roman"/>
          <w:i/>
        </w:rPr>
        <w:t>P_EQ</w:t>
      </w:r>
      <w:r w:rsidRPr="00DD7A28">
        <w:rPr>
          <w:rFonts w:ascii="Times New Roman" w:hAnsi="Times New Roman"/>
        </w:rPr>
        <w:t xml:space="preserve">. </w:t>
      </w:r>
    </w:p>
  </w:footnote>
  <w:footnote w:id="26">
    <w:p w:rsidR="00F62EF1" w:rsidRDefault="00F62EF1">
      <w:pPr>
        <w:pStyle w:val="FootnoteText"/>
      </w:pPr>
      <w:r>
        <w:rPr>
          <w:rStyle w:val="FootnoteReference"/>
        </w:rPr>
        <w:footnoteRef/>
      </w:r>
      <w:r>
        <w:t xml:space="preserve"> </w:t>
      </w:r>
      <w:r w:rsidRPr="00324603">
        <w:rPr>
          <w:rFonts w:ascii="Times New Roman" w:hAnsi="Times New Roman"/>
        </w:rPr>
        <w:t xml:space="preserve">By taking the log of book to market ratio, firms with negative </w:t>
      </w:r>
      <w:r>
        <w:rPr>
          <w:rFonts w:ascii="Times New Roman" w:hAnsi="Times New Roman"/>
        </w:rPr>
        <w:t xml:space="preserve">book </w:t>
      </w:r>
      <w:r w:rsidRPr="00324603">
        <w:rPr>
          <w:rFonts w:ascii="Times New Roman" w:hAnsi="Times New Roman"/>
        </w:rPr>
        <w:t>equity are deleted.</w:t>
      </w:r>
      <w:r>
        <w:rPr>
          <w:rFonts w:ascii="Times New Roman" w:hAnsi="Times New Roman"/>
        </w:rPr>
        <w:t xml:space="preserve"> Firms with negative book equity are usually loss firms and thus expected to have poor future prospects. For firms with positive equity, a higher book to market ratio suggest a worse earnings prospect (</w:t>
      </w:r>
      <w:proofErr w:type="spellStart"/>
      <w:r>
        <w:rPr>
          <w:rFonts w:ascii="Times New Roman" w:hAnsi="Times New Roman"/>
        </w:rPr>
        <w:t>Fama</w:t>
      </w:r>
      <w:proofErr w:type="spellEnd"/>
      <w:r>
        <w:rPr>
          <w:rFonts w:ascii="Times New Roman" w:hAnsi="Times New Roman"/>
        </w:rPr>
        <w:t xml:space="preserve"> and French [2003]). If negative book equity firms are not deleted, book to market ratio will not be a monotonic measure of future earnings prospect.</w:t>
      </w:r>
      <w:r w:rsidRPr="00324603">
        <w:rPr>
          <w:rFonts w:ascii="Times New Roman" w:hAnsi="Times New Roman"/>
        </w:rPr>
        <w:t xml:space="preserve"> </w:t>
      </w:r>
      <w:r>
        <w:rPr>
          <w:rFonts w:ascii="Times New Roman" w:hAnsi="Times New Roman"/>
        </w:rPr>
        <w:t xml:space="preserve">Therefore, following </w:t>
      </w:r>
      <w:proofErr w:type="spellStart"/>
      <w:r>
        <w:rPr>
          <w:rFonts w:ascii="Times New Roman" w:hAnsi="Times New Roman"/>
        </w:rPr>
        <w:t>Fama</w:t>
      </w:r>
      <w:proofErr w:type="spellEnd"/>
      <w:r>
        <w:rPr>
          <w:rFonts w:ascii="Times New Roman" w:hAnsi="Times New Roman"/>
        </w:rPr>
        <w:t xml:space="preserve"> and French (2003), </w:t>
      </w:r>
      <w:r w:rsidRPr="00324603">
        <w:rPr>
          <w:rFonts w:ascii="Times New Roman" w:hAnsi="Times New Roman"/>
        </w:rPr>
        <w:t xml:space="preserve">firms with negative </w:t>
      </w:r>
      <w:r>
        <w:rPr>
          <w:rFonts w:ascii="Times New Roman" w:hAnsi="Times New Roman"/>
        </w:rPr>
        <w:t xml:space="preserve">book </w:t>
      </w:r>
      <w:r w:rsidRPr="00324603">
        <w:rPr>
          <w:rFonts w:ascii="Times New Roman" w:hAnsi="Times New Roman"/>
        </w:rPr>
        <w:t>equity</w:t>
      </w:r>
      <w:r>
        <w:rPr>
          <w:rFonts w:ascii="Times New Roman" w:hAnsi="Times New Roman"/>
        </w:rPr>
        <w:t xml:space="preserve"> are deleted.</w:t>
      </w:r>
    </w:p>
  </w:footnote>
  <w:footnote w:id="27">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The interpretation of the coefficient on </w:t>
      </w:r>
      <w:r w:rsidRPr="00DD7A28">
        <w:rPr>
          <w:rFonts w:ascii="Times New Roman" w:hAnsi="Times New Roman"/>
          <w:i/>
        </w:rPr>
        <w:t>H_P_EQ</w:t>
      </w:r>
      <w:r w:rsidRPr="00DD7A28">
        <w:rPr>
          <w:rFonts w:ascii="Times New Roman" w:hAnsi="Times New Roman"/>
        </w:rPr>
        <w:t xml:space="preserve"> (</w:t>
      </w:r>
      <w:r w:rsidRPr="00DD7A28">
        <w:rPr>
          <w:rFonts w:ascii="Times New Roman" w:hAnsi="Times New Roman"/>
          <w:i/>
        </w:rPr>
        <w:t>H_EQ</w:t>
      </w:r>
      <w:r w:rsidRPr="00DD7A28">
        <w:rPr>
          <w:rFonts w:ascii="Times New Roman" w:hAnsi="Times New Roman"/>
        </w:rPr>
        <w:t xml:space="preserve">) is the difference in the cost of equity between firms </w:t>
      </w:r>
      <w:r>
        <w:rPr>
          <w:rFonts w:ascii="Times New Roman" w:hAnsi="Times New Roman"/>
        </w:rPr>
        <w:t xml:space="preserve">above versus below the median </w:t>
      </w:r>
      <w:r w:rsidRPr="00DD7A28">
        <w:rPr>
          <w:rFonts w:ascii="Times New Roman" w:hAnsi="Times New Roman"/>
        </w:rPr>
        <w:t>peer firm earning</w:t>
      </w:r>
      <w:r>
        <w:rPr>
          <w:rFonts w:ascii="Times New Roman" w:hAnsi="Times New Roman"/>
        </w:rPr>
        <w:t>s</w:t>
      </w:r>
      <w:r w:rsidRPr="00DD7A28">
        <w:rPr>
          <w:rFonts w:ascii="Times New Roman" w:hAnsi="Times New Roman"/>
        </w:rPr>
        <w:t xml:space="preserve"> quality (earnings quality).</w:t>
      </w:r>
    </w:p>
  </w:footnote>
  <w:footnote w:id="28">
    <w:p w:rsidR="00F62EF1" w:rsidRDefault="00F62EF1">
      <w:pPr>
        <w:pStyle w:val="FootnoteText"/>
      </w:pPr>
      <w:r>
        <w:rPr>
          <w:rStyle w:val="FootnoteReference"/>
        </w:rPr>
        <w:footnoteRef/>
      </w:r>
      <w:r>
        <w:t xml:space="preserve"> </w:t>
      </w:r>
      <w:r w:rsidRPr="00931FD3">
        <w:rPr>
          <w:rFonts w:ascii="Times New Roman" w:hAnsi="Times New Roman"/>
        </w:rPr>
        <w:t xml:space="preserve">My final sample starts from 1994 </w:t>
      </w:r>
      <w:r>
        <w:rPr>
          <w:rFonts w:ascii="Times New Roman" w:hAnsi="Times New Roman"/>
        </w:rPr>
        <w:t xml:space="preserve">because </w:t>
      </w:r>
      <w:r w:rsidRPr="00931FD3">
        <w:rPr>
          <w:rFonts w:ascii="Times New Roman" w:hAnsi="Times New Roman"/>
        </w:rPr>
        <w:t xml:space="preserve">less than </w:t>
      </w:r>
      <w:r>
        <w:rPr>
          <w:rFonts w:ascii="Times New Roman" w:hAnsi="Times New Roman"/>
        </w:rPr>
        <w:t>3</w:t>
      </w:r>
      <w:r w:rsidRPr="00931FD3">
        <w:rPr>
          <w:rFonts w:ascii="Times New Roman" w:hAnsi="Times New Roman"/>
        </w:rPr>
        <w:t xml:space="preserve">00 firms per year have data to estimate the cost of equity measure used in my paper before 1994. These firms do not cover a significant portion of the market capitalization. </w:t>
      </w:r>
    </w:p>
  </w:footnote>
  <w:footnote w:id="29">
    <w:p w:rsidR="00F62EF1" w:rsidRPr="00DD7A28" w:rsidRDefault="00F62EF1" w:rsidP="00F7491A">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For example, statistics about implied cost of equity are comparable to Easton (2004). </w:t>
      </w:r>
      <w:r>
        <w:rPr>
          <w:rFonts w:ascii="Times New Roman" w:hAnsi="Times New Roman"/>
        </w:rPr>
        <w:t>I</w:t>
      </w:r>
      <w:r w:rsidRPr="00DD7A28">
        <w:rPr>
          <w:rFonts w:ascii="Times New Roman" w:hAnsi="Times New Roman"/>
        </w:rPr>
        <w:t xml:space="preserve">n 1995, the average implied cost of equity for my sample is 0.104, and Easton (2004) reports an average implied cost of equity of 0.107 for the year of 1995. </w:t>
      </w:r>
    </w:p>
  </w:footnote>
  <w:footnote w:id="30">
    <w:p w:rsidR="00F62EF1" w:rsidRDefault="00F62EF1" w:rsidP="00BB7F61">
      <w:pPr>
        <w:rPr>
          <w:sz w:val="24"/>
          <w:szCs w:val="24"/>
        </w:rPr>
      </w:pPr>
      <w:r>
        <w:rPr>
          <w:rStyle w:val="FootnoteReference"/>
        </w:rPr>
        <w:footnoteRef/>
      </w:r>
      <w:r>
        <w:t xml:space="preserve"> </w:t>
      </w:r>
      <w:r w:rsidRPr="00BB7F61">
        <w:t xml:space="preserve">First, for each firm </w:t>
      </w:r>
      <w:proofErr w:type="spellStart"/>
      <w:r w:rsidRPr="00BB7F61">
        <w:t>i</w:t>
      </w:r>
      <w:proofErr w:type="spellEnd"/>
      <w:r w:rsidRPr="00BB7F61">
        <w:t xml:space="preserve">, I calculate the variances (Var1) of </w:t>
      </w:r>
      <w:proofErr w:type="spellStart"/>
      <w:r w:rsidRPr="00E67A2E">
        <w:rPr>
          <w:i/>
          <w:kern w:val="0"/>
          <w:sz w:val="24"/>
          <w:szCs w:val="24"/>
        </w:rPr>
        <w:t>I</w:t>
      </w:r>
      <w:r w:rsidRPr="00E67A2E">
        <w:rPr>
          <w:i/>
        </w:rPr>
        <w:t>CoE</w:t>
      </w:r>
      <w:proofErr w:type="spellEnd"/>
      <w:r w:rsidRPr="00BB7F61">
        <w:t xml:space="preserve"> and </w:t>
      </w:r>
      <w:r w:rsidRPr="00E67A2E">
        <w:rPr>
          <w:i/>
        </w:rPr>
        <w:t>EQ</w:t>
      </w:r>
      <w:r w:rsidRPr="00BB7F61">
        <w:t xml:space="preserve"> or </w:t>
      </w:r>
      <w:r w:rsidRPr="00E67A2E">
        <w:rPr>
          <w:i/>
        </w:rPr>
        <w:t>P_EQ</w:t>
      </w:r>
      <w:r w:rsidRPr="00BB7F61">
        <w:t xml:space="preserve"> within this firm. Var1 is the within-firm variation for firm </w:t>
      </w:r>
      <w:proofErr w:type="spellStart"/>
      <w:r w:rsidRPr="00BB7F61">
        <w:t>i</w:t>
      </w:r>
      <w:proofErr w:type="spellEnd"/>
      <w:r w:rsidRPr="00BB7F61">
        <w:t xml:space="preserve">. Then, I add up these Var1s to get the total within-firm variations (∑Var1).Second, for each industry j, I calculate the variances (Var2) of </w:t>
      </w:r>
      <w:proofErr w:type="spellStart"/>
      <w:r w:rsidRPr="00E67A2E">
        <w:rPr>
          <w:i/>
          <w:kern w:val="0"/>
          <w:sz w:val="24"/>
          <w:szCs w:val="24"/>
        </w:rPr>
        <w:t>I</w:t>
      </w:r>
      <w:r w:rsidRPr="00E67A2E">
        <w:rPr>
          <w:i/>
        </w:rPr>
        <w:t>CoE</w:t>
      </w:r>
      <w:proofErr w:type="spellEnd"/>
      <w:r w:rsidRPr="00BB7F61">
        <w:t xml:space="preserve"> and </w:t>
      </w:r>
      <w:r w:rsidRPr="00E67A2E">
        <w:rPr>
          <w:i/>
        </w:rPr>
        <w:t>EQ</w:t>
      </w:r>
      <w:r w:rsidRPr="00BB7F61">
        <w:t xml:space="preserve"> or </w:t>
      </w:r>
      <w:r w:rsidRPr="00E67A2E">
        <w:rPr>
          <w:i/>
        </w:rPr>
        <w:t>P_EQ</w:t>
      </w:r>
      <w:r w:rsidRPr="00BB7F61">
        <w:t xml:space="preserve"> within this industry. Var2 is the within-industry variation for industry j. Then, I add up these Var2s to get the total within- industry variations (∑Var2). To get cross-firm-within-industry, I subtract off ∑Var1 from ∑Var2. Cross-firm-within-industry variation is denoted as ∑Var3= ∑Var2-∑Var1.Third, for the full sample, I calculate the total </w:t>
      </w:r>
      <w:proofErr w:type="gramStart"/>
      <w:r w:rsidRPr="00BB7F61">
        <w:t>variances (∑Var4) of</w:t>
      </w:r>
      <w:r w:rsidRPr="00E67A2E">
        <w:rPr>
          <w:i/>
        </w:rPr>
        <w:t xml:space="preserve"> </w:t>
      </w:r>
      <w:proofErr w:type="spellStart"/>
      <w:r w:rsidRPr="00E67A2E">
        <w:rPr>
          <w:i/>
          <w:kern w:val="0"/>
          <w:sz w:val="24"/>
          <w:szCs w:val="24"/>
        </w:rPr>
        <w:t>I</w:t>
      </w:r>
      <w:r w:rsidRPr="00E67A2E">
        <w:rPr>
          <w:i/>
        </w:rPr>
        <w:t>CoE</w:t>
      </w:r>
      <w:proofErr w:type="spellEnd"/>
      <w:r w:rsidRPr="00BB7F61">
        <w:t xml:space="preserve"> and </w:t>
      </w:r>
      <w:r w:rsidRPr="00E67A2E">
        <w:rPr>
          <w:i/>
        </w:rPr>
        <w:t>EQ</w:t>
      </w:r>
      <w:r w:rsidRPr="00BB7F61">
        <w:t xml:space="preserve"> or </w:t>
      </w:r>
      <w:r w:rsidRPr="00E67A2E">
        <w:rPr>
          <w:i/>
        </w:rPr>
        <w:t>P_EQ</w:t>
      </w:r>
      <w:r w:rsidRPr="00BB7F61">
        <w:t>. ∑Var4 is</w:t>
      </w:r>
      <w:proofErr w:type="gramEnd"/>
      <w:r w:rsidRPr="00BB7F61">
        <w:t xml:space="preserve"> the total variation for the sample. To get cross-firm-cross-industry variation, I subtract off ∑Var3 and ∑Var1 from ∑Var4. Cross-firm-cross-industry variation is denoted as ∑Var5= ∑Var4-∑Var3-∑Var1.</w:t>
      </w:r>
    </w:p>
    <w:p w:rsidR="00F62EF1" w:rsidRPr="00931FD3" w:rsidRDefault="00F62EF1">
      <w:pPr>
        <w:pStyle w:val="FootnoteText"/>
        <w:rPr>
          <w:rFonts w:ascii="Times New Roman" w:hAnsi="Times New Roman"/>
        </w:rPr>
      </w:pPr>
    </w:p>
  </w:footnote>
  <w:footnote w:id="31">
    <w:p w:rsidR="00F62EF1" w:rsidRPr="00DD7A28" w:rsidRDefault="00F62EF1" w:rsidP="001F4A44">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Results in table </w:t>
      </w:r>
      <w:r>
        <w:rPr>
          <w:rFonts w:ascii="Times New Roman" w:hAnsi="Times New Roman"/>
        </w:rPr>
        <w:t>3</w:t>
      </w:r>
      <w:r w:rsidRPr="00DD7A28">
        <w:rPr>
          <w:rFonts w:ascii="Times New Roman" w:hAnsi="Times New Roman"/>
        </w:rPr>
        <w:t xml:space="preserve"> are similar if I use </w:t>
      </w:r>
      <w:proofErr w:type="spellStart"/>
      <w:r w:rsidRPr="00DD7A28">
        <w:rPr>
          <w:rFonts w:ascii="Times New Roman" w:hAnsi="Times New Roman"/>
          <w:i/>
        </w:rPr>
        <w:t>P_EQew</w:t>
      </w:r>
      <w:proofErr w:type="spellEnd"/>
      <w:r w:rsidRPr="00DD7A28">
        <w:rPr>
          <w:rFonts w:ascii="Times New Roman" w:hAnsi="Times New Roman"/>
          <w:i/>
        </w:rPr>
        <w:t xml:space="preserve"> </w:t>
      </w:r>
      <w:r w:rsidRPr="00DD7A28">
        <w:rPr>
          <w:rFonts w:ascii="Times New Roman" w:hAnsi="Times New Roman"/>
        </w:rPr>
        <w:t xml:space="preserve">instead of </w:t>
      </w:r>
      <w:proofErr w:type="spellStart"/>
      <w:r w:rsidRPr="00DD7A28">
        <w:rPr>
          <w:rFonts w:ascii="Times New Roman" w:hAnsi="Times New Roman"/>
          <w:i/>
        </w:rPr>
        <w:t>P_EQmsw</w:t>
      </w:r>
      <w:proofErr w:type="spellEnd"/>
      <w:r w:rsidRPr="00DD7A28">
        <w:rPr>
          <w:rFonts w:ascii="Times New Roman" w:hAnsi="Times New Roman"/>
        </w:rPr>
        <w:t>.</w:t>
      </w:r>
    </w:p>
  </w:footnote>
  <w:footnote w:id="32">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The results are similar if the portfolios are constructed annually based on the rank of </w:t>
      </w:r>
      <w:r w:rsidRPr="00DD7A28">
        <w:rPr>
          <w:rFonts w:ascii="Times New Roman" w:hAnsi="Times New Roman"/>
          <w:i/>
        </w:rPr>
        <w:t xml:space="preserve">P_EQ </w:t>
      </w:r>
      <w:r w:rsidRPr="00DD7A28">
        <w:rPr>
          <w:rFonts w:ascii="Times New Roman" w:hAnsi="Times New Roman"/>
        </w:rPr>
        <w:t>in each year.</w:t>
      </w:r>
    </w:p>
  </w:footnote>
  <w:footnote w:id="33">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Results are similar if I regress </w:t>
      </w:r>
      <w:proofErr w:type="spellStart"/>
      <w:r w:rsidRPr="00DD7A28">
        <w:rPr>
          <w:rFonts w:ascii="Times New Roman" w:hAnsi="Times New Roman"/>
          <w:i/>
        </w:rPr>
        <w:t>ICoE</w:t>
      </w:r>
      <w:proofErr w:type="spellEnd"/>
      <w:r w:rsidRPr="00DD7A28">
        <w:rPr>
          <w:rFonts w:ascii="Times New Roman" w:hAnsi="Times New Roman"/>
        </w:rPr>
        <w:t>,</w:t>
      </w:r>
      <w:r w:rsidRPr="00DD7A28">
        <w:rPr>
          <w:rFonts w:ascii="Times New Roman" w:hAnsi="Times New Roman"/>
          <w:i/>
        </w:rPr>
        <w:t xml:space="preserve"> Beta, </w:t>
      </w:r>
      <w:r w:rsidRPr="00931FD3">
        <w:rPr>
          <w:rFonts w:ascii="Times New Roman" w:hAnsi="Times New Roman"/>
        </w:rPr>
        <w:t>and</w:t>
      </w:r>
      <w:r>
        <w:rPr>
          <w:rFonts w:ascii="Times New Roman" w:hAnsi="Times New Roman"/>
          <w:i/>
        </w:rPr>
        <w:t xml:space="preserve"> </w:t>
      </w:r>
      <w:proofErr w:type="spellStart"/>
      <w:proofErr w:type="gramStart"/>
      <w:r w:rsidRPr="00DD7A28">
        <w:rPr>
          <w:rFonts w:ascii="Times New Roman" w:hAnsi="Times New Roman"/>
          <w:i/>
        </w:rPr>
        <w:t>IndEP</w:t>
      </w:r>
      <w:proofErr w:type="spellEnd"/>
      <w:r w:rsidRPr="00DD7A28">
        <w:rPr>
          <w:rFonts w:ascii="Times New Roman" w:hAnsi="Times New Roman"/>
          <w:i/>
        </w:rPr>
        <w:t xml:space="preserve">  </w:t>
      </w:r>
      <w:r w:rsidRPr="00DD7A28">
        <w:rPr>
          <w:rFonts w:ascii="Times New Roman" w:hAnsi="Times New Roman"/>
        </w:rPr>
        <w:t>on</w:t>
      </w:r>
      <w:proofErr w:type="gramEnd"/>
      <w:r w:rsidRPr="00DD7A28">
        <w:rPr>
          <w:rFonts w:ascii="Times New Roman" w:hAnsi="Times New Roman"/>
        </w:rPr>
        <w:t xml:space="preserve"> the square or the cube of</w:t>
      </w:r>
      <w:r w:rsidRPr="00DD7A28">
        <w:rPr>
          <w:rFonts w:ascii="Times New Roman" w:hAnsi="Times New Roman"/>
          <w:i/>
        </w:rPr>
        <w:t xml:space="preserve"> EQ </w:t>
      </w:r>
      <w:r w:rsidRPr="00DD7A28">
        <w:rPr>
          <w:rFonts w:ascii="Times New Roman" w:hAnsi="Times New Roman"/>
        </w:rPr>
        <w:t>in the first stage</w:t>
      </w:r>
      <w:r w:rsidRPr="00DD7A28">
        <w:rPr>
          <w:rFonts w:ascii="Times New Roman" w:hAnsi="Times New Roman"/>
          <w:i/>
        </w:rPr>
        <w:t>.</w:t>
      </w:r>
    </w:p>
  </w:footnote>
  <w:footnote w:id="34">
    <w:p w:rsidR="00F62EF1" w:rsidRDefault="00F62EF1">
      <w:pPr>
        <w:pStyle w:val="FootnoteText"/>
      </w:pPr>
      <w:r>
        <w:rPr>
          <w:rStyle w:val="FootnoteReference"/>
        </w:rPr>
        <w:footnoteRef/>
      </w:r>
      <w:r>
        <w:t xml:space="preserve"> </w:t>
      </w:r>
      <w:proofErr w:type="spellStart"/>
      <w:r w:rsidRPr="00A02551">
        <w:rPr>
          <w:rFonts w:ascii="Times New Roman" w:hAnsi="Times New Roman"/>
        </w:rPr>
        <w:t>Untabulated</w:t>
      </w:r>
      <w:proofErr w:type="spellEnd"/>
      <w:r w:rsidRPr="00A02551">
        <w:rPr>
          <w:rFonts w:ascii="Times New Roman" w:hAnsi="Times New Roman"/>
        </w:rPr>
        <w:t xml:space="preserve"> results also suggest a significant mediation role of </w:t>
      </w:r>
      <w:r w:rsidRPr="00A02551">
        <w:rPr>
          <w:rFonts w:ascii="Times New Roman" w:hAnsi="Times New Roman"/>
          <w:i/>
        </w:rPr>
        <w:t xml:space="preserve">Beta </w:t>
      </w:r>
      <w:r w:rsidRPr="00A02551">
        <w:rPr>
          <w:rFonts w:ascii="Times New Roman" w:hAnsi="Times New Roman"/>
        </w:rPr>
        <w:t xml:space="preserve">in the relation between </w:t>
      </w:r>
      <w:r w:rsidRPr="00A02551">
        <w:rPr>
          <w:rFonts w:ascii="Times New Roman" w:hAnsi="Times New Roman"/>
          <w:i/>
        </w:rPr>
        <w:t xml:space="preserve">H_ EQ </w:t>
      </w:r>
      <w:r w:rsidRPr="00A02551">
        <w:rPr>
          <w:rFonts w:ascii="Times New Roman" w:hAnsi="Times New Roman"/>
        </w:rPr>
        <w:t xml:space="preserve">and </w:t>
      </w:r>
      <w:proofErr w:type="spellStart"/>
      <w:r w:rsidRPr="00A02551">
        <w:rPr>
          <w:rFonts w:ascii="Times New Roman" w:hAnsi="Times New Roman"/>
          <w:i/>
        </w:rPr>
        <w:t>ICoE</w:t>
      </w:r>
      <w:proofErr w:type="spellEnd"/>
      <w:r w:rsidRPr="00A02551">
        <w:rPr>
          <w:rFonts w:ascii="Times New Roman" w:hAnsi="Times New Roman"/>
        </w:rPr>
        <w:t>.</w:t>
      </w:r>
    </w:p>
  </w:footnote>
  <w:footnote w:id="35">
    <w:p w:rsidR="00F62EF1" w:rsidRDefault="00F62EF1" w:rsidP="00A02551">
      <w:pPr>
        <w:pStyle w:val="FootnoteText"/>
      </w:pPr>
      <w:r>
        <w:rPr>
          <w:rStyle w:val="FootnoteReference"/>
        </w:rPr>
        <w:footnoteRef/>
      </w:r>
      <w:r>
        <w:t xml:space="preserve"> </w:t>
      </w:r>
      <w:proofErr w:type="spellStart"/>
      <w:r w:rsidRPr="00A02551">
        <w:rPr>
          <w:rFonts w:ascii="Times New Roman" w:hAnsi="Times New Roman"/>
        </w:rPr>
        <w:t>Untabulated</w:t>
      </w:r>
      <w:proofErr w:type="spellEnd"/>
      <w:r w:rsidRPr="00A02551">
        <w:rPr>
          <w:rFonts w:ascii="Times New Roman" w:hAnsi="Times New Roman"/>
        </w:rPr>
        <w:t xml:space="preserve"> results also suggest a significant mediation role of </w:t>
      </w:r>
      <w:r w:rsidRPr="00A02551">
        <w:rPr>
          <w:rFonts w:ascii="Times New Roman" w:hAnsi="Times New Roman"/>
          <w:i/>
        </w:rPr>
        <w:t xml:space="preserve">Beta </w:t>
      </w:r>
      <w:r w:rsidRPr="00A02551">
        <w:rPr>
          <w:rFonts w:ascii="Times New Roman" w:hAnsi="Times New Roman"/>
        </w:rPr>
        <w:t xml:space="preserve">in the relation between </w:t>
      </w:r>
      <w:r w:rsidRPr="00A02551">
        <w:rPr>
          <w:rFonts w:ascii="Times New Roman" w:hAnsi="Times New Roman"/>
          <w:i/>
        </w:rPr>
        <w:t xml:space="preserve">H_ EQ </w:t>
      </w:r>
      <w:r w:rsidRPr="00A02551">
        <w:rPr>
          <w:rFonts w:ascii="Times New Roman" w:hAnsi="Times New Roman"/>
        </w:rPr>
        <w:t xml:space="preserve">and </w:t>
      </w:r>
      <w:proofErr w:type="spellStart"/>
      <w:r w:rsidRPr="00A02551">
        <w:rPr>
          <w:rFonts w:ascii="Times New Roman" w:hAnsi="Times New Roman"/>
          <w:i/>
        </w:rPr>
        <w:t>IndEP</w:t>
      </w:r>
      <w:proofErr w:type="spellEnd"/>
      <w:r w:rsidRPr="00A02551">
        <w:rPr>
          <w:rFonts w:ascii="Times New Roman" w:hAnsi="Times New Roman"/>
        </w:rPr>
        <w:t>.</w:t>
      </w:r>
    </w:p>
  </w:footnote>
  <w:footnote w:id="36">
    <w:p w:rsidR="00F62EF1" w:rsidRDefault="00F62EF1">
      <w:pPr>
        <w:pStyle w:val="FootnoteText"/>
      </w:pPr>
      <w:r>
        <w:rPr>
          <w:rStyle w:val="FootnoteReference"/>
        </w:rPr>
        <w:footnoteRef/>
      </w:r>
      <w:r>
        <w:t xml:space="preserve"> </w:t>
      </w:r>
      <w:r w:rsidRPr="007B4FBE">
        <w:rPr>
          <w:rFonts w:ascii="Times New Roman" w:hAnsi="Times New Roman"/>
        </w:rPr>
        <w:t xml:space="preserve">This equation is numbered equation (7) to avoid </w:t>
      </w:r>
      <w:r>
        <w:rPr>
          <w:rFonts w:ascii="Times New Roman" w:hAnsi="Times New Roman"/>
        </w:rPr>
        <w:t xml:space="preserve">possible </w:t>
      </w:r>
      <w:r w:rsidRPr="007B4FBE">
        <w:rPr>
          <w:rFonts w:ascii="Times New Roman" w:hAnsi="Times New Roman"/>
        </w:rPr>
        <w:t>confusions</w:t>
      </w:r>
      <w:r>
        <w:rPr>
          <w:rFonts w:ascii="Times New Roman" w:hAnsi="Times New Roman"/>
        </w:rPr>
        <w:t xml:space="preserve"> with</w:t>
      </w:r>
      <w:r w:rsidRPr="00D77175">
        <w:t xml:space="preserve"> </w:t>
      </w:r>
      <w:r w:rsidRPr="00D77175">
        <w:rPr>
          <w:rFonts w:ascii="Times New Roman" w:hAnsi="Times New Roman"/>
        </w:rPr>
        <w:t>equation (6) from LLV</w:t>
      </w:r>
      <w:r w:rsidRPr="007B4FBE">
        <w:rPr>
          <w:rFonts w:ascii="Times New Roman" w:hAnsi="Times New Roman"/>
        </w:rPr>
        <w:t>.</w:t>
      </w:r>
    </w:p>
  </w:footnote>
  <w:footnote w:id="37">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For the tests in the two subsamples, </w:t>
      </w:r>
      <w:r w:rsidRPr="00DD7A28">
        <w:rPr>
          <w:rFonts w:ascii="Times New Roman" w:hAnsi="Times New Roman"/>
          <w:i/>
        </w:rPr>
        <w:t>H_P</w:t>
      </w:r>
      <w:r w:rsidRPr="00DD7A28">
        <w:rPr>
          <w:rFonts w:ascii="Times New Roman" w:hAnsi="Times New Roman"/>
          <w:i/>
        </w:rPr>
        <w:softHyphen/>
        <w:t xml:space="preserve">_EQ </w:t>
      </w:r>
      <w:r w:rsidRPr="00DD7A28">
        <w:rPr>
          <w:rFonts w:ascii="Times New Roman" w:hAnsi="Times New Roman"/>
        </w:rPr>
        <w:t>is recoded as 1 when peer firm earnings quality is above median in the respective subsample.</w:t>
      </w:r>
    </w:p>
  </w:footnote>
  <w:footnote w:id="38">
    <w:p w:rsidR="00F62EF1" w:rsidRPr="00CC3673" w:rsidRDefault="00F62EF1" w:rsidP="00634BCA">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w:t>
      </w:r>
      <w:r>
        <w:rPr>
          <w:rFonts w:ascii="Times New Roman" w:hAnsi="Times New Roman"/>
        </w:rPr>
        <w:t xml:space="preserve">One exception is the implied cost of equity tests using </w:t>
      </w:r>
      <w:proofErr w:type="spellStart"/>
      <w:r w:rsidRPr="00931FD3">
        <w:rPr>
          <w:rFonts w:ascii="Times New Roman" w:hAnsi="Times New Roman"/>
          <w:i/>
          <w:iCs/>
          <w:color w:val="000000"/>
          <w:sz w:val="16"/>
        </w:rPr>
        <w:t>P_EQew</w:t>
      </w:r>
      <w:proofErr w:type="spellEnd"/>
      <w:r>
        <w:rPr>
          <w:rFonts w:ascii="Times New Roman" w:hAnsi="Times New Roman"/>
          <w:iCs/>
          <w:color w:val="000000"/>
          <w:sz w:val="16"/>
        </w:rPr>
        <w:t>.</w:t>
      </w:r>
    </w:p>
  </w:footnote>
  <w:footnote w:id="39">
    <w:p w:rsidR="00F62EF1" w:rsidRDefault="00F62EF1">
      <w:pPr>
        <w:pStyle w:val="FootnoteText"/>
      </w:pPr>
      <w:r>
        <w:rPr>
          <w:rStyle w:val="FootnoteReference"/>
        </w:rPr>
        <w:footnoteRef/>
      </w:r>
      <w:r>
        <w:t xml:space="preserve"> </w:t>
      </w:r>
      <w:r w:rsidRPr="00103D15">
        <w:rPr>
          <w:rFonts w:ascii="Times New Roman" w:hAnsi="Times New Roman"/>
        </w:rPr>
        <w:t>Based on Z-statistics, the differ</w:t>
      </w:r>
      <w:r>
        <w:rPr>
          <w:rFonts w:ascii="Times New Roman" w:hAnsi="Times New Roman"/>
        </w:rPr>
        <w:t xml:space="preserve">ence in the coefficients on </w:t>
      </w:r>
      <w:r w:rsidRPr="00103D15">
        <w:rPr>
          <w:rFonts w:ascii="Times New Roman" w:hAnsi="Times New Roman"/>
          <w:i/>
        </w:rPr>
        <w:t>H_P_EQ</w:t>
      </w:r>
      <w:r w:rsidRPr="00103D15">
        <w:rPr>
          <w:rFonts w:ascii="Times New Roman" w:hAnsi="Times New Roman"/>
        </w:rPr>
        <w:t xml:space="preserve"> between multinational firms and domestic firms is significant at 10% level (one tail) for the market risk factor test and industry</w:t>
      </w:r>
      <w:r>
        <w:rPr>
          <w:rFonts w:ascii="Times New Roman" w:hAnsi="Times New Roman"/>
        </w:rPr>
        <w:t>-</w:t>
      </w:r>
      <w:r w:rsidRPr="00103D15">
        <w:rPr>
          <w:rFonts w:ascii="Times New Roman" w:hAnsi="Times New Roman"/>
        </w:rPr>
        <w:t xml:space="preserve"> adjusted</w:t>
      </w:r>
      <w:r>
        <w:rPr>
          <w:rFonts w:ascii="Times New Roman" w:hAnsi="Times New Roman"/>
        </w:rPr>
        <w:t>-</w:t>
      </w:r>
      <w:r w:rsidRPr="00103D15">
        <w:rPr>
          <w:rFonts w:ascii="Times New Roman" w:hAnsi="Times New Roman"/>
        </w:rPr>
        <w:t>earnings</w:t>
      </w:r>
      <w:r>
        <w:rPr>
          <w:rFonts w:ascii="Times New Roman" w:hAnsi="Times New Roman"/>
        </w:rPr>
        <w:t>-</w:t>
      </w:r>
      <w:r w:rsidRPr="00103D15">
        <w:rPr>
          <w:rFonts w:ascii="Times New Roman" w:hAnsi="Times New Roman"/>
        </w:rPr>
        <w:t>to</w:t>
      </w:r>
      <w:r>
        <w:rPr>
          <w:rFonts w:ascii="Times New Roman" w:hAnsi="Times New Roman"/>
        </w:rPr>
        <w:t>-</w:t>
      </w:r>
      <w:r w:rsidRPr="00103D15">
        <w:rPr>
          <w:rFonts w:ascii="Times New Roman" w:hAnsi="Times New Roman"/>
        </w:rPr>
        <w:t>price ratio test.</w:t>
      </w:r>
    </w:p>
  </w:footnote>
  <w:footnote w:id="40">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I did not perform the industry</w:t>
      </w:r>
      <w:r>
        <w:rPr>
          <w:rFonts w:ascii="Times New Roman" w:hAnsi="Times New Roman"/>
        </w:rPr>
        <w:t>-</w:t>
      </w:r>
      <w:r w:rsidRPr="00DD7A28">
        <w:rPr>
          <w:rFonts w:ascii="Times New Roman" w:hAnsi="Times New Roman"/>
        </w:rPr>
        <w:t>adjusted</w:t>
      </w:r>
      <w:r>
        <w:rPr>
          <w:rFonts w:ascii="Times New Roman" w:hAnsi="Times New Roman"/>
        </w:rPr>
        <w:t>-</w:t>
      </w:r>
      <w:r w:rsidRPr="00DD7A28">
        <w:rPr>
          <w:rFonts w:ascii="Times New Roman" w:hAnsi="Times New Roman"/>
        </w:rPr>
        <w:t>earnings</w:t>
      </w:r>
      <w:r>
        <w:rPr>
          <w:rFonts w:ascii="Times New Roman" w:hAnsi="Times New Roman"/>
        </w:rPr>
        <w:t>-</w:t>
      </w:r>
      <w:r w:rsidRPr="00DD7A28">
        <w:rPr>
          <w:rFonts w:ascii="Times New Roman" w:hAnsi="Times New Roman"/>
        </w:rPr>
        <w:t>to price</w:t>
      </w:r>
      <w:r>
        <w:rPr>
          <w:rFonts w:ascii="Times New Roman" w:hAnsi="Times New Roman"/>
        </w:rPr>
        <w:t xml:space="preserve"> </w:t>
      </w:r>
      <w:r w:rsidRPr="00DD7A28">
        <w:rPr>
          <w:rFonts w:ascii="Times New Roman" w:hAnsi="Times New Roman"/>
        </w:rPr>
        <w:t>ratio test for subsamples split based on relative profitability, because as discussed above, the industry adjusted earnings to price ratio by itself is not a good proxy for the cost of equity for the subsample of low profitability.</w:t>
      </w:r>
    </w:p>
  </w:footnote>
  <w:footnote w:id="41">
    <w:p w:rsidR="00F62EF1" w:rsidRDefault="00F62EF1">
      <w:pPr>
        <w:pStyle w:val="FootnoteText"/>
      </w:pPr>
      <w:r>
        <w:rPr>
          <w:rStyle w:val="FootnoteReference"/>
        </w:rPr>
        <w:footnoteRef/>
      </w:r>
      <w:r>
        <w:t xml:space="preserve"> </w:t>
      </w:r>
      <w:r w:rsidRPr="00931FD3">
        <w:rPr>
          <w:rFonts w:ascii="Times New Roman" w:hAnsi="Times New Roman"/>
        </w:rPr>
        <w:t>I keep this implied cost of equity measure in my additional test because the sample size is much smaller than the primary test sample.</w:t>
      </w:r>
    </w:p>
  </w:footnote>
  <w:footnote w:id="42">
    <w:p w:rsidR="00F62EF1" w:rsidRPr="00DD7A28" w:rsidRDefault="00F62EF1">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I did not use this measure in my primary tests, because Hou et al. (2012) find this measure is negatively correlated with beta, casting doubt on the reliability of this measure. Consistent with Hou et al., my tests also find a negative correlation between Hou et al. cost of equity measure and beta.</w:t>
      </w:r>
    </w:p>
  </w:footnote>
  <w:footnote w:id="43">
    <w:p w:rsidR="00F62EF1" w:rsidRDefault="00F62EF1">
      <w:pPr>
        <w:pStyle w:val="FootnoteText"/>
      </w:pPr>
      <w:r>
        <w:rPr>
          <w:rStyle w:val="FootnoteReference"/>
        </w:rPr>
        <w:footnoteRef/>
      </w:r>
      <w:r>
        <w:t xml:space="preserve"> </w:t>
      </w:r>
      <w:r w:rsidRPr="00931FD3">
        <w:rPr>
          <w:rFonts w:ascii="Times New Roman" w:hAnsi="Times New Roman"/>
        </w:rPr>
        <w:t>All the results are robust to using these alternative measure</w:t>
      </w:r>
      <w:r>
        <w:rPr>
          <w:rFonts w:ascii="Times New Roman" w:hAnsi="Times New Roman"/>
        </w:rPr>
        <w:t>s</w:t>
      </w:r>
      <w:r w:rsidRPr="00931FD3">
        <w:rPr>
          <w:rFonts w:ascii="Times New Roman" w:hAnsi="Times New Roman"/>
        </w:rPr>
        <w:t>, expect that the industry</w:t>
      </w:r>
      <w:r>
        <w:rPr>
          <w:rFonts w:ascii="Times New Roman" w:hAnsi="Times New Roman"/>
        </w:rPr>
        <w:t>-</w:t>
      </w:r>
      <w:r w:rsidRPr="00931FD3">
        <w:rPr>
          <w:rFonts w:ascii="Times New Roman" w:hAnsi="Times New Roman"/>
        </w:rPr>
        <w:t>adjusted</w:t>
      </w:r>
      <w:r>
        <w:rPr>
          <w:rFonts w:ascii="Times New Roman" w:hAnsi="Times New Roman"/>
        </w:rPr>
        <w:t>-</w:t>
      </w:r>
      <w:r w:rsidRPr="00931FD3">
        <w:rPr>
          <w:rFonts w:ascii="Times New Roman" w:hAnsi="Times New Roman"/>
        </w:rPr>
        <w:t>earnings</w:t>
      </w:r>
      <w:r>
        <w:rPr>
          <w:rFonts w:ascii="Times New Roman" w:hAnsi="Times New Roman"/>
        </w:rPr>
        <w:t>-</w:t>
      </w:r>
      <w:r w:rsidRPr="00931FD3">
        <w:rPr>
          <w:rFonts w:ascii="Times New Roman" w:hAnsi="Times New Roman"/>
        </w:rPr>
        <w:t>to</w:t>
      </w:r>
      <w:r>
        <w:rPr>
          <w:rFonts w:ascii="Times New Roman" w:hAnsi="Times New Roman"/>
        </w:rPr>
        <w:t>-</w:t>
      </w:r>
      <w:r w:rsidRPr="00931FD3">
        <w:rPr>
          <w:rFonts w:ascii="Times New Roman" w:hAnsi="Times New Roman"/>
        </w:rPr>
        <w:t>price ratio tests are not robust to using Jones and modified Jones models.</w:t>
      </w:r>
      <w:r>
        <w:t xml:space="preserve"> </w:t>
      </w:r>
    </w:p>
  </w:footnote>
  <w:footnote w:id="44">
    <w:p w:rsidR="00F62EF1" w:rsidRPr="00931FD3" w:rsidRDefault="00F62EF1">
      <w:pPr>
        <w:pStyle w:val="FootnoteText"/>
        <w:rPr>
          <w:rFonts w:ascii="Batang" w:eastAsia="Batang" w:hAnsi="Batang"/>
        </w:rPr>
      </w:pPr>
      <w:r>
        <w:rPr>
          <w:rStyle w:val="FootnoteReference"/>
        </w:rPr>
        <w:footnoteRef/>
      </w:r>
      <w:r>
        <w:t xml:space="preserve"> </w:t>
      </w:r>
      <w:r w:rsidRPr="00931FD3">
        <w:rPr>
          <w:rFonts w:ascii="Times New Roman" w:eastAsia="Batang" w:hAnsi="Times New Roman"/>
        </w:rPr>
        <w:t>I run the regression by firm over the last ten year.</w:t>
      </w:r>
    </w:p>
  </w:footnote>
  <w:footnote w:id="45">
    <w:p w:rsidR="00F62EF1" w:rsidRPr="00DD7A28" w:rsidRDefault="00F62EF1" w:rsidP="00DE4CFD">
      <w:pPr>
        <w:pStyle w:val="FootnoteText"/>
        <w:rPr>
          <w:rFonts w:ascii="Times New Roman" w:hAnsi="Times New Roman"/>
        </w:rPr>
      </w:pPr>
      <w:r w:rsidRPr="00DD7A28">
        <w:rPr>
          <w:rStyle w:val="FootnoteReference"/>
          <w:rFonts w:ascii="Times New Roman" w:hAnsi="Times New Roman"/>
        </w:rPr>
        <w:footnoteRef/>
      </w:r>
      <w:r w:rsidRPr="00DD7A28">
        <w:rPr>
          <w:rFonts w:ascii="Times New Roman" w:hAnsi="Times New Roman"/>
        </w:rPr>
        <w:t xml:space="preserve"> </w:t>
      </w:r>
      <w:r w:rsidRPr="00C85932">
        <w:rPr>
          <w:rFonts w:ascii="Times New Roman" w:hAnsi="Times New Roman"/>
        </w:rPr>
        <w:t>Arguabl</w:t>
      </w:r>
      <w:r>
        <w:rPr>
          <w:rFonts w:ascii="Times New Roman" w:hAnsi="Times New Roman"/>
        </w:rPr>
        <w:t>y</w:t>
      </w:r>
      <w:r w:rsidRPr="00C85932">
        <w:rPr>
          <w:rFonts w:ascii="Times New Roman" w:hAnsi="Times New Roman"/>
        </w:rPr>
        <w:t xml:space="preserve">, if earnings are more predictable, the disagreement between analysts will be smaller. Therefore, </w:t>
      </w:r>
      <w:proofErr w:type="spellStart"/>
      <w:r w:rsidRPr="00936023">
        <w:rPr>
          <w:rFonts w:ascii="Times New Roman" w:hAnsi="Times New Roman"/>
          <w:i/>
        </w:rPr>
        <w:t>AFDisp</w:t>
      </w:r>
      <w:proofErr w:type="spellEnd"/>
      <w:r w:rsidRPr="00C85932">
        <w:rPr>
          <w:rFonts w:ascii="Times New Roman" w:hAnsi="Times New Roman"/>
        </w:rPr>
        <w:t xml:space="preserve"> should be a measure of earnings predictability.</w:t>
      </w:r>
    </w:p>
  </w:footnote>
  <w:footnote w:id="46">
    <w:p w:rsidR="00F62EF1" w:rsidRDefault="00F62EF1">
      <w:pPr>
        <w:pStyle w:val="FootnoteText"/>
      </w:pPr>
      <w:r>
        <w:rPr>
          <w:rStyle w:val="FootnoteReference"/>
        </w:rPr>
        <w:footnoteRef/>
      </w:r>
      <w:r>
        <w:t xml:space="preserve"> </w:t>
      </w:r>
      <w:r w:rsidRPr="0061426B">
        <w:rPr>
          <w:rFonts w:ascii="Times New Roman" w:hAnsi="Times New Roman"/>
        </w:rPr>
        <w:t>Unfortunately</w:t>
      </w:r>
      <w:r w:rsidRPr="00931FD3">
        <w:rPr>
          <w:rFonts w:ascii="Times New Roman" w:hAnsi="Times New Roman"/>
        </w:rPr>
        <w:t xml:space="preserve">, the results are </w:t>
      </w:r>
      <w:r>
        <w:rPr>
          <w:rFonts w:ascii="Times New Roman" w:hAnsi="Times New Roman"/>
        </w:rPr>
        <w:t>insignificant</w:t>
      </w:r>
      <w:r w:rsidRPr="00931FD3">
        <w:rPr>
          <w:rFonts w:ascii="Times New Roman" w:hAnsi="Times New Roman"/>
        </w:rPr>
        <w:t xml:space="preserve"> for the industry</w:t>
      </w:r>
      <w:r>
        <w:rPr>
          <w:rFonts w:ascii="Times New Roman" w:hAnsi="Times New Roman"/>
        </w:rPr>
        <w:t>-</w:t>
      </w:r>
      <w:r w:rsidRPr="00931FD3">
        <w:rPr>
          <w:rFonts w:ascii="Times New Roman" w:hAnsi="Times New Roman"/>
        </w:rPr>
        <w:t>adjusted</w:t>
      </w:r>
      <w:r>
        <w:rPr>
          <w:rFonts w:ascii="Times New Roman" w:hAnsi="Times New Roman"/>
        </w:rPr>
        <w:t>-</w:t>
      </w:r>
      <w:r w:rsidRPr="00931FD3">
        <w:rPr>
          <w:rFonts w:ascii="Times New Roman" w:hAnsi="Times New Roman"/>
        </w:rPr>
        <w:t>earnings</w:t>
      </w:r>
      <w:r>
        <w:rPr>
          <w:rFonts w:ascii="Times New Roman" w:hAnsi="Times New Roman"/>
        </w:rPr>
        <w:t>-</w:t>
      </w:r>
      <w:r w:rsidRPr="00931FD3">
        <w:rPr>
          <w:rFonts w:ascii="Times New Roman" w:hAnsi="Times New Roman"/>
        </w:rPr>
        <w:t>to</w:t>
      </w:r>
      <w:r>
        <w:rPr>
          <w:rFonts w:ascii="Times New Roman" w:hAnsi="Times New Roman"/>
        </w:rPr>
        <w:t>-</w:t>
      </w:r>
      <w:r w:rsidRPr="00931FD3">
        <w:rPr>
          <w:rFonts w:ascii="Times New Roman" w:hAnsi="Times New Roman"/>
        </w:rPr>
        <w:t>price ratio test.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120994"/>
      <w:docPartObj>
        <w:docPartGallery w:val="Page Numbers (Margins)"/>
        <w:docPartUnique/>
      </w:docPartObj>
    </w:sdtPr>
    <w:sdtContent>
      <w:p w:rsidR="00F62EF1" w:rsidRDefault="00F62EF1">
        <w:pPr>
          <w:pStyle w:val="Header"/>
        </w:pPr>
        <w:r>
          <w:rPr>
            <w:noProof/>
          </w:rPr>
          <mc:AlternateContent>
            <mc:Choice Requires="wps">
              <w:drawing>
                <wp:anchor distT="0" distB="0" distL="114300" distR="114300" simplePos="0" relativeHeight="251659264" behindDoc="0" locked="0" layoutInCell="0" allowOverlap="1" wp14:anchorId="44B2402D" wp14:editId="0554C66F">
                  <wp:simplePos x="0" y="0"/>
                  <wp:positionH relativeFrom="leftMargin">
                    <wp:align>left</wp:align>
                  </wp:positionH>
                  <wp:positionV relativeFrom="margin">
                    <wp:align>center</wp:align>
                  </wp:positionV>
                  <wp:extent cx="727710" cy="329565"/>
                  <wp:effectExtent l="0" t="0" r="3810" b="3810"/>
                  <wp:wrapNone/>
                  <wp:docPr id="5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F62EF1" w:rsidRPr="00931FD3" w:rsidRDefault="00F62EF1" w:rsidP="00931FD3">
                              <w:pPr>
                                <w:jc w:val="center"/>
                                <w:rPr>
                                  <w:sz w:val="24"/>
                                  <w:szCs w:val="24"/>
                                </w:rPr>
                              </w:pPr>
                              <w:r w:rsidRPr="00931FD3">
                                <w:rPr>
                                  <w:sz w:val="24"/>
                                  <w:szCs w:val="24"/>
                                </w:rPr>
                                <w:fldChar w:fldCharType="begin"/>
                              </w:r>
                              <w:r w:rsidRPr="00931FD3">
                                <w:rPr>
                                  <w:sz w:val="24"/>
                                  <w:szCs w:val="24"/>
                                </w:rPr>
                                <w:instrText xml:space="preserve"> PAGE   \* MERGEFORMAT </w:instrText>
                              </w:r>
                              <w:r w:rsidRPr="00931FD3">
                                <w:rPr>
                                  <w:sz w:val="24"/>
                                  <w:szCs w:val="24"/>
                                </w:rPr>
                                <w:fldChar w:fldCharType="separate"/>
                              </w:r>
                              <w:r w:rsidR="00634836">
                                <w:rPr>
                                  <w:noProof/>
                                  <w:sz w:val="24"/>
                                  <w:szCs w:val="24"/>
                                </w:rPr>
                                <w:t>69</w:t>
                              </w:r>
                              <w:r w:rsidRPr="00931FD3">
                                <w:rPr>
                                  <w:noProof/>
                                  <w:sz w:val="24"/>
                                  <w:szCs w:val="24"/>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Rectangle 4" o:spid="_x0000_s1044" style="position:absolute;margin-left:0;margin-top:0;width:57.3pt;height:25.95pt;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" o:allowincell="f" stroked="f">
                  <v:textbox style="layout-flow:vertical">
                    <w:txbxContent>
                      <w:p w:rsidR="00F62EF1" w:rsidRPr="00931FD3" w:rsidRDefault="00F62EF1" w:rsidP="00931FD3">
                        <w:pPr>
                          <w:jc w:val="center"/>
                          <w:rPr>
                            <w:sz w:val="24"/>
                            <w:szCs w:val="24"/>
                          </w:rPr>
                        </w:pPr>
                        <w:r w:rsidRPr="00931FD3">
                          <w:rPr>
                            <w:sz w:val="24"/>
                            <w:szCs w:val="24"/>
                          </w:rPr>
                          <w:fldChar w:fldCharType="begin"/>
                        </w:r>
                        <w:r w:rsidRPr="00931FD3">
                          <w:rPr>
                            <w:sz w:val="24"/>
                            <w:szCs w:val="24"/>
                          </w:rPr>
                          <w:instrText xml:space="preserve"> PAGE   \* MERGEFORMAT </w:instrText>
                        </w:r>
                        <w:r w:rsidRPr="00931FD3">
                          <w:rPr>
                            <w:sz w:val="24"/>
                            <w:szCs w:val="24"/>
                          </w:rPr>
                          <w:fldChar w:fldCharType="separate"/>
                        </w:r>
                        <w:r w:rsidR="00634836">
                          <w:rPr>
                            <w:noProof/>
                            <w:sz w:val="24"/>
                            <w:szCs w:val="24"/>
                          </w:rPr>
                          <w:t>69</w:t>
                        </w:r>
                        <w:r w:rsidRPr="00931FD3">
                          <w:rPr>
                            <w:noProof/>
                            <w:sz w:val="24"/>
                            <w:szCs w:val="24"/>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F1" w:rsidRDefault="00F62E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C1212"/>
    <w:multiLevelType w:val="multilevel"/>
    <w:tmpl w:val="ED184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B1483F"/>
    <w:multiLevelType w:val="multilevel"/>
    <w:tmpl w:val="DC2E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39529E"/>
    <w:multiLevelType w:val="multilevel"/>
    <w:tmpl w:val="8140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B6387E"/>
    <w:multiLevelType w:val="hybridMultilevel"/>
    <w:tmpl w:val="D9AAFF2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38752E4C"/>
    <w:multiLevelType w:val="multilevel"/>
    <w:tmpl w:val="C912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022F08"/>
    <w:multiLevelType w:val="hybridMultilevel"/>
    <w:tmpl w:val="DBD297CC"/>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nsid w:val="3A145354"/>
    <w:multiLevelType w:val="multilevel"/>
    <w:tmpl w:val="03C6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7D6DB0"/>
    <w:multiLevelType w:val="multilevel"/>
    <w:tmpl w:val="7DCC7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6869BB"/>
    <w:multiLevelType w:val="multilevel"/>
    <w:tmpl w:val="FB02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3448E7"/>
    <w:multiLevelType w:val="hybridMultilevel"/>
    <w:tmpl w:val="2E640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E22942"/>
    <w:multiLevelType w:val="multilevel"/>
    <w:tmpl w:val="1B52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1E1B2A"/>
    <w:multiLevelType w:val="hybridMultilevel"/>
    <w:tmpl w:val="49F47012"/>
    <w:lvl w:ilvl="0" w:tplc="3D0C8798">
      <w:start w:val="1"/>
      <w:numFmt w:val="decimal"/>
      <w:lvlText w:val="%1."/>
      <w:lvlJc w:val="left"/>
      <w:pPr>
        <w:ind w:left="647" w:hanging="360"/>
      </w:pPr>
      <w:rPr>
        <w:rFonts w:cs="Times New Roman" w:hint="default"/>
      </w:rPr>
    </w:lvl>
    <w:lvl w:ilvl="1" w:tplc="04090019" w:tentative="1">
      <w:start w:val="1"/>
      <w:numFmt w:val="lowerLetter"/>
      <w:lvlText w:val="%2."/>
      <w:lvlJc w:val="left"/>
      <w:pPr>
        <w:ind w:left="1367" w:hanging="360"/>
      </w:pPr>
      <w:rPr>
        <w:rFonts w:cs="Times New Roman"/>
      </w:rPr>
    </w:lvl>
    <w:lvl w:ilvl="2" w:tplc="0409001B" w:tentative="1">
      <w:start w:val="1"/>
      <w:numFmt w:val="lowerRoman"/>
      <w:lvlText w:val="%3."/>
      <w:lvlJc w:val="right"/>
      <w:pPr>
        <w:ind w:left="2087" w:hanging="180"/>
      </w:pPr>
      <w:rPr>
        <w:rFonts w:cs="Times New Roman"/>
      </w:rPr>
    </w:lvl>
    <w:lvl w:ilvl="3" w:tplc="0409000F" w:tentative="1">
      <w:start w:val="1"/>
      <w:numFmt w:val="decimal"/>
      <w:lvlText w:val="%4."/>
      <w:lvlJc w:val="left"/>
      <w:pPr>
        <w:ind w:left="2807" w:hanging="360"/>
      </w:pPr>
      <w:rPr>
        <w:rFonts w:cs="Times New Roman"/>
      </w:rPr>
    </w:lvl>
    <w:lvl w:ilvl="4" w:tplc="04090019" w:tentative="1">
      <w:start w:val="1"/>
      <w:numFmt w:val="lowerLetter"/>
      <w:lvlText w:val="%5."/>
      <w:lvlJc w:val="left"/>
      <w:pPr>
        <w:ind w:left="3527" w:hanging="360"/>
      </w:pPr>
      <w:rPr>
        <w:rFonts w:cs="Times New Roman"/>
      </w:rPr>
    </w:lvl>
    <w:lvl w:ilvl="5" w:tplc="0409001B" w:tentative="1">
      <w:start w:val="1"/>
      <w:numFmt w:val="lowerRoman"/>
      <w:lvlText w:val="%6."/>
      <w:lvlJc w:val="right"/>
      <w:pPr>
        <w:ind w:left="4247" w:hanging="180"/>
      </w:pPr>
      <w:rPr>
        <w:rFonts w:cs="Times New Roman"/>
      </w:rPr>
    </w:lvl>
    <w:lvl w:ilvl="6" w:tplc="0409000F" w:tentative="1">
      <w:start w:val="1"/>
      <w:numFmt w:val="decimal"/>
      <w:lvlText w:val="%7."/>
      <w:lvlJc w:val="left"/>
      <w:pPr>
        <w:ind w:left="4967" w:hanging="360"/>
      </w:pPr>
      <w:rPr>
        <w:rFonts w:cs="Times New Roman"/>
      </w:rPr>
    </w:lvl>
    <w:lvl w:ilvl="7" w:tplc="04090019" w:tentative="1">
      <w:start w:val="1"/>
      <w:numFmt w:val="lowerLetter"/>
      <w:lvlText w:val="%8."/>
      <w:lvlJc w:val="left"/>
      <w:pPr>
        <w:ind w:left="5687" w:hanging="360"/>
      </w:pPr>
      <w:rPr>
        <w:rFonts w:cs="Times New Roman"/>
      </w:rPr>
    </w:lvl>
    <w:lvl w:ilvl="8" w:tplc="0409001B" w:tentative="1">
      <w:start w:val="1"/>
      <w:numFmt w:val="lowerRoman"/>
      <w:lvlText w:val="%9."/>
      <w:lvlJc w:val="right"/>
      <w:pPr>
        <w:ind w:left="6407" w:hanging="180"/>
      </w:pPr>
      <w:rPr>
        <w:rFonts w:cs="Times New Roman"/>
      </w:rPr>
    </w:lvl>
  </w:abstractNum>
  <w:abstractNum w:abstractNumId="12">
    <w:nsid w:val="6F3B788C"/>
    <w:multiLevelType w:val="multilevel"/>
    <w:tmpl w:val="CAB4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75265EA"/>
    <w:multiLevelType w:val="multilevel"/>
    <w:tmpl w:val="FC56F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6C4D96"/>
    <w:multiLevelType w:val="multilevel"/>
    <w:tmpl w:val="62606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1"/>
  </w:num>
  <w:num w:numId="4">
    <w:abstractNumId w:val="0"/>
  </w:num>
  <w:num w:numId="5">
    <w:abstractNumId w:val="7"/>
  </w:num>
  <w:num w:numId="6">
    <w:abstractNumId w:val="10"/>
  </w:num>
  <w:num w:numId="7">
    <w:abstractNumId w:val="4"/>
  </w:num>
  <w:num w:numId="8">
    <w:abstractNumId w:val="8"/>
  </w:num>
  <w:num w:numId="9">
    <w:abstractNumId w:val="12"/>
  </w:num>
  <w:num w:numId="10">
    <w:abstractNumId w:val="2"/>
  </w:num>
  <w:num w:numId="11">
    <w:abstractNumId w:val="13"/>
  </w:num>
  <w:num w:numId="12">
    <w:abstractNumId w:val="14"/>
  </w:num>
  <w:num w:numId="13">
    <w:abstractNumId w:val="6"/>
  </w:num>
  <w:num w:numId="14">
    <w:abstractNumId w:val="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6A9"/>
    <w:rsid w:val="00000064"/>
    <w:rsid w:val="0000089B"/>
    <w:rsid w:val="00000FF8"/>
    <w:rsid w:val="000017F6"/>
    <w:rsid w:val="00001955"/>
    <w:rsid w:val="00002D7F"/>
    <w:rsid w:val="00003214"/>
    <w:rsid w:val="00003B94"/>
    <w:rsid w:val="00003CDB"/>
    <w:rsid w:val="000043E0"/>
    <w:rsid w:val="000045FA"/>
    <w:rsid w:val="000048EC"/>
    <w:rsid w:val="00004DB5"/>
    <w:rsid w:val="0000506D"/>
    <w:rsid w:val="0000525C"/>
    <w:rsid w:val="000057E3"/>
    <w:rsid w:val="000059D0"/>
    <w:rsid w:val="000060B0"/>
    <w:rsid w:val="00006547"/>
    <w:rsid w:val="00006DFB"/>
    <w:rsid w:val="00006E26"/>
    <w:rsid w:val="0000750E"/>
    <w:rsid w:val="000076C7"/>
    <w:rsid w:val="00007B10"/>
    <w:rsid w:val="00007CB9"/>
    <w:rsid w:val="000110D8"/>
    <w:rsid w:val="000114D1"/>
    <w:rsid w:val="000120B7"/>
    <w:rsid w:val="00012566"/>
    <w:rsid w:val="00013801"/>
    <w:rsid w:val="000142C6"/>
    <w:rsid w:val="00014A58"/>
    <w:rsid w:val="000154B5"/>
    <w:rsid w:val="00015577"/>
    <w:rsid w:val="000156C8"/>
    <w:rsid w:val="00016BCF"/>
    <w:rsid w:val="00016FDE"/>
    <w:rsid w:val="0001726B"/>
    <w:rsid w:val="00017F4D"/>
    <w:rsid w:val="00020C0B"/>
    <w:rsid w:val="000219B9"/>
    <w:rsid w:val="00022448"/>
    <w:rsid w:val="000230BE"/>
    <w:rsid w:val="000276E5"/>
    <w:rsid w:val="000277EE"/>
    <w:rsid w:val="00027FDC"/>
    <w:rsid w:val="00030DED"/>
    <w:rsid w:val="00031E25"/>
    <w:rsid w:val="00031EC5"/>
    <w:rsid w:val="00031F36"/>
    <w:rsid w:val="0003258C"/>
    <w:rsid w:val="000328CA"/>
    <w:rsid w:val="00032F92"/>
    <w:rsid w:val="0003400B"/>
    <w:rsid w:val="0003418A"/>
    <w:rsid w:val="0003485A"/>
    <w:rsid w:val="00034C27"/>
    <w:rsid w:val="00035599"/>
    <w:rsid w:val="00036644"/>
    <w:rsid w:val="00037702"/>
    <w:rsid w:val="00040718"/>
    <w:rsid w:val="00040933"/>
    <w:rsid w:val="0004097C"/>
    <w:rsid w:val="000417A4"/>
    <w:rsid w:val="00042ED1"/>
    <w:rsid w:val="00042F55"/>
    <w:rsid w:val="0004345D"/>
    <w:rsid w:val="000434E8"/>
    <w:rsid w:val="0004367B"/>
    <w:rsid w:val="000445A4"/>
    <w:rsid w:val="0004534B"/>
    <w:rsid w:val="000457C4"/>
    <w:rsid w:val="0004641C"/>
    <w:rsid w:val="000467D4"/>
    <w:rsid w:val="0005086A"/>
    <w:rsid w:val="0005106F"/>
    <w:rsid w:val="000524CD"/>
    <w:rsid w:val="000528FE"/>
    <w:rsid w:val="00052987"/>
    <w:rsid w:val="00052B39"/>
    <w:rsid w:val="00052D43"/>
    <w:rsid w:val="000530C5"/>
    <w:rsid w:val="00053148"/>
    <w:rsid w:val="0005317D"/>
    <w:rsid w:val="000538E6"/>
    <w:rsid w:val="000538F4"/>
    <w:rsid w:val="0005446A"/>
    <w:rsid w:val="00054699"/>
    <w:rsid w:val="00056419"/>
    <w:rsid w:val="000619ED"/>
    <w:rsid w:val="000642E8"/>
    <w:rsid w:val="000652E9"/>
    <w:rsid w:val="00065919"/>
    <w:rsid w:val="000659FF"/>
    <w:rsid w:val="00067477"/>
    <w:rsid w:val="00070303"/>
    <w:rsid w:val="000708AC"/>
    <w:rsid w:val="0007129F"/>
    <w:rsid w:val="0007176C"/>
    <w:rsid w:val="0007198B"/>
    <w:rsid w:val="00072DC3"/>
    <w:rsid w:val="00073301"/>
    <w:rsid w:val="00073D5D"/>
    <w:rsid w:val="00073D74"/>
    <w:rsid w:val="000742D2"/>
    <w:rsid w:val="00074AE4"/>
    <w:rsid w:val="00074F21"/>
    <w:rsid w:val="00075020"/>
    <w:rsid w:val="000755C0"/>
    <w:rsid w:val="00075B0D"/>
    <w:rsid w:val="00076B33"/>
    <w:rsid w:val="000770D7"/>
    <w:rsid w:val="00077E09"/>
    <w:rsid w:val="00080121"/>
    <w:rsid w:val="0008143B"/>
    <w:rsid w:val="00081928"/>
    <w:rsid w:val="00081FC0"/>
    <w:rsid w:val="000820E2"/>
    <w:rsid w:val="000821DA"/>
    <w:rsid w:val="0008336B"/>
    <w:rsid w:val="00084171"/>
    <w:rsid w:val="0008457B"/>
    <w:rsid w:val="00084693"/>
    <w:rsid w:val="000848D0"/>
    <w:rsid w:val="00084BE7"/>
    <w:rsid w:val="000851B1"/>
    <w:rsid w:val="0008559D"/>
    <w:rsid w:val="000856F8"/>
    <w:rsid w:val="00085CA0"/>
    <w:rsid w:val="0008631B"/>
    <w:rsid w:val="00086AA1"/>
    <w:rsid w:val="00086F74"/>
    <w:rsid w:val="00087187"/>
    <w:rsid w:val="000874AE"/>
    <w:rsid w:val="00090162"/>
    <w:rsid w:val="000906DF"/>
    <w:rsid w:val="00090CC8"/>
    <w:rsid w:val="0009161C"/>
    <w:rsid w:val="0009178D"/>
    <w:rsid w:val="00092672"/>
    <w:rsid w:val="00093277"/>
    <w:rsid w:val="000942BE"/>
    <w:rsid w:val="0009472B"/>
    <w:rsid w:val="00094746"/>
    <w:rsid w:val="00094F00"/>
    <w:rsid w:val="0009513E"/>
    <w:rsid w:val="0009574F"/>
    <w:rsid w:val="000958D1"/>
    <w:rsid w:val="0009592F"/>
    <w:rsid w:val="00095D8B"/>
    <w:rsid w:val="00096045"/>
    <w:rsid w:val="000965D7"/>
    <w:rsid w:val="000965EC"/>
    <w:rsid w:val="00097AD4"/>
    <w:rsid w:val="000A05E6"/>
    <w:rsid w:val="000A06C5"/>
    <w:rsid w:val="000A0CC2"/>
    <w:rsid w:val="000A0D20"/>
    <w:rsid w:val="000A100D"/>
    <w:rsid w:val="000A17B9"/>
    <w:rsid w:val="000A1B7D"/>
    <w:rsid w:val="000A20F8"/>
    <w:rsid w:val="000A25DE"/>
    <w:rsid w:val="000A2BF6"/>
    <w:rsid w:val="000A2D7C"/>
    <w:rsid w:val="000A340F"/>
    <w:rsid w:val="000A364A"/>
    <w:rsid w:val="000A3A3D"/>
    <w:rsid w:val="000A3B06"/>
    <w:rsid w:val="000A4030"/>
    <w:rsid w:val="000A4227"/>
    <w:rsid w:val="000A496A"/>
    <w:rsid w:val="000A4E70"/>
    <w:rsid w:val="000A5863"/>
    <w:rsid w:val="000A5A97"/>
    <w:rsid w:val="000A6C06"/>
    <w:rsid w:val="000A71AF"/>
    <w:rsid w:val="000A72CA"/>
    <w:rsid w:val="000B0594"/>
    <w:rsid w:val="000B0DF7"/>
    <w:rsid w:val="000B135D"/>
    <w:rsid w:val="000B20EA"/>
    <w:rsid w:val="000B3743"/>
    <w:rsid w:val="000B37EB"/>
    <w:rsid w:val="000B40D0"/>
    <w:rsid w:val="000B4E9C"/>
    <w:rsid w:val="000B6107"/>
    <w:rsid w:val="000B65D9"/>
    <w:rsid w:val="000B661C"/>
    <w:rsid w:val="000B6A9B"/>
    <w:rsid w:val="000B773B"/>
    <w:rsid w:val="000B79E5"/>
    <w:rsid w:val="000C05FE"/>
    <w:rsid w:val="000C062A"/>
    <w:rsid w:val="000C072A"/>
    <w:rsid w:val="000C0AE9"/>
    <w:rsid w:val="000C1205"/>
    <w:rsid w:val="000C148E"/>
    <w:rsid w:val="000C1A7C"/>
    <w:rsid w:val="000C1D4F"/>
    <w:rsid w:val="000C1E64"/>
    <w:rsid w:val="000C1FAA"/>
    <w:rsid w:val="000C2CCA"/>
    <w:rsid w:val="000C3F57"/>
    <w:rsid w:val="000C476B"/>
    <w:rsid w:val="000C4CB7"/>
    <w:rsid w:val="000C4DE1"/>
    <w:rsid w:val="000C4FE0"/>
    <w:rsid w:val="000C514B"/>
    <w:rsid w:val="000C520B"/>
    <w:rsid w:val="000C54C4"/>
    <w:rsid w:val="000C5797"/>
    <w:rsid w:val="000C58DB"/>
    <w:rsid w:val="000C6263"/>
    <w:rsid w:val="000C62F4"/>
    <w:rsid w:val="000C6369"/>
    <w:rsid w:val="000C69FE"/>
    <w:rsid w:val="000C6D57"/>
    <w:rsid w:val="000C6DA9"/>
    <w:rsid w:val="000C6E81"/>
    <w:rsid w:val="000C763B"/>
    <w:rsid w:val="000C7A18"/>
    <w:rsid w:val="000D047E"/>
    <w:rsid w:val="000D086C"/>
    <w:rsid w:val="000D22A5"/>
    <w:rsid w:val="000D262E"/>
    <w:rsid w:val="000D33D5"/>
    <w:rsid w:val="000D4B11"/>
    <w:rsid w:val="000D58E5"/>
    <w:rsid w:val="000D5E70"/>
    <w:rsid w:val="000D67AB"/>
    <w:rsid w:val="000D70C0"/>
    <w:rsid w:val="000D7A88"/>
    <w:rsid w:val="000E0A83"/>
    <w:rsid w:val="000E0ADA"/>
    <w:rsid w:val="000E1957"/>
    <w:rsid w:val="000E1C04"/>
    <w:rsid w:val="000E1D49"/>
    <w:rsid w:val="000E1F4A"/>
    <w:rsid w:val="000E3F91"/>
    <w:rsid w:val="000E46F3"/>
    <w:rsid w:val="000E5807"/>
    <w:rsid w:val="000E5FEE"/>
    <w:rsid w:val="000E67B5"/>
    <w:rsid w:val="000E680B"/>
    <w:rsid w:val="000E7B60"/>
    <w:rsid w:val="000E7BB7"/>
    <w:rsid w:val="000F01B7"/>
    <w:rsid w:val="000F0E7D"/>
    <w:rsid w:val="000F0FCF"/>
    <w:rsid w:val="000F1560"/>
    <w:rsid w:val="000F1599"/>
    <w:rsid w:val="000F1C88"/>
    <w:rsid w:val="000F1F39"/>
    <w:rsid w:val="000F2C84"/>
    <w:rsid w:val="000F2E6D"/>
    <w:rsid w:val="000F2FDE"/>
    <w:rsid w:val="000F33B3"/>
    <w:rsid w:val="000F4500"/>
    <w:rsid w:val="000F49C8"/>
    <w:rsid w:val="000F4A9B"/>
    <w:rsid w:val="000F5CF2"/>
    <w:rsid w:val="000F5F51"/>
    <w:rsid w:val="000F61D6"/>
    <w:rsid w:val="000F62CF"/>
    <w:rsid w:val="000F644B"/>
    <w:rsid w:val="000F6F0E"/>
    <w:rsid w:val="000F7354"/>
    <w:rsid w:val="000F787A"/>
    <w:rsid w:val="00100604"/>
    <w:rsid w:val="00100679"/>
    <w:rsid w:val="00100BD4"/>
    <w:rsid w:val="00101091"/>
    <w:rsid w:val="00101602"/>
    <w:rsid w:val="001019DA"/>
    <w:rsid w:val="00102542"/>
    <w:rsid w:val="00102707"/>
    <w:rsid w:val="00103839"/>
    <w:rsid w:val="00103962"/>
    <w:rsid w:val="00103D15"/>
    <w:rsid w:val="00103F7E"/>
    <w:rsid w:val="00104B0C"/>
    <w:rsid w:val="00104CBA"/>
    <w:rsid w:val="00104F2C"/>
    <w:rsid w:val="0010513A"/>
    <w:rsid w:val="0010568C"/>
    <w:rsid w:val="001058AF"/>
    <w:rsid w:val="00105FB0"/>
    <w:rsid w:val="00106453"/>
    <w:rsid w:val="00106BC6"/>
    <w:rsid w:val="001071B9"/>
    <w:rsid w:val="001071EF"/>
    <w:rsid w:val="001100D4"/>
    <w:rsid w:val="00110446"/>
    <w:rsid w:val="001107B9"/>
    <w:rsid w:val="00111BCF"/>
    <w:rsid w:val="00111EA3"/>
    <w:rsid w:val="00112891"/>
    <w:rsid w:val="00112A1C"/>
    <w:rsid w:val="0011438A"/>
    <w:rsid w:val="00115682"/>
    <w:rsid w:val="001156BA"/>
    <w:rsid w:val="00115AD8"/>
    <w:rsid w:val="00115E25"/>
    <w:rsid w:val="00116B9D"/>
    <w:rsid w:val="001178DE"/>
    <w:rsid w:val="00120516"/>
    <w:rsid w:val="0012064F"/>
    <w:rsid w:val="001206BD"/>
    <w:rsid w:val="00120814"/>
    <w:rsid w:val="0012146B"/>
    <w:rsid w:val="00121591"/>
    <w:rsid w:val="00121A0C"/>
    <w:rsid w:val="001224A5"/>
    <w:rsid w:val="00122C0C"/>
    <w:rsid w:val="00122E62"/>
    <w:rsid w:val="001230F8"/>
    <w:rsid w:val="001231C1"/>
    <w:rsid w:val="00123988"/>
    <w:rsid w:val="00123A6D"/>
    <w:rsid w:val="00124D70"/>
    <w:rsid w:val="0012580D"/>
    <w:rsid w:val="00125C01"/>
    <w:rsid w:val="0012628F"/>
    <w:rsid w:val="00126C0D"/>
    <w:rsid w:val="00127A58"/>
    <w:rsid w:val="001307E7"/>
    <w:rsid w:val="0013109C"/>
    <w:rsid w:val="001312A9"/>
    <w:rsid w:val="00131C1E"/>
    <w:rsid w:val="00131FB1"/>
    <w:rsid w:val="0013249F"/>
    <w:rsid w:val="00133668"/>
    <w:rsid w:val="00133850"/>
    <w:rsid w:val="0013418E"/>
    <w:rsid w:val="00134268"/>
    <w:rsid w:val="00134B67"/>
    <w:rsid w:val="00134C1C"/>
    <w:rsid w:val="00134F57"/>
    <w:rsid w:val="00135A3F"/>
    <w:rsid w:val="00135BF9"/>
    <w:rsid w:val="00136974"/>
    <w:rsid w:val="00137117"/>
    <w:rsid w:val="001376E2"/>
    <w:rsid w:val="00137859"/>
    <w:rsid w:val="00137A32"/>
    <w:rsid w:val="00140452"/>
    <w:rsid w:val="00140518"/>
    <w:rsid w:val="00140E5F"/>
    <w:rsid w:val="00143A83"/>
    <w:rsid w:val="00144A0F"/>
    <w:rsid w:val="00144C91"/>
    <w:rsid w:val="00145A95"/>
    <w:rsid w:val="00145D8E"/>
    <w:rsid w:val="00146C62"/>
    <w:rsid w:val="0014723F"/>
    <w:rsid w:val="00147D59"/>
    <w:rsid w:val="00150B0A"/>
    <w:rsid w:val="0015102B"/>
    <w:rsid w:val="0015150B"/>
    <w:rsid w:val="001517A8"/>
    <w:rsid w:val="001518D5"/>
    <w:rsid w:val="00151A2E"/>
    <w:rsid w:val="00152DBB"/>
    <w:rsid w:val="001538EB"/>
    <w:rsid w:val="00154704"/>
    <w:rsid w:val="0015596A"/>
    <w:rsid w:val="00156165"/>
    <w:rsid w:val="00156341"/>
    <w:rsid w:val="0015636B"/>
    <w:rsid w:val="001568B7"/>
    <w:rsid w:val="00156983"/>
    <w:rsid w:val="00156F2A"/>
    <w:rsid w:val="0015739B"/>
    <w:rsid w:val="001576FA"/>
    <w:rsid w:val="001603B0"/>
    <w:rsid w:val="00162389"/>
    <w:rsid w:val="0016273A"/>
    <w:rsid w:val="00162AA6"/>
    <w:rsid w:val="0016308D"/>
    <w:rsid w:val="00163231"/>
    <w:rsid w:val="00163592"/>
    <w:rsid w:val="001635BB"/>
    <w:rsid w:val="001646F3"/>
    <w:rsid w:val="00164C9B"/>
    <w:rsid w:val="00164DA2"/>
    <w:rsid w:val="0016538C"/>
    <w:rsid w:val="00166949"/>
    <w:rsid w:val="00167703"/>
    <w:rsid w:val="001678BD"/>
    <w:rsid w:val="00167980"/>
    <w:rsid w:val="001679EC"/>
    <w:rsid w:val="00167C9E"/>
    <w:rsid w:val="0017040F"/>
    <w:rsid w:val="001705EE"/>
    <w:rsid w:val="00171390"/>
    <w:rsid w:val="00171E04"/>
    <w:rsid w:val="00172436"/>
    <w:rsid w:val="00172C02"/>
    <w:rsid w:val="00172ED3"/>
    <w:rsid w:val="001732B2"/>
    <w:rsid w:val="001738D3"/>
    <w:rsid w:val="00173A5D"/>
    <w:rsid w:val="00173E6D"/>
    <w:rsid w:val="00174BB1"/>
    <w:rsid w:val="00176C85"/>
    <w:rsid w:val="00177334"/>
    <w:rsid w:val="0017763E"/>
    <w:rsid w:val="001801AB"/>
    <w:rsid w:val="001801BC"/>
    <w:rsid w:val="0018034C"/>
    <w:rsid w:val="001803E3"/>
    <w:rsid w:val="00180A23"/>
    <w:rsid w:val="00180B18"/>
    <w:rsid w:val="00180FA8"/>
    <w:rsid w:val="001817F3"/>
    <w:rsid w:val="00181C02"/>
    <w:rsid w:val="00182128"/>
    <w:rsid w:val="0018381D"/>
    <w:rsid w:val="001841F0"/>
    <w:rsid w:val="00184831"/>
    <w:rsid w:val="00184909"/>
    <w:rsid w:val="00184983"/>
    <w:rsid w:val="00185007"/>
    <w:rsid w:val="001851ED"/>
    <w:rsid w:val="0018558C"/>
    <w:rsid w:val="00186760"/>
    <w:rsid w:val="00186DFE"/>
    <w:rsid w:val="0018776F"/>
    <w:rsid w:val="00187F2C"/>
    <w:rsid w:val="00190021"/>
    <w:rsid w:val="00190257"/>
    <w:rsid w:val="00190522"/>
    <w:rsid w:val="001906C3"/>
    <w:rsid w:val="00190774"/>
    <w:rsid w:val="0019288B"/>
    <w:rsid w:val="00193F4B"/>
    <w:rsid w:val="00194342"/>
    <w:rsid w:val="00195677"/>
    <w:rsid w:val="001957A1"/>
    <w:rsid w:val="00195B71"/>
    <w:rsid w:val="00196190"/>
    <w:rsid w:val="00196796"/>
    <w:rsid w:val="001A086B"/>
    <w:rsid w:val="001A08A3"/>
    <w:rsid w:val="001A0B53"/>
    <w:rsid w:val="001A2094"/>
    <w:rsid w:val="001A2740"/>
    <w:rsid w:val="001A2E60"/>
    <w:rsid w:val="001A3623"/>
    <w:rsid w:val="001A36BD"/>
    <w:rsid w:val="001A3EFA"/>
    <w:rsid w:val="001A401A"/>
    <w:rsid w:val="001A44D5"/>
    <w:rsid w:val="001A46B1"/>
    <w:rsid w:val="001A4BB6"/>
    <w:rsid w:val="001A571A"/>
    <w:rsid w:val="001A65F3"/>
    <w:rsid w:val="001A73C5"/>
    <w:rsid w:val="001A761D"/>
    <w:rsid w:val="001A7638"/>
    <w:rsid w:val="001A7C07"/>
    <w:rsid w:val="001B0562"/>
    <w:rsid w:val="001B0A70"/>
    <w:rsid w:val="001B125A"/>
    <w:rsid w:val="001B20ED"/>
    <w:rsid w:val="001B34D4"/>
    <w:rsid w:val="001B3AF3"/>
    <w:rsid w:val="001B5D66"/>
    <w:rsid w:val="001B7822"/>
    <w:rsid w:val="001C0954"/>
    <w:rsid w:val="001C1105"/>
    <w:rsid w:val="001C158E"/>
    <w:rsid w:val="001C22E9"/>
    <w:rsid w:val="001C2655"/>
    <w:rsid w:val="001C26C1"/>
    <w:rsid w:val="001C2767"/>
    <w:rsid w:val="001C29FD"/>
    <w:rsid w:val="001C3722"/>
    <w:rsid w:val="001C502D"/>
    <w:rsid w:val="001C59B1"/>
    <w:rsid w:val="001C6389"/>
    <w:rsid w:val="001C6A77"/>
    <w:rsid w:val="001C6AC7"/>
    <w:rsid w:val="001C7003"/>
    <w:rsid w:val="001C75C9"/>
    <w:rsid w:val="001C7B3F"/>
    <w:rsid w:val="001D096E"/>
    <w:rsid w:val="001D0ABA"/>
    <w:rsid w:val="001D0BD3"/>
    <w:rsid w:val="001D0C82"/>
    <w:rsid w:val="001D0D8A"/>
    <w:rsid w:val="001D1062"/>
    <w:rsid w:val="001D14FF"/>
    <w:rsid w:val="001D262A"/>
    <w:rsid w:val="001D2965"/>
    <w:rsid w:val="001D2FBD"/>
    <w:rsid w:val="001D3DFC"/>
    <w:rsid w:val="001D43EC"/>
    <w:rsid w:val="001D47BB"/>
    <w:rsid w:val="001D4C47"/>
    <w:rsid w:val="001D52B9"/>
    <w:rsid w:val="001D566C"/>
    <w:rsid w:val="001D5DAF"/>
    <w:rsid w:val="001D5FA8"/>
    <w:rsid w:val="001D64D6"/>
    <w:rsid w:val="001D6AE9"/>
    <w:rsid w:val="001D7F18"/>
    <w:rsid w:val="001E01D9"/>
    <w:rsid w:val="001E03DE"/>
    <w:rsid w:val="001E12DA"/>
    <w:rsid w:val="001E1418"/>
    <w:rsid w:val="001E159A"/>
    <w:rsid w:val="001E3E72"/>
    <w:rsid w:val="001E4203"/>
    <w:rsid w:val="001E42EE"/>
    <w:rsid w:val="001E4414"/>
    <w:rsid w:val="001E4464"/>
    <w:rsid w:val="001E448A"/>
    <w:rsid w:val="001E4A3F"/>
    <w:rsid w:val="001E4E9E"/>
    <w:rsid w:val="001E4EAC"/>
    <w:rsid w:val="001E54B9"/>
    <w:rsid w:val="001E5512"/>
    <w:rsid w:val="001E5A07"/>
    <w:rsid w:val="001E5A99"/>
    <w:rsid w:val="001E5E0E"/>
    <w:rsid w:val="001E5F45"/>
    <w:rsid w:val="001E658C"/>
    <w:rsid w:val="001E6791"/>
    <w:rsid w:val="001E6CDB"/>
    <w:rsid w:val="001E6D53"/>
    <w:rsid w:val="001E734E"/>
    <w:rsid w:val="001E73AB"/>
    <w:rsid w:val="001F01F7"/>
    <w:rsid w:val="001F0969"/>
    <w:rsid w:val="001F296E"/>
    <w:rsid w:val="001F3A23"/>
    <w:rsid w:val="001F3EC0"/>
    <w:rsid w:val="001F43F6"/>
    <w:rsid w:val="001F4A44"/>
    <w:rsid w:val="001F4BEC"/>
    <w:rsid w:val="001F5176"/>
    <w:rsid w:val="001F5EE4"/>
    <w:rsid w:val="001F64A9"/>
    <w:rsid w:val="001F69AA"/>
    <w:rsid w:val="001F6ECE"/>
    <w:rsid w:val="001F72BB"/>
    <w:rsid w:val="001F7BB4"/>
    <w:rsid w:val="002008B3"/>
    <w:rsid w:val="002009EF"/>
    <w:rsid w:val="0020122D"/>
    <w:rsid w:val="002030E1"/>
    <w:rsid w:val="00203592"/>
    <w:rsid w:val="00203870"/>
    <w:rsid w:val="00203A85"/>
    <w:rsid w:val="002041C8"/>
    <w:rsid w:val="00204206"/>
    <w:rsid w:val="00204CAA"/>
    <w:rsid w:val="00205646"/>
    <w:rsid w:val="002058C9"/>
    <w:rsid w:val="00205DEC"/>
    <w:rsid w:val="00205E70"/>
    <w:rsid w:val="00206288"/>
    <w:rsid w:val="00206767"/>
    <w:rsid w:val="00206974"/>
    <w:rsid w:val="00210113"/>
    <w:rsid w:val="00210A74"/>
    <w:rsid w:val="00210F94"/>
    <w:rsid w:val="00211A73"/>
    <w:rsid w:val="00211D9A"/>
    <w:rsid w:val="00211DC7"/>
    <w:rsid w:val="002126EE"/>
    <w:rsid w:val="00212892"/>
    <w:rsid w:val="00213A76"/>
    <w:rsid w:val="00214668"/>
    <w:rsid w:val="0021473F"/>
    <w:rsid w:val="00214A19"/>
    <w:rsid w:val="0021700C"/>
    <w:rsid w:val="00217CA7"/>
    <w:rsid w:val="00217D2C"/>
    <w:rsid w:val="002202FE"/>
    <w:rsid w:val="002207D4"/>
    <w:rsid w:val="00220DD2"/>
    <w:rsid w:val="00221EE2"/>
    <w:rsid w:val="002221E0"/>
    <w:rsid w:val="002226B5"/>
    <w:rsid w:val="00223A02"/>
    <w:rsid w:val="00223E9D"/>
    <w:rsid w:val="00224307"/>
    <w:rsid w:val="002246A4"/>
    <w:rsid w:val="00224B84"/>
    <w:rsid w:val="0022507D"/>
    <w:rsid w:val="00225D72"/>
    <w:rsid w:val="00225E1D"/>
    <w:rsid w:val="00226DCC"/>
    <w:rsid w:val="00227113"/>
    <w:rsid w:val="002307C9"/>
    <w:rsid w:val="002307F3"/>
    <w:rsid w:val="00231218"/>
    <w:rsid w:val="00231EC1"/>
    <w:rsid w:val="00231FD8"/>
    <w:rsid w:val="002326F6"/>
    <w:rsid w:val="002327CA"/>
    <w:rsid w:val="00232DD7"/>
    <w:rsid w:val="002338C3"/>
    <w:rsid w:val="00234208"/>
    <w:rsid w:val="00234F4F"/>
    <w:rsid w:val="00235170"/>
    <w:rsid w:val="002352DB"/>
    <w:rsid w:val="00235406"/>
    <w:rsid w:val="00235C3B"/>
    <w:rsid w:val="00235F13"/>
    <w:rsid w:val="00236025"/>
    <w:rsid w:val="00236877"/>
    <w:rsid w:val="002368F2"/>
    <w:rsid w:val="0023713C"/>
    <w:rsid w:val="00237342"/>
    <w:rsid w:val="00237596"/>
    <w:rsid w:val="00241758"/>
    <w:rsid w:val="00241CFD"/>
    <w:rsid w:val="00242498"/>
    <w:rsid w:val="0024277D"/>
    <w:rsid w:val="002427A4"/>
    <w:rsid w:val="00242B40"/>
    <w:rsid w:val="00242C65"/>
    <w:rsid w:val="00242DF3"/>
    <w:rsid w:val="00242FC0"/>
    <w:rsid w:val="002434F8"/>
    <w:rsid w:val="00243750"/>
    <w:rsid w:val="002437E4"/>
    <w:rsid w:val="00243887"/>
    <w:rsid w:val="00243A16"/>
    <w:rsid w:val="00243F6C"/>
    <w:rsid w:val="00245560"/>
    <w:rsid w:val="0024587F"/>
    <w:rsid w:val="00245A33"/>
    <w:rsid w:val="00245F72"/>
    <w:rsid w:val="00246BBB"/>
    <w:rsid w:val="00250049"/>
    <w:rsid w:val="00250178"/>
    <w:rsid w:val="002501ED"/>
    <w:rsid w:val="002506EE"/>
    <w:rsid w:val="002508AE"/>
    <w:rsid w:val="00250B86"/>
    <w:rsid w:val="002515C7"/>
    <w:rsid w:val="00252C73"/>
    <w:rsid w:val="00253AF8"/>
    <w:rsid w:val="00253F7A"/>
    <w:rsid w:val="002543C9"/>
    <w:rsid w:val="0025461D"/>
    <w:rsid w:val="0025483A"/>
    <w:rsid w:val="00255324"/>
    <w:rsid w:val="0025541D"/>
    <w:rsid w:val="002555EF"/>
    <w:rsid w:val="00255639"/>
    <w:rsid w:val="00255E4B"/>
    <w:rsid w:val="002560C0"/>
    <w:rsid w:val="002566B5"/>
    <w:rsid w:val="00260021"/>
    <w:rsid w:val="002614F8"/>
    <w:rsid w:val="00261618"/>
    <w:rsid w:val="00262321"/>
    <w:rsid w:val="00263729"/>
    <w:rsid w:val="00263D2B"/>
    <w:rsid w:val="0026456C"/>
    <w:rsid w:val="00264723"/>
    <w:rsid w:val="002649DE"/>
    <w:rsid w:val="002657D8"/>
    <w:rsid w:val="00265C83"/>
    <w:rsid w:val="00265CBB"/>
    <w:rsid w:val="00265D9F"/>
    <w:rsid w:val="00265DF3"/>
    <w:rsid w:val="00267D03"/>
    <w:rsid w:val="00267D8C"/>
    <w:rsid w:val="00267E99"/>
    <w:rsid w:val="00270608"/>
    <w:rsid w:val="002719CB"/>
    <w:rsid w:val="002719D6"/>
    <w:rsid w:val="00271C45"/>
    <w:rsid w:val="00272383"/>
    <w:rsid w:val="002723CA"/>
    <w:rsid w:val="00272571"/>
    <w:rsid w:val="00272C14"/>
    <w:rsid w:val="0027374A"/>
    <w:rsid w:val="00273BE4"/>
    <w:rsid w:val="00273CFD"/>
    <w:rsid w:val="0027458C"/>
    <w:rsid w:val="00274915"/>
    <w:rsid w:val="00274AAA"/>
    <w:rsid w:val="002754C8"/>
    <w:rsid w:val="00275517"/>
    <w:rsid w:val="00275DBF"/>
    <w:rsid w:val="00275F64"/>
    <w:rsid w:val="00276A22"/>
    <w:rsid w:val="00276B20"/>
    <w:rsid w:val="00280229"/>
    <w:rsid w:val="00280A0E"/>
    <w:rsid w:val="00280BA8"/>
    <w:rsid w:val="00280C24"/>
    <w:rsid w:val="00281FF3"/>
    <w:rsid w:val="00281FF9"/>
    <w:rsid w:val="0028272A"/>
    <w:rsid w:val="00282BEB"/>
    <w:rsid w:val="00282E31"/>
    <w:rsid w:val="00283878"/>
    <w:rsid w:val="00283B85"/>
    <w:rsid w:val="00283E43"/>
    <w:rsid w:val="00284639"/>
    <w:rsid w:val="00284696"/>
    <w:rsid w:val="0028542A"/>
    <w:rsid w:val="00285D4F"/>
    <w:rsid w:val="00285F65"/>
    <w:rsid w:val="00286829"/>
    <w:rsid w:val="00287056"/>
    <w:rsid w:val="00287A95"/>
    <w:rsid w:val="00290208"/>
    <w:rsid w:val="002906D6"/>
    <w:rsid w:val="00291021"/>
    <w:rsid w:val="0029115D"/>
    <w:rsid w:val="0029244A"/>
    <w:rsid w:val="00292BA2"/>
    <w:rsid w:val="00292E0C"/>
    <w:rsid w:val="00292E53"/>
    <w:rsid w:val="00293185"/>
    <w:rsid w:val="00293CBC"/>
    <w:rsid w:val="0029439A"/>
    <w:rsid w:val="00294FAE"/>
    <w:rsid w:val="002957C6"/>
    <w:rsid w:val="00295904"/>
    <w:rsid w:val="002966A2"/>
    <w:rsid w:val="00297F00"/>
    <w:rsid w:val="002A0532"/>
    <w:rsid w:val="002A093D"/>
    <w:rsid w:val="002A09A4"/>
    <w:rsid w:val="002A0B3B"/>
    <w:rsid w:val="002A0D35"/>
    <w:rsid w:val="002A1691"/>
    <w:rsid w:val="002A1990"/>
    <w:rsid w:val="002A1EB1"/>
    <w:rsid w:val="002A2C55"/>
    <w:rsid w:val="002A3228"/>
    <w:rsid w:val="002A3496"/>
    <w:rsid w:val="002A34A8"/>
    <w:rsid w:val="002A5FAD"/>
    <w:rsid w:val="002A695B"/>
    <w:rsid w:val="002A6ACC"/>
    <w:rsid w:val="002A6BCD"/>
    <w:rsid w:val="002A71FC"/>
    <w:rsid w:val="002A73B0"/>
    <w:rsid w:val="002A7CCE"/>
    <w:rsid w:val="002B0B4A"/>
    <w:rsid w:val="002B0B90"/>
    <w:rsid w:val="002B132E"/>
    <w:rsid w:val="002B2970"/>
    <w:rsid w:val="002B345A"/>
    <w:rsid w:val="002B35C3"/>
    <w:rsid w:val="002B3748"/>
    <w:rsid w:val="002B38F4"/>
    <w:rsid w:val="002B3A22"/>
    <w:rsid w:val="002B3D99"/>
    <w:rsid w:val="002B4053"/>
    <w:rsid w:val="002B51DC"/>
    <w:rsid w:val="002B658C"/>
    <w:rsid w:val="002B6973"/>
    <w:rsid w:val="002B6BD3"/>
    <w:rsid w:val="002B7830"/>
    <w:rsid w:val="002B785B"/>
    <w:rsid w:val="002B7C77"/>
    <w:rsid w:val="002B7EC1"/>
    <w:rsid w:val="002B7EEF"/>
    <w:rsid w:val="002B7F1B"/>
    <w:rsid w:val="002C0DF6"/>
    <w:rsid w:val="002C0F60"/>
    <w:rsid w:val="002C129E"/>
    <w:rsid w:val="002C1327"/>
    <w:rsid w:val="002C2B86"/>
    <w:rsid w:val="002C3393"/>
    <w:rsid w:val="002C3E74"/>
    <w:rsid w:val="002C3E93"/>
    <w:rsid w:val="002C436D"/>
    <w:rsid w:val="002C4443"/>
    <w:rsid w:val="002C46F3"/>
    <w:rsid w:val="002C5370"/>
    <w:rsid w:val="002C55EE"/>
    <w:rsid w:val="002D068F"/>
    <w:rsid w:val="002D0709"/>
    <w:rsid w:val="002D1133"/>
    <w:rsid w:val="002D144C"/>
    <w:rsid w:val="002D1DFE"/>
    <w:rsid w:val="002D2131"/>
    <w:rsid w:val="002D2EB9"/>
    <w:rsid w:val="002D3062"/>
    <w:rsid w:val="002D317E"/>
    <w:rsid w:val="002D3236"/>
    <w:rsid w:val="002D48E1"/>
    <w:rsid w:val="002D49E8"/>
    <w:rsid w:val="002D50FD"/>
    <w:rsid w:val="002D532C"/>
    <w:rsid w:val="002D5EBC"/>
    <w:rsid w:val="002D5EF4"/>
    <w:rsid w:val="002D63AA"/>
    <w:rsid w:val="002D65A3"/>
    <w:rsid w:val="002D6627"/>
    <w:rsid w:val="002D66BA"/>
    <w:rsid w:val="002D6CBB"/>
    <w:rsid w:val="002D6E4D"/>
    <w:rsid w:val="002D72F3"/>
    <w:rsid w:val="002D7AEF"/>
    <w:rsid w:val="002E0101"/>
    <w:rsid w:val="002E18DE"/>
    <w:rsid w:val="002E191A"/>
    <w:rsid w:val="002E1EA3"/>
    <w:rsid w:val="002E2144"/>
    <w:rsid w:val="002E2D89"/>
    <w:rsid w:val="002E2E14"/>
    <w:rsid w:val="002E365A"/>
    <w:rsid w:val="002E3DBE"/>
    <w:rsid w:val="002E4AE1"/>
    <w:rsid w:val="002E4DDF"/>
    <w:rsid w:val="002E4FAF"/>
    <w:rsid w:val="002E53EE"/>
    <w:rsid w:val="002E5BDF"/>
    <w:rsid w:val="002E5DCE"/>
    <w:rsid w:val="002E5ED7"/>
    <w:rsid w:val="002E612B"/>
    <w:rsid w:val="002E725C"/>
    <w:rsid w:val="002E797D"/>
    <w:rsid w:val="002E7B31"/>
    <w:rsid w:val="002F010D"/>
    <w:rsid w:val="002F063F"/>
    <w:rsid w:val="002F0C70"/>
    <w:rsid w:val="002F185A"/>
    <w:rsid w:val="002F2271"/>
    <w:rsid w:val="002F26E9"/>
    <w:rsid w:val="002F2796"/>
    <w:rsid w:val="002F293B"/>
    <w:rsid w:val="002F4C20"/>
    <w:rsid w:val="002F57F3"/>
    <w:rsid w:val="002F6407"/>
    <w:rsid w:val="00300092"/>
    <w:rsid w:val="00301A70"/>
    <w:rsid w:val="00302134"/>
    <w:rsid w:val="00303241"/>
    <w:rsid w:val="003048D5"/>
    <w:rsid w:val="00305AFC"/>
    <w:rsid w:val="00305F0F"/>
    <w:rsid w:val="0030675B"/>
    <w:rsid w:val="00307AC0"/>
    <w:rsid w:val="00307BC6"/>
    <w:rsid w:val="00307CB4"/>
    <w:rsid w:val="00307D4D"/>
    <w:rsid w:val="003103DA"/>
    <w:rsid w:val="003104C7"/>
    <w:rsid w:val="00310B09"/>
    <w:rsid w:val="00310BEF"/>
    <w:rsid w:val="00310DC5"/>
    <w:rsid w:val="003116FA"/>
    <w:rsid w:val="00312AA4"/>
    <w:rsid w:val="00312AF5"/>
    <w:rsid w:val="00312CFA"/>
    <w:rsid w:val="00313566"/>
    <w:rsid w:val="00313A62"/>
    <w:rsid w:val="0031688B"/>
    <w:rsid w:val="00316930"/>
    <w:rsid w:val="0031754A"/>
    <w:rsid w:val="003175A9"/>
    <w:rsid w:val="003200AB"/>
    <w:rsid w:val="00320D1D"/>
    <w:rsid w:val="0032164B"/>
    <w:rsid w:val="00321704"/>
    <w:rsid w:val="00322D00"/>
    <w:rsid w:val="003234E7"/>
    <w:rsid w:val="0032363A"/>
    <w:rsid w:val="003237FC"/>
    <w:rsid w:val="003239C9"/>
    <w:rsid w:val="00324603"/>
    <w:rsid w:val="0032469F"/>
    <w:rsid w:val="00324F31"/>
    <w:rsid w:val="00325039"/>
    <w:rsid w:val="003254D3"/>
    <w:rsid w:val="00325AAF"/>
    <w:rsid w:val="00325BFB"/>
    <w:rsid w:val="00325D74"/>
    <w:rsid w:val="00326049"/>
    <w:rsid w:val="003260E9"/>
    <w:rsid w:val="00326169"/>
    <w:rsid w:val="003262DC"/>
    <w:rsid w:val="00326578"/>
    <w:rsid w:val="00326AFF"/>
    <w:rsid w:val="00330370"/>
    <w:rsid w:val="003303F8"/>
    <w:rsid w:val="0033071E"/>
    <w:rsid w:val="0033082B"/>
    <w:rsid w:val="00330F7B"/>
    <w:rsid w:val="00331523"/>
    <w:rsid w:val="00331531"/>
    <w:rsid w:val="00331C99"/>
    <w:rsid w:val="00331FB6"/>
    <w:rsid w:val="003321F3"/>
    <w:rsid w:val="003326BB"/>
    <w:rsid w:val="00332BD5"/>
    <w:rsid w:val="0033380B"/>
    <w:rsid w:val="00333ABA"/>
    <w:rsid w:val="00334BE9"/>
    <w:rsid w:val="00335278"/>
    <w:rsid w:val="00336147"/>
    <w:rsid w:val="0033620C"/>
    <w:rsid w:val="00336AB5"/>
    <w:rsid w:val="003372D7"/>
    <w:rsid w:val="00337EE5"/>
    <w:rsid w:val="00340A66"/>
    <w:rsid w:val="00340CA2"/>
    <w:rsid w:val="003419F6"/>
    <w:rsid w:val="00341DE5"/>
    <w:rsid w:val="00342E88"/>
    <w:rsid w:val="00342F92"/>
    <w:rsid w:val="003433B3"/>
    <w:rsid w:val="003435F6"/>
    <w:rsid w:val="0034373E"/>
    <w:rsid w:val="00344331"/>
    <w:rsid w:val="00344E76"/>
    <w:rsid w:val="0034507E"/>
    <w:rsid w:val="00345B33"/>
    <w:rsid w:val="00345DA6"/>
    <w:rsid w:val="00346212"/>
    <w:rsid w:val="00346348"/>
    <w:rsid w:val="00346C26"/>
    <w:rsid w:val="00347294"/>
    <w:rsid w:val="00347488"/>
    <w:rsid w:val="003478E5"/>
    <w:rsid w:val="00347CEC"/>
    <w:rsid w:val="00350147"/>
    <w:rsid w:val="003502C3"/>
    <w:rsid w:val="00350C97"/>
    <w:rsid w:val="003522E0"/>
    <w:rsid w:val="00352353"/>
    <w:rsid w:val="00352530"/>
    <w:rsid w:val="00352654"/>
    <w:rsid w:val="00352AF8"/>
    <w:rsid w:val="0035302E"/>
    <w:rsid w:val="00353C9F"/>
    <w:rsid w:val="003543D5"/>
    <w:rsid w:val="00354912"/>
    <w:rsid w:val="003552BD"/>
    <w:rsid w:val="003561B8"/>
    <w:rsid w:val="003561D9"/>
    <w:rsid w:val="003562B5"/>
    <w:rsid w:val="00357046"/>
    <w:rsid w:val="0035730F"/>
    <w:rsid w:val="00357804"/>
    <w:rsid w:val="003579AA"/>
    <w:rsid w:val="00357DCD"/>
    <w:rsid w:val="00360E67"/>
    <w:rsid w:val="003615F0"/>
    <w:rsid w:val="00362A18"/>
    <w:rsid w:val="003632A0"/>
    <w:rsid w:val="0036358D"/>
    <w:rsid w:val="00363645"/>
    <w:rsid w:val="00363C80"/>
    <w:rsid w:val="0036509B"/>
    <w:rsid w:val="00365353"/>
    <w:rsid w:val="0036535A"/>
    <w:rsid w:val="003664B4"/>
    <w:rsid w:val="003668D0"/>
    <w:rsid w:val="003675A7"/>
    <w:rsid w:val="00367B4F"/>
    <w:rsid w:val="00370DD3"/>
    <w:rsid w:val="0037260B"/>
    <w:rsid w:val="00372881"/>
    <w:rsid w:val="00372B09"/>
    <w:rsid w:val="0037308A"/>
    <w:rsid w:val="00373224"/>
    <w:rsid w:val="003736C1"/>
    <w:rsid w:val="0037447B"/>
    <w:rsid w:val="00374707"/>
    <w:rsid w:val="00374950"/>
    <w:rsid w:val="003759D1"/>
    <w:rsid w:val="00375C0A"/>
    <w:rsid w:val="0037633C"/>
    <w:rsid w:val="003775D9"/>
    <w:rsid w:val="003777AC"/>
    <w:rsid w:val="00377C0B"/>
    <w:rsid w:val="00380464"/>
    <w:rsid w:val="003809F8"/>
    <w:rsid w:val="00381E7A"/>
    <w:rsid w:val="00382738"/>
    <w:rsid w:val="003827CF"/>
    <w:rsid w:val="00382F4A"/>
    <w:rsid w:val="00383065"/>
    <w:rsid w:val="00383211"/>
    <w:rsid w:val="003836CB"/>
    <w:rsid w:val="00384362"/>
    <w:rsid w:val="00384BB7"/>
    <w:rsid w:val="003850DC"/>
    <w:rsid w:val="00385213"/>
    <w:rsid w:val="00385254"/>
    <w:rsid w:val="0038532B"/>
    <w:rsid w:val="00385AA6"/>
    <w:rsid w:val="00385CEA"/>
    <w:rsid w:val="00386323"/>
    <w:rsid w:val="003864FC"/>
    <w:rsid w:val="003869BC"/>
    <w:rsid w:val="00387589"/>
    <w:rsid w:val="00390F43"/>
    <w:rsid w:val="00390F69"/>
    <w:rsid w:val="00391280"/>
    <w:rsid w:val="0039183E"/>
    <w:rsid w:val="00391C6F"/>
    <w:rsid w:val="003922D5"/>
    <w:rsid w:val="003922D8"/>
    <w:rsid w:val="0039273A"/>
    <w:rsid w:val="003928BD"/>
    <w:rsid w:val="00392BFE"/>
    <w:rsid w:val="003938E6"/>
    <w:rsid w:val="00394C01"/>
    <w:rsid w:val="00395A85"/>
    <w:rsid w:val="00396A05"/>
    <w:rsid w:val="00396D6D"/>
    <w:rsid w:val="003977EA"/>
    <w:rsid w:val="00397B30"/>
    <w:rsid w:val="00397BB4"/>
    <w:rsid w:val="003A1717"/>
    <w:rsid w:val="003A1F32"/>
    <w:rsid w:val="003A2096"/>
    <w:rsid w:val="003A2767"/>
    <w:rsid w:val="003A2860"/>
    <w:rsid w:val="003A2F8C"/>
    <w:rsid w:val="003A346D"/>
    <w:rsid w:val="003A373A"/>
    <w:rsid w:val="003A4473"/>
    <w:rsid w:val="003A464F"/>
    <w:rsid w:val="003A4A6B"/>
    <w:rsid w:val="003A4EA9"/>
    <w:rsid w:val="003A53B1"/>
    <w:rsid w:val="003A5581"/>
    <w:rsid w:val="003A5C07"/>
    <w:rsid w:val="003A60C2"/>
    <w:rsid w:val="003A60C8"/>
    <w:rsid w:val="003A6336"/>
    <w:rsid w:val="003A7361"/>
    <w:rsid w:val="003A75F2"/>
    <w:rsid w:val="003A76A3"/>
    <w:rsid w:val="003A7710"/>
    <w:rsid w:val="003A7D60"/>
    <w:rsid w:val="003A7F36"/>
    <w:rsid w:val="003B037A"/>
    <w:rsid w:val="003B054F"/>
    <w:rsid w:val="003B1367"/>
    <w:rsid w:val="003B1DCF"/>
    <w:rsid w:val="003B29E2"/>
    <w:rsid w:val="003B2E92"/>
    <w:rsid w:val="003B38AF"/>
    <w:rsid w:val="003B3E2A"/>
    <w:rsid w:val="003B4570"/>
    <w:rsid w:val="003B4F72"/>
    <w:rsid w:val="003B518A"/>
    <w:rsid w:val="003B6235"/>
    <w:rsid w:val="003B681F"/>
    <w:rsid w:val="003B6DDE"/>
    <w:rsid w:val="003C002F"/>
    <w:rsid w:val="003C1483"/>
    <w:rsid w:val="003C1488"/>
    <w:rsid w:val="003C1C9F"/>
    <w:rsid w:val="003C2862"/>
    <w:rsid w:val="003C29D0"/>
    <w:rsid w:val="003C3708"/>
    <w:rsid w:val="003C3E1E"/>
    <w:rsid w:val="003C401C"/>
    <w:rsid w:val="003C451A"/>
    <w:rsid w:val="003C4928"/>
    <w:rsid w:val="003C4939"/>
    <w:rsid w:val="003C4B96"/>
    <w:rsid w:val="003C4D44"/>
    <w:rsid w:val="003C50FC"/>
    <w:rsid w:val="003C728A"/>
    <w:rsid w:val="003C74C6"/>
    <w:rsid w:val="003C75CB"/>
    <w:rsid w:val="003D1278"/>
    <w:rsid w:val="003D2631"/>
    <w:rsid w:val="003D31E9"/>
    <w:rsid w:val="003D3224"/>
    <w:rsid w:val="003D3AA5"/>
    <w:rsid w:val="003D3D58"/>
    <w:rsid w:val="003D52FE"/>
    <w:rsid w:val="003D698B"/>
    <w:rsid w:val="003D71F6"/>
    <w:rsid w:val="003D7A9C"/>
    <w:rsid w:val="003D7BD0"/>
    <w:rsid w:val="003E09B0"/>
    <w:rsid w:val="003E0C29"/>
    <w:rsid w:val="003E1834"/>
    <w:rsid w:val="003E1D83"/>
    <w:rsid w:val="003E1DA1"/>
    <w:rsid w:val="003E2726"/>
    <w:rsid w:val="003E2BCF"/>
    <w:rsid w:val="003E3678"/>
    <w:rsid w:val="003E3BF5"/>
    <w:rsid w:val="003E48AA"/>
    <w:rsid w:val="003E4A83"/>
    <w:rsid w:val="003E54E1"/>
    <w:rsid w:val="003E5846"/>
    <w:rsid w:val="003E5DE2"/>
    <w:rsid w:val="003E76D4"/>
    <w:rsid w:val="003E7D20"/>
    <w:rsid w:val="003E7F57"/>
    <w:rsid w:val="003F06A3"/>
    <w:rsid w:val="003F07CA"/>
    <w:rsid w:val="003F0B1C"/>
    <w:rsid w:val="003F127D"/>
    <w:rsid w:val="003F27F6"/>
    <w:rsid w:val="003F3329"/>
    <w:rsid w:val="003F49BA"/>
    <w:rsid w:val="003F53DC"/>
    <w:rsid w:val="003F63F4"/>
    <w:rsid w:val="003F76E8"/>
    <w:rsid w:val="003F77FF"/>
    <w:rsid w:val="003F7F94"/>
    <w:rsid w:val="00400239"/>
    <w:rsid w:val="004005E6"/>
    <w:rsid w:val="004018B7"/>
    <w:rsid w:val="004025A9"/>
    <w:rsid w:val="0040297B"/>
    <w:rsid w:val="00403A33"/>
    <w:rsid w:val="00403D1F"/>
    <w:rsid w:val="004044D8"/>
    <w:rsid w:val="0040482E"/>
    <w:rsid w:val="004049BC"/>
    <w:rsid w:val="00404EF8"/>
    <w:rsid w:val="00405541"/>
    <w:rsid w:val="0040640A"/>
    <w:rsid w:val="004066F1"/>
    <w:rsid w:val="00406B30"/>
    <w:rsid w:val="00407F38"/>
    <w:rsid w:val="004114CA"/>
    <w:rsid w:val="00411998"/>
    <w:rsid w:val="004128B7"/>
    <w:rsid w:val="004130A2"/>
    <w:rsid w:val="004140AB"/>
    <w:rsid w:val="004143EA"/>
    <w:rsid w:val="00415CC0"/>
    <w:rsid w:val="004161E8"/>
    <w:rsid w:val="004164C1"/>
    <w:rsid w:val="00416C75"/>
    <w:rsid w:val="00416CBE"/>
    <w:rsid w:val="00416DA3"/>
    <w:rsid w:val="004203B1"/>
    <w:rsid w:val="00420518"/>
    <w:rsid w:val="00420633"/>
    <w:rsid w:val="00420830"/>
    <w:rsid w:val="00420D5A"/>
    <w:rsid w:val="00421A86"/>
    <w:rsid w:val="00421C04"/>
    <w:rsid w:val="00422B56"/>
    <w:rsid w:val="0042323B"/>
    <w:rsid w:val="004241E8"/>
    <w:rsid w:val="00424D63"/>
    <w:rsid w:val="00425E67"/>
    <w:rsid w:val="004261D1"/>
    <w:rsid w:val="00426710"/>
    <w:rsid w:val="004268B6"/>
    <w:rsid w:val="00427CD3"/>
    <w:rsid w:val="00430824"/>
    <w:rsid w:val="00430B27"/>
    <w:rsid w:val="00430C9E"/>
    <w:rsid w:val="004310CE"/>
    <w:rsid w:val="004324DC"/>
    <w:rsid w:val="00432D51"/>
    <w:rsid w:val="004331DE"/>
    <w:rsid w:val="004335E3"/>
    <w:rsid w:val="0043361C"/>
    <w:rsid w:val="0043366E"/>
    <w:rsid w:val="00433677"/>
    <w:rsid w:val="004347F1"/>
    <w:rsid w:val="004351F3"/>
    <w:rsid w:val="00435BE6"/>
    <w:rsid w:val="00436940"/>
    <w:rsid w:val="004416F9"/>
    <w:rsid w:val="00442C8F"/>
    <w:rsid w:val="00442F11"/>
    <w:rsid w:val="004438F9"/>
    <w:rsid w:val="00443A5E"/>
    <w:rsid w:val="00444236"/>
    <w:rsid w:val="00444A6C"/>
    <w:rsid w:val="004455D4"/>
    <w:rsid w:val="00445BEC"/>
    <w:rsid w:val="00446707"/>
    <w:rsid w:val="00447092"/>
    <w:rsid w:val="00447B36"/>
    <w:rsid w:val="004504AD"/>
    <w:rsid w:val="00450C57"/>
    <w:rsid w:val="004513C3"/>
    <w:rsid w:val="00451587"/>
    <w:rsid w:val="00451978"/>
    <w:rsid w:val="00451FF1"/>
    <w:rsid w:val="00452434"/>
    <w:rsid w:val="0045305C"/>
    <w:rsid w:val="00453689"/>
    <w:rsid w:val="00453721"/>
    <w:rsid w:val="00453AED"/>
    <w:rsid w:val="00453FCB"/>
    <w:rsid w:val="004542A9"/>
    <w:rsid w:val="0045438F"/>
    <w:rsid w:val="00454DCA"/>
    <w:rsid w:val="00454E96"/>
    <w:rsid w:val="004553A4"/>
    <w:rsid w:val="00455B98"/>
    <w:rsid w:val="00455F91"/>
    <w:rsid w:val="00456A4F"/>
    <w:rsid w:val="0045716E"/>
    <w:rsid w:val="004577EF"/>
    <w:rsid w:val="00457C59"/>
    <w:rsid w:val="00461598"/>
    <w:rsid w:val="00462640"/>
    <w:rsid w:val="00462970"/>
    <w:rsid w:val="0046338B"/>
    <w:rsid w:val="0046451A"/>
    <w:rsid w:val="00464829"/>
    <w:rsid w:val="00464FDC"/>
    <w:rsid w:val="004650CE"/>
    <w:rsid w:val="0046516E"/>
    <w:rsid w:val="004658F9"/>
    <w:rsid w:val="00465A45"/>
    <w:rsid w:val="00466032"/>
    <w:rsid w:val="00466895"/>
    <w:rsid w:val="00466C10"/>
    <w:rsid w:val="0046713E"/>
    <w:rsid w:val="00467201"/>
    <w:rsid w:val="004676BF"/>
    <w:rsid w:val="00467EAF"/>
    <w:rsid w:val="00467F6E"/>
    <w:rsid w:val="00470830"/>
    <w:rsid w:val="00470C31"/>
    <w:rsid w:val="0047114F"/>
    <w:rsid w:val="00471B3B"/>
    <w:rsid w:val="00471D11"/>
    <w:rsid w:val="00472034"/>
    <w:rsid w:val="0047212C"/>
    <w:rsid w:val="0047254E"/>
    <w:rsid w:val="00472B0E"/>
    <w:rsid w:val="0047373C"/>
    <w:rsid w:val="00473D50"/>
    <w:rsid w:val="0047475D"/>
    <w:rsid w:val="00474AF6"/>
    <w:rsid w:val="00474DC8"/>
    <w:rsid w:val="0047572A"/>
    <w:rsid w:val="00475B46"/>
    <w:rsid w:val="0047605E"/>
    <w:rsid w:val="004760C3"/>
    <w:rsid w:val="004775F7"/>
    <w:rsid w:val="00477C61"/>
    <w:rsid w:val="004802FD"/>
    <w:rsid w:val="0048030D"/>
    <w:rsid w:val="004808C1"/>
    <w:rsid w:val="00480B35"/>
    <w:rsid w:val="00481189"/>
    <w:rsid w:val="004819DC"/>
    <w:rsid w:val="00481C49"/>
    <w:rsid w:val="00481FCB"/>
    <w:rsid w:val="0048288D"/>
    <w:rsid w:val="004830BD"/>
    <w:rsid w:val="00483177"/>
    <w:rsid w:val="004835BA"/>
    <w:rsid w:val="004839FD"/>
    <w:rsid w:val="00483E00"/>
    <w:rsid w:val="0048402D"/>
    <w:rsid w:val="004840BB"/>
    <w:rsid w:val="004858FC"/>
    <w:rsid w:val="00486B81"/>
    <w:rsid w:val="00486FBD"/>
    <w:rsid w:val="00487128"/>
    <w:rsid w:val="0048722E"/>
    <w:rsid w:val="0048729D"/>
    <w:rsid w:val="00487B14"/>
    <w:rsid w:val="00487B6C"/>
    <w:rsid w:val="00487E76"/>
    <w:rsid w:val="00490D82"/>
    <w:rsid w:val="00491CBD"/>
    <w:rsid w:val="004932D5"/>
    <w:rsid w:val="00493B3A"/>
    <w:rsid w:val="004941CD"/>
    <w:rsid w:val="004943A9"/>
    <w:rsid w:val="0049447D"/>
    <w:rsid w:val="00494BD8"/>
    <w:rsid w:val="004953E2"/>
    <w:rsid w:val="004958EF"/>
    <w:rsid w:val="0049681B"/>
    <w:rsid w:val="00496FE7"/>
    <w:rsid w:val="00497351"/>
    <w:rsid w:val="00497708"/>
    <w:rsid w:val="004A036E"/>
    <w:rsid w:val="004A03FF"/>
    <w:rsid w:val="004A0529"/>
    <w:rsid w:val="004A0642"/>
    <w:rsid w:val="004A0CBB"/>
    <w:rsid w:val="004A0D7D"/>
    <w:rsid w:val="004A29A8"/>
    <w:rsid w:val="004A48F8"/>
    <w:rsid w:val="004A4B4A"/>
    <w:rsid w:val="004A531C"/>
    <w:rsid w:val="004A7131"/>
    <w:rsid w:val="004A72F9"/>
    <w:rsid w:val="004A7718"/>
    <w:rsid w:val="004B010F"/>
    <w:rsid w:val="004B0997"/>
    <w:rsid w:val="004B0B09"/>
    <w:rsid w:val="004B0D52"/>
    <w:rsid w:val="004B1490"/>
    <w:rsid w:val="004B1C82"/>
    <w:rsid w:val="004B1D43"/>
    <w:rsid w:val="004B25D0"/>
    <w:rsid w:val="004B2631"/>
    <w:rsid w:val="004B2947"/>
    <w:rsid w:val="004B2D85"/>
    <w:rsid w:val="004B3F71"/>
    <w:rsid w:val="004B453D"/>
    <w:rsid w:val="004B6022"/>
    <w:rsid w:val="004B6443"/>
    <w:rsid w:val="004B65E7"/>
    <w:rsid w:val="004B712A"/>
    <w:rsid w:val="004B7687"/>
    <w:rsid w:val="004B77BD"/>
    <w:rsid w:val="004B7A0F"/>
    <w:rsid w:val="004B7ACD"/>
    <w:rsid w:val="004C044E"/>
    <w:rsid w:val="004C08BD"/>
    <w:rsid w:val="004C08DE"/>
    <w:rsid w:val="004C0BAD"/>
    <w:rsid w:val="004C0C43"/>
    <w:rsid w:val="004C0D3A"/>
    <w:rsid w:val="004C0D55"/>
    <w:rsid w:val="004C1050"/>
    <w:rsid w:val="004C1266"/>
    <w:rsid w:val="004C1727"/>
    <w:rsid w:val="004C1A17"/>
    <w:rsid w:val="004C25D1"/>
    <w:rsid w:val="004C31D9"/>
    <w:rsid w:val="004C441C"/>
    <w:rsid w:val="004C46A6"/>
    <w:rsid w:val="004C4D24"/>
    <w:rsid w:val="004C5060"/>
    <w:rsid w:val="004C52E5"/>
    <w:rsid w:val="004C54F4"/>
    <w:rsid w:val="004C57FA"/>
    <w:rsid w:val="004C59AB"/>
    <w:rsid w:val="004C6937"/>
    <w:rsid w:val="004C6994"/>
    <w:rsid w:val="004C6FE4"/>
    <w:rsid w:val="004C7457"/>
    <w:rsid w:val="004C77BE"/>
    <w:rsid w:val="004C7D39"/>
    <w:rsid w:val="004D06DA"/>
    <w:rsid w:val="004D08AC"/>
    <w:rsid w:val="004D0F5E"/>
    <w:rsid w:val="004D12EB"/>
    <w:rsid w:val="004D1825"/>
    <w:rsid w:val="004D234D"/>
    <w:rsid w:val="004D2F24"/>
    <w:rsid w:val="004D309F"/>
    <w:rsid w:val="004D35AB"/>
    <w:rsid w:val="004D37C8"/>
    <w:rsid w:val="004D38AC"/>
    <w:rsid w:val="004D3AF4"/>
    <w:rsid w:val="004D46E0"/>
    <w:rsid w:val="004D4B62"/>
    <w:rsid w:val="004D586A"/>
    <w:rsid w:val="004D5A4D"/>
    <w:rsid w:val="004D6D0B"/>
    <w:rsid w:val="004D7544"/>
    <w:rsid w:val="004D77B9"/>
    <w:rsid w:val="004E046D"/>
    <w:rsid w:val="004E1CA8"/>
    <w:rsid w:val="004E28C8"/>
    <w:rsid w:val="004E2C37"/>
    <w:rsid w:val="004E2DC5"/>
    <w:rsid w:val="004E3F4A"/>
    <w:rsid w:val="004E433D"/>
    <w:rsid w:val="004E65E1"/>
    <w:rsid w:val="004E6A4A"/>
    <w:rsid w:val="004E6E4A"/>
    <w:rsid w:val="004E7118"/>
    <w:rsid w:val="004E74EB"/>
    <w:rsid w:val="004E75A1"/>
    <w:rsid w:val="004E7E74"/>
    <w:rsid w:val="004F017D"/>
    <w:rsid w:val="004F0315"/>
    <w:rsid w:val="004F1CD2"/>
    <w:rsid w:val="004F23BA"/>
    <w:rsid w:val="004F2CAB"/>
    <w:rsid w:val="004F2DC4"/>
    <w:rsid w:val="004F3217"/>
    <w:rsid w:val="004F3910"/>
    <w:rsid w:val="004F3BCD"/>
    <w:rsid w:val="004F3F31"/>
    <w:rsid w:val="004F536B"/>
    <w:rsid w:val="004F5454"/>
    <w:rsid w:val="004F56F0"/>
    <w:rsid w:val="004F59C7"/>
    <w:rsid w:val="004F5A49"/>
    <w:rsid w:val="004F685D"/>
    <w:rsid w:val="005003BF"/>
    <w:rsid w:val="00500D30"/>
    <w:rsid w:val="00501D20"/>
    <w:rsid w:val="00501F95"/>
    <w:rsid w:val="00502267"/>
    <w:rsid w:val="005041CD"/>
    <w:rsid w:val="00504633"/>
    <w:rsid w:val="00504CF9"/>
    <w:rsid w:val="00504E17"/>
    <w:rsid w:val="005066B9"/>
    <w:rsid w:val="005067D6"/>
    <w:rsid w:val="00506865"/>
    <w:rsid w:val="00507146"/>
    <w:rsid w:val="0050773C"/>
    <w:rsid w:val="00507FD7"/>
    <w:rsid w:val="0051055A"/>
    <w:rsid w:val="0051168B"/>
    <w:rsid w:val="00511996"/>
    <w:rsid w:val="0051207F"/>
    <w:rsid w:val="0051223D"/>
    <w:rsid w:val="00512853"/>
    <w:rsid w:val="00512E9A"/>
    <w:rsid w:val="005141B7"/>
    <w:rsid w:val="00514510"/>
    <w:rsid w:val="00515141"/>
    <w:rsid w:val="00517028"/>
    <w:rsid w:val="00517353"/>
    <w:rsid w:val="00517772"/>
    <w:rsid w:val="005179EB"/>
    <w:rsid w:val="00517A44"/>
    <w:rsid w:val="00517E88"/>
    <w:rsid w:val="00520DA5"/>
    <w:rsid w:val="005215AD"/>
    <w:rsid w:val="005215B1"/>
    <w:rsid w:val="005217DE"/>
    <w:rsid w:val="00523124"/>
    <w:rsid w:val="0052313C"/>
    <w:rsid w:val="00523278"/>
    <w:rsid w:val="0052384C"/>
    <w:rsid w:val="00523E1C"/>
    <w:rsid w:val="00524714"/>
    <w:rsid w:val="00524D3F"/>
    <w:rsid w:val="00524EC3"/>
    <w:rsid w:val="00525779"/>
    <w:rsid w:val="00525DB7"/>
    <w:rsid w:val="00527A6A"/>
    <w:rsid w:val="0053071E"/>
    <w:rsid w:val="00530E52"/>
    <w:rsid w:val="00530ED9"/>
    <w:rsid w:val="00530EF8"/>
    <w:rsid w:val="00530FB3"/>
    <w:rsid w:val="00532056"/>
    <w:rsid w:val="005324CF"/>
    <w:rsid w:val="005327BC"/>
    <w:rsid w:val="00532D4F"/>
    <w:rsid w:val="00533311"/>
    <w:rsid w:val="00533F37"/>
    <w:rsid w:val="00534033"/>
    <w:rsid w:val="0053592E"/>
    <w:rsid w:val="00536048"/>
    <w:rsid w:val="0053625F"/>
    <w:rsid w:val="00536273"/>
    <w:rsid w:val="00536B99"/>
    <w:rsid w:val="00537698"/>
    <w:rsid w:val="00537A69"/>
    <w:rsid w:val="00537C01"/>
    <w:rsid w:val="005400B8"/>
    <w:rsid w:val="00540224"/>
    <w:rsid w:val="00540308"/>
    <w:rsid w:val="00540472"/>
    <w:rsid w:val="00540D65"/>
    <w:rsid w:val="005415F5"/>
    <w:rsid w:val="00541FE9"/>
    <w:rsid w:val="005424AE"/>
    <w:rsid w:val="0054275A"/>
    <w:rsid w:val="00542ACD"/>
    <w:rsid w:val="0054306A"/>
    <w:rsid w:val="00543146"/>
    <w:rsid w:val="005443CF"/>
    <w:rsid w:val="00544B0E"/>
    <w:rsid w:val="00544B11"/>
    <w:rsid w:val="00544CAB"/>
    <w:rsid w:val="0054562D"/>
    <w:rsid w:val="00545881"/>
    <w:rsid w:val="00545A84"/>
    <w:rsid w:val="00545F0E"/>
    <w:rsid w:val="0054649F"/>
    <w:rsid w:val="00546789"/>
    <w:rsid w:val="00546C18"/>
    <w:rsid w:val="00547397"/>
    <w:rsid w:val="005474E8"/>
    <w:rsid w:val="00547552"/>
    <w:rsid w:val="0054769F"/>
    <w:rsid w:val="0055080D"/>
    <w:rsid w:val="00550C84"/>
    <w:rsid w:val="00550DB9"/>
    <w:rsid w:val="00552B88"/>
    <w:rsid w:val="00552CB8"/>
    <w:rsid w:val="005532D2"/>
    <w:rsid w:val="00553649"/>
    <w:rsid w:val="00554427"/>
    <w:rsid w:val="00554499"/>
    <w:rsid w:val="005548E4"/>
    <w:rsid w:val="00554E70"/>
    <w:rsid w:val="00554E9A"/>
    <w:rsid w:val="00555987"/>
    <w:rsid w:val="00555CEF"/>
    <w:rsid w:val="00555E03"/>
    <w:rsid w:val="005560CA"/>
    <w:rsid w:val="005560F4"/>
    <w:rsid w:val="005564D3"/>
    <w:rsid w:val="0055669B"/>
    <w:rsid w:val="00556842"/>
    <w:rsid w:val="00556C57"/>
    <w:rsid w:val="00560B07"/>
    <w:rsid w:val="00560EA6"/>
    <w:rsid w:val="0056109B"/>
    <w:rsid w:val="005613F2"/>
    <w:rsid w:val="00561B52"/>
    <w:rsid w:val="005620B9"/>
    <w:rsid w:val="00562673"/>
    <w:rsid w:val="00563694"/>
    <w:rsid w:val="00563C20"/>
    <w:rsid w:val="0056493A"/>
    <w:rsid w:val="005649F9"/>
    <w:rsid w:val="00564C0D"/>
    <w:rsid w:val="005658A2"/>
    <w:rsid w:val="00566260"/>
    <w:rsid w:val="00566E11"/>
    <w:rsid w:val="005672BE"/>
    <w:rsid w:val="00567352"/>
    <w:rsid w:val="00567693"/>
    <w:rsid w:val="005679A0"/>
    <w:rsid w:val="00567E0A"/>
    <w:rsid w:val="0057083C"/>
    <w:rsid w:val="00570D61"/>
    <w:rsid w:val="00570FBF"/>
    <w:rsid w:val="005710C0"/>
    <w:rsid w:val="005724CF"/>
    <w:rsid w:val="00573196"/>
    <w:rsid w:val="005735C3"/>
    <w:rsid w:val="005752CF"/>
    <w:rsid w:val="00575E70"/>
    <w:rsid w:val="00576667"/>
    <w:rsid w:val="00576C90"/>
    <w:rsid w:val="00576F1C"/>
    <w:rsid w:val="00577682"/>
    <w:rsid w:val="00577A42"/>
    <w:rsid w:val="00580352"/>
    <w:rsid w:val="00580843"/>
    <w:rsid w:val="00580C57"/>
    <w:rsid w:val="00580E3E"/>
    <w:rsid w:val="00581842"/>
    <w:rsid w:val="00581931"/>
    <w:rsid w:val="00581C7F"/>
    <w:rsid w:val="005820F2"/>
    <w:rsid w:val="00583771"/>
    <w:rsid w:val="00583777"/>
    <w:rsid w:val="005838D3"/>
    <w:rsid w:val="00583C49"/>
    <w:rsid w:val="005840E8"/>
    <w:rsid w:val="005840EB"/>
    <w:rsid w:val="005852D2"/>
    <w:rsid w:val="00585393"/>
    <w:rsid w:val="00585656"/>
    <w:rsid w:val="005865E2"/>
    <w:rsid w:val="00586646"/>
    <w:rsid w:val="0058719D"/>
    <w:rsid w:val="005874C0"/>
    <w:rsid w:val="00590485"/>
    <w:rsid w:val="0059080C"/>
    <w:rsid w:val="00591180"/>
    <w:rsid w:val="00591C09"/>
    <w:rsid w:val="00592233"/>
    <w:rsid w:val="00592D4E"/>
    <w:rsid w:val="005939EA"/>
    <w:rsid w:val="0059417C"/>
    <w:rsid w:val="005948A0"/>
    <w:rsid w:val="00594D0A"/>
    <w:rsid w:val="00594D33"/>
    <w:rsid w:val="00594D4C"/>
    <w:rsid w:val="005956EA"/>
    <w:rsid w:val="00595B58"/>
    <w:rsid w:val="0059660F"/>
    <w:rsid w:val="00596972"/>
    <w:rsid w:val="005A0562"/>
    <w:rsid w:val="005A1CC1"/>
    <w:rsid w:val="005A21B3"/>
    <w:rsid w:val="005A23B1"/>
    <w:rsid w:val="005A3BEE"/>
    <w:rsid w:val="005A4081"/>
    <w:rsid w:val="005A526E"/>
    <w:rsid w:val="005A6310"/>
    <w:rsid w:val="005B1941"/>
    <w:rsid w:val="005B1F0A"/>
    <w:rsid w:val="005B23EE"/>
    <w:rsid w:val="005B3808"/>
    <w:rsid w:val="005B3D4F"/>
    <w:rsid w:val="005B48B2"/>
    <w:rsid w:val="005B5664"/>
    <w:rsid w:val="005B5BB8"/>
    <w:rsid w:val="005B5E9B"/>
    <w:rsid w:val="005B5EAA"/>
    <w:rsid w:val="005B6204"/>
    <w:rsid w:val="005B6E85"/>
    <w:rsid w:val="005B7E5A"/>
    <w:rsid w:val="005C1B48"/>
    <w:rsid w:val="005C1D1B"/>
    <w:rsid w:val="005C22B1"/>
    <w:rsid w:val="005C28BC"/>
    <w:rsid w:val="005C2B72"/>
    <w:rsid w:val="005C2C9B"/>
    <w:rsid w:val="005C3000"/>
    <w:rsid w:val="005C33D6"/>
    <w:rsid w:val="005C3A24"/>
    <w:rsid w:val="005C3A69"/>
    <w:rsid w:val="005C3DA8"/>
    <w:rsid w:val="005C467E"/>
    <w:rsid w:val="005C4BD3"/>
    <w:rsid w:val="005C5267"/>
    <w:rsid w:val="005C5DCB"/>
    <w:rsid w:val="005C608C"/>
    <w:rsid w:val="005C69A4"/>
    <w:rsid w:val="005C6E96"/>
    <w:rsid w:val="005D05AA"/>
    <w:rsid w:val="005D1967"/>
    <w:rsid w:val="005D2452"/>
    <w:rsid w:val="005D2581"/>
    <w:rsid w:val="005D25FC"/>
    <w:rsid w:val="005D2AE2"/>
    <w:rsid w:val="005D30D0"/>
    <w:rsid w:val="005D326E"/>
    <w:rsid w:val="005D356B"/>
    <w:rsid w:val="005D3BDD"/>
    <w:rsid w:val="005D3C4B"/>
    <w:rsid w:val="005D3FB4"/>
    <w:rsid w:val="005D4CC8"/>
    <w:rsid w:val="005D771A"/>
    <w:rsid w:val="005D7AD8"/>
    <w:rsid w:val="005E0484"/>
    <w:rsid w:val="005E1A7C"/>
    <w:rsid w:val="005E2641"/>
    <w:rsid w:val="005E2661"/>
    <w:rsid w:val="005E2839"/>
    <w:rsid w:val="005E29D0"/>
    <w:rsid w:val="005E4D15"/>
    <w:rsid w:val="005E6716"/>
    <w:rsid w:val="005E740C"/>
    <w:rsid w:val="005E7DA2"/>
    <w:rsid w:val="005E7ED7"/>
    <w:rsid w:val="005F05B5"/>
    <w:rsid w:val="005F2E89"/>
    <w:rsid w:val="005F3BBF"/>
    <w:rsid w:val="005F3D6F"/>
    <w:rsid w:val="005F3F08"/>
    <w:rsid w:val="005F4139"/>
    <w:rsid w:val="005F41C7"/>
    <w:rsid w:val="005F44E1"/>
    <w:rsid w:val="005F468F"/>
    <w:rsid w:val="005F561E"/>
    <w:rsid w:val="005F5C41"/>
    <w:rsid w:val="005F5E51"/>
    <w:rsid w:val="005F6867"/>
    <w:rsid w:val="005F6909"/>
    <w:rsid w:val="005F7038"/>
    <w:rsid w:val="005F775A"/>
    <w:rsid w:val="005F7BCA"/>
    <w:rsid w:val="005F7D3B"/>
    <w:rsid w:val="005F7D54"/>
    <w:rsid w:val="005F7E46"/>
    <w:rsid w:val="00600101"/>
    <w:rsid w:val="00600A33"/>
    <w:rsid w:val="00601068"/>
    <w:rsid w:val="00601A9F"/>
    <w:rsid w:val="006021E4"/>
    <w:rsid w:val="006026A1"/>
    <w:rsid w:val="006029F3"/>
    <w:rsid w:val="0060333E"/>
    <w:rsid w:val="00603534"/>
    <w:rsid w:val="0060354D"/>
    <w:rsid w:val="0060369F"/>
    <w:rsid w:val="00603B2F"/>
    <w:rsid w:val="006043D7"/>
    <w:rsid w:val="00605524"/>
    <w:rsid w:val="00605608"/>
    <w:rsid w:val="00605892"/>
    <w:rsid w:val="00605A14"/>
    <w:rsid w:val="006063A8"/>
    <w:rsid w:val="006069BB"/>
    <w:rsid w:val="00606A7E"/>
    <w:rsid w:val="00606D4B"/>
    <w:rsid w:val="00607214"/>
    <w:rsid w:val="00607A16"/>
    <w:rsid w:val="006109D2"/>
    <w:rsid w:val="00610F28"/>
    <w:rsid w:val="00610FC1"/>
    <w:rsid w:val="00611459"/>
    <w:rsid w:val="00611867"/>
    <w:rsid w:val="00612318"/>
    <w:rsid w:val="006129F2"/>
    <w:rsid w:val="00613129"/>
    <w:rsid w:val="00613268"/>
    <w:rsid w:val="00613C6B"/>
    <w:rsid w:val="0061426B"/>
    <w:rsid w:val="00616634"/>
    <w:rsid w:val="00616DC5"/>
    <w:rsid w:val="0062107A"/>
    <w:rsid w:val="006219AC"/>
    <w:rsid w:val="00621D72"/>
    <w:rsid w:val="00622580"/>
    <w:rsid w:val="00622991"/>
    <w:rsid w:val="00622CE8"/>
    <w:rsid w:val="00622E13"/>
    <w:rsid w:val="00623169"/>
    <w:rsid w:val="00623802"/>
    <w:rsid w:val="006245F9"/>
    <w:rsid w:val="0062468C"/>
    <w:rsid w:val="00624994"/>
    <w:rsid w:val="00624C36"/>
    <w:rsid w:val="006255B5"/>
    <w:rsid w:val="00625BDB"/>
    <w:rsid w:val="00626626"/>
    <w:rsid w:val="00626904"/>
    <w:rsid w:val="00626E6D"/>
    <w:rsid w:val="00627A25"/>
    <w:rsid w:val="006303AE"/>
    <w:rsid w:val="0063053F"/>
    <w:rsid w:val="00630907"/>
    <w:rsid w:val="006309CA"/>
    <w:rsid w:val="00630A79"/>
    <w:rsid w:val="00630F3E"/>
    <w:rsid w:val="00630FF1"/>
    <w:rsid w:val="00631AD4"/>
    <w:rsid w:val="00631BA9"/>
    <w:rsid w:val="00632671"/>
    <w:rsid w:val="006327EF"/>
    <w:rsid w:val="00633771"/>
    <w:rsid w:val="00634836"/>
    <w:rsid w:val="00634A30"/>
    <w:rsid w:val="00634AFE"/>
    <w:rsid w:val="00634BCA"/>
    <w:rsid w:val="00634D49"/>
    <w:rsid w:val="00635231"/>
    <w:rsid w:val="006358EF"/>
    <w:rsid w:val="00635980"/>
    <w:rsid w:val="0063600C"/>
    <w:rsid w:val="006361EF"/>
    <w:rsid w:val="00636BB4"/>
    <w:rsid w:val="00637504"/>
    <w:rsid w:val="00637572"/>
    <w:rsid w:val="00637979"/>
    <w:rsid w:val="006402A6"/>
    <w:rsid w:val="00640385"/>
    <w:rsid w:val="00641278"/>
    <w:rsid w:val="00641523"/>
    <w:rsid w:val="0064180D"/>
    <w:rsid w:val="0064222D"/>
    <w:rsid w:val="006463B0"/>
    <w:rsid w:val="00646B92"/>
    <w:rsid w:val="00646DAE"/>
    <w:rsid w:val="00646E8F"/>
    <w:rsid w:val="00647176"/>
    <w:rsid w:val="00647282"/>
    <w:rsid w:val="00647742"/>
    <w:rsid w:val="00647ADB"/>
    <w:rsid w:val="006502A0"/>
    <w:rsid w:val="006508D3"/>
    <w:rsid w:val="006522FC"/>
    <w:rsid w:val="006523EB"/>
    <w:rsid w:val="0065319B"/>
    <w:rsid w:val="006533A7"/>
    <w:rsid w:val="006533D9"/>
    <w:rsid w:val="006535C9"/>
    <w:rsid w:val="00653E8E"/>
    <w:rsid w:val="006541FA"/>
    <w:rsid w:val="006545EF"/>
    <w:rsid w:val="0065498B"/>
    <w:rsid w:val="00655681"/>
    <w:rsid w:val="00656E45"/>
    <w:rsid w:val="00657A88"/>
    <w:rsid w:val="00657AEE"/>
    <w:rsid w:val="00657B69"/>
    <w:rsid w:val="00657EAE"/>
    <w:rsid w:val="00660081"/>
    <w:rsid w:val="006606AC"/>
    <w:rsid w:val="00660821"/>
    <w:rsid w:val="00660FE4"/>
    <w:rsid w:val="0066155A"/>
    <w:rsid w:val="0066191E"/>
    <w:rsid w:val="006622C1"/>
    <w:rsid w:val="00662363"/>
    <w:rsid w:val="00662391"/>
    <w:rsid w:val="0066283A"/>
    <w:rsid w:val="00662B8D"/>
    <w:rsid w:val="00665899"/>
    <w:rsid w:val="00665EF6"/>
    <w:rsid w:val="00665F58"/>
    <w:rsid w:val="006661DC"/>
    <w:rsid w:val="006663EB"/>
    <w:rsid w:val="006664DF"/>
    <w:rsid w:val="00666600"/>
    <w:rsid w:val="00666DE3"/>
    <w:rsid w:val="006671F2"/>
    <w:rsid w:val="00670989"/>
    <w:rsid w:val="00672603"/>
    <w:rsid w:val="0067267C"/>
    <w:rsid w:val="00672FA6"/>
    <w:rsid w:val="00673635"/>
    <w:rsid w:val="0067560F"/>
    <w:rsid w:val="00675EFD"/>
    <w:rsid w:val="0067634F"/>
    <w:rsid w:val="006764C6"/>
    <w:rsid w:val="00676AC4"/>
    <w:rsid w:val="00676ACC"/>
    <w:rsid w:val="00676B4C"/>
    <w:rsid w:val="00677746"/>
    <w:rsid w:val="00680434"/>
    <w:rsid w:val="00682070"/>
    <w:rsid w:val="006826AD"/>
    <w:rsid w:val="00682FCE"/>
    <w:rsid w:val="006840B6"/>
    <w:rsid w:val="00684725"/>
    <w:rsid w:val="00684CF9"/>
    <w:rsid w:val="00685580"/>
    <w:rsid w:val="00685B22"/>
    <w:rsid w:val="006860C7"/>
    <w:rsid w:val="00686658"/>
    <w:rsid w:val="00686757"/>
    <w:rsid w:val="00686C27"/>
    <w:rsid w:val="00686EAB"/>
    <w:rsid w:val="0068743C"/>
    <w:rsid w:val="00687A1A"/>
    <w:rsid w:val="006900D9"/>
    <w:rsid w:val="0069030D"/>
    <w:rsid w:val="006903E7"/>
    <w:rsid w:val="00690A25"/>
    <w:rsid w:val="00690CA1"/>
    <w:rsid w:val="00690FA3"/>
    <w:rsid w:val="00691030"/>
    <w:rsid w:val="00691388"/>
    <w:rsid w:val="00691CF6"/>
    <w:rsid w:val="00691E6A"/>
    <w:rsid w:val="00691F40"/>
    <w:rsid w:val="006928AA"/>
    <w:rsid w:val="00692C0C"/>
    <w:rsid w:val="00692F6C"/>
    <w:rsid w:val="00693112"/>
    <w:rsid w:val="00693417"/>
    <w:rsid w:val="00693451"/>
    <w:rsid w:val="0069352B"/>
    <w:rsid w:val="006938FC"/>
    <w:rsid w:val="0069435B"/>
    <w:rsid w:val="00694568"/>
    <w:rsid w:val="00694634"/>
    <w:rsid w:val="00694A85"/>
    <w:rsid w:val="00695027"/>
    <w:rsid w:val="006951EB"/>
    <w:rsid w:val="006952AE"/>
    <w:rsid w:val="006958F0"/>
    <w:rsid w:val="00695C6F"/>
    <w:rsid w:val="00695C9F"/>
    <w:rsid w:val="006964C7"/>
    <w:rsid w:val="00696DB9"/>
    <w:rsid w:val="006974D4"/>
    <w:rsid w:val="006A0384"/>
    <w:rsid w:val="006A0A6D"/>
    <w:rsid w:val="006A0BEA"/>
    <w:rsid w:val="006A17AF"/>
    <w:rsid w:val="006A1F61"/>
    <w:rsid w:val="006A25B5"/>
    <w:rsid w:val="006A2972"/>
    <w:rsid w:val="006A2AD1"/>
    <w:rsid w:val="006A3297"/>
    <w:rsid w:val="006A4C1B"/>
    <w:rsid w:val="006A574D"/>
    <w:rsid w:val="006A5A99"/>
    <w:rsid w:val="006A5DA5"/>
    <w:rsid w:val="006A68FB"/>
    <w:rsid w:val="006A6A87"/>
    <w:rsid w:val="006A6FCF"/>
    <w:rsid w:val="006A7017"/>
    <w:rsid w:val="006A7E8F"/>
    <w:rsid w:val="006B0DA4"/>
    <w:rsid w:val="006B0EA7"/>
    <w:rsid w:val="006B1129"/>
    <w:rsid w:val="006B2B54"/>
    <w:rsid w:val="006B366B"/>
    <w:rsid w:val="006B3AC1"/>
    <w:rsid w:val="006B3B77"/>
    <w:rsid w:val="006B3DC5"/>
    <w:rsid w:val="006B42DB"/>
    <w:rsid w:val="006B4963"/>
    <w:rsid w:val="006B4E5F"/>
    <w:rsid w:val="006B4E86"/>
    <w:rsid w:val="006B561D"/>
    <w:rsid w:val="006B6958"/>
    <w:rsid w:val="006B75D1"/>
    <w:rsid w:val="006B7BE7"/>
    <w:rsid w:val="006C0D68"/>
    <w:rsid w:val="006C14E7"/>
    <w:rsid w:val="006C3017"/>
    <w:rsid w:val="006C3023"/>
    <w:rsid w:val="006C394C"/>
    <w:rsid w:val="006C3E23"/>
    <w:rsid w:val="006C3FAA"/>
    <w:rsid w:val="006C42D7"/>
    <w:rsid w:val="006C4F45"/>
    <w:rsid w:val="006C4FA6"/>
    <w:rsid w:val="006C5442"/>
    <w:rsid w:val="006C58DD"/>
    <w:rsid w:val="006C5BA8"/>
    <w:rsid w:val="006C5CF0"/>
    <w:rsid w:val="006C693E"/>
    <w:rsid w:val="006C7421"/>
    <w:rsid w:val="006C7433"/>
    <w:rsid w:val="006D0E6E"/>
    <w:rsid w:val="006D1353"/>
    <w:rsid w:val="006D1DC8"/>
    <w:rsid w:val="006D1F48"/>
    <w:rsid w:val="006D2051"/>
    <w:rsid w:val="006D2151"/>
    <w:rsid w:val="006D2541"/>
    <w:rsid w:val="006D25AB"/>
    <w:rsid w:val="006D293B"/>
    <w:rsid w:val="006D35BB"/>
    <w:rsid w:val="006D4331"/>
    <w:rsid w:val="006D471B"/>
    <w:rsid w:val="006D4E53"/>
    <w:rsid w:val="006D5104"/>
    <w:rsid w:val="006D5368"/>
    <w:rsid w:val="006D5406"/>
    <w:rsid w:val="006D54FC"/>
    <w:rsid w:val="006D5C74"/>
    <w:rsid w:val="006D61D2"/>
    <w:rsid w:val="006D71F7"/>
    <w:rsid w:val="006D748C"/>
    <w:rsid w:val="006D76C1"/>
    <w:rsid w:val="006D7B40"/>
    <w:rsid w:val="006E15E1"/>
    <w:rsid w:val="006E1634"/>
    <w:rsid w:val="006E22AE"/>
    <w:rsid w:val="006E2490"/>
    <w:rsid w:val="006E34D7"/>
    <w:rsid w:val="006E3781"/>
    <w:rsid w:val="006E389A"/>
    <w:rsid w:val="006E4192"/>
    <w:rsid w:val="006E4E93"/>
    <w:rsid w:val="006E62C9"/>
    <w:rsid w:val="006E68C5"/>
    <w:rsid w:val="006E6DDC"/>
    <w:rsid w:val="006E7377"/>
    <w:rsid w:val="006E7B05"/>
    <w:rsid w:val="006E7CAB"/>
    <w:rsid w:val="006F0051"/>
    <w:rsid w:val="006F2CB8"/>
    <w:rsid w:val="006F3469"/>
    <w:rsid w:val="006F3CAD"/>
    <w:rsid w:val="006F3F44"/>
    <w:rsid w:val="006F3FDC"/>
    <w:rsid w:val="006F419D"/>
    <w:rsid w:val="006F4500"/>
    <w:rsid w:val="006F5736"/>
    <w:rsid w:val="006F5CD5"/>
    <w:rsid w:val="006F5D71"/>
    <w:rsid w:val="006F70D0"/>
    <w:rsid w:val="006F7E87"/>
    <w:rsid w:val="007001B1"/>
    <w:rsid w:val="00701376"/>
    <w:rsid w:val="00701A40"/>
    <w:rsid w:val="00701E94"/>
    <w:rsid w:val="00702D0A"/>
    <w:rsid w:val="007039A9"/>
    <w:rsid w:val="00703CBB"/>
    <w:rsid w:val="00703F07"/>
    <w:rsid w:val="007058ED"/>
    <w:rsid w:val="007062FE"/>
    <w:rsid w:val="007077BA"/>
    <w:rsid w:val="007079ED"/>
    <w:rsid w:val="00707BED"/>
    <w:rsid w:val="007100ED"/>
    <w:rsid w:val="00710851"/>
    <w:rsid w:val="007116EB"/>
    <w:rsid w:val="00711DB2"/>
    <w:rsid w:val="00711DFF"/>
    <w:rsid w:val="00712589"/>
    <w:rsid w:val="0071296B"/>
    <w:rsid w:val="00712A40"/>
    <w:rsid w:val="00712D9F"/>
    <w:rsid w:val="00713943"/>
    <w:rsid w:val="007145A3"/>
    <w:rsid w:val="007152FB"/>
    <w:rsid w:val="00716986"/>
    <w:rsid w:val="007173DB"/>
    <w:rsid w:val="0071740C"/>
    <w:rsid w:val="00717604"/>
    <w:rsid w:val="00717ED0"/>
    <w:rsid w:val="00720092"/>
    <w:rsid w:val="00720175"/>
    <w:rsid w:val="00720442"/>
    <w:rsid w:val="007209B6"/>
    <w:rsid w:val="00720A7E"/>
    <w:rsid w:val="00720D61"/>
    <w:rsid w:val="007211BE"/>
    <w:rsid w:val="00721997"/>
    <w:rsid w:val="00721FD0"/>
    <w:rsid w:val="00722112"/>
    <w:rsid w:val="0072291D"/>
    <w:rsid w:val="00723050"/>
    <w:rsid w:val="00723314"/>
    <w:rsid w:val="00723373"/>
    <w:rsid w:val="00724A88"/>
    <w:rsid w:val="0072527E"/>
    <w:rsid w:val="00725956"/>
    <w:rsid w:val="00725CBE"/>
    <w:rsid w:val="00725F9E"/>
    <w:rsid w:val="007260E0"/>
    <w:rsid w:val="00727B2C"/>
    <w:rsid w:val="00730596"/>
    <w:rsid w:val="007309DE"/>
    <w:rsid w:val="00731715"/>
    <w:rsid w:val="00731CCA"/>
    <w:rsid w:val="007320C9"/>
    <w:rsid w:val="007326D7"/>
    <w:rsid w:val="00733167"/>
    <w:rsid w:val="00733C1B"/>
    <w:rsid w:val="00735166"/>
    <w:rsid w:val="0073516B"/>
    <w:rsid w:val="007356CB"/>
    <w:rsid w:val="00736040"/>
    <w:rsid w:val="007362B4"/>
    <w:rsid w:val="0073650E"/>
    <w:rsid w:val="00737E44"/>
    <w:rsid w:val="00740363"/>
    <w:rsid w:val="00741023"/>
    <w:rsid w:val="007416F4"/>
    <w:rsid w:val="00741966"/>
    <w:rsid w:val="00741A38"/>
    <w:rsid w:val="00742ADD"/>
    <w:rsid w:val="00742C3F"/>
    <w:rsid w:val="00743484"/>
    <w:rsid w:val="00743A8D"/>
    <w:rsid w:val="0074410C"/>
    <w:rsid w:val="00744D46"/>
    <w:rsid w:val="0074547D"/>
    <w:rsid w:val="00745715"/>
    <w:rsid w:val="0074589E"/>
    <w:rsid w:val="00745B56"/>
    <w:rsid w:val="00747610"/>
    <w:rsid w:val="0074796C"/>
    <w:rsid w:val="00751303"/>
    <w:rsid w:val="00751795"/>
    <w:rsid w:val="0075179F"/>
    <w:rsid w:val="007520F0"/>
    <w:rsid w:val="0075262F"/>
    <w:rsid w:val="007529A5"/>
    <w:rsid w:val="00753966"/>
    <w:rsid w:val="00754031"/>
    <w:rsid w:val="0075421B"/>
    <w:rsid w:val="0075492B"/>
    <w:rsid w:val="00754D2B"/>
    <w:rsid w:val="0075598E"/>
    <w:rsid w:val="00755D17"/>
    <w:rsid w:val="007563DC"/>
    <w:rsid w:val="00756CC0"/>
    <w:rsid w:val="00756F16"/>
    <w:rsid w:val="007570CE"/>
    <w:rsid w:val="007571AD"/>
    <w:rsid w:val="0076032F"/>
    <w:rsid w:val="0076089C"/>
    <w:rsid w:val="00760AF0"/>
    <w:rsid w:val="007621BC"/>
    <w:rsid w:val="00762690"/>
    <w:rsid w:val="00762917"/>
    <w:rsid w:val="00763131"/>
    <w:rsid w:val="007642DD"/>
    <w:rsid w:val="00764B13"/>
    <w:rsid w:val="00766143"/>
    <w:rsid w:val="00766283"/>
    <w:rsid w:val="00766BDE"/>
    <w:rsid w:val="00767444"/>
    <w:rsid w:val="00770DE4"/>
    <w:rsid w:val="00770E3B"/>
    <w:rsid w:val="00770E4F"/>
    <w:rsid w:val="00771244"/>
    <w:rsid w:val="00771726"/>
    <w:rsid w:val="00771AA5"/>
    <w:rsid w:val="00771BC0"/>
    <w:rsid w:val="007729F1"/>
    <w:rsid w:val="00772D90"/>
    <w:rsid w:val="00773692"/>
    <w:rsid w:val="00773859"/>
    <w:rsid w:val="00773B0C"/>
    <w:rsid w:val="00774CBF"/>
    <w:rsid w:val="007751A3"/>
    <w:rsid w:val="007753DA"/>
    <w:rsid w:val="007754EB"/>
    <w:rsid w:val="00775E61"/>
    <w:rsid w:val="00776559"/>
    <w:rsid w:val="007823A6"/>
    <w:rsid w:val="00782436"/>
    <w:rsid w:val="00782479"/>
    <w:rsid w:val="0078277A"/>
    <w:rsid w:val="00782A10"/>
    <w:rsid w:val="00783FB8"/>
    <w:rsid w:val="00784C3B"/>
    <w:rsid w:val="00784EBD"/>
    <w:rsid w:val="00785CB6"/>
    <w:rsid w:val="00786594"/>
    <w:rsid w:val="0078679A"/>
    <w:rsid w:val="0078692C"/>
    <w:rsid w:val="00786A47"/>
    <w:rsid w:val="00790430"/>
    <w:rsid w:val="0079229A"/>
    <w:rsid w:val="00792396"/>
    <w:rsid w:val="00792882"/>
    <w:rsid w:val="0079291A"/>
    <w:rsid w:val="0079363D"/>
    <w:rsid w:val="00793CFD"/>
    <w:rsid w:val="00793F2F"/>
    <w:rsid w:val="007958DE"/>
    <w:rsid w:val="00796F88"/>
    <w:rsid w:val="0079717E"/>
    <w:rsid w:val="00797410"/>
    <w:rsid w:val="00797E56"/>
    <w:rsid w:val="007A1028"/>
    <w:rsid w:val="007A1646"/>
    <w:rsid w:val="007A3059"/>
    <w:rsid w:val="007A41CC"/>
    <w:rsid w:val="007A46DF"/>
    <w:rsid w:val="007A506E"/>
    <w:rsid w:val="007A541F"/>
    <w:rsid w:val="007A61FC"/>
    <w:rsid w:val="007A69B2"/>
    <w:rsid w:val="007A6C78"/>
    <w:rsid w:val="007A7D8F"/>
    <w:rsid w:val="007B00E7"/>
    <w:rsid w:val="007B0CA3"/>
    <w:rsid w:val="007B1B56"/>
    <w:rsid w:val="007B28D1"/>
    <w:rsid w:val="007B3014"/>
    <w:rsid w:val="007B307C"/>
    <w:rsid w:val="007B329A"/>
    <w:rsid w:val="007B3818"/>
    <w:rsid w:val="007B3C04"/>
    <w:rsid w:val="007B4FBE"/>
    <w:rsid w:val="007B52B7"/>
    <w:rsid w:val="007B52B9"/>
    <w:rsid w:val="007B534D"/>
    <w:rsid w:val="007B567B"/>
    <w:rsid w:val="007B5EFF"/>
    <w:rsid w:val="007B620D"/>
    <w:rsid w:val="007B6812"/>
    <w:rsid w:val="007B6BA6"/>
    <w:rsid w:val="007B7269"/>
    <w:rsid w:val="007B7B66"/>
    <w:rsid w:val="007C006C"/>
    <w:rsid w:val="007C0550"/>
    <w:rsid w:val="007C1E8F"/>
    <w:rsid w:val="007C2266"/>
    <w:rsid w:val="007C26DA"/>
    <w:rsid w:val="007C4288"/>
    <w:rsid w:val="007C4747"/>
    <w:rsid w:val="007C4AC2"/>
    <w:rsid w:val="007C50FD"/>
    <w:rsid w:val="007C5297"/>
    <w:rsid w:val="007C5A1B"/>
    <w:rsid w:val="007C7049"/>
    <w:rsid w:val="007C73ED"/>
    <w:rsid w:val="007C77A4"/>
    <w:rsid w:val="007C7F22"/>
    <w:rsid w:val="007D002E"/>
    <w:rsid w:val="007D0660"/>
    <w:rsid w:val="007D0B65"/>
    <w:rsid w:val="007D0EE1"/>
    <w:rsid w:val="007D1DBE"/>
    <w:rsid w:val="007D1E66"/>
    <w:rsid w:val="007D28D2"/>
    <w:rsid w:val="007D5A99"/>
    <w:rsid w:val="007D5B2A"/>
    <w:rsid w:val="007D64CE"/>
    <w:rsid w:val="007E01AA"/>
    <w:rsid w:val="007E09A5"/>
    <w:rsid w:val="007E1004"/>
    <w:rsid w:val="007E1162"/>
    <w:rsid w:val="007E117D"/>
    <w:rsid w:val="007E1FF5"/>
    <w:rsid w:val="007E2186"/>
    <w:rsid w:val="007E2FD6"/>
    <w:rsid w:val="007E3F70"/>
    <w:rsid w:val="007E4465"/>
    <w:rsid w:val="007E4C6C"/>
    <w:rsid w:val="007E57D3"/>
    <w:rsid w:val="007E5E8C"/>
    <w:rsid w:val="007E68D2"/>
    <w:rsid w:val="007E7315"/>
    <w:rsid w:val="007E7A9F"/>
    <w:rsid w:val="007E7C98"/>
    <w:rsid w:val="007F00EB"/>
    <w:rsid w:val="007F021F"/>
    <w:rsid w:val="007F0702"/>
    <w:rsid w:val="007F091E"/>
    <w:rsid w:val="007F15F6"/>
    <w:rsid w:val="007F18C7"/>
    <w:rsid w:val="007F1A08"/>
    <w:rsid w:val="007F1B35"/>
    <w:rsid w:val="007F24BC"/>
    <w:rsid w:val="007F2AFA"/>
    <w:rsid w:val="007F31F1"/>
    <w:rsid w:val="007F3720"/>
    <w:rsid w:val="007F3D88"/>
    <w:rsid w:val="007F40EC"/>
    <w:rsid w:val="007F42AB"/>
    <w:rsid w:val="007F43CD"/>
    <w:rsid w:val="007F5269"/>
    <w:rsid w:val="007F5598"/>
    <w:rsid w:val="007F61AD"/>
    <w:rsid w:val="007F68FC"/>
    <w:rsid w:val="007F6C23"/>
    <w:rsid w:val="007F7214"/>
    <w:rsid w:val="007F7771"/>
    <w:rsid w:val="007F7D1A"/>
    <w:rsid w:val="00800C46"/>
    <w:rsid w:val="008010EB"/>
    <w:rsid w:val="0080143C"/>
    <w:rsid w:val="008016E4"/>
    <w:rsid w:val="008019A0"/>
    <w:rsid w:val="00801C37"/>
    <w:rsid w:val="008026B1"/>
    <w:rsid w:val="00802965"/>
    <w:rsid w:val="00802A9B"/>
    <w:rsid w:val="00803455"/>
    <w:rsid w:val="0080379F"/>
    <w:rsid w:val="008049FC"/>
    <w:rsid w:val="008052D3"/>
    <w:rsid w:val="00805A19"/>
    <w:rsid w:val="00806011"/>
    <w:rsid w:val="008064BB"/>
    <w:rsid w:val="0080655A"/>
    <w:rsid w:val="00807193"/>
    <w:rsid w:val="00807728"/>
    <w:rsid w:val="00807DAE"/>
    <w:rsid w:val="0081082B"/>
    <w:rsid w:val="00810A13"/>
    <w:rsid w:val="008114BF"/>
    <w:rsid w:val="00811A1A"/>
    <w:rsid w:val="00811D26"/>
    <w:rsid w:val="0081218F"/>
    <w:rsid w:val="008133B6"/>
    <w:rsid w:val="008138E5"/>
    <w:rsid w:val="00813AFB"/>
    <w:rsid w:val="00813CEA"/>
    <w:rsid w:val="00814323"/>
    <w:rsid w:val="0081476C"/>
    <w:rsid w:val="00814F74"/>
    <w:rsid w:val="00814FB7"/>
    <w:rsid w:val="00815075"/>
    <w:rsid w:val="00815342"/>
    <w:rsid w:val="00815716"/>
    <w:rsid w:val="0081635B"/>
    <w:rsid w:val="00816A6B"/>
    <w:rsid w:val="00816CB6"/>
    <w:rsid w:val="008176E7"/>
    <w:rsid w:val="00817AEE"/>
    <w:rsid w:val="00817CEE"/>
    <w:rsid w:val="00820429"/>
    <w:rsid w:val="008209DD"/>
    <w:rsid w:val="00820EA1"/>
    <w:rsid w:val="00820EDB"/>
    <w:rsid w:val="008219C8"/>
    <w:rsid w:val="00822D8C"/>
    <w:rsid w:val="00823311"/>
    <w:rsid w:val="00823FC8"/>
    <w:rsid w:val="00824155"/>
    <w:rsid w:val="00824249"/>
    <w:rsid w:val="008258BA"/>
    <w:rsid w:val="00826244"/>
    <w:rsid w:val="00826BC1"/>
    <w:rsid w:val="0082771A"/>
    <w:rsid w:val="008277A3"/>
    <w:rsid w:val="00830473"/>
    <w:rsid w:val="008304EF"/>
    <w:rsid w:val="0083082A"/>
    <w:rsid w:val="008325DF"/>
    <w:rsid w:val="00833718"/>
    <w:rsid w:val="008337F2"/>
    <w:rsid w:val="00833937"/>
    <w:rsid w:val="00834120"/>
    <w:rsid w:val="0083445D"/>
    <w:rsid w:val="00834A54"/>
    <w:rsid w:val="0083567B"/>
    <w:rsid w:val="00835A38"/>
    <w:rsid w:val="0083661C"/>
    <w:rsid w:val="00836654"/>
    <w:rsid w:val="00837726"/>
    <w:rsid w:val="00837D84"/>
    <w:rsid w:val="00840945"/>
    <w:rsid w:val="00840B3B"/>
    <w:rsid w:val="008410EE"/>
    <w:rsid w:val="00841616"/>
    <w:rsid w:val="00841D7A"/>
    <w:rsid w:val="00842331"/>
    <w:rsid w:val="00842904"/>
    <w:rsid w:val="00843658"/>
    <w:rsid w:val="008439CB"/>
    <w:rsid w:val="00843BF5"/>
    <w:rsid w:val="008440D3"/>
    <w:rsid w:val="0084437B"/>
    <w:rsid w:val="0084463B"/>
    <w:rsid w:val="00844ED5"/>
    <w:rsid w:val="00845268"/>
    <w:rsid w:val="00845395"/>
    <w:rsid w:val="00845555"/>
    <w:rsid w:val="00845A18"/>
    <w:rsid w:val="00846380"/>
    <w:rsid w:val="008463EC"/>
    <w:rsid w:val="008463F1"/>
    <w:rsid w:val="008465D2"/>
    <w:rsid w:val="008465FD"/>
    <w:rsid w:val="008467DD"/>
    <w:rsid w:val="00846B0B"/>
    <w:rsid w:val="00846BDC"/>
    <w:rsid w:val="00847548"/>
    <w:rsid w:val="00850899"/>
    <w:rsid w:val="00850E17"/>
    <w:rsid w:val="00850FAE"/>
    <w:rsid w:val="00851F59"/>
    <w:rsid w:val="0085252B"/>
    <w:rsid w:val="00852C90"/>
    <w:rsid w:val="008531C9"/>
    <w:rsid w:val="008538F3"/>
    <w:rsid w:val="008546F4"/>
    <w:rsid w:val="00854EEC"/>
    <w:rsid w:val="0085534C"/>
    <w:rsid w:val="00855A39"/>
    <w:rsid w:val="00855FE7"/>
    <w:rsid w:val="0085667C"/>
    <w:rsid w:val="00860527"/>
    <w:rsid w:val="00860AD2"/>
    <w:rsid w:val="00860B93"/>
    <w:rsid w:val="0086105D"/>
    <w:rsid w:val="008618F1"/>
    <w:rsid w:val="00861F96"/>
    <w:rsid w:val="00862E67"/>
    <w:rsid w:val="00863013"/>
    <w:rsid w:val="008636C1"/>
    <w:rsid w:val="008638D7"/>
    <w:rsid w:val="0086431E"/>
    <w:rsid w:val="00864652"/>
    <w:rsid w:val="008649CF"/>
    <w:rsid w:val="00865EF5"/>
    <w:rsid w:val="0086678D"/>
    <w:rsid w:val="00866BF9"/>
    <w:rsid w:val="00866F90"/>
    <w:rsid w:val="008715B7"/>
    <w:rsid w:val="00871B7C"/>
    <w:rsid w:val="00872824"/>
    <w:rsid w:val="008734A2"/>
    <w:rsid w:val="008750A2"/>
    <w:rsid w:val="00876174"/>
    <w:rsid w:val="00876200"/>
    <w:rsid w:val="00876827"/>
    <w:rsid w:val="0087698E"/>
    <w:rsid w:val="00876F55"/>
    <w:rsid w:val="0087753F"/>
    <w:rsid w:val="00877A40"/>
    <w:rsid w:val="00877A7B"/>
    <w:rsid w:val="00877DA8"/>
    <w:rsid w:val="00881100"/>
    <w:rsid w:val="00881178"/>
    <w:rsid w:val="00881613"/>
    <w:rsid w:val="00881FFC"/>
    <w:rsid w:val="00882367"/>
    <w:rsid w:val="00882663"/>
    <w:rsid w:val="008829CC"/>
    <w:rsid w:val="00882E16"/>
    <w:rsid w:val="00883DB8"/>
    <w:rsid w:val="0088444B"/>
    <w:rsid w:val="0088465F"/>
    <w:rsid w:val="00884774"/>
    <w:rsid w:val="00884F85"/>
    <w:rsid w:val="0088658C"/>
    <w:rsid w:val="0089086F"/>
    <w:rsid w:val="00891039"/>
    <w:rsid w:val="00891499"/>
    <w:rsid w:val="00892DF5"/>
    <w:rsid w:val="008936F5"/>
    <w:rsid w:val="00893BB7"/>
    <w:rsid w:val="00893BDD"/>
    <w:rsid w:val="0089428C"/>
    <w:rsid w:val="008942A9"/>
    <w:rsid w:val="00894675"/>
    <w:rsid w:val="00894CE4"/>
    <w:rsid w:val="008955FD"/>
    <w:rsid w:val="00896050"/>
    <w:rsid w:val="0089630B"/>
    <w:rsid w:val="008969E9"/>
    <w:rsid w:val="00897FCC"/>
    <w:rsid w:val="008A04A7"/>
    <w:rsid w:val="008A04E4"/>
    <w:rsid w:val="008A0C2D"/>
    <w:rsid w:val="008A113E"/>
    <w:rsid w:val="008A29AB"/>
    <w:rsid w:val="008A2C44"/>
    <w:rsid w:val="008A3BD6"/>
    <w:rsid w:val="008A4587"/>
    <w:rsid w:val="008A470B"/>
    <w:rsid w:val="008A4D33"/>
    <w:rsid w:val="008A5F31"/>
    <w:rsid w:val="008A686D"/>
    <w:rsid w:val="008A6C08"/>
    <w:rsid w:val="008A71B5"/>
    <w:rsid w:val="008B0910"/>
    <w:rsid w:val="008B091A"/>
    <w:rsid w:val="008B0ECF"/>
    <w:rsid w:val="008B0F7E"/>
    <w:rsid w:val="008B159B"/>
    <w:rsid w:val="008B2D5F"/>
    <w:rsid w:val="008B3837"/>
    <w:rsid w:val="008B38E6"/>
    <w:rsid w:val="008B3BEA"/>
    <w:rsid w:val="008B490C"/>
    <w:rsid w:val="008B5B89"/>
    <w:rsid w:val="008B64F4"/>
    <w:rsid w:val="008B6C02"/>
    <w:rsid w:val="008B7653"/>
    <w:rsid w:val="008B7C1F"/>
    <w:rsid w:val="008B7C3B"/>
    <w:rsid w:val="008B7C6C"/>
    <w:rsid w:val="008B7D19"/>
    <w:rsid w:val="008B7F2C"/>
    <w:rsid w:val="008C029D"/>
    <w:rsid w:val="008C02B8"/>
    <w:rsid w:val="008C0BE0"/>
    <w:rsid w:val="008C11D1"/>
    <w:rsid w:val="008C1499"/>
    <w:rsid w:val="008C15B6"/>
    <w:rsid w:val="008C1691"/>
    <w:rsid w:val="008C1AA6"/>
    <w:rsid w:val="008C235C"/>
    <w:rsid w:val="008C27C3"/>
    <w:rsid w:val="008C31DF"/>
    <w:rsid w:val="008C3B00"/>
    <w:rsid w:val="008C4752"/>
    <w:rsid w:val="008C47B5"/>
    <w:rsid w:val="008C4C87"/>
    <w:rsid w:val="008C55F4"/>
    <w:rsid w:val="008C5851"/>
    <w:rsid w:val="008C70F2"/>
    <w:rsid w:val="008C7649"/>
    <w:rsid w:val="008D022E"/>
    <w:rsid w:val="008D02CF"/>
    <w:rsid w:val="008D064F"/>
    <w:rsid w:val="008D195A"/>
    <w:rsid w:val="008D1B2D"/>
    <w:rsid w:val="008D20B9"/>
    <w:rsid w:val="008D2D3C"/>
    <w:rsid w:val="008D37AE"/>
    <w:rsid w:val="008D3E73"/>
    <w:rsid w:val="008D40CF"/>
    <w:rsid w:val="008D5103"/>
    <w:rsid w:val="008D616B"/>
    <w:rsid w:val="008D7728"/>
    <w:rsid w:val="008D7F94"/>
    <w:rsid w:val="008E044F"/>
    <w:rsid w:val="008E1213"/>
    <w:rsid w:val="008E12B0"/>
    <w:rsid w:val="008E26CE"/>
    <w:rsid w:val="008E2F2E"/>
    <w:rsid w:val="008E44EA"/>
    <w:rsid w:val="008E4950"/>
    <w:rsid w:val="008E4AAB"/>
    <w:rsid w:val="008E5363"/>
    <w:rsid w:val="008E5845"/>
    <w:rsid w:val="008E7734"/>
    <w:rsid w:val="008E7C71"/>
    <w:rsid w:val="008F11FB"/>
    <w:rsid w:val="008F1595"/>
    <w:rsid w:val="008F1759"/>
    <w:rsid w:val="008F19FA"/>
    <w:rsid w:val="008F2196"/>
    <w:rsid w:val="008F23F4"/>
    <w:rsid w:val="008F253F"/>
    <w:rsid w:val="008F2591"/>
    <w:rsid w:val="008F273D"/>
    <w:rsid w:val="008F341A"/>
    <w:rsid w:val="008F3A53"/>
    <w:rsid w:val="008F3A5F"/>
    <w:rsid w:val="008F3F12"/>
    <w:rsid w:val="008F4235"/>
    <w:rsid w:val="008F46D6"/>
    <w:rsid w:val="008F4CD5"/>
    <w:rsid w:val="008F4CEA"/>
    <w:rsid w:val="008F5883"/>
    <w:rsid w:val="008F5FF5"/>
    <w:rsid w:val="008F73A9"/>
    <w:rsid w:val="009004FB"/>
    <w:rsid w:val="00901C6E"/>
    <w:rsid w:val="009025BB"/>
    <w:rsid w:val="009026DF"/>
    <w:rsid w:val="009053DD"/>
    <w:rsid w:val="00905F6E"/>
    <w:rsid w:val="00905FB0"/>
    <w:rsid w:val="009064E5"/>
    <w:rsid w:val="00907E3B"/>
    <w:rsid w:val="0091004C"/>
    <w:rsid w:val="0091072D"/>
    <w:rsid w:val="00910BA7"/>
    <w:rsid w:val="00912298"/>
    <w:rsid w:val="0091231C"/>
    <w:rsid w:val="00913A43"/>
    <w:rsid w:val="00913D78"/>
    <w:rsid w:val="00913E68"/>
    <w:rsid w:val="009144DF"/>
    <w:rsid w:val="00914767"/>
    <w:rsid w:val="00915AC8"/>
    <w:rsid w:val="00916D75"/>
    <w:rsid w:val="0091793F"/>
    <w:rsid w:val="00917F3C"/>
    <w:rsid w:val="00920285"/>
    <w:rsid w:val="009204AC"/>
    <w:rsid w:val="0092053A"/>
    <w:rsid w:val="009208E9"/>
    <w:rsid w:val="00920DD7"/>
    <w:rsid w:val="00920FB6"/>
    <w:rsid w:val="00920FDF"/>
    <w:rsid w:val="00921025"/>
    <w:rsid w:val="00921228"/>
    <w:rsid w:val="00921C56"/>
    <w:rsid w:val="009223E0"/>
    <w:rsid w:val="00922A43"/>
    <w:rsid w:val="00922F43"/>
    <w:rsid w:val="009231CA"/>
    <w:rsid w:val="009234E8"/>
    <w:rsid w:val="00923531"/>
    <w:rsid w:val="009238EB"/>
    <w:rsid w:val="00923A68"/>
    <w:rsid w:val="009243FB"/>
    <w:rsid w:val="00924503"/>
    <w:rsid w:val="0092492D"/>
    <w:rsid w:val="00924A5E"/>
    <w:rsid w:val="00924C8A"/>
    <w:rsid w:val="00924E21"/>
    <w:rsid w:val="009251BF"/>
    <w:rsid w:val="00925C2C"/>
    <w:rsid w:val="00927C7B"/>
    <w:rsid w:val="00927DFF"/>
    <w:rsid w:val="00927EB7"/>
    <w:rsid w:val="0093100A"/>
    <w:rsid w:val="009311C7"/>
    <w:rsid w:val="00931F8F"/>
    <w:rsid w:val="00931FD3"/>
    <w:rsid w:val="0093227F"/>
    <w:rsid w:val="00933B0F"/>
    <w:rsid w:val="009349D8"/>
    <w:rsid w:val="0093502E"/>
    <w:rsid w:val="0093514C"/>
    <w:rsid w:val="00935274"/>
    <w:rsid w:val="009355EA"/>
    <w:rsid w:val="00936023"/>
    <w:rsid w:val="0093607E"/>
    <w:rsid w:val="00936340"/>
    <w:rsid w:val="009363E2"/>
    <w:rsid w:val="00936779"/>
    <w:rsid w:val="0093712A"/>
    <w:rsid w:val="00937CBD"/>
    <w:rsid w:val="009402C3"/>
    <w:rsid w:val="00940C3A"/>
    <w:rsid w:val="00941812"/>
    <w:rsid w:val="00941B32"/>
    <w:rsid w:val="00942D6C"/>
    <w:rsid w:val="00943CA7"/>
    <w:rsid w:val="00944755"/>
    <w:rsid w:val="00944766"/>
    <w:rsid w:val="0094489B"/>
    <w:rsid w:val="00944FCB"/>
    <w:rsid w:val="009453BB"/>
    <w:rsid w:val="00945939"/>
    <w:rsid w:val="00945991"/>
    <w:rsid w:val="00946015"/>
    <w:rsid w:val="009460CE"/>
    <w:rsid w:val="0094633F"/>
    <w:rsid w:val="009463E1"/>
    <w:rsid w:val="00946C34"/>
    <w:rsid w:val="00946CB5"/>
    <w:rsid w:val="00947A38"/>
    <w:rsid w:val="00947BE2"/>
    <w:rsid w:val="00947DBF"/>
    <w:rsid w:val="009500C1"/>
    <w:rsid w:val="00950C35"/>
    <w:rsid w:val="00952298"/>
    <w:rsid w:val="0095272D"/>
    <w:rsid w:val="00952947"/>
    <w:rsid w:val="00952B47"/>
    <w:rsid w:val="009533CB"/>
    <w:rsid w:val="00953720"/>
    <w:rsid w:val="009546C9"/>
    <w:rsid w:val="00955364"/>
    <w:rsid w:val="00955482"/>
    <w:rsid w:val="0095678D"/>
    <w:rsid w:val="0095694B"/>
    <w:rsid w:val="00956EA6"/>
    <w:rsid w:val="009574F2"/>
    <w:rsid w:val="00957656"/>
    <w:rsid w:val="00957C7D"/>
    <w:rsid w:val="00957FD3"/>
    <w:rsid w:val="00960519"/>
    <w:rsid w:val="00960929"/>
    <w:rsid w:val="00961206"/>
    <w:rsid w:val="00961579"/>
    <w:rsid w:val="0096175D"/>
    <w:rsid w:val="009646AF"/>
    <w:rsid w:val="00964D9B"/>
    <w:rsid w:val="00965547"/>
    <w:rsid w:val="009656BF"/>
    <w:rsid w:val="0096676C"/>
    <w:rsid w:val="009670E8"/>
    <w:rsid w:val="009677B5"/>
    <w:rsid w:val="00970494"/>
    <w:rsid w:val="0097164C"/>
    <w:rsid w:val="0097249E"/>
    <w:rsid w:val="00972AB0"/>
    <w:rsid w:val="00974459"/>
    <w:rsid w:val="00974504"/>
    <w:rsid w:val="0097493E"/>
    <w:rsid w:val="00974B37"/>
    <w:rsid w:val="0097638C"/>
    <w:rsid w:val="00977F8F"/>
    <w:rsid w:val="00981911"/>
    <w:rsid w:val="009826E5"/>
    <w:rsid w:val="00982DD2"/>
    <w:rsid w:val="009841D8"/>
    <w:rsid w:val="009844F2"/>
    <w:rsid w:val="009848B9"/>
    <w:rsid w:val="00984D00"/>
    <w:rsid w:val="0098557A"/>
    <w:rsid w:val="00985820"/>
    <w:rsid w:val="0098594F"/>
    <w:rsid w:val="00985BDA"/>
    <w:rsid w:val="00985CFC"/>
    <w:rsid w:val="009860B2"/>
    <w:rsid w:val="009860FA"/>
    <w:rsid w:val="00986256"/>
    <w:rsid w:val="009862D1"/>
    <w:rsid w:val="009862D6"/>
    <w:rsid w:val="009863D4"/>
    <w:rsid w:val="0098723B"/>
    <w:rsid w:val="00991028"/>
    <w:rsid w:val="009916F1"/>
    <w:rsid w:val="00991A28"/>
    <w:rsid w:val="00991F14"/>
    <w:rsid w:val="009921E4"/>
    <w:rsid w:val="00992405"/>
    <w:rsid w:val="00993D77"/>
    <w:rsid w:val="00993DE9"/>
    <w:rsid w:val="00993F4F"/>
    <w:rsid w:val="009944E1"/>
    <w:rsid w:val="00994988"/>
    <w:rsid w:val="00994A13"/>
    <w:rsid w:val="0099548A"/>
    <w:rsid w:val="00995967"/>
    <w:rsid w:val="00995D8B"/>
    <w:rsid w:val="00996936"/>
    <w:rsid w:val="00997878"/>
    <w:rsid w:val="00997902"/>
    <w:rsid w:val="009A0B45"/>
    <w:rsid w:val="009A0D20"/>
    <w:rsid w:val="009A0E2C"/>
    <w:rsid w:val="009A0F93"/>
    <w:rsid w:val="009A15E4"/>
    <w:rsid w:val="009A186F"/>
    <w:rsid w:val="009A1FA5"/>
    <w:rsid w:val="009A20D4"/>
    <w:rsid w:val="009A2AE0"/>
    <w:rsid w:val="009A3373"/>
    <w:rsid w:val="009A3AC9"/>
    <w:rsid w:val="009A4A2C"/>
    <w:rsid w:val="009A526D"/>
    <w:rsid w:val="009A529C"/>
    <w:rsid w:val="009A5CDF"/>
    <w:rsid w:val="009A71C0"/>
    <w:rsid w:val="009A754B"/>
    <w:rsid w:val="009A7DFD"/>
    <w:rsid w:val="009A7F10"/>
    <w:rsid w:val="009B0269"/>
    <w:rsid w:val="009B071A"/>
    <w:rsid w:val="009B0B70"/>
    <w:rsid w:val="009B0D9B"/>
    <w:rsid w:val="009B0EFC"/>
    <w:rsid w:val="009B12A0"/>
    <w:rsid w:val="009B197D"/>
    <w:rsid w:val="009B1A16"/>
    <w:rsid w:val="009B2788"/>
    <w:rsid w:val="009B2C35"/>
    <w:rsid w:val="009B395A"/>
    <w:rsid w:val="009B3B10"/>
    <w:rsid w:val="009B3DB2"/>
    <w:rsid w:val="009B46A5"/>
    <w:rsid w:val="009B5008"/>
    <w:rsid w:val="009B6647"/>
    <w:rsid w:val="009B693E"/>
    <w:rsid w:val="009B7E41"/>
    <w:rsid w:val="009C057C"/>
    <w:rsid w:val="009C0AAC"/>
    <w:rsid w:val="009C1C2F"/>
    <w:rsid w:val="009C230D"/>
    <w:rsid w:val="009C3510"/>
    <w:rsid w:val="009C3928"/>
    <w:rsid w:val="009C44FD"/>
    <w:rsid w:val="009C4A6B"/>
    <w:rsid w:val="009C5244"/>
    <w:rsid w:val="009C57FC"/>
    <w:rsid w:val="009C6715"/>
    <w:rsid w:val="009C7850"/>
    <w:rsid w:val="009C7C7B"/>
    <w:rsid w:val="009C7DF7"/>
    <w:rsid w:val="009D08EB"/>
    <w:rsid w:val="009D19CF"/>
    <w:rsid w:val="009D1DC5"/>
    <w:rsid w:val="009D2D72"/>
    <w:rsid w:val="009D318A"/>
    <w:rsid w:val="009D356D"/>
    <w:rsid w:val="009D6695"/>
    <w:rsid w:val="009D6BA4"/>
    <w:rsid w:val="009D701D"/>
    <w:rsid w:val="009D77FD"/>
    <w:rsid w:val="009E02E1"/>
    <w:rsid w:val="009E09ED"/>
    <w:rsid w:val="009E10B0"/>
    <w:rsid w:val="009E13AA"/>
    <w:rsid w:val="009E1C11"/>
    <w:rsid w:val="009E3240"/>
    <w:rsid w:val="009E38BA"/>
    <w:rsid w:val="009E3F40"/>
    <w:rsid w:val="009E3FC7"/>
    <w:rsid w:val="009E49D4"/>
    <w:rsid w:val="009E7369"/>
    <w:rsid w:val="009E793D"/>
    <w:rsid w:val="009F0590"/>
    <w:rsid w:val="009F12AD"/>
    <w:rsid w:val="009F1AFB"/>
    <w:rsid w:val="009F1DC2"/>
    <w:rsid w:val="009F1DEC"/>
    <w:rsid w:val="009F22F3"/>
    <w:rsid w:val="009F2C55"/>
    <w:rsid w:val="009F40D4"/>
    <w:rsid w:val="009F40ED"/>
    <w:rsid w:val="009F50DA"/>
    <w:rsid w:val="009F69BF"/>
    <w:rsid w:val="009F79EA"/>
    <w:rsid w:val="009F7F87"/>
    <w:rsid w:val="00A00069"/>
    <w:rsid w:val="00A000FF"/>
    <w:rsid w:val="00A003D6"/>
    <w:rsid w:val="00A00533"/>
    <w:rsid w:val="00A00BF6"/>
    <w:rsid w:val="00A01031"/>
    <w:rsid w:val="00A02551"/>
    <w:rsid w:val="00A02BD5"/>
    <w:rsid w:val="00A030F9"/>
    <w:rsid w:val="00A03E17"/>
    <w:rsid w:val="00A03F47"/>
    <w:rsid w:val="00A040CC"/>
    <w:rsid w:val="00A04367"/>
    <w:rsid w:val="00A0481A"/>
    <w:rsid w:val="00A0611E"/>
    <w:rsid w:val="00A063AF"/>
    <w:rsid w:val="00A06C30"/>
    <w:rsid w:val="00A10175"/>
    <w:rsid w:val="00A10A52"/>
    <w:rsid w:val="00A10F81"/>
    <w:rsid w:val="00A11A5F"/>
    <w:rsid w:val="00A11B69"/>
    <w:rsid w:val="00A12755"/>
    <w:rsid w:val="00A12912"/>
    <w:rsid w:val="00A12A1E"/>
    <w:rsid w:val="00A13138"/>
    <w:rsid w:val="00A131A3"/>
    <w:rsid w:val="00A13648"/>
    <w:rsid w:val="00A13829"/>
    <w:rsid w:val="00A13853"/>
    <w:rsid w:val="00A14EBB"/>
    <w:rsid w:val="00A15676"/>
    <w:rsid w:val="00A16372"/>
    <w:rsid w:val="00A16920"/>
    <w:rsid w:val="00A17ABF"/>
    <w:rsid w:val="00A17FB3"/>
    <w:rsid w:val="00A2019B"/>
    <w:rsid w:val="00A20BF3"/>
    <w:rsid w:val="00A20E6B"/>
    <w:rsid w:val="00A21000"/>
    <w:rsid w:val="00A22241"/>
    <w:rsid w:val="00A22C21"/>
    <w:rsid w:val="00A2313F"/>
    <w:rsid w:val="00A242E6"/>
    <w:rsid w:val="00A2464F"/>
    <w:rsid w:val="00A24CA1"/>
    <w:rsid w:val="00A25D35"/>
    <w:rsid w:val="00A263D3"/>
    <w:rsid w:val="00A26569"/>
    <w:rsid w:val="00A26D96"/>
    <w:rsid w:val="00A270D8"/>
    <w:rsid w:val="00A272B4"/>
    <w:rsid w:val="00A27DC1"/>
    <w:rsid w:val="00A27E3D"/>
    <w:rsid w:val="00A30122"/>
    <w:rsid w:val="00A301A9"/>
    <w:rsid w:val="00A30EC7"/>
    <w:rsid w:val="00A31254"/>
    <w:rsid w:val="00A3211A"/>
    <w:rsid w:val="00A324D3"/>
    <w:rsid w:val="00A32C4F"/>
    <w:rsid w:val="00A3329A"/>
    <w:rsid w:val="00A34537"/>
    <w:rsid w:val="00A356D2"/>
    <w:rsid w:val="00A35AF6"/>
    <w:rsid w:val="00A3694F"/>
    <w:rsid w:val="00A36FDB"/>
    <w:rsid w:val="00A37126"/>
    <w:rsid w:val="00A37AE2"/>
    <w:rsid w:val="00A4016D"/>
    <w:rsid w:val="00A406BA"/>
    <w:rsid w:val="00A40721"/>
    <w:rsid w:val="00A407D1"/>
    <w:rsid w:val="00A40979"/>
    <w:rsid w:val="00A409E5"/>
    <w:rsid w:val="00A40BDB"/>
    <w:rsid w:val="00A42B40"/>
    <w:rsid w:val="00A447A2"/>
    <w:rsid w:val="00A44B1E"/>
    <w:rsid w:val="00A46B60"/>
    <w:rsid w:val="00A5036F"/>
    <w:rsid w:val="00A506FA"/>
    <w:rsid w:val="00A523F7"/>
    <w:rsid w:val="00A52A4D"/>
    <w:rsid w:val="00A52CBD"/>
    <w:rsid w:val="00A52EC3"/>
    <w:rsid w:val="00A530EC"/>
    <w:rsid w:val="00A53FCE"/>
    <w:rsid w:val="00A548B2"/>
    <w:rsid w:val="00A54F13"/>
    <w:rsid w:val="00A557B7"/>
    <w:rsid w:val="00A559C2"/>
    <w:rsid w:val="00A55A4D"/>
    <w:rsid w:val="00A56812"/>
    <w:rsid w:val="00A56890"/>
    <w:rsid w:val="00A5691D"/>
    <w:rsid w:val="00A576E2"/>
    <w:rsid w:val="00A57E17"/>
    <w:rsid w:val="00A6008D"/>
    <w:rsid w:val="00A60409"/>
    <w:rsid w:val="00A623C8"/>
    <w:rsid w:val="00A62555"/>
    <w:rsid w:val="00A62D4C"/>
    <w:rsid w:val="00A641E3"/>
    <w:rsid w:val="00A64628"/>
    <w:rsid w:val="00A64D62"/>
    <w:rsid w:val="00A65AF1"/>
    <w:rsid w:val="00A65BEE"/>
    <w:rsid w:val="00A65C6C"/>
    <w:rsid w:val="00A663E9"/>
    <w:rsid w:val="00A66426"/>
    <w:rsid w:val="00A6679A"/>
    <w:rsid w:val="00A667BF"/>
    <w:rsid w:val="00A66FFC"/>
    <w:rsid w:val="00A672FC"/>
    <w:rsid w:val="00A677F8"/>
    <w:rsid w:val="00A67FCC"/>
    <w:rsid w:val="00A72ED0"/>
    <w:rsid w:val="00A73BAF"/>
    <w:rsid w:val="00A73E99"/>
    <w:rsid w:val="00A73F6F"/>
    <w:rsid w:val="00A7516E"/>
    <w:rsid w:val="00A75416"/>
    <w:rsid w:val="00A75B6C"/>
    <w:rsid w:val="00A75BE4"/>
    <w:rsid w:val="00A766B0"/>
    <w:rsid w:val="00A76B38"/>
    <w:rsid w:val="00A7749A"/>
    <w:rsid w:val="00A778B4"/>
    <w:rsid w:val="00A8087D"/>
    <w:rsid w:val="00A809D5"/>
    <w:rsid w:val="00A80EDB"/>
    <w:rsid w:val="00A812E1"/>
    <w:rsid w:val="00A819D1"/>
    <w:rsid w:val="00A81ABA"/>
    <w:rsid w:val="00A82299"/>
    <w:rsid w:val="00A82317"/>
    <w:rsid w:val="00A82C09"/>
    <w:rsid w:val="00A82E36"/>
    <w:rsid w:val="00A82F35"/>
    <w:rsid w:val="00A83050"/>
    <w:rsid w:val="00A83436"/>
    <w:rsid w:val="00A84541"/>
    <w:rsid w:val="00A8624C"/>
    <w:rsid w:val="00A8655B"/>
    <w:rsid w:val="00A86886"/>
    <w:rsid w:val="00A86CFB"/>
    <w:rsid w:val="00A86DB3"/>
    <w:rsid w:val="00A90EB3"/>
    <w:rsid w:val="00A90F06"/>
    <w:rsid w:val="00A91AAD"/>
    <w:rsid w:val="00A91AFE"/>
    <w:rsid w:val="00A924A6"/>
    <w:rsid w:val="00A92513"/>
    <w:rsid w:val="00A936AD"/>
    <w:rsid w:val="00A93AB0"/>
    <w:rsid w:val="00A956A9"/>
    <w:rsid w:val="00A95778"/>
    <w:rsid w:val="00A9587D"/>
    <w:rsid w:val="00A97147"/>
    <w:rsid w:val="00A974A4"/>
    <w:rsid w:val="00AA0A8D"/>
    <w:rsid w:val="00AA0C7B"/>
    <w:rsid w:val="00AA0FDE"/>
    <w:rsid w:val="00AA394E"/>
    <w:rsid w:val="00AA4E67"/>
    <w:rsid w:val="00AA573C"/>
    <w:rsid w:val="00AA589B"/>
    <w:rsid w:val="00AA5A50"/>
    <w:rsid w:val="00AA687E"/>
    <w:rsid w:val="00AA6CF1"/>
    <w:rsid w:val="00AA6D47"/>
    <w:rsid w:val="00AA7262"/>
    <w:rsid w:val="00AA73B6"/>
    <w:rsid w:val="00AA7B76"/>
    <w:rsid w:val="00AB020C"/>
    <w:rsid w:val="00AB023E"/>
    <w:rsid w:val="00AB0E2A"/>
    <w:rsid w:val="00AB2100"/>
    <w:rsid w:val="00AB231F"/>
    <w:rsid w:val="00AB2788"/>
    <w:rsid w:val="00AB3695"/>
    <w:rsid w:val="00AB3951"/>
    <w:rsid w:val="00AB49F1"/>
    <w:rsid w:val="00AB554B"/>
    <w:rsid w:val="00AB66CE"/>
    <w:rsid w:val="00AB7AED"/>
    <w:rsid w:val="00AB7F26"/>
    <w:rsid w:val="00AC0744"/>
    <w:rsid w:val="00AC16D7"/>
    <w:rsid w:val="00AC19F8"/>
    <w:rsid w:val="00AC1AA5"/>
    <w:rsid w:val="00AC2872"/>
    <w:rsid w:val="00AC2D60"/>
    <w:rsid w:val="00AC2FBE"/>
    <w:rsid w:val="00AC33C7"/>
    <w:rsid w:val="00AC377C"/>
    <w:rsid w:val="00AC45BC"/>
    <w:rsid w:val="00AC45D8"/>
    <w:rsid w:val="00AC50CD"/>
    <w:rsid w:val="00AC560C"/>
    <w:rsid w:val="00AC569F"/>
    <w:rsid w:val="00AC58AF"/>
    <w:rsid w:val="00AC5C18"/>
    <w:rsid w:val="00AC5E05"/>
    <w:rsid w:val="00AC6077"/>
    <w:rsid w:val="00AC6A16"/>
    <w:rsid w:val="00AC7A08"/>
    <w:rsid w:val="00AC7C32"/>
    <w:rsid w:val="00AD035C"/>
    <w:rsid w:val="00AD0A77"/>
    <w:rsid w:val="00AD1286"/>
    <w:rsid w:val="00AD27A9"/>
    <w:rsid w:val="00AD3A76"/>
    <w:rsid w:val="00AD506A"/>
    <w:rsid w:val="00AD5126"/>
    <w:rsid w:val="00AD5519"/>
    <w:rsid w:val="00AD558A"/>
    <w:rsid w:val="00AD675E"/>
    <w:rsid w:val="00AD69D1"/>
    <w:rsid w:val="00AD7398"/>
    <w:rsid w:val="00AD79E6"/>
    <w:rsid w:val="00AD7D75"/>
    <w:rsid w:val="00AE0219"/>
    <w:rsid w:val="00AE04B9"/>
    <w:rsid w:val="00AE09B7"/>
    <w:rsid w:val="00AE1054"/>
    <w:rsid w:val="00AE1790"/>
    <w:rsid w:val="00AE19F0"/>
    <w:rsid w:val="00AE2200"/>
    <w:rsid w:val="00AE4905"/>
    <w:rsid w:val="00AE65B4"/>
    <w:rsid w:val="00AE6656"/>
    <w:rsid w:val="00AE7205"/>
    <w:rsid w:val="00AE7371"/>
    <w:rsid w:val="00AE7A19"/>
    <w:rsid w:val="00AE7AC7"/>
    <w:rsid w:val="00AF0458"/>
    <w:rsid w:val="00AF2EBD"/>
    <w:rsid w:val="00AF304C"/>
    <w:rsid w:val="00AF310F"/>
    <w:rsid w:val="00AF3D9E"/>
    <w:rsid w:val="00AF420A"/>
    <w:rsid w:val="00AF4ED8"/>
    <w:rsid w:val="00AF4F2D"/>
    <w:rsid w:val="00AF53C9"/>
    <w:rsid w:val="00AF5BB7"/>
    <w:rsid w:val="00AF628B"/>
    <w:rsid w:val="00AF6A03"/>
    <w:rsid w:val="00AF6FAF"/>
    <w:rsid w:val="00AF704F"/>
    <w:rsid w:val="00B0047B"/>
    <w:rsid w:val="00B01225"/>
    <w:rsid w:val="00B018EA"/>
    <w:rsid w:val="00B02B81"/>
    <w:rsid w:val="00B02C87"/>
    <w:rsid w:val="00B02DCA"/>
    <w:rsid w:val="00B03CDA"/>
    <w:rsid w:val="00B041A1"/>
    <w:rsid w:val="00B042C5"/>
    <w:rsid w:val="00B04E0E"/>
    <w:rsid w:val="00B056F0"/>
    <w:rsid w:val="00B05A05"/>
    <w:rsid w:val="00B060ED"/>
    <w:rsid w:val="00B06B8A"/>
    <w:rsid w:val="00B07138"/>
    <w:rsid w:val="00B07592"/>
    <w:rsid w:val="00B10640"/>
    <w:rsid w:val="00B10CE3"/>
    <w:rsid w:val="00B11E52"/>
    <w:rsid w:val="00B120EE"/>
    <w:rsid w:val="00B12484"/>
    <w:rsid w:val="00B124AC"/>
    <w:rsid w:val="00B12F90"/>
    <w:rsid w:val="00B138D7"/>
    <w:rsid w:val="00B13C48"/>
    <w:rsid w:val="00B14ADA"/>
    <w:rsid w:val="00B16279"/>
    <w:rsid w:val="00B16462"/>
    <w:rsid w:val="00B17A8B"/>
    <w:rsid w:val="00B20677"/>
    <w:rsid w:val="00B224E1"/>
    <w:rsid w:val="00B225C0"/>
    <w:rsid w:val="00B22B6A"/>
    <w:rsid w:val="00B2391B"/>
    <w:rsid w:val="00B248C1"/>
    <w:rsid w:val="00B24BCC"/>
    <w:rsid w:val="00B24E32"/>
    <w:rsid w:val="00B25B60"/>
    <w:rsid w:val="00B260BE"/>
    <w:rsid w:val="00B273E1"/>
    <w:rsid w:val="00B30460"/>
    <w:rsid w:val="00B30522"/>
    <w:rsid w:val="00B30BB4"/>
    <w:rsid w:val="00B30CE4"/>
    <w:rsid w:val="00B310E0"/>
    <w:rsid w:val="00B32B01"/>
    <w:rsid w:val="00B33178"/>
    <w:rsid w:val="00B33ACF"/>
    <w:rsid w:val="00B34756"/>
    <w:rsid w:val="00B35B16"/>
    <w:rsid w:val="00B35B92"/>
    <w:rsid w:val="00B36567"/>
    <w:rsid w:val="00B36709"/>
    <w:rsid w:val="00B37665"/>
    <w:rsid w:val="00B409E6"/>
    <w:rsid w:val="00B40B76"/>
    <w:rsid w:val="00B41D91"/>
    <w:rsid w:val="00B439BA"/>
    <w:rsid w:val="00B43D7C"/>
    <w:rsid w:val="00B442C2"/>
    <w:rsid w:val="00B44823"/>
    <w:rsid w:val="00B454EA"/>
    <w:rsid w:val="00B458AF"/>
    <w:rsid w:val="00B45E58"/>
    <w:rsid w:val="00B46AAB"/>
    <w:rsid w:val="00B46B55"/>
    <w:rsid w:val="00B475C5"/>
    <w:rsid w:val="00B4774F"/>
    <w:rsid w:val="00B47871"/>
    <w:rsid w:val="00B47C30"/>
    <w:rsid w:val="00B500E8"/>
    <w:rsid w:val="00B502D1"/>
    <w:rsid w:val="00B50788"/>
    <w:rsid w:val="00B50B17"/>
    <w:rsid w:val="00B51B5E"/>
    <w:rsid w:val="00B51F51"/>
    <w:rsid w:val="00B51FE0"/>
    <w:rsid w:val="00B53EF2"/>
    <w:rsid w:val="00B5419F"/>
    <w:rsid w:val="00B542BE"/>
    <w:rsid w:val="00B544A9"/>
    <w:rsid w:val="00B5534C"/>
    <w:rsid w:val="00B55896"/>
    <w:rsid w:val="00B55AD1"/>
    <w:rsid w:val="00B55DB0"/>
    <w:rsid w:val="00B56ADE"/>
    <w:rsid w:val="00B56FE5"/>
    <w:rsid w:val="00B5726E"/>
    <w:rsid w:val="00B57330"/>
    <w:rsid w:val="00B57782"/>
    <w:rsid w:val="00B5780F"/>
    <w:rsid w:val="00B57CAD"/>
    <w:rsid w:val="00B600E2"/>
    <w:rsid w:val="00B60616"/>
    <w:rsid w:val="00B62F68"/>
    <w:rsid w:val="00B63033"/>
    <w:rsid w:val="00B634E1"/>
    <w:rsid w:val="00B63563"/>
    <w:rsid w:val="00B653B0"/>
    <w:rsid w:val="00B66C59"/>
    <w:rsid w:val="00B66CD1"/>
    <w:rsid w:val="00B66DB9"/>
    <w:rsid w:val="00B670EA"/>
    <w:rsid w:val="00B673DF"/>
    <w:rsid w:val="00B70350"/>
    <w:rsid w:val="00B714AD"/>
    <w:rsid w:val="00B71935"/>
    <w:rsid w:val="00B727FF"/>
    <w:rsid w:val="00B7351F"/>
    <w:rsid w:val="00B740AA"/>
    <w:rsid w:val="00B75293"/>
    <w:rsid w:val="00B7629F"/>
    <w:rsid w:val="00B76671"/>
    <w:rsid w:val="00B767BF"/>
    <w:rsid w:val="00B76F90"/>
    <w:rsid w:val="00B80402"/>
    <w:rsid w:val="00B8089C"/>
    <w:rsid w:val="00B816F7"/>
    <w:rsid w:val="00B82F74"/>
    <w:rsid w:val="00B84E8F"/>
    <w:rsid w:val="00B85242"/>
    <w:rsid w:val="00B8532D"/>
    <w:rsid w:val="00B85439"/>
    <w:rsid w:val="00B8580C"/>
    <w:rsid w:val="00B87F8C"/>
    <w:rsid w:val="00B902F3"/>
    <w:rsid w:val="00B90E3B"/>
    <w:rsid w:val="00B90E5F"/>
    <w:rsid w:val="00B917FF"/>
    <w:rsid w:val="00B91972"/>
    <w:rsid w:val="00B928D2"/>
    <w:rsid w:val="00B92DB0"/>
    <w:rsid w:val="00B9308B"/>
    <w:rsid w:val="00B93515"/>
    <w:rsid w:val="00B938E4"/>
    <w:rsid w:val="00B93E6D"/>
    <w:rsid w:val="00B95292"/>
    <w:rsid w:val="00B953FF"/>
    <w:rsid w:val="00B9567D"/>
    <w:rsid w:val="00B95A4B"/>
    <w:rsid w:val="00B97B36"/>
    <w:rsid w:val="00BA008D"/>
    <w:rsid w:val="00BA0D54"/>
    <w:rsid w:val="00BA124C"/>
    <w:rsid w:val="00BA12FA"/>
    <w:rsid w:val="00BA1782"/>
    <w:rsid w:val="00BA259A"/>
    <w:rsid w:val="00BA4037"/>
    <w:rsid w:val="00BA4724"/>
    <w:rsid w:val="00BA4F5A"/>
    <w:rsid w:val="00BA53D2"/>
    <w:rsid w:val="00BA7789"/>
    <w:rsid w:val="00BA7A7F"/>
    <w:rsid w:val="00BA7FBF"/>
    <w:rsid w:val="00BB09F0"/>
    <w:rsid w:val="00BB1561"/>
    <w:rsid w:val="00BB1DD2"/>
    <w:rsid w:val="00BB1EAD"/>
    <w:rsid w:val="00BB2702"/>
    <w:rsid w:val="00BB2EAB"/>
    <w:rsid w:val="00BB2FC1"/>
    <w:rsid w:val="00BB37AA"/>
    <w:rsid w:val="00BB3AC9"/>
    <w:rsid w:val="00BB3E16"/>
    <w:rsid w:val="00BB43C7"/>
    <w:rsid w:val="00BB43DC"/>
    <w:rsid w:val="00BB52E9"/>
    <w:rsid w:val="00BB603D"/>
    <w:rsid w:val="00BB6703"/>
    <w:rsid w:val="00BB7F61"/>
    <w:rsid w:val="00BC0732"/>
    <w:rsid w:val="00BC0FE0"/>
    <w:rsid w:val="00BC180D"/>
    <w:rsid w:val="00BC1C70"/>
    <w:rsid w:val="00BC2412"/>
    <w:rsid w:val="00BC331A"/>
    <w:rsid w:val="00BC4202"/>
    <w:rsid w:val="00BC6637"/>
    <w:rsid w:val="00BC6673"/>
    <w:rsid w:val="00BC6A5F"/>
    <w:rsid w:val="00BC7290"/>
    <w:rsid w:val="00BC744A"/>
    <w:rsid w:val="00BC7867"/>
    <w:rsid w:val="00BD0724"/>
    <w:rsid w:val="00BD0C65"/>
    <w:rsid w:val="00BD0FA0"/>
    <w:rsid w:val="00BD17AD"/>
    <w:rsid w:val="00BD29DF"/>
    <w:rsid w:val="00BD2E9D"/>
    <w:rsid w:val="00BD2F78"/>
    <w:rsid w:val="00BD5084"/>
    <w:rsid w:val="00BD5C59"/>
    <w:rsid w:val="00BD60FB"/>
    <w:rsid w:val="00BD635C"/>
    <w:rsid w:val="00BE05C4"/>
    <w:rsid w:val="00BE2B32"/>
    <w:rsid w:val="00BE3BAF"/>
    <w:rsid w:val="00BE3CAF"/>
    <w:rsid w:val="00BE465E"/>
    <w:rsid w:val="00BE4ACF"/>
    <w:rsid w:val="00BE5CB9"/>
    <w:rsid w:val="00BE741D"/>
    <w:rsid w:val="00BE7468"/>
    <w:rsid w:val="00BE7BDB"/>
    <w:rsid w:val="00BE7E28"/>
    <w:rsid w:val="00BF08E6"/>
    <w:rsid w:val="00BF1026"/>
    <w:rsid w:val="00BF14DA"/>
    <w:rsid w:val="00BF15A2"/>
    <w:rsid w:val="00BF1B0C"/>
    <w:rsid w:val="00BF20BE"/>
    <w:rsid w:val="00BF21A0"/>
    <w:rsid w:val="00BF28B8"/>
    <w:rsid w:val="00BF482B"/>
    <w:rsid w:val="00BF57A8"/>
    <w:rsid w:val="00BF6C64"/>
    <w:rsid w:val="00BF73F8"/>
    <w:rsid w:val="00BF7653"/>
    <w:rsid w:val="00BF7DB4"/>
    <w:rsid w:val="00BF7E99"/>
    <w:rsid w:val="00C006D0"/>
    <w:rsid w:val="00C01ACD"/>
    <w:rsid w:val="00C01BCF"/>
    <w:rsid w:val="00C021ED"/>
    <w:rsid w:val="00C0232F"/>
    <w:rsid w:val="00C03277"/>
    <w:rsid w:val="00C03D93"/>
    <w:rsid w:val="00C0430E"/>
    <w:rsid w:val="00C04789"/>
    <w:rsid w:val="00C04DD8"/>
    <w:rsid w:val="00C071E3"/>
    <w:rsid w:val="00C10134"/>
    <w:rsid w:val="00C1177F"/>
    <w:rsid w:val="00C137B2"/>
    <w:rsid w:val="00C1398A"/>
    <w:rsid w:val="00C13B20"/>
    <w:rsid w:val="00C14661"/>
    <w:rsid w:val="00C14A60"/>
    <w:rsid w:val="00C14CAD"/>
    <w:rsid w:val="00C1595E"/>
    <w:rsid w:val="00C16372"/>
    <w:rsid w:val="00C16E30"/>
    <w:rsid w:val="00C174EA"/>
    <w:rsid w:val="00C177B0"/>
    <w:rsid w:val="00C20344"/>
    <w:rsid w:val="00C20ABA"/>
    <w:rsid w:val="00C2150C"/>
    <w:rsid w:val="00C21991"/>
    <w:rsid w:val="00C22E62"/>
    <w:rsid w:val="00C22F63"/>
    <w:rsid w:val="00C23373"/>
    <w:rsid w:val="00C23615"/>
    <w:rsid w:val="00C2369D"/>
    <w:rsid w:val="00C248BF"/>
    <w:rsid w:val="00C24970"/>
    <w:rsid w:val="00C25591"/>
    <w:rsid w:val="00C25F18"/>
    <w:rsid w:val="00C263E9"/>
    <w:rsid w:val="00C26AA4"/>
    <w:rsid w:val="00C270F3"/>
    <w:rsid w:val="00C27CF6"/>
    <w:rsid w:val="00C27F9F"/>
    <w:rsid w:val="00C30CBB"/>
    <w:rsid w:val="00C30E62"/>
    <w:rsid w:val="00C31493"/>
    <w:rsid w:val="00C31A60"/>
    <w:rsid w:val="00C32255"/>
    <w:rsid w:val="00C330D9"/>
    <w:rsid w:val="00C33955"/>
    <w:rsid w:val="00C33ADF"/>
    <w:rsid w:val="00C3413C"/>
    <w:rsid w:val="00C342E4"/>
    <w:rsid w:val="00C36C7F"/>
    <w:rsid w:val="00C37286"/>
    <w:rsid w:val="00C3742C"/>
    <w:rsid w:val="00C40AE6"/>
    <w:rsid w:val="00C40C13"/>
    <w:rsid w:val="00C414AD"/>
    <w:rsid w:val="00C43730"/>
    <w:rsid w:val="00C44701"/>
    <w:rsid w:val="00C44A2E"/>
    <w:rsid w:val="00C4511F"/>
    <w:rsid w:val="00C453D0"/>
    <w:rsid w:val="00C45447"/>
    <w:rsid w:val="00C455EF"/>
    <w:rsid w:val="00C4579F"/>
    <w:rsid w:val="00C45E2B"/>
    <w:rsid w:val="00C46301"/>
    <w:rsid w:val="00C46D29"/>
    <w:rsid w:val="00C474A0"/>
    <w:rsid w:val="00C50891"/>
    <w:rsid w:val="00C50C43"/>
    <w:rsid w:val="00C50F26"/>
    <w:rsid w:val="00C51BC5"/>
    <w:rsid w:val="00C52594"/>
    <w:rsid w:val="00C52DBD"/>
    <w:rsid w:val="00C5364D"/>
    <w:rsid w:val="00C538BD"/>
    <w:rsid w:val="00C53CE0"/>
    <w:rsid w:val="00C53EDC"/>
    <w:rsid w:val="00C540A4"/>
    <w:rsid w:val="00C54CB9"/>
    <w:rsid w:val="00C5505B"/>
    <w:rsid w:val="00C56689"/>
    <w:rsid w:val="00C56961"/>
    <w:rsid w:val="00C56DF0"/>
    <w:rsid w:val="00C57650"/>
    <w:rsid w:val="00C57933"/>
    <w:rsid w:val="00C57C34"/>
    <w:rsid w:val="00C60AF4"/>
    <w:rsid w:val="00C614B7"/>
    <w:rsid w:val="00C6166A"/>
    <w:rsid w:val="00C61679"/>
    <w:rsid w:val="00C61BA0"/>
    <w:rsid w:val="00C61E89"/>
    <w:rsid w:val="00C62436"/>
    <w:rsid w:val="00C62495"/>
    <w:rsid w:val="00C6272B"/>
    <w:rsid w:val="00C62A19"/>
    <w:rsid w:val="00C62D68"/>
    <w:rsid w:val="00C62F05"/>
    <w:rsid w:val="00C6347F"/>
    <w:rsid w:val="00C6352B"/>
    <w:rsid w:val="00C63BD9"/>
    <w:rsid w:val="00C63FD8"/>
    <w:rsid w:val="00C63FE0"/>
    <w:rsid w:val="00C641B5"/>
    <w:rsid w:val="00C64805"/>
    <w:rsid w:val="00C64C3A"/>
    <w:rsid w:val="00C674F3"/>
    <w:rsid w:val="00C6768A"/>
    <w:rsid w:val="00C70145"/>
    <w:rsid w:val="00C70263"/>
    <w:rsid w:val="00C70C31"/>
    <w:rsid w:val="00C71778"/>
    <w:rsid w:val="00C71990"/>
    <w:rsid w:val="00C71AB3"/>
    <w:rsid w:val="00C72094"/>
    <w:rsid w:val="00C726A3"/>
    <w:rsid w:val="00C73297"/>
    <w:rsid w:val="00C733D0"/>
    <w:rsid w:val="00C73543"/>
    <w:rsid w:val="00C737DB"/>
    <w:rsid w:val="00C738D7"/>
    <w:rsid w:val="00C73E5D"/>
    <w:rsid w:val="00C746A7"/>
    <w:rsid w:val="00C7531A"/>
    <w:rsid w:val="00C760E7"/>
    <w:rsid w:val="00C779B8"/>
    <w:rsid w:val="00C8002E"/>
    <w:rsid w:val="00C8033A"/>
    <w:rsid w:val="00C803B3"/>
    <w:rsid w:val="00C80DEC"/>
    <w:rsid w:val="00C810A0"/>
    <w:rsid w:val="00C81458"/>
    <w:rsid w:val="00C823D9"/>
    <w:rsid w:val="00C82471"/>
    <w:rsid w:val="00C8273E"/>
    <w:rsid w:val="00C82760"/>
    <w:rsid w:val="00C83636"/>
    <w:rsid w:val="00C838A7"/>
    <w:rsid w:val="00C8397B"/>
    <w:rsid w:val="00C846C4"/>
    <w:rsid w:val="00C84D11"/>
    <w:rsid w:val="00C85932"/>
    <w:rsid w:val="00C85F9A"/>
    <w:rsid w:val="00C86211"/>
    <w:rsid w:val="00C8676B"/>
    <w:rsid w:val="00C872C4"/>
    <w:rsid w:val="00C878E4"/>
    <w:rsid w:val="00C87939"/>
    <w:rsid w:val="00C87C2E"/>
    <w:rsid w:val="00C90302"/>
    <w:rsid w:val="00C9178A"/>
    <w:rsid w:val="00C91956"/>
    <w:rsid w:val="00C91CD1"/>
    <w:rsid w:val="00C91D7E"/>
    <w:rsid w:val="00C925FD"/>
    <w:rsid w:val="00C92F3D"/>
    <w:rsid w:val="00C932CD"/>
    <w:rsid w:val="00C932FF"/>
    <w:rsid w:val="00C944BF"/>
    <w:rsid w:val="00C95238"/>
    <w:rsid w:val="00C95639"/>
    <w:rsid w:val="00C96074"/>
    <w:rsid w:val="00C96C16"/>
    <w:rsid w:val="00C97751"/>
    <w:rsid w:val="00C97D18"/>
    <w:rsid w:val="00C97FF2"/>
    <w:rsid w:val="00CA0628"/>
    <w:rsid w:val="00CA086F"/>
    <w:rsid w:val="00CA10EF"/>
    <w:rsid w:val="00CA12E3"/>
    <w:rsid w:val="00CA21A9"/>
    <w:rsid w:val="00CA27F0"/>
    <w:rsid w:val="00CA2F5F"/>
    <w:rsid w:val="00CA407C"/>
    <w:rsid w:val="00CA42B8"/>
    <w:rsid w:val="00CA462A"/>
    <w:rsid w:val="00CA47F2"/>
    <w:rsid w:val="00CA4BA8"/>
    <w:rsid w:val="00CA4EEB"/>
    <w:rsid w:val="00CA57FF"/>
    <w:rsid w:val="00CA59F9"/>
    <w:rsid w:val="00CA5DD1"/>
    <w:rsid w:val="00CA689B"/>
    <w:rsid w:val="00CA6A01"/>
    <w:rsid w:val="00CA6FA2"/>
    <w:rsid w:val="00CA7350"/>
    <w:rsid w:val="00CB010B"/>
    <w:rsid w:val="00CB01E0"/>
    <w:rsid w:val="00CB0479"/>
    <w:rsid w:val="00CB2A3A"/>
    <w:rsid w:val="00CB2DA4"/>
    <w:rsid w:val="00CB35BC"/>
    <w:rsid w:val="00CB36CC"/>
    <w:rsid w:val="00CB3AFB"/>
    <w:rsid w:val="00CB3BC3"/>
    <w:rsid w:val="00CB3CBD"/>
    <w:rsid w:val="00CB4751"/>
    <w:rsid w:val="00CB4983"/>
    <w:rsid w:val="00CB4AED"/>
    <w:rsid w:val="00CB52F9"/>
    <w:rsid w:val="00CB547A"/>
    <w:rsid w:val="00CB58E8"/>
    <w:rsid w:val="00CB60C4"/>
    <w:rsid w:val="00CB6385"/>
    <w:rsid w:val="00CB6827"/>
    <w:rsid w:val="00CB6CBF"/>
    <w:rsid w:val="00CB7433"/>
    <w:rsid w:val="00CB78FD"/>
    <w:rsid w:val="00CC0667"/>
    <w:rsid w:val="00CC1DDF"/>
    <w:rsid w:val="00CC2781"/>
    <w:rsid w:val="00CC2806"/>
    <w:rsid w:val="00CC2C2E"/>
    <w:rsid w:val="00CC2FA1"/>
    <w:rsid w:val="00CC328F"/>
    <w:rsid w:val="00CC3673"/>
    <w:rsid w:val="00CC3B98"/>
    <w:rsid w:val="00CC3BA6"/>
    <w:rsid w:val="00CC4325"/>
    <w:rsid w:val="00CC478E"/>
    <w:rsid w:val="00CC4FA2"/>
    <w:rsid w:val="00CC5BAB"/>
    <w:rsid w:val="00CC6385"/>
    <w:rsid w:val="00CC6F81"/>
    <w:rsid w:val="00CC725E"/>
    <w:rsid w:val="00CD0726"/>
    <w:rsid w:val="00CD0BBB"/>
    <w:rsid w:val="00CD1795"/>
    <w:rsid w:val="00CD1B05"/>
    <w:rsid w:val="00CD2611"/>
    <w:rsid w:val="00CD3415"/>
    <w:rsid w:val="00CD4624"/>
    <w:rsid w:val="00CD4804"/>
    <w:rsid w:val="00CD505A"/>
    <w:rsid w:val="00CD53F9"/>
    <w:rsid w:val="00CD5473"/>
    <w:rsid w:val="00CD5595"/>
    <w:rsid w:val="00CD56F7"/>
    <w:rsid w:val="00CD6B55"/>
    <w:rsid w:val="00CD796F"/>
    <w:rsid w:val="00CD7B1F"/>
    <w:rsid w:val="00CE0413"/>
    <w:rsid w:val="00CE09AD"/>
    <w:rsid w:val="00CE2225"/>
    <w:rsid w:val="00CE2FCB"/>
    <w:rsid w:val="00CE3753"/>
    <w:rsid w:val="00CE3F74"/>
    <w:rsid w:val="00CE4242"/>
    <w:rsid w:val="00CE4FA6"/>
    <w:rsid w:val="00CE5444"/>
    <w:rsid w:val="00CE56FA"/>
    <w:rsid w:val="00CE64A3"/>
    <w:rsid w:val="00CE785C"/>
    <w:rsid w:val="00CF08FC"/>
    <w:rsid w:val="00CF0B45"/>
    <w:rsid w:val="00CF0C16"/>
    <w:rsid w:val="00CF0CA0"/>
    <w:rsid w:val="00CF125C"/>
    <w:rsid w:val="00CF1E9A"/>
    <w:rsid w:val="00CF1FEB"/>
    <w:rsid w:val="00CF2111"/>
    <w:rsid w:val="00CF2417"/>
    <w:rsid w:val="00CF2C10"/>
    <w:rsid w:val="00CF2D0B"/>
    <w:rsid w:val="00CF2FD3"/>
    <w:rsid w:val="00CF302C"/>
    <w:rsid w:val="00CF373F"/>
    <w:rsid w:val="00CF3BCB"/>
    <w:rsid w:val="00CF3D7B"/>
    <w:rsid w:val="00CF47FD"/>
    <w:rsid w:val="00CF5460"/>
    <w:rsid w:val="00CF57F5"/>
    <w:rsid w:val="00CF58B5"/>
    <w:rsid w:val="00CF598E"/>
    <w:rsid w:val="00CF679C"/>
    <w:rsid w:val="00CF691F"/>
    <w:rsid w:val="00CF6D32"/>
    <w:rsid w:val="00CF73B1"/>
    <w:rsid w:val="00CF795B"/>
    <w:rsid w:val="00D00008"/>
    <w:rsid w:val="00D000F8"/>
    <w:rsid w:val="00D00AC4"/>
    <w:rsid w:val="00D00EAB"/>
    <w:rsid w:val="00D023B5"/>
    <w:rsid w:val="00D03D6F"/>
    <w:rsid w:val="00D04C99"/>
    <w:rsid w:val="00D04CC8"/>
    <w:rsid w:val="00D05164"/>
    <w:rsid w:val="00D05480"/>
    <w:rsid w:val="00D05790"/>
    <w:rsid w:val="00D05917"/>
    <w:rsid w:val="00D068A8"/>
    <w:rsid w:val="00D07029"/>
    <w:rsid w:val="00D07268"/>
    <w:rsid w:val="00D10917"/>
    <w:rsid w:val="00D11444"/>
    <w:rsid w:val="00D11635"/>
    <w:rsid w:val="00D1178D"/>
    <w:rsid w:val="00D12C13"/>
    <w:rsid w:val="00D14916"/>
    <w:rsid w:val="00D14D5C"/>
    <w:rsid w:val="00D15B75"/>
    <w:rsid w:val="00D15B86"/>
    <w:rsid w:val="00D15E24"/>
    <w:rsid w:val="00D1625E"/>
    <w:rsid w:val="00D166FF"/>
    <w:rsid w:val="00D16990"/>
    <w:rsid w:val="00D172D8"/>
    <w:rsid w:val="00D17D14"/>
    <w:rsid w:val="00D20CDC"/>
    <w:rsid w:val="00D21142"/>
    <w:rsid w:val="00D2122B"/>
    <w:rsid w:val="00D22470"/>
    <w:rsid w:val="00D22C54"/>
    <w:rsid w:val="00D22EC1"/>
    <w:rsid w:val="00D231DA"/>
    <w:rsid w:val="00D23206"/>
    <w:rsid w:val="00D23376"/>
    <w:rsid w:val="00D23704"/>
    <w:rsid w:val="00D237DC"/>
    <w:rsid w:val="00D23C42"/>
    <w:rsid w:val="00D242B0"/>
    <w:rsid w:val="00D255F1"/>
    <w:rsid w:val="00D267A0"/>
    <w:rsid w:val="00D26B6D"/>
    <w:rsid w:val="00D27357"/>
    <w:rsid w:val="00D2781E"/>
    <w:rsid w:val="00D2782C"/>
    <w:rsid w:val="00D27C63"/>
    <w:rsid w:val="00D3073C"/>
    <w:rsid w:val="00D308C8"/>
    <w:rsid w:val="00D30C24"/>
    <w:rsid w:val="00D31031"/>
    <w:rsid w:val="00D31285"/>
    <w:rsid w:val="00D31BFD"/>
    <w:rsid w:val="00D32700"/>
    <w:rsid w:val="00D3299E"/>
    <w:rsid w:val="00D33114"/>
    <w:rsid w:val="00D33563"/>
    <w:rsid w:val="00D3369D"/>
    <w:rsid w:val="00D338C2"/>
    <w:rsid w:val="00D339F8"/>
    <w:rsid w:val="00D33A76"/>
    <w:rsid w:val="00D33C95"/>
    <w:rsid w:val="00D33E9F"/>
    <w:rsid w:val="00D34303"/>
    <w:rsid w:val="00D34691"/>
    <w:rsid w:val="00D34696"/>
    <w:rsid w:val="00D34B23"/>
    <w:rsid w:val="00D35B87"/>
    <w:rsid w:val="00D35C53"/>
    <w:rsid w:val="00D35C5C"/>
    <w:rsid w:val="00D35E8B"/>
    <w:rsid w:val="00D362B8"/>
    <w:rsid w:val="00D36E12"/>
    <w:rsid w:val="00D36EB9"/>
    <w:rsid w:val="00D37099"/>
    <w:rsid w:val="00D3764A"/>
    <w:rsid w:val="00D40FAC"/>
    <w:rsid w:val="00D414A6"/>
    <w:rsid w:val="00D42561"/>
    <w:rsid w:val="00D429D6"/>
    <w:rsid w:val="00D42D9A"/>
    <w:rsid w:val="00D4384C"/>
    <w:rsid w:val="00D43879"/>
    <w:rsid w:val="00D43A6A"/>
    <w:rsid w:val="00D43C39"/>
    <w:rsid w:val="00D44058"/>
    <w:rsid w:val="00D4471D"/>
    <w:rsid w:val="00D4583D"/>
    <w:rsid w:val="00D45AE2"/>
    <w:rsid w:val="00D4603D"/>
    <w:rsid w:val="00D4667E"/>
    <w:rsid w:val="00D466D9"/>
    <w:rsid w:val="00D46C20"/>
    <w:rsid w:val="00D5089C"/>
    <w:rsid w:val="00D51735"/>
    <w:rsid w:val="00D51E92"/>
    <w:rsid w:val="00D523ED"/>
    <w:rsid w:val="00D528E7"/>
    <w:rsid w:val="00D52A71"/>
    <w:rsid w:val="00D53A0F"/>
    <w:rsid w:val="00D544CC"/>
    <w:rsid w:val="00D54A56"/>
    <w:rsid w:val="00D550B2"/>
    <w:rsid w:val="00D55DDF"/>
    <w:rsid w:val="00D55EF7"/>
    <w:rsid w:val="00D5694B"/>
    <w:rsid w:val="00D56B51"/>
    <w:rsid w:val="00D56C64"/>
    <w:rsid w:val="00D56CB1"/>
    <w:rsid w:val="00D57B33"/>
    <w:rsid w:val="00D616D5"/>
    <w:rsid w:val="00D617E7"/>
    <w:rsid w:val="00D618D7"/>
    <w:rsid w:val="00D61BDA"/>
    <w:rsid w:val="00D625BE"/>
    <w:rsid w:val="00D65378"/>
    <w:rsid w:val="00D65AB1"/>
    <w:rsid w:val="00D65CFA"/>
    <w:rsid w:val="00D66752"/>
    <w:rsid w:val="00D669EF"/>
    <w:rsid w:val="00D67D9C"/>
    <w:rsid w:val="00D67FDC"/>
    <w:rsid w:val="00D703A7"/>
    <w:rsid w:val="00D70514"/>
    <w:rsid w:val="00D70F1C"/>
    <w:rsid w:val="00D71198"/>
    <w:rsid w:val="00D714AF"/>
    <w:rsid w:val="00D716DC"/>
    <w:rsid w:val="00D72796"/>
    <w:rsid w:val="00D727A8"/>
    <w:rsid w:val="00D73D69"/>
    <w:rsid w:val="00D74384"/>
    <w:rsid w:val="00D7458C"/>
    <w:rsid w:val="00D74E88"/>
    <w:rsid w:val="00D77175"/>
    <w:rsid w:val="00D77B9A"/>
    <w:rsid w:val="00D77DFB"/>
    <w:rsid w:val="00D77E43"/>
    <w:rsid w:val="00D8039C"/>
    <w:rsid w:val="00D80441"/>
    <w:rsid w:val="00D80463"/>
    <w:rsid w:val="00D8214C"/>
    <w:rsid w:val="00D82626"/>
    <w:rsid w:val="00D82939"/>
    <w:rsid w:val="00D836E7"/>
    <w:rsid w:val="00D84552"/>
    <w:rsid w:val="00D84B88"/>
    <w:rsid w:val="00D8541D"/>
    <w:rsid w:val="00D85617"/>
    <w:rsid w:val="00D85855"/>
    <w:rsid w:val="00D86B5F"/>
    <w:rsid w:val="00D86DAF"/>
    <w:rsid w:val="00D87172"/>
    <w:rsid w:val="00D8728C"/>
    <w:rsid w:val="00D87D7E"/>
    <w:rsid w:val="00D87E3C"/>
    <w:rsid w:val="00D90FB0"/>
    <w:rsid w:val="00D910A6"/>
    <w:rsid w:val="00D9165C"/>
    <w:rsid w:val="00D9165F"/>
    <w:rsid w:val="00D91966"/>
    <w:rsid w:val="00D91DC1"/>
    <w:rsid w:val="00D929D2"/>
    <w:rsid w:val="00D93193"/>
    <w:rsid w:val="00D93598"/>
    <w:rsid w:val="00D93BEA"/>
    <w:rsid w:val="00D93DEB"/>
    <w:rsid w:val="00D94160"/>
    <w:rsid w:val="00D9458E"/>
    <w:rsid w:val="00D95250"/>
    <w:rsid w:val="00D960F8"/>
    <w:rsid w:val="00D9624C"/>
    <w:rsid w:val="00D962E8"/>
    <w:rsid w:val="00D969EA"/>
    <w:rsid w:val="00D96EC1"/>
    <w:rsid w:val="00D97228"/>
    <w:rsid w:val="00D97703"/>
    <w:rsid w:val="00D9789A"/>
    <w:rsid w:val="00D97B59"/>
    <w:rsid w:val="00DA0A71"/>
    <w:rsid w:val="00DA1973"/>
    <w:rsid w:val="00DA37A5"/>
    <w:rsid w:val="00DA3C87"/>
    <w:rsid w:val="00DA46CE"/>
    <w:rsid w:val="00DA500D"/>
    <w:rsid w:val="00DA6106"/>
    <w:rsid w:val="00DA6361"/>
    <w:rsid w:val="00DA6599"/>
    <w:rsid w:val="00DA6673"/>
    <w:rsid w:val="00DA66C4"/>
    <w:rsid w:val="00DA72CB"/>
    <w:rsid w:val="00DB0D88"/>
    <w:rsid w:val="00DB0F54"/>
    <w:rsid w:val="00DB16BB"/>
    <w:rsid w:val="00DB26E6"/>
    <w:rsid w:val="00DB28B1"/>
    <w:rsid w:val="00DB2C48"/>
    <w:rsid w:val="00DB2CE9"/>
    <w:rsid w:val="00DB344C"/>
    <w:rsid w:val="00DB3EC1"/>
    <w:rsid w:val="00DB40E7"/>
    <w:rsid w:val="00DB4E48"/>
    <w:rsid w:val="00DB520F"/>
    <w:rsid w:val="00DB591A"/>
    <w:rsid w:val="00DB6B6B"/>
    <w:rsid w:val="00DB6BEF"/>
    <w:rsid w:val="00DB755E"/>
    <w:rsid w:val="00DB787D"/>
    <w:rsid w:val="00DB7F5B"/>
    <w:rsid w:val="00DC0355"/>
    <w:rsid w:val="00DC094F"/>
    <w:rsid w:val="00DC0E3B"/>
    <w:rsid w:val="00DC27CE"/>
    <w:rsid w:val="00DC301C"/>
    <w:rsid w:val="00DC421D"/>
    <w:rsid w:val="00DC4361"/>
    <w:rsid w:val="00DC451F"/>
    <w:rsid w:val="00DC47C8"/>
    <w:rsid w:val="00DC5029"/>
    <w:rsid w:val="00DC5068"/>
    <w:rsid w:val="00DC51A8"/>
    <w:rsid w:val="00DC5DE2"/>
    <w:rsid w:val="00DC5E00"/>
    <w:rsid w:val="00DC6174"/>
    <w:rsid w:val="00DC6578"/>
    <w:rsid w:val="00DC7304"/>
    <w:rsid w:val="00DC7489"/>
    <w:rsid w:val="00DC7F7E"/>
    <w:rsid w:val="00DD0119"/>
    <w:rsid w:val="00DD0167"/>
    <w:rsid w:val="00DD02DA"/>
    <w:rsid w:val="00DD081F"/>
    <w:rsid w:val="00DD1455"/>
    <w:rsid w:val="00DD1834"/>
    <w:rsid w:val="00DD1AD3"/>
    <w:rsid w:val="00DD1C78"/>
    <w:rsid w:val="00DD1F16"/>
    <w:rsid w:val="00DD2978"/>
    <w:rsid w:val="00DD2B90"/>
    <w:rsid w:val="00DD3377"/>
    <w:rsid w:val="00DD39BD"/>
    <w:rsid w:val="00DD3C34"/>
    <w:rsid w:val="00DD5A4F"/>
    <w:rsid w:val="00DD5F32"/>
    <w:rsid w:val="00DD636C"/>
    <w:rsid w:val="00DD650A"/>
    <w:rsid w:val="00DD6724"/>
    <w:rsid w:val="00DD6A37"/>
    <w:rsid w:val="00DD6B0B"/>
    <w:rsid w:val="00DD6ECD"/>
    <w:rsid w:val="00DD7699"/>
    <w:rsid w:val="00DD7A28"/>
    <w:rsid w:val="00DD7B8D"/>
    <w:rsid w:val="00DE04B3"/>
    <w:rsid w:val="00DE0856"/>
    <w:rsid w:val="00DE127F"/>
    <w:rsid w:val="00DE18EA"/>
    <w:rsid w:val="00DE426D"/>
    <w:rsid w:val="00DE46B8"/>
    <w:rsid w:val="00DE48B6"/>
    <w:rsid w:val="00DE4CFD"/>
    <w:rsid w:val="00DE5088"/>
    <w:rsid w:val="00DE5445"/>
    <w:rsid w:val="00DE58D5"/>
    <w:rsid w:val="00DE697A"/>
    <w:rsid w:val="00DE6F1A"/>
    <w:rsid w:val="00DE7234"/>
    <w:rsid w:val="00DE7354"/>
    <w:rsid w:val="00DE7824"/>
    <w:rsid w:val="00DE7B7C"/>
    <w:rsid w:val="00DE7B97"/>
    <w:rsid w:val="00DE7C29"/>
    <w:rsid w:val="00DE7EED"/>
    <w:rsid w:val="00DF0264"/>
    <w:rsid w:val="00DF0C6C"/>
    <w:rsid w:val="00DF0E0F"/>
    <w:rsid w:val="00DF33FB"/>
    <w:rsid w:val="00DF42D4"/>
    <w:rsid w:val="00DF44B1"/>
    <w:rsid w:val="00DF4A0D"/>
    <w:rsid w:val="00DF55BF"/>
    <w:rsid w:val="00DF566C"/>
    <w:rsid w:val="00DF5CD6"/>
    <w:rsid w:val="00DF5E32"/>
    <w:rsid w:val="00DF6164"/>
    <w:rsid w:val="00DF68DE"/>
    <w:rsid w:val="00DF696E"/>
    <w:rsid w:val="00E003B8"/>
    <w:rsid w:val="00E00CE5"/>
    <w:rsid w:val="00E01933"/>
    <w:rsid w:val="00E02090"/>
    <w:rsid w:val="00E0218B"/>
    <w:rsid w:val="00E02251"/>
    <w:rsid w:val="00E02323"/>
    <w:rsid w:val="00E0251D"/>
    <w:rsid w:val="00E02575"/>
    <w:rsid w:val="00E032FF"/>
    <w:rsid w:val="00E03711"/>
    <w:rsid w:val="00E03ABF"/>
    <w:rsid w:val="00E046D7"/>
    <w:rsid w:val="00E04E85"/>
    <w:rsid w:val="00E058A8"/>
    <w:rsid w:val="00E05AFE"/>
    <w:rsid w:val="00E05B1E"/>
    <w:rsid w:val="00E060F5"/>
    <w:rsid w:val="00E0622F"/>
    <w:rsid w:val="00E06D7D"/>
    <w:rsid w:val="00E071AC"/>
    <w:rsid w:val="00E07762"/>
    <w:rsid w:val="00E106B5"/>
    <w:rsid w:val="00E10A59"/>
    <w:rsid w:val="00E10E4F"/>
    <w:rsid w:val="00E118F8"/>
    <w:rsid w:val="00E1207E"/>
    <w:rsid w:val="00E1216E"/>
    <w:rsid w:val="00E1277E"/>
    <w:rsid w:val="00E13037"/>
    <w:rsid w:val="00E1401E"/>
    <w:rsid w:val="00E146B3"/>
    <w:rsid w:val="00E14E4C"/>
    <w:rsid w:val="00E150F8"/>
    <w:rsid w:val="00E15262"/>
    <w:rsid w:val="00E15595"/>
    <w:rsid w:val="00E15EF1"/>
    <w:rsid w:val="00E169AD"/>
    <w:rsid w:val="00E1753F"/>
    <w:rsid w:val="00E17691"/>
    <w:rsid w:val="00E20046"/>
    <w:rsid w:val="00E20145"/>
    <w:rsid w:val="00E206DB"/>
    <w:rsid w:val="00E21D96"/>
    <w:rsid w:val="00E21F54"/>
    <w:rsid w:val="00E223F0"/>
    <w:rsid w:val="00E22853"/>
    <w:rsid w:val="00E2325A"/>
    <w:rsid w:val="00E2403A"/>
    <w:rsid w:val="00E240FF"/>
    <w:rsid w:val="00E253F0"/>
    <w:rsid w:val="00E26561"/>
    <w:rsid w:val="00E26728"/>
    <w:rsid w:val="00E268D2"/>
    <w:rsid w:val="00E26FA9"/>
    <w:rsid w:val="00E271D2"/>
    <w:rsid w:val="00E30631"/>
    <w:rsid w:val="00E317D5"/>
    <w:rsid w:val="00E3196A"/>
    <w:rsid w:val="00E324D6"/>
    <w:rsid w:val="00E33154"/>
    <w:rsid w:val="00E3384B"/>
    <w:rsid w:val="00E338DD"/>
    <w:rsid w:val="00E33E6E"/>
    <w:rsid w:val="00E3456E"/>
    <w:rsid w:val="00E3476E"/>
    <w:rsid w:val="00E35715"/>
    <w:rsid w:val="00E357E2"/>
    <w:rsid w:val="00E35CFB"/>
    <w:rsid w:val="00E3666C"/>
    <w:rsid w:val="00E3784E"/>
    <w:rsid w:val="00E3786F"/>
    <w:rsid w:val="00E378D5"/>
    <w:rsid w:val="00E400D9"/>
    <w:rsid w:val="00E403AC"/>
    <w:rsid w:val="00E409B4"/>
    <w:rsid w:val="00E40AC4"/>
    <w:rsid w:val="00E40D80"/>
    <w:rsid w:val="00E410B6"/>
    <w:rsid w:val="00E411AC"/>
    <w:rsid w:val="00E41277"/>
    <w:rsid w:val="00E41D3D"/>
    <w:rsid w:val="00E41EFB"/>
    <w:rsid w:val="00E428DD"/>
    <w:rsid w:val="00E43139"/>
    <w:rsid w:val="00E43363"/>
    <w:rsid w:val="00E43A82"/>
    <w:rsid w:val="00E457C9"/>
    <w:rsid w:val="00E457D9"/>
    <w:rsid w:val="00E45D3D"/>
    <w:rsid w:val="00E463B7"/>
    <w:rsid w:val="00E46610"/>
    <w:rsid w:val="00E468AD"/>
    <w:rsid w:val="00E4716E"/>
    <w:rsid w:val="00E47170"/>
    <w:rsid w:val="00E47595"/>
    <w:rsid w:val="00E51735"/>
    <w:rsid w:val="00E51C68"/>
    <w:rsid w:val="00E521AE"/>
    <w:rsid w:val="00E5220E"/>
    <w:rsid w:val="00E52584"/>
    <w:rsid w:val="00E5289C"/>
    <w:rsid w:val="00E52BD4"/>
    <w:rsid w:val="00E5332C"/>
    <w:rsid w:val="00E53686"/>
    <w:rsid w:val="00E53FBC"/>
    <w:rsid w:val="00E54597"/>
    <w:rsid w:val="00E54914"/>
    <w:rsid w:val="00E55136"/>
    <w:rsid w:val="00E5558F"/>
    <w:rsid w:val="00E555E3"/>
    <w:rsid w:val="00E560C9"/>
    <w:rsid w:val="00E57265"/>
    <w:rsid w:val="00E57C7C"/>
    <w:rsid w:val="00E57D05"/>
    <w:rsid w:val="00E602D9"/>
    <w:rsid w:val="00E6053B"/>
    <w:rsid w:val="00E605B0"/>
    <w:rsid w:val="00E609B4"/>
    <w:rsid w:val="00E61396"/>
    <w:rsid w:val="00E61633"/>
    <w:rsid w:val="00E62472"/>
    <w:rsid w:val="00E627EE"/>
    <w:rsid w:val="00E63DDD"/>
    <w:rsid w:val="00E64A0D"/>
    <w:rsid w:val="00E655C9"/>
    <w:rsid w:val="00E6636D"/>
    <w:rsid w:val="00E6723E"/>
    <w:rsid w:val="00E673F4"/>
    <w:rsid w:val="00E676D5"/>
    <w:rsid w:val="00E67A2E"/>
    <w:rsid w:val="00E702F3"/>
    <w:rsid w:val="00E70416"/>
    <w:rsid w:val="00E71D42"/>
    <w:rsid w:val="00E71E42"/>
    <w:rsid w:val="00E72E64"/>
    <w:rsid w:val="00E73558"/>
    <w:rsid w:val="00E7370A"/>
    <w:rsid w:val="00E739C3"/>
    <w:rsid w:val="00E73B7E"/>
    <w:rsid w:val="00E748C0"/>
    <w:rsid w:val="00E7494A"/>
    <w:rsid w:val="00E75CF9"/>
    <w:rsid w:val="00E75EC9"/>
    <w:rsid w:val="00E766EE"/>
    <w:rsid w:val="00E76BB8"/>
    <w:rsid w:val="00E777AF"/>
    <w:rsid w:val="00E779A7"/>
    <w:rsid w:val="00E77A03"/>
    <w:rsid w:val="00E80144"/>
    <w:rsid w:val="00E80456"/>
    <w:rsid w:val="00E80B95"/>
    <w:rsid w:val="00E81496"/>
    <w:rsid w:val="00E829A2"/>
    <w:rsid w:val="00E83034"/>
    <w:rsid w:val="00E851C1"/>
    <w:rsid w:val="00E859BB"/>
    <w:rsid w:val="00E86243"/>
    <w:rsid w:val="00E86301"/>
    <w:rsid w:val="00E869B4"/>
    <w:rsid w:val="00E870E2"/>
    <w:rsid w:val="00E87B47"/>
    <w:rsid w:val="00E87CD8"/>
    <w:rsid w:val="00E90A7A"/>
    <w:rsid w:val="00E90F77"/>
    <w:rsid w:val="00E91478"/>
    <w:rsid w:val="00E91541"/>
    <w:rsid w:val="00E91981"/>
    <w:rsid w:val="00E91995"/>
    <w:rsid w:val="00E92118"/>
    <w:rsid w:val="00E92889"/>
    <w:rsid w:val="00E92B11"/>
    <w:rsid w:val="00E92B68"/>
    <w:rsid w:val="00E94301"/>
    <w:rsid w:val="00E94D26"/>
    <w:rsid w:val="00E95522"/>
    <w:rsid w:val="00E9564A"/>
    <w:rsid w:val="00E95E60"/>
    <w:rsid w:val="00E95E6B"/>
    <w:rsid w:val="00E95F1B"/>
    <w:rsid w:val="00E96723"/>
    <w:rsid w:val="00E96FE6"/>
    <w:rsid w:val="00E978E8"/>
    <w:rsid w:val="00E97A8A"/>
    <w:rsid w:val="00E97BD1"/>
    <w:rsid w:val="00EA07C4"/>
    <w:rsid w:val="00EA0934"/>
    <w:rsid w:val="00EA0935"/>
    <w:rsid w:val="00EA0CCB"/>
    <w:rsid w:val="00EA0F7D"/>
    <w:rsid w:val="00EA19CA"/>
    <w:rsid w:val="00EA224E"/>
    <w:rsid w:val="00EA226B"/>
    <w:rsid w:val="00EA2427"/>
    <w:rsid w:val="00EA2651"/>
    <w:rsid w:val="00EA341A"/>
    <w:rsid w:val="00EA3B1E"/>
    <w:rsid w:val="00EA3C4B"/>
    <w:rsid w:val="00EA3CD0"/>
    <w:rsid w:val="00EA3CE2"/>
    <w:rsid w:val="00EA459A"/>
    <w:rsid w:val="00EA5279"/>
    <w:rsid w:val="00EA52AD"/>
    <w:rsid w:val="00EA6281"/>
    <w:rsid w:val="00EA693C"/>
    <w:rsid w:val="00EA75AD"/>
    <w:rsid w:val="00EB0630"/>
    <w:rsid w:val="00EB0802"/>
    <w:rsid w:val="00EB10CB"/>
    <w:rsid w:val="00EB10E7"/>
    <w:rsid w:val="00EB1135"/>
    <w:rsid w:val="00EB14BD"/>
    <w:rsid w:val="00EB1A12"/>
    <w:rsid w:val="00EB240A"/>
    <w:rsid w:val="00EB2A15"/>
    <w:rsid w:val="00EB2C40"/>
    <w:rsid w:val="00EB5C8D"/>
    <w:rsid w:val="00EB5CF7"/>
    <w:rsid w:val="00EB668E"/>
    <w:rsid w:val="00EB6941"/>
    <w:rsid w:val="00EB75F9"/>
    <w:rsid w:val="00EB7EC8"/>
    <w:rsid w:val="00EC01E5"/>
    <w:rsid w:val="00EC07AF"/>
    <w:rsid w:val="00EC0EAD"/>
    <w:rsid w:val="00EC18CF"/>
    <w:rsid w:val="00EC1DCE"/>
    <w:rsid w:val="00EC24A0"/>
    <w:rsid w:val="00EC300C"/>
    <w:rsid w:val="00EC36FF"/>
    <w:rsid w:val="00EC379D"/>
    <w:rsid w:val="00EC3BC9"/>
    <w:rsid w:val="00EC3DB2"/>
    <w:rsid w:val="00EC3FC1"/>
    <w:rsid w:val="00EC452B"/>
    <w:rsid w:val="00EC4E19"/>
    <w:rsid w:val="00EC4EC0"/>
    <w:rsid w:val="00EC5AD4"/>
    <w:rsid w:val="00EC5CCA"/>
    <w:rsid w:val="00EC5E15"/>
    <w:rsid w:val="00EC61ED"/>
    <w:rsid w:val="00ED056A"/>
    <w:rsid w:val="00ED1172"/>
    <w:rsid w:val="00ED1452"/>
    <w:rsid w:val="00ED14FD"/>
    <w:rsid w:val="00ED1658"/>
    <w:rsid w:val="00ED1B52"/>
    <w:rsid w:val="00ED2DE4"/>
    <w:rsid w:val="00ED3430"/>
    <w:rsid w:val="00ED34AF"/>
    <w:rsid w:val="00ED3576"/>
    <w:rsid w:val="00ED46FD"/>
    <w:rsid w:val="00ED4A9B"/>
    <w:rsid w:val="00ED524C"/>
    <w:rsid w:val="00ED6003"/>
    <w:rsid w:val="00ED6060"/>
    <w:rsid w:val="00ED6553"/>
    <w:rsid w:val="00ED6CEA"/>
    <w:rsid w:val="00ED6E05"/>
    <w:rsid w:val="00ED7277"/>
    <w:rsid w:val="00ED738B"/>
    <w:rsid w:val="00ED75B1"/>
    <w:rsid w:val="00ED7A72"/>
    <w:rsid w:val="00ED7D61"/>
    <w:rsid w:val="00ED7F36"/>
    <w:rsid w:val="00EE018A"/>
    <w:rsid w:val="00EE0A19"/>
    <w:rsid w:val="00EE1626"/>
    <w:rsid w:val="00EE1F48"/>
    <w:rsid w:val="00EE25C8"/>
    <w:rsid w:val="00EE26C2"/>
    <w:rsid w:val="00EE2AA5"/>
    <w:rsid w:val="00EE3620"/>
    <w:rsid w:val="00EE55BC"/>
    <w:rsid w:val="00EE6360"/>
    <w:rsid w:val="00EE64DA"/>
    <w:rsid w:val="00EE7BDB"/>
    <w:rsid w:val="00EF0503"/>
    <w:rsid w:val="00EF10A1"/>
    <w:rsid w:val="00EF114F"/>
    <w:rsid w:val="00EF1801"/>
    <w:rsid w:val="00EF181B"/>
    <w:rsid w:val="00EF197E"/>
    <w:rsid w:val="00EF1D3F"/>
    <w:rsid w:val="00EF226E"/>
    <w:rsid w:val="00EF313A"/>
    <w:rsid w:val="00EF3623"/>
    <w:rsid w:val="00EF4C86"/>
    <w:rsid w:val="00EF514E"/>
    <w:rsid w:val="00EF5BE9"/>
    <w:rsid w:val="00EF6695"/>
    <w:rsid w:val="00EF77F3"/>
    <w:rsid w:val="00EF7C3D"/>
    <w:rsid w:val="00EF7D1F"/>
    <w:rsid w:val="00F00120"/>
    <w:rsid w:val="00F002E2"/>
    <w:rsid w:val="00F007AC"/>
    <w:rsid w:val="00F01BD8"/>
    <w:rsid w:val="00F03695"/>
    <w:rsid w:val="00F03792"/>
    <w:rsid w:val="00F03D6F"/>
    <w:rsid w:val="00F04081"/>
    <w:rsid w:val="00F04319"/>
    <w:rsid w:val="00F04339"/>
    <w:rsid w:val="00F05E02"/>
    <w:rsid w:val="00F060C3"/>
    <w:rsid w:val="00F06158"/>
    <w:rsid w:val="00F06F3F"/>
    <w:rsid w:val="00F0723E"/>
    <w:rsid w:val="00F07353"/>
    <w:rsid w:val="00F07838"/>
    <w:rsid w:val="00F10FEC"/>
    <w:rsid w:val="00F11895"/>
    <w:rsid w:val="00F11C64"/>
    <w:rsid w:val="00F11E51"/>
    <w:rsid w:val="00F11E78"/>
    <w:rsid w:val="00F123B2"/>
    <w:rsid w:val="00F13628"/>
    <w:rsid w:val="00F1371E"/>
    <w:rsid w:val="00F14835"/>
    <w:rsid w:val="00F150AA"/>
    <w:rsid w:val="00F159A2"/>
    <w:rsid w:val="00F15C42"/>
    <w:rsid w:val="00F1614F"/>
    <w:rsid w:val="00F16D67"/>
    <w:rsid w:val="00F171AA"/>
    <w:rsid w:val="00F178B3"/>
    <w:rsid w:val="00F20027"/>
    <w:rsid w:val="00F20063"/>
    <w:rsid w:val="00F20309"/>
    <w:rsid w:val="00F22144"/>
    <w:rsid w:val="00F225B7"/>
    <w:rsid w:val="00F23588"/>
    <w:rsid w:val="00F242DC"/>
    <w:rsid w:val="00F2500E"/>
    <w:rsid w:val="00F25181"/>
    <w:rsid w:val="00F254DA"/>
    <w:rsid w:val="00F25546"/>
    <w:rsid w:val="00F25C56"/>
    <w:rsid w:val="00F273C4"/>
    <w:rsid w:val="00F27461"/>
    <w:rsid w:val="00F304A8"/>
    <w:rsid w:val="00F305BA"/>
    <w:rsid w:val="00F3064F"/>
    <w:rsid w:val="00F30C1B"/>
    <w:rsid w:val="00F30DA4"/>
    <w:rsid w:val="00F30F53"/>
    <w:rsid w:val="00F3190B"/>
    <w:rsid w:val="00F31DA8"/>
    <w:rsid w:val="00F32259"/>
    <w:rsid w:val="00F325F2"/>
    <w:rsid w:val="00F332A5"/>
    <w:rsid w:val="00F34358"/>
    <w:rsid w:val="00F34727"/>
    <w:rsid w:val="00F3486A"/>
    <w:rsid w:val="00F355ED"/>
    <w:rsid w:val="00F360E1"/>
    <w:rsid w:val="00F361A1"/>
    <w:rsid w:val="00F36242"/>
    <w:rsid w:val="00F36BB0"/>
    <w:rsid w:val="00F36CAF"/>
    <w:rsid w:val="00F3790C"/>
    <w:rsid w:val="00F37C95"/>
    <w:rsid w:val="00F37F56"/>
    <w:rsid w:val="00F4117F"/>
    <w:rsid w:val="00F42340"/>
    <w:rsid w:val="00F43EF6"/>
    <w:rsid w:val="00F43FEC"/>
    <w:rsid w:val="00F44368"/>
    <w:rsid w:val="00F44D5E"/>
    <w:rsid w:val="00F45007"/>
    <w:rsid w:val="00F458FB"/>
    <w:rsid w:val="00F461AB"/>
    <w:rsid w:val="00F467A2"/>
    <w:rsid w:val="00F46F48"/>
    <w:rsid w:val="00F47518"/>
    <w:rsid w:val="00F47C12"/>
    <w:rsid w:val="00F47FF0"/>
    <w:rsid w:val="00F501C3"/>
    <w:rsid w:val="00F50C83"/>
    <w:rsid w:val="00F51A3D"/>
    <w:rsid w:val="00F51B87"/>
    <w:rsid w:val="00F5240D"/>
    <w:rsid w:val="00F5245F"/>
    <w:rsid w:val="00F524C5"/>
    <w:rsid w:val="00F52706"/>
    <w:rsid w:val="00F5312D"/>
    <w:rsid w:val="00F53960"/>
    <w:rsid w:val="00F544B6"/>
    <w:rsid w:val="00F559D2"/>
    <w:rsid w:val="00F55FDC"/>
    <w:rsid w:val="00F564C7"/>
    <w:rsid w:val="00F56AEB"/>
    <w:rsid w:val="00F56B8C"/>
    <w:rsid w:val="00F571FE"/>
    <w:rsid w:val="00F57B01"/>
    <w:rsid w:val="00F57F65"/>
    <w:rsid w:val="00F61251"/>
    <w:rsid w:val="00F61B03"/>
    <w:rsid w:val="00F61D79"/>
    <w:rsid w:val="00F624D1"/>
    <w:rsid w:val="00F62569"/>
    <w:rsid w:val="00F628B8"/>
    <w:rsid w:val="00F62EF1"/>
    <w:rsid w:val="00F63665"/>
    <w:rsid w:val="00F63771"/>
    <w:rsid w:val="00F637A2"/>
    <w:rsid w:val="00F63DD6"/>
    <w:rsid w:val="00F64733"/>
    <w:rsid w:val="00F65362"/>
    <w:rsid w:val="00F65CAD"/>
    <w:rsid w:val="00F6692E"/>
    <w:rsid w:val="00F66BD2"/>
    <w:rsid w:val="00F66F26"/>
    <w:rsid w:val="00F67056"/>
    <w:rsid w:val="00F67714"/>
    <w:rsid w:val="00F678A7"/>
    <w:rsid w:val="00F67DCF"/>
    <w:rsid w:val="00F703F9"/>
    <w:rsid w:val="00F70D1C"/>
    <w:rsid w:val="00F714C1"/>
    <w:rsid w:val="00F71A41"/>
    <w:rsid w:val="00F71CC1"/>
    <w:rsid w:val="00F71EC0"/>
    <w:rsid w:val="00F71F4B"/>
    <w:rsid w:val="00F7238B"/>
    <w:rsid w:val="00F7303B"/>
    <w:rsid w:val="00F735BB"/>
    <w:rsid w:val="00F7394B"/>
    <w:rsid w:val="00F73F8A"/>
    <w:rsid w:val="00F73FEC"/>
    <w:rsid w:val="00F74226"/>
    <w:rsid w:val="00F7491A"/>
    <w:rsid w:val="00F7587A"/>
    <w:rsid w:val="00F7638E"/>
    <w:rsid w:val="00F7642C"/>
    <w:rsid w:val="00F76440"/>
    <w:rsid w:val="00F8023D"/>
    <w:rsid w:val="00F8054A"/>
    <w:rsid w:val="00F808A5"/>
    <w:rsid w:val="00F808B5"/>
    <w:rsid w:val="00F82229"/>
    <w:rsid w:val="00F823A8"/>
    <w:rsid w:val="00F825A1"/>
    <w:rsid w:val="00F836D4"/>
    <w:rsid w:val="00F84550"/>
    <w:rsid w:val="00F849DB"/>
    <w:rsid w:val="00F85401"/>
    <w:rsid w:val="00F8541F"/>
    <w:rsid w:val="00F85421"/>
    <w:rsid w:val="00F858C3"/>
    <w:rsid w:val="00F8670A"/>
    <w:rsid w:val="00F86928"/>
    <w:rsid w:val="00F86AA7"/>
    <w:rsid w:val="00F87A0C"/>
    <w:rsid w:val="00F87CA8"/>
    <w:rsid w:val="00F87E11"/>
    <w:rsid w:val="00F90021"/>
    <w:rsid w:val="00F919EF"/>
    <w:rsid w:val="00F91AED"/>
    <w:rsid w:val="00F920D2"/>
    <w:rsid w:val="00F9238F"/>
    <w:rsid w:val="00F93641"/>
    <w:rsid w:val="00F93785"/>
    <w:rsid w:val="00F938F6"/>
    <w:rsid w:val="00F941DE"/>
    <w:rsid w:val="00F94584"/>
    <w:rsid w:val="00F94B6C"/>
    <w:rsid w:val="00F9670A"/>
    <w:rsid w:val="00F96EB9"/>
    <w:rsid w:val="00F972D0"/>
    <w:rsid w:val="00F9769D"/>
    <w:rsid w:val="00F97814"/>
    <w:rsid w:val="00F9788B"/>
    <w:rsid w:val="00FA0CB1"/>
    <w:rsid w:val="00FA0F90"/>
    <w:rsid w:val="00FA0FBC"/>
    <w:rsid w:val="00FA140D"/>
    <w:rsid w:val="00FA1A04"/>
    <w:rsid w:val="00FA2BB0"/>
    <w:rsid w:val="00FA2C75"/>
    <w:rsid w:val="00FA431B"/>
    <w:rsid w:val="00FA4D76"/>
    <w:rsid w:val="00FA595C"/>
    <w:rsid w:val="00FA5DB0"/>
    <w:rsid w:val="00FA63A0"/>
    <w:rsid w:val="00FA6556"/>
    <w:rsid w:val="00FA6A8B"/>
    <w:rsid w:val="00FA7E59"/>
    <w:rsid w:val="00FB035D"/>
    <w:rsid w:val="00FB0743"/>
    <w:rsid w:val="00FB139D"/>
    <w:rsid w:val="00FB1430"/>
    <w:rsid w:val="00FB1B69"/>
    <w:rsid w:val="00FB2BB2"/>
    <w:rsid w:val="00FB2E09"/>
    <w:rsid w:val="00FB3256"/>
    <w:rsid w:val="00FB43A7"/>
    <w:rsid w:val="00FB4CB4"/>
    <w:rsid w:val="00FB53B0"/>
    <w:rsid w:val="00FB5927"/>
    <w:rsid w:val="00FB60CD"/>
    <w:rsid w:val="00FB7F4D"/>
    <w:rsid w:val="00FC0028"/>
    <w:rsid w:val="00FC032B"/>
    <w:rsid w:val="00FC17EE"/>
    <w:rsid w:val="00FC1E08"/>
    <w:rsid w:val="00FC1E3F"/>
    <w:rsid w:val="00FC1E95"/>
    <w:rsid w:val="00FC2C6B"/>
    <w:rsid w:val="00FC2E05"/>
    <w:rsid w:val="00FC2FA1"/>
    <w:rsid w:val="00FC3974"/>
    <w:rsid w:val="00FC41F4"/>
    <w:rsid w:val="00FC43AC"/>
    <w:rsid w:val="00FC44E0"/>
    <w:rsid w:val="00FC4DCC"/>
    <w:rsid w:val="00FC5415"/>
    <w:rsid w:val="00FC5498"/>
    <w:rsid w:val="00FC59C2"/>
    <w:rsid w:val="00FC5C74"/>
    <w:rsid w:val="00FC69BC"/>
    <w:rsid w:val="00FC7943"/>
    <w:rsid w:val="00FD0E0B"/>
    <w:rsid w:val="00FD0FA3"/>
    <w:rsid w:val="00FD1D6D"/>
    <w:rsid w:val="00FD1E70"/>
    <w:rsid w:val="00FD2A0D"/>
    <w:rsid w:val="00FD3418"/>
    <w:rsid w:val="00FD35C0"/>
    <w:rsid w:val="00FD3B31"/>
    <w:rsid w:val="00FD4165"/>
    <w:rsid w:val="00FD43EB"/>
    <w:rsid w:val="00FD440E"/>
    <w:rsid w:val="00FD4DFB"/>
    <w:rsid w:val="00FD514F"/>
    <w:rsid w:val="00FD5360"/>
    <w:rsid w:val="00FD53EE"/>
    <w:rsid w:val="00FD54A9"/>
    <w:rsid w:val="00FD6D70"/>
    <w:rsid w:val="00FD6E27"/>
    <w:rsid w:val="00FD76D9"/>
    <w:rsid w:val="00FD7C1F"/>
    <w:rsid w:val="00FE0632"/>
    <w:rsid w:val="00FE10B6"/>
    <w:rsid w:val="00FE2111"/>
    <w:rsid w:val="00FE2557"/>
    <w:rsid w:val="00FE2586"/>
    <w:rsid w:val="00FE348F"/>
    <w:rsid w:val="00FE36FD"/>
    <w:rsid w:val="00FE39BC"/>
    <w:rsid w:val="00FE3BDB"/>
    <w:rsid w:val="00FE3C9B"/>
    <w:rsid w:val="00FE418E"/>
    <w:rsid w:val="00FE42A6"/>
    <w:rsid w:val="00FE48A6"/>
    <w:rsid w:val="00FE49C0"/>
    <w:rsid w:val="00FE4A2A"/>
    <w:rsid w:val="00FE4C3E"/>
    <w:rsid w:val="00FE5D34"/>
    <w:rsid w:val="00FE6418"/>
    <w:rsid w:val="00FE6516"/>
    <w:rsid w:val="00FE6C32"/>
    <w:rsid w:val="00FE6CB3"/>
    <w:rsid w:val="00FE709F"/>
    <w:rsid w:val="00FE76ED"/>
    <w:rsid w:val="00FE790A"/>
    <w:rsid w:val="00FF0E32"/>
    <w:rsid w:val="00FF2D69"/>
    <w:rsid w:val="00FF2DA9"/>
    <w:rsid w:val="00FF3193"/>
    <w:rsid w:val="00FF3DC3"/>
    <w:rsid w:val="00FF4A29"/>
    <w:rsid w:val="00FF51F7"/>
    <w:rsid w:val="00FF551B"/>
    <w:rsid w:val="00FF5529"/>
    <w:rsid w:val="00FF590A"/>
    <w:rsid w:val="00FF61C1"/>
    <w:rsid w:val="00FF6713"/>
    <w:rsid w:val="00FF6D24"/>
    <w:rsid w:val="00FF736A"/>
    <w:rsid w:val="00FF73CA"/>
    <w:rsid w:val="00FF7E86"/>
  </w:rsids>
  <m:mathPr>
    <m:mathFont m:val="Cambria Math"/>
    <m:brkBin m:val="before"/>
    <m:brkBinSub m:val="--"/>
    <m:smallFrac m:val="0"/>
    <m:dispDef/>
    <m:lMargin m:val="0"/>
    <m:rMargin m:val="0"/>
    <m:defJc m:val="centerGroup"/>
    <m:wrapIndent m:val="1440"/>
    <m:intLim m:val="subSup"/>
    <m:naryLim m:val="undOvr"/>
  </m:mathPr>
  <w:attachedSchema w:val="urn:schemas:contacts"/>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39"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Block Text" w:uiPriority="0"/>
    <w:lsdException w:name="Strong" w:locked="1" w:semiHidden="0" w:uiPriority="22" w:unhideWhenUsed="0" w:qFormat="1"/>
    <w:lsdException w:name="Emphasis" w:locked="1" w:semiHidden="0" w:uiPriority="2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551"/>
    <w:pPr>
      <w:widowControl w:val="0"/>
      <w:overflowPunct w:val="0"/>
      <w:autoSpaceDE w:val="0"/>
      <w:autoSpaceDN w:val="0"/>
      <w:adjustRightInd w:val="0"/>
    </w:pPr>
    <w:rPr>
      <w:rFonts w:ascii="Times New Roman" w:hAnsi="Times New Roman"/>
      <w:kern w:val="28"/>
    </w:rPr>
  </w:style>
  <w:style w:type="paragraph" w:styleId="Heading1">
    <w:name w:val="heading 1"/>
    <w:basedOn w:val="Normal"/>
    <w:next w:val="Normal"/>
    <w:link w:val="Heading1Char"/>
    <w:qFormat/>
    <w:locked/>
    <w:rsid w:val="000E1957"/>
    <w:pPr>
      <w:keepNext/>
      <w:widowControl/>
      <w:overflowPunct/>
      <w:autoSpaceDE/>
      <w:autoSpaceDN/>
      <w:adjustRightInd/>
      <w:spacing w:line="240" w:lineRule="exact"/>
      <w:jc w:val="center"/>
      <w:outlineLvl w:val="0"/>
    </w:pPr>
    <w:rPr>
      <w:rFonts w:ascii="Times" w:eastAsia="Times" w:hAnsi="Times"/>
      <w:b/>
      <w:kern w:val="0"/>
      <w:sz w:val="24"/>
      <w:lang w:eastAsia="en-US"/>
    </w:rPr>
  </w:style>
  <w:style w:type="paragraph" w:styleId="Heading2">
    <w:name w:val="heading 2"/>
    <w:basedOn w:val="Normal"/>
    <w:next w:val="Normal"/>
    <w:link w:val="Heading2Char"/>
    <w:unhideWhenUsed/>
    <w:qFormat/>
    <w:locked/>
    <w:rsid w:val="00B45E58"/>
    <w:pPr>
      <w:keepNext/>
      <w:keepLines/>
      <w:spacing w:before="20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nhideWhenUsed/>
    <w:qFormat/>
    <w:locked/>
    <w:rsid w:val="002C129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locked/>
    <w:rsid w:val="00FC5498"/>
    <w:pPr>
      <w:keepNext/>
      <w:widowControl/>
      <w:overflowPunct/>
      <w:autoSpaceDE/>
      <w:autoSpaceDN/>
      <w:adjustRightInd/>
      <w:jc w:val="center"/>
      <w:outlineLvl w:val="3"/>
    </w:pPr>
    <w:rPr>
      <w:rFonts w:ascii="Times" w:eastAsia="Times" w:hAnsi="Times"/>
      <w:b/>
      <w:kern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956A9"/>
    <w:pPr>
      <w:ind w:left="720"/>
      <w:contextualSpacing/>
    </w:pPr>
  </w:style>
  <w:style w:type="table" w:styleId="TableGrid">
    <w:name w:val="Table Grid"/>
    <w:basedOn w:val="TableNormal"/>
    <w:uiPriority w:val="99"/>
    <w:rsid w:val="00A956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
    <w:name w:val="Light Shading1"/>
    <w:uiPriority w:val="99"/>
    <w:rsid w:val="00A956A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DecimalAligned">
    <w:name w:val="Decimal Aligned"/>
    <w:basedOn w:val="Normal"/>
    <w:uiPriority w:val="99"/>
    <w:rsid w:val="00A956A9"/>
    <w:pPr>
      <w:widowControl/>
      <w:tabs>
        <w:tab w:val="decimal" w:pos="360"/>
      </w:tabs>
      <w:overflowPunct/>
      <w:autoSpaceDE/>
      <w:autoSpaceDN/>
      <w:adjustRightInd/>
      <w:spacing w:after="200" w:line="276" w:lineRule="auto"/>
    </w:pPr>
    <w:rPr>
      <w:rFonts w:ascii="Calibri" w:hAnsi="Calibri"/>
      <w:kern w:val="0"/>
      <w:sz w:val="22"/>
      <w:szCs w:val="22"/>
      <w:lang w:eastAsia="en-US"/>
    </w:rPr>
  </w:style>
  <w:style w:type="paragraph" w:styleId="FootnoteText">
    <w:name w:val="footnote text"/>
    <w:basedOn w:val="Normal"/>
    <w:link w:val="FootnoteTextChar"/>
    <w:uiPriority w:val="99"/>
    <w:rsid w:val="00A956A9"/>
    <w:pPr>
      <w:widowControl/>
      <w:overflowPunct/>
      <w:autoSpaceDE/>
      <w:autoSpaceDN/>
      <w:adjustRightInd/>
    </w:pPr>
    <w:rPr>
      <w:rFonts w:ascii="Calibri" w:hAnsi="Calibri"/>
      <w:kern w:val="0"/>
      <w:lang w:eastAsia="en-US"/>
    </w:rPr>
  </w:style>
  <w:style w:type="character" w:customStyle="1" w:styleId="FootnoteTextChar">
    <w:name w:val="Footnote Text Char"/>
    <w:basedOn w:val="DefaultParagraphFont"/>
    <w:link w:val="FootnoteText"/>
    <w:uiPriority w:val="99"/>
    <w:locked/>
    <w:rsid w:val="00A956A9"/>
    <w:rPr>
      <w:rFonts w:cs="Times New Roman"/>
      <w:sz w:val="20"/>
      <w:szCs w:val="20"/>
      <w:lang w:eastAsia="en-US"/>
    </w:rPr>
  </w:style>
  <w:style w:type="character" w:styleId="SubtleEmphasis">
    <w:name w:val="Subtle Emphasis"/>
    <w:basedOn w:val="DefaultParagraphFont"/>
    <w:uiPriority w:val="99"/>
    <w:qFormat/>
    <w:rsid w:val="00A956A9"/>
    <w:rPr>
      <w:rFonts w:eastAsia="SimSun" w:cs="Times New Roman"/>
      <w:i/>
      <w:iCs/>
      <w:color w:val="808080"/>
      <w:sz w:val="22"/>
      <w:szCs w:val="22"/>
      <w:lang w:val="en-US"/>
    </w:rPr>
  </w:style>
  <w:style w:type="table" w:customStyle="1" w:styleId="LightShading-Accent11">
    <w:name w:val="Light Shading - Accent 11"/>
    <w:uiPriority w:val="99"/>
    <w:rsid w:val="00A956A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MediumShading2-Accent11">
    <w:name w:val="Medium Shading 2 - Accent 11"/>
    <w:uiPriority w:val="99"/>
    <w:rsid w:val="00A956A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MediumShading2-Accent2">
    <w:name w:val="Medium Shading 2 Accent 2"/>
    <w:basedOn w:val="TableNormal"/>
    <w:uiPriority w:val="99"/>
    <w:rsid w:val="00A956A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Times New Roman"/>
        <w:b/>
        <w:bCs/>
        <w:color w:val="FFFFFF"/>
      </w:rPr>
      <w:tblPr/>
      <w:tcPr>
        <w:tcBorders>
          <w:left w:val="nil"/>
          <w:right w:val="nil"/>
          <w:insideH w:val="nil"/>
          <w:insideV w:val="nil"/>
        </w:tcBorders>
        <w:shd w:val="clear" w:color="auto" w:fill="C0504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uiPriority w:val="99"/>
    <w:rsid w:val="00A956A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A956A9"/>
    <w:pPr>
      <w:tabs>
        <w:tab w:val="center" w:pos="4680"/>
        <w:tab w:val="right" w:pos="9360"/>
      </w:tabs>
    </w:pPr>
  </w:style>
  <w:style w:type="character" w:customStyle="1" w:styleId="HeaderChar">
    <w:name w:val="Header Char"/>
    <w:basedOn w:val="DefaultParagraphFont"/>
    <w:link w:val="Header"/>
    <w:uiPriority w:val="99"/>
    <w:semiHidden/>
    <w:locked/>
    <w:rsid w:val="00A956A9"/>
    <w:rPr>
      <w:rFonts w:ascii="Times New Roman" w:hAnsi="Times New Roman" w:cs="Times New Roman"/>
      <w:kern w:val="28"/>
      <w:sz w:val="20"/>
      <w:szCs w:val="20"/>
    </w:rPr>
  </w:style>
  <w:style w:type="paragraph" w:styleId="Footer">
    <w:name w:val="footer"/>
    <w:basedOn w:val="Normal"/>
    <w:link w:val="FooterChar"/>
    <w:uiPriority w:val="99"/>
    <w:rsid w:val="00A956A9"/>
    <w:pPr>
      <w:tabs>
        <w:tab w:val="center" w:pos="4680"/>
        <w:tab w:val="right" w:pos="9360"/>
      </w:tabs>
    </w:pPr>
  </w:style>
  <w:style w:type="character" w:customStyle="1" w:styleId="FooterChar">
    <w:name w:val="Footer Char"/>
    <w:basedOn w:val="DefaultParagraphFont"/>
    <w:link w:val="Footer"/>
    <w:uiPriority w:val="99"/>
    <w:locked/>
    <w:rsid w:val="00A956A9"/>
    <w:rPr>
      <w:rFonts w:ascii="Times New Roman" w:hAnsi="Times New Roman" w:cs="Times New Roman"/>
      <w:kern w:val="28"/>
      <w:sz w:val="20"/>
      <w:szCs w:val="20"/>
    </w:rPr>
  </w:style>
  <w:style w:type="character" w:styleId="FootnoteReference">
    <w:name w:val="footnote reference"/>
    <w:basedOn w:val="DefaultParagraphFont"/>
    <w:uiPriority w:val="99"/>
    <w:semiHidden/>
    <w:rsid w:val="0065498B"/>
    <w:rPr>
      <w:rFonts w:cs="Times New Roman"/>
      <w:vertAlign w:val="superscript"/>
    </w:rPr>
  </w:style>
  <w:style w:type="paragraph" w:styleId="NoSpacing">
    <w:name w:val="No Spacing"/>
    <w:link w:val="NoSpacingChar"/>
    <w:uiPriority w:val="99"/>
    <w:qFormat/>
    <w:rsid w:val="00193F4B"/>
    <w:rPr>
      <w:sz w:val="22"/>
      <w:szCs w:val="22"/>
      <w:lang w:eastAsia="en-US"/>
    </w:rPr>
  </w:style>
  <w:style w:type="character" w:customStyle="1" w:styleId="NoSpacingChar">
    <w:name w:val="No Spacing Char"/>
    <w:basedOn w:val="DefaultParagraphFont"/>
    <w:link w:val="NoSpacing"/>
    <w:uiPriority w:val="99"/>
    <w:locked/>
    <w:rsid w:val="00193F4B"/>
    <w:rPr>
      <w:sz w:val="22"/>
      <w:szCs w:val="22"/>
      <w:lang w:val="en-US" w:eastAsia="en-US" w:bidi="ar-SA"/>
    </w:rPr>
  </w:style>
  <w:style w:type="paragraph" w:styleId="BalloonText">
    <w:name w:val="Balloon Text"/>
    <w:basedOn w:val="Normal"/>
    <w:link w:val="BalloonTextChar"/>
    <w:uiPriority w:val="99"/>
    <w:semiHidden/>
    <w:rsid w:val="00193F4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93F4B"/>
    <w:rPr>
      <w:rFonts w:ascii="Tahoma" w:hAnsi="Tahoma" w:cs="Tahoma"/>
      <w:kern w:val="28"/>
      <w:sz w:val="16"/>
      <w:szCs w:val="16"/>
    </w:rPr>
  </w:style>
  <w:style w:type="character" w:styleId="Hyperlink">
    <w:name w:val="Hyperlink"/>
    <w:basedOn w:val="DefaultParagraphFont"/>
    <w:uiPriority w:val="99"/>
    <w:rsid w:val="00193F4B"/>
    <w:rPr>
      <w:rFonts w:cs="Times New Roman"/>
      <w:color w:val="0000FF"/>
      <w:u w:val="single"/>
    </w:rPr>
  </w:style>
  <w:style w:type="character" w:styleId="CommentReference">
    <w:name w:val="annotation reference"/>
    <w:basedOn w:val="DefaultParagraphFont"/>
    <w:uiPriority w:val="99"/>
    <w:semiHidden/>
    <w:rsid w:val="002126EE"/>
    <w:rPr>
      <w:rFonts w:cs="Times New Roman"/>
      <w:sz w:val="16"/>
      <w:szCs w:val="16"/>
    </w:rPr>
  </w:style>
  <w:style w:type="paragraph" w:styleId="CommentText">
    <w:name w:val="annotation text"/>
    <w:basedOn w:val="Normal"/>
    <w:link w:val="CommentTextChar"/>
    <w:uiPriority w:val="99"/>
    <w:semiHidden/>
    <w:rsid w:val="002126EE"/>
  </w:style>
  <w:style w:type="character" w:customStyle="1" w:styleId="CommentTextChar">
    <w:name w:val="Comment Text Char"/>
    <w:basedOn w:val="DefaultParagraphFont"/>
    <w:link w:val="CommentText"/>
    <w:uiPriority w:val="99"/>
    <w:semiHidden/>
    <w:locked/>
    <w:rsid w:val="002126EE"/>
    <w:rPr>
      <w:rFonts w:ascii="Times New Roman" w:hAnsi="Times New Roman" w:cs="Times New Roman"/>
      <w:kern w:val="28"/>
      <w:sz w:val="20"/>
      <w:szCs w:val="20"/>
    </w:rPr>
  </w:style>
  <w:style w:type="paragraph" w:styleId="CommentSubject">
    <w:name w:val="annotation subject"/>
    <w:basedOn w:val="CommentText"/>
    <w:next w:val="CommentText"/>
    <w:link w:val="CommentSubjectChar"/>
    <w:uiPriority w:val="99"/>
    <w:semiHidden/>
    <w:rsid w:val="002126EE"/>
    <w:rPr>
      <w:b/>
      <w:bCs/>
    </w:rPr>
  </w:style>
  <w:style w:type="character" w:customStyle="1" w:styleId="CommentSubjectChar">
    <w:name w:val="Comment Subject Char"/>
    <w:basedOn w:val="CommentTextChar"/>
    <w:link w:val="CommentSubject"/>
    <w:uiPriority w:val="99"/>
    <w:semiHidden/>
    <w:locked/>
    <w:rsid w:val="002126EE"/>
    <w:rPr>
      <w:rFonts w:ascii="Times New Roman" w:hAnsi="Times New Roman" w:cs="Times New Roman"/>
      <w:b/>
      <w:bCs/>
      <w:kern w:val="28"/>
      <w:sz w:val="20"/>
      <w:szCs w:val="20"/>
    </w:rPr>
  </w:style>
  <w:style w:type="paragraph" w:styleId="HTMLPreformatted">
    <w:name w:val="HTML Preformatted"/>
    <w:basedOn w:val="Normal"/>
    <w:link w:val="HTMLPreformattedChar"/>
    <w:uiPriority w:val="99"/>
    <w:semiHidden/>
    <w:unhideWhenUsed/>
    <w:rsid w:val="00991028"/>
    <w:rPr>
      <w:rFonts w:ascii="Consolas" w:hAnsi="Consolas"/>
    </w:rPr>
  </w:style>
  <w:style w:type="character" w:customStyle="1" w:styleId="HTMLPreformattedChar">
    <w:name w:val="HTML Preformatted Char"/>
    <w:basedOn w:val="DefaultParagraphFont"/>
    <w:link w:val="HTMLPreformatted"/>
    <w:uiPriority w:val="99"/>
    <w:semiHidden/>
    <w:rsid w:val="00991028"/>
    <w:rPr>
      <w:rFonts w:ascii="Consolas" w:hAnsi="Consolas"/>
      <w:kern w:val="28"/>
    </w:rPr>
  </w:style>
  <w:style w:type="paragraph" w:customStyle="1" w:styleId="Default">
    <w:name w:val="Default"/>
    <w:rsid w:val="00523124"/>
    <w:pPr>
      <w:autoSpaceDE w:val="0"/>
      <w:autoSpaceDN w:val="0"/>
      <w:adjustRightInd w:val="0"/>
    </w:pPr>
    <w:rPr>
      <w:rFonts w:ascii="Times New Roman" w:hAnsi="Times New Roman"/>
      <w:color w:val="000000"/>
      <w:sz w:val="24"/>
      <w:szCs w:val="24"/>
    </w:rPr>
  </w:style>
  <w:style w:type="paragraph" w:styleId="Caption">
    <w:name w:val="caption"/>
    <w:basedOn w:val="Normal"/>
    <w:next w:val="Normal"/>
    <w:unhideWhenUsed/>
    <w:qFormat/>
    <w:locked/>
    <w:rsid w:val="00CA4BA8"/>
    <w:pPr>
      <w:spacing w:after="200"/>
    </w:pPr>
    <w:rPr>
      <w:b/>
      <w:bCs/>
      <w:color w:val="4F81BD" w:themeColor="accent1"/>
      <w:sz w:val="18"/>
      <w:szCs w:val="18"/>
    </w:rPr>
  </w:style>
  <w:style w:type="paragraph" w:styleId="BlockText">
    <w:name w:val="Block Text"/>
    <w:basedOn w:val="Normal"/>
    <w:semiHidden/>
    <w:rsid w:val="000E1957"/>
    <w:pPr>
      <w:widowControl/>
      <w:overflowPunct/>
      <w:autoSpaceDE/>
      <w:autoSpaceDN/>
      <w:adjustRightInd/>
      <w:spacing w:before="240" w:line="480" w:lineRule="auto"/>
      <w:ind w:left="720" w:right="720"/>
      <w:jc w:val="center"/>
    </w:pPr>
    <w:rPr>
      <w:rFonts w:ascii="Times" w:eastAsia="Times" w:hAnsi="Times"/>
      <w:b/>
      <w:kern w:val="0"/>
      <w:sz w:val="24"/>
      <w:lang w:eastAsia="en-US"/>
    </w:rPr>
  </w:style>
  <w:style w:type="paragraph" w:styleId="BodyText2">
    <w:name w:val="Body Text 2"/>
    <w:basedOn w:val="Normal"/>
    <w:link w:val="BodyText2Char"/>
    <w:semiHidden/>
    <w:rsid w:val="000E1957"/>
    <w:pPr>
      <w:widowControl/>
      <w:overflowPunct/>
      <w:autoSpaceDE/>
      <w:autoSpaceDN/>
      <w:adjustRightInd/>
      <w:jc w:val="both"/>
    </w:pPr>
    <w:rPr>
      <w:rFonts w:ascii="Times" w:eastAsia="Times" w:hAnsi="Times"/>
      <w:kern w:val="0"/>
      <w:sz w:val="24"/>
      <w:lang w:eastAsia="en-US"/>
    </w:rPr>
  </w:style>
  <w:style w:type="character" w:customStyle="1" w:styleId="BodyText2Char">
    <w:name w:val="Body Text 2 Char"/>
    <w:basedOn w:val="DefaultParagraphFont"/>
    <w:link w:val="BodyText2"/>
    <w:semiHidden/>
    <w:rsid w:val="000E1957"/>
    <w:rPr>
      <w:rFonts w:ascii="Times" w:eastAsia="Times" w:hAnsi="Times"/>
      <w:sz w:val="24"/>
      <w:lang w:eastAsia="en-US"/>
    </w:rPr>
  </w:style>
  <w:style w:type="character" w:customStyle="1" w:styleId="Heading1Char">
    <w:name w:val="Heading 1 Char"/>
    <w:basedOn w:val="DefaultParagraphFont"/>
    <w:link w:val="Heading1"/>
    <w:rsid w:val="000E1957"/>
    <w:rPr>
      <w:rFonts w:ascii="Times" w:eastAsia="Times" w:hAnsi="Times"/>
      <w:b/>
      <w:sz w:val="24"/>
      <w:lang w:eastAsia="en-US"/>
    </w:rPr>
  </w:style>
  <w:style w:type="character" w:customStyle="1" w:styleId="Heading4Char">
    <w:name w:val="Heading 4 Char"/>
    <w:basedOn w:val="DefaultParagraphFont"/>
    <w:link w:val="Heading4"/>
    <w:rsid w:val="00FC5498"/>
    <w:rPr>
      <w:rFonts w:ascii="Times" w:eastAsia="Times" w:hAnsi="Times"/>
      <w:b/>
      <w:lang w:eastAsia="en-US"/>
    </w:rPr>
  </w:style>
  <w:style w:type="character" w:customStyle="1" w:styleId="f">
    <w:name w:val="f"/>
    <w:basedOn w:val="DefaultParagraphFont"/>
    <w:rsid w:val="00137117"/>
  </w:style>
  <w:style w:type="character" w:styleId="PlaceholderText">
    <w:name w:val="Placeholder Text"/>
    <w:basedOn w:val="DefaultParagraphFont"/>
    <w:uiPriority w:val="99"/>
    <w:semiHidden/>
    <w:rsid w:val="00C81458"/>
    <w:rPr>
      <w:color w:val="808080"/>
    </w:rPr>
  </w:style>
  <w:style w:type="character" w:customStyle="1" w:styleId="apple-style-span">
    <w:name w:val="apple-style-span"/>
    <w:basedOn w:val="DefaultParagraphFont"/>
    <w:rsid w:val="006A6A87"/>
  </w:style>
  <w:style w:type="character" w:customStyle="1" w:styleId="apple-converted-space">
    <w:name w:val="apple-converted-space"/>
    <w:basedOn w:val="DefaultParagraphFont"/>
    <w:rsid w:val="006A6A87"/>
  </w:style>
  <w:style w:type="character" w:customStyle="1" w:styleId="Heading2Char">
    <w:name w:val="Heading 2 Char"/>
    <w:basedOn w:val="DefaultParagraphFont"/>
    <w:link w:val="Heading2"/>
    <w:rsid w:val="00B45E58"/>
    <w:rPr>
      <w:rFonts w:ascii="Times New Roman" w:eastAsiaTheme="majorEastAsia" w:hAnsi="Times New Roman" w:cstheme="majorBidi"/>
      <w:b/>
      <w:bCs/>
      <w:color w:val="000000" w:themeColor="text1"/>
      <w:kern w:val="28"/>
      <w:sz w:val="24"/>
      <w:szCs w:val="26"/>
    </w:rPr>
  </w:style>
  <w:style w:type="character" w:customStyle="1" w:styleId="Heading3Char">
    <w:name w:val="Heading 3 Char"/>
    <w:basedOn w:val="DefaultParagraphFont"/>
    <w:link w:val="Heading3"/>
    <w:rsid w:val="002C129E"/>
    <w:rPr>
      <w:rFonts w:asciiTheme="majorHAnsi" w:eastAsiaTheme="majorEastAsia" w:hAnsiTheme="majorHAnsi" w:cstheme="majorBidi"/>
      <w:b/>
      <w:bCs/>
      <w:color w:val="4F81BD" w:themeColor="accent1"/>
      <w:kern w:val="28"/>
    </w:rPr>
  </w:style>
  <w:style w:type="character" w:customStyle="1" w:styleId="freeaccess">
    <w:name w:val="freeaccess"/>
    <w:basedOn w:val="DefaultParagraphFont"/>
    <w:rsid w:val="002C129E"/>
  </w:style>
  <w:style w:type="paragraph" w:styleId="NormalWeb">
    <w:name w:val="Normal (Web)"/>
    <w:basedOn w:val="Normal"/>
    <w:uiPriority w:val="99"/>
    <w:semiHidden/>
    <w:unhideWhenUsed/>
    <w:rsid w:val="002C129E"/>
    <w:pPr>
      <w:widowControl/>
      <w:overflowPunct/>
      <w:autoSpaceDE/>
      <w:autoSpaceDN/>
      <w:adjustRightInd/>
      <w:spacing w:before="100" w:beforeAutospacing="1" w:after="100" w:afterAutospacing="1"/>
    </w:pPr>
    <w:rPr>
      <w:rFonts w:eastAsia="Times New Roman"/>
      <w:kern w:val="0"/>
      <w:sz w:val="24"/>
      <w:szCs w:val="24"/>
      <w:lang w:eastAsia="en-US"/>
    </w:rPr>
  </w:style>
  <w:style w:type="paragraph" w:customStyle="1" w:styleId="copyright">
    <w:name w:val="copyright"/>
    <w:basedOn w:val="Normal"/>
    <w:rsid w:val="002C129E"/>
    <w:pPr>
      <w:widowControl/>
      <w:overflowPunct/>
      <w:autoSpaceDE/>
      <w:autoSpaceDN/>
      <w:adjustRightInd/>
      <w:spacing w:before="100" w:beforeAutospacing="1" w:after="100" w:afterAutospacing="1"/>
    </w:pPr>
    <w:rPr>
      <w:rFonts w:eastAsia="Times New Roman"/>
      <w:kern w:val="0"/>
      <w:sz w:val="24"/>
      <w:szCs w:val="24"/>
      <w:lang w:eastAsia="en-US"/>
    </w:rPr>
  </w:style>
  <w:style w:type="paragraph" w:customStyle="1" w:styleId="articlecategory">
    <w:name w:val="articlecategory"/>
    <w:basedOn w:val="Normal"/>
    <w:rsid w:val="002C129E"/>
    <w:pPr>
      <w:widowControl/>
      <w:overflowPunct/>
      <w:autoSpaceDE/>
      <w:autoSpaceDN/>
      <w:adjustRightInd/>
      <w:spacing w:before="100" w:beforeAutospacing="1" w:after="100" w:afterAutospacing="1"/>
    </w:pPr>
    <w:rPr>
      <w:rFonts w:eastAsia="Times New Roman"/>
      <w:kern w:val="0"/>
      <w:sz w:val="24"/>
      <w:szCs w:val="24"/>
      <w:lang w:eastAsia="en-US"/>
    </w:rPr>
  </w:style>
  <w:style w:type="paragraph" w:customStyle="1" w:styleId="articledetails">
    <w:name w:val="articledetails"/>
    <w:basedOn w:val="Normal"/>
    <w:rsid w:val="002C129E"/>
    <w:pPr>
      <w:widowControl/>
      <w:overflowPunct/>
      <w:autoSpaceDE/>
      <w:autoSpaceDN/>
      <w:adjustRightInd/>
      <w:spacing w:before="100" w:beforeAutospacing="1" w:after="100" w:afterAutospacing="1"/>
    </w:pPr>
    <w:rPr>
      <w:rFonts w:eastAsia="Times New Roman"/>
      <w:kern w:val="0"/>
      <w:sz w:val="24"/>
      <w:szCs w:val="24"/>
      <w:lang w:eastAsia="en-US"/>
    </w:rPr>
  </w:style>
  <w:style w:type="character" w:customStyle="1" w:styleId="searchword">
    <w:name w:val="searchword"/>
    <w:basedOn w:val="DefaultParagraphFont"/>
    <w:rsid w:val="002C129E"/>
  </w:style>
  <w:style w:type="paragraph" w:styleId="Revision">
    <w:name w:val="Revision"/>
    <w:hidden/>
    <w:uiPriority w:val="99"/>
    <w:semiHidden/>
    <w:rsid w:val="00ED7277"/>
    <w:rPr>
      <w:rFonts w:ascii="Times New Roman" w:hAnsi="Times New Roman"/>
      <w:kern w:val="28"/>
    </w:rPr>
  </w:style>
  <w:style w:type="character" w:styleId="HTMLCite">
    <w:name w:val="HTML Cite"/>
    <w:basedOn w:val="DefaultParagraphFont"/>
    <w:uiPriority w:val="99"/>
    <w:semiHidden/>
    <w:unhideWhenUsed/>
    <w:rsid w:val="00295904"/>
    <w:rPr>
      <w:i/>
      <w:iCs/>
    </w:rPr>
  </w:style>
  <w:style w:type="character" w:styleId="Emphasis">
    <w:name w:val="Emphasis"/>
    <w:basedOn w:val="DefaultParagraphFont"/>
    <w:uiPriority w:val="20"/>
    <w:qFormat/>
    <w:locked/>
    <w:rsid w:val="00E1207E"/>
    <w:rPr>
      <w:i/>
      <w:iCs/>
    </w:rPr>
  </w:style>
  <w:style w:type="character" w:customStyle="1" w:styleId="MathematicaFormatStandardForm">
    <w:name w:val="MathematicaFormatStandardForm"/>
    <w:uiPriority w:val="99"/>
    <w:rsid w:val="000114D1"/>
    <w:rPr>
      <w:rFonts w:ascii="Courier" w:hAnsi="Courier" w:cs="Courier"/>
    </w:rPr>
  </w:style>
  <w:style w:type="paragraph" w:customStyle="1" w:styleId="citation">
    <w:name w:val="citation"/>
    <w:basedOn w:val="Normal"/>
    <w:rsid w:val="00F8670A"/>
    <w:pPr>
      <w:widowControl/>
      <w:overflowPunct/>
      <w:autoSpaceDE/>
      <w:autoSpaceDN/>
      <w:adjustRightInd/>
      <w:spacing w:before="100" w:beforeAutospacing="1" w:after="100" w:afterAutospacing="1"/>
    </w:pPr>
    <w:rPr>
      <w:rFonts w:eastAsia="Times New Roman"/>
      <w:kern w:val="0"/>
      <w:sz w:val="24"/>
      <w:szCs w:val="24"/>
      <w:lang w:eastAsia="en-US"/>
    </w:rPr>
  </w:style>
  <w:style w:type="character" w:customStyle="1" w:styleId="author">
    <w:name w:val="author"/>
    <w:basedOn w:val="DefaultParagraphFont"/>
    <w:rsid w:val="00F8670A"/>
  </w:style>
  <w:style w:type="character" w:styleId="Strong">
    <w:name w:val="Strong"/>
    <w:basedOn w:val="DefaultParagraphFont"/>
    <w:uiPriority w:val="22"/>
    <w:qFormat/>
    <w:locked/>
    <w:rsid w:val="00F8670A"/>
    <w:rPr>
      <w:b/>
      <w:bCs/>
    </w:rPr>
  </w:style>
  <w:style w:type="paragraph" w:customStyle="1" w:styleId="Subtitle1">
    <w:name w:val="Subtitle1"/>
    <w:basedOn w:val="Normal"/>
    <w:link w:val="subtitleChar"/>
    <w:qFormat/>
    <w:rsid w:val="008176E7"/>
    <w:pPr>
      <w:keepNext/>
      <w:widowControl/>
      <w:overflowPunct/>
      <w:autoSpaceDE/>
      <w:autoSpaceDN/>
      <w:adjustRightInd/>
      <w:spacing w:line="480" w:lineRule="auto"/>
    </w:pPr>
    <w:rPr>
      <w:rFonts w:eastAsia="Times"/>
      <w:b/>
      <w:kern w:val="0"/>
      <w:sz w:val="24"/>
      <w:lang w:eastAsia="en-US"/>
    </w:rPr>
  </w:style>
  <w:style w:type="paragraph" w:customStyle="1" w:styleId="Title1">
    <w:name w:val="Title1"/>
    <w:basedOn w:val="BodyText2"/>
    <w:link w:val="titleChar"/>
    <w:qFormat/>
    <w:rsid w:val="008176E7"/>
    <w:pPr>
      <w:tabs>
        <w:tab w:val="left" w:pos="720"/>
      </w:tabs>
      <w:spacing w:before="120" w:after="200" w:line="480" w:lineRule="auto"/>
      <w:jc w:val="center"/>
    </w:pPr>
    <w:rPr>
      <w:rFonts w:ascii="Times New Roman" w:hAnsi="Times New Roman"/>
      <w:b/>
    </w:rPr>
  </w:style>
  <w:style w:type="character" w:customStyle="1" w:styleId="subtitleChar">
    <w:name w:val="subtitle Char"/>
    <w:basedOn w:val="DefaultParagraphFont"/>
    <w:link w:val="Subtitle1"/>
    <w:rsid w:val="008176E7"/>
    <w:rPr>
      <w:rFonts w:ascii="Times New Roman" w:eastAsia="Times" w:hAnsi="Times New Roman"/>
      <w:b/>
      <w:sz w:val="24"/>
      <w:lang w:eastAsia="en-US"/>
    </w:rPr>
  </w:style>
  <w:style w:type="paragraph" w:styleId="TOC1">
    <w:name w:val="toc 1"/>
    <w:basedOn w:val="Normal"/>
    <w:next w:val="Normal"/>
    <w:autoRedefine/>
    <w:uiPriority w:val="39"/>
    <w:qFormat/>
    <w:locked/>
    <w:rsid w:val="001F01F7"/>
    <w:pPr>
      <w:spacing w:after="200"/>
      <w:jc w:val="center"/>
    </w:pPr>
    <w:rPr>
      <w:b/>
      <w:bCs/>
      <w:caps/>
      <w:sz w:val="24"/>
      <w:szCs w:val="24"/>
    </w:rPr>
  </w:style>
  <w:style w:type="character" w:customStyle="1" w:styleId="titleChar">
    <w:name w:val="title Char"/>
    <w:basedOn w:val="BodyText2Char"/>
    <w:link w:val="Title1"/>
    <w:rsid w:val="008176E7"/>
    <w:rPr>
      <w:rFonts w:ascii="Times New Roman" w:eastAsia="Times" w:hAnsi="Times New Roman"/>
      <w:b/>
      <w:sz w:val="24"/>
      <w:lang w:eastAsia="en-US"/>
    </w:rPr>
  </w:style>
  <w:style w:type="paragraph" w:styleId="TOCHeading">
    <w:name w:val="TOC Heading"/>
    <w:basedOn w:val="Heading1"/>
    <w:next w:val="Normal"/>
    <w:uiPriority w:val="39"/>
    <w:unhideWhenUsed/>
    <w:qFormat/>
    <w:rsid w:val="003B29E2"/>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2">
    <w:name w:val="toc 2"/>
    <w:basedOn w:val="Normal"/>
    <w:next w:val="Normal"/>
    <w:autoRedefine/>
    <w:uiPriority w:val="39"/>
    <w:qFormat/>
    <w:locked/>
    <w:rsid w:val="0046713E"/>
    <w:pPr>
      <w:ind w:left="200"/>
    </w:pPr>
    <w:rPr>
      <w:rFonts w:asciiTheme="minorHAnsi" w:hAnsiTheme="minorHAnsi"/>
      <w:smallCaps/>
    </w:rPr>
  </w:style>
  <w:style w:type="paragraph" w:styleId="TOC3">
    <w:name w:val="toc 3"/>
    <w:basedOn w:val="Normal"/>
    <w:next w:val="Normal"/>
    <w:autoRedefine/>
    <w:uiPriority w:val="39"/>
    <w:unhideWhenUsed/>
    <w:qFormat/>
    <w:locked/>
    <w:rsid w:val="00DF0E0F"/>
    <w:pPr>
      <w:tabs>
        <w:tab w:val="right" w:leader="dot" w:pos="8153"/>
      </w:tabs>
      <w:ind w:left="400" w:hanging="220"/>
    </w:pPr>
    <w:rPr>
      <w:iCs/>
      <w:noProof/>
      <w:sz w:val="24"/>
      <w:szCs w:val="24"/>
    </w:rPr>
  </w:style>
  <w:style w:type="paragraph" w:styleId="TOC4">
    <w:name w:val="toc 4"/>
    <w:basedOn w:val="Normal"/>
    <w:next w:val="Normal"/>
    <w:autoRedefine/>
    <w:uiPriority w:val="39"/>
    <w:locked/>
    <w:rsid w:val="00FC5498"/>
    <w:pPr>
      <w:ind w:left="600"/>
    </w:pPr>
    <w:rPr>
      <w:rFonts w:asciiTheme="minorHAnsi" w:hAnsiTheme="minorHAnsi"/>
      <w:sz w:val="18"/>
      <w:szCs w:val="18"/>
    </w:rPr>
  </w:style>
  <w:style w:type="paragraph" w:styleId="TOC5">
    <w:name w:val="toc 5"/>
    <w:basedOn w:val="Normal"/>
    <w:next w:val="Normal"/>
    <w:autoRedefine/>
    <w:locked/>
    <w:rsid w:val="00FC5498"/>
    <w:pPr>
      <w:ind w:left="800"/>
    </w:pPr>
    <w:rPr>
      <w:rFonts w:asciiTheme="minorHAnsi" w:hAnsiTheme="minorHAnsi"/>
      <w:sz w:val="18"/>
      <w:szCs w:val="18"/>
    </w:rPr>
  </w:style>
  <w:style w:type="paragraph" w:styleId="TOC6">
    <w:name w:val="toc 6"/>
    <w:basedOn w:val="Normal"/>
    <w:next w:val="Normal"/>
    <w:autoRedefine/>
    <w:locked/>
    <w:rsid w:val="00FC5498"/>
    <w:pPr>
      <w:ind w:left="1000"/>
    </w:pPr>
    <w:rPr>
      <w:rFonts w:asciiTheme="minorHAnsi" w:hAnsiTheme="minorHAnsi"/>
      <w:sz w:val="18"/>
      <w:szCs w:val="18"/>
    </w:rPr>
  </w:style>
  <w:style w:type="paragraph" w:styleId="TOC7">
    <w:name w:val="toc 7"/>
    <w:basedOn w:val="Normal"/>
    <w:next w:val="Normal"/>
    <w:autoRedefine/>
    <w:locked/>
    <w:rsid w:val="00FC5498"/>
    <w:pPr>
      <w:ind w:left="1200"/>
    </w:pPr>
    <w:rPr>
      <w:rFonts w:asciiTheme="minorHAnsi" w:hAnsiTheme="minorHAnsi"/>
      <w:sz w:val="18"/>
      <w:szCs w:val="18"/>
    </w:rPr>
  </w:style>
  <w:style w:type="paragraph" w:styleId="TOC8">
    <w:name w:val="toc 8"/>
    <w:basedOn w:val="Normal"/>
    <w:next w:val="Normal"/>
    <w:autoRedefine/>
    <w:locked/>
    <w:rsid w:val="00FC5498"/>
    <w:pPr>
      <w:ind w:left="1400"/>
    </w:pPr>
    <w:rPr>
      <w:rFonts w:asciiTheme="minorHAnsi" w:hAnsiTheme="minorHAnsi"/>
      <w:sz w:val="18"/>
      <w:szCs w:val="18"/>
    </w:rPr>
  </w:style>
  <w:style w:type="paragraph" w:styleId="TOC9">
    <w:name w:val="toc 9"/>
    <w:basedOn w:val="Normal"/>
    <w:next w:val="Normal"/>
    <w:autoRedefine/>
    <w:locked/>
    <w:rsid w:val="00FC5498"/>
    <w:pPr>
      <w:ind w:left="1600"/>
    </w:pPr>
    <w:rPr>
      <w:rFonts w:asciiTheme="minorHAnsi" w:hAnsiTheme="minorHAns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39"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Block Text" w:uiPriority="0"/>
    <w:lsdException w:name="Strong" w:locked="1" w:semiHidden="0" w:uiPriority="22" w:unhideWhenUsed="0" w:qFormat="1"/>
    <w:lsdException w:name="Emphasis" w:locked="1" w:semiHidden="0" w:uiPriority="2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551"/>
    <w:pPr>
      <w:widowControl w:val="0"/>
      <w:overflowPunct w:val="0"/>
      <w:autoSpaceDE w:val="0"/>
      <w:autoSpaceDN w:val="0"/>
      <w:adjustRightInd w:val="0"/>
    </w:pPr>
    <w:rPr>
      <w:rFonts w:ascii="Times New Roman" w:hAnsi="Times New Roman"/>
      <w:kern w:val="28"/>
    </w:rPr>
  </w:style>
  <w:style w:type="paragraph" w:styleId="Heading1">
    <w:name w:val="heading 1"/>
    <w:basedOn w:val="Normal"/>
    <w:next w:val="Normal"/>
    <w:link w:val="Heading1Char"/>
    <w:qFormat/>
    <w:locked/>
    <w:rsid w:val="000E1957"/>
    <w:pPr>
      <w:keepNext/>
      <w:widowControl/>
      <w:overflowPunct/>
      <w:autoSpaceDE/>
      <w:autoSpaceDN/>
      <w:adjustRightInd/>
      <w:spacing w:line="240" w:lineRule="exact"/>
      <w:jc w:val="center"/>
      <w:outlineLvl w:val="0"/>
    </w:pPr>
    <w:rPr>
      <w:rFonts w:ascii="Times" w:eastAsia="Times" w:hAnsi="Times"/>
      <w:b/>
      <w:kern w:val="0"/>
      <w:sz w:val="24"/>
      <w:lang w:eastAsia="en-US"/>
    </w:rPr>
  </w:style>
  <w:style w:type="paragraph" w:styleId="Heading2">
    <w:name w:val="heading 2"/>
    <w:basedOn w:val="Normal"/>
    <w:next w:val="Normal"/>
    <w:link w:val="Heading2Char"/>
    <w:unhideWhenUsed/>
    <w:qFormat/>
    <w:locked/>
    <w:rsid w:val="00B45E58"/>
    <w:pPr>
      <w:keepNext/>
      <w:keepLines/>
      <w:spacing w:before="20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nhideWhenUsed/>
    <w:qFormat/>
    <w:locked/>
    <w:rsid w:val="002C129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locked/>
    <w:rsid w:val="00FC5498"/>
    <w:pPr>
      <w:keepNext/>
      <w:widowControl/>
      <w:overflowPunct/>
      <w:autoSpaceDE/>
      <w:autoSpaceDN/>
      <w:adjustRightInd/>
      <w:jc w:val="center"/>
      <w:outlineLvl w:val="3"/>
    </w:pPr>
    <w:rPr>
      <w:rFonts w:ascii="Times" w:eastAsia="Times" w:hAnsi="Times"/>
      <w:b/>
      <w:kern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956A9"/>
    <w:pPr>
      <w:ind w:left="720"/>
      <w:contextualSpacing/>
    </w:pPr>
  </w:style>
  <w:style w:type="table" w:styleId="TableGrid">
    <w:name w:val="Table Grid"/>
    <w:basedOn w:val="TableNormal"/>
    <w:uiPriority w:val="99"/>
    <w:rsid w:val="00A956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
    <w:name w:val="Light Shading1"/>
    <w:uiPriority w:val="99"/>
    <w:rsid w:val="00A956A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DecimalAligned">
    <w:name w:val="Decimal Aligned"/>
    <w:basedOn w:val="Normal"/>
    <w:uiPriority w:val="99"/>
    <w:rsid w:val="00A956A9"/>
    <w:pPr>
      <w:widowControl/>
      <w:tabs>
        <w:tab w:val="decimal" w:pos="360"/>
      </w:tabs>
      <w:overflowPunct/>
      <w:autoSpaceDE/>
      <w:autoSpaceDN/>
      <w:adjustRightInd/>
      <w:spacing w:after="200" w:line="276" w:lineRule="auto"/>
    </w:pPr>
    <w:rPr>
      <w:rFonts w:ascii="Calibri" w:hAnsi="Calibri"/>
      <w:kern w:val="0"/>
      <w:sz w:val="22"/>
      <w:szCs w:val="22"/>
      <w:lang w:eastAsia="en-US"/>
    </w:rPr>
  </w:style>
  <w:style w:type="paragraph" w:styleId="FootnoteText">
    <w:name w:val="footnote text"/>
    <w:basedOn w:val="Normal"/>
    <w:link w:val="FootnoteTextChar"/>
    <w:uiPriority w:val="99"/>
    <w:rsid w:val="00A956A9"/>
    <w:pPr>
      <w:widowControl/>
      <w:overflowPunct/>
      <w:autoSpaceDE/>
      <w:autoSpaceDN/>
      <w:adjustRightInd/>
    </w:pPr>
    <w:rPr>
      <w:rFonts w:ascii="Calibri" w:hAnsi="Calibri"/>
      <w:kern w:val="0"/>
      <w:lang w:eastAsia="en-US"/>
    </w:rPr>
  </w:style>
  <w:style w:type="character" w:customStyle="1" w:styleId="FootnoteTextChar">
    <w:name w:val="Footnote Text Char"/>
    <w:basedOn w:val="DefaultParagraphFont"/>
    <w:link w:val="FootnoteText"/>
    <w:uiPriority w:val="99"/>
    <w:locked/>
    <w:rsid w:val="00A956A9"/>
    <w:rPr>
      <w:rFonts w:cs="Times New Roman"/>
      <w:sz w:val="20"/>
      <w:szCs w:val="20"/>
      <w:lang w:eastAsia="en-US"/>
    </w:rPr>
  </w:style>
  <w:style w:type="character" w:styleId="SubtleEmphasis">
    <w:name w:val="Subtle Emphasis"/>
    <w:basedOn w:val="DefaultParagraphFont"/>
    <w:uiPriority w:val="99"/>
    <w:qFormat/>
    <w:rsid w:val="00A956A9"/>
    <w:rPr>
      <w:rFonts w:eastAsia="SimSun" w:cs="Times New Roman"/>
      <w:i/>
      <w:iCs/>
      <w:color w:val="808080"/>
      <w:sz w:val="22"/>
      <w:szCs w:val="22"/>
      <w:lang w:val="en-US"/>
    </w:rPr>
  </w:style>
  <w:style w:type="table" w:customStyle="1" w:styleId="LightShading-Accent11">
    <w:name w:val="Light Shading - Accent 11"/>
    <w:uiPriority w:val="99"/>
    <w:rsid w:val="00A956A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MediumShading2-Accent11">
    <w:name w:val="Medium Shading 2 - Accent 11"/>
    <w:uiPriority w:val="99"/>
    <w:rsid w:val="00A956A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MediumShading2-Accent2">
    <w:name w:val="Medium Shading 2 Accent 2"/>
    <w:basedOn w:val="TableNormal"/>
    <w:uiPriority w:val="99"/>
    <w:rsid w:val="00A956A9"/>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Times New Roman"/>
        <w:b/>
        <w:bCs/>
        <w:color w:val="FFFFFF"/>
      </w:rPr>
      <w:tblPr/>
      <w:tcPr>
        <w:tcBorders>
          <w:left w:val="nil"/>
          <w:right w:val="nil"/>
          <w:insideH w:val="nil"/>
          <w:insideV w:val="nil"/>
        </w:tcBorders>
        <w:shd w:val="clear" w:color="auto" w:fill="C0504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uiPriority w:val="99"/>
    <w:rsid w:val="00A956A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A956A9"/>
    <w:pPr>
      <w:tabs>
        <w:tab w:val="center" w:pos="4680"/>
        <w:tab w:val="right" w:pos="9360"/>
      </w:tabs>
    </w:pPr>
  </w:style>
  <w:style w:type="character" w:customStyle="1" w:styleId="HeaderChar">
    <w:name w:val="Header Char"/>
    <w:basedOn w:val="DefaultParagraphFont"/>
    <w:link w:val="Header"/>
    <w:uiPriority w:val="99"/>
    <w:semiHidden/>
    <w:locked/>
    <w:rsid w:val="00A956A9"/>
    <w:rPr>
      <w:rFonts w:ascii="Times New Roman" w:hAnsi="Times New Roman" w:cs="Times New Roman"/>
      <w:kern w:val="28"/>
      <w:sz w:val="20"/>
      <w:szCs w:val="20"/>
    </w:rPr>
  </w:style>
  <w:style w:type="paragraph" w:styleId="Footer">
    <w:name w:val="footer"/>
    <w:basedOn w:val="Normal"/>
    <w:link w:val="FooterChar"/>
    <w:uiPriority w:val="99"/>
    <w:rsid w:val="00A956A9"/>
    <w:pPr>
      <w:tabs>
        <w:tab w:val="center" w:pos="4680"/>
        <w:tab w:val="right" w:pos="9360"/>
      </w:tabs>
    </w:pPr>
  </w:style>
  <w:style w:type="character" w:customStyle="1" w:styleId="FooterChar">
    <w:name w:val="Footer Char"/>
    <w:basedOn w:val="DefaultParagraphFont"/>
    <w:link w:val="Footer"/>
    <w:uiPriority w:val="99"/>
    <w:locked/>
    <w:rsid w:val="00A956A9"/>
    <w:rPr>
      <w:rFonts w:ascii="Times New Roman" w:hAnsi="Times New Roman" w:cs="Times New Roman"/>
      <w:kern w:val="28"/>
      <w:sz w:val="20"/>
      <w:szCs w:val="20"/>
    </w:rPr>
  </w:style>
  <w:style w:type="character" w:styleId="FootnoteReference">
    <w:name w:val="footnote reference"/>
    <w:basedOn w:val="DefaultParagraphFont"/>
    <w:uiPriority w:val="99"/>
    <w:semiHidden/>
    <w:rsid w:val="0065498B"/>
    <w:rPr>
      <w:rFonts w:cs="Times New Roman"/>
      <w:vertAlign w:val="superscript"/>
    </w:rPr>
  </w:style>
  <w:style w:type="paragraph" w:styleId="NoSpacing">
    <w:name w:val="No Spacing"/>
    <w:link w:val="NoSpacingChar"/>
    <w:uiPriority w:val="99"/>
    <w:qFormat/>
    <w:rsid w:val="00193F4B"/>
    <w:rPr>
      <w:sz w:val="22"/>
      <w:szCs w:val="22"/>
      <w:lang w:eastAsia="en-US"/>
    </w:rPr>
  </w:style>
  <w:style w:type="character" w:customStyle="1" w:styleId="NoSpacingChar">
    <w:name w:val="No Spacing Char"/>
    <w:basedOn w:val="DefaultParagraphFont"/>
    <w:link w:val="NoSpacing"/>
    <w:uiPriority w:val="99"/>
    <w:locked/>
    <w:rsid w:val="00193F4B"/>
    <w:rPr>
      <w:sz w:val="22"/>
      <w:szCs w:val="22"/>
      <w:lang w:val="en-US" w:eastAsia="en-US" w:bidi="ar-SA"/>
    </w:rPr>
  </w:style>
  <w:style w:type="paragraph" w:styleId="BalloonText">
    <w:name w:val="Balloon Text"/>
    <w:basedOn w:val="Normal"/>
    <w:link w:val="BalloonTextChar"/>
    <w:uiPriority w:val="99"/>
    <w:semiHidden/>
    <w:rsid w:val="00193F4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93F4B"/>
    <w:rPr>
      <w:rFonts w:ascii="Tahoma" w:hAnsi="Tahoma" w:cs="Tahoma"/>
      <w:kern w:val="28"/>
      <w:sz w:val="16"/>
      <w:szCs w:val="16"/>
    </w:rPr>
  </w:style>
  <w:style w:type="character" w:styleId="Hyperlink">
    <w:name w:val="Hyperlink"/>
    <w:basedOn w:val="DefaultParagraphFont"/>
    <w:uiPriority w:val="99"/>
    <w:rsid w:val="00193F4B"/>
    <w:rPr>
      <w:rFonts w:cs="Times New Roman"/>
      <w:color w:val="0000FF"/>
      <w:u w:val="single"/>
    </w:rPr>
  </w:style>
  <w:style w:type="character" w:styleId="CommentReference">
    <w:name w:val="annotation reference"/>
    <w:basedOn w:val="DefaultParagraphFont"/>
    <w:uiPriority w:val="99"/>
    <w:semiHidden/>
    <w:rsid w:val="002126EE"/>
    <w:rPr>
      <w:rFonts w:cs="Times New Roman"/>
      <w:sz w:val="16"/>
      <w:szCs w:val="16"/>
    </w:rPr>
  </w:style>
  <w:style w:type="paragraph" w:styleId="CommentText">
    <w:name w:val="annotation text"/>
    <w:basedOn w:val="Normal"/>
    <w:link w:val="CommentTextChar"/>
    <w:uiPriority w:val="99"/>
    <w:semiHidden/>
    <w:rsid w:val="002126EE"/>
  </w:style>
  <w:style w:type="character" w:customStyle="1" w:styleId="CommentTextChar">
    <w:name w:val="Comment Text Char"/>
    <w:basedOn w:val="DefaultParagraphFont"/>
    <w:link w:val="CommentText"/>
    <w:uiPriority w:val="99"/>
    <w:semiHidden/>
    <w:locked/>
    <w:rsid w:val="002126EE"/>
    <w:rPr>
      <w:rFonts w:ascii="Times New Roman" w:hAnsi="Times New Roman" w:cs="Times New Roman"/>
      <w:kern w:val="28"/>
      <w:sz w:val="20"/>
      <w:szCs w:val="20"/>
    </w:rPr>
  </w:style>
  <w:style w:type="paragraph" w:styleId="CommentSubject">
    <w:name w:val="annotation subject"/>
    <w:basedOn w:val="CommentText"/>
    <w:next w:val="CommentText"/>
    <w:link w:val="CommentSubjectChar"/>
    <w:uiPriority w:val="99"/>
    <w:semiHidden/>
    <w:rsid w:val="002126EE"/>
    <w:rPr>
      <w:b/>
      <w:bCs/>
    </w:rPr>
  </w:style>
  <w:style w:type="character" w:customStyle="1" w:styleId="CommentSubjectChar">
    <w:name w:val="Comment Subject Char"/>
    <w:basedOn w:val="CommentTextChar"/>
    <w:link w:val="CommentSubject"/>
    <w:uiPriority w:val="99"/>
    <w:semiHidden/>
    <w:locked/>
    <w:rsid w:val="002126EE"/>
    <w:rPr>
      <w:rFonts w:ascii="Times New Roman" w:hAnsi="Times New Roman" w:cs="Times New Roman"/>
      <w:b/>
      <w:bCs/>
      <w:kern w:val="28"/>
      <w:sz w:val="20"/>
      <w:szCs w:val="20"/>
    </w:rPr>
  </w:style>
  <w:style w:type="paragraph" w:styleId="HTMLPreformatted">
    <w:name w:val="HTML Preformatted"/>
    <w:basedOn w:val="Normal"/>
    <w:link w:val="HTMLPreformattedChar"/>
    <w:uiPriority w:val="99"/>
    <w:semiHidden/>
    <w:unhideWhenUsed/>
    <w:rsid w:val="00991028"/>
    <w:rPr>
      <w:rFonts w:ascii="Consolas" w:hAnsi="Consolas"/>
    </w:rPr>
  </w:style>
  <w:style w:type="character" w:customStyle="1" w:styleId="HTMLPreformattedChar">
    <w:name w:val="HTML Preformatted Char"/>
    <w:basedOn w:val="DefaultParagraphFont"/>
    <w:link w:val="HTMLPreformatted"/>
    <w:uiPriority w:val="99"/>
    <w:semiHidden/>
    <w:rsid w:val="00991028"/>
    <w:rPr>
      <w:rFonts w:ascii="Consolas" w:hAnsi="Consolas"/>
      <w:kern w:val="28"/>
    </w:rPr>
  </w:style>
  <w:style w:type="paragraph" w:customStyle="1" w:styleId="Default">
    <w:name w:val="Default"/>
    <w:rsid w:val="00523124"/>
    <w:pPr>
      <w:autoSpaceDE w:val="0"/>
      <w:autoSpaceDN w:val="0"/>
      <w:adjustRightInd w:val="0"/>
    </w:pPr>
    <w:rPr>
      <w:rFonts w:ascii="Times New Roman" w:hAnsi="Times New Roman"/>
      <w:color w:val="000000"/>
      <w:sz w:val="24"/>
      <w:szCs w:val="24"/>
    </w:rPr>
  </w:style>
  <w:style w:type="paragraph" w:styleId="Caption">
    <w:name w:val="caption"/>
    <w:basedOn w:val="Normal"/>
    <w:next w:val="Normal"/>
    <w:unhideWhenUsed/>
    <w:qFormat/>
    <w:locked/>
    <w:rsid w:val="00CA4BA8"/>
    <w:pPr>
      <w:spacing w:after="200"/>
    </w:pPr>
    <w:rPr>
      <w:b/>
      <w:bCs/>
      <w:color w:val="4F81BD" w:themeColor="accent1"/>
      <w:sz w:val="18"/>
      <w:szCs w:val="18"/>
    </w:rPr>
  </w:style>
  <w:style w:type="paragraph" w:styleId="BlockText">
    <w:name w:val="Block Text"/>
    <w:basedOn w:val="Normal"/>
    <w:semiHidden/>
    <w:rsid w:val="000E1957"/>
    <w:pPr>
      <w:widowControl/>
      <w:overflowPunct/>
      <w:autoSpaceDE/>
      <w:autoSpaceDN/>
      <w:adjustRightInd/>
      <w:spacing w:before="240" w:line="480" w:lineRule="auto"/>
      <w:ind w:left="720" w:right="720"/>
      <w:jc w:val="center"/>
    </w:pPr>
    <w:rPr>
      <w:rFonts w:ascii="Times" w:eastAsia="Times" w:hAnsi="Times"/>
      <w:b/>
      <w:kern w:val="0"/>
      <w:sz w:val="24"/>
      <w:lang w:eastAsia="en-US"/>
    </w:rPr>
  </w:style>
  <w:style w:type="paragraph" w:styleId="BodyText2">
    <w:name w:val="Body Text 2"/>
    <w:basedOn w:val="Normal"/>
    <w:link w:val="BodyText2Char"/>
    <w:semiHidden/>
    <w:rsid w:val="000E1957"/>
    <w:pPr>
      <w:widowControl/>
      <w:overflowPunct/>
      <w:autoSpaceDE/>
      <w:autoSpaceDN/>
      <w:adjustRightInd/>
      <w:jc w:val="both"/>
    </w:pPr>
    <w:rPr>
      <w:rFonts w:ascii="Times" w:eastAsia="Times" w:hAnsi="Times"/>
      <w:kern w:val="0"/>
      <w:sz w:val="24"/>
      <w:lang w:eastAsia="en-US"/>
    </w:rPr>
  </w:style>
  <w:style w:type="character" w:customStyle="1" w:styleId="BodyText2Char">
    <w:name w:val="Body Text 2 Char"/>
    <w:basedOn w:val="DefaultParagraphFont"/>
    <w:link w:val="BodyText2"/>
    <w:semiHidden/>
    <w:rsid w:val="000E1957"/>
    <w:rPr>
      <w:rFonts w:ascii="Times" w:eastAsia="Times" w:hAnsi="Times"/>
      <w:sz w:val="24"/>
      <w:lang w:eastAsia="en-US"/>
    </w:rPr>
  </w:style>
  <w:style w:type="character" w:customStyle="1" w:styleId="Heading1Char">
    <w:name w:val="Heading 1 Char"/>
    <w:basedOn w:val="DefaultParagraphFont"/>
    <w:link w:val="Heading1"/>
    <w:rsid w:val="000E1957"/>
    <w:rPr>
      <w:rFonts w:ascii="Times" w:eastAsia="Times" w:hAnsi="Times"/>
      <w:b/>
      <w:sz w:val="24"/>
      <w:lang w:eastAsia="en-US"/>
    </w:rPr>
  </w:style>
  <w:style w:type="character" w:customStyle="1" w:styleId="Heading4Char">
    <w:name w:val="Heading 4 Char"/>
    <w:basedOn w:val="DefaultParagraphFont"/>
    <w:link w:val="Heading4"/>
    <w:rsid w:val="00FC5498"/>
    <w:rPr>
      <w:rFonts w:ascii="Times" w:eastAsia="Times" w:hAnsi="Times"/>
      <w:b/>
      <w:lang w:eastAsia="en-US"/>
    </w:rPr>
  </w:style>
  <w:style w:type="character" w:customStyle="1" w:styleId="f">
    <w:name w:val="f"/>
    <w:basedOn w:val="DefaultParagraphFont"/>
    <w:rsid w:val="00137117"/>
  </w:style>
  <w:style w:type="character" w:styleId="PlaceholderText">
    <w:name w:val="Placeholder Text"/>
    <w:basedOn w:val="DefaultParagraphFont"/>
    <w:uiPriority w:val="99"/>
    <w:semiHidden/>
    <w:rsid w:val="00C81458"/>
    <w:rPr>
      <w:color w:val="808080"/>
    </w:rPr>
  </w:style>
  <w:style w:type="character" w:customStyle="1" w:styleId="apple-style-span">
    <w:name w:val="apple-style-span"/>
    <w:basedOn w:val="DefaultParagraphFont"/>
    <w:rsid w:val="006A6A87"/>
  </w:style>
  <w:style w:type="character" w:customStyle="1" w:styleId="apple-converted-space">
    <w:name w:val="apple-converted-space"/>
    <w:basedOn w:val="DefaultParagraphFont"/>
    <w:rsid w:val="006A6A87"/>
  </w:style>
  <w:style w:type="character" w:customStyle="1" w:styleId="Heading2Char">
    <w:name w:val="Heading 2 Char"/>
    <w:basedOn w:val="DefaultParagraphFont"/>
    <w:link w:val="Heading2"/>
    <w:rsid w:val="00B45E58"/>
    <w:rPr>
      <w:rFonts w:ascii="Times New Roman" w:eastAsiaTheme="majorEastAsia" w:hAnsi="Times New Roman" w:cstheme="majorBidi"/>
      <w:b/>
      <w:bCs/>
      <w:color w:val="000000" w:themeColor="text1"/>
      <w:kern w:val="28"/>
      <w:sz w:val="24"/>
      <w:szCs w:val="26"/>
    </w:rPr>
  </w:style>
  <w:style w:type="character" w:customStyle="1" w:styleId="Heading3Char">
    <w:name w:val="Heading 3 Char"/>
    <w:basedOn w:val="DefaultParagraphFont"/>
    <w:link w:val="Heading3"/>
    <w:rsid w:val="002C129E"/>
    <w:rPr>
      <w:rFonts w:asciiTheme="majorHAnsi" w:eastAsiaTheme="majorEastAsia" w:hAnsiTheme="majorHAnsi" w:cstheme="majorBidi"/>
      <w:b/>
      <w:bCs/>
      <w:color w:val="4F81BD" w:themeColor="accent1"/>
      <w:kern w:val="28"/>
    </w:rPr>
  </w:style>
  <w:style w:type="character" w:customStyle="1" w:styleId="freeaccess">
    <w:name w:val="freeaccess"/>
    <w:basedOn w:val="DefaultParagraphFont"/>
    <w:rsid w:val="002C129E"/>
  </w:style>
  <w:style w:type="paragraph" w:styleId="NormalWeb">
    <w:name w:val="Normal (Web)"/>
    <w:basedOn w:val="Normal"/>
    <w:uiPriority w:val="99"/>
    <w:semiHidden/>
    <w:unhideWhenUsed/>
    <w:rsid w:val="002C129E"/>
    <w:pPr>
      <w:widowControl/>
      <w:overflowPunct/>
      <w:autoSpaceDE/>
      <w:autoSpaceDN/>
      <w:adjustRightInd/>
      <w:spacing w:before="100" w:beforeAutospacing="1" w:after="100" w:afterAutospacing="1"/>
    </w:pPr>
    <w:rPr>
      <w:rFonts w:eastAsia="Times New Roman"/>
      <w:kern w:val="0"/>
      <w:sz w:val="24"/>
      <w:szCs w:val="24"/>
      <w:lang w:eastAsia="en-US"/>
    </w:rPr>
  </w:style>
  <w:style w:type="paragraph" w:customStyle="1" w:styleId="copyright">
    <w:name w:val="copyright"/>
    <w:basedOn w:val="Normal"/>
    <w:rsid w:val="002C129E"/>
    <w:pPr>
      <w:widowControl/>
      <w:overflowPunct/>
      <w:autoSpaceDE/>
      <w:autoSpaceDN/>
      <w:adjustRightInd/>
      <w:spacing w:before="100" w:beforeAutospacing="1" w:after="100" w:afterAutospacing="1"/>
    </w:pPr>
    <w:rPr>
      <w:rFonts w:eastAsia="Times New Roman"/>
      <w:kern w:val="0"/>
      <w:sz w:val="24"/>
      <w:szCs w:val="24"/>
      <w:lang w:eastAsia="en-US"/>
    </w:rPr>
  </w:style>
  <w:style w:type="paragraph" w:customStyle="1" w:styleId="articlecategory">
    <w:name w:val="articlecategory"/>
    <w:basedOn w:val="Normal"/>
    <w:rsid w:val="002C129E"/>
    <w:pPr>
      <w:widowControl/>
      <w:overflowPunct/>
      <w:autoSpaceDE/>
      <w:autoSpaceDN/>
      <w:adjustRightInd/>
      <w:spacing w:before="100" w:beforeAutospacing="1" w:after="100" w:afterAutospacing="1"/>
    </w:pPr>
    <w:rPr>
      <w:rFonts w:eastAsia="Times New Roman"/>
      <w:kern w:val="0"/>
      <w:sz w:val="24"/>
      <w:szCs w:val="24"/>
      <w:lang w:eastAsia="en-US"/>
    </w:rPr>
  </w:style>
  <w:style w:type="paragraph" w:customStyle="1" w:styleId="articledetails">
    <w:name w:val="articledetails"/>
    <w:basedOn w:val="Normal"/>
    <w:rsid w:val="002C129E"/>
    <w:pPr>
      <w:widowControl/>
      <w:overflowPunct/>
      <w:autoSpaceDE/>
      <w:autoSpaceDN/>
      <w:adjustRightInd/>
      <w:spacing w:before="100" w:beforeAutospacing="1" w:after="100" w:afterAutospacing="1"/>
    </w:pPr>
    <w:rPr>
      <w:rFonts w:eastAsia="Times New Roman"/>
      <w:kern w:val="0"/>
      <w:sz w:val="24"/>
      <w:szCs w:val="24"/>
      <w:lang w:eastAsia="en-US"/>
    </w:rPr>
  </w:style>
  <w:style w:type="character" w:customStyle="1" w:styleId="searchword">
    <w:name w:val="searchword"/>
    <w:basedOn w:val="DefaultParagraphFont"/>
    <w:rsid w:val="002C129E"/>
  </w:style>
  <w:style w:type="paragraph" w:styleId="Revision">
    <w:name w:val="Revision"/>
    <w:hidden/>
    <w:uiPriority w:val="99"/>
    <w:semiHidden/>
    <w:rsid w:val="00ED7277"/>
    <w:rPr>
      <w:rFonts w:ascii="Times New Roman" w:hAnsi="Times New Roman"/>
      <w:kern w:val="28"/>
    </w:rPr>
  </w:style>
  <w:style w:type="character" w:styleId="HTMLCite">
    <w:name w:val="HTML Cite"/>
    <w:basedOn w:val="DefaultParagraphFont"/>
    <w:uiPriority w:val="99"/>
    <w:semiHidden/>
    <w:unhideWhenUsed/>
    <w:rsid w:val="00295904"/>
    <w:rPr>
      <w:i/>
      <w:iCs/>
    </w:rPr>
  </w:style>
  <w:style w:type="character" w:styleId="Emphasis">
    <w:name w:val="Emphasis"/>
    <w:basedOn w:val="DefaultParagraphFont"/>
    <w:uiPriority w:val="20"/>
    <w:qFormat/>
    <w:locked/>
    <w:rsid w:val="00E1207E"/>
    <w:rPr>
      <w:i/>
      <w:iCs/>
    </w:rPr>
  </w:style>
  <w:style w:type="character" w:customStyle="1" w:styleId="MathematicaFormatStandardForm">
    <w:name w:val="MathematicaFormatStandardForm"/>
    <w:uiPriority w:val="99"/>
    <w:rsid w:val="000114D1"/>
    <w:rPr>
      <w:rFonts w:ascii="Courier" w:hAnsi="Courier" w:cs="Courier"/>
    </w:rPr>
  </w:style>
  <w:style w:type="paragraph" w:customStyle="1" w:styleId="citation">
    <w:name w:val="citation"/>
    <w:basedOn w:val="Normal"/>
    <w:rsid w:val="00F8670A"/>
    <w:pPr>
      <w:widowControl/>
      <w:overflowPunct/>
      <w:autoSpaceDE/>
      <w:autoSpaceDN/>
      <w:adjustRightInd/>
      <w:spacing w:before="100" w:beforeAutospacing="1" w:after="100" w:afterAutospacing="1"/>
    </w:pPr>
    <w:rPr>
      <w:rFonts w:eastAsia="Times New Roman"/>
      <w:kern w:val="0"/>
      <w:sz w:val="24"/>
      <w:szCs w:val="24"/>
      <w:lang w:eastAsia="en-US"/>
    </w:rPr>
  </w:style>
  <w:style w:type="character" w:customStyle="1" w:styleId="author">
    <w:name w:val="author"/>
    <w:basedOn w:val="DefaultParagraphFont"/>
    <w:rsid w:val="00F8670A"/>
  </w:style>
  <w:style w:type="character" w:styleId="Strong">
    <w:name w:val="Strong"/>
    <w:basedOn w:val="DefaultParagraphFont"/>
    <w:uiPriority w:val="22"/>
    <w:qFormat/>
    <w:locked/>
    <w:rsid w:val="00F8670A"/>
    <w:rPr>
      <w:b/>
      <w:bCs/>
    </w:rPr>
  </w:style>
  <w:style w:type="paragraph" w:customStyle="1" w:styleId="Subtitle1">
    <w:name w:val="Subtitle1"/>
    <w:basedOn w:val="Normal"/>
    <w:link w:val="subtitleChar"/>
    <w:qFormat/>
    <w:rsid w:val="008176E7"/>
    <w:pPr>
      <w:keepNext/>
      <w:widowControl/>
      <w:overflowPunct/>
      <w:autoSpaceDE/>
      <w:autoSpaceDN/>
      <w:adjustRightInd/>
      <w:spacing w:line="480" w:lineRule="auto"/>
    </w:pPr>
    <w:rPr>
      <w:rFonts w:eastAsia="Times"/>
      <w:b/>
      <w:kern w:val="0"/>
      <w:sz w:val="24"/>
      <w:lang w:eastAsia="en-US"/>
    </w:rPr>
  </w:style>
  <w:style w:type="paragraph" w:customStyle="1" w:styleId="Title1">
    <w:name w:val="Title1"/>
    <w:basedOn w:val="BodyText2"/>
    <w:link w:val="titleChar"/>
    <w:qFormat/>
    <w:rsid w:val="008176E7"/>
    <w:pPr>
      <w:tabs>
        <w:tab w:val="left" w:pos="720"/>
      </w:tabs>
      <w:spacing w:before="120" w:after="200" w:line="480" w:lineRule="auto"/>
      <w:jc w:val="center"/>
    </w:pPr>
    <w:rPr>
      <w:rFonts w:ascii="Times New Roman" w:hAnsi="Times New Roman"/>
      <w:b/>
    </w:rPr>
  </w:style>
  <w:style w:type="character" w:customStyle="1" w:styleId="subtitleChar">
    <w:name w:val="subtitle Char"/>
    <w:basedOn w:val="DefaultParagraphFont"/>
    <w:link w:val="Subtitle1"/>
    <w:rsid w:val="008176E7"/>
    <w:rPr>
      <w:rFonts w:ascii="Times New Roman" w:eastAsia="Times" w:hAnsi="Times New Roman"/>
      <w:b/>
      <w:sz w:val="24"/>
      <w:lang w:eastAsia="en-US"/>
    </w:rPr>
  </w:style>
  <w:style w:type="paragraph" w:styleId="TOC1">
    <w:name w:val="toc 1"/>
    <w:basedOn w:val="Normal"/>
    <w:next w:val="Normal"/>
    <w:autoRedefine/>
    <w:uiPriority w:val="39"/>
    <w:qFormat/>
    <w:locked/>
    <w:rsid w:val="001F01F7"/>
    <w:pPr>
      <w:spacing w:after="200"/>
      <w:jc w:val="center"/>
    </w:pPr>
    <w:rPr>
      <w:b/>
      <w:bCs/>
      <w:caps/>
      <w:sz w:val="24"/>
      <w:szCs w:val="24"/>
    </w:rPr>
  </w:style>
  <w:style w:type="character" w:customStyle="1" w:styleId="titleChar">
    <w:name w:val="title Char"/>
    <w:basedOn w:val="BodyText2Char"/>
    <w:link w:val="Title1"/>
    <w:rsid w:val="008176E7"/>
    <w:rPr>
      <w:rFonts w:ascii="Times New Roman" w:eastAsia="Times" w:hAnsi="Times New Roman"/>
      <w:b/>
      <w:sz w:val="24"/>
      <w:lang w:eastAsia="en-US"/>
    </w:rPr>
  </w:style>
  <w:style w:type="paragraph" w:styleId="TOCHeading">
    <w:name w:val="TOC Heading"/>
    <w:basedOn w:val="Heading1"/>
    <w:next w:val="Normal"/>
    <w:uiPriority w:val="39"/>
    <w:unhideWhenUsed/>
    <w:qFormat/>
    <w:rsid w:val="003B29E2"/>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2">
    <w:name w:val="toc 2"/>
    <w:basedOn w:val="Normal"/>
    <w:next w:val="Normal"/>
    <w:autoRedefine/>
    <w:uiPriority w:val="39"/>
    <w:qFormat/>
    <w:locked/>
    <w:rsid w:val="0046713E"/>
    <w:pPr>
      <w:ind w:left="200"/>
    </w:pPr>
    <w:rPr>
      <w:rFonts w:asciiTheme="minorHAnsi" w:hAnsiTheme="minorHAnsi"/>
      <w:smallCaps/>
    </w:rPr>
  </w:style>
  <w:style w:type="paragraph" w:styleId="TOC3">
    <w:name w:val="toc 3"/>
    <w:basedOn w:val="Normal"/>
    <w:next w:val="Normal"/>
    <w:autoRedefine/>
    <w:uiPriority w:val="39"/>
    <w:unhideWhenUsed/>
    <w:qFormat/>
    <w:locked/>
    <w:rsid w:val="00DF0E0F"/>
    <w:pPr>
      <w:tabs>
        <w:tab w:val="right" w:leader="dot" w:pos="8153"/>
      </w:tabs>
      <w:ind w:left="400" w:hanging="220"/>
    </w:pPr>
    <w:rPr>
      <w:iCs/>
      <w:noProof/>
      <w:sz w:val="24"/>
      <w:szCs w:val="24"/>
    </w:rPr>
  </w:style>
  <w:style w:type="paragraph" w:styleId="TOC4">
    <w:name w:val="toc 4"/>
    <w:basedOn w:val="Normal"/>
    <w:next w:val="Normal"/>
    <w:autoRedefine/>
    <w:uiPriority w:val="39"/>
    <w:locked/>
    <w:rsid w:val="00FC5498"/>
    <w:pPr>
      <w:ind w:left="600"/>
    </w:pPr>
    <w:rPr>
      <w:rFonts w:asciiTheme="minorHAnsi" w:hAnsiTheme="minorHAnsi"/>
      <w:sz w:val="18"/>
      <w:szCs w:val="18"/>
    </w:rPr>
  </w:style>
  <w:style w:type="paragraph" w:styleId="TOC5">
    <w:name w:val="toc 5"/>
    <w:basedOn w:val="Normal"/>
    <w:next w:val="Normal"/>
    <w:autoRedefine/>
    <w:locked/>
    <w:rsid w:val="00FC5498"/>
    <w:pPr>
      <w:ind w:left="800"/>
    </w:pPr>
    <w:rPr>
      <w:rFonts w:asciiTheme="minorHAnsi" w:hAnsiTheme="minorHAnsi"/>
      <w:sz w:val="18"/>
      <w:szCs w:val="18"/>
    </w:rPr>
  </w:style>
  <w:style w:type="paragraph" w:styleId="TOC6">
    <w:name w:val="toc 6"/>
    <w:basedOn w:val="Normal"/>
    <w:next w:val="Normal"/>
    <w:autoRedefine/>
    <w:locked/>
    <w:rsid w:val="00FC5498"/>
    <w:pPr>
      <w:ind w:left="1000"/>
    </w:pPr>
    <w:rPr>
      <w:rFonts w:asciiTheme="minorHAnsi" w:hAnsiTheme="minorHAnsi"/>
      <w:sz w:val="18"/>
      <w:szCs w:val="18"/>
    </w:rPr>
  </w:style>
  <w:style w:type="paragraph" w:styleId="TOC7">
    <w:name w:val="toc 7"/>
    <w:basedOn w:val="Normal"/>
    <w:next w:val="Normal"/>
    <w:autoRedefine/>
    <w:locked/>
    <w:rsid w:val="00FC5498"/>
    <w:pPr>
      <w:ind w:left="1200"/>
    </w:pPr>
    <w:rPr>
      <w:rFonts w:asciiTheme="minorHAnsi" w:hAnsiTheme="minorHAnsi"/>
      <w:sz w:val="18"/>
      <w:szCs w:val="18"/>
    </w:rPr>
  </w:style>
  <w:style w:type="paragraph" w:styleId="TOC8">
    <w:name w:val="toc 8"/>
    <w:basedOn w:val="Normal"/>
    <w:next w:val="Normal"/>
    <w:autoRedefine/>
    <w:locked/>
    <w:rsid w:val="00FC5498"/>
    <w:pPr>
      <w:ind w:left="1400"/>
    </w:pPr>
    <w:rPr>
      <w:rFonts w:asciiTheme="minorHAnsi" w:hAnsiTheme="minorHAnsi"/>
      <w:sz w:val="18"/>
      <w:szCs w:val="18"/>
    </w:rPr>
  </w:style>
  <w:style w:type="paragraph" w:styleId="TOC9">
    <w:name w:val="toc 9"/>
    <w:basedOn w:val="Normal"/>
    <w:next w:val="Normal"/>
    <w:autoRedefine/>
    <w:locked/>
    <w:rsid w:val="00FC5498"/>
    <w:pPr>
      <w:ind w:left="1600"/>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31980">
      <w:bodyDiv w:val="1"/>
      <w:marLeft w:val="0"/>
      <w:marRight w:val="0"/>
      <w:marTop w:val="0"/>
      <w:marBottom w:val="0"/>
      <w:divBdr>
        <w:top w:val="none" w:sz="0" w:space="0" w:color="auto"/>
        <w:left w:val="none" w:sz="0" w:space="0" w:color="auto"/>
        <w:bottom w:val="none" w:sz="0" w:space="0" w:color="auto"/>
        <w:right w:val="none" w:sz="0" w:space="0" w:color="auto"/>
      </w:divBdr>
    </w:div>
    <w:div w:id="75514285">
      <w:bodyDiv w:val="1"/>
      <w:marLeft w:val="0"/>
      <w:marRight w:val="0"/>
      <w:marTop w:val="0"/>
      <w:marBottom w:val="0"/>
      <w:divBdr>
        <w:top w:val="none" w:sz="0" w:space="0" w:color="auto"/>
        <w:left w:val="none" w:sz="0" w:space="0" w:color="auto"/>
        <w:bottom w:val="none" w:sz="0" w:space="0" w:color="auto"/>
        <w:right w:val="none" w:sz="0" w:space="0" w:color="auto"/>
      </w:divBdr>
    </w:div>
    <w:div w:id="78674974">
      <w:bodyDiv w:val="1"/>
      <w:marLeft w:val="109"/>
      <w:marRight w:val="109"/>
      <w:marTop w:val="0"/>
      <w:marBottom w:val="0"/>
      <w:divBdr>
        <w:top w:val="none" w:sz="0" w:space="0" w:color="auto"/>
        <w:left w:val="none" w:sz="0" w:space="0" w:color="auto"/>
        <w:bottom w:val="none" w:sz="0" w:space="0" w:color="auto"/>
        <w:right w:val="none" w:sz="0" w:space="0" w:color="auto"/>
      </w:divBdr>
      <w:divsChild>
        <w:div w:id="1437167894">
          <w:marLeft w:val="0"/>
          <w:marRight w:val="0"/>
          <w:marTop w:val="0"/>
          <w:marBottom w:val="0"/>
          <w:divBdr>
            <w:top w:val="none" w:sz="0" w:space="0" w:color="auto"/>
            <w:left w:val="none" w:sz="0" w:space="0" w:color="auto"/>
            <w:bottom w:val="none" w:sz="0" w:space="0" w:color="auto"/>
            <w:right w:val="none" w:sz="0" w:space="0" w:color="auto"/>
          </w:divBdr>
          <w:divsChild>
            <w:div w:id="124892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1538">
      <w:bodyDiv w:val="1"/>
      <w:marLeft w:val="0"/>
      <w:marRight w:val="0"/>
      <w:marTop w:val="0"/>
      <w:marBottom w:val="0"/>
      <w:divBdr>
        <w:top w:val="none" w:sz="0" w:space="0" w:color="auto"/>
        <w:left w:val="none" w:sz="0" w:space="0" w:color="auto"/>
        <w:bottom w:val="none" w:sz="0" w:space="0" w:color="auto"/>
        <w:right w:val="none" w:sz="0" w:space="0" w:color="auto"/>
      </w:divBdr>
    </w:div>
    <w:div w:id="148526249">
      <w:bodyDiv w:val="1"/>
      <w:marLeft w:val="0"/>
      <w:marRight w:val="0"/>
      <w:marTop w:val="0"/>
      <w:marBottom w:val="0"/>
      <w:divBdr>
        <w:top w:val="none" w:sz="0" w:space="0" w:color="auto"/>
        <w:left w:val="none" w:sz="0" w:space="0" w:color="auto"/>
        <w:bottom w:val="none" w:sz="0" w:space="0" w:color="auto"/>
        <w:right w:val="none" w:sz="0" w:space="0" w:color="auto"/>
      </w:divBdr>
    </w:div>
    <w:div w:id="152262408">
      <w:bodyDiv w:val="1"/>
      <w:marLeft w:val="100"/>
      <w:marRight w:val="100"/>
      <w:marTop w:val="0"/>
      <w:marBottom w:val="0"/>
      <w:divBdr>
        <w:top w:val="none" w:sz="0" w:space="0" w:color="auto"/>
        <w:left w:val="none" w:sz="0" w:space="0" w:color="auto"/>
        <w:bottom w:val="none" w:sz="0" w:space="0" w:color="auto"/>
        <w:right w:val="none" w:sz="0" w:space="0" w:color="auto"/>
      </w:divBdr>
      <w:divsChild>
        <w:div w:id="1633749066">
          <w:marLeft w:val="0"/>
          <w:marRight w:val="0"/>
          <w:marTop w:val="0"/>
          <w:marBottom w:val="0"/>
          <w:divBdr>
            <w:top w:val="none" w:sz="0" w:space="0" w:color="auto"/>
            <w:left w:val="none" w:sz="0" w:space="0" w:color="auto"/>
            <w:bottom w:val="none" w:sz="0" w:space="0" w:color="auto"/>
            <w:right w:val="none" w:sz="0" w:space="0" w:color="auto"/>
          </w:divBdr>
          <w:divsChild>
            <w:div w:id="39998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6065">
      <w:bodyDiv w:val="1"/>
      <w:marLeft w:val="0"/>
      <w:marRight w:val="0"/>
      <w:marTop w:val="0"/>
      <w:marBottom w:val="0"/>
      <w:divBdr>
        <w:top w:val="none" w:sz="0" w:space="0" w:color="auto"/>
        <w:left w:val="none" w:sz="0" w:space="0" w:color="auto"/>
        <w:bottom w:val="none" w:sz="0" w:space="0" w:color="auto"/>
        <w:right w:val="none" w:sz="0" w:space="0" w:color="auto"/>
      </w:divBdr>
    </w:div>
    <w:div w:id="163478486">
      <w:bodyDiv w:val="1"/>
      <w:marLeft w:val="0"/>
      <w:marRight w:val="0"/>
      <w:marTop w:val="0"/>
      <w:marBottom w:val="0"/>
      <w:divBdr>
        <w:top w:val="none" w:sz="0" w:space="0" w:color="auto"/>
        <w:left w:val="none" w:sz="0" w:space="0" w:color="auto"/>
        <w:bottom w:val="none" w:sz="0" w:space="0" w:color="auto"/>
        <w:right w:val="none" w:sz="0" w:space="0" w:color="auto"/>
      </w:divBdr>
    </w:div>
    <w:div w:id="230043701">
      <w:bodyDiv w:val="1"/>
      <w:marLeft w:val="0"/>
      <w:marRight w:val="0"/>
      <w:marTop w:val="0"/>
      <w:marBottom w:val="0"/>
      <w:divBdr>
        <w:top w:val="none" w:sz="0" w:space="0" w:color="auto"/>
        <w:left w:val="none" w:sz="0" w:space="0" w:color="auto"/>
        <w:bottom w:val="none" w:sz="0" w:space="0" w:color="auto"/>
        <w:right w:val="none" w:sz="0" w:space="0" w:color="auto"/>
      </w:divBdr>
    </w:div>
    <w:div w:id="234094787">
      <w:bodyDiv w:val="1"/>
      <w:marLeft w:val="0"/>
      <w:marRight w:val="0"/>
      <w:marTop w:val="0"/>
      <w:marBottom w:val="0"/>
      <w:divBdr>
        <w:top w:val="none" w:sz="0" w:space="0" w:color="auto"/>
        <w:left w:val="none" w:sz="0" w:space="0" w:color="auto"/>
        <w:bottom w:val="none" w:sz="0" w:space="0" w:color="auto"/>
        <w:right w:val="none" w:sz="0" w:space="0" w:color="auto"/>
      </w:divBdr>
    </w:div>
    <w:div w:id="259917724">
      <w:bodyDiv w:val="1"/>
      <w:marLeft w:val="0"/>
      <w:marRight w:val="0"/>
      <w:marTop w:val="0"/>
      <w:marBottom w:val="0"/>
      <w:divBdr>
        <w:top w:val="none" w:sz="0" w:space="0" w:color="auto"/>
        <w:left w:val="none" w:sz="0" w:space="0" w:color="auto"/>
        <w:bottom w:val="none" w:sz="0" w:space="0" w:color="auto"/>
        <w:right w:val="none" w:sz="0" w:space="0" w:color="auto"/>
      </w:divBdr>
    </w:div>
    <w:div w:id="262955886">
      <w:bodyDiv w:val="1"/>
      <w:marLeft w:val="0"/>
      <w:marRight w:val="0"/>
      <w:marTop w:val="0"/>
      <w:marBottom w:val="0"/>
      <w:divBdr>
        <w:top w:val="none" w:sz="0" w:space="0" w:color="auto"/>
        <w:left w:val="none" w:sz="0" w:space="0" w:color="auto"/>
        <w:bottom w:val="none" w:sz="0" w:space="0" w:color="auto"/>
        <w:right w:val="none" w:sz="0" w:space="0" w:color="auto"/>
      </w:divBdr>
    </w:div>
    <w:div w:id="266550317">
      <w:bodyDiv w:val="1"/>
      <w:marLeft w:val="0"/>
      <w:marRight w:val="0"/>
      <w:marTop w:val="0"/>
      <w:marBottom w:val="0"/>
      <w:divBdr>
        <w:top w:val="none" w:sz="0" w:space="0" w:color="auto"/>
        <w:left w:val="none" w:sz="0" w:space="0" w:color="auto"/>
        <w:bottom w:val="none" w:sz="0" w:space="0" w:color="auto"/>
        <w:right w:val="none" w:sz="0" w:space="0" w:color="auto"/>
      </w:divBdr>
    </w:div>
    <w:div w:id="268002514">
      <w:bodyDiv w:val="1"/>
      <w:marLeft w:val="120"/>
      <w:marRight w:val="120"/>
      <w:marTop w:val="0"/>
      <w:marBottom w:val="0"/>
      <w:divBdr>
        <w:top w:val="none" w:sz="0" w:space="0" w:color="auto"/>
        <w:left w:val="none" w:sz="0" w:space="0" w:color="auto"/>
        <w:bottom w:val="none" w:sz="0" w:space="0" w:color="auto"/>
        <w:right w:val="none" w:sz="0" w:space="0" w:color="auto"/>
      </w:divBdr>
      <w:divsChild>
        <w:div w:id="404382600">
          <w:marLeft w:val="0"/>
          <w:marRight w:val="0"/>
          <w:marTop w:val="0"/>
          <w:marBottom w:val="0"/>
          <w:divBdr>
            <w:top w:val="none" w:sz="0" w:space="0" w:color="auto"/>
            <w:left w:val="none" w:sz="0" w:space="0" w:color="auto"/>
            <w:bottom w:val="none" w:sz="0" w:space="0" w:color="auto"/>
            <w:right w:val="none" w:sz="0" w:space="0" w:color="auto"/>
          </w:divBdr>
          <w:divsChild>
            <w:div w:id="209447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631873">
      <w:bodyDiv w:val="1"/>
      <w:marLeft w:val="0"/>
      <w:marRight w:val="0"/>
      <w:marTop w:val="0"/>
      <w:marBottom w:val="0"/>
      <w:divBdr>
        <w:top w:val="none" w:sz="0" w:space="0" w:color="auto"/>
        <w:left w:val="none" w:sz="0" w:space="0" w:color="auto"/>
        <w:bottom w:val="none" w:sz="0" w:space="0" w:color="auto"/>
        <w:right w:val="none" w:sz="0" w:space="0" w:color="auto"/>
      </w:divBdr>
    </w:div>
    <w:div w:id="277218619">
      <w:bodyDiv w:val="1"/>
      <w:marLeft w:val="0"/>
      <w:marRight w:val="0"/>
      <w:marTop w:val="0"/>
      <w:marBottom w:val="0"/>
      <w:divBdr>
        <w:top w:val="none" w:sz="0" w:space="0" w:color="auto"/>
        <w:left w:val="none" w:sz="0" w:space="0" w:color="auto"/>
        <w:bottom w:val="none" w:sz="0" w:space="0" w:color="auto"/>
        <w:right w:val="none" w:sz="0" w:space="0" w:color="auto"/>
      </w:divBdr>
    </w:div>
    <w:div w:id="318967063">
      <w:bodyDiv w:val="1"/>
      <w:marLeft w:val="0"/>
      <w:marRight w:val="0"/>
      <w:marTop w:val="0"/>
      <w:marBottom w:val="0"/>
      <w:divBdr>
        <w:top w:val="none" w:sz="0" w:space="0" w:color="auto"/>
        <w:left w:val="none" w:sz="0" w:space="0" w:color="auto"/>
        <w:bottom w:val="none" w:sz="0" w:space="0" w:color="auto"/>
        <w:right w:val="none" w:sz="0" w:space="0" w:color="auto"/>
      </w:divBdr>
    </w:div>
    <w:div w:id="322591526">
      <w:bodyDiv w:val="1"/>
      <w:marLeft w:val="0"/>
      <w:marRight w:val="0"/>
      <w:marTop w:val="0"/>
      <w:marBottom w:val="0"/>
      <w:divBdr>
        <w:top w:val="none" w:sz="0" w:space="0" w:color="auto"/>
        <w:left w:val="none" w:sz="0" w:space="0" w:color="auto"/>
        <w:bottom w:val="none" w:sz="0" w:space="0" w:color="auto"/>
        <w:right w:val="none" w:sz="0" w:space="0" w:color="auto"/>
      </w:divBdr>
    </w:div>
    <w:div w:id="342707791">
      <w:bodyDiv w:val="1"/>
      <w:marLeft w:val="120"/>
      <w:marRight w:val="120"/>
      <w:marTop w:val="0"/>
      <w:marBottom w:val="0"/>
      <w:divBdr>
        <w:top w:val="none" w:sz="0" w:space="0" w:color="auto"/>
        <w:left w:val="none" w:sz="0" w:space="0" w:color="auto"/>
        <w:bottom w:val="none" w:sz="0" w:space="0" w:color="auto"/>
        <w:right w:val="none" w:sz="0" w:space="0" w:color="auto"/>
      </w:divBdr>
      <w:divsChild>
        <w:div w:id="1154954451">
          <w:marLeft w:val="0"/>
          <w:marRight w:val="0"/>
          <w:marTop w:val="0"/>
          <w:marBottom w:val="0"/>
          <w:divBdr>
            <w:top w:val="none" w:sz="0" w:space="0" w:color="auto"/>
            <w:left w:val="none" w:sz="0" w:space="0" w:color="auto"/>
            <w:bottom w:val="none" w:sz="0" w:space="0" w:color="auto"/>
            <w:right w:val="none" w:sz="0" w:space="0" w:color="auto"/>
          </w:divBdr>
          <w:divsChild>
            <w:div w:id="1521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27081">
      <w:bodyDiv w:val="1"/>
      <w:marLeft w:val="0"/>
      <w:marRight w:val="0"/>
      <w:marTop w:val="0"/>
      <w:marBottom w:val="0"/>
      <w:divBdr>
        <w:top w:val="none" w:sz="0" w:space="0" w:color="auto"/>
        <w:left w:val="none" w:sz="0" w:space="0" w:color="auto"/>
        <w:bottom w:val="none" w:sz="0" w:space="0" w:color="auto"/>
        <w:right w:val="none" w:sz="0" w:space="0" w:color="auto"/>
      </w:divBdr>
    </w:div>
    <w:div w:id="379323156">
      <w:bodyDiv w:val="1"/>
      <w:marLeft w:val="0"/>
      <w:marRight w:val="0"/>
      <w:marTop w:val="0"/>
      <w:marBottom w:val="0"/>
      <w:divBdr>
        <w:top w:val="none" w:sz="0" w:space="0" w:color="auto"/>
        <w:left w:val="none" w:sz="0" w:space="0" w:color="auto"/>
        <w:bottom w:val="none" w:sz="0" w:space="0" w:color="auto"/>
        <w:right w:val="none" w:sz="0" w:space="0" w:color="auto"/>
      </w:divBdr>
    </w:div>
    <w:div w:id="395205601">
      <w:bodyDiv w:val="1"/>
      <w:marLeft w:val="0"/>
      <w:marRight w:val="0"/>
      <w:marTop w:val="0"/>
      <w:marBottom w:val="0"/>
      <w:divBdr>
        <w:top w:val="none" w:sz="0" w:space="0" w:color="auto"/>
        <w:left w:val="none" w:sz="0" w:space="0" w:color="auto"/>
        <w:bottom w:val="none" w:sz="0" w:space="0" w:color="auto"/>
        <w:right w:val="none" w:sz="0" w:space="0" w:color="auto"/>
      </w:divBdr>
    </w:div>
    <w:div w:id="414791776">
      <w:bodyDiv w:val="1"/>
      <w:marLeft w:val="109"/>
      <w:marRight w:val="109"/>
      <w:marTop w:val="0"/>
      <w:marBottom w:val="0"/>
      <w:divBdr>
        <w:top w:val="none" w:sz="0" w:space="0" w:color="auto"/>
        <w:left w:val="none" w:sz="0" w:space="0" w:color="auto"/>
        <w:bottom w:val="none" w:sz="0" w:space="0" w:color="auto"/>
        <w:right w:val="none" w:sz="0" w:space="0" w:color="auto"/>
      </w:divBdr>
      <w:divsChild>
        <w:div w:id="1574926842">
          <w:marLeft w:val="0"/>
          <w:marRight w:val="0"/>
          <w:marTop w:val="0"/>
          <w:marBottom w:val="0"/>
          <w:divBdr>
            <w:top w:val="none" w:sz="0" w:space="0" w:color="auto"/>
            <w:left w:val="none" w:sz="0" w:space="0" w:color="auto"/>
            <w:bottom w:val="none" w:sz="0" w:space="0" w:color="auto"/>
            <w:right w:val="none" w:sz="0" w:space="0" w:color="auto"/>
          </w:divBdr>
          <w:divsChild>
            <w:div w:id="162970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63369">
      <w:bodyDiv w:val="1"/>
      <w:marLeft w:val="0"/>
      <w:marRight w:val="0"/>
      <w:marTop w:val="0"/>
      <w:marBottom w:val="0"/>
      <w:divBdr>
        <w:top w:val="none" w:sz="0" w:space="0" w:color="auto"/>
        <w:left w:val="none" w:sz="0" w:space="0" w:color="auto"/>
        <w:bottom w:val="none" w:sz="0" w:space="0" w:color="auto"/>
        <w:right w:val="none" w:sz="0" w:space="0" w:color="auto"/>
      </w:divBdr>
      <w:divsChild>
        <w:div w:id="1810978185">
          <w:marLeft w:val="0"/>
          <w:marRight w:val="0"/>
          <w:marTop w:val="0"/>
          <w:marBottom w:val="0"/>
          <w:divBdr>
            <w:top w:val="none" w:sz="0" w:space="0" w:color="auto"/>
            <w:left w:val="none" w:sz="0" w:space="0" w:color="auto"/>
            <w:bottom w:val="none" w:sz="0" w:space="0" w:color="auto"/>
            <w:right w:val="none" w:sz="0" w:space="0" w:color="auto"/>
          </w:divBdr>
          <w:divsChild>
            <w:div w:id="933896443">
              <w:marLeft w:val="0"/>
              <w:marRight w:val="0"/>
              <w:marTop w:val="0"/>
              <w:marBottom w:val="0"/>
              <w:divBdr>
                <w:top w:val="none" w:sz="0" w:space="0" w:color="auto"/>
                <w:left w:val="none" w:sz="0" w:space="0" w:color="auto"/>
                <w:bottom w:val="none" w:sz="0" w:space="0" w:color="auto"/>
                <w:right w:val="none" w:sz="0" w:space="0" w:color="auto"/>
              </w:divBdr>
              <w:divsChild>
                <w:div w:id="195198212">
                  <w:marLeft w:val="0"/>
                  <w:marRight w:val="0"/>
                  <w:marTop w:val="0"/>
                  <w:marBottom w:val="0"/>
                  <w:divBdr>
                    <w:top w:val="none" w:sz="0" w:space="0" w:color="auto"/>
                    <w:left w:val="none" w:sz="0" w:space="0" w:color="auto"/>
                    <w:bottom w:val="none" w:sz="0" w:space="0" w:color="auto"/>
                    <w:right w:val="none" w:sz="0" w:space="0" w:color="auto"/>
                  </w:divBdr>
                  <w:divsChild>
                    <w:div w:id="1535925328">
                      <w:marLeft w:val="0"/>
                      <w:marRight w:val="0"/>
                      <w:marTop w:val="0"/>
                      <w:marBottom w:val="0"/>
                      <w:divBdr>
                        <w:top w:val="none" w:sz="0" w:space="0" w:color="auto"/>
                        <w:left w:val="none" w:sz="0" w:space="0" w:color="auto"/>
                        <w:bottom w:val="none" w:sz="0" w:space="0" w:color="auto"/>
                        <w:right w:val="none" w:sz="0" w:space="0" w:color="auto"/>
                      </w:divBdr>
                    </w:div>
                  </w:divsChild>
                </w:div>
                <w:div w:id="1393041770">
                  <w:marLeft w:val="0"/>
                  <w:marRight w:val="0"/>
                  <w:marTop w:val="0"/>
                  <w:marBottom w:val="0"/>
                  <w:divBdr>
                    <w:top w:val="none" w:sz="0" w:space="0" w:color="auto"/>
                    <w:left w:val="none" w:sz="0" w:space="0" w:color="auto"/>
                    <w:bottom w:val="none" w:sz="0" w:space="0" w:color="auto"/>
                    <w:right w:val="none" w:sz="0" w:space="0" w:color="auto"/>
                  </w:divBdr>
                </w:div>
              </w:divsChild>
            </w:div>
            <w:div w:id="1287616820">
              <w:marLeft w:val="0"/>
              <w:marRight w:val="0"/>
              <w:marTop w:val="0"/>
              <w:marBottom w:val="0"/>
              <w:divBdr>
                <w:top w:val="none" w:sz="0" w:space="0" w:color="auto"/>
                <w:left w:val="none" w:sz="0" w:space="0" w:color="auto"/>
                <w:bottom w:val="none" w:sz="0" w:space="0" w:color="auto"/>
                <w:right w:val="none" w:sz="0" w:space="0" w:color="auto"/>
              </w:divBdr>
              <w:divsChild>
                <w:div w:id="603920526">
                  <w:marLeft w:val="0"/>
                  <w:marRight w:val="0"/>
                  <w:marTop w:val="0"/>
                  <w:marBottom w:val="0"/>
                  <w:divBdr>
                    <w:top w:val="none" w:sz="0" w:space="0" w:color="auto"/>
                    <w:left w:val="none" w:sz="0" w:space="0" w:color="auto"/>
                    <w:bottom w:val="none" w:sz="0" w:space="0" w:color="auto"/>
                    <w:right w:val="none" w:sz="0" w:space="0" w:color="auto"/>
                  </w:divBdr>
                  <w:divsChild>
                    <w:div w:id="655035974">
                      <w:blockQuote w:val="1"/>
                      <w:marLeft w:val="720"/>
                      <w:marRight w:val="720"/>
                      <w:marTop w:val="100"/>
                      <w:marBottom w:val="100"/>
                      <w:divBdr>
                        <w:top w:val="none" w:sz="0" w:space="0" w:color="auto"/>
                        <w:left w:val="none" w:sz="0" w:space="0" w:color="auto"/>
                        <w:bottom w:val="none" w:sz="0" w:space="0" w:color="auto"/>
                        <w:right w:val="none" w:sz="0" w:space="0" w:color="auto"/>
                      </w:divBdr>
                    </w:div>
                    <w:div w:id="758019425">
                      <w:marLeft w:val="225"/>
                      <w:marRight w:val="0"/>
                      <w:marTop w:val="0"/>
                      <w:marBottom w:val="0"/>
                      <w:divBdr>
                        <w:top w:val="none" w:sz="0" w:space="0" w:color="auto"/>
                        <w:left w:val="none" w:sz="0" w:space="0" w:color="auto"/>
                        <w:bottom w:val="none" w:sz="0" w:space="0" w:color="auto"/>
                        <w:right w:val="none" w:sz="0" w:space="0" w:color="auto"/>
                      </w:divBdr>
                    </w:div>
                  </w:divsChild>
                </w:div>
                <w:div w:id="1004238601">
                  <w:marLeft w:val="0"/>
                  <w:marRight w:val="0"/>
                  <w:marTop w:val="0"/>
                  <w:marBottom w:val="0"/>
                  <w:divBdr>
                    <w:top w:val="none" w:sz="0" w:space="0" w:color="auto"/>
                    <w:left w:val="none" w:sz="0" w:space="0" w:color="auto"/>
                    <w:bottom w:val="none" w:sz="0" w:space="0" w:color="auto"/>
                    <w:right w:val="none" w:sz="0" w:space="0" w:color="auto"/>
                  </w:divBdr>
                  <w:divsChild>
                    <w:div w:id="1041055963">
                      <w:marLeft w:val="0"/>
                      <w:marRight w:val="0"/>
                      <w:marTop w:val="0"/>
                      <w:marBottom w:val="0"/>
                      <w:divBdr>
                        <w:top w:val="none" w:sz="0" w:space="0" w:color="auto"/>
                        <w:left w:val="none" w:sz="0" w:space="0" w:color="auto"/>
                        <w:bottom w:val="none" w:sz="0" w:space="0" w:color="auto"/>
                        <w:right w:val="none" w:sz="0" w:space="0" w:color="auto"/>
                      </w:divBdr>
                      <w:divsChild>
                        <w:div w:id="248777930">
                          <w:marLeft w:val="0"/>
                          <w:marRight w:val="0"/>
                          <w:marTop w:val="0"/>
                          <w:marBottom w:val="0"/>
                          <w:divBdr>
                            <w:top w:val="single" w:sz="6" w:space="0" w:color="FFFFFF"/>
                            <w:left w:val="single" w:sz="6" w:space="0" w:color="FFFFFF"/>
                            <w:bottom w:val="none" w:sz="0" w:space="0" w:color="auto"/>
                            <w:right w:val="single" w:sz="6" w:space="0" w:color="FFFFFF"/>
                          </w:divBdr>
                          <w:divsChild>
                            <w:div w:id="1847744225">
                              <w:marLeft w:val="0"/>
                              <w:marRight w:val="0"/>
                              <w:marTop w:val="0"/>
                              <w:marBottom w:val="0"/>
                              <w:divBdr>
                                <w:top w:val="none" w:sz="0" w:space="0" w:color="auto"/>
                                <w:left w:val="none" w:sz="0" w:space="0" w:color="auto"/>
                                <w:bottom w:val="none" w:sz="0" w:space="0" w:color="auto"/>
                                <w:right w:val="none" w:sz="0" w:space="0" w:color="auto"/>
                              </w:divBdr>
                              <w:divsChild>
                                <w:div w:id="1858348347">
                                  <w:marLeft w:val="0"/>
                                  <w:marRight w:val="0"/>
                                  <w:marTop w:val="0"/>
                                  <w:marBottom w:val="0"/>
                                  <w:divBdr>
                                    <w:top w:val="none" w:sz="0" w:space="0" w:color="auto"/>
                                    <w:left w:val="none" w:sz="0" w:space="0" w:color="auto"/>
                                    <w:bottom w:val="none" w:sz="0" w:space="0" w:color="auto"/>
                                    <w:right w:val="none" w:sz="0" w:space="0" w:color="auto"/>
                                  </w:divBdr>
                                </w:div>
                              </w:divsChild>
                            </w:div>
                            <w:div w:id="1968075807">
                              <w:marLeft w:val="0"/>
                              <w:marRight w:val="0"/>
                              <w:marTop w:val="0"/>
                              <w:marBottom w:val="0"/>
                              <w:divBdr>
                                <w:top w:val="none" w:sz="0" w:space="0" w:color="auto"/>
                                <w:left w:val="none" w:sz="0" w:space="0" w:color="auto"/>
                                <w:bottom w:val="none" w:sz="0" w:space="0" w:color="auto"/>
                                <w:right w:val="none" w:sz="0" w:space="0" w:color="auto"/>
                              </w:divBdr>
                              <w:divsChild>
                                <w:div w:id="283969997">
                                  <w:marLeft w:val="0"/>
                                  <w:marRight w:val="0"/>
                                  <w:marTop w:val="0"/>
                                  <w:marBottom w:val="0"/>
                                  <w:divBdr>
                                    <w:top w:val="none" w:sz="0" w:space="0" w:color="auto"/>
                                    <w:left w:val="none" w:sz="0" w:space="0" w:color="auto"/>
                                    <w:bottom w:val="none" w:sz="0" w:space="0" w:color="auto"/>
                                    <w:right w:val="none" w:sz="0" w:space="0" w:color="auto"/>
                                  </w:divBdr>
                                </w:div>
                                <w:div w:id="413939427">
                                  <w:marLeft w:val="0"/>
                                  <w:marRight w:val="0"/>
                                  <w:marTop w:val="0"/>
                                  <w:marBottom w:val="0"/>
                                  <w:divBdr>
                                    <w:top w:val="none" w:sz="0" w:space="0" w:color="auto"/>
                                    <w:left w:val="none" w:sz="0" w:space="0" w:color="auto"/>
                                    <w:bottom w:val="none" w:sz="0" w:space="0" w:color="auto"/>
                                    <w:right w:val="none" w:sz="0" w:space="0" w:color="auto"/>
                                  </w:divBdr>
                                </w:div>
                                <w:div w:id="681009821">
                                  <w:marLeft w:val="0"/>
                                  <w:marRight w:val="0"/>
                                  <w:marTop w:val="0"/>
                                  <w:marBottom w:val="0"/>
                                  <w:divBdr>
                                    <w:top w:val="none" w:sz="0" w:space="0" w:color="auto"/>
                                    <w:left w:val="none" w:sz="0" w:space="0" w:color="auto"/>
                                    <w:bottom w:val="none" w:sz="0" w:space="0" w:color="auto"/>
                                    <w:right w:val="none" w:sz="0" w:space="0" w:color="auto"/>
                                  </w:divBdr>
                                </w:div>
                                <w:div w:id="695349434">
                                  <w:marLeft w:val="0"/>
                                  <w:marRight w:val="0"/>
                                  <w:marTop w:val="0"/>
                                  <w:marBottom w:val="0"/>
                                  <w:divBdr>
                                    <w:top w:val="none" w:sz="0" w:space="0" w:color="auto"/>
                                    <w:left w:val="none" w:sz="0" w:space="0" w:color="auto"/>
                                    <w:bottom w:val="none" w:sz="0" w:space="0" w:color="auto"/>
                                    <w:right w:val="none" w:sz="0" w:space="0" w:color="auto"/>
                                  </w:divBdr>
                                </w:div>
                                <w:div w:id="93613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648752">
                  <w:marLeft w:val="0"/>
                  <w:marRight w:val="0"/>
                  <w:marTop w:val="0"/>
                  <w:marBottom w:val="0"/>
                  <w:divBdr>
                    <w:top w:val="none" w:sz="0" w:space="0" w:color="auto"/>
                    <w:left w:val="none" w:sz="0" w:space="0" w:color="auto"/>
                    <w:bottom w:val="none" w:sz="0" w:space="0" w:color="auto"/>
                    <w:right w:val="none" w:sz="0" w:space="0" w:color="auto"/>
                  </w:divBdr>
                </w:div>
                <w:div w:id="1478843554">
                  <w:marLeft w:val="0"/>
                  <w:marRight w:val="0"/>
                  <w:marTop w:val="0"/>
                  <w:marBottom w:val="0"/>
                  <w:divBdr>
                    <w:top w:val="none" w:sz="0" w:space="0" w:color="auto"/>
                    <w:left w:val="none" w:sz="0" w:space="0" w:color="auto"/>
                    <w:bottom w:val="none" w:sz="0" w:space="0" w:color="auto"/>
                    <w:right w:val="none" w:sz="0" w:space="0" w:color="auto"/>
                  </w:divBdr>
                  <w:divsChild>
                    <w:div w:id="944313547">
                      <w:marLeft w:val="0"/>
                      <w:marRight w:val="0"/>
                      <w:marTop w:val="0"/>
                      <w:marBottom w:val="0"/>
                      <w:divBdr>
                        <w:top w:val="none" w:sz="0" w:space="0" w:color="auto"/>
                        <w:left w:val="none" w:sz="0" w:space="0" w:color="auto"/>
                        <w:bottom w:val="none" w:sz="0" w:space="0" w:color="auto"/>
                        <w:right w:val="none" w:sz="0" w:space="0" w:color="auto"/>
                      </w:divBdr>
                      <w:divsChild>
                        <w:div w:id="648362576">
                          <w:marLeft w:val="0"/>
                          <w:marRight w:val="0"/>
                          <w:marTop w:val="0"/>
                          <w:marBottom w:val="0"/>
                          <w:divBdr>
                            <w:top w:val="none" w:sz="0" w:space="0" w:color="auto"/>
                            <w:left w:val="none" w:sz="0" w:space="0" w:color="auto"/>
                            <w:bottom w:val="none" w:sz="0" w:space="0" w:color="auto"/>
                            <w:right w:val="none" w:sz="0" w:space="0" w:color="auto"/>
                          </w:divBdr>
                        </w:div>
                      </w:divsChild>
                    </w:div>
                    <w:div w:id="1169835114">
                      <w:marLeft w:val="0"/>
                      <w:marRight w:val="0"/>
                      <w:marTop w:val="0"/>
                      <w:marBottom w:val="0"/>
                      <w:divBdr>
                        <w:top w:val="none" w:sz="0" w:space="0" w:color="auto"/>
                        <w:left w:val="none" w:sz="0" w:space="0" w:color="auto"/>
                        <w:bottom w:val="none" w:sz="0" w:space="0" w:color="auto"/>
                        <w:right w:val="none" w:sz="0" w:space="0" w:color="auto"/>
                      </w:divBdr>
                      <w:divsChild>
                        <w:div w:id="186527422">
                          <w:marLeft w:val="0"/>
                          <w:marRight w:val="0"/>
                          <w:marTop w:val="0"/>
                          <w:marBottom w:val="0"/>
                          <w:divBdr>
                            <w:top w:val="none" w:sz="0" w:space="0" w:color="auto"/>
                            <w:left w:val="none" w:sz="0" w:space="0" w:color="auto"/>
                            <w:bottom w:val="none" w:sz="0" w:space="0" w:color="auto"/>
                            <w:right w:val="none" w:sz="0" w:space="0" w:color="auto"/>
                          </w:divBdr>
                        </w:div>
                      </w:divsChild>
                    </w:div>
                    <w:div w:id="1276325096">
                      <w:marLeft w:val="0"/>
                      <w:marRight w:val="0"/>
                      <w:marTop w:val="0"/>
                      <w:marBottom w:val="0"/>
                      <w:divBdr>
                        <w:top w:val="none" w:sz="0" w:space="0" w:color="auto"/>
                        <w:left w:val="none" w:sz="0" w:space="0" w:color="auto"/>
                        <w:bottom w:val="none" w:sz="0" w:space="0" w:color="auto"/>
                        <w:right w:val="none" w:sz="0" w:space="0" w:color="auto"/>
                      </w:divBdr>
                      <w:divsChild>
                        <w:div w:id="1005328464">
                          <w:marLeft w:val="0"/>
                          <w:marRight w:val="0"/>
                          <w:marTop w:val="0"/>
                          <w:marBottom w:val="0"/>
                          <w:divBdr>
                            <w:top w:val="none" w:sz="0" w:space="0" w:color="auto"/>
                            <w:left w:val="none" w:sz="0" w:space="0" w:color="auto"/>
                            <w:bottom w:val="none" w:sz="0" w:space="0" w:color="auto"/>
                            <w:right w:val="none" w:sz="0" w:space="0" w:color="auto"/>
                          </w:divBdr>
                        </w:div>
                      </w:divsChild>
                    </w:div>
                    <w:div w:id="1951207427">
                      <w:marLeft w:val="0"/>
                      <w:marRight w:val="0"/>
                      <w:marTop w:val="0"/>
                      <w:marBottom w:val="0"/>
                      <w:divBdr>
                        <w:top w:val="none" w:sz="0" w:space="0" w:color="auto"/>
                        <w:left w:val="none" w:sz="0" w:space="0" w:color="auto"/>
                        <w:bottom w:val="none" w:sz="0" w:space="0" w:color="auto"/>
                        <w:right w:val="none" w:sz="0" w:space="0" w:color="auto"/>
                      </w:divBdr>
                      <w:divsChild>
                        <w:div w:id="128411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575485">
      <w:bodyDiv w:val="1"/>
      <w:marLeft w:val="0"/>
      <w:marRight w:val="0"/>
      <w:marTop w:val="0"/>
      <w:marBottom w:val="0"/>
      <w:divBdr>
        <w:top w:val="none" w:sz="0" w:space="0" w:color="auto"/>
        <w:left w:val="none" w:sz="0" w:space="0" w:color="auto"/>
        <w:bottom w:val="none" w:sz="0" w:space="0" w:color="auto"/>
        <w:right w:val="none" w:sz="0" w:space="0" w:color="auto"/>
      </w:divBdr>
    </w:div>
    <w:div w:id="429392806">
      <w:bodyDiv w:val="1"/>
      <w:marLeft w:val="0"/>
      <w:marRight w:val="0"/>
      <w:marTop w:val="0"/>
      <w:marBottom w:val="0"/>
      <w:divBdr>
        <w:top w:val="none" w:sz="0" w:space="0" w:color="auto"/>
        <w:left w:val="none" w:sz="0" w:space="0" w:color="auto"/>
        <w:bottom w:val="none" w:sz="0" w:space="0" w:color="auto"/>
        <w:right w:val="none" w:sz="0" w:space="0" w:color="auto"/>
      </w:divBdr>
    </w:div>
    <w:div w:id="436601440">
      <w:bodyDiv w:val="1"/>
      <w:marLeft w:val="0"/>
      <w:marRight w:val="0"/>
      <w:marTop w:val="0"/>
      <w:marBottom w:val="0"/>
      <w:divBdr>
        <w:top w:val="none" w:sz="0" w:space="0" w:color="auto"/>
        <w:left w:val="none" w:sz="0" w:space="0" w:color="auto"/>
        <w:bottom w:val="none" w:sz="0" w:space="0" w:color="auto"/>
        <w:right w:val="none" w:sz="0" w:space="0" w:color="auto"/>
      </w:divBdr>
    </w:div>
    <w:div w:id="436601461">
      <w:bodyDiv w:val="1"/>
      <w:marLeft w:val="0"/>
      <w:marRight w:val="0"/>
      <w:marTop w:val="0"/>
      <w:marBottom w:val="0"/>
      <w:divBdr>
        <w:top w:val="none" w:sz="0" w:space="0" w:color="auto"/>
        <w:left w:val="none" w:sz="0" w:space="0" w:color="auto"/>
        <w:bottom w:val="none" w:sz="0" w:space="0" w:color="auto"/>
        <w:right w:val="none" w:sz="0" w:space="0" w:color="auto"/>
      </w:divBdr>
    </w:div>
    <w:div w:id="436683714">
      <w:bodyDiv w:val="1"/>
      <w:marLeft w:val="0"/>
      <w:marRight w:val="0"/>
      <w:marTop w:val="0"/>
      <w:marBottom w:val="0"/>
      <w:divBdr>
        <w:top w:val="none" w:sz="0" w:space="0" w:color="auto"/>
        <w:left w:val="none" w:sz="0" w:space="0" w:color="auto"/>
        <w:bottom w:val="none" w:sz="0" w:space="0" w:color="auto"/>
        <w:right w:val="none" w:sz="0" w:space="0" w:color="auto"/>
      </w:divBdr>
    </w:div>
    <w:div w:id="440760527">
      <w:bodyDiv w:val="1"/>
      <w:marLeft w:val="0"/>
      <w:marRight w:val="0"/>
      <w:marTop w:val="0"/>
      <w:marBottom w:val="0"/>
      <w:divBdr>
        <w:top w:val="none" w:sz="0" w:space="0" w:color="auto"/>
        <w:left w:val="none" w:sz="0" w:space="0" w:color="auto"/>
        <w:bottom w:val="none" w:sz="0" w:space="0" w:color="auto"/>
        <w:right w:val="none" w:sz="0" w:space="0" w:color="auto"/>
      </w:divBdr>
    </w:div>
    <w:div w:id="455023579">
      <w:bodyDiv w:val="1"/>
      <w:marLeft w:val="0"/>
      <w:marRight w:val="0"/>
      <w:marTop w:val="0"/>
      <w:marBottom w:val="0"/>
      <w:divBdr>
        <w:top w:val="none" w:sz="0" w:space="0" w:color="auto"/>
        <w:left w:val="none" w:sz="0" w:space="0" w:color="auto"/>
        <w:bottom w:val="none" w:sz="0" w:space="0" w:color="auto"/>
        <w:right w:val="none" w:sz="0" w:space="0" w:color="auto"/>
      </w:divBdr>
    </w:div>
    <w:div w:id="459343998">
      <w:bodyDiv w:val="1"/>
      <w:marLeft w:val="0"/>
      <w:marRight w:val="0"/>
      <w:marTop w:val="0"/>
      <w:marBottom w:val="0"/>
      <w:divBdr>
        <w:top w:val="none" w:sz="0" w:space="0" w:color="auto"/>
        <w:left w:val="none" w:sz="0" w:space="0" w:color="auto"/>
        <w:bottom w:val="none" w:sz="0" w:space="0" w:color="auto"/>
        <w:right w:val="none" w:sz="0" w:space="0" w:color="auto"/>
      </w:divBdr>
    </w:div>
    <w:div w:id="491456001">
      <w:bodyDiv w:val="1"/>
      <w:marLeft w:val="0"/>
      <w:marRight w:val="0"/>
      <w:marTop w:val="0"/>
      <w:marBottom w:val="0"/>
      <w:divBdr>
        <w:top w:val="none" w:sz="0" w:space="0" w:color="auto"/>
        <w:left w:val="none" w:sz="0" w:space="0" w:color="auto"/>
        <w:bottom w:val="none" w:sz="0" w:space="0" w:color="auto"/>
        <w:right w:val="none" w:sz="0" w:space="0" w:color="auto"/>
      </w:divBdr>
      <w:divsChild>
        <w:div w:id="1293826830">
          <w:marLeft w:val="0"/>
          <w:marRight w:val="0"/>
          <w:marTop w:val="0"/>
          <w:marBottom w:val="0"/>
          <w:divBdr>
            <w:top w:val="none" w:sz="0" w:space="0" w:color="auto"/>
            <w:left w:val="none" w:sz="0" w:space="0" w:color="auto"/>
            <w:bottom w:val="none" w:sz="0" w:space="0" w:color="auto"/>
            <w:right w:val="none" w:sz="0" w:space="0" w:color="auto"/>
          </w:divBdr>
          <w:divsChild>
            <w:div w:id="710157870">
              <w:marLeft w:val="0"/>
              <w:marRight w:val="0"/>
              <w:marTop w:val="0"/>
              <w:marBottom w:val="0"/>
              <w:divBdr>
                <w:top w:val="none" w:sz="0" w:space="0" w:color="auto"/>
                <w:left w:val="none" w:sz="0" w:space="0" w:color="auto"/>
                <w:bottom w:val="none" w:sz="0" w:space="0" w:color="auto"/>
                <w:right w:val="none" w:sz="0" w:space="0" w:color="auto"/>
              </w:divBdr>
            </w:div>
            <w:div w:id="1991782311">
              <w:marLeft w:val="0"/>
              <w:marRight w:val="0"/>
              <w:marTop w:val="0"/>
              <w:marBottom w:val="0"/>
              <w:divBdr>
                <w:top w:val="none" w:sz="0" w:space="0" w:color="auto"/>
                <w:left w:val="none" w:sz="0" w:space="0" w:color="auto"/>
                <w:bottom w:val="none" w:sz="0" w:space="0" w:color="auto"/>
                <w:right w:val="none" w:sz="0" w:space="0" w:color="auto"/>
              </w:divBdr>
            </w:div>
          </w:divsChild>
        </w:div>
        <w:div w:id="1615597799">
          <w:marLeft w:val="0"/>
          <w:marRight w:val="0"/>
          <w:marTop w:val="0"/>
          <w:marBottom w:val="0"/>
          <w:divBdr>
            <w:top w:val="none" w:sz="0" w:space="0" w:color="auto"/>
            <w:left w:val="none" w:sz="0" w:space="0" w:color="auto"/>
            <w:bottom w:val="none" w:sz="0" w:space="0" w:color="auto"/>
            <w:right w:val="none" w:sz="0" w:space="0" w:color="auto"/>
          </w:divBdr>
        </w:div>
      </w:divsChild>
    </w:div>
    <w:div w:id="506017041">
      <w:bodyDiv w:val="1"/>
      <w:marLeft w:val="0"/>
      <w:marRight w:val="0"/>
      <w:marTop w:val="0"/>
      <w:marBottom w:val="0"/>
      <w:divBdr>
        <w:top w:val="none" w:sz="0" w:space="0" w:color="auto"/>
        <w:left w:val="none" w:sz="0" w:space="0" w:color="auto"/>
        <w:bottom w:val="none" w:sz="0" w:space="0" w:color="auto"/>
        <w:right w:val="none" w:sz="0" w:space="0" w:color="auto"/>
      </w:divBdr>
    </w:div>
    <w:div w:id="507447606">
      <w:bodyDiv w:val="1"/>
      <w:marLeft w:val="0"/>
      <w:marRight w:val="0"/>
      <w:marTop w:val="0"/>
      <w:marBottom w:val="0"/>
      <w:divBdr>
        <w:top w:val="none" w:sz="0" w:space="0" w:color="auto"/>
        <w:left w:val="none" w:sz="0" w:space="0" w:color="auto"/>
        <w:bottom w:val="none" w:sz="0" w:space="0" w:color="auto"/>
        <w:right w:val="none" w:sz="0" w:space="0" w:color="auto"/>
      </w:divBdr>
    </w:div>
    <w:div w:id="508369413">
      <w:bodyDiv w:val="1"/>
      <w:marLeft w:val="0"/>
      <w:marRight w:val="0"/>
      <w:marTop w:val="0"/>
      <w:marBottom w:val="0"/>
      <w:divBdr>
        <w:top w:val="none" w:sz="0" w:space="0" w:color="auto"/>
        <w:left w:val="none" w:sz="0" w:space="0" w:color="auto"/>
        <w:bottom w:val="none" w:sz="0" w:space="0" w:color="auto"/>
        <w:right w:val="none" w:sz="0" w:space="0" w:color="auto"/>
      </w:divBdr>
      <w:divsChild>
        <w:div w:id="38630719">
          <w:marLeft w:val="0"/>
          <w:marRight w:val="0"/>
          <w:marTop w:val="0"/>
          <w:marBottom w:val="0"/>
          <w:divBdr>
            <w:top w:val="none" w:sz="0" w:space="0" w:color="auto"/>
            <w:left w:val="none" w:sz="0" w:space="0" w:color="auto"/>
            <w:bottom w:val="none" w:sz="0" w:space="0" w:color="auto"/>
            <w:right w:val="none" w:sz="0" w:space="0" w:color="auto"/>
          </w:divBdr>
          <w:divsChild>
            <w:div w:id="249897312">
              <w:marLeft w:val="0"/>
              <w:marRight w:val="0"/>
              <w:marTop w:val="0"/>
              <w:marBottom w:val="0"/>
              <w:divBdr>
                <w:top w:val="none" w:sz="0" w:space="0" w:color="auto"/>
                <w:left w:val="none" w:sz="0" w:space="0" w:color="auto"/>
                <w:bottom w:val="none" w:sz="0" w:space="0" w:color="auto"/>
                <w:right w:val="none" w:sz="0" w:space="0" w:color="auto"/>
              </w:divBdr>
            </w:div>
            <w:div w:id="643659109">
              <w:marLeft w:val="0"/>
              <w:marRight w:val="0"/>
              <w:marTop w:val="0"/>
              <w:marBottom w:val="0"/>
              <w:divBdr>
                <w:top w:val="none" w:sz="0" w:space="0" w:color="auto"/>
                <w:left w:val="none" w:sz="0" w:space="0" w:color="auto"/>
                <w:bottom w:val="none" w:sz="0" w:space="0" w:color="auto"/>
                <w:right w:val="none" w:sz="0" w:space="0" w:color="auto"/>
              </w:divBdr>
            </w:div>
            <w:div w:id="665868130">
              <w:marLeft w:val="0"/>
              <w:marRight w:val="0"/>
              <w:marTop w:val="0"/>
              <w:marBottom w:val="0"/>
              <w:divBdr>
                <w:top w:val="none" w:sz="0" w:space="0" w:color="auto"/>
                <w:left w:val="none" w:sz="0" w:space="0" w:color="auto"/>
                <w:bottom w:val="none" w:sz="0" w:space="0" w:color="auto"/>
                <w:right w:val="none" w:sz="0" w:space="0" w:color="auto"/>
              </w:divBdr>
            </w:div>
            <w:div w:id="966201275">
              <w:marLeft w:val="0"/>
              <w:marRight w:val="0"/>
              <w:marTop w:val="0"/>
              <w:marBottom w:val="0"/>
              <w:divBdr>
                <w:top w:val="none" w:sz="0" w:space="0" w:color="auto"/>
                <w:left w:val="none" w:sz="0" w:space="0" w:color="auto"/>
                <w:bottom w:val="none" w:sz="0" w:space="0" w:color="auto"/>
                <w:right w:val="none" w:sz="0" w:space="0" w:color="auto"/>
              </w:divBdr>
            </w:div>
            <w:div w:id="1089742068">
              <w:marLeft w:val="0"/>
              <w:marRight w:val="0"/>
              <w:marTop w:val="0"/>
              <w:marBottom w:val="0"/>
              <w:divBdr>
                <w:top w:val="none" w:sz="0" w:space="0" w:color="auto"/>
                <w:left w:val="none" w:sz="0" w:space="0" w:color="auto"/>
                <w:bottom w:val="none" w:sz="0" w:space="0" w:color="auto"/>
                <w:right w:val="none" w:sz="0" w:space="0" w:color="auto"/>
              </w:divBdr>
            </w:div>
            <w:div w:id="1333947743">
              <w:marLeft w:val="0"/>
              <w:marRight w:val="0"/>
              <w:marTop w:val="0"/>
              <w:marBottom w:val="0"/>
              <w:divBdr>
                <w:top w:val="none" w:sz="0" w:space="0" w:color="auto"/>
                <w:left w:val="none" w:sz="0" w:space="0" w:color="auto"/>
                <w:bottom w:val="none" w:sz="0" w:space="0" w:color="auto"/>
                <w:right w:val="none" w:sz="0" w:space="0" w:color="auto"/>
              </w:divBdr>
            </w:div>
            <w:div w:id="1915049561">
              <w:marLeft w:val="0"/>
              <w:marRight w:val="0"/>
              <w:marTop w:val="0"/>
              <w:marBottom w:val="0"/>
              <w:divBdr>
                <w:top w:val="none" w:sz="0" w:space="0" w:color="auto"/>
                <w:left w:val="none" w:sz="0" w:space="0" w:color="auto"/>
                <w:bottom w:val="none" w:sz="0" w:space="0" w:color="auto"/>
                <w:right w:val="none" w:sz="0" w:space="0" w:color="auto"/>
              </w:divBdr>
            </w:div>
            <w:div w:id="2026786106">
              <w:marLeft w:val="0"/>
              <w:marRight w:val="0"/>
              <w:marTop w:val="0"/>
              <w:marBottom w:val="0"/>
              <w:divBdr>
                <w:top w:val="none" w:sz="0" w:space="0" w:color="auto"/>
                <w:left w:val="none" w:sz="0" w:space="0" w:color="auto"/>
                <w:bottom w:val="none" w:sz="0" w:space="0" w:color="auto"/>
                <w:right w:val="none" w:sz="0" w:space="0" w:color="auto"/>
              </w:divBdr>
            </w:div>
          </w:divsChild>
        </w:div>
        <w:div w:id="198444586">
          <w:marLeft w:val="0"/>
          <w:marRight w:val="0"/>
          <w:marTop w:val="0"/>
          <w:marBottom w:val="0"/>
          <w:divBdr>
            <w:top w:val="none" w:sz="0" w:space="0" w:color="auto"/>
            <w:left w:val="none" w:sz="0" w:space="0" w:color="auto"/>
            <w:bottom w:val="none" w:sz="0" w:space="0" w:color="auto"/>
            <w:right w:val="none" w:sz="0" w:space="0" w:color="auto"/>
          </w:divBdr>
        </w:div>
        <w:div w:id="1021856280">
          <w:marLeft w:val="0"/>
          <w:marRight w:val="0"/>
          <w:marTop w:val="0"/>
          <w:marBottom w:val="0"/>
          <w:divBdr>
            <w:top w:val="none" w:sz="0" w:space="0" w:color="auto"/>
            <w:left w:val="none" w:sz="0" w:space="0" w:color="auto"/>
            <w:bottom w:val="none" w:sz="0" w:space="0" w:color="auto"/>
            <w:right w:val="none" w:sz="0" w:space="0" w:color="auto"/>
          </w:divBdr>
          <w:divsChild>
            <w:div w:id="332732145">
              <w:marLeft w:val="0"/>
              <w:marRight w:val="0"/>
              <w:marTop w:val="0"/>
              <w:marBottom w:val="0"/>
              <w:divBdr>
                <w:top w:val="none" w:sz="0" w:space="0" w:color="auto"/>
                <w:left w:val="none" w:sz="0" w:space="0" w:color="auto"/>
                <w:bottom w:val="none" w:sz="0" w:space="0" w:color="auto"/>
                <w:right w:val="none" w:sz="0" w:space="0" w:color="auto"/>
              </w:divBdr>
              <w:divsChild>
                <w:div w:id="89283521">
                  <w:marLeft w:val="0"/>
                  <w:marRight w:val="0"/>
                  <w:marTop w:val="0"/>
                  <w:marBottom w:val="0"/>
                  <w:divBdr>
                    <w:top w:val="none" w:sz="0" w:space="0" w:color="auto"/>
                    <w:left w:val="none" w:sz="0" w:space="0" w:color="auto"/>
                    <w:bottom w:val="none" w:sz="0" w:space="0" w:color="auto"/>
                    <w:right w:val="none" w:sz="0" w:space="0" w:color="auto"/>
                  </w:divBdr>
                  <w:divsChild>
                    <w:div w:id="1543635901">
                      <w:marLeft w:val="0"/>
                      <w:marRight w:val="0"/>
                      <w:marTop w:val="0"/>
                      <w:marBottom w:val="0"/>
                      <w:divBdr>
                        <w:top w:val="none" w:sz="0" w:space="0" w:color="auto"/>
                        <w:left w:val="none" w:sz="0" w:space="0" w:color="auto"/>
                        <w:bottom w:val="none" w:sz="0" w:space="0" w:color="auto"/>
                        <w:right w:val="none" w:sz="0" w:space="0" w:color="auto"/>
                      </w:divBdr>
                      <w:divsChild>
                        <w:div w:id="1021738066">
                          <w:marLeft w:val="0"/>
                          <w:marRight w:val="0"/>
                          <w:marTop w:val="0"/>
                          <w:marBottom w:val="0"/>
                          <w:divBdr>
                            <w:top w:val="none" w:sz="0" w:space="0" w:color="auto"/>
                            <w:left w:val="none" w:sz="0" w:space="0" w:color="auto"/>
                            <w:bottom w:val="none" w:sz="0" w:space="0" w:color="auto"/>
                            <w:right w:val="none" w:sz="0" w:space="0" w:color="auto"/>
                          </w:divBdr>
                        </w:div>
                        <w:div w:id="1332025298">
                          <w:marLeft w:val="0"/>
                          <w:marRight w:val="0"/>
                          <w:marTop w:val="0"/>
                          <w:marBottom w:val="0"/>
                          <w:divBdr>
                            <w:top w:val="none" w:sz="0" w:space="0" w:color="auto"/>
                            <w:left w:val="none" w:sz="0" w:space="0" w:color="auto"/>
                            <w:bottom w:val="none" w:sz="0" w:space="0" w:color="auto"/>
                            <w:right w:val="none" w:sz="0" w:space="0" w:color="auto"/>
                          </w:divBdr>
                          <w:divsChild>
                            <w:div w:id="395320035">
                              <w:marLeft w:val="0"/>
                              <w:marRight w:val="0"/>
                              <w:marTop w:val="0"/>
                              <w:marBottom w:val="0"/>
                              <w:divBdr>
                                <w:top w:val="none" w:sz="0" w:space="0" w:color="auto"/>
                                <w:left w:val="none" w:sz="0" w:space="0" w:color="auto"/>
                                <w:bottom w:val="none" w:sz="0" w:space="0" w:color="auto"/>
                                <w:right w:val="none" w:sz="0" w:space="0" w:color="auto"/>
                              </w:divBdr>
                              <w:divsChild>
                                <w:div w:id="1778210352">
                                  <w:marLeft w:val="0"/>
                                  <w:marRight w:val="0"/>
                                  <w:marTop w:val="0"/>
                                  <w:marBottom w:val="0"/>
                                  <w:divBdr>
                                    <w:top w:val="none" w:sz="0" w:space="0" w:color="auto"/>
                                    <w:left w:val="none" w:sz="0" w:space="0" w:color="auto"/>
                                    <w:bottom w:val="none" w:sz="0" w:space="0" w:color="auto"/>
                                    <w:right w:val="none" w:sz="0" w:space="0" w:color="auto"/>
                                  </w:divBdr>
                                </w:div>
                              </w:divsChild>
                            </w:div>
                            <w:div w:id="1933049995">
                              <w:marLeft w:val="0"/>
                              <w:marRight w:val="0"/>
                              <w:marTop w:val="0"/>
                              <w:marBottom w:val="0"/>
                              <w:divBdr>
                                <w:top w:val="none" w:sz="0" w:space="0" w:color="auto"/>
                                <w:left w:val="none" w:sz="0" w:space="0" w:color="auto"/>
                                <w:bottom w:val="none" w:sz="0" w:space="0" w:color="auto"/>
                                <w:right w:val="none" w:sz="0" w:space="0" w:color="auto"/>
                              </w:divBdr>
                              <w:divsChild>
                                <w:div w:id="193490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95016">
                          <w:marLeft w:val="0"/>
                          <w:marRight w:val="0"/>
                          <w:marTop w:val="0"/>
                          <w:marBottom w:val="0"/>
                          <w:divBdr>
                            <w:top w:val="none" w:sz="0" w:space="0" w:color="auto"/>
                            <w:left w:val="none" w:sz="0" w:space="0" w:color="auto"/>
                            <w:bottom w:val="none" w:sz="0" w:space="0" w:color="auto"/>
                            <w:right w:val="none" w:sz="0" w:space="0" w:color="auto"/>
                          </w:divBdr>
                        </w:div>
                      </w:divsChild>
                    </w:div>
                    <w:div w:id="1800344357">
                      <w:marLeft w:val="0"/>
                      <w:marRight w:val="0"/>
                      <w:marTop w:val="0"/>
                      <w:marBottom w:val="0"/>
                      <w:divBdr>
                        <w:top w:val="none" w:sz="0" w:space="0" w:color="auto"/>
                        <w:left w:val="none" w:sz="0" w:space="0" w:color="auto"/>
                        <w:bottom w:val="none" w:sz="0" w:space="0" w:color="auto"/>
                        <w:right w:val="none" w:sz="0" w:space="0" w:color="auto"/>
                      </w:divBdr>
                      <w:divsChild>
                        <w:div w:id="1248879149">
                          <w:marLeft w:val="0"/>
                          <w:marRight w:val="0"/>
                          <w:marTop w:val="0"/>
                          <w:marBottom w:val="0"/>
                          <w:divBdr>
                            <w:top w:val="none" w:sz="0" w:space="0" w:color="auto"/>
                            <w:left w:val="none" w:sz="0" w:space="0" w:color="auto"/>
                            <w:bottom w:val="none" w:sz="0" w:space="0" w:color="auto"/>
                            <w:right w:val="none" w:sz="0" w:space="0" w:color="auto"/>
                          </w:divBdr>
                          <w:divsChild>
                            <w:div w:id="169630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9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10998">
      <w:bodyDiv w:val="1"/>
      <w:marLeft w:val="0"/>
      <w:marRight w:val="0"/>
      <w:marTop w:val="0"/>
      <w:marBottom w:val="0"/>
      <w:divBdr>
        <w:top w:val="none" w:sz="0" w:space="0" w:color="auto"/>
        <w:left w:val="none" w:sz="0" w:space="0" w:color="auto"/>
        <w:bottom w:val="none" w:sz="0" w:space="0" w:color="auto"/>
        <w:right w:val="none" w:sz="0" w:space="0" w:color="auto"/>
      </w:divBdr>
    </w:div>
    <w:div w:id="513423519">
      <w:bodyDiv w:val="1"/>
      <w:marLeft w:val="0"/>
      <w:marRight w:val="0"/>
      <w:marTop w:val="0"/>
      <w:marBottom w:val="0"/>
      <w:divBdr>
        <w:top w:val="none" w:sz="0" w:space="0" w:color="auto"/>
        <w:left w:val="none" w:sz="0" w:space="0" w:color="auto"/>
        <w:bottom w:val="none" w:sz="0" w:space="0" w:color="auto"/>
        <w:right w:val="none" w:sz="0" w:space="0" w:color="auto"/>
      </w:divBdr>
    </w:div>
    <w:div w:id="515847071">
      <w:bodyDiv w:val="1"/>
      <w:marLeft w:val="0"/>
      <w:marRight w:val="0"/>
      <w:marTop w:val="0"/>
      <w:marBottom w:val="0"/>
      <w:divBdr>
        <w:top w:val="none" w:sz="0" w:space="0" w:color="auto"/>
        <w:left w:val="none" w:sz="0" w:space="0" w:color="auto"/>
        <w:bottom w:val="none" w:sz="0" w:space="0" w:color="auto"/>
        <w:right w:val="none" w:sz="0" w:space="0" w:color="auto"/>
      </w:divBdr>
    </w:div>
    <w:div w:id="516579567">
      <w:bodyDiv w:val="1"/>
      <w:marLeft w:val="120"/>
      <w:marRight w:val="120"/>
      <w:marTop w:val="0"/>
      <w:marBottom w:val="0"/>
      <w:divBdr>
        <w:top w:val="none" w:sz="0" w:space="0" w:color="auto"/>
        <w:left w:val="none" w:sz="0" w:space="0" w:color="auto"/>
        <w:bottom w:val="none" w:sz="0" w:space="0" w:color="auto"/>
        <w:right w:val="none" w:sz="0" w:space="0" w:color="auto"/>
      </w:divBdr>
      <w:divsChild>
        <w:div w:id="1624507083">
          <w:marLeft w:val="0"/>
          <w:marRight w:val="0"/>
          <w:marTop w:val="0"/>
          <w:marBottom w:val="0"/>
          <w:divBdr>
            <w:top w:val="none" w:sz="0" w:space="0" w:color="auto"/>
            <w:left w:val="none" w:sz="0" w:space="0" w:color="auto"/>
            <w:bottom w:val="none" w:sz="0" w:space="0" w:color="auto"/>
            <w:right w:val="none" w:sz="0" w:space="0" w:color="auto"/>
          </w:divBdr>
          <w:divsChild>
            <w:div w:id="136475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1147">
      <w:bodyDiv w:val="1"/>
      <w:marLeft w:val="0"/>
      <w:marRight w:val="0"/>
      <w:marTop w:val="0"/>
      <w:marBottom w:val="0"/>
      <w:divBdr>
        <w:top w:val="none" w:sz="0" w:space="0" w:color="auto"/>
        <w:left w:val="none" w:sz="0" w:space="0" w:color="auto"/>
        <w:bottom w:val="none" w:sz="0" w:space="0" w:color="auto"/>
        <w:right w:val="none" w:sz="0" w:space="0" w:color="auto"/>
      </w:divBdr>
    </w:div>
    <w:div w:id="539973627">
      <w:bodyDiv w:val="1"/>
      <w:marLeft w:val="0"/>
      <w:marRight w:val="0"/>
      <w:marTop w:val="0"/>
      <w:marBottom w:val="0"/>
      <w:divBdr>
        <w:top w:val="none" w:sz="0" w:space="0" w:color="auto"/>
        <w:left w:val="none" w:sz="0" w:space="0" w:color="auto"/>
        <w:bottom w:val="none" w:sz="0" w:space="0" w:color="auto"/>
        <w:right w:val="none" w:sz="0" w:space="0" w:color="auto"/>
      </w:divBdr>
    </w:div>
    <w:div w:id="544759869">
      <w:bodyDiv w:val="1"/>
      <w:marLeft w:val="0"/>
      <w:marRight w:val="0"/>
      <w:marTop w:val="0"/>
      <w:marBottom w:val="0"/>
      <w:divBdr>
        <w:top w:val="none" w:sz="0" w:space="0" w:color="auto"/>
        <w:left w:val="none" w:sz="0" w:space="0" w:color="auto"/>
        <w:bottom w:val="none" w:sz="0" w:space="0" w:color="auto"/>
        <w:right w:val="none" w:sz="0" w:space="0" w:color="auto"/>
      </w:divBdr>
    </w:div>
    <w:div w:id="589704657">
      <w:bodyDiv w:val="1"/>
      <w:marLeft w:val="0"/>
      <w:marRight w:val="0"/>
      <w:marTop w:val="0"/>
      <w:marBottom w:val="0"/>
      <w:divBdr>
        <w:top w:val="none" w:sz="0" w:space="0" w:color="auto"/>
        <w:left w:val="none" w:sz="0" w:space="0" w:color="auto"/>
        <w:bottom w:val="none" w:sz="0" w:space="0" w:color="auto"/>
        <w:right w:val="none" w:sz="0" w:space="0" w:color="auto"/>
      </w:divBdr>
    </w:div>
    <w:div w:id="597755310">
      <w:bodyDiv w:val="1"/>
      <w:marLeft w:val="0"/>
      <w:marRight w:val="0"/>
      <w:marTop w:val="0"/>
      <w:marBottom w:val="0"/>
      <w:divBdr>
        <w:top w:val="none" w:sz="0" w:space="0" w:color="auto"/>
        <w:left w:val="none" w:sz="0" w:space="0" w:color="auto"/>
        <w:bottom w:val="none" w:sz="0" w:space="0" w:color="auto"/>
        <w:right w:val="none" w:sz="0" w:space="0" w:color="auto"/>
      </w:divBdr>
    </w:div>
    <w:div w:id="619192763">
      <w:bodyDiv w:val="1"/>
      <w:marLeft w:val="100"/>
      <w:marRight w:val="100"/>
      <w:marTop w:val="0"/>
      <w:marBottom w:val="0"/>
      <w:divBdr>
        <w:top w:val="none" w:sz="0" w:space="0" w:color="auto"/>
        <w:left w:val="none" w:sz="0" w:space="0" w:color="auto"/>
        <w:bottom w:val="none" w:sz="0" w:space="0" w:color="auto"/>
        <w:right w:val="none" w:sz="0" w:space="0" w:color="auto"/>
      </w:divBdr>
      <w:divsChild>
        <w:div w:id="1534537682">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33070">
      <w:bodyDiv w:val="1"/>
      <w:marLeft w:val="0"/>
      <w:marRight w:val="0"/>
      <w:marTop w:val="0"/>
      <w:marBottom w:val="0"/>
      <w:divBdr>
        <w:top w:val="none" w:sz="0" w:space="0" w:color="auto"/>
        <w:left w:val="none" w:sz="0" w:space="0" w:color="auto"/>
        <w:bottom w:val="none" w:sz="0" w:space="0" w:color="auto"/>
        <w:right w:val="none" w:sz="0" w:space="0" w:color="auto"/>
      </w:divBdr>
    </w:div>
    <w:div w:id="641302400">
      <w:bodyDiv w:val="1"/>
      <w:marLeft w:val="0"/>
      <w:marRight w:val="0"/>
      <w:marTop w:val="0"/>
      <w:marBottom w:val="0"/>
      <w:divBdr>
        <w:top w:val="none" w:sz="0" w:space="0" w:color="auto"/>
        <w:left w:val="none" w:sz="0" w:space="0" w:color="auto"/>
        <w:bottom w:val="none" w:sz="0" w:space="0" w:color="auto"/>
        <w:right w:val="none" w:sz="0" w:space="0" w:color="auto"/>
      </w:divBdr>
    </w:div>
    <w:div w:id="657420220">
      <w:bodyDiv w:val="1"/>
      <w:marLeft w:val="0"/>
      <w:marRight w:val="0"/>
      <w:marTop w:val="0"/>
      <w:marBottom w:val="0"/>
      <w:divBdr>
        <w:top w:val="none" w:sz="0" w:space="0" w:color="auto"/>
        <w:left w:val="none" w:sz="0" w:space="0" w:color="auto"/>
        <w:bottom w:val="none" w:sz="0" w:space="0" w:color="auto"/>
        <w:right w:val="none" w:sz="0" w:space="0" w:color="auto"/>
      </w:divBdr>
    </w:div>
    <w:div w:id="699553829">
      <w:bodyDiv w:val="1"/>
      <w:marLeft w:val="0"/>
      <w:marRight w:val="0"/>
      <w:marTop w:val="0"/>
      <w:marBottom w:val="0"/>
      <w:divBdr>
        <w:top w:val="none" w:sz="0" w:space="0" w:color="auto"/>
        <w:left w:val="none" w:sz="0" w:space="0" w:color="auto"/>
        <w:bottom w:val="none" w:sz="0" w:space="0" w:color="auto"/>
        <w:right w:val="none" w:sz="0" w:space="0" w:color="auto"/>
      </w:divBdr>
    </w:div>
    <w:div w:id="700786571">
      <w:bodyDiv w:val="1"/>
      <w:marLeft w:val="0"/>
      <w:marRight w:val="0"/>
      <w:marTop w:val="0"/>
      <w:marBottom w:val="0"/>
      <w:divBdr>
        <w:top w:val="none" w:sz="0" w:space="0" w:color="auto"/>
        <w:left w:val="none" w:sz="0" w:space="0" w:color="auto"/>
        <w:bottom w:val="none" w:sz="0" w:space="0" w:color="auto"/>
        <w:right w:val="none" w:sz="0" w:space="0" w:color="auto"/>
      </w:divBdr>
    </w:div>
    <w:div w:id="701829458">
      <w:bodyDiv w:val="1"/>
      <w:marLeft w:val="0"/>
      <w:marRight w:val="0"/>
      <w:marTop w:val="0"/>
      <w:marBottom w:val="0"/>
      <w:divBdr>
        <w:top w:val="none" w:sz="0" w:space="0" w:color="auto"/>
        <w:left w:val="none" w:sz="0" w:space="0" w:color="auto"/>
        <w:bottom w:val="none" w:sz="0" w:space="0" w:color="auto"/>
        <w:right w:val="none" w:sz="0" w:space="0" w:color="auto"/>
      </w:divBdr>
    </w:div>
    <w:div w:id="754208867">
      <w:bodyDiv w:val="1"/>
      <w:marLeft w:val="0"/>
      <w:marRight w:val="0"/>
      <w:marTop w:val="0"/>
      <w:marBottom w:val="0"/>
      <w:divBdr>
        <w:top w:val="none" w:sz="0" w:space="0" w:color="auto"/>
        <w:left w:val="none" w:sz="0" w:space="0" w:color="auto"/>
        <w:bottom w:val="none" w:sz="0" w:space="0" w:color="auto"/>
        <w:right w:val="none" w:sz="0" w:space="0" w:color="auto"/>
      </w:divBdr>
      <w:divsChild>
        <w:div w:id="439497870">
          <w:marLeft w:val="0"/>
          <w:marRight w:val="0"/>
          <w:marTop w:val="0"/>
          <w:marBottom w:val="0"/>
          <w:divBdr>
            <w:top w:val="none" w:sz="0" w:space="0" w:color="auto"/>
            <w:left w:val="none" w:sz="0" w:space="0" w:color="auto"/>
            <w:bottom w:val="none" w:sz="0" w:space="0" w:color="auto"/>
            <w:right w:val="none" w:sz="0" w:space="0" w:color="auto"/>
          </w:divBdr>
          <w:divsChild>
            <w:div w:id="1603800476">
              <w:marLeft w:val="0"/>
              <w:marRight w:val="0"/>
              <w:marTop w:val="0"/>
              <w:marBottom w:val="0"/>
              <w:divBdr>
                <w:top w:val="none" w:sz="0" w:space="0" w:color="auto"/>
                <w:left w:val="none" w:sz="0" w:space="0" w:color="auto"/>
                <w:bottom w:val="none" w:sz="0" w:space="0" w:color="auto"/>
                <w:right w:val="none" w:sz="0" w:space="0" w:color="auto"/>
              </w:divBdr>
            </w:div>
          </w:divsChild>
        </w:div>
        <w:div w:id="818884235">
          <w:marLeft w:val="0"/>
          <w:marRight w:val="0"/>
          <w:marTop w:val="0"/>
          <w:marBottom w:val="0"/>
          <w:divBdr>
            <w:top w:val="none" w:sz="0" w:space="0" w:color="auto"/>
            <w:left w:val="none" w:sz="0" w:space="0" w:color="auto"/>
            <w:bottom w:val="none" w:sz="0" w:space="0" w:color="auto"/>
            <w:right w:val="none" w:sz="0" w:space="0" w:color="auto"/>
          </w:divBdr>
          <w:divsChild>
            <w:div w:id="101588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523296">
      <w:bodyDiv w:val="1"/>
      <w:marLeft w:val="0"/>
      <w:marRight w:val="0"/>
      <w:marTop w:val="0"/>
      <w:marBottom w:val="0"/>
      <w:divBdr>
        <w:top w:val="none" w:sz="0" w:space="0" w:color="auto"/>
        <w:left w:val="none" w:sz="0" w:space="0" w:color="auto"/>
        <w:bottom w:val="none" w:sz="0" w:space="0" w:color="auto"/>
        <w:right w:val="none" w:sz="0" w:space="0" w:color="auto"/>
      </w:divBdr>
    </w:div>
    <w:div w:id="790630797">
      <w:bodyDiv w:val="1"/>
      <w:marLeft w:val="0"/>
      <w:marRight w:val="0"/>
      <w:marTop w:val="0"/>
      <w:marBottom w:val="0"/>
      <w:divBdr>
        <w:top w:val="none" w:sz="0" w:space="0" w:color="auto"/>
        <w:left w:val="none" w:sz="0" w:space="0" w:color="auto"/>
        <w:bottom w:val="none" w:sz="0" w:space="0" w:color="auto"/>
        <w:right w:val="none" w:sz="0" w:space="0" w:color="auto"/>
      </w:divBdr>
    </w:div>
    <w:div w:id="803230209">
      <w:bodyDiv w:val="1"/>
      <w:marLeft w:val="0"/>
      <w:marRight w:val="0"/>
      <w:marTop w:val="0"/>
      <w:marBottom w:val="0"/>
      <w:divBdr>
        <w:top w:val="none" w:sz="0" w:space="0" w:color="auto"/>
        <w:left w:val="none" w:sz="0" w:space="0" w:color="auto"/>
        <w:bottom w:val="none" w:sz="0" w:space="0" w:color="auto"/>
        <w:right w:val="none" w:sz="0" w:space="0" w:color="auto"/>
      </w:divBdr>
    </w:div>
    <w:div w:id="816456528">
      <w:bodyDiv w:val="1"/>
      <w:marLeft w:val="0"/>
      <w:marRight w:val="0"/>
      <w:marTop w:val="0"/>
      <w:marBottom w:val="0"/>
      <w:divBdr>
        <w:top w:val="none" w:sz="0" w:space="0" w:color="auto"/>
        <w:left w:val="none" w:sz="0" w:space="0" w:color="auto"/>
        <w:bottom w:val="none" w:sz="0" w:space="0" w:color="auto"/>
        <w:right w:val="none" w:sz="0" w:space="0" w:color="auto"/>
      </w:divBdr>
    </w:div>
    <w:div w:id="835919352">
      <w:bodyDiv w:val="1"/>
      <w:marLeft w:val="0"/>
      <w:marRight w:val="0"/>
      <w:marTop w:val="0"/>
      <w:marBottom w:val="0"/>
      <w:divBdr>
        <w:top w:val="none" w:sz="0" w:space="0" w:color="auto"/>
        <w:left w:val="none" w:sz="0" w:space="0" w:color="auto"/>
        <w:bottom w:val="none" w:sz="0" w:space="0" w:color="auto"/>
        <w:right w:val="none" w:sz="0" w:space="0" w:color="auto"/>
      </w:divBdr>
    </w:div>
    <w:div w:id="891425531">
      <w:bodyDiv w:val="1"/>
      <w:marLeft w:val="0"/>
      <w:marRight w:val="0"/>
      <w:marTop w:val="0"/>
      <w:marBottom w:val="0"/>
      <w:divBdr>
        <w:top w:val="none" w:sz="0" w:space="0" w:color="auto"/>
        <w:left w:val="none" w:sz="0" w:space="0" w:color="auto"/>
        <w:bottom w:val="none" w:sz="0" w:space="0" w:color="auto"/>
        <w:right w:val="none" w:sz="0" w:space="0" w:color="auto"/>
      </w:divBdr>
    </w:div>
    <w:div w:id="904291290">
      <w:bodyDiv w:val="1"/>
      <w:marLeft w:val="0"/>
      <w:marRight w:val="0"/>
      <w:marTop w:val="0"/>
      <w:marBottom w:val="0"/>
      <w:divBdr>
        <w:top w:val="none" w:sz="0" w:space="0" w:color="auto"/>
        <w:left w:val="none" w:sz="0" w:space="0" w:color="auto"/>
        <w:bottom w:val="none" w:sz="0" w:space="0" w:color="auto"/>
        <w:right w:val="none" w:sz="0" w:space="0" w:color="auto"/>
      </w:divBdr>
    </w:div>
    <w:div w:id="956761053">
      <w:bodyDiv w:val="1"/>
      <w:marLeft w:val="0"/>
      <w:marRight w:val="0"/>
      <w:marTop w:val="0"/>
      <w:marBottom w:val="0"/>
      <w:divBdr>
        <w:top w:val="none" w:sz="0" w:space="0" w:color="auto"/>
        <w:left w:val="none" w:sz="0" w:space="0" w:color="auto"/>
        <w:bottom w:val="none" w:sz="0" w:space="0" w:color="auto"/>
        <w:right w:val="none" w:sz="0" w:space="0" w:color="auto"/>
      </w:divBdr>
    </w:div>
    <w:div w:id="964889396">
      <w:bodyDiv w:val="1"/>
      <w:marLeft w:val="109"/>
      <w:marRight w:val="109"/>
      <w:marTop w:val="0"/>
      <w:marBottom w:val="0"/>
      <w:divBdr>
        <w:top w:val="none" w:sz="0" w:space="0" w:color="auto"/>
        <w:left w:val="none" w:sz="0" w:space="0" w:color="auto"/>
        <w:bottom w:val="none" w:sz="0" w:space="0" w:color="auto"/>
        <w:right w:val="none" w:sz="0" w:space="0" w:color="auto"/>
      </w:divBdr>
      <w:divsChild>
        <w:div w:id="862281216">
          <w:marLeft w:val="0"/>
          <w:marRight w:val="0"/>
          <w:marTop w:val="0"/>
          <w:marBottom w:val="0"/>
          <w:divBdr>
            <w:top w:val="none" w:sz="0" w:space="0" w:color="auto"/>
            <w:left w:val="none" w:sz="0" w:space="0" w:color="auto"/>
            <w:bottom w:val="none" w:sz="0" w:space="0" w:color="auto"/>
            <w:right w:val="none" w:sz="0" w:space="0" w:color="auto"/>
          </w:divBdr>
          <w:divsChild>
            <w:div w:id="95737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2184">
      <w:bodyDiv w:val="1"/>
      <w:marLeft w:val="0"/>
      <w:marRight w:val="0"/>
      <w:marTop w:val="0"/>
      <w:marBottom w:val="0"/>
      <w:divBdr>
        <w:top w:val="none" w:sz="0" w:space="0" w:color="auto"/>
        <w:left w:val="none" w:sz="0" w:space="0" w:color="auto"/>
        <w:bottom w:val="none" w:sz="0" w:space="0" w:color="auto"/>
        <w:right w:val="none" w:sz="0" w:space="0" w:color="auto"/>
      </w:divBdr>
    </w:div>
    <w:div w:id="994139821">
      <w:bodyDiv w:val="1"/>
      <w:marLeft w:val="0"/>
      <w:marRight w:val="0"/>
      <w:marTop w:val="0"/>
      <w:marBottom w:val="0"/>
      <w:divBdr>
        <w:top w:val="none" w:sz="0" w:space="0" w:color="auto"/>
        <w:left w:val="none" w:sz="0" w:space="0" w:color="auto"/>
        <w:bottom w:val="none" w:sz="0" w:space="0" w:color="auto"/>
        <w:right w:val="none" w:sz="0" w:space="0" w:color="auto"/>
      </w:divBdr>
    </w:div>
    <w:div w:id="996155529">
      <w:bodyDiv w:val="1"/>
      <w:marLeft w:val="0"/>
      <w:marRight w:val="0"/>
      <w:marTop w:val="0"/>
      <w:marBottom w:val="0"/>
      <w:divBdr>
        <w:top w:val="none" w:sz="0" w:space="0" w:color="auto"/>
        <w:left w:val="none" w:sz="0" w:space="0" w:color="auto"/>
        <w:bottom w:val="none" w:sz="0" w:space="0" w:color="auto"/>
        <w:right w:val="none" w:sz="0" w:space="0" w:color="auto"/>
      </w:divBdr>
    </w:div>
    <w:div w:id="1005549600">
      <w:bodyDiv w:val="1"/>
      <w:marLeft w:val="0"/>
      <w:marRight w:val="0"/>
      <w:marTop w:val="0"/>
      <w:marBottom w:val="0"/>
      <w:divBdr>
        <w:top w:val="none" w:sz="0" w:space="0" w:color="auto"/>
        <w:left w:val="none" w:sz="0" w:space="0" w:color="auto"/>
        <w:bottom w:val="none" w:sz="0" w:space="0" w:color="auto"/>
        <w:right w:val="none" w:sz="0" w:space="0" w:color="auto"/>
      </w:divBdr>
    </w:div>
    <w:div w:id="1008168151">
      <w:bodyDiv w:val="1"/>
      <w:marLeft w:val="0"/>
      <w:marRight w:val="0"/>
      <w:marTop w:val="0"/>
      <w:marBottom w:val="0"/>
      <w:divBdr>
        <w:top w:val="none" w:sz="0" w:space="0" w:color="auto"/>
        <w:left w:val="none" w:sz="0" w:space="0" w:color="auto"/>
        <w:bottom w:val="none" w:sz="0" w:space="0" w:color="auto"/>
        <w:right w:val="none" w:sz="0" w:space="0" w:color="auto"/>
      </w:divBdr>
    </w:div>
    <w:div w:id="1019427421">
      <w:bodyDiv w:val="1"/>
      <w:marLeft w:val="100"/>
      <w:marRight w:val="100"/>
      <w:marTop w:val="0"/>
      <w:marBottom w:val="0"/>
      <w:divBdr>
        <w:top w:val="none" w:sz="0" w:space="0" w:color="auto"/>
        <w:left w:val="none" w:sz="0" w:space="0" w:color="auto"/>
        <w:bottom w:val="none" w:sz="0" w:space="0" w:color="auto"/>
        <w:right w:val="none" w:sz="0" w:space="0" w:color="auto"/>
      </w:divBdr>
      <w:divsChild>
        <w:div w:id="461466403">
          <w:marLeft w:val="0"/>
          <w:marRight w:val="0"/>
          <w:marTop w:val="0"/>
          <w:marBottom w:val="0"/>
          <w:divBdr>
            <w:top w:val="none" w:sz="0" w:space="0" w:color="auto"/>
            <w:left w:val="none" w:sz="0" w:space="0" w:color="auto"/>
            <w:bottom w:val="none" w:sz="0" w:space="0" w:color="auto"/>
            <w:right w:val="none" w:sz="0" w:space="0" w:color="auto"/>
          </w:divBdr>
          <w:divsChild>
            <w:div w:id="1444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319583">
      <w:bodyDiv w:val="1"/>
      <w:marLeft w:val="0"/>
      <w:marRight w:val="0"/>
      <w:marTop w:val="0"/>
      <w:marBottom w:val="0"/>
      <w:divBdr>
        <w:top w:val="none" w:sz="0" w:space="0" w:color="auto"/>
        <w:left w:val="none" w:sz="0" w:space="0" w:color="auto"/>
        <w:bottom w:val="none" w:sz="0" w:space="0" w:color="auto"/>
        <w:right w:val="none" w:sz="0" w:space="0" w:color="auto"/>
      </w:divBdr>
    </w:div>
    <w:div w:id="1076171246">
      <w:bodyDiv w:val="1"/>
      <w:marLeft w:val="0"/>
      <w:marRight w:val="0"/>
      <w:marTop w:val="0"/>
      <w:marBottom w:val="0"/>
      <w:divBdr>
        <w:top w:val="none" w:sz="0" w:space="0" w:color="auto"/>
        <w:left w:val="none" w:sz="0" w:space="0" w:color="auto"/>
        <w:bottom w:val="none" w:sz="0" w:space="0" w:color="auto"/>
        <w:right w:val="none" w:sz="0" w:space="0" w:color="auto"/>
      </w:divBdr>
    </w:div>
    <w:div w:id="1091972082">
      <w:bodyDiv w:val="1"/>
      <w:marLeft w:val="0"/>
      <w:marRight w:val="0"/>
      <w:marTop w:val="0"/>
      <w:marBottom w:val="0"/>
      <w:divBdr>
        <w:top w:val="none" w:sz="0" w:space="0" w:color="auto"/>
        <w:left w:val="none" w:sz="0" w:space="0" w:color="auto"/>
        <w:bottom w:val="none" w:sz="0" w:space="0" w:color="auto"/>
        <w:right w:val="none" w:sz="0" w:space="0" w:color="auto"/>
      </w:divBdr>
    </w:div>
    <w:div w:id="1101606716">
      <w:bodyDiv w:val="1"/>
      <w:marLeft w:val="0"/>
      <w:marRight w:val="0"/>
      <w:marTop w:val="0"/>
      <w:marBottom w:val="0"/>
      <w:divBdr>
        <w:top w:val="none" w:sz="0" w:space="0" w:color="auto"/>
        <w:left w:val="none" w:sz="0" w:space="0" w:color="auto"/>
        <w:bottom w:val="none" w:sz="0" w:space="0" w:color="auto"/>
        <w:right w:val="none" w:sz="0" w:space="0" w:color="auto"/>
      </w:divBdr>
    </w:div>
    <w:div w:id="1119446575">
      <w:bodyDiv w:val="1"/>
      <w:marLeft w:val="0"/>
      <w:marRight w:val="0"/>
      <w:marTop w:val="0"/>
      <w:marBottom w:val="0"/>
      <w:divBdr>
        <w:top w:val="none" w:sz="0" w:space="0" w:color="auto"/>
        <w:left w:val="none" w:sz="0" w:space="0" w:color="auto"/>
        <w:bottom w:val="none" w:sz="0" w:space="0" w:color="auto"/>
        <w:right w:val="none" w:sz="0" w:space="0" w:color="auto"/>
      </w:divBdr>
    </w:div>
    <w:div w:id="1165361545">
      <w:bodyDiv w:val="1"/>
      <w:marLeft w:val="0"/>
      <w:marRight w:val="0"/>
      <w:marTop w:val="0"/>
      <w:marBottom w:val="0"/>
      <w:divBdr>
        <w:top w:val="none" w:sz="0" w:space="0" w:color="auto"/>
        <w:left w:val="none" w:sz="0" w:space="0" w:color="auto"/>
        <w:bottom w:val="none" w:sz="0" w:space="0" w:color="auto"/>
        <w:right w:val="none" w:sz="0" w:space="0" w:color="auto"/>
      </w:divBdr>
    </w:div>
    <w:div w:id="1177649006">
      <w:bodyDiv w:val="1"/>
      <w:marLeft w:val="0"/>
      <w:marRight w:val="0"/>
      <w:marTop w:val="0"/>
      <w:marBottom w:val="0"/>
      <w:divBdr>
        <w:top w:val="none" w:sz="0" w:space="0" w:color="auto"/>
        <w:left w:val="none" w:sz="0" w:space="0" w:color="auto"/>
        <w:bottom w:val="none" w:sz="0" w:space="0" w:color="auto"/>
        <w:right w:val="none" w:sz="0" w:space="0" w:color="auto"/>
      </w:divBdr>
    </w:div>
    <w:div w:id="1185169097">
      <w:bodyDiv w:val="1"/>
      <w:marLeft w:val="0"/>
      <w:marRight w:val="0"/>
      <w:marTop w:val="0"/>
      <w:marBottom w:val="0"/>
      <w:divBdr>
        <w:top w:val="none" w:sz="0" w:space="0" w:color="auto"/>
        <w:left w:val="none" w:sz="0" w:space="0" w:color="auto"/>
        <w:bottom w:val="none" w:sz="0" w:space="0" w:color="auto"/>
        <w:right w:val="none" w:sz="0" w:space="0" w:color="auto"/>
      </w:divBdr>
    </w:div>
    <w:div w:id="1194198189">
      <w:bodyDiv w:val="1"/>
      <w:marLeft w:val="0"/>
      <w:marRight w:val="0"/>
      <w:marTop w:val="0"/>
      <w:marBottom w:val="0"/>
      <w:divBdr>
        <w:top w:val="none" w:sz="0" w:space="0" w:color="auto"/>
        <w:left w:val="none" w:sz="0" w:space="0" w:color="auto"/>
        <w:bottom w:val="none" w:sz="0" w:space="0" w:color="auto"/>
        <w:right w:val="none" w:sz="0" w:space="0" w:color="auto"/>
      </w:divBdr>
    </w:div>
    <w:div w:id="1197768009">
      <w:bodyDiv w:val="1"/>
      <w:marLeft w:val="0"/>
      <w:marRight w:val="0"/>
      <w:marTop w:val="0"/>
      <w:marBottom w:val="0"/>
      <w:divBdr>
        <w:top w:val="none" w:sz="0" w:space="0" w:color="auto"/>
        <w:left w:val="none" w:sz="0" w:space="0" w:color="auto"/>
        <w:bottom w:val="none" w:sz="0" w:space="0" w:color="auto"/>
        <w:right w:val="none" w:sz="0" w:space="0" w:color="auto"/>
      </w:divBdr>
    </w:div>
    <w:div w:id="1213614397">
      <w:bodyDiv w:val="1"/>
      <w:marLeft w:val="0"/>
      <w:marRight w:val="0"/>
      <w:marTop w:val="0"/>
      <w:marBottom w:val="0"/>
      <w:divBdr>
        <w:top w:val="none" w:sz="0" w:space="0" w:color="auto"/>
        <w:left w:val="none" w:sz="0" w:space="0" w:color="auto"/>
        <w:bottom w:val="none" w:sz="0" w:space="0" w:color="auto"/>
        <w:right w:val="none" w:sz="0" w:space="0" w:color="auto"/>
      </w:divBdr>
      <w:divsChild>
        <w:div w:id="1350989664">
          <w:marLeft w:val="0"/>
          <w:marRight w:val="0"/>
          <w:marTop w:val="0"/>
          <w:marBottom w:val="0"/>
          <w:divBdr>
            <w:top w:val="none" w:sz="0" w:space="0" w:color="auto"/>
            <w:left w:val="none" w:sz="0" w:space="0" w:color="auto"/>
            <w:bottom w:val="none" w:sz="0" w:space="0" w:color="auto"/>
            <w:right w:val="none" w:sz="0" w:space="0" w:color="auto"/>
          </w:divBdr>
          <w:divsChild>
            <w:div w:id="265188728">
              <w:marLeft w:val="0"/>
              <w:marRight w:val="0"/>
              <w:marTop w:val="0"/>
              <w:marBottom w:val="0"/>
              <w:divBdr>
                <w:top w:val="none" w:sz="0" w:space="0" w:color="auto"/>
                <w:left w:val="none" w:sz="0" w:space="0" w:color="auto"/>
                <w:bottom w:val="none" w:sz="0" w:space="0" w:color="auto"/>
                <w:right w:val="none" w:sz="0" w:space="0" w:color="auto"/>
              </w:divBdr>
              <w:divsChild>
                <w:div w:id="307591982">
                  <w:marLeft w:val="0"/>
                  <w:marRight w:val="0"/>
                  <w:marTop w:val="0"/>
                  <w:marBottom w:val="0"/>
                  <w:divBdr>
                    <w:top w:val="none" w:sz="0" w:space="0" w:color="auto"/>
                    <w:left w:val="none" w:sz="0" w:space="0" w:color="auto"/>
                    <w:bottom w:val="none" w:sz="0" w:space="0" w:color="auto"/>
                    <w:right w:val="none" w:sz="0" w:space="0" w:color="auto"/>
                  </w:divBdr>
                </w:div>
                <w:div w:id="1232083546">
                  <w:marLeft w:val="0"/>
                  <w:marRight w:val="0"/>
                  <w:marTop w:val="0"/>
                  <w:marBottom w:val="0"/>
                  <w:divBdr>
                    <w:top w:val="none" w:sz="0" w:space="0" w:color="auto"/>
                    <w:left w:val="none" w:sz="0" w:space="0" w:color="auto"/>
                    <w:bottom w:val="none" w:sz="0" w:space="0" w:color="auto"/>
                    <w:right w:val="none" w:sz="0" w:space="0" w:color="auto"/>
                  </w:divBdr>
                  <w:divsChild>
                    <w:div w:id="179112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89838">
              <w:marLeft w:val="0"/>
              <w:marRight w:val="0"/>
              <w:marTop w:val="0"/>
              <w:marBottom w:val="0"/>
              <w:divBdr>
                <w:top w:val="none" w:sz="0" w:space="0" w:color="auto"/>
                <w:left w:val="none" w:sz="0" w:space="0" w:color="auto"/>
                <w:bottom w:val="none" w:sz="0" w:space="0" w:color="auto"/>
                <w:right w:val="none" w:sz="0" w:space="0" w:color="auto"/>
              </w:divBdr>
              <w:divsChild>
                <w:div w:id="375547328">
                  <w:marLeft w:val="0"/>
                  <w:marRight w:val="0"/>
                  <w:marTop w:val="0"/>
                  <w:marBottom w:val="0"/>
                  <w:divBdr>
                    <w:top w:val="none" w:sz="0" w:space="0" w:color="auto"/>
                    <w:left w:val="none" w:sz="0" w:space="0" w:color="auto"/>
                    <w:bottom w:val="none" w:sz="0" w:space="0" w:color="auto"/>
                    <w:right w:val="none" w:sz="0" w:space="0" w:color="auto"/>
                  </w:divBdr>
                  <w:divsChild>
                    <w:div w:id="264386281">
                      <w:marLeft w:val="0"/>
                      <w:marRight w:val="0"/>
                      <w:marTop w:val="0"/>
                      <w:marBottom w:val="0"/>
                      <w:divBdr>
                        <w:top w:val="none" w:sz="0" w:space="0" w:color="auto"/>
                        <w:left w:val="none" w:sz="0" w:space="0" w:color="auto"/>
                        <w:bottom w:val="none" w:sz="0" w:space="0" w:color="auto"/>
                        <w:right w:val="none" w:sz="0" w:space="0" w:color="auto"/>
                      </w:divBdr>
                      <w:divsChild>
                        <w:div w:id="1599025406">
                          <w:marLeft w:val="0"/>
                          <w:marRight w:val="0"/>
                          <w:marTop w:val="0"/>
                          <w:marBottom w:val="0"/>
                          <w:divBdr>
                            <w:top w:val="none" w:sz="0" w:space="0" w:color="auto"/>
                            <w:left w:val="none" w:sz="0" w:space="0" w:color="auto"/>
                            <w:bottom w:val="none" w:sz="0" w:space="0" w:color="auto"/>
                            <w:right w:val="none" w:sz="0" w:space="0" w:color="auto"/>
                          </w:divBdr>
                        </w:div>
                      </w:divsChild>
                    </w:div>
                    <w:div w:id="383212661">
                      <w:marLeft w:val="0"/>
                      <w:marRight w:val="0"/>
                      <w:marTop w:val="0"/>
                      <w:marBottom w:val="0"/>
                      <w:divBdr>
                        <w:top w:val="none" w:sz="0" w:space="0" w:color="auto"/>
                        <w:left w:val="none" w:sz="0" w:space="0" w:color="auto"/>
                        <w:bottom w:val="none" w:sz="0" w:space="0" w:color="auto"/>
                        <w:right w:val="none" w:sz="0" w:space="0" w:color="auto"/>
                      </w:divBdr>
                      <w:divsChild>
                        <w:div w:id="513765985">
                          <w:marLeft w:val="0"/>
                          <w:marRight w:val="0"/>
                          <w:marTop w:val="0"/>
                          <w:marBottom w:val="0"/>
                          <w:divBdr>
                            <w:top w:val="none" w:sz="0" w:space="0" w:color="auto"/>
                            <w:left w:val="none" w:sz="0" w:space="0" w:color="auto"/>
                            <w:bottom w:val="none" w:sz="0" w:space="0" w:color="auto"/>
                            <w:right w:val="none" w:sz="0" w:space="0" w:color="auto"/>
                          </w:divBdr>
                        </w:div>
                      </w:divsChild>
                    </w:div>
                    <w:div w:id="1367020477">
                      <w:marLeft w:val="0"/>
                      <w:marRight w:val="0"/>
                      <w:marTop w:val="0"/>
                      <w:marBottom w:val="0"/>
                      <w:divBdr>
                        <w:top w:val="none" w:sz="0" w:space="0" w:color="auto"/>
                        <w:left w:val="none" w:sz="0" w:space="0" w:color="auto"/>
                        <w:bottom w:val="none" w:sz="0" w:space="0" w:color="auto"/>
                        <w:right w:val="none" w:sz="0" w:space="0" w:color="auto"/>
                      </w:divBdr>
                      <w:divsChild>
                        <w:div w:id="358091425">
                          <w:marLeft w:val="0"/>
                          <w:marRight w:val="0"/>
                          <w:marTop w:val="0"/>
                          <w:marBottom w:val="0"/>
                          <w:divBdr>
                            <w:top w:val="none" w:sz="0" w:space="0" w:color="auto"/>
                            <w:left w:val="none" w:sz="0" w:space="0" w:color="auto"/>
                            <w:bottom w:val="none" w:sz="0" w:space="0" w:color="auto"/>
                            <w:right w:val="none" w:sz="0" w:space="0" w:color="auto"/>
                          </w:divBdr>
                        </w:div>
                      </w:divsChild>
                    </w:div>
                    <w:div w:id="1878815327">
                      <w:marLeft w:val="0"/>
                      <w:marRight w:val="0"/>
                      <w:marTop w:val="0"/>
                      <w:marBottom w:val="0"/>
                      <w:divBdr>
                        <w:top w:val="none" w:sz="0" w:space="0" w:color="auto"/>
                        <w:left w:val="none" w:sz="0" w:space="0" w:color="auto"/>
                        <w:bottom w:val="none" w:sz="0" w:space="0" w:color="auto"/>
                        <w:right w:val="none" w:sz="0" w:space="0" w:color="auto"/>
                      </w:divBdr>
                      <w:divsChild>
                        <w:div w:id="1151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6336">
                  <w:marLeft w:val="0"/>
                  <w:marRight w:val="0"/>
                  <w:marTop w:val="0"/>
                  <w:marBottom w:val="0"/>
                  <w:divBdr>
                    <w:top w:val="none" w:sz="0" w:space="0" w:color="auto"/>
                    <w:left w:val="none" w:sz="0" w:space="0" w:color="auto"/>
                    <w:bottom w:val="none" w:sz="0" w:space="0" w:color="auto"/>
                    <w:right w:val="none" w:sz="0" w:space="0" w:color="auto"/>
                  </w:divBdr>
                  <w:divsChild>
                    <w:div w:id="233928776">
                      <w:marLeft w:val="0"/>
                      <w:marRight w:val="0"/>
                      <w:marTop w:val="0"/>
                      <w:marBottom w:val="0"/>
                      <w:divBdr>
                        <w:top w:val="none" w:sz="0" w:space="0" w:color="auto"/>
                        <w:left w:val="none" w:sz="0" w:space="0" w:color="auto"/>
                        <w:bottom w:val="none" w:sz="0" w:space="0" w:color="auto"/>
                        <w:right w:val="none" w:sz="0" w:space="0" w:color="auto"/>
                      </w:divBdr>
                      <w:divsChild>
                        <w:div w:id="6713165">
                          <w:marLeft w:val="0"/>
                          <w:marRight w:val="0"/>
                          <w:marTop w:val="0"/>
                          <w:marBottom w:val="0"/>
                          <w:divBdr>
                            <w:top w:val="single" w:sz="6" w:space="0" w:color="FFFFFF"/>
                            <w:left w:val="single" w:sz="6" w:space="0" w:color="FFFFFF"/>
                            <w:bottom w:val="none" w:sz="0" w:space="0" w:color="auto"/>
                            <w:right w:val="single" w:sz="6" w:space="0" w:color="FFFFFF"/>
                          </w:divBdr>
                          <w:divsChild>
                            <w:div w:id="590772171">
                              <w:marLeft w:val="0"/>
                              <w:marRight w:val="0"/>
                              <w:marTop w:val="0"/>
                              <w:marBottom w:val="0"/>
                              <w:divBdr>
                                <w:top w:val="none" w:sz="0" w:space="0" w:color="auto"/>
                                <w:left w:val="none" w:sz="0" w:space="0" w:color="auto"/>
                                <w:bottom w:val="none" w:sz="0" w:space="0" w:color="auto"/>
                                <w:right w:val="none" w:sz="0" w:space="0" w:color="auto"/>
                              </w:divBdr>
                              <w:divsChild>
                                <w:div w:id="1357654133">
                                  <w:marLeft w:val="0"/>
                                  <w:marRight w:val="0"/>
                                  <w:marTop w:val="0"/>
                                  <w:marBottom w:val="0"/>
                                  <w:divBdr>
                                    <w:top w:val="none" w:sz="0" w:space="0" w:color="auto"/>
                                    <w:left w:val="none" w:sz="0" w:space="0" w:color="auto"/>
                                    <w:bottom w:val="none" w:sz="0" w:space="0" w:color="auto"/>
                                    <w:right w:val="none" w:sz="0" w:space="0" w:color="auto"/>
                                  </w:divBdr>
                                </w:div>
                              </w:divsChild>
                            </w:div>
                            <w:div w:id="1122192842">
                              <w:marLeft w:val="0"/>
                              <w:marRight w:val="0"/>
                              <w:marTop w:val="0"/>
                              <w:marBottom w:val="0"/>
                              <w:divBdr>
                                <w:top w:val="none" w:sz="0" w:space="0" w:color="auto"/>
                                <w:left w:val="none" w:sz="0" w:space="0" w:color="auto"/>
                                <w:bottom w:val="none" w:sz="0" w:space="0" w:color="auto"/>
                                <w:right w:val="none" w:sz="0" w:space="0" w:color="auto"/>
                              </w:divBdr>
                              <w:divsChild>
                                <w:div w:id="207688300">
                                  <w:marLeft w:val="0"/>
                                  <w:marRight w:val="0"/>
                                  <w:marTop w:val="0"/>
                                  <w:marBottom w:val="0"/>
                                  <w:divBdr>
                                    <w:top w:val="none" w:sz="0" w:space="0" w:color="auto"/>
                                    <w:left w:val="none" w:sz="0" w:space="0" w:color="auto"/>
                                    <w:bottom w:val="none" w:sz="0" w:space="0" w:color="auto"/>
                                    <w:right w:val="none" w:sz="0" w:space="0" w:color="auto"/>
                                  </w:divBdr>
                                </w:div>
                                <w:div w:id="261961569">
                                  <w:marLeft w:val="0"/>
                                  <w:marRight w:val="0"/>
                                  <w:marTop w:val="0"/>
                                  <w:marBottom w:val="0"/>
                                  <w:divBdr>
                                    <w:top w:val="none" w:sz="0" w:space="0" w:color="auto"/>
                                    <w:left w:val="none" w:sz="0" w:space="0" w:color="auto"/>
                                    <w:bottom w:val="none" w:sz="0" w:space="0" w:color="auto"/>
                                    <w:right w:val="none" w:sz="0" w:space="0" w:color="auto"/>
                                  </w:divBdr>
                                </w:div>
                                <w:div w:id="507252248">
                                  <w:marLeft w:val="0"/>
                                  <w:marRight w:val="0"/>
                                  <w:marTop w:val="0"/>
                                  <w:marBottom w:val="0"/>
                                  <w:divBdr>
                                    <w:top w:val="none" w:sz="0" w:space="0" w:color="auto"/>
                                    <w:left w:val="none" w:sz="0" w:space="0" w:color="auto"/>
                                    <w:bottom w:val="none" w:sz="0" w:space="0" w:color="auto"/>
                                    <w:right w:val="none" w:sz="0" w:space="0" w:color="auto"/>
                                  </w:divBdr>
                                </w:div>
                                <w:div w:id="1154295140">
                                  <w:marLeft w:val="0"/>
                                  <w:marRight w:val="0"/>
                                  <w:marTop w:val="0"/>
                                  <w:marBottom w:val="0"/>
                                  <w:divBdr>
                                    <w:top w:val="none" w:sz="0" w:space="0" w:color="auto"/>
                                    <w:left w:val="none" w:sz="0" w:space="0" w:color="auto"/>
                                    <w:bottom w:val="none" w:sz="0" w:space="0" w:color="auto"/>
                                    <w:right w:val="none" w:sz="0" w:space="0" w:color="auto"/>
                                  </w:divBdr>
                                </w:div>
                                <w:div w:id="141585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826028">
                  <w:marLeft w:val="0"/>
                  <w:marRight w:val="0"/>
                  <w:marTop w:val="0"/>
                  <w:marBottom w:val="0"/>
                  <w:divBdr>
                    <w:top w:val="none" w:sz="0" w:space="0" w:color="auto"/>
                    <w:left w:val="none" w:sz="0" w:space="0" w:color="auto"/>
                    <w:bottom w:val="none" w:sz="0" w:space="0" w:color="auto"/>
                    <w:right w:val="none" w:sz="0" w:space="0" w:color="auto"/>
                  </w:divBdr>
                </w:div>
                <w:div w:id="2119831731">
                  <w:marLeft w:val="0"/>
                  <w:marRight w:val="0"/>
                  <w:marTop w:val="0"/>
                  <w:marBottom w:val="0"/>
                  <w:divBdr>
                    <w:top w:val="none" w:sz="0" w:space="0" w:color="auto"/>
                    <w:left w:val="none" w:sz="0" w:space="0" w:color="auto"/>
                    <w:bottom w:val="none" w:sz="0" w:space="0" w:color="auto"/>
                    <w:right w:val="none" w:sz="0" w:space="0" w:color="auto"/>
                  </w:divBdr>
                  <w:divsChild>
                    <w:div w:id="26568711">
                      <w:blockQuote w:val="1"/>
                      <w:marLeft w:val="720"/>
                      <w:marRight w:val="720"/>
                      <w:marTop w:val="100"/>
                      <w:marBottom w:val="100"/>
                      <w:divBdr>
                        <w:top w:val="none" w:sz="0" w:space="0" w:color="auto"/>
                        <w:left w:val="none" w:sz="0" w:space="0" w:color="auto"/>
                        <w:bottom w:val="none" w:sz="0" w:space="0" w:color="auto"/>
                        <w:right w:val="none" w:sz="0" w:space="0" w:color="auto"/>
                      </w:divBdr>
                    </w:div>
                    <w:div w:id="69161357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097084">
      <w:bodyDiv w:val="1"/>
      <w:marLeft w:val="0"/>
      <w:marRight w:val="0"/>
      <w:marTop w:val="0"/>
      <w:marBottom w:val="0"/>
      <w:divBdr>
        <w:top w:val="none" w:sz="0" w:space="0" w:color="auto"/>
        <w:left w:val="none" w:sz="0" w:space="0" w:color="auto"/>
        <w:bottom w:val="none" w:sz="0" w:space="0" w:color="auto"/>
        <w:right w:val="none" w:sz="0" w:space="0" w:color="auto"/>
      </w:divBdr>
    </w:div>
    <w:div w:id="1234973194">
      <w:bodyDiv w:val="1"/>
      <w:marLeft w:val="100"/>
      <w:marRight w:val="100"/>
      <w:marTop w:val="0"/>
      <w:marBottom w:val="0"/>
      <w:divBdr>
        <w:top w:val="none" w:sz="0" w:space="0" w:color="auto"/>
        <w:left w:val="none" w:sz="0" w:space="0" w:color="auto"/>
        <w:bottom w:val="none" w:sz="0" w:space="0" w:color="auto"/>
        <w:right w:val="none" w:sz="0" w:space="0" w:color="auto"/>
      </w:divBdr>
      <w:divsChild>
        <w:div w:id="1715537358">
          <w:marLeft w:val="0"/>
          <w:marRight w:val="0"/>
          <w:marTop w:val="0"/>
          <w:marBottom w:val="0"/>
          <w:divBdr>
            <w:top w:val="none" w:sz="0" w:space="0" w:color="auto"/>
            <w:left w:val="none" w:sz="0" w:space="0" w:color="auto"/>
            <w:bottom w:val="none" w:sz="0" w:space="0" w:color="auto"/>
            <w:right w:val="none" w:sz="0" w:space="0" w:color="auto"/>
          </w:divBdr>
          <w:divsChild>
            <w:div w:id="8129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57594">
      <w:bodyDiv w:val="1"/>
      <w:marLeft w:val="0"/>
      <w:marRight w:val="0"/>
      <w:marTop w:val="0"/>
      <w:marBottom w:val="0"/>
      <w:divBdr>
        <w:top w:val="none" w:sz="0" w:space="0" w:color="auto"/>
        <w:left w:val="none" w:sz="0" w:space="0" w:color="auto"/>
        <w:bottom w:val="none" w:sz="0" w:space="0" w:color="auto"/>
        <w:right w:val="none" w:sz="0" w:space="0" w:color="auto"/>
      </w:divBdr>
      <w:divsChild>
        <w:div w:id="577205599">
          <w:marLeft w:val="0"/>
          <w:marRight w:val="0"/>
          <w:marTop w:val="0"/>
          <w:marBottom w:val="0"/>
          <w:divBdr>
            <w:top w:val="none" w:sz="0" w:space="0" w:color="auto"/>
            <w:left w:val="none" w:sz="0" w:space="0" w:color="auto"/>
            <w:bottom w:val="none" w:sz="0" w:space="0" w:color="auto"/>
            <w:right w:val="none" w:sz="0" w:space="0" w:color="auto"/>
          </w:divBdr>
        </w:div>
        <w:div w:id="615909612">
          <w:marLeft w:val="0"/>
          <w:marRight w:val="0"/>
          <w:marTop w:val="0"/>
          <w:marBottom w:val="0"/>
          <w:divBdr>
            <w:top w:val="none" w:sz="0" w:space="0" w:color="auto"/>
            <w:left w:val="none" w:sz="0" w:space="0" w:color="auto"/>
            <w:bottom w:val="none" w:sz="0" w:space="0" w:color="auto"/>
            <w:right w:val="none" w:sz="0" w:space="0" w:color="auto"/>
          </w:divBdr>
        </w:div>
        <w:div w:id="1560168574">
          <w:marLeft w:val="0"/>
          <w:marRight w:val="0"/>
          <w:marTop w:val="0"/>
          <w:marBottom w:val="0"/>
          <w:divBdr>
            <w:top w:val="none" w:sz="0" w:space="0" w:color="auto"/>
            <w:left w:val="none" w:sz="0" w:space="0" w:color="auto"/>
            <w:bottom w:val="none" w:sz="0" w:space="0" w:color="auto"/>
            <w:right w:val="none" w:sz="0" w:space="0" w:color="auto"/>
          </w:divBdr>
        </w:div>
      </w:divsChild>
    </w:div>
    <w:div w:id="1241018765">
      <w:bodyDiv w:val="1"/>
      <w:marLeft w:val="0"/>
      <w:marRight w:val="0"/>
      <w:marTop w:val="0"/>
      <w:marBottom w:val="0"/>
      <w:divBdr>
        <w:top w:val="none" w:sz="0" w:space="0" w:color="auto"/>
        <w:left w:val="none" w:sz="0" w:space="0" w:color="auto"/>
        <w:bottom w:val="none" w:sz="0" w:space="0" w:color="auto"/>
        <w:right w:val="none" w:sz="0" w:space="0" w:color="auto"/>
      </w:divBdr>
    </w:div>
    <w:div w:id="1289697581">
      <w:bodyDiv w:val="1"/>
      <w:marLeft w:val="0"/>
      <w:marRight w:val="0"/>
      <w:marTop w:val="0"/>
      <w:marBottom w:val="0"/>
      <w:divBdr>
        <w:top w:val="none" w:sz="0" w:space="0" w:color="auto"/>
        <w:left w:val="none" w:sz="0" w:space="0" w:color="auto"/>
        <w:bottom w:val="none" w:sz="0" w:space="0" w:color="auto"/>
        <w:right w:val="none" w:sz="0" w:space="0" w:color="auto"/>
      </w:divBdr>
    </w:div>
    <w:div w:id="1291978814">
      <w:bodyDiv w:val="1"/>
      <w:marLeft w:val="0"/>
      <w:marRight w:val="0"/>
      <w:marTop w:val="0"/>
      <w:marBottom w:val="0"/>
      <w:divBdr>
        <w:top w:val="none" w:sz="0" w:space="0" w:color="auto"/>
        <w:left w:val="none" w:sz="0" w:space="0" w:color="auto"/>
        <w:bottom w:val="none" w:sz="0" w:space="0" w:color="auto"/>
        <w:right w:val="none" w:sz="0" w:space="0" w:color="auto"/>
      </w:divBdr>
    </w:div>
    <w:div w:id="1293710373">
      <w:bodyDiv w:val="1"/>
      <w:marLeft w:val="0"/>
      <w:marRight w:val="0"/>
      <w:marTop w:val="0"/>
      <w:marBottom w:val="0"/>
      <w:divBdr>
        <w:top w:val="none" w:sz="0" w:space="0" w:color="auto"/>
        <w:left w:val="none" w:sz="0" w:space="0" w:color="auto"/>
        <w:bottom w:val="none" w:sz="0" w:space="0" w:color="auto"/>
        <w:right w:val="none" w:sz="0" w:space="0" w:color="auto"/>
      </w:divBdr>
    </w:div>
    <w:div w:id="1311441121">
      <w:bodyDiv w:val="1"/>
      <w:marLeft w:val="0"/>
      <w:marRight w:val="0"/>
      <w:marTop w:val="0"/>
      <w:marBottom w:val="0"/>
      <w:divBdr>
        <w:top w:val="none" w:sz="0" w:space="0" w:color="auto"/>
        <w:left w:val="none" w:sz="0" w:space="0" w:color="auto"/>
        <w:bottom w:val="none" w:sz="0" w:space="0" w:color="auto"/>
        <w:right w:val="none" w:sz="0" w:space="0" w:color="auto"/>
      </w:divBdr>
      <w:divsChild>
        <w:div w:id="520362675">
          <w:marLeft w:val="0"/>
          <w:marRight w:val="0"/>
          <w:marTop w:val="0"/>
          <w:marBottom w:val="0"/>
          <w:divBdr>
            <w:top w:val="none" w:sz="0" w:space="0" w:color="auto"/>
            <w:left w:val="none" w:sz="0" w:space="0" w:color="auto"/>
            <w:bottom w:val="none" w:sz="0" w:space="0" w:color="auto"/>
            <w:right w:val="none" w:sz="0" w:space="0" w:color="auto"/>
          </w:divBdr>
        </w:div>
        <w:div w:id="591936301">
          <w:marLeft w:val="0"/>
          <w:marRight w:val="0"/>
          <w:marTop w:val="0"/>
          <w:marBottom w:val="0"/>
          <w:divBdr>
            <w:top w:val="none" w:sz="0" w:space="0" w:color="auto"/>
            <w:left w:val="none" w:sz="0" w:space="0" w:color="auto"/>
            <w:bottom w:val="none" w:sz="0" w:space="0" w:color="auto"/>
            <w:right w:val="none" w:sz="0" w:space="0" w:color="auto"/>
          </w:divBdr>
          <w:divsChild>
            <w:div w:id="529419958">
              <w:marLeft w:val="0"/>
              <w:marRight w:val="0"/>
              <w:marTop w:val="0"/>
              <w:marBottom w:val="0"/>
              <w:divBdr>
                <w:top w:val="none" w:sz="0" w:space="0" w:color="auto"/>
                <w:left w:val="none" w:sz="0" w:space="0" w:color="auto"/>
                <w:bottom w:val="none" w:sz="0" w:space="0" w:color="auto"/>
                <w:right w:val="none" w:sz="0" w:space="0" w:color="auto"/>
              </w:divBdr>
            </w:div>
            <w:div w:id="1500582227">
              <w:marLeft w:val="0"/>
              <w:marRight w:val="0"/>
              <w:marTop w:val="0"/>
              <w:marBottom w:val="0"/>
              <w:divBdr>
                <w:top w:val="none" w:sz="0" w:space="0" w:color="auto"/>
                <w:left w:val="none" w:sz="0" w:space="0" w:color="auto"/>
                <w:bottom w:val="none" w:sz="0" w:space="0" w:color="auto"/>
                <w:right w:val="none" w:sz="0" w:space="0" w:color="auto"/>
              </w:divBdr>
              <w:divsChild>
                <w:div w:id="1751466618">
                  <w:marLeft w:val="0"/>
                  <w:marRight w:val="0"/>
                  <w:marTop w:val="0"/>
                  <w:marBottom w:val="0"/>
                  <w:divBdr>
                    <w:top w:val="none" w:sz="0" w:space="0" w:color="auto"/>
                    <w:left w:val="none" w:sz="0" w:space="0" w:color="auto"/>
                    <w:bottom w:val="none" w:sz="0" w:space="0" w:color="auto"/>
                    <w:right w:val="none" w:sz="0" w:space="0" w:color="auto"/>
                  </w:divBdr>
                  <w:divsChild>
                    <w:div w:id="131214707">
                      <w:marLeft w:val="0"/>
                      <w:marRight w:val="0"/>
                      <w:marTop w:val="0"/>
                      <w:marBottom w:val="0"/>
                      <w:divBdr>
                        <w:top w:val="none" w:sz="0" w:space="0" w:color="auto"/>
                        <w:left w:val="none" w:sz="0" w:space="0" w:color="auto"/>
                        <w:bottom w:val="none" w:sz="0" w:space="0" w:color="auto"/>
                        <w:right w:val="none" w:sz="0" w:space="0" w:color="auto"/>
                      </w:divBdr>
                      <w:divsChild>
                        <w:div w:id="1208102170">
                          <w:marLeft w:val="0"/>
                          <w:marRight w:val="0"/>
                          <w:marTop w:val="0"/>
                          <w:marBottom w:val="0"/>
                          <w:divBdr>
                            <w:top w:val="none" w:sz="0" w:space="0" w:color="auto"/>
                            <w:left w:val="none" w:sz="0" w:space="0" w:color="auto"/>
                            <w:bottom w:val="none" w:sz="0" w:space="0" w:color="auto"/>
                            <w:right w:val="none" w:sz="0" w:space="0" w:color="auto"/>
                          </w:divBdr>
                        </w:div>
                        <w:div w:id="1369178586">
                          <w:marLeft w:val="0"/>
                          <w:marRight w:val="0"/>
                          <w:marTop w:val="0"/>
                          <w:marBottom w:val="0"/>
                          <w:divBdr>
                            <w:top w:val="none" w:sz="0" w:space="0" w:color="auto"/>
                            <w:left w:val="none" w:sz="0" w:space="0" w:color="auto"/>
                            <w:bottom w:val="none" w:sz="0" w:space="0" w:color="auto"/>
                            <w:right w:val="none" w:sz="0" w:space="0" w:color="auto"/>
                          </w:divBdr>
                          <w:divsChild>
                            <w:div w:id="389614158">
                              <w:marLeft w:val="0"/>
                              <w:marRight w:val="0"/>
                              <w:marTop w:val="0"/>
                              <w:marBottom w:val="0"/>
                              <w:divBdr>
                                <w:top w:val="none" w:sz="0" w:space="0" w:color="auto"/>
                                <w:left w:val="none" w:sz="0" w:space="0" w:color="auto"/>
                                <w:bottom w:val="none" w:sz="0" w:space="0" w:color="auto"/>
                                <w:right w:val="none" w:sz="0" w:space="0" w:color="auto"/>
                              </w:divBdr>
                              <w:divsChild>
                                <w:div w:id="473451155">
                                  <w:marLeft w:val="0"/>
                                  <w:marRight w:val="0"/>
                                  <w:marTop w:val="0"/>
                                  <w:marBottom w:val="0"/>
                                  <w:divBdr>
                                    <w:top w:val="none" w:sz="0" w:space="0" w:color="auto"/>
                                    <w:left w:val="none" w:sz="0" w:space="0" w:color="auto"/>
                                    <w:bottom w:val="none" w:sz="0" w:space="0" w:color="auto"/>
                                    <w:right w:val="none" w:sz="0" w:space="0" w:color="auto"/>
                                  </w:divBdr>
                                </w:div>
                              </w:divsChild>
                            </w:div>
                            <w:div w:id="1468084528">
                              <w:marLeft w:val="0"/>
                              <w:marRight w:val="0"/>
                              <w:marTop w:val="0"/>
                              <w:marBottom w:val="0"/>
                              <w:divBdr>
                                <w:top w:val="none" w:sz="0" w:space="0" w:color="auto"/>
                                <w:left w:val="none" w:sz="0" w:space="0" w:color="auto"/>
                                <w:bottom w:val="none" w:sz="0" w:space="0" w:color="auto"/>
                                <w:right w:val="none" w:sz="0" w:space="0" w:color="auto"/>
                              </w:divBdr>
                              <w:divsChild>
                                <w:div w:id="142110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05202">
                          <w:marLeft w:val="0"/>
                          <w:marRight w:val="0"/>
                          <w:marTop w:val="0"/>
                          <w:marBottom w:val="0"/>
                          <w:divBdr>
                            <w:top w:val="none" w:sz="0" w:space="0" w:color="auto"/>
                            <w:left w:val="none" w:sz="0" w:space="0" w:color="auto"/>
                            <w:bottom w:val="none" w:sz="0" w:space="0" w:color="auto"/>
                            <w:right w:val="none" w:sz="0" w:space="0" w:color="auto"/>
                          </w:divBdr>
                        </w:div>
                      </w:divsChild>
                    </w:div>
                    <w:div w:id="401605024">
                      <w:marLeft w:val="0"/>
                      <w:marRight w:val="0"/>
                      <w:marTop w:val="0"/>
                      <w:marBottom w:val="0"/>
                      <w:divBdr>
                        <w:top w:val="none" w:sz="0" w:space="0" w:color="auto"/>
                        <w:left w:val="none" w:sz="0" w:space="0" w:color="auto"/>
                        <w:bottom w:val="none" w:sz="0" w:space="0" w:color="auto"/>
                        <w:right w:val="none" w:sz="0" w:space="0" w:color="auto"/>
                      </w:divBdr>
                      <w:divsChild>
                        <w:div w:id="1485273020">
                          <w:marLeft w:val="0"/>
                          <w:marRight w:val="0"/>
                          <w:marTop w:val="0"/>
                          <w:marBottom w:val="0"/>
                          <w:divBdr>
                            <w:top w:val="none" w:sz="0" w:space="0" w:color="auto"/>
                            <w:left w:val="none" w:sz="0" w:space="0" w:color="auto"/>
                            <w:bottom w:val="none" w:sz="0" w:space="0" w:color="auto"/>
                            <w:right w:val="none" w:sz="0" w:space="0" w:color="auto"/>
                          </w:divBdr>
                          <w:divsChild>
                            <w:div w:id="89647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3840886">
          <w:marLeft w:val="0"/>
          <w:marRight w:val="0"/>
          <w:marTop w:val="0"/>
          <w:marBottom w:val="0"/>
          <w:divBdr>
            <w:top w:val="none" w:sz="0" w:space="0" w:color="auto"/>
            <w:left w:val="none" w:sz="0" w:space="0" w:color="auto"/>
            <w:bottom w:val="none" w:sz="0" w:space="0" w:color="auto"/>
            <w:right w:val="none" w:sz="0" w:space="0" w:color="auto"/>
          </w:divBdr>
          <w:divsChild>
            <w:div w:id="358363099">
              <w:marLeft w:val="0"/>
              <w:marRight w:val="0"/>
              <w:marTop w:val="0"/>
              <w:marBottom w:val="0"/>
              <w:divBdr>
                <w:top w:val="none" w:sz="0" w:space="0" w:color="auto"/>
                <w:left w:val="none" w:sz="0" w:space="0" w:color="auto"/>
                <w:bottom w:val="none" w:sz="0" w:space="0" w:color="auto"/>
                <w:right w:val="none" w:sz="0" w:space="0" w:color="auto"/>
              </w:divBdr>
            </w:div>
            <w:div w:id="468521426">
              <w:marLeft w:val="0"/>
              <w:marRight w:val="0"/>
              <w:marTop w:val="0"/>
              <w:marBottom w:val="0"/>
              <w:divBdr>
                <w:top w:val="none" w:sz="0" w:space="0" w:color="auto"/>
                <w:left w:val="none" w:sz="0" w:space="0" w:color="auto"/>
                <w:bottom w:val="none" w:sz="0" w:space="0" w:color="auto"/>
                <w:right w:val="none" w:sz="0" w:space="0" w:color="auto"/>
              </w:divBdr>
            </w:div>
            <w:div w:id="711269855">
              <w:marLeft w:val="0"/>
              <w:marRight w:val="0"/>
              <w:marTop w:val="0"/>
              <w:marBottom w:val="0"/>
              <w:divBdr>
                <w:top w:val="none" w:sz="0" w:space="0" w:color="auto"/>
                <w:left w:val="none" w:sz="0" w:space="0" w:color="auto"/>
                <w:bottom w:val="none" w:sz="0" w:space="0" w:color="auto"/>
                <w:right w:val="none" w:sz="0" w:space="0" w:color="auto"/>
              </w:divBdr>
            </w:div>
            <w:div w:id="835264213">
              <w:marLeft w:val="0"/>
              <w:marRight w:val="0"/>
              <w:marTop w:val="0"/>
              <w:marBottom w:val="0"/>
              <w:divBdr>
                <w:top w:val="none" w:sz="0" w:space="0" w:color="auto"/>
                <w:left w:val="none" w:sz="0" w:space="0" w:color="auto"/>
                <w:bottom w:val="none" w:sz="0" w:space="0" w:color="auto"/>
                <w:right w:val="none" w:sz="0" w:space="0" w:color="auto"/>
              </w:divBdr>
            </w:div>
            <w:div w:id="1152991570">
              <w:marLeft w:val="0"/>
              <w:marRight w:val="0"/>
              <w:marTop w:val="0"/>
              <w:marBottom w:val="0"/>
              <w:divBdr>
                <w:top w:val="none" w:sz="0" w:space="0" w:color="auto"/>
                <w:left w:val="none" w:sz="0" w:space="0" w:color="auto"/>
                <w:bottom w:val="none" w:sz="0" w:space="0" w:color="auto"/>
                <w:right w:val="none" w:sz="0" w:space="0" w:color="auto"/>
              </w:divBdr>
            </w:div>
            <w:div w:id="1205943928">
              <w:marLeft w:val="0"/>
              <w:marRight w:val="0"/>
              <w:marTop w:val="0"/>
              <w:marBottom w:val="0"/>
              <w:divBdr>
                <w:top w:val="none" w:sz="0" w:space="0" w:color="auto"/>
                <w:left w:val="none" w:sz="0" w:space="0" w:color="auto"/>
                <w:bottom w:val="none" w:sz="0" w:space="0" w:color="auto"/>
                <w:right w:val="none" w:sz="0" w:space="0" w:color="auto"/>
              </w:divBdr>
            </w:div>
            <w:div w:id="1244488834">
              <w:marLeft w:val="0"/>
              <w:marRight w:val="0"/>
              <w:marTop w:val="0"/>
              <w:marBottom w:val="0"/>
              <w:divBdr>
                <w:top w:val="none" w:sz="0" w:space="0" w:color="auto"/>
                <w:left w:val="none" w:sz="0" w:space="0" w:color="auto"/>
                <w:bottom w:val="none" w:sz="0" w:space="0" w:color="auto"/>
                <w:right w:val="none" w:sz="0" w:space="0" w:color="auto"/>
              </w:divBdr>
            </w:div>
            <w:div w:id="155985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000350">
      <w:bodyDiv w:val="1"/>
      <w:marLeft w:val="0"/>
      <w:marRight w:val="0"/>
      <w:marTop w:val="0"/>
      <w:marBottom w:val="0"/>
      <w:divBdr>
        <w:top w:val="none" w:sz="0" w:space="0" w:color="auto"/>
        <w:left w:val="none" w:sz="0" w:space="0" w:color="auto"/>
        <w:bottom w:val="none" w:sz="0" w:space="0" w:color="auto"/>
        <w:right w:val="none" w:sz="0" w:space="0" w:color="auto"/>
      </w:divBdr>
    </w:div>
    <w:div w:id="1326468337">
      <w:marLeft w:val="0"/>
      <w:marRight w:val="0"/>
      <w:marTop w:val="0"/>
      <w:marBottom w:val="0"/>
      <w:divBdr>
        <w:top w:val="none" w:sz="0" w:space="0" w:color="auto"/>
        <w:left w:val="none" w:sz="0" w:space="0" w:color="auto"/>
        <w:bottom w:val="none" w:sz="0" w:space="0" w:color="auto"/>
        <w:right w:val="none" w:sz="0" w:space="0" w:color="auto"/>
      </w:divBdr>
      <w:divsChild>
        <w:div w:id="1326468373">
          <w:marLeft w:val="0"/>
          <w:marRight w:val="0"/>
          <w:marTop w:val="0"/>
          <w:marBottom w:val="0"/>
          <w:divBdr>
            <w:top w:val="none" w:sz="0" w:space="0" w:color="auto"/>
            <w:left w:val="none" w:sz="0" w:space="0" w:color="auto"/>
            <w:bottom w:val="none" w:sz="0" w:space="0" w:color="auto"/>
            <w:right w:val="none" w:sz="0" w:space="0" w:color="auto"/>
          </w:divBdr>
          <w:divsChild>
            <w:div w:id="1326468388">
              <w:marLeft w:val="0"/>
              <w:marRight w:val="0"/>
              <w:marTop w:val="0"/>
              <w:marBottom w:val="0"/>
              <w:divBdr>
                <w:top w:val="none" w:sz="0" w:space="0" w:color="auto"/>
                <w:left w:val="none" w:sz="0" w:space="0" w:color="auto"/>
                <w:bottom w:val="none" w:sz="0" w:space="0" w:color="auto"/>
                <w:right w:val="none" w:sz="0" w:space="0" w:color="auto"/>
              </w:divBdr>
              <w:divsChild>
                <w:div w:id="1326468368">
                  <w:marLeft w:val="225"/>
                  <w:marRight w:val="150"/>
                  <w:marTop w:val="15"/>
                  <w:marBottom w:val="0"/>
                  <w:divBdr>
                    <w:top w:val="none" w:sz="0" w:space="0" w:color="auto"/>
                    <w:left w:val="none" w:sz="0" w:space="0" w:color="auto"/>
                    <w:bottom w:val="none" w:sz="0" w:space="0" w:color="auto"/>
                    <w:right w:val="none" w:sz="0" w:space="0" w:color="auto"/>
                  </w:divBdr>
                  <w:divsChild>
                    <w:div w:id="1326468342">
                      <w:marLeft w:val="0"/>
                      <w:marRight w:val="0"/>
                      <w:marTop w:val="0"/>
                      <w:marBottom w:val="0"/>
                      <w:divBdr>
                        <w:top w:val="none" w:sz="0" w:space="0" w:color="auto"/>
                        <w:left w:val="none" w:sz="0" w:space="0" w:color="auto"/>
                        <w:bottom w:val="none" w:sz="0" w:space="0" w:color="auto"/>
                        <w:right w:val="none" w:sz="0" w:space="0" w:color="auto"/>
                      </w:divBdr>
                      <w:divsChild>
                        <w:div w:id="1326468409">
                          <w:marLeft w:val="0"/>
                          <w:marRight w:val="0"/>
                          <w:marTop w:val="0"/>
                          <w:marBottom w:val="0"/>
                          <w:divBdr>
                            <w:top w:val="none" w:sz="0" w:space="0" w:color="auto"/>
                            <w:left w:val="none" w:sz="0" w:space="0" w:color="auto"/>
                            <w:bottom w:val="none" w:sz="0" w:space="0" w:color="auto"/>
                            <w:right w:val="none" w:sz="0" w:space="0" w:color="auto"/>
                          </w:divBdr>
                          <w:divsChild>
                            <w:div w:id="1326468391">
                              <w:marLeft w:val="0"/>
                              <w:marRight w:val="0"/>
                              <w:marTop w:val="0"/>
                              <w:marBottom w:val="0"/>
                              <w:divBdr>
                                <w:top w:val="none" w:sz="0" w:space="0" w:color="auto"/>
                                <w:left w:val="none" w:sz="0" w:space="0" w:color="auto"/>
                                <w:bottom w:val="none" w:sz="0" w:space="0" w:color="auto"/>
                                <w:right w:val="none" w:sz="0" w:space="0" w:color="auto"/>
                              </w:divBdr>
                              <w:divsChild>
                                <w:div w:id="1326468355">
                                  <w:marLeft w:val="0"/>
                                  <w:marRight w:val="0"/>
                                  <w:marTop w:val="0"/>
                                  <w:marBottom w:val="0"/>
                                  <w:divBdr>
                                    <w:top w:val="none" w:sz="0" w:space="0" w:color="auto"/>
                                    <w:left w:val="none" w:sz="0" w:space="0" w:color="auto"/>
                                    <w:bottom w:val="none" w:sz="0" w:space="0" w:color="auto"/>
                                    <w:right w:val="none" w:sz="0" w:space="0" w:color="auto"/>
                                  </w:divBdr>
                                  <w:divsChild>
                                    <w:div w:id="1326468361">
                                      <w:marLeft w:val="0"/>
                                      <w:marRight w:val="0"/>
                                      <w:marTop w:val="0"/>
                                      <w:marBottom w:val="0"/>
                                      <w:divBdr>
                                        <w:top w:val="none" w:sz="0" w:space="0" w:color="auto"/>
                                        <w:left w:val="none" w:sz="0" w:space="0" w:color="auto"/>
                                        <w:bottom w:val="none" w:sz="0" w:space="0" w:color="auto"/>
                                        <w:right w:val="none" w:sz="0" w:space="0" w:color="auto"/>
                                      </w:divBdr>
                                      <w:divsChild>
                                        <w:div w:id="1326468395">
                                          <w:marLeft w:val="0"/>
                                          <w:marRight w:val="0"/>
                                          <w:marTop w:val="0"/>
                                          <w:marBottom w:val="0"/>
                                          <w:divBdr>
                                            <w:top w:val="none" w:sz="0" w:space="0" w:color="auto"/>
                                            <w:left w:val="none" w:sz="0" w:space="0" w:color="auto"/>
                                            <w:bottom w:val="none" w:sz="0" w:space="0" w:color="auto"/>
                                            <w:right w:val="none" w:sz="0" w:space="0" w:color="auto"/>
                                          </w:divBdr>
                                        </w:div>
                                        <w:div w:id="1326468404">
                                          <w:marLeft w:val="0"/>
                                          <w:marRight w:val="0"/>
                                          <w:marTop w:val="0"/>
                                          <w:marBottom w:val="0"/>
                                          <w:divBdr>
                                            <w:top w:val="none" w:sz="0" w:space="0" w:color="auto"/>
                                            <w:left w:val="none" w:sz="0" w:space="0" w:color="auto"/>
                                            <w:bottom w:val="none" w:sz="0" w:space="0" w:color="auto"/>
                                            <w:right w:val="none" w:sz="0" w:space="0" w:color="auto"/>
                                          </w:divBdr>
                                        </w:div>
                                        <w:div w:id="13264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6468349">
      <w:marLeft w:val="0"/>
      <w:marRight w:val="0"/>
      <w:marTop w:val="0"/>
      <w:marBottom w:val="0"/>
      <w:divBdr>
        <w:top w:val="none" w:sz="0" w:space="0" w:color="auto"/>
        <w:left w:val="none" w:sz="0" w:space="0" w:color="auto"/>
        <w:bottom w:val="none" w:sz="0" w:space="0" w:color="auto"/>
        <w:right w:val="none" w:sz="0" w:space="0" w:color="auto"/>
      </w:divBdr>
      <w:divsChild>
        <w:div w:id="1326468406">
          <w:marLeft w:val="0"/>
          <w:marRight w:val="0"/>
          <w:marTop w:val="0"/>
          <w:marBottom w:val="0"/>
          <w:divBdr>
            <w:top w:val="none" w:sz="0" w:space="0" w:color="auto"/>
            <w:left w:val="none" w:sz="0" w:space="0" w:color="auto"/>
            <w:bottom w:val="none" w:sz="0" w:space="0" w:color="auto"/>
            <w:right w:val="none" w:sz="0" w:space="0" w:color="auto"/>
          </w:divBdr>
          <w:divsChild>
            <w:div w:id="1326468417">
              <w:marLeft w:val="0"/>
              <w:marRight w:val="0"/>
              <w:marTop w:val="0"/>
              <w:marBottom w:val="0"/>
              <w:divBdr>
                <w:top w:val="none" w:sz="0" w:space="0" w:color="auto"/>
                <w:left w:val="none" w:sz="0" w:space="0" w:color="auto"/>
                <w:bottom w:val="none" w:sz="0" w:space="0" w:color="auto"/>
                <w:right w:val="none" w:sz="0" w:space="0" w:color="auto"/>
              </w:divBdr>
              <w:divsChild>
                <w:div w:id="1326468416">
                  <w:marLeft w:val="225"/>
                  <w:marRight w:val="150"/>
                  <w:marTop w:val="15"/>
                  <w:marBottom w:val="0"/>
                  <w:divBdr>
                    <w:top w:val="none" w:sz="0" w:space="0" w:color="auto"/>
                    <w:left w:val="none" w:sz="0" w:space="0" w:color="auto"/>
                    <w:bottom w:val="none" w:sz="0" w:space="0" w:color="auto"/>
                    <w:right w:val="none" w:sz="0" w:space="0" w:color="auto"/>
                  </w:divBdr>
                  <w:divsChild>
                    <w:div w:id="1326468434">
                      <w:marLeft w:val="0"/>
                      <w:marRight w:val="0"/>
                      <w:marTop w:val="0"/>
                      <w:marBottom w:val="0"/>
                      <w:divBdr>
                        <w:top w:val="none" w:sz="0" w:space="0" w:color="auto"/>
                        <w:left w:val="none" w:sz="0" w:space="0" w:color="auto"/>
                        <w:bottom w:val="none" w:sz="0" w:space="0" w:color="auto"/>
                        <w:right w:val="none" w:sz="0" w:space="0" w:color="auto"/>
                      </w:divBdr>
                      <w:divsChild>
                        <w:div w:id="1326468366">
                          <w:marLeft w:val="0"/>
                          <w:marRight w:val="0"/>
                          <w:marTop w:val="0"/>
                          <w:marBottom w:val="0"/>
                          <w:divBdr>
                            <w:top w:val="none" w:sz="0" w:space="0" w:color="auto"/>
                            <w:left w:val="none" w:sz="0" w:space="0" w:color="auto"/>
                            <w:bottom w:val="none" w:sz="0" w:space="0" w:color="auto"/>
                            <w:right w:val="none" w:sz="0" w:space="0" w:color="auto"/>
                          </w:divBdr>
                          <w:divsChild>
                            <w:div w:id="1326468343">
                              <w:marLeft w:val="0"/>
                              <w:marRight w:val="0"/>
                              <w:marTop w:val="0"/>
                              <w:marBottom w:val="0"/>
                              <w:divBdr>
                                <w:top w:val="none" w:sz="0" w:space="0" w:color="auto"/>
                                <w:left w:val="none" w:sz="0" w:space="0" w:color="auto"/>
                                <w:bottom w:val="none" w:sz="0" w:space="0" w:color="auto"/>
                                <w:right w:val="none" w:sz="0" w:space="0" w:color="auto"/>
                              </w:divBdr>
                              <w:divsChild>
                                <w:div w:id="1326468362">
                                  <w:marLeft w:val="0"/>
                                  <w:marRight w:val="0"/>
                                  <w:marTop w:val="0"/>
                                  <w:marBottom w:val="0"/>
                                  <w:divBdr>
                                    <w:top w:val="none" w:sz="0" w:space="0" w:color="auto"/>
                                    <w:left w:val="none" w:sz="0" w:space="0" w:color="auto"/>
                                    <w:bottom w:val="none" w:sz="0" w:space="0" w:color="auto"/>
                                    <w:right w:val="none" w:sz="0" w:space="0" w:color="auto"/>
                                  </w:divBdr>
                                  <w:divsChild>
                                    <w:div w:id="1326468438">
                                      <w:marLeft w:val="0"/>
                                      <w:marRight w:val="0"/>
                                      <w:marTop w:val="0"/>
                                      <w:marBottom w:val="0"/>
                                      <w:divBdr>
                                        <w:top w:val="none" w:sz="0" w:space="0" w:color="auto"/>
                                        <w:left w:val="none" w:sz="0" w:space="0" w:color="auto"/>
                                        <w:bottom w:val="none" w:sz="0" w:space="0" w:color="auto"/>
                                        <w:right w:val="none" w:sz="0" w:space="0" w:color="auto"/>
                                      </w:divBdr>
                                      <w:divsChild>
                                        <w:div w:id="1326468353">
                                          <w:marLeft w:val="0"/>
                                          <w:marRight w:val="0"/>
                                          <w:marTop w:val="0"/>
                                          <w:marBottom w:val="0"/>
                                          <w:divBdr>
                                            <w:top w:val="none" w:sz="0" w:space="0" w:color="auto"/>
                                            <w:left w:val="none" w:sz="0" w:space="0" w:color="auto"/>
                                            <w:bottom w:val="none" w:sz="0" w:space="0" w:color="auto"/>
                                            <w:right w:val="none" w:sz="0" w:space="0" w:color="auto"/>
                                          </w:divBdr>
                                        </w:div>
                                        <w:div w:id="1326468359">
                                          <w:marLeft w:val="0"/>
                                          <w:marRight w:val="0"/>
                                          <w:marTop w:val="0"/>
                                          <w:marBottom w:val="0"/>
                                          <w:divBdr>
                                            <w:top w:val="none" w:sz="0" w:space="0" w:color="auto"/>
                                            <w:left w:val="none" w:sz="0" w:space="0" w:color="auto"/>
                                            <w:bottom w:val="none" w:sz="0" w:space="0" w:color="auto"/>
                                            <w:right w:val="none" w:sz="0" w:space="0" w:color="auto"/>
                                          </w:divBdr>
                                        </w:div>
                                        <w:div w:id="13264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6468372">
      <w:marLeft w:val="0"/>
      <w:marRight w:val="0"/>
      <w:marTop w:val="0"/>
      <w:marBottom w:val="0"/>
      <w:divBdr>
        <w:top w:val="none" w:sz="0" w:space="0" w:color="auto"/>
        <w:left w:val="none" w:sz="0" w:space="0" w:color="auto"/>
        <w:bottom w:val="none" w:sz="0" w:space="0" w:color="auto"/>
        <w:right w:val="none" w:sz="0" w:space="0" w:color="auto"/>
      </w:divBdr>
      <w:divsChild>
        <w:div w:id="1326468387">
          <w:marLeft w:val="0"/>
          <w:marRight w:val="0"/>
          <w:marTop w:val="0"/>
          <w:marBottom w:val="0"/>
          <w:divBdr>
            <w:top w:val="none" w:sz="0" w:space="0" w:color="auto"/>
            <w:left w:val="none" w:sz="0" w:space="0" w:color="auto"/>
            <w:bottom w:val="none" w:sz="0" w:space="0" w:color="auto"/>
            <w:right w:val="none" w:sz="0" w:space="0" w:color="auto"/>
          </w:divBdr>
          <w:divsChild>
            <w:div w:id="1326468380">
              <w:marLeft w:val="0"/>
              <w:marRight w:val="0"/>
              <w:marTop w:val="0"/>
              <w:marBottom w:val="0"/>
              <w:divBdr>
                <w:top w:val="none" w:sz="0" w:space="0" w:color="auto"/>
                <w:left w:val="none" w:sz="0" w:space="0" w:color="auto"/>
                <w:bottom w:val="none" w:sz="0" w:space="0" w:color="auto"/>
                <w:right w:val="none" w:sz="0" w:space="0" w:color="auto"/>
              </w:divBdr>
              <w:divsChild>
                <w:div w:id="1326468374">
                  <w:marLeft w:val="225"/>
                  <w:marRight w:val="150"/>
                  <w:marTop w:val="15"/>
                  <w:marBottom w:val="0"/>
                  <w:divBdr>
                    <w:top w:val="none" w:sz="0" w:space="0" w:color="auto"/>
                    <w:left w:val="none" w:sz="0" w:space="0" w:color="auto"/>
                    <w:bottom w:val="none" w:sz="0" w:space="0" w:color="auto"/>
                    <w:right w:val="none" w:sz="0" w:space="0" w:color="auto"/>
                  </w:divBdr>
                  <w:divsChild>
                    <w:div w:id="1326468412">
                      <w:marLeft w:val="0"/>
                      <w:marRight w:val="0"/>
                      <w:marTop w:val="0"/>
                      <w:marBottom w:val="0"/>
                      <w:divBdr>
                        <w:top w:val="none" w:sz="0" w:space="0" w:color="auto"/>
                        <w:left w:val="none" w:sz="0" w:space="0" w:color="auto"/>
                        <w:bottom w:val="none" w:sz="0" w:space="0" w:color="auto"/>
                        <w:right w:val="none" w:sz="0" w:space="0" w:color="auto"/>
                      </w:divBdr>
                      <w:divsChild>
                        <w:div w:id="1326468403">
                          <w:marLeft w:val="0"/>
                          <w:marRight w:val="0"/>
                          <w:marTop w:val="0"/>
                          <w:marBottom w:val="0"/>
                          <w:divBdr>
                            <w:top w:val="none" w:sz="0" w:space="0" w:color="auto"/>
                            <w:left w:val="none" w:sz="0" w:space="0" w:color="auto"/>
                            <w:bottom w:val="none" w:sz="0" w:space="0" w:color="auto"/>
                            <w:right w:val="none" w:sz="0" w:space="0" w:color="auto"/>
                          </w:divBdr>
                          <w:divsChild>
                            <w:div w:id="1326468384">
                              <w:marLeft w:val="0"/>
                              <w:marRight w:val="0"/>
                              <w:marTop w:val="0"/>
                              <w:marBottom w:val="0"/>
                              <w:divBdr>
                                <w:top w:val="none" w:sz="0" w:space="0" w:color="auto"/>
                                <w:left w:val="none" w:sz="0" w:space="0" w:color="auto"/>
                                <w:bottom w:val="none" w:sz="0" w:space="0" w:color="auto"/>
                                <w:right w:val="none" w:sz="0" w:space="0" w:color="auto"/>
                              </w:divBdr>
                              <w:divsChild>
                                <w:div w:id="1326468428">
                                  <w:marLeft w:val="0"/>
                                  <w:marRight w:val="0"/>
                                  <w:marTop w:val="0"/>
                                  <w:marBottom w:val="0"/>
                                  <w:divBdr>
                                    <w:top w:val="none" w:sz="0" w:space="0" w:color="auto"/>
                                    <w:left w:val="none" w:sz="0" w:space="0" w:color="auto"/>
                                    <w:bottom w:val="none" w:sz="0" w:space="0" w:color="auto"/>
                                    <w:right w:val="none" w:sz="0" w:space="0" w:color="auto"/>
                                  </w:divBdr>
                                  <w:divsChild>
                                    <w:div w:id="1326468377">
                                      <w:marLeft w:val="0"/>
                                      <w:marRight w:val="0"/>
                                      <w:marTop w:val="0"/>
                                      <w:marBottom w:val="0"/>
                                      <w:divBdr>
                                        <w:top w:val="none" w:sz="0" w:space="0" w:color="auto"/>
                                        <w:left w:val="none" w:sz="0" w:space="0" w:color="auto"/>
                                        <w:bottom w:val="none" w:sz="0" w:space="0" w:color="auto"/>
                                        <w:right w:val="none" w:sz="0" w:space="0" w:color="auto"/>
                                      </w:divBdr>
                                      <w:divsChild>
                                        <w:div w:id="1326468386">
                                          <w:marLeft w:val="0"/>
                                          <w:marRight w:val="0"/>
                                          <w:marTop w:val="0"/>
                                          <w:marBottom w:val="0"/>
                                          <w:divBdr>
                                            <w:top w:val="none" w:sz="0" w:space="0" w:color="auto"/>
                                            <w:left w:val="none" w:sz="0" w:space="0" w:color="auto"/>
                                            <w:bottom w:val="none" w:sz="0" w:space="0" w:color="auto"/>
                                            <w:right w:val="none" w:sz="0" w:space="0" w:color="auto"/>
                                          </w:divBdr>
                                        </w:div>
                                        <w:div w:id="132646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6468390">
      <w:marLeft w:val="0"/>
      <w:marRight w:val="0"/>
      <w:marTop w:val="0"/>
      <w:marBottom w:val="0"/>
      <w:divBdr>
        <w:top w:val="none" w:sz="0" w:space="0" w:color="auto"/>
        <w:left w:val="none" w:sz="0" w:space="0" w:color="auto"/>
        <w:bottom w:val="none" w:sz="0" w:space="0" w:color="auto"/>
        <w:right w:val="none" w:sz="0" w:space="0" w:color="auto"/>
      </w:divBdr>
      <w:divsChild>
        <w:div w:id="1326468348">
          <w:marLeft w:val="0"/>
          <w:marRight w:val="0"/>
          <w:marTop w:val="0"/>
          <w:marBottom w:val="0"/>
          <w:divBdr>
            <w:top w:val="none" w:sz="0" w:space="0" w:color="auto"/>
            <w:left w:val="none" w:sz="0" w:space="0" w:color="auto"/>
            <w:bottom w:val="none" w:sz="0" w:space="0" w:color="auto"/>
            <w:right w:val="none" w:sz="0" w:space="0" w:color="auto"/>
          </w:divBdr>
          <w:divsChild>
            <w:div w:id="1326468397">
              <w:marLeft w:val="0"/>
              <w:marRight w:val="0"/>
              <w:marTop w:val="0"/>
              <w:marBottom w:val="0"/>
              <w:divBdr>
                <w:top w:val="none" w:sz="0" w:space="0" w:color="auto"/>
                <w:left w:val="none" w:sz="0" w:space="0" w:color="auto"/>
                <w:bottom w:val="none" w:sz="0" w:space="0" w:color="auto"/>
                <w:right w:val="none" w:sz="0" w:space="0" w:color="auto"/>
              </w:divBdr>
              <w:divsChild>
                <w:div w:id="1326468393">
                  <w:marLeft w:val="225"/>
                  <w:marRight w:val="150"/>
                  <w:marTop w:val="15"/>
                  <w:marBottom w:val="0"/>
                  <w:divBdr>
                    <w:top w:val="none" w:sz="0" w:space="0" w:color="auto"/>
                    <w:left w:val="none" w:sz="0" w:space="0" w:color="auto"/>
                    <w:bottom w:val="none" w:sz="0" w:space="0" w:color="auto"/>
                    <w:right w:val="none" w:sz="0" w:space="0" w:color="auto"/>
                  </w:divBdr>
                  <w:divsChild>
                    <w:div w:id="1326468405">
                      <w:marLeft w:val="0"/>
                      <w:marRight w:val="0"/>
                      <w:marTop w:val="0"/>
                      <w:marBottom w:val="0"/>
                      <w:divBdr>
                        <w:top w:val="none" w:sz="0" w:space="0" w:color="auto"/>
                        <w:left w:val="none" w:sz="0" w:space="0" w:color="auto"/>
                        <w:bottom w:val="none" w:sz="0" w:space="0" w:color="auto"/>
                        <w:right w:val="none" w:sz="0" w:space="0" w:color="auto"/>
                      </w:divBdr>
                      <w:divsChild>
                        <w:div w:id="1326468360">
                          <w:marLeft w:val="0"/>
                          <w:marRight w:val="0"/>
                          <w:marTop w:val="0"/>
                          <w:marBottom w:val="0"/>
                          <w:divBdr>
                            <w:top w:val="none" w:sz="0" w:space="0" w:color="auto"/>
                            <w:left w:val="none" w:sz="0" w:space="0" w:color="auto"/>
                            <w:bottom w:val="none" w:sz="0" w:space="0" w:color="auto"/>
                            <w:right w:val="none" w:sz="0" w:space="0" w:color="auto"/>
                          </w:divBdr>
                          <w:divsChild>
                            <w:div w:id="1326468415">
                              <w:marLeft w:val="0"/>
                              <w:marRight w:val="0"/>
                              <w:marTop w:val="0"/>
                              <w:marBottom w:val="0"/>
                              <w:divBdr>
                                <w:top w:val="none" w:sz="0" w:space="0" w:color="auto"/>
                                <w:left w:val="none" w:sz="0" w:space="0" w:color="auto"/>
                                <w:bottom w:val="none" w:sz="0" w:space="0" w:color="auto"/>
                                <w:right w:val="none" w:sz="0" w:space="0" w:color="auto"/>
                              </w:divBdr>
                              <w:divsChild>
                                <w:div w:id="1326468371">
                                  <w:marLeft w:val="0"/>
                                  <w:marRight w:val="0"/>
                                  <w:marTop w:val="0"/>
                                  <w:marBottom w:val="0"/>
                                  <w:divBdr>
                                    <w:top w:val="none" w:sz="0" w:space="0" w:color="auto"/>
                                    <w:left w:val="none" w:sz="0" w:space="0" w:color="auto"/>
                                    <w:bottom w:val="none" w:sz="0" w:space="0" w:color="auto"/>
                                    <w:right w:val="none" w:sz="0" w:space="0" w:color="auto"/>
                                  </w:divBdr>
                                  <w:divsChild>
                                    <w:div w:id="1326468429">
                                      <w:marLeft w:val="0"/>
                                      <w:marRight w:val="0"/>
                                      <w:marTop w:val="0"/>
                                      <w:marBottom w:val="0"/>
                                      <w:divBdr>
                                        <w:top w:val="none" w:sz="0" w:space="0" w:color="auto"/>
                                        <w:left w:val="none" w:sz="0" w:space="0" w:color="auto"/>
                                        <w:bottom w:val="none" w:sz="0" w:space="0" w:color="auto"/>
                                        <w:right w:val="none" w:sz="0" w:space="0" w:color="auto"/>
                                      </w:divBdr>
                                      <w:divsChild>
                                        <w:div w:id="1326468339">
                                          <w:marLeft w:val="0"/>
                                          <w:marRight w:val="0"/>
                                          <w:marTop w:val="0"/>
                                          <w:marBottom w:val="0"/>
                                          <w:divBdr>
                                            <w:top w:val="none" w:sz="0" w:space="0" w:color="auto"/>
                                            <w:left w:val="none" w:sz="0" w:space="0" w:color="auto"/>
                                            <w:bottom w:val="none" w:sz="0" w:space="0" w:color="auto"/>
                                            <w:right w:val="none" w:sz="0" w:space="0" w:color="auto"/>
                                          </w:divBdr>
                                        </w:div>
                                        <w:div w:id="1326468364">
                                          <w:marLeft w:val="0"/>
                                          <w:marRight w:val="0"/>
                                          <w:marTop w:val="0"/>
                                          <w:marBottom w:val="0"/>
                                          <w:divBdr>
                                            <w:top w:val="none" w:sz="0" w:space="0" w:color="auto"/>
                                            <w:left w:val="none" w:sz="0" w:space="0" w:color="auto"/>
                                            <w:bottom w:val="none" w:sz="0" w:space="0" w:color="auto"/>
                                            <w:right w:val="none" w:sz="0" w:space="0" w:color="auto"/>
                                          </w:divBdr>
                                        </w:div>
                                        <w:div w:id="132646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6468407">
      <w:marLeft w:val="0"/>
      <w:marRight w:val="0"/>
      <w:marTop w:val="0"/>
      <w:marBottom w:val="0"/>
      <w:divBdr>
        <w:top w:val="none" w:sz="0" w:space="0" w:color="auto"/>
        <w:left w:val="none" w:sz="0" w:space="0" w:color="auto"/>
        <w:bottom w:val="none" w:sz="0" w:space="0" w:color="auto"/>
        <w:right w:val="none" w:sz="0" w:space="0" w:color="auto"/>
      </w:divBdr>
      <w:divsChild>
        <w:div w:id="1326468410">
          <w:marLeft w:val="0"/>
          <w:marRight w:val="0"/>
          <w:marTop w:val="0"/>
          <w:marBottom w:val="0"/>
          <w:divBdr>
            <w:top w:val="none" w:sz="0" w:space="0" w:color="auto"/>
            <w:left w:val="none" w:sz="0" w:space="0" w:color="auto"/>
            <w:bottom w:val="none" w:sz="0" w:space="0" w:color="auto"/>
            <w:right w:val="none" w:sz="0" w:space="0" w:color="auto"/>
          </w:divBdr>
        </w:div>
      </w:divsChild>
    </w:div>
    <w:div w:id="1326468414">
      <w:marLeft w:val="0"/>
      <w:marRight w:val="0"/>
      <w:marTop w:val="0"/>
      <w:marBottom w:val="0"/>
      <w:divBdr>
        <w:top w:val="none" w:sz="0" w:space="0" w:color="auto"/>
        <w:left w:val="none" w:sz="0" w:space="0" w:color="auto"/>
        <w:bottom w:val="none" w:sz="0" w:space="0" w:color="auto"/>
        <w:right w:val="none" w:sz="0" w:space="0" w:color="auto"/>
      </w:divBdr>
      <w:divsChild>
        <w:div w:id="1326468363">
          <w:marLeft w:val="0"/>
          <w:marRight w:val="0"/>
          <w:marTop w:val="0"/>
          <w:marBottom w:val="0"/>
          <w:divBdr>
            <w:top w:val="none" w:sz="0" w:space="0" w:color="auto"/>
            <w:left w:val="none" w:sz="0" w:space="0" w:color="auto"/>
            <w:bottom w:val="none" w:sz="0" w:space="0" w:color="auto"/>
            <w:right w:val="none" w:sz="0" w:space="0" w:color="auto"/>
          </w:divBdr>
          <w:divsChild>
            <w:div w:id="1326468436">
              <w:marLeft w:val="0"/>
              <w:marRight w:val="0"/>
              <w:marTop w:val="0"/>
              <w:marBottom w:val="0"/>
              <w:divBdr>
                <w:top w:val="none" w:sz="0" w:space="0" w:color="auto"/>
                <w:left w:val="none" w:sz="0" w:space="0" w:color="auto"/>
                <w:bottom w:val="none" w:sz="0" w:space="0" w:color="auto"/>
                <w:right w:val="none" w:sz="0" w:space="0" w:color="auto"/>
              </w:divBdr>
              <w:divsChild>
                <w:div w:id="1326468340">
                  <w:marLeft w:val="225"/>
                  <w:marRight w:val="150"/>
                  <w:marTop w:val="15"/>
                  <w:marBottom w:val="0"/>
                  <w:divBdr>
                    <w:top w:val="none" w:sz="0" w:space="0" w:color="auto"/>
                    <w:left w:val="none" w:sz="0" w:space="0" w:color="auto"/>
                    <w:bottom w:val="none" w:sz="0" w:space="0" w:color="auto"/>
                    <w:right w:val="none" w:sz="0" w:space="0" w:color="auto"/>
                  </w:divBdr>
                  <w:divsChild>
                    <w:div w:id="1326468369">
                      <w:marLeft w:val="0"/>
                      <w:marRight w:val="0"/>
                      <w:marTop w:val="0"/>
                      <w:marBottom w:val="0"/>
                      <w:divBdr>
                        <w:top w:val="none" w:sz="0" w:space="0" w:color="auto"/>
                        <w:left w:val="none" w:sz="0" w:space="0" w:color="auto"/>
                        <w:bottom w:val="none" w:sz="0" w:space="0" w:color="auto"/>
                        <w:right w:val="none" w:sz="0" w:space="0" w:color="auto"/>
                      </w:divBdr>
                      <w:divsChild>
                        <w:div w:id="1326468356">
                          <w:marLeft w:val="0"/>
                          <w:marRight w:val="0"/>
                          <w:marTop w:val="0"/>
                          <w:marBottom w:val="0"/>
                          <w:divBdr>
                            <w:top w:val="none" w:sz="0" w:space="0" w:color="auto"/>
                            <w:left w:val="none" w:sz="0" w:space="0" w:color="auto"/>
                            <w:bottom w:val="none" w:sz="0" w:space="0" w:color="auto"/>
                            <w:right w:val="none" w:sz="0" w:space="0" w:color="auto"/>
                          </w:divBdr>
                          <w:divsChild>
                            <w:div w:id="1326468411">
                              <w:marLeft w:val="0"/>
                              <w:marRight w:val="0"/>
                              <w:marTop w:val="0"/>
                              <w:marBottom w:val="0"/>
                              <w:divBdr>
                                <w:top w:val="none" w:sz="0" w:space="0" w:color="auto"/>
                                <w:left w:val="none" w:sz="0" w:space="0" w:color="auto"/>
                                <w:bottom w:val="none" w:sz="0" w:space="0" w:color="auto"/>
                                <w:right w:val="none" w:sz="0" w:space="0" w:color="auto"/>
                              </w:divBdr>
                              <w:divsChild>
                                <w:div w:id="1326468430">
                                  <w:marLeft w:val="0"/>
                                  <w:marRight w:val="0"/>
                                  <w:marTop w:val="0"/>
                                  <w:marBottom w:val="0"/>
                                  <w:divBdr>
                                    <w:top w:val="none" w:sz="0" w:space="0" w:color="auto"/>
                                    <w:left w:val="none" w:sz="0" w:space="0" w:color="auto"/>
                                    <w:bottom w:val="none" w:sz="0" w:space="0" w:color="auto"/>
                                    <w:right w:val="none" w:sz="0" w:space="0" w:color="auto"/>
                                  </w:divBdr>
                                  <w:divsChild>
                                    <w:div w:id="1326468350">
                                      <w:marLeft w:val="0"/>
                                      <w:marRight w:val="0"/>
                                      <w:marTop w:val="0"/>
                                      <w:marBottom w:val="0"/>
                                      <w:divBdr>
                                        <w:top w:val="none" w:sz="0" w:space="0" w:color="auto"/>
                                        <w:left w:val="none" w:sz="0" w:space="0" w:color="auto"/>
                                        <w:bottom w:val="none" w:sz="0" w:space="0" w:color="auto"/>
                                        <w:right w:val="none" w:sz="0" w:space="0" w:color="auto"/>
                                      </w:divBdr>
                                      <w:divsChild>
                                        <w:div w:id="1326468365">
                                          <w:marLeft w:val="0"/>
                                          <w:marRight w:val="0"/>
                                          <w:marTop w:val="0"/>
                                          <w:marBottom w:val="0"/>
                                          <w:divBdr>
                                            <w:top w:val="none" w:sz="0" w:space="0" w:color="auto"/>
                                            <w:left w:val="none" w:sz="0" w:space="0" w:color="auto"/>
                                            <w:bottom w:val="none" w:sz="0" w:space="0" w:color="auto"/>
                                            <w:right w:val="none" w:sz="0" w:space="0" w:color="auto"/>
                                          </w:divBdr>
                                        </w:div>
                                        <w:div w:id="132646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6468419">
      <w:marLeft w:val="0"/>
      <w:marRight w:val="0"/>
      <w:marTop w:val="0"/>
      <w:marBottom w:val="0"/>
      <w:divBdr>
        <w:top w:val="none" w:sz="0" w:space="0" w:color="auto"/>
        <w:left w:val="none" w:sz="0" w:space="0" w:color="auto"/>
        <w:bottom w:val="none" w:sz="0" w:space="0" w:color="auto"/>
        <w:right w:val="none" w:sz="0" w:space="0" w:color="auto"/>
      </w:divBdr>
      <w:divsChild>
        <w:div w:id="1326468358">
          <w:marLeft w:val="0"/>
          <w:marRight w:val="0"/>
          <w:marTop w:val="0"/>
          <w:marBottom w:val="0"/>
          <w:divBdr>
            <w:top w:val="none" w:sz="0" w:space="0" w:color="auto"/>
            <w:left w:val="none" w:sz="0" w:space="0" w:color="auto"/>
            <w:bottom w:val="none" w:sz="0" w:space="0" w:color="auto"/>
            <w:right w:val="none" w:sz="0" w:space="0" w:color="auto"/>
          </w:divBdr>
        </w:div>
      </w:divsChild>
    </w:div>
    <w:div w:id="1326468423">
      <w:marLeft w:val="0"/>
      <w:marRight w:val="0"/>
      <w:marTop w:val="0"/>
      <w:marBottom w:val="0"/>
      <w:divBdr>
        <w:top w:val="none" w:sz="0" w:space="0" w:color="auto"/>
        <w:left w:val="none" w:sz="0" w:space="0" w:color="auto"/>
        <w:bottom w:val="none" w:sz="0" w:space="0" w:color="auto"/>
        <w:right w:val="none" w:sz="0" w:space="0" w:color="auto"/>
      </w:divBdr>
      <w:divsChild>
        <w:div w:id="1326468381">
          <w:marLeft w:val="0"/>
          <w:marRight w:val="0"/>
          <w:marTop w:val="0"/>
          <w:marBottom w:val="0"/>
          <w:divBdr>
            <w:top w:val="none" w:sz="0" w:space="0" w:color="auto"/>
            <w:left w:val="none" w:sz="0" w:space="0" w:color="auto"/>
            <w:bottom w:val="none" w:sz="0" w:space="0" w:color="auto"/>
            <w:right w:val="none" w:sz="0" w:space="0" w:color="auto"/>
          </w:divBdr>
          <w:divsChild>
            <w:div w:id="1326468367">
              <w:marLeft w:val="0"/>
              <w:marRight w:val="0"/>
              <w:marTop w:val="0"/>
              <w:marBottom w:val="0"/>
              <w:divBdr>
                <w:top w:val="none" w:sz="0" w:space="0" w:color="auto"/>
                <w:left w:val="none" w:sz="0" w:space="0" w:color="auto"/>
                <w:bottom w:val="none" w:sz="0" w:space="0" w:color="auto"/>
                <w:right w:val="none" w:sz="0" w:space="0" w:color="auto"/>
              </w:divBdr>
              <w:divsChild>
                <w:div w:id="1326468352">
                  <w:marLeft w:val="225"/>
                  <w:marRight w:val="150"/>
                  <w:marTop w:val="15"/>
                  <w:marBottom w:val="0"/>
                  <w:divBdr>
                    <w:top w:val="none" w:sz="0" w:space="0" w:color="auto"/>
                    <w:left w:val="none" w:sz="0" w:space="0" w:color="auto"/>
                    <w:bottom w:val="none" w:sz="0" w:space="0" w:color="auto"/>
                    <w:right w:val="none" w:sz="0" w:space="0" w:color="auto"/>
                  </w:divBdr>
                  <w:divsChild>
                    <w:div w:id="1326468389">
                      <w:marLeft w:val="0"/>
                      <w:marRight w:val="0"/>
                      <w:marTop w:val="0"/>
                      <w:marBottom w:val="0"/>
                      <w:divBdr>
                        <w:top w:val="none" w:sz="0" w:space="0" w:color="auto"/>
                        <w:left w:val="none" w:sz="0" w:space="0" w:color="auto"/>
                        <w:bottom w:val="none" w:sz="0" w:space="0" w:color="auto"/>
                        <w:right w:val="none" w:sz="0" w:space="0" w:color="auto"/>
                      </w:divBdr>
                      <w:divsChild>
                        <w:div w:id="1326468378">
                          <w:marLeft w:val="0"/>
                          <w:marRight w:val="0"/>
                          <w:marTop w:val="0"/>
                          <w:marBottom w:val="0"/>
                          <w:divBdr>
                            <w:top w:val="none" w:sz="0" w:space="0" w:color="auto"/>
                            <w:left w:val="none" w:sz="0" w:space="0" w:color="auto"/>
                            <w:bottom w:val="none" w:sz="0" w:space="0" w:color="auto"/>
                            <w:right w:val="none" w:sz="0" w:space="0" w:color="auto"/>
                          </w:divBdr>
                          <w:divsChild>
                            <w:div w:id="1326468418">
                              <w:marLeft w:val="0"/>
                              <w:marRight w:val="0"/>
                              <w:marTop w:val="0"/>
                              <w:marBottom w:val="0"/>
                              <w:divBdr>
                                <w:top w:val="none" w:sz="0" w:space="0" w:color="auto"/>
                                <w:left w:val="none" w:sz="0" w:space="0" w:color="auto"/>
                                <w:bottom w:val="none" w:sz="0" w:space="0" w:color="auto"/>
                                <w:right w:val="none" w:sz="0" w:space="0" w:color="auto"/>
                              </w:divBdr>
                              <w:divsChild>
                                <w:div w:id="1326468345">
                                  <w:marLeft w:val="0"/>
                                  <w:marRight w:val="0"/>
                                  <w:marTop w:val="0"/>
                                  <w:marBottom w:val="0"/>
                                  <w:divBdr>
                                    <w:top w:val="none" w:sz="0" w:space="0" w:color="auto"/>
                                    <w:left w:val="none" w:sz="0" w:space="0" w:color="auto"/>
                                    <w:bottom w:val="none" w:sz="0" w:space="0" w:color="auto"/>
                                    <w:right w:val="none" w:sz="0" w:space="0" w:color="auto"/>
                                  </w:divBdr>
                                  <w:divsChild>
                                    <w:div w:id="1326468394">
                                      <w:marLeft w:val="0"/>
                                      <w:marRight w:val="0"/>
                                      <w:marTop w:val="0"/>
                                      <w:marBottom w:val="0"/>
                                      <w:divBdr>
                                        <w:top w:val="none" w:sz="0" w:space="0" w:color="auto"/>
                                        <w:left w:val="none" w:sz="0" w:space="0" w:color="auto"/>
                                        <w:bottom w:val="none" w:sz="0" w:space="0" w:color="auto"/>
                                        <w:right w:val="none" w:sz="0" w:space="0" w:color="auto"/>
                                      </w:divBdr>
                                      <w:divsChild>
                                        <w:div w:id="1326468346">
                                          <w:marLeft w:val="0"/>
                                          <w:marRight w:val="0"/>
                                          <w:marTop w:val="0"/>
                                          <w:marBottom w:val="0"/>
                                          <w:divBdr>
                                            <w:top w:val="none" w:sz="0" w:space="0" w:color="auto"/>
                                            <w:left w:val="none" w:sz="0" w:space="0" w:color="auto"/>
                                            <w:bottom w:val="none" w:sz="0" w:space="0" w:color="auto"/>
                                            <w:right w:val="none" w:sz="0" w:space="0" w:color="auto"/>
                                          </w:divBdr>
                                        </w:div>
                                        <w:div w:id="132646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6468425">
      <w:marLeft w:val="0"/>
      <w:marRight w:val="0"/>
      <w:marTop w:val="0"/>
      <w:marBottom w:val="0"/>
      <w:divBdr>
        <w:top w:val="none" w:sz="0" w:space="0" w:color="auto"/>
        <w:left w:val="none" w:sz="0" w:space="0" w:color="auto"/>
        <w:bottom w:val="none" w:sz="0" w:space="0" w:color="auto"/>
        <w:right w:val="none" w:sz="0" w:space="0" w:color="auto"/>
      </w:divBdr>
      <w:divsChild>
        <w:div w:id="1326468344">
          <w:marLeft w:val="0"/>
          <w:marRight w:val="0"/>
          <w:marTop w:val="0"/>
          <w:marBottom w:val="0"/>
          <w:divBdr>
            <w:top w:val="none" w:sz="0" w:space="0" w:color="auto"/>
            <w:left w:val="none" w:sz="0" w:space="0" w:color="auto"/>
            <w:bottom w:val="none" w:sz="0" w:space="0" w:color="auto"/>
            <w:right w:val="none" w:sz="0" w:space="0" w:color="auto"/>
          </w:divBdr>
          <w:divsChild>
            <w:div w:id="1326468376">
              <w:marLeft w:val="0"/>
              <w:marRight w:val="0"/>
              <w:marTop w:val="0"/>
              <w:marBottom w:val="0"/>
              <w:divBdr>
                <w:top w:val="none" w:sz="0" w:space="0" w:color="auto"/>
                <w:left w:val="none" w:sz="0" w:space="0" w:color="auto"/>
                <w:bottom w:val="none" w:sz="0" w:space="0" w:color="auto"/>
                <w:right w:val="none" w:sz="0" w:space="0" w:color="auto"/>
              </w:divBdr>
              <w:divsChild>
                <w:div w:id="1326468396">
                  <w:marLeft w:val="225"/>
                  <w:marRight w:val="150"/>
                  <w:marTop w:val="15"/>
                  <w:marBottom w:val="0"/>
                  <w:divBdr>
                    <w:top w:val="none" w:sz="0" w:space="0" w:color="auto"/>
                    <w:left w:val="none" w:sz="0" w:space="0" w:color="auto"/>
                    <w:bottom w:val="none" w:sz="0" w:space="0" w:color="auto"/>
                    <w:right w:val="none" w:sz="0" w:space="0" w:color="auto"/>
                  </w:divBdr>
                  <w:divsChild>
                    <w:div w:id="1326468398">
                      <w:marLeft w:val="0"/>
                      <w:marRight w:val="0"/>
                      <w:marTop w:val="0"/>
                      <w:marBottom w:val="0"/>
                      <w:divBdr>
                        <w:top w:val="none" w:sz="0" w:space="0" w:color="auto"/>
                        <w:left w:val="none" w:sz="0" w:space="0" w:color="auto"/>
                        <w:bottom w:val="none" w:sz="0" w:space="0" w:color="auto"/>
                        <w:right w:val="none" w:sz="0" w:space="0" w:color="auto"/>
                      </w:divBdr>
                      <w:divsChild>
                        <w:div w:id="1326468338">
                          <w:marLeft w:val="0"/>
                          <w:marRight w:val="0"/>
                          <w:marTop w:val="0"/>
                          <w:marBottom w:val="0"/>
                          <w:divBdr>
                            <w:top w:val="none" w:sz="0" w:space="0" w:color="auto"/>
                            <w:left w:val="none" w:sz="0" w:space="0" w:color="auto"/>
                            <w:bottom w:val="none" w:sz="0" w:space="0" w:color="auto"/>
                            <w:right w:val="none" w:sz="0" w:space="0" w:color="auto"/>
                          </w:divBdr>
                          <w:divsChild>
                            <w:div w:id="1326468354">
                              <w:marLeft w:val="0"/>
                              <w:marRight w:val="0"/>
                              <w:marTop w:val="0"/>
                              <w:marBottom w:val="0"/>
                              <w:divBdr>
                                <w:top w:val="none" w:sz="0" w:space="0" w:color="auto"/>
                                <w:left w:val="none" w:sz="0" w:space="0" w:color="auto"/>
                                <w:bottom w:val="none" w:sz="0" w:space="0" w:color="auto"/>
                                <w:right w:val="none" w:sz="0" w:space="0" w:color="auto"/>
                              </w:divBdr>
                              <w:divsChild>
                                <w:div w:id="1326468382">
                                  <w:marLeft w:val="0"/>
                                  <w:marRight w:val="0"/>
                                  <w:marTop w:val="0"/>
                                  <w:marBottom w:val="0"/>
                                  <w:divBdr>
                                    <w:top w:val="none" w:sz="0" w:space="0" w:color="auto"/>
                                    <w:left w:val="none" w:sz="0" w:space="0" w:color="auto"/>
                                    <w:bottom w:val="none" w:sz="0" w:space="0" w:color="auto"/>
                                    <w:right w:val="none" w:sz="0" w:space="0" w:color="auto"/>
                                  </w:divBdr>
                                  <w:divsChild>
                                    <w:div w:id="1326468375">
                                      <w:marLeft w:val="0"/>
                                      <w:marRight w:val="0"/>
                                      <w:marTop w:val="0"/>
                                      <w:marBottom w:val="0"/>
                                      <w:divBdr>
                                        <w:top w:val="none" w:sz="0" w:space="0" w:color="auto"/>
                                        <w:left w:val="none" w:sz="0" w:space="0" w:color="auto"/>
                                        <w:bottom w:val="none" w:sz="0" w:space="0" w:color="auto"/>
                                        <w:right w:val="none" w:sz="0" w:space="0" w:color="auto"/>
                                      </w:divBdr>
                                      <w:divsChild>
                                        <w:div w:id="1326468351">
                                          <w:marLeft w:val="0"/>
                                          <w:marRight w:val="0"/>
                                          <w:marTop w:val="0"/>
                                          <w:marBottom w:val="0"/>
                                          <w:divBdr>
                                            <w:top w:val="none" w:sz="0" w:space="0" w:color="auto"/>
                                            <w:left w:val="none" w:sz="0" w:space="0" w:color="auto"/>
                                            <w:bottom w:val="none" w:sz="0" w:space="0" w:color="auto"/>
                                            <w:right w:val="none" w:sz="0" w:space="0" w:color="auto"/>
                                          </w:divBdr>
                                        </w:div>
                                        <w:div w:id="1326468370">
                                          <w:marLeft w:val="0"/>
                                          <w:marRight w:val="0"/>
                                          <w:marTop w:val="0"/>
                                          <w:marBottom w:val="0"/>
                                          <w:divBdr>
                                            <w:top w:val="none" w:sz="0" w:space="0" w:color="auto"/>
                                            <w:left w:val="none" w:sz="0" w:space="0" w:color="auto"/>
                                            <w:bottom w:val="none" w:sz="0" w:space="0" w:color="auto"/>
                                            <w:right w:val="none" w:sz="0" w:space="0" w:color="auto"/>
                                          </w:divBdr>
                                        </w:div>
                                        <w:div w:id="1326468383">
                                          <w:marLeft w:val="0"/>
                                          <w:marRight w:val="0"/>
                                          <w:marTop w:val="0"/>
                                          <w:marBottom w:val="0"/>
                                          <w:divBdr>
                                            <w:top w:val="none" w:sz="0" w:space="0" w:color="auto"/>
                                            <w:left w:val="none" w:sz="0" w:space="0" w:color="auto"/>
                                            <w:bottom w:val="none" w:sz="0" w:space="0" w:color="auto"/>
                                            <w:right w:val="none" w:sz="0" w:space="0" w:color="auto"/>
                                          </w:divBdr>
                                        </w:div>
                                        <w:div w:id="1326468422">
                                          <w:marLeft w:val="0"/>
                                          <w:marRight w:val="0"/>
                                          <w:marTop w:val="0"/>
                                          <w:marBottom w:val="0"/>
                                          <w:divBdr>
                                            <w:top w:val="none" w:sz="0" w:space="0" w:color="auto"/>
                                            <w:left w:val="none" w:sz="0" w:space="0" w:color="auto"/>
                                            <w:bottom w:val="none" w:sz="0" w:space="0" w:color="auto"/>
                                            <w:right w:val="none" w:sz="0" w:space="0" w:color="auto"/>
                                          </w:divBdr>
                                          <w:divsChild>
                                            <w:div w:id="1326468385">
                                              <w:marLeft w:val="0"/>
                                              <w:marRight w:val="0"/>
                                              <w:marTop w:val="0"/>
                                              <w:marBottom w:val="0"/>
                                              <w:divBdr>
                                                <w:top w:val="none" w:sz="0" w:space="0" w:color="auto"/>
                                                <w:left w:val="none" w:sz="0" w:space="0" w:color="auto"/>
                                                <w:bottom w:val="none" w:sz="0" w:space="0" w:color="auto"/>
                                                <w:right w:val="none" w:sz="0" w:space="0" w:color="auto"/>
                                              </w:divBdr>
                                            </w:div>
                                            <w:div w:id="13264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6468435">
      <w:marLeft w:val="0"/>
      <w:marRight w:val="0"/>
      <w:marTop w:val="0"/>
      <w:marBottom w:val="0"/>
      <w:divBdr>
        <w:top w:val="none" w:sz="0" w:space="0" w:color="auto"/>
        <w:left w:val="none" w:sz="0" w:space="0" w:color="auto"/>
        <w:bottom w:val="none" w:sz="0" w:space="0" w:color="auto"/>
        <w:right w:val="none" w:sz="0" w:space="0" w:color="auto"/>
      </w:divBdr>
      <w:divsChild>
        <w:div w:id="1326468341">
          <w:marLeft w:val="0"/>
          <w:marRight w:val="0"/>
          <w:marTop w:val="0"/>
          <w:marBottom w:val="0"/>
          <w:divBdr>
            <w:top w:val="none" w:sz="0" w:space="0" w:color="auto"/>
            <w:left w:val="none" w:sz="0" w:space="0" w:color="auto"/>
            <w:bottom w:val="none" w:sz="0" w:space="0" w:color="auto"/>
            <w:right w:val="none" w:sz="0" w:space="0" w:color="auto"/>
          </w:divBdr>
          <w:divsChild>
            <w:div w:id="1326468426">
              <w:marLeft w:val="0"/>
              <w:marRight w:val="0"/>
              <w:marTop w:val="0"/>
              <w:marBottom w:val="0"/>
              <w:divBdr>
                <w:top w:val="none" w:sz="0" w:space="0" w:color="auto"/>
                <w:left w:val="none" w:sz="0" w:space="0" w:color="auto"/>
                <w:bottom w:val="none" w:sz="0" w:space="0" w:color="auto"/>
                <w:right w:val="none" w:sz="0" w:space="0" w:color="auto"/>
              </w:divBdr>
              <w:divsChild>
                <w:div w:id="1326468424">
                  <w:marLeft w:val="225"/>
                  <w:marRight w:val="150"/>
                  <w:marTop w:val="15"/>
                  <w:marBottom w:val="0"/>
                  <w:divBdr>
                    <w:top w:val="none" w:sz="0" w:space="0" w:color="auto"/>
                    <w:left w:val="none" w:sz="0" w:space="0" w:color="auto"/>
                    <w:bottom w:val="none" w:sz="0" w:space="0" w:color="auto"/>
                    <w:right w:val="none" w:sz="0" w:space="0" w:color="auto"/>
                  </w:divBdr>
                  <w:divsChild>
                    <w:div w:id="1326468432">
                      <w:marLeft w:val="0"/>
                      <w:marRight w:val="0"/>
                      <w:marTop w:val="0"/>
                      <w:marBottom w:val="0"/>
                      <w:divBdr>
                        <w:top w:val="none" w:sz="0" w:space="0" w:color="auto"/>
                        <w:left w:val="none" w:sz="0" w:space="0" w:color="auto"/>
                        <w:bottom w:val="none" w:sz="0" w:space="0" w:color="auto"/>
                        <w:right w:val="none" w:sz="0" w:space="0" w:color="auto"/>
                      </w:divBdr>
                      <w:divsChild>
                        <w:div w:id="1326468408">
                          <w:marLeft w:val="0"/>
                          <w:marRight w:val="0"/>
                          <w:marTop w:val="0"/>
                          <w:marBottom w:val="0"/>
                          <w:divBdr>
                            <w:top w:val="none" w:sz="0" w:space="0" w:color="auto"/>
                            <w:left w:val="none" w:sz="0" w:space="0" w:color="auto"/>
                            <w:bottom w:val="none" w:sz="0" w:space="0" w:color="auto"/>
                            <w:right w:val="none" w:sz="0" w:space="0" w:color="auto"/>
                          </w:divBdr>
                          <w:divsChild>
                            <w:div w:id="1326468392">
                              <w:marLeft w:val="0"/>
                              <w:marRight w:val="0"/>
                              <w:marTop w:val="0"/>
                              <w:marBottom w:val="0"/>
                              <w:divBdr>
                                <w:top w:val="none" w:sz="0" w:space="0" w:color="auto"/>
                                <w:left w:val="none" w:sz="0" w:space="0" w:color="auto"/>
                                <w:bottom w:val="none" w:sz="0" w:space="0" w:color="auto"/>
                                <w:right w:val="none" w:sz="0" w:space="0" w:color="auto"/>
                              </w:divBdr>
                              <w:divsChild>
                                <w:div w:id="1326468431">
                                  <w:marLeft w:val="0"/>
                                  <w:marRight w:val="0"/>
                                  <w:marTop w:val="0"/>
                                  <w:marBottom w:val="0"/>
                                  <w:divBdr>
                                    <w:top w:val="none" w:sz="0" w:space="0" w:color="auto"/>
                                    <w:left w:val="none" w:sz="0" w:space="0" w:color="auto"/>
                                    <w:bottom w:val="none" w:sz="0" w:space="0" w:color="auto"/>
                                    <w:right w:val="none" w:sz="0" w:space="0" w:color="auto"/>
                                  </w:divBdr>
                                  <w:divsChild>
                                    <w:div w:id="1326468401">
                                      <w:marLeft w:val="0"/>
                                      <w:marRight w:val="0"/>
                                      <w:marTop w:val="0"/>
                                      <w:marBottom w:val="0"/>
                                      <w:divBdr>
                                        <w:top w:val="none" w:sz="0" w:space="0" w:color="auto"/>
                                        <w:left w:val="none" w:sz="0" w:space="0" w:color="auto"/>
                                        <w:bottom w:val="none" w:sz="0" w:space="0" w:color="auto"/>
                                        <w:right w:val="none" w:sz="0" w:space="0" w:color="auto"/>
                                      </w:divBdr>
                                      <w:divsChild>
                                        <w:div w:id="1326468347">
                                          <w:marLeft w:val="0"/>
                                          <w:marRight w:val="0"/>
                                          <w:marTop w:val="0"/>
                                          <w:marBottom w:val="0"/>
                                          <w:divBdr>
                                            <w:top w:val="none" w:sz="0" w:space="0" w:color="auto"/>
                                            <w:left w:val="none" w:sz="0" w:space="0" w:color="auto"/>
                                            <w:bottom w:val="none" w:sz="0" w:space="0" w:color="auto"/>
                                            <w:right w:val="none" w:sz="0" w:space="0" w:color="auto"/>
                                          </w:divBdr>
                                        </w:div>
                                        <w:div w:id="1326468379">
                                          <w:marLeft w:val="0"/>
                                          <w:marRight w:val="0"/>
                                          <w:marTop w:val="0"/>
                                          <w:marBottom w:val="0"/>
                                          <w:divBdr>
                                            <w:top w:val="none" w:sz="0" w:space="0" w:color="auto"/>
                                            <w:left w:val="none" w:sz="0" w:space="0" w:color="auto"/>
                                            <w:bottom w:val="none" w:sz="0" w:space="0" w:color="auto"/>
                                            <w:right w:val="none" w:sz="0" w:space="0" w:color="auto"/>
                                          </w:divBdr>
                                        </w:div>
                                        <w:div w:id="1326468400">
                                          <w:marLeft w:val="0"/>
                                          <w:marRight w:val="0"/>
                                          <w:marTop w:val="0"/>
                                          <w:marBottom w:val="0"/>
                                          <w:divBdr>
                                            <w:top w:val="none" w:sz="0" w:space="0" w:color="auto"/>
                                            <w:left w:val="none" w:sz="0" w:space="0" w:color="auto"/>
                                            <w:bottom w:val="none" w:sz="0" w:space="0" w:color="auto"/>
                                            <w:right w:val="none" w:sz="0" w:space="0" w:color="auto"/>
                                          </w:divBdr>
                                        </w:div>
                                        <w:div w:id="1326468413">
                                          <w:marLeft w:val="0"/>
                                          <w:marRight w:val="0"/>
                                          <w:marTop w:val="0"/>
                                          <w:marBottom w:val="0"/>
                                          <w:divBdr>
                                            <w:top w:val="none" w:sz="0" w:space="0" w:color="auto"/>
                                            <w:left w:val="none" w:sz="0" w:space="0" w:color="auto"/>
                                            <w:bottom w:val="none" w:sz="0" w:space="0" w:color="auto"/>
                                            <w:right w:val="none" w:sz="0" w:space="0" w:color="auto"/>
                                          </w:divBdr>
                                        </w:div>
                                        <w:div w:id="13264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743974">
      <w:bodyDiv w:val="1"/>
      <w:marLeft w:val="0"/>
      <w:marRight w:val="0"/>
      <w:marTop w:val="0"/>
      <w:marBottom w:val="0"/>
      <w:divBdr>
        <w:top w:val="none" w:sz="0" w:space="0" w:color="auto"/>
        <w:left w:val="none" w:sz="0" w:space="0" w:color="auto"/>
        <w:bottom w:val="none" w:sz="0" w:space="0" w:color="auto"/>
        <w:right w:val="none" w:sz="0" w:space="0" w:color="auto"/>
      </w:divBdr>
    </w:div>
    <w:div w:id="1347513891">
      <w:bodyDiv w:val="1"/>
      <w:marLeft w:val="0"/>
      <w:marRight w:val="0"/>
      <w:marTop w:val="0"/>
      <w:marBottom w:val="0"/>
      <w:divBdr>
        <w:top w:val="none" w:sz="0" w:space="0" w:color="auto"/>
        <w:left w:val="none" w:sz="0" w:space="0" w:color="auto"/>
        <w:bottom w:val="none" w:sz="0" w:space="0" w:color="auto"/>
        <w:right w:val="none" w:sz="0" w:space="0" w:color="auto"/>
      </w:divBdr>
    </w:div>
    <w:div w:id="1349451832">
      <w:bodyDiv w:val="1"/>
      <w:marLeft w:val="100"/>
      <w:marRight w:val="100"/>
      <w:marTop w:val="0"/>
      <w:marBottom w:val="0"/>
      <w:divBdr>
        <w:top w:val="none" w:sz="0" w:space="0" w:color="auto"/>
        <w:left w:val="none" w:sz="0" w:space="0" w:color="auto"/>
        <w:bottom w:val="none" w:sz="0" w:space="0" w:color="auto"/>
        <w:right w:val="none" w:sz="0" w:space="0" w:color="auto"/>
      </w:divBdr>
      <w:divsChild>
        <w:div w:id="1052458721">
          <w:marLeft w:val="0"/>
          <w:marRight w:val="0"/>
          <w:marTop w:val="0"/>
          <w:marBottom w:val="0"/>
          <w:divBdr>
            <w:top w:val="none" w:sz="0" w:space="0" w:color="auto"/>
            <w:left w:val="none" w:sz="0" w:space="0" w:color="auto"/>
            <w:bottom w:val="none" w:sz="0" w:space="0" w:color="auto"/>
            <w:right w:val="none" w:sz="0" w:space="0" w:color="auto"/>
          </w:divBdr>
          <w:divsChild>
            <w:div w:id="110338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523">
      <w:bodyDiv w:val="1"/>
      <w:marLeft w:val="0"/>
      <w:marRight w:val="0"/>
      <w:marTop w:val="0"/>
      <w:marBottom w:val="0"/>
      <w:divBdr>
        <w:top w:val="none" w:sz="0" w:space="0" w:color="auto"/>
        <w:left w:val="none" w:sz="0" w:space="0" w:color="auto"/>
        <w:bottom w:val="none" w:sz="0" w:space="0" w:color="auto"/>
        <w:right w:val="none" w:sz="0" w:space="0" w:color="auto"/>
      </w:divBdr>
    </w:div>
    <w:div w:id="1363746153">
      <w:bodyDiv w:val="1"/>
      <w:marLeft w:val="0"/>
      <w:marRight w:val="0"/>
      <w:marTop w:val="0"/>
      <w:marBottom w:val="0"/>
      <w:divBdr>
        <w:top w:val="none" w:sz="0" w:space="0" w:color="auto"/>
        <w:left w:val="none" w:sz="0" w:space="0" w:color="auto"/>
        <w:bottom w:val="none" w:sz="0" w:space="0" w:color="auto"/>
        <w:right w:val="none" w:sz="0" w:space="0" w:color="auto"/>
      </w:divBdr>
    </w:div>
    <w:div w:id="1370565723">
      <w:bodyDiv w:val="1"/>
      <w:marLeft w:val="0"/>
      <w:marRight w:val="0"/>
      <w:marTop w:val="0"/>
      <w:marBottom w:val="0"/>
      <w:divBdr>
        <w:top w:val="none" w:sz="0" w:space="0" w:color="auto"/>
        <w:left w:val="none" w:sz="0" w:space="0" w:color="auto"/>
        <w:bottom w:val="none" w:sz="0" w:space="0" w:color="auto"/>
        <w:right w:val="none" w:sz="0" w:space="0" w:color="auto"/>
      </w:divBdr>
    </w:div>
    <w:div w:id="1393456844">
      <w:bodyDiv w:val="1"/>
      <w:marLeft w:val="0"/>
      <w:marRight w:val="0"/>
      <w:marTop w:val="0"/>
      <w:marBottom w:val="0"/>
      <w:divBdr>
        <w:top w:val="none" w:sz="0" w:space="0" w:color="auto"/>
        <w:left w:val="none" w:sz="0" w:space="0" w:color="auto"/>
        <w:bottom w:val="none" w:sz="0" w:space="0" w:color="auto"/>
        <w:right w:val="none" w:sz="0" w:space="0" w:color="auto"/>
      </w:divBdr>
    </w:div>
    <w:div w:id="1401830488">
      <w:bodyDiv w:val="1"/>
      <w:marLeft w:val="0"/>
      <w:marRight w:val="0"/>
      <w:marTop w:val="0"/>
      <w:marBottom w:val="0"/>
      <w:divBdr>
        <w:top w:val="none" w:sz="0" w:space="0" w:color="auto"/>
        <w:left w:val="none" w:sz="0" w:space="0" w:color="auto"/>
        <w:bottom w:val="none" w:sz="0" w:space="0" w:color="auto"/>
        <w:right w:val="none" w:sz="0" w:space="0" w:color="auto"/>
      </w:divBdr>
    </w:div>
    <w:div w:id="1411150626">
      <w:bodyDiv w:val="1"/>
      <w:marLeft w:val="0"/>
      <w:marRight w:val="0"/>
      <w:marTop w:val="0"/>
      <w:marBottom w:val="0"/>
      <w:divBdr>
        <w:top w:val="none" w:sz="0" w:space="0" w:color="auto"/>
        <w:left w:val="none" w:sz="0" w:space="0" w:color="auto"/>
        <w:bottom w:val="none" w:sz="0" w:space="0" w:color="auto"/>
        <w:right w:val="none" w:sz="0" w:space="0" w:color="auto"/>
      </w:divBdr>
    </w:div>
    <w:div w:id="1427657425">
      <w:bodyDiv w:val="1"/>
      <w:marLeft w:val="0"/>
      <w:marRight w:val="0"/>
      <w:marTop w:val="0"/>
      <w:marBottom w:val="0"/>
      <w:divBdr>
        <w:top w:val="none" w:sz="0" w:space="0" w:color="auto"/>
        <w:left w:val="none" w:sz="0" w:space="0" w:color="auto"/>
        <w:bottom w:val="none" w:sz="0" w:space="0" w:color="auto"/>
        <w:right w:val="none" w:sz="0" w:space="0" w:color="auto"/>
      </w:divBdr>
      <w:divsChild>
        <w:div w:id="148140122">
          <w:marLeft w:val="0"/>
          <w:marRight w:val="0"/>
          <w:marTop w:val="0"/>
          <w:marBottom w:val="0"/>
          <w:divBdr>
            <w:top w:val="none" w:sz="0" w:space="0" w:color="auto"/>
            <w:left w:val="none" w:sz="0" w:space="0" w:color="auto"/>
            <w:bottom w:val="none" w:sz="0" w:space="0" w:color="auto"/>
            <w:right w:val="none" w:sz="0" w:space="0" w:color="auto"/>
          </w:divBdr>
        </w:div>
        <w:div w:id="814371675">
          <w:marLeft w:val="0"/>
          <w:marRight w:val="0"/>
          <w:marTop w:val="0"/>
          <w:marBottom w:val="0"/>
          <w:divBdr>
            <w:top w:val="none" w:sz="0" w:space="0" w:color="auto"/>
            <w:left w:val="none" w:sz="0" w:space="0" w:color="auto"/>
            <w:bottom w:val="none" w:sz="0" w:space="0" w:color="auto"/>
            <w:right w:val="none" w:sz="0" w:space="0" w:color="auto"/>
          </w:divBdr>
        </w:div>
        <w:div w:id="1500774640">
          <w:marLeft w:val="0"/>
          <w:marRight w:val="0"/>
          <w:marTop w:val="0"/>
          <w:marBottom w:val="0"/>
          <w:divBdr>
            <w:top w:val="none" w:sz="0" w:space="0" w:color="auto"/>
            <w:left w:val="none" w:sz="0" w:space="0" w:color="auto"/>
            <w:bottom w:val="none" w:sz="0" w:space="0" w:color="auto"/>
            <w:right w:val="none" w:sz="0" w:space="0" w:color="auto"/>
          </w:divBdr>
        </w:div>
      </w:divsChild>
    </w:div>
    <w:div w:id="1450395791">
      <w:bodyDiv w:val="1"/>
      <w:marLeft w:val="0"/>
      <w:marRight w:val="0"/>
      <w:marTop w:val="0"/>
      <w:marBottom w:val="0"/>
      <w:divBdr>
        <w:top w:val="none" w:sz="0" w:space="0" w:color="auto"/>
        <w:left w:val="none" w:sz="0" w:space="0" w:color="auto"/>
        <w:bottom w:val="none" w:sz="0" w:space="0" w:color="auto"/>
        <w:right w:val="none" w:sz="0" w:space="0" w:color="auto"/>
      </w:divBdr>
    </w:div>
    <w:div w:id="1469278105">
      <w:bodyDiv w:val="1"/>
      <w:marLeft w:val="0"/>
      <w:marRight w:val="0"/>
      <w:marTop w:val="0"/>
      <w:marBottom w:val="0"/>
      <w:divBdr>
        <w:top w:val="none" w:sz="0" w:space="0" w:color="auto"/>
        <w:left w:val="none" w:sz="0" w:space="0" w:color="auto"/>
        <w:bottom w:val="none" w:sz="0" w:space="0" w:color="auto"/>
        <w:right w:val="none" w:sz="0" w:space="0" w:color="auto"/>
      </w:divBdr>
    </w:div>
    <w:div w:id="1491365408">
      <w:bodyDiv w:val="1"/>
      <w:marLeft w:val="100"/>
      <w:marRight w:val="100"/>
      <w:marTop w:val="0"/>
      <w:marBottom w:val="0"/>
      <w:divBdr>
        <w:top w:val="none" w:sz="0" w:space="0" w:color="auto"/>
        <w:left w:val="none" w:sz="0" w:space="0" w:color="auto"/>
        <w:bottom w:val="none" w:sz="0" w:space="0" w:color="auto"/>
        <w:right w:val="none" w:sz="0" w:space="0" w:color="auto"/>
      </w:divBdr>
      <w:divsChild>
        <w:div w:id="1890215962">
          <w:marLeft w:val="0"/>
          <w:marRight w:val="0"/>
          <w:marTop w:val="0"/>
          <w:marBottom w:val="0"/>
          <w:divBdr>
            <w:top w:val="none" w:sz="0" w:space="0" w:color="auto"/>
            <w:left w:val="none" w:sz="0" w:space="0" w:color="auto"/>
            <w:bottom w:val="none" w:sz="0" w:space="0" w:color="auto"/>
            <w:right w:val="none" w:sz="0" w:space="0" w:color="auto"/>
          </w:divBdr>
          <w:divsChild>
            <w:div w:id="133163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14357">
      <w:bodyDiv w:val="1"/>
      <w:marLeft w:val="0"/>
      <w:marRight w:val="0"/>
      <w:marTop w:val="0"/>
      <w:marBottom w:val="0"/>
      <w:divBdr>
        <w:top w:val="none" w:sz="0" w:space="0" w:color="auto"/>
        <w:left w:val="none" w:sz="0" w:space="0" w:color="auto"/>
        <w:bottom w:val="none" w:sz="0" w:space="0" w:color="auto"/>
        <w:right w:val="none" w:sz="0" w:space="0" w:color="auto"/>
      </w:divBdr>
    </w:div>
    <w:div w:id="1521819381">
      <w:bodyDiv w:val="1"/>
      <w:marLeft w:val="100"/>
      <w:marRight w:val="100"/>
      <w:marTop w:val="0"/>
      <w:marBottom w:val="0"/>
      <w:divBdr>
        <w:top w:val="none" w:sz="0" w:space="0" w:color="auto"/>
        <w:left w:val="none" w:sz="0" w:space="0" w:color="auto"/>
        <w:bottom w:val="none" w:sz="0" w:space="0" w:color="auto"/>
        <w:right w:val="none" w:sz="0" w:space="0" w:color="auto"/>
      </w:divBdr>
      <w:divsChild>
        <w:div w:id="1212379810">
          <w:marLeft w:val="0"/>
          <w:marRight w:val="0"/>
          <w:marTop w:val="0"/>
          <w:marBottom w:val="0"/>
          <w:divBdr>
            <w:top w:val="none" w:sz="0" w:space="0" w:color="auto"/>
            <w:left w:val="none" w:sz="0" w:space="0" w:color="auto"/>
            <w:bottom w:val="none" w:sz="0" w:space="0" w:color="auto"/>
            <w:right w:val="none" w:sz="0" w:space="0" w:color="auto"/>
          </w:divBdr>
          <w:divsChild>
            <w:div w:id="96223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02465">
      <w:bodyDiv w:val="1"/>
      <w:marLeft w:val="0"/>
      <w:marRight w:val="0"/>
      <w:marTop w:val="0"/>
      <w:marBottom w:val="0"/>
      <w:divBdr>
        <w:top w:val="none" w:sz="0" w:space="0" w:color="auto"/>
        <w:left w:val="none" w:sz="0" w:space="0" w:color="auto"/>
        <w:bottom w:val="none" w:sz="0" w:space="0" w:color="auto"/>
        <w:right w:val="none" w:sz="0" w:space="0" w:color="auto"/>
      </w:divBdr>
      <w:divsChild>
        <w:div w:id="311718509">
          <w:marLeft w:val="0"/>
          <w:marRight w:val="0"/>
          <w:marTop w:val="0"/>
          <w:marBottom w:val="0"/>
          <w:divBdr>
            <w:top w:val="none" w:sz="0" w:space="0" w:color="auto"/>
            <w:left w:val="none" w:sz="0" w:space="0" w:color="auto"/>
            <w:bottom w:val="none" w:sz="0" w:space="0" w:color="auto"/>
            <w:right w:val="none" w:sz="0" w:space="0" w:color="auto"/>
          </w:divBdr>
          <w:divsChild>
            <w:div w:id="6869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397972">
      <w:bodyDiv w:val="1"/>
      <w:marLeft w:val="109"/>
      <w:marRight w:val="109"/>
      <w:marTop w:val="0"/>
      <w:marBottom w:val="0"/>
      <w:divBdr>
        <w:top w:val="none" w:sz="0" w:space="0" w:color="auto"/>
        <w:left w:val="none" w:sz="0" w:space="0" w:color="auto"/>
        <w:bottom w:val="none" w:sz="0" w:space="0" w:color="auto"/>
        <w:right w:val="none" w:sz="0" w:space="0" w:color="auto"/>
      </w:divBdr>
      <w:divsChild>
        <w:div w:id="1498111782">
          <w:marLeft w:val="0"/>
          <w:marRight w:val="0"/>
          <w:marTop w:val="0"/>
          <w:marBottom w:val="0"/>
          <w:divBdr>
            <w:top w:val="none" w:sz="0" w:space="0" w:color="auto"/>
            <w:left w:val="none" w:sz="0" w:space="0" w:color="auto"/>
            <w:bottom w:val="none" w:sz="0" w:space="0" w:color="auto"/>
            <w:right w:val="none" w:sz="0" w:space="0" w:color="auto"/>
          </w:divBdr>
          <w:divsChild>
            <w:div w:id="74869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67463">
      <w:bodyDiv w:val="1"/>
      <w:marLeft w:val="0"/>
      <w:marRight w:val="0"/>
      <w:marTop w:val="0"/>
      <w:marBottom w:val="0"/>
      <w:divBdr>
        <w:top w:val="none" w:sz="0" w:space="0" w:color="auto"/>
        <w:left w:val="none" w:sz="0" w:space="0" w:color="auto"/>
        <w:bottom w:val="none" w:sz="0" w:space="0" w:color="auto"/>
        <w:right w:val="none" w:sz="0" w:space="0" w:color="auto"/>
      </w:divBdr>
    </w:div>
    <w:div w:id="1591892682">
      <w:bodyDiv w:val="1"/>
      <w:marLeft w:val="0"/>
      <w:marRight w:val="0"/>
      <w:marTop w:val="0"/>
      <w:marBottom w:val="0"/>
      <w:divBdr>
        <w:top w:val="none" w:sz="0" w:space="0" w:color="auto"/>
        <w:left w:val="none" w:sz="0" w:space="0" w:color="auto"/>
        <w:bottom w:val="none" w:sz="0" w:space="0" w:color="auto"/>
        <w:right w:val="none" w:sz="0" w:space="0" w:color="auto"/>
      </w:divBdr>
    </w:div>
    <w:div w:id="1635717809">
      <w:bodyDiv w:val="1"/>
      <w:marLeft w:val="0"/>
      <w:marRight w:val="0"/>
      <w:marTop w:val="0"/>
      <w:marBottom w:val="0"/>
      <w:divBdr>
        <w:top w:val="none" w:sz="0" w:space="0" w:color="auto"/>
        <w:left w:val="none" w:sz="0" w:space="0" w:color="auto"/>
        <w:bottom w:val="none" w:sz="0" w:space="0" w:color="auto"/>
        <w:right w:val="none" w:sz="0" w:space="0" w:color="auto"/>
      </w:divBdr>
    </w:div>
    <w:div w:id="1647734245">
      <w:bodyDiv w:val="1"/>
      <w:marLeft w:val="0"/>
      <w:marRight w:val="0"/>
      <w:marTop w:val="0"/>
      <w:marBottom w:val="0"/>
      <w:divBdr>
        <w:top w:val="none" w:sz="0" w:space="0" w:color="auto"/>
        <w:left w:val="none" w:sz="0" w:space="0" w:color="auto"/>
        <w:bottom w:val="none" w:sz="0" w:space="0" w:color="auto"/>
        <w:right w:val="none" w:sz="0" w:space="0" w:color="auto"/>
      </w:divBdr>
    </w:div>
    <w:div w:id="1674600670">
      <w:bodyDiv w:val="1"/>
      <w:marLeft w:val="0"/>
      <w:marRight w:val="0"/>
      <w:marTop w:val="0"/>
      <w:marBottom w:val="0"/>
      <w:divBdr>
        <w:top w:val="none" w:sz="0" w:space="0" w:color="auto"/>
        <w:left w:val="none" w:sz="0" w:space="0" w:color="auto"/>
        <w:bottom w:val="none" w:sz="0" w:space="0" w:color="auto"/>
        <w:right w:val="none" w:sz="0" w:space="0" w:color="auto"/>
      </w:divBdr>
    </w:div>
    <w:div w:id="1701398996">
      <w:bodyDiv w:val="1"/>
      <w:marLeft w:val="0"/>
      <w:marRight w:val="0"/>
      <w:marTop w:val="0"/>
      <w:marBottom w:val="0"/>
      <w:divBdr>
        <w:top w:val="none" w:sz="0" w:space="0" w:color="auto"/>
        <w:left w:val="none" w:sz="0" w:space="0" w:color="auto"/>
        <w:bottom w:val="none" w:sz="0" w:space="0" w:color="auto"/>
        <w:right w:val="none" w:sz="0" w:space="0" w:color="auto"/>
      </w:divBdr>
    </w:div>
    <w:div w:id="1706518601">
      <w:bodyDiv w:val="1"/>
      <w:marLeft w:val="120"/>
      <w:marRight w:val="120"/>
      <w:marTop w:val="0"/>
      <w:marBottom w:val="0"/>
      <w:divBdr>
        <w:top w:val="none" w:sz="0" w:space="0" w:color="auto"/>
        <w:left w:val="none" w:sz="0" w:space="0" w:color="auto"/>
        <w:bottom w:val="none" w:sz="0" w:space="0" w:color="auto"/>
        <w:right w:val="none" w:sz="0" w:space="0" w:color="auto"/>
      </w:divBdr>
      <w:divsChild>
        <w:div w:id="1016467823">
          <w:marLeft w:val="0"/>
          <w:marRight w:val="0"/>
          <w:marTop w:val="0"/>
          <w:marBottom w:val="0"/>
          <w:divBdr>
            <w:top w:val="none" w:sz="0" w:space="0" w:color="auto"/>
            <w:left w:val="none" w:sz="0" w:space="0" w:color="auto"/>
            <w:bottom w:val="none" w:sz="0" w:space="0" w:color="auto"/>
            <w:right w:val="none" w:sz="0" w:space="0" w:color="auto"/>
          </w:divBdr>
          <w:divsChild>
            <w:div w:id="201307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42787">
      <w:bodyDiv w:val="1"/>
      <w:marLeft w:val="109"/>
      <w:marRight w:val="109"/>
      <w:marTop w:val="0"/>
      <w:marBottom w:val="0"/>
      <w:divBdr>
        <w:top w:val="none" w:sz="0" w:space="0" w:color="auto"/>
        <w:left w:val="none" w:sz="0" w:space="0" w:color="auto"/>
        <w:bottom w:val="none" w:sz="0" w:space="0" w:color="auto"/>
        <w:right w:val="none" w:sz="0" w:space="0" w:color="auto"/>
      </w:divBdr>
      <w:divsChild>
        <w:div w:id="681669022">
          <w:marLeft w:val="0"/>
          <w:marRight w:val="0"/>
          <w:marTop w:val="0"/>
          <w:marBottom w:val="0"/>
          <w:divBdr>
            <w:top w:val="none" w:sz="0" w:space="0" w:color="auto"/>
            <w:left w:val="none" w:sz="0" w:space="0" w:color="auto"/>
            <w:bottom w:val="none" w:sz="0" w:space="0" w:color="auto"/>
            <w:right w:val="none" w:sz="0" w:space="0" w:color="auto"/>
          </w:divBdr>
          <w:divsChild>
            <w:div w:id="127324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851441">
      <w:bodyDiv w:val="1"/>
      <w:marLeft w:val="0"/>
      <w:marRight w:val="0"/>
      <w:marTop w:val="0"/>
      <w:marBottom w:val="0"/>
      <w:divBdr>
        <w:top w:val="none" w:sz="0" w:space="0" w:color="auto"/>
        <w:left w:val="none" w:sz="0" w:space="0" w:color="auto"/>
        <w:bottom w:val="none" w:sz="0" w:space="0" w:color="auto"/>
        <w:right w:val="none" w:sz="0" w:space="0" w:color="auto"/>
      </w:divBdr>
    </w:div>
    <w:div w:id="1764571974">
      <w:bodyDiv w:val="1"/>
      <w:marLeft w:val="0"/>
      <w:marRight w:val="0"/>
      <w:marTop w:val="0"/>
      <w:marBottom w:val="0"/>
      <w:divBdr>
        <w:top w:val="none" w:sz="0" w:space="0" w:color="auto"/>
        <w:left w:val="none" w:sz="0" w:space="0" w:color="auto"/>
        <w:bottom w:val="none" w:sz="0" w:space="0" w:color="auto"/>
        <w:right w:val="none" w:sz="0" w:space="0" w:color="auto"/>
      </w:divBdr>
      <w:divsChild>
        <w:div w:id="1214080574">
          <w:marLeft w:val="0"/>
          <w:marRight w:val="0"/>
          <w:marTop w:val="0"/>
          <w:marBottom w:val="0"/>
          <w:divBdr>
            <w:top w:val="none" w:sz="0" w:space="0" w:color="auto"/>
            <w:left w:val="none" w:sz="0" w:space="0" w:color="auto"/>
            <w:bottom w:val="none" w:sz="0" w:space="0" w:color="auto"/>
            <w:right w:val="none" w:sz="0" w:space="0" w:color="auto"/>
          </w:divBdr>
        </w:div>
        <w:div w:id="1525249579">
          <w:marLeft w:val="0"/>
          <w:marRight w:val="0"/>
          <w:marTop w:val="0"/>
          <w:marBottom w:val="0"/>
          <w:divBdr>
            <w:top w:val="none" w:sz="0" w:space="0" w:color="auto"/>
            <w:left w:val="none" w:sz="0" w:space="0" w:color="auto"/>
            <w:bottom w:val="none" w:sz="0" w:space="0" w:color="auto"/>
            <w:right w:val="none" w:sz="0" w:space="0" w:color="auto"/>
          </w:divBdr>
          <w:divsChild>
            <w:div w:id="1756317303">
              <w:marLeft w:val="0"/>
              <w:marRight w:val="0"/>
              <w:marTop w:val="0"/>
              <w:marBottom w:val="0"/>
              <w:divBdr>
                <w:top w:val="none" w:sz="0" w:space="0" w:color="auto"/>
                <w:left w:val="none" w:sz="0" w:space="0" w:color="auto"/>
                <w:bottom w:val="none" w:sz="0" w:space="0" w:color="auto"/>
                <w:right w:val="none" w:sz="0" w:space="0" w:color="auto"/>
              </w:divBdr>
            </w:div>
            <w:div w:id="207083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7821">
      <w:bodyDiv w:val="1"/>
      <w:marLeft w:val="0"/>
      <w:marRight w:val="0"/>
      <w:marTop w:val="0"/>
      <w:marBottom w:val="0"/>
      <w:divBdr>
        <w:top w:val="none" w:sz="0" w:space="0" w:color="auto"/>
        <w:left w:val="none" w:sz="0" w:space="0" w:color="auto"/>
        <w:bottom w:val="none" w:sz="0" w:space="0" w:color="auto"/>
        <w:right w:val="none" w:sz="0" w:space="0" w:color="auto"/>
      </w:divBdr>
    </w:div>
    <w:div w:id="1804957411">
      <w:bodyDiv w:val="1"/>
      <w:marLeft w:val="0"/>
      <w:marRight w:val="0"/>
      <w:marTop w:val="0"/>
      <w:marBottom w:val="0"/>
      <w:divBdr>
        <w:top w:val="none" w:sz="0" w:space="0" w:color="auto"/>
        <w:left w:val="none" w:sz="0" w:space="0" w:color="auto"/>
        <w:bottom w:val="none" w:sz="0" w:space="0" w:color="auto"/>
        <w:right w:val="none" w:sz="0" w:space="0" w:color="auto"/>
      </w:divBdr>
    </w:div>
    <w:div w:id="1807774168">
      <w:bodyDiv w:val="1"/>
      <w:marLeft w:val="0"/>
      <w:marRight w:val="0"/>
      <w:marTop w:val="0"/>
      <w:marBottom w:val="0"/>
      <w:divBdr>
        <w:top w:val="none" w:sz="0" w:space="0" w:color="auto"/>
        <w:left w:val="none" w:sz="0" w:space="0" w:color="auto"/>
        <w:bottom w:val="none" w:sz="0" w:space="0" w:color="auto"/>
        <w:right w:val="none" w:sz="0" w:space="0" w:color="auto"/>
      </w:divBdr>
    </w:div>
    <w:div w:id="1824616826">
      <w:bodyDiv w:val="1"/>
      <w:marLeft w:val="0"/>
      <w:marRight w:val="0"/>
      <w:marTop w:val="0"/>
      <w:marBottom w:val="0"/>
      <w:divBdr>
        <w:top w:val="none" w:sz="0" w:space="0" w:color="auto"/>
        <w:left w:val="none" w:sz="0" w:space="0" w:color="auto"/>
        <w:bottom w:val="none" w:sz="0" w:space="0" w:color="auto"/>
        <w:right w:val="none" w:sz="0" w:space="0" w:color="auto"/>
      </w:divBdr>
    </w:div>
    <w:div w:id="1835997263">
      <w:bodyDiv w:val="1"/>
      <w:marLeft w:val="0"/>
      <w:marRight w:val="0"/>
      <w:marTop w:val="0"/>
      <w:marBottom w:val="0"/>
      <w:divBdr>
        <w:top w:val="none" w:sz="0" w:space="0" w:color="auto"/>
        <w:left w:val="none" w:sz="0" w:space="0" w:color="auto"/>
        <w:bottom w:val="none" w:sz="0" w:space="0" w:color="auto"/>
        <w:right w:val="none" w:sz="0" w:space="0" w:color="auto"/>
      </w:divBdr>
    </w:div>
    <w:div w:id="1852983429">
      <w:bodyDiv w:val="1"/>
      <w:marLeft w:val="0"/>
      <w:marRight w:val="0"/>
      <w:marTop w:val="0"/>
      <w:marBottom w:val="0"/>
      <w:divBdr>
        <w:top w:val="none" w:sz="0" w:space="0" w:color="auto"/>
        <w:left w:val="none" w:sz="0" w:space="0" w:color="auto"/>
        <w:bottom w:val="none" w:sz="0" w:space="0" w:color="auto"/>
        <w:right w:val="none" w:sz="0" w:space="0" w:color="auto"/>
      </w:divBdr>
    </w:div>
    <w:div w:id="1872571066">
      <w:bodyDiv w:val="1"/>
      <w:marLeft w:val="109"/>
      <w:marRight w:val="109"/>
      <w:marTop w:val="0"/>
      <w:marBottom w:val="0"/>
      <w:divBdr>
        <w:top w:val="none" w:sz="0" w:space="0" w:color="auto"/>
        <w:left w:val="none" w:sz="0" w:space="0" w:color="auto"/>
        <w:bottom w:val="none" w:sz="0" w:space="0" w:color="auto"/>
        <w:right w:val="none" w:sz="0" w:space="0" w:color="auto"/>
      </w:divBdr>
      <w:divsChild>
        <w:div w:id="99758803">
          <w:marLeft w:val="0"/>
          <w:marRight w:val="0"/>
          <w:marTop w:val="0"/>
          <w:marBottom w:val="0"/>
          <w:divBdr>
            <w:top w:val="none" w:sz="0" w:space="0" w:color="auto"/>
            <w:left w:val="none" w:sz="0" w:space="0" w:color="auto"/>
            <w:bottom w:val="none" w:sz="0" w:space="0" w:color="auto"/>
            <w:right w:val="none" w:sz="0" w:space="0" w:color="auto"/>
          </w:divBdr>
          <w:divsChild>
            <w:div w:id="5291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3988">
      <w:bodyDiv w:val="1"/>
      <w:marLeft w:val="0"/>
      <w:marRight w:val="0"/>
      <w:marTop w:val="0"/>
      <w:marBottom w:val="0"/>
      <w:divBdr>
        <w:top w:val="none" w:sz="0" w:space="0" w:color="auto"/>
        <w:left w:val="none" w:sz="0" w:space="0" w:color="auto"/>
        <w:bottom w:val="none" w:sz="0" w:space="0" w:color="auto"/>
        <w:right w:val="none" w:sz="0" w:space="0" w:color="auto"/>
      </w:divBdr>
    </w:div>
    <w:div w:id="1904103882">
      <w:bodyDiv w:val="1"/>
      <w:marLeft w:val="120"/>
      <w:marRight w:val="120"/>
      <w:marTop w:val="0"/>
      <w:marBottom w:val="0"/>
      <w:divBdr>
        <w:top w:val="none" w:sz="0" w:space="0" w:color="auto"/>
        <w:left w:val="none" w:sz="0" w:space="0" w:color="auto"/>
        <w:bottom w:val="none" w:sz="0" w:space="0" w:color="auto"/>
        <w:right w:val="none" w:sz="0" w:space="0" w:color="auto"/>
      </w:divBdr>
      <w:divsChild>
        <w:div w:id="487332325">
          <w:marLeft w:val="0"/>
          <w:marRight w:val="0"/>
          <w:marTop w:val="0"/>
          <w:marBottom w:val="0"/>
          <w:divBdr>
            <w:top w:val="none" w:sz="0" w:space="0" w:color="auto"/>
            <w:left w:val="none" w:sz="0" w:space="0" w:color="auto"/>
            <w:bottom w:val="none" w:sz="0" w:space="0" w:color="auto"/>
            <w:right w:val="none" w:sz="0" w:space="0" w:color="auto"/>
          </w:divBdr>
          <w:divsChild>
            <w:div w:id="7007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24759">
      <w:bodyDiv w:val="1"/>
      <w:marLeft w:val="0"/>
      <w:marRight w:val="0"/>
      <w:marTop w:val="0"/>
      <w:marBottom w:val="0"/>
      <w:divBdr>
        <w:top w:val="none" w:sz="0" w:space="0" w:color="auto"/>
        <w:left w:val="none" w:sz="0" w:space="0" w:color="auto"/>
        <w:bottom w:val="none" w:sz="0" w:space="0" w:color="auto"/>
        <w:right w:val="none" w:sz="0" w:space="0" w:color="auto"/>
      </w:divBdr>
    </w:div>
    <w:div w:id="1932201948">
      <w:bodyDiv w:val="1"/>
      <w:marLeft w:val="109"/>
      <w:marRight w:val="109"/>
      <w:marTop w:val="0"/>
      <w:marBottom w:val="0"/>
      <w:divBdr>
        <w:top w:val="none" w:sz="0" w:space="0" w:color="auto"/>
        <w:left w:val="none" w:sz="0" w:space="0" w:color="auto"/>
        <w:bottom w:val="none" w:sz="0" w:space="0" w:color="auto"/>
        <w:right w:val="none" w:sz="0" w:space="0" w:color="auto"/>
      </w:divBdr>
      <w:divsChild>
        <w:div w:id="489559495">
          <w:marLeft w:val="0"/>
          <w:marRight w:val="0"/>
          <w:marTop w:val="0"/>
          <w:marBottom w:val="0"/>
          <w:divBdr>
            <w:top w:val="none" w:sz="0" w:space="0" w:color="auto"/>
            <w:left w:val="none" w:sz="0" w:space="0" w:color="auto"/>
            <w:bottom w:val="none" w:sz="0" w:space="0" w:color="auto"/>
            <w:right w:val="none" w:sz="0" w:space="0" w:color="auto"/>
          </w:divBdr>
          <w:divsChild>
            <w:div w:id="48255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3038">
      <w:bodyDiv w:val="1"/>
      <w:marLeft w:val="120"/>
      <w:marRight w:val="120"/>
      <w:marTop w:val="0"/>
      <w:marBottom w:val="0"/>
      <w:divBdr>
        <w:top w:val="none" w:sz="0" w:space="0" w:color="auto"/>
        <w:left w:val="none" w:sz="0" w:space="0" w:color="auto"/>
        <w:bottom w:val="none" w:sz="0" w:space="0" w:color="auto"/>
        <w:right w:val="none" w:sz="0" w:space="0" w:color="auto"/>
      </w:divBdr>
      <w:divsChild>
        <w:div w:id="1384477827">
          <w:marLeft w:val="0"/>
          <w:marRight w:val="0"/>
          <w:marTop w:val="0"/>
          <w:marBottom w:val="0"/>
          <w:divBdr>
            <w:top w:val="none" w:sz="0" w:space="0" w:color="auto"/>
            <w:left w:val="none" w:sz="0" w:space="0" w:color="auto"/>
            <w:bottom w:val="none" w:sz="0" w:space="0" w:color="auto"/>
            <w:right w:val="none" w:sz="0" w:space="0" w:color="auto"/>
          </w:divBdr>
          <w:divsChild>
            <w:div w:id="12333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190733">
      <w:bodyDiv w:val="1"/>
      <w:marLeft w:val="0"/>
      <w:marRight w:val="0"/>
      <w:marTop w:val="0"/>
      <w:marBottom w:val="0"/>
      <w:divBdr>
        <w:top w:val="none" w:sz="0" w:space="0" w:color="auto"/>
        <w:left w:val="none" w:sz="0" w:space="0" w:color="auto"/>
        <w:bottom w:val="none" w:sz="0" w:space="0" w:color="auto"/>
        <w:right w:val="none" w:sz="0" w:space="0" w:color="auto"/>
      </w:divBdr>
      <w:divsChild>
        <w:div w:id="1084372339">
          <w:marLeft w:val="0"/>
          <w:marRight w:val="0"/>
          <w:marTop w:val="0"/>
          <w:marBottom w:val="0"/>
          <w:divBdr>
            <w:top w:val="none" w:sz="0" w:space="0" w:color="auto"/>
            <w:left w:val="none" w:sz="0" w:space="0" w:color="auto"/>
            <w:bottom w:val="none" w:sz="0" w:space="0" w:color="auto"/>
            <w:right w:val="none" w:sz="0" w:space="0" w:color="auto"/>
          </w:divBdr>
        </w:div>
        <w:div w:id="1132284940">
          <w:marLeft w:val="0"/>
          <w:marRight w:val="0"/>
          <w:marTop w:val="0"/>
          <w:marBottom w:val="0"/>
          <w:divBdr>
            <w:top w:val="none" w:sz="0" w:space="0" w:color="auto"/>
            <w:left w:val="none" w:sz="0" w:space="0" w:color="auto"/>
            <w:bottom w:val="none" w:sz="0" w:space="0" w:color="auto"/>
            <w:right w:val="none" w:sz="0" w:space="0" w:color="auto"/>
          </w:divBdr>
          <w:divsChild>
            <w:div w:id="419062778">
              <w:marLeft w:val="0"/>
              <w:marRight w:val="0"/>
              <w:marTop w:val="0"/>
              <w:marBottom w:val="0"/>
              <w:divBdr>
                <w:top w:val="none" w:sz="0" w:space="0" w:color="auto"/>
                <w:left w:val="none" w:sz="0" w:space="0" w:color="auto"/>
                <w:bottom w:val="none" w:sz="0" w:space="0" w:color="auto"/>
                <w:right w:val="none" w:sz="0" w:space="0" w:color="auto"/>
              </w:divBdr>
            </w:div>
            <w:div w:id="54829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6465">
      <w:bodyDiv w:val="1"/>
      <w:marLeft w:val="0"/>
      <w:marRight w:val="0"/>
      <w:marTop w:val="0"/>
      <w:marBottom w:val="0"/>
      <w:divBdr>
        <w:top w:val="none" w:sz="0" w:space="0" w:color="auto"/>
        <w:left w:val="none" w:sz="0" w:space="0" w:color="auto"/>
        <w:bottom w:val="none" w:sz="0" w:space="0" w:color="auto"/>
        <w:right w:val="none" w:sz="0" w:space="0" w:color="auto"/>
      </w:divBdr>
      <w:divsChild>
        <w:div w:id="736169281">
          <w:marLeft w:val="0"/>
          <w:marRight w:val="0"/>
          <w:marTop w:val="0"/>
          <w:marBottom w:val="0"/>
          <w:divBdr>
            <w:top w:val="none" w:sz="0" w:space="0" w:color="auto"/>
            <w:left w:val="none" w:sz="0" w:space="0" w:color="auto"/>
            <w:bottom w:val="none" w:sz="0" w:space="0" w:color="auto"/>
            <w:right w:val="none" w:sz="0" w:space="0" w:color="auto"/>
          </w:divBdr>
          <w:divsChild>
            <w:div w:id="208808978">
              <w:marLeft w:val="0"/>
              <w:marRight w:val="0"/>
              <w:marTop w:val="0"/>
              <w:marBottom w:val="0"/>
              <w:divBdr>
                <w:top w:val="none" w:sz="0" w:space="0" w:color="auto"/>
                <w:left w:val="none" w:sz="0" w:space="0" w:color="auto"/>
                <w:bottom w:val="none" w:sz="0" w:space="0" w:color="auto"/>
                <w:right w:val="none" w:sz="0" w:space="0" w:color="auto"/>
              </w:divBdr>
            </w:div>
            <w:div w:id="1204098821">
              <w:marLeft w:val="0"/>
              <w:marRight w:val="0"/>
              <w:marTop w:val="0"/>
              <w:marBottom w:val="0"/>
              <w:divBdr>
                <w:top w:val="none" w:sz="0" w:space="0" w:color="auto"/>
                <w:left w:val="none" w:sz="0" w:space="0" w:color="auto"/>
                <w:bottom w:val="none" w:sz="0" w:space="0" w:color="auto"/>
                <w:right w:val="none" w:sz="0" w:space="0" w:color="auto"/>
              </w:divBdr>
            </w:div>
          </w:divsChild>
        </w:div>
        <w:div w:id="1199702817">
          <w:marLeft w:val="0"/>
          <w:marRight w:val="0"/>
          <w:marTop w:val="0"/>
          <w:marBottom w:val="0"/>
          <w:divBdr>
            <w:top w:val="none" w:sz="0" w:space="0" w:color="auto"/>
            <w:left w:val="none" w:sz="0" w:space="0" w:color="auto"/>
            <w:bottom w:val="none" w:sz="0" w:space="0" w:color="auto"/>
            <w:right w:val="none" w:sz="0" w:space="0" w:color="auto"/>
          </w:divBdr>
        </w:div>
      </w:divsChild>
    </w:div>
    <w:div w:id="1968078076">
      <w:bodyDiv w:val="1"/>
      <w:marLeft w:val="0"/>
      <w:marRight w:val="0"/>
      <w:marTop w:val="0"/>
      <w:marBottom w:val="0"/>
      <w:divBdr>
        <w:top w:val="none" w:sz="0" w:space="0" w:color="auto"/>
        <w:left w:val="none" w:sz="0" w:space="0" w:color="auto"/>
        <w:bottom w:val="none" w:sz="0" w:space="0" w:color="auto"/>
        <w:right w:val="none" w:sz="0" w:space="0" w:color="auto"/>
      </w:divBdr>
    </w:div>
    <w:div w:id="1990816523">
      <w:bodyDiv w:val="1"/>
      <w:marLeft w:val="0"/>
      <w:marRight w:val="0"/>
      <w:marTop w:val="0"/>
      <w:marBottom w:val="0"/>
      <w:divBdr>
        <w:top w:val="none" w:sz="0" w:space="0" w:color="auto"/>
        <w:left w:val="none" w:sz="0" w:space="0" w:color="auto"/>
        <w:bottom w:val="none" w:sz="0" w:space="0" w:color="auto"/>
        <w:right w:val="none" w:sz="0" w:space="0" w:color="auto"/>
      </w:divBdr>
      <w:divsChild>
        <w:div w:id="755827092">
          <w:marLeft w:val="1166"/>
          <w:marRight w:val="0"/>
          <w:marTop w:val="0"/>
          <w:marBottom w:val="144"/>
          <w:divBdr>
            <w:top w:val="none" w:sz="0" w:space="0" w:color="auto"/>
            <w:left w:val="none" w:sz="0" w:space="0" w:color="auto"/>
            <w:bottom w:val="none" w:sz="0" w:space="0" w:color="auto"/>
            <w:right w:val="none" w:sz="0" w:space="0" w:color="auto"/>
          </w:divBdr>
        </w:div>
        <w:div w:id="1589852009">
          <w:marLeft w:val="1166"/>
          <w:marRight w:val="0"/>
          <w:marTop w:val="0"/>
          <w:marBottom w:val="144"/>
          <w:divBdr>
            <w:top w:val="none" w:sz="0" w:space="0" w:color="auto"/>
            <w:left w:val="none" w:sz="0" w:space="0" w:color="auto"/>
            <w:bottom w:val="none" w:sz="0" w:space="0" w:color="auto"/>
            <w:right w:val="none" w:sz="0" w:space="0" w:color="auto"/>
          </w:divBdr>
        </w:div>
        <w:div w:id="2107118977">
          <w:marLeft w:val="1166"/>
          <w:marRight w:val="0"/>
          <w:marTop w:val="0"/>
          <w:marBottom w:val="144"/>
          <w:divBdr>
            <w:top w:val="none" w:sz="0" w:space="0" w:color="auto"/>
            <w:left w:val="none" w:sz="0" w:space="0" w:color="auto"/>
            <w:bottom w:val="none" w:sz="0" w:space="0" w:color="auto"/>
            <w:right w:val="none" w:sz="0" w:space="0" w:color="auto"/>
          </w:divBdr>
        </w:div>
      </w:divsChild>
    </w:div>
    <w:div w:id="1992130279">
      <w:bodyDiv w:val="1"/>
      <w:marLeft w:val="0"/>
      <w:marRight w:val="0"/>
      <w:marTop w:val="0"/>
      <w:marBottom w:val="0"/>
      <w:divBdr>
        <w:top w:val="none" w:sz="0" w:space="0" w:color="auto"/>
        <w:left w:val="none" w:sz="0" w:space="0" w:color="auto"/>
        <w:bottom w:val="none" w:sz="0" w:space="0" w:color="auto"/>
        <w:right w:val="none" w:sz="0" w:space="0" w:color="auto"/>
      </w:divBdr>
    </w:div>
    <w:div w:id="2001689131">
      <w:bodyDiv w:val="1"/>
      <w:marLeft w:val="0"/>
      <w:marRight w:val="0"/>
      <w:marTop w:val="0"/>
      <w:marBottom w:val="0"/>
      <w:divBdr>
        <w:top w:val="none" w:sz="0" w:space="0" w:color="auto"/>
        <w:left w:val="none" w:sz="0" w:space="0" w:color="auto"/>
        <w:bottom w:val="none" w:sz="0" w:space="0" w:color="auto"/>
        <w:right w:val="none" w:sz="0" w:space="0" w:color="auto"/>
      </w:divBdr>
    </w:div>
    <w:div w:id="2035112859">
      <w:bodyDiv w:val="1"/>
      <w:marLeft w:val="100"/>
      <w:marRight w:val="100"/>
      <w:marTop w:val="0"/>
      <w:marBottom w:val="0"/>
      <w:divBdr>
        <w:top w:val="none" w:sz="0" w:space="0" w:color="auto"/>
        <w:left w:val="none" w:sz="0" w:space="0" w:color="auto"/>
        <w:bottom w:val="none" w:sz="0" w:space="0" w:color="auto"/>
        <w:right w:val="none" w:sz="0" w:space="0" w:color="auto"/>
      </w:divBdr>
      <w:divsChild>
        <w:div w:id="748187849">
          <w:marLeft w:val="0"/>
          <w:marRight w:val="0"/>
          <w:marTop w:val="0"/>
          <w:marBottom w:val="0"/>
          <w:divBdr>
            <w:top w:val="none" w:sz="0" w:space="0" w:color="auto"/>
            <w:left w:val="none" w:sz="0" w:space="0" w:color="auto"/>
            <w:bottom w:val="none" w:sz="0" w:space="0" w:color="auto"/>
            <w:right w:val="none" w:sz="0" w:space="0" w:color="auto"/>
          </w:divBdr>
          <w:divsChild>
            <w:div w:id="7588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659429">
      <w:bodyDiv w:val="1"/>
      <w:marLeft w:val="0"/>
      <w:marRight w:val="0"/>
      <w:marTop w:val="0"/>
      <w:marBottom w:val="0"/>
      <w:divBdr>
        <w:top w:val="none" w:sz="0" w:space="0" w:color="auto"/>
        <w:left w:val="none" w:sz="0" w:space="0" w:color="auto"/>
        <w:bottom w:val="none" w:sz="0" w:space="0" w:color="auto"/>
        <w:right w:val="none" w:sz="0" w:space="0" w:color="auto"/>
      </w:divBdr>
    </w:div>
    <w:div w:id="2060206719">
      <w:bodyDiv w:val="1"/>
      <w:marLeft w:val="0"/>
      <w:marRight w:val="0"/>
      <w:marTop w:val="0"/>
      <w:marBottom w:val="0"/>
      <w:divBdr>
        <w:top w:val="none" w:sz="0" w:space="0" w:color="auto"/>
        <w:left w:val="none" w:sz="0" w:space="0" w:color="auto"/>
        <w:bottom w:val="none" w:sz="0" w:space="0" w:color="auto"/>
        <w:right w:val="none" w:sz="0" w:space="0" w:color="auto"/>
      </w:divBdr>
    </w:div>
    <w:div w:id="2062509429">
      <w:bodyDiv w:val="1"/>
      <w:marLeft w:val="0"/>
      <w:marRight w:val="0"/>
      <w:marTop w:val="0"/>
      <w:marBottom w:val="0"/>
      <w:divBdr>
        <w:top w:val="none" w:sz="0" w:space="0" w:color="auto"/>
        <w:left w:val="none" w:sz="0" w:space="0" w:color="auto"/>
        <w:bottom w:val="none" w:sz="0" w:space="0" w:color="auto"/>
        <w:right w:val="none" w:sz="0" w:space="0" w:color="auto"/>
      </w:divBdr>
    </w:div>
    <w:div w:id="2072000953">
      <w:bodyDiv w:val="1"/>
      <w:marLeft w:val="0"/>
      <w:marRight w:val="0"/>
      <w:marTop w:val="0"/>
      <w:marBottom w:val="0"/>
      <w:divBdr>
        <w:top w:val="none" w:sz="0" w:space="0" w:color="auto"/>
        <w:left w:val="none" w:sz="0" w:space="0" w:color="auto"/>
        <w:bottom w:val="none" w:sz="0" w:space="0" w:color="auto"/>
        <w:right w:val="none" w:sz="0" w:space="0" w:color="auto"/>
      </w:divBdr>
    </w:div>
    <w:div w:id="2077900397">
      <w:bodyDiv w:val="1"/>
      <w:marLeft w:val="0"/>
      <w:marRight w:val="0"/>
      <w:marTop w:val="0"/>
      <w:marBottom w:val="0"/>
      <w:divBdr>
        <w:top w:val="none" w:sz="0" w:space="0" w:color="auto"/>
        <w:left w:val="none" w:sz="0" w:space="0" w:color="auto"/>
        <w:bottom w:val="none" w:sz="0" w:space="0" w:color="auto"/>
        <w:right w:val="none" w:sz="0" w:space="0" w:color="auto"/>
      </w:divBdr>
    </w:div>
    <w:div w:id="2096972626">
      <w:bodyDiv w:val="1"/>
      <w:marLeft w:val="0"/>
      <w:marRight w:val="0"/>
      <w:marTop w:val="0"/>
      <w:marBottom w:val="0"/>
      <w:divBdr>
        <w:top w:val="none" w:sz="0" w:space="0" w:color="auto"/>
        <w:left w:val="none" w:sz="0" w:space="0" w:color="auto"/>
        <w:bottom w:val="none" w:sz="0" w:space="0" w:color="auto"/>
        <w:right w:val="none" w:sz="0" w:space="0" w:color="auto"/>
      </w:divBdr>
    </w:div>
    <w:div w:id="2099791799">
      <w:bodyDiv w:val="1"/>
      <w:marLeft w:val="120"/>
      <w:marRight w:val="120"/>
      <w:marTop w:val="0"/>
      <w:marBottom w:val="0"/>
      <w:divBdr>
        <w:top w:val="none" w:sz="0" w:space="0" w:color="auto"/>
        <w:left w:val="none" w:sz="0" w:space="0" w:color="auto"/>
        <w:bottom w:val="none" w:sz="0" w:space="0" w:color="auto"/>
        <w:right w:val="none" w:sz="0" w:space="0" w:color="auto"/>
      </w:divBdr>
      <w:divsChild>
        <w:div w:id="145324951">
          <w:marLeft w:val="0"/>
          <w:marRight w:val="0"/>
          <w:marTop w:val="0"/>
          <w:marBottom w:val="0"/>
          <w:divBdr>
            <w:top w:val="none" w:sz="0" w:space="0" w:color="auto"/>
            <w:left w:val="none" w:sz="0" w:space="0" w:color="auto"/>
            <w:bottom w:val="none" w:sz="0" w:space="0" w:color="auto"/>
            <w:right w:val="none" w:sz="0" w:space="0" w:color="auto"/>
          </w:divBdr>
          <w:divsChild>
            <w:div w:id="211763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7741">
      <w:bodyDiv w:val="1"/>
      <w:marLeft w:val="109"/>
      <w:marRight w:val="109"/>
      <w:marTop w:val="0"/>
      <w:marBottom w:val="0"/>
      <w:divBdr>
        <w:top w:val="none" w:sz="0" w:space="0" w:color="auto"/>
        <w:left w:val="none" w:sz="0" w:space="0" w:color="auto"/>
        <w:bottom w:val="none" w:sz="0" w:space="0" w:color="auto"/>
        <w:right w:val="none" w:sz="0" w:space="0" w:color="auto"/>
      </w:divBdr>
      <w:divsChild>
        <w:div w:id="1293362679">
          <w:marLeft w:val="0"/>
          <w:marRight w:val="0"/>
          <w:marTop w:val="0"/>
          <w:marBottom w:val="0"/>
          <w:divBdr>
            <w:top w:val="none" w:sz="0" w:space="0" w:color="auto"/>
            <w:left w:val="none" w:sz="0" w:space="0" w:color="auto"/>
            <w:bottom w:val="none" w:sz="0" w:space="0" w:color="auto"/>
            <w:right w:val="none" w:sz="0" w:space="0" w:color="auto"/>
          </w:divBdr>
          <w:divsChild>
            <w:div w:id="148177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79553">
      <w:bodyDiv w:val="1"/>
      <w:marLeft w:val="0"/>
      <w:marRight w:val="0"/>
      <w:marTop w:val="0"/>
      <w:marBottom w:val="0"/>
      <w:divBdr>
        <w:top w:val="none" w:sz="0" w:space="0" w:color="auto"/>
        <w:left w:val="none" w:sz="0" w:space="0" w:color="auto"/>
        <w:bottom w:val="none" w:sz="0" w:space="0" w:color="auto"/>
        <w:right w:val="none" w:sz="0" w:space="0" w:color="auto"/>
      </w:divBdr>
    </w:div>
    <w:div w:id="214407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image" Target="media/image8.wmf"/><Relationship Id="rId39" Type="http://schemas.openxmlformats.org/officeDocument/2006/relationships/oleObject" Target="embeddings/oleObject15.bin"/><Relationship Id="rId21" Type="http://schemas.openxmlformats.org/officeDocument/2006/relationships/hyperlink" Target="http://www.sciencedirect.com/science/article/pii/S016541011100036X" TargetMode="External"/><Relationship Id="rId34" Type="http://schemas.openxmlformats.org/officeDocument/2006/relationships/image" Target="media/image11.wmf"/><Relationship Id="rId42" Type="http://schemas.openxmlformats.org/officeDocument/2006/relationships/image" Target="media/image15.wmf"/><Relationship Id="rId47" Type="http://schemas.openxmlformats.org/officeDocument/2006/relationships/oleObject" Target="embeddings/oleObject19.bin"/><Relationship Id="rId50" Type="http://schemas.openxmlformats.org/officeDocument/2006/relationships/image" Target="media/image19.wmf"/><Relationship Id="rId55" Type="http://schemas.openxmlformats.org/officeDocument/2006/relationships/hyperlink" Target="http://www.jstor.org/action/showPublication?journalCode=accountingreview" TargetMode="External"/><Relationship Id="rId63" Type="http://schemas.openxmlformats.org/officeDocument/2006/relationships/oleObject" Target="embeddings/oleObject26.bin"/><Relationship Id="rId68" Type="http://schemas.openxmlformats.org/officeDocument/2006/relationships/oleObject" Target="embeddings/oleObject27.bin"/><Relationship Id="rId7" Type="http://schemas.openxmlformats.org/officeDocument/2006/relationships/footnotes" Target="footnotes.xml"/><Relationship Id="rId71"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oleObject" Target="embeddings/oleObject10.bin"/><Relationship Id="rId11" Type="http://schemas.openxmlformats.org/officeDocument/2006/relationships/image" Target="media/image1.wmf"/><Relationship Id="rId24" Type="http://schemas.openxmlformats.org/officeDocument/2006/relationships/image" Target="media/image7.wmf"/><Relationship Id="rId32" Type="http://schemas.openxmlformats.org/officeDocument/2006/relationships/image" Target="media/image10.wmf"/><Relationship Id="rId37" Type="http://schemas.openxmlformats.org/officeDocument/2006/relationships/oleObject" Target="embeddings/oleObject14.bin"/><Relationship Id="rId40" Type="http://schemas.openxmlformats.org/officeDocument/2006/relationships/image" Target="media/image14.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image" Target="media/image22.wmf"/><Relationship Id="rId66" Type="http://schemas.microsoft.com/office/2007/relationships/hdphoto" Target="media/hdphoto1.wdp"/><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oleObject" Target="embeddings/oleObject6.bin"/><Relationship Id="rId28" Type="http://schemas.openxmlformats.org/officeDocument/2006/relationships/oleObject" Target="embeddings/oleObject9.bin"/><Relationship Id="rId36" Type="http://schemas.openxmlformats.org/officeDocument/2006/relationships/image" Target="media/image12.wmf"/><Relationship Id="rId49" Type="http://schemas.openxmlformats.org/officeDocument/2006/relationships/oleObject" Target="embeddings/oleObject20.bin"/><Relationship Id="rId57" Type="http://schemas.openxmlformats.org/officeDocument/2006/relationships/oleObject" Target="embeddings/oleObject23.bin"/><Relationship Id="rId61" Type="http://schemas.openxmlformats.org/officeDocument/2006/relationships/oleObject" Target="embeddings/oleObject25.bin"/><Relationship Id="rId10" Type="http://schemas.openxmlformats.org/officeDocument/2006/relationships/footer" Target="footer2.xml"/><Relationship Id="rId19" Type="http://schemas.openxmlformats.org/officeDocument/2006/relationships/image" Target="media/image5.wmf"/><Relationship Id="rId31" Type="http://schemas.openxmlformats.org/officeDocument/2006/relationships/oleObject" Target="embeddings/oleObject11.bin"/><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image" Target="media/image23.wmf"/><Relationship Id="rId65" Type="http://schemas.openxmlformats.org/officeDocument/2006/relationships/image" Target="media/image25.jpeg"/><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9.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18.wmf"/><Relationship Id="rId56" Type="http://schemas.openxmlformats.org/officeDocument/2006/relationships/image" Target="media/image21.wmf"/><Relationship Id="rId64" Type="http://schemas.openxmlformats.org/officeDocument/2006/relationships/footer" Target="footer3.xml"/><Relationship Id="rId69"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oleObject" Target="embeddings/oleObject21.bin"/><Relationship Id="rId72" Type="http://schemas.openxmlformats.org/officeDocument/2006/relationships/footer" Target="footer5.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oleObject" Target="embeddings/oleObject7.bin"/><Relationship Id="rId33" Type="http://schemas.openxmlformats.org/officeDocument/2006/relationships/oleObject" Target="embeddings/oleObject12.bin"/><Relationship Id="rId38" Type="http://schemas.openxmlformats.org/officeDocument/2006/relationships/image" Target="media/image13.wmf"/><Relationship Id="rId46" Type="http://schemas.openxmlformats.org/officeDocument/2006/relationships/image" Target="media/image17.wmf"/><Relationship Id="rId59" Type="http://schemas.openxmlformats.org/officeDocument/2006/relationships/oleObject" Target="embeddings/oleObject24.bin"/><Relationship Id="rId67" Type="http://schemas.openxmlformats.org/officeDocument/2006/relationships/chart" Target="charts/chart1.xml"/><Relationship Id="rId20" Type="http://schemas.openxmlformats.org/officeDocument/2006/relationships/oleObject" Target="embeddings/oleObject5.bin"/><Relationship Id="rId41" Type="http://schemas.openxmlformats.org/officeDocument/2006/relationships/oleObject" Target="embeddings/oleObject16.bin"/><Relationship Id="rId54" Type="http://schemas.openxmlformats.org/officeDocument/2006/relationships/hyperlink" Target="http://www.jstor.org/stable/4093160" TargetMode="External"/><Relationship Id="rId62" Type="http://schemas.openxmlformats.org/officeDocument/2006/relationships/image" Target="media/image24.wmf"/><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4727\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Sheet1!$C$2</c:f>
              <c:strCache>
                <c:ptCount val="1"/>
                <c:pt idx="0">
                  <c:v>Cov(Vk,Vj)=1</c:v>
                </c:pt>
              </c:strCache>
            </c:strRef>
          </c:tx>
          <c:marker>
            <c:symbol val="none"/>
          </c:marker>
          <c:cat>
            <c:numRef>
              <c:f>Sheet1!$B$3:$B$13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Sheet1!$C$3:$C$13</c:f>
              <c:numCache>
                <c:formatCode>General</c:formatCode>
                <c:ptCount val="11"/>
                <c:pt idx="0">
                  <c:v>0</c:v>
                </c:pt>
                <c:pt idx="1">
                  <c:v>9.0909090909090912E-2</c:v>
                </c:pt>
                <c:pt idx="2">
                  <c:v>0.16666666666666669</c:v>
                </c:pt>
                <c:pt idx="3">
                  <c:v>0.23076923076923075</c:v>
                </c:pt>
                <c:pt idx="4">
                  <c:v>0.28571428571428575</c:v>
                </c:pt>
                <c:pt idx="5">
                  <c:v>0.33333333333333331</c:v>
                </c:pt>
                <c:pt idx="6">
                  <c:v>0.37499999999999994</c:v>
                </c:pt>
                <c:pt idx="7">
                  <c:v>0.41176470588235292</c:v>
                </c:pt>
                <c:pt idx="8">
                  <c:v>0.44444444444444448</c:v>
                </c:pt>
                <c:pt idx="9">
                  <c:v>0.47368421052631582</c:v>
                </c:pt>
                <c:pt idx="10">
                  <c:v>0.5</c:v>
                </c:pt>
              </c:numCache>
            </c:numRef>
          </c:val>
          <c:smooth val="0"/>
        </c:ser>
        <c:ser>
          <c:idx val="1"/>
          <c:order val="1"/>
          <c:tx>
            <c:strRef>
              <c:f>Sheet1!$D$2</c:f>
              <c:strCache>
                <c:ptCount val="1"/>
                <c:pt idx="0">
                  <c:v>Cov(Vk,Vj)=0.5</c:v>
                </c:pt>
              </c:strCache>
            </c:strRef>
          </c:tx>
          <c:spPr>
            <a:ln>
              <a:prstDash val="sysDot"/>
            </a:ln>
          </c:spPr>
          <c:marker>
            <c:symbol val="none"/>
          </c:marker>
          <c:cat>
            <c:numRef>
              <c:f>Sheet1!$B$3:$B$13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Sheet1!$D$3:$D$13</c:f>
              <c:numCache>
                <c:formatCode>General</c:formatCode>
                <c:ptCount val="11"/>
                <c:pt idx="0">
                  <c:v>0</c:v>
                </c:pt>
                <c:pt idx="1">
                  <c:v>4.5454545454545456E-2</c:v>
                </c:pt>
                <c:pt idx="2">
                  <c:v>8.3333333333333343E-2</c:v>
                </c:pt>
                <c:pt idx="3">
                  <c:v>0.11538461538461538</c:v>
                </c:pt>
                <c:pt idx="4">
                  <c:v>0.14285714285714288</c:v>
                </c:pt>
                <c:pt idx="5">
                  <c:v>0.16666666666666666</c:v>
                </c:pt>
                <c:pt idx="6">
                  <c:v>0.18749999999999997</c:v>
                </c:pt>
                <c:pt idx="7">
                  <c:v>0.20588235294117646</c:v>
                </c:pt>
                <c:pt idx="8">
                  <c:v>0.22222222222222224</c:v>
                </c:pt>
                <c:pt idx="9">
                  <c:v>0.23684210526315791</c:v>
                </c:pt>
                <c:pt idx="10">
                  <c:v>0.25</c:v>
                </c:pt>
              </c:numCache>
            </c:numRef>
          </c:val>
          <c:smooth val="0"/>
        </c:ser>
        <c:ser>
          <c:idx val="2"/>
          <c:order val="2"/>
          <c:tx>
            <c:strRef>
              <c:f>Sheet1!$E$2</c:f>
              <c:strCache>
                <c:ptCount val="1"/>
                <c:pt idx="0">
                  <c:v>Cov(Vk,Vj)=0.1</c:v>
                </c:pt>
              </c:strCache>
            </c:strRef>
          </c:tx>
          <c:spPr>
            <a:ln>
              <a:prstDash val="dashDot"/>
            </a:ln>
          </c:spPr>
          <c:marker>
            <c:symbol val="none"/>
          </c:marker>
          <c:cat>
            <c:numRef>
              <c:f>Sheet1!$B$3:$B$13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Sheet1!$E$3:$E$13</c:f>
              <c:numCache>
                <c:formatCode>General</c:formatCode>
                <c:ptCount val="11"/>
                <c:pt idx="0">
                  <c:v>0</c:v>
                </c:pt>
                <c:pt idx="1">
                  <c:v>9.0909090909090922E-3</c:v>
                </c:pt>
                <c:pt idx="2">
                  <c:v>1.666666666666667E-2</c:v>
                </c:pt>
                <c:pt idx="3">
                  <c:v>2.3076923076923075E-2</c:v>
                </c:pt>
                <c:pt idx="4">
                  <c:v>2.8571428571428577E-2</c:v>
                </c:pt>
                <c:pt idx="5">
                  <c:v>3.3333333333333333E-2</c:v>
                </c:pt>
                <c:pt idx="6">
                  <c:v>3.7499999999999999E-2</c:v>
                </c:pt>
                <c:pt idx="7">
                  <c:v>4.1176470588235294E-2</c:v>
                </c:pt>
                <c:pt idx="8">
                  <c:v>4.4444444444444453E-2</c:v>
                </c:pt>
                <c:pt idx="9">
                  <c:v>4.7368421052631587E-2</c:v>
                </c:pt>
                <c:pt idx="10">
                  <c:v>0.05</c:v>
                </c:pt>
              </c:numCache>
            </c:numRef>
          </c:val>
          <c:smooth val="0"/>
        </c:ser>
        <c:dLbls>
          <c:showLegendKey val="0"/>
          <c:showVal val="0"/>
          <c:showCatName val="0"/>
          <c:showSerName val="0"/>
          <c:showPercent val="0"/>
          <c:showBubbleSize val="0"/>
        </c:dLbls>
        <c:marker val="1"/>
        <c:smooth val="0"/>
        <c:axId val="169978880"/>
        <c:axId val="102376576"/>
      </c:lineChart>
      <c:catAx>
        <c:axId val="169978880"/>
        <c:scaling>
          <c:orientation val="minMax"/>
        </c:scaling>
        <c:delete val="0"/>
        <c:axPos val="b"/>
        <c:title>
          <c:tx>
            <c:rich>
              <a:bodyPr/>
              <a:lstStyle/>
              <a:p>
                <a:pPr>
                  <a:defRPr sz="800"/>
                </a:pPr>
                <a:r>
                  <a:rPr lang="en-US" sz="800"/>
                  <a:t>Var(</a:t>
                </a:r>
                <a:r>
                  <a:rPr lang="el-GR" sz="800"/>
                  <a:t>ε</a:t>
                </a:r>
                <a:r>
                  <a:rPr lang="en-US" sz="800"/>
                  <a:t>j)</a:t>
                </a:r>
              </a:p>
            </c:rich>
          </c:tx>
          <c:overlay val="0"/>
        </c:title>
        <c:numFmt formatCode="General" sourceLinked="1"/>
        <c:majorTickMark val="none"/>
        <c:minorTickMark val="none"/>
        <c:tickLblPos val="nextTo"/>
        <c:spPr>
          <a:ln>
            <a:solidFill>
              <a:schemeClr val="tx1"/>
            </a:solidFill>
          </a:ln>
        </c:spPr>
        <c:crossAx val="102376576"/>
        <c:crosses val="autoZero"/>
        <c:auto val="1"/>
        <c:lblAlgn val="ctr"/>
        <c:lblOffset val="100"/>
        <c:noMultiLvlLbl val="0"/>
      </c:catAx>
      <c:valAx>
        <c:axId val="102376576"/>
        <c:scaling>
          <c:orientation val="minMax"/>
        </c:scaling>
        <c:delete val="0"/>
        <c:axPos val="l"/>
        <c:majorGridlines/>
        <c:title>
          <c:tx>
            <c:rich>
              <a:bodyPr/>
              <a:lstStyle/>
              <a:p>
                <a:pPr>
                  <a:defRPr sz="800"/>
                </a:pPr>
                <a:r>
                  <a:rPr lang="en-US" sz="800"/>
                  <a:t>Cov(Vj,Vk|Zj)</a:t>
                </a:r>
              </a:p>
            </c:rich>
          </c:tx>
          <c:overlay val="0"/>
        </c:title>
        <c:numFmt formatCode="General" sourceLinked="1"/>
        <c:majorTickMark val="out"/>
        <c:minorTickMark val="none"/>
        <c:tickLblPos val="nextTo"/>
        <c:spPr>
          <a:ln>
            <a:solidFill>
              <a:schemeClr val="tx1"/>
            </a:solidFill>
          </a:ln>
        </c:spPr>
        <c:crossAx val="169978880"/>
        <c:crosses val="autoZero"/>
        <c:crossBetween val="between"/>
      </c:valAx>
      <c:spPr>
        <a:ln w="12700" cmpd="sng">
          <a:solidFill>
            <a:schemeClr val="tx1"/>
          </a:solidFill>
        </a:ln>
      </c:spPr>
    </c:plotArea>
    <c:legend>
      <c:legendPos val="r"/>
      <c:overlay val="0"/>
      <c:spPr>
        <a:ln>
          <a:solidFill>
            <a:schemeClr val="tx1"/>
          </a:solidFill>
        </a:ln>
      </c:spPr>
      <c:txPr>
        <a:bodyPr/>
        <a:lstStyle/>
        <a:p>
          <a:pPr>
            <a:defRPr sz="800"/>
          </a:pPr>
          <a:endParaRPr lang="en-US"/>
        </a:p>
      </c:txPr>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7D1E5-E9E9-4B1B-9C05-520D18FDC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Pages>
  <Words>17317</Words>
  <Characters>98710</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The University of Oklahoma</Company>
  <LinksUpToDate>false</LinksUpToDate>
  <CharactersWithSpaces>115796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(Shuai) Ma</dc:creator>
  <cp:lastModifiedBy>Ma, Shuai</cp:lastModifiedBy>
  <cp:revision>26</cp:revision>
  <cp:lastPrinted>2014-04-12T22:53:00Z</cp:lastPrinted>
  <dcterms:created xsi:type="dcterms:W3CDTF">2014-03-21T21:43:00Z</dcterms:created>
  <dcterms:modified xsi:type="dcterms:W3CDTF">2014-04-12T23:27:00Z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-1366447626</vt:i4>
  </property>
</Properties>
</file>