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3.xml" ContentType="application/vnd.openxmlformats-officedocument.themeOverrid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AE1ED"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UNIVERSITY OF OKLAHOMA</w:t>
      </w:r>
    </w:p>
    <w:p w14:paraId="1B3A0356"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GRADUATE COLLEGE</w:t>
      </w:r>
    </w:p>
    <w:p w14:paraId="1B9EC399" w14:textId="77777777" w:rsidR="000659D6" w:rsidRPr="004D6678" w:rsidRDefault="000659D6" w:rsidP="000659D6">
      <w:pPr>
        <w:jc w:val="center"/>
        <w:rPr>
          <w:rFonts w:ascii="Times New Roman" w:hAnsi="Times New Roman" w:cs="Times New Roman"/>
          <w:sz w:val="24"/>
          <w:szCs w:val="24"/>
        </w:rPr>
      </w:pPr>
    </w:p>
    <w:p w14:paraId="34C297C1" w14:textId="77777777" w:rsidR="000659D6" w:rsidRPr="004D6678" w:rsidRDefault="000659D6" w:rsidP="000659D6">
      <w:pPr>
        <w:jc w:val="center"/>
        <w:rPr>
          <w:rFonts w:ascii="Times New Roman" w:hAnsi="Times New Roman" w:cs="Times New Roman"/>
          <w:sz w:val="24"/>
          <w:szCs w:val="24"/>
        </w:rPr>
      </w:pPr>
    </w:p>
    <w:p w14:paraId="2844926B" w14:textId="77777777" w:rsidR="000659D6" w:rsidRPr="004D6678" w:rsidRDefault="000659D6" w:rsidP="000659D6">
      <w:pPr>
        <w:jc w:val="center"/>
        <w:rPr>
          <w:rFonts w:ascii="Times New Roman" w:hAnsi="Times New Roman" w:cs="Times New Roman"/>
          <w:sz w:val="24"/>
          <w:szCs w:val="24"/>
        </w:rPr>
      </w:pPr>
    </w:p>
    <w:p w14:paraId="69B1DB66" w14:textId="77777777" w:rsidR="000659D6" w:rsidRPr="004D6678" w:rsidRDefault="000659D6" w:rsidP="000659D6">
      <w:pPr>
        <w:jc w:val="center"/>
        <w:rPr>
          <w:rFonts w:ascii="Times New Roman" w:hAnsi="Times New Roman" w:cs="Times New Roman"/>
          <w:sz w:val="24"/>
          <w:szCs w:val="24"/>
        </w:rPr>
      </w:pPr>
    </w:p>
    <w:p w14:paraId="673AD1A9"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 xml:space="preserve">EXPERIMENTAL INVESTIGATION OF </w:t>
      </w:r>
      <w:r>
        <w:rPr>
          <w:rFonts w:ascii="Times New Roman" w:hAnsi="Times New Roman" w:cs="Times New Roman"/>
          <w:sz w:val="24"/>
          <w:szCs w:val="24"/>
        </w:rPr>
        <w:t>SHALE-DRILLING FLUID INTERACTION AND ITS IMPLICATIONS ON DRILLING EFFICIENCY</w:t>
      </w:r>
    </w:p>
    <w:p w14:paraId="568A3907" w14:textId="77777777" w:rsidR="000659D6" w:rsidRPr="004D6678" w:rsidRDefault="000659D6" w:rsidP="000659D6">
      <w:pPr>
        <w:jc w:val="center"/>
        <w:rPr>
          <w:rFonts w:ascii="Times New Roman" w:hAnsi="Times New Roman" w:cs="Times New Roman"/>
          <w:sz w:val="24"/>
          <w:szCs w:val="24"/>
        </w:rPr>
      </w:pPr>
    </w:p>
    <w:p w14:paraId="0FBAAC52" w14:textId="77777777" w:rsidR="000659D6" w:rsidRPr="004D6678" w:rsidRDefault="000659D6" w:rsidP="000659D6">
      <w:pPr>
        <w:jc w:val="center"/>
        <w:rPr>
          <w:rFonts w:ascii="Times New Roman" w:hAnsi="Times New Roman" w:cs="Times New Roman"/>
          <w:sz w:val="24"/>
          <w:szCs w:val="24"/>
        </w:rPr>
      </w:pPr>
    </w:p>
    <w:p w14:paraId="0771730D" w14:textId="77777777" w:rsidR="000659D6" w:rsidRPr="004D6678" w:rsidRDefault="000659D6" w:rsidP="000659D6">
      <w:pPr>
        <w:jc w:val="center"/>
        <w:rPr>
          <w:rFonts w:ascii="Times New Roman" w:hAnsi="Times New Roman" w:cs="Times New Roman"/>
          <w:sz w:val="24"/>
          <w:szCs w:val="24"/>
        </w:rPr>
      </w:pPr>
    </w:p>
    <w:p w14:paraId="2657621C" w14:textId="77777777" w:rsidR="000659D6" w:rsidRPr="004D6678" w:rsidRDefault="000659D6" w:rsidP="000659D6">
      <w:pPr>
        <w:jc w:val="center"/>
        <w:rPr>
          <w:rFonts w:ascii="Times New Roman" w:hAnsi="Times New Roman" w:cs="Times New Roman"/>
          <w:sz w:val="24"/>
          <w:szCs w:val="24"/>
        </w:rPr>
      </w:pPr>
    </w:p>
    <w:p w14:paraId="015BA258" w14:textId="77777777" w:rsidR="000659D6" w:rsidRPr="004D6678" w:rsidRDefault="000659D6" w:rsidP="000659D6">
      <w:pPr>
        <w:jc w:val="center"/>
        <w:rPr>
          <w:rFonts w:ascii="Times New Roman" w:hAnsi="Times New Roman" w:cs="Times New Roman"/>
          <w:sz w:val="24"/>
          <w:szCs w:val="24"/>
        </w:rPr>
      </w:pPr>
    </w:p>
    <w:p w14:paraId="336FB91A" w14:textId="77777777" w:rsidR="000659D6" w:rsidRPr="004D6678" w:rsidRDefault="000659D6" w:rsidP="000659D6">
      <w:pPr>
        <w:jc w:val="center"/>
        <w:rPr>
          <w:rFonts w:ascii="Times New Roman" w:hAnsi="Times New Roman" w:cs="Times New Roman"/>
          <w:sz w:val="24"/>
          <w:szCs w:val="24"/>
        </w:rPr>
      </w:pPr>
    </w:p>
    <w:p w14:paraId="601CD796" w14:textId="77777777" w:rsidR="000659D6" w:rsidRPr="004D6678" w:rsidRDefault="000659D6" w:rsidP="000659D6">
      <w:pPr>
        <w:jc w:val="center"/>
        <w:rPr>
          <w:rFonts w:ascii="Times New Roman" w:hAnsi="Times New Roman" w:cs="Times New Roman"/>
          <w:sz w:val="24"/>
          <w:szCs w:val="24"/>
        </w:rPr>
      </w:pPr>
    </w:p>
    <w:p w14:paraId="4D878339"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A THESIS</w:t>
      </w:r>
    </w:p>
    <w:p w14:paraId="62C20F40"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SUBMITTED TO THE GRADUATE FACULTY</w:t>
      </w:r>
    </w:p>
    <w:p w14:paraId="49CFF985"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in partial fulfillment of the requirements for the</w:t>
      </w:r>
    </w:p>
    <w:p w14:paraId="4AA4330A"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 xml:space="preserve">Degree of </w:t>
      </w:r>
    </w:p>
    <w:p w14:paraId="1846EAAA"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 xml:space="preserve">MASTER OF SCIENCE </w:t>
      </w:r>
    </w:p>
    <w:p w14:paraId="73A5420A" w14:textId="77777777" w:rsidR="000659D6" w:rsidRPr="004D6678" w:rsidRDefault="000659D6" w:rsidP="000659D6">
      <w:pPr>
        <w:jc w:val="center"/>
        <w:rPr>
          <w:rFonts w:ascii="Times New Roman" w:hAnsi="Times New Roman" w:cs="Times New Roman"/>
          <w:sz w:val="24"/>
          <w:szCs w:val="24"/>
        </w:rPr>
      </w:pPr>
    </w:p>
    <w:p w14:paraId="25E36203" w14:textId="77777777" w:rsidR="000659D6" w:rsidRPr="004D6678" w:rsidRDefault="000659D6" w:rsidP="000659D6">
      <w:pPr>
        <w:jc w:val="center"/>
        <w:rPr>
          <w:rFonts w:ascii="Times New Roman" w:hAnsi="Times New Roman" w:cs="Times New Roman"/>
          <w:sz w:val="24"/>
          <w:szCs w:val="24"/>
        </w:rPr>
      </w:pPr>
    </w:p>
    <w:p w14:paraId="1F33C19E" w14:textId="77777777" w:rsidR="000659D6" w:rsidRPr="004D6678" w:rsidRDefault="000659D6" w:rsidP="000659D6">
      <w:pPr>
        <w:jc w:val="center"/>
        <w:rPr>
          <w:rFonts w:ascii="Times New Roman" w:hAnsi="Times New Roman" w:cs="Times New Roman"/>
          <w:sz w:val="24"/>
          <w:szCs w:val="24"/>
        </w:rPr>
      </w:pPr>
    </w:p>
    <w:p w14:paraId="1F978A8A" w14:textId="77777777" w:rsidR="000659D6" w:rsidRPr="004D6678" w:rsidRDefault="000659D6" w:rsidP="000659D6">
      <w:pPr>
        <w:jc w:val="center"/>
        <w:rPr>
          <w:rFonts w:ascii="Times New Roman" w:hAnsi="Times New Roman" w:cs="Times New Roman"/>
          <w:sz w:val="24"/>
          <w:szCs w:val="24"/>
        </w:rPr>
      </w:pPr>
    </w:p>
    <w:p w14:paraId="13AA9632"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By</w:t>
      </w:r>
    </w:p>
    <w:p w14:paraId="1250A946" w14:textId="77777777" w:rsidR="000659D6" w:rsidRPr="004D6678" w:rsidRDefault="000659D6" w:rsidP="000659D6">
      <w:pPr>
        <w:jc w:val="center"/>
        <w:rPr>
          <w:rFonts w:ascii="Times New Roman" w:hAnsi="Times New Roman" w:cs="Times New Roman"/>
          <w:sz w:val="24"/>
          <w:szCs w:val="24"/>
        </w:rPr>
      </w:pPr>
      <w:r>
        <w:rPr>
          <w:rFonts w:ascii="Times New Roman" w:hAnsi="Times New Roman" w:cs="Times New Roman"/>
          <w:sz w:val="24"/>
          <w:szCs w:val="24"/>
        </w:rPr>
        <w:t>NABE KONATE</w:t>
      </w:r>
    </w:p>
    <w:p w14:paraId="3B7AA33E"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Norman, Oklahoma</w:t>
      </w:r>
    </w:p>
    <w:p w14:paraId="6AD55FEE"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20</w:t>
      </w:r>
      <w:r w:rsidR="00A50F40">
        <w:rPr>
          <w:rFonts w:ascii="Times New Roman" w:hAnsi="Times New Roman" w:cs="Times New Roman"/>
          <w:sz w:val="24"/>
          <w:szCs w:val="24"/>
        </w:rPr>
        <w:t>20</w:t>
      </w:r>
    </w:p>
    <w:p w14:paraId="16CE2892" w14:textId="77777777" w:rsidR="000659D6" w:rsidRDefault="000659D6" w:rsidP="000659D6">
      <w:pPr>
        <w:jc w:val="center"/>
        <w:rPr>
          <w:rFonts w:ascii="Times New Roman" w:hAnsi="Times New Roman" w:cs="Times New Roman"/>
          <w:sz w:val="24"/>
          <w:szCs w:val="24"/>
        </w:rPr>
      </w:pPr>
    </w:p>
    <w:p w14:paraId="7DF72D4C"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lastRenderedPageBreak/>
        <w:t xml:space="preserve">EXPERIMENTAL INVESTIGATION OF </w:t>
      </w:r>
      <w:r>
        <w:rPr>
          <w:rFonts w:ascii="Times New Roman" w:hAnsi="Times New Roman" w:cs="Times New Roman"/>
          <w:sz w:val="24"/>
          <w:szCs w:val="24"/>
        </w:rPr>
        <w:t>SHALE-DRILLING FLUID INTERACTION AND ITS IMPLICATIONS ON DRILLING EFFICIENCY</w:t>
      </w:r>
    </w:p>
    <w:p w14:paraId="0E91A8A9" w14:textId="77777777" w:rsidR="000659D6" w:rsidRPr="004D6678" w:rsidRDefault="000659D6" w:rsidP="000659D6">
      <w:pPr>
        <w:jc w:val="center"/>
        <w:rPr>
          <w:rFonts w:ascii="Times New Roman" w:hAnsi="Times New Roman" w:cs="Times New Roman"/>
          <w:sz w:val="24"/>
          <w:szCs w:val="24"/>
        </w:rPr>
      </w:pPr>
    </w:p>
    <w:p w14:paraId="05000C2D" w14:textId="77777777" w:rsidR="000659D6" w:rsidRPr="004D6678" w:rsidRDefault="000659D6" w:rsidP="000659D6">
      <w:pPr>
        <w:jc w:val="center"/>
        <w:rPr>
          <w:rFonts w:ascii="Times New Roman" w:hAnsi="Times New Roman" w:cs="Times New Roman"/>
          <w:sz w:val="24"/>
          <w:szCs w:val="24"/>
        </w:rPr>
      </w:pPr>
    </w:p>
    <w:p w14:paraId="6DDFD756" w14:textId="77777777" w:rsidR="000659D6" w:rsidRPr="004D6678" w:rsidRDefault="000659D6" w:rsidP="000659D6">
      <w:pPr>
        <w:jc w:val="center"/>
        <w:rPr>
          <w:rFonts w:ascii="Times New Roman" w:hAnsi="Times New Roman" w:cs="Times New Roman"/>
          <w:sz w:val="24"/>
          <w:szCs w:val="24"/>
        </w:rPr>
      </w:pPr>
    </w:p>
    <w:p w14:paraId="3F54F8E6"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 xml:space="preserve">A THESIS APPROVED FOR THE </w:t>
      </w:r>
    </w:p>
    <w:p w14:paraId="39DD76BB"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MEWBOURNE SCHOOL OF PETROLEUM AND GEOLOGICAL ENGINEERING</w:t>
      </w:r>
    </w:p>
    <w:p w14:paraId="0020C259" w14:textId="77777777" w:rsidR="000659D6" w:rsidRPr="004D6678" w:rsidRDefault="000659D6" w:rsidP="000659D6">
      <w:pPr>
        <w:jc w:val="center"/>
        <w:rPr>
          <w:rFonts w:ascii="Times New Roman" w:hAnsi="Times New Roman" w:cs="Times New Roman"/>
          <w:sz w:val="24"/>
          <w:szCs w:val="24"/>
        </w:rPr>
      </w:pPr>
    </w:p>
    <w:p w14:paraId="03CC7EB7" w14:textId="77777777" w:rsidR="000659D6" w:rsidRPr="004D6678" w:rsidRDefault="000659D6" w:rsidP="000659D6">
      <w:pPr>
        <w:jc w:val="center"/>
        <w:rPr>
          <w:rFonts w:ascii="Times New Roman" w:hAnsi="Times New Roman" w:cs="Times New Roman"/>
          <w:sz w:val="24"/>
          <w:szCs w:val="24"/>
        </w:rPr>
      </w:pPr>
    </w:p>
    <w:p w14:paraId="5725F6AA" w14:textId="77777777" w:rsidR="000659D6" w:rsidRPr="004D6678" w:rsidRDefault="000659D6" w:rsidP="000659D6">
      <w:pPr>
        <w:jc w:val="center"/>
        <w:rPr>
          <w:rFonts w:ascii="Times New Roman" w:hAnsi="Times New Roman" w:cs="Times New Roman"/>
          <w:sz w:val="24"/>
          <w:szCs w:val="24"/>
        </w:rPr>
      </w:pPr>
    </w:p>
    <w:p w14:paraId="6674CB35" w14:textId="77777777" w:rsidR="000659D6" w:rsidRPr="004D6678" w:rsidRDefault="000659D6" w:rsidP="000659D6">
      <w:pPr>
        <w:jc w:val="center"/>
        <w:rPr>
          <w:rFonts w:ascii="Times New Roman" w:hAnsi="Times New Roman" w:cs="Times New Roman"/>
          <w:sz w:val="24"/>
          <w:szCs w:val="24"/>
        </w:rPr>
      </w:pPr>
    </w:p>
    <w:p w14:paraId="29A49615" w14:textId="77777777" w:rsidR="000659D6" w:rsidRPr="004D6678" w:rsidRDefault="000659D6" w:rsidP="000659D6">
      <w:pPr>
        <w:jc w:val="center"/>
        <w:rPr>
          <w:rFonts w:ascii="Times New Roman" w:hAnsi="Times New Roman" w:cs="Times New Roman"/>
          <w:sz w:val="24"/>
          <w:szCs w:val="24"/>
        </w:rPr>
      </w:pPr>
    </w:p>
    <w:p w14:paraId="2A1E77B3" w14:textId="0E6065F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BY</w:t>
      </w:r>
      <w:r w:rsidR="005E4EC5">
        <w:rPr>
          <w:rFonts w:ascii="Times New Roman" w:hAnsi="Times New Roman" w:cs="Times New Roman"/>
          <w:sz w:val="24"/>
          <w:szCs w:val="24"/>
        </w:rPr>
        <w:t xml:space="preserve"> THE COMMITTEE CONSISTING OF</w:t>
      </w:r>
    </w:p>
    <w:p w14:paraId="6DE2E039" w14:textId="77777777" w:rsidR="000659D6" w:rsidRPr="004D6678" w:rsidRDefault="000659D6" w:rsidP="000659D6">
      <w:pPr>
        <w:jc w:val="center"/>
        <w:rPr>
          <w:rFonts w:ascii="Times New Roman" w:hAnsi="Times New Roman" w:cs="Times New Roman"/>
          <w:sz w:val="24"/>
          <w:szCs w:val="24"/>
        </w:rPr>
      </w:pPr>
    </w:p>
    <w:p w14:paraId="33C0CE83" w14:textId="77777777" w:rsidR="000659D6" w:rsidRPr="004D6678" w:rsidRDefault="000659D6" w:rsidP="000659D6">
      <w:pPr>
        <w:jc w:val="center"/>
        <w:rPr>
          <w:rFonts w:ascii="Times New Roman" w:hAnsi="Times New Roman" w:cs="Times New Roman"/>
          <w:sz w:val="24"/>
          <w:szCs w:val="24"/>
        </w:rPr>
      </w:pPr>
    </w:p>
    <w:p w14:paraId="06BF4F56" w14:textId="77777777" w:rsidR="000659D6" w:rsidRPr="004D6678" w:rsidRDefault="000659D6" w:rsidP="000659D6">
      <w:pPr>
        <w:jc w:val="right"/>
        <w:rPr>
          <w:rFonts w:ascii="Times New Roman" w:hAnsi="Times New Roman" w:cs="Times New Roman"/>
          <w:sz w:val="24"/>
          <w:szCs w:val="24"/>
        </w:rPr>
      </w:pPr>
    </w:p>
    <w:p w14:paraId="74533E40" w14:textId="77777777" w:rsidR="000659D6" w:rsidRPr="004D6678" w:rsidRDefault="000659D6" w:rsidP="000659D6">
      <w:pPr>
        <w:jc w:val="right"/>
        <w:rPr>
          <w:rFonts w:ascii="Times New Roman" w:hAnsi="Times New Roman" w:cs="Times New Roman"/>
          <w:sz w:val="24"/>
          <w:szCs w:val="24"/>
        </w:rPr>
      </w:pPr>
      <w:r w:rsidRPr="004D6678">
        <w:rPr>
          <w:rFonts w:ascii="Times New Roman" w:hAnsi="Times New Roman" w:cs="Times New Roman"/>
          <w:sz w:val="24"/>
          <w:szCs w:val="24"/>
        </w:rPr>
        <w:t>Dr. Saeed Salehi, Chair</w:t>
      </w:r>
    </w:p>
    <w:p w14:paraId="38881D4E" w14:textId="77777777" w:rsidR="000659D6" w:rsidRPr="004D6678" w:rsidRDefault="000659D6" w:rsidP="000659D6">
      <w:pPr>
        <w:jc w:val="right"/>
        <w:rPr>
          <w:rFonts w:ascii="Times New Roman" w:hAnsi="Times New Roman" w:cs="Times New Roman"/>
          <w:sz w:val="24"/>
          <w:szCs w:val="24"/>
        </w:rPr>
      </w:pPr>
    </w:p>
    <w:p w14:paraId="58D8FD25" w14:textId="77777777" w:rsidR="000659D6" w:rsidRPr="004D6678" w:rsidRDefault="000659D6" w:rsidP="000659D6">
      <w:pPr>
        <w:jc w:val="right"/>
        <w:rPr>
          <w:rFonts w:ascii="Times New Roman" w:hAnsi="Times New Roman" w:cs="Times New Roman"/>
          <w:sz w:val="24"/>
          <w:szCs w:val="24"/>
        </w:rPr>
      </w:pPr>
    </w:p>
    <w:p w14:paraId="17745D0B" w14:textId="77777777" w:rsidR="000659D6" w:rsidRPr="004D6678" w:rsidRDefault="000659D6" w:rsidP="000659D6">
      <w:pPr>
        <w:jc w:val="right"/>
        <w:rPr>
          <w:rFonts w:ascii="Times New Roman" w:hAnsi="Times New Roman" w:cs="Times New Roman"/>
          <w:sz w:val="24"/>
          <w:szCs w:val="24"/>
        </w:rPr>
      </w:pPr>
      <w:r w:rsidRPr="004D6678">
        <w:rPr>
          <w:rFonts w:ascii="Times New Roman" w:hAnsi="Times New Roman" w:cs="Times New Roman"/>
          <w:sz w:val="24"/>
          <w:szCs w:val="24"/>
        </w:rPr>
        <w:t>Dr. Catalin Teodoriu</w:t>
      </w:r>
    </w:p>
    <w:p w14:paraId="66223859" w14:textId="77777777" w:rsidR="000659D6" w:rsidRPr="004D6678" w:rsidRDefault="000659D6" w:rsidP="000659D6">
      <w:pPr>
        <w:jc w:val="right"/>
        <w:rPr>
          <w:rFonts w:ascii="Times New Roman" w:hAnsi="Times New Roman" w:cs="Times New Roman"/>
          <w:sz w:val="24"/>
          <w:szCs w:val="24"/>
        </w:rPr>
      </w:pPr>
    </w:p>
    <w:p w14:paraId="49D8A7DE" w14:textId="77777777" w:rsidR="000659D6" w:rsidRPr="004D6678" w:rsidRDefault="000659D6" w:rsidP="000659D6">
      <w:pPr>
        <w:rPr>
          <w:rFonts w:ascii="Times New Roman" w:hAnsi="Times New Roman" w:cs="Times New Roman"/>
          <w:sz w:val="24"/>
          <w:szCs w:val="24"/>
        </w:rPr>
      </w:pPr>
    </w:p>
    <w:p w14:paraId="17ACBAF4" w14:textId="77777777" w:rsidR="000659D6" w:rsidRPr="004D6678" w:rsidRDefault="000659D6" w:rsidP="000659D6">
      <w:pPr>
        <w:jc w:val="right"/>
        <w:rPr>
          <w:rFonts w:ascii="Times New Roman" w:hAnsi="Times New Roman" w:cs="Times New Roman"/>
          <w:sz w:val="24"/>
          <w:szCs w:val="24"/>
        </w:rPr>
      </w:pPr>
      <w:r w:rsidRPr="004D6678">
        <w:rPr>
          <w:rFonts w:ascii="Times New Roman" w:hAnsi="Times New Roman" w:cs="Times New Roman"/>
          <w:sz w:val="24"/>
          <w:szCs w:val="24"/>
        </w:rPr>
        <w:t xml:space="preserve">Dr. </w:t>
      </w:r>
      <w:r>
        <w:rPr>
          <w:rFonts w:ascii="Times New Roman" w:hAnsi="Times New Roman" w:cs="Times New Roman"/>
          <w:sz w:val="24"/>
          <w:szCs w:val="24"/>
        </w:rPr>
        <w:t>Ahmed Ramadan</w:t>
      </w:r>
    </w:p>
    <w:p w14:paraId="588CEB2C" w14:textId="77777777" w:rsidR="000659D6" w:rsidRPr="004D6678" w:rsidRDefault="000659D6" w:rsidP="000659D6">
      <w:pPr>
        <w:jc w:val="right"/>
        <w:rPr>
          <w:rFonts w:ascii="Times New Roman" w:hAnsi="Times New Roman" w:cs="Times New Roman"/>
          <w:sz w:val="24"/>
          <w:szCs w:val="24"/>
        </w:rPr>
      </w:pPr>
    </w:p>
    <w:p w14:paraId="3126CA3B" w14:textId="77777777" w:rsidR="000659D6" w:rsidRPr="004D6678" w:rsidRDefault="000659D6" w:rsidP="000659D6">
      <w:pPr>
        <w:jc w:val="right"/>
        <w:rPr>
          <w:rFonts w:ascii="Times New Roman" w:hAnsi="Times New Roman" w:cs="Times New Roman"/>
          <w:sz w:val="24"/>
          <w:szCs w:val="24"/>
        </w:rPr>
      </w:pPr>
    </w:p>
    <w:p w14:paraId="38290BB5" w14:textId="77777777" w:rsidR="000659D6" w:rsidRPr="004D6678" w:rsidRDefault="000659D6" w:rsidP="000659D6">
      <w:pPr>
        <w:jc w:val="center"/>
        <w:rPr>
          <w:rFonts w:ascii="Times New Roman" w:hAnsi="Times New Roman" w:cs="Times New Roman"/>
          <w:sz w:val="24"/>
          <w:szCs w:val="24"/>
        </w:rPr>
      </w:pPr>
    </w:p>
    <w:p w14:paraId="19B2E32B" w14:textId="77777777" w:rsidR="000659D6" w:rsidRPr="004D6678" w:rsidRDefault="000659D6" w:rsidP="000659D6">
      <w:pPr>
        <w:jc w:val="center"/>
        <w:rPr>
          <w:rFonts w:ascii="Times New Roman" w:hAnsi="Times New Roman" w:cs="Times New Roman"/>
          <w:sz w:val="24"/>
          <w:szCs w:val="24"/>
        </w:rPr>
      </w:pPr>
    </w:p>
    <w:p w14:paraId="7EC195E0" w14:textId="77777777" w:rsidR="000659D6" w:rsidRPr="004D6678" w:rsidRDefault="000659D6" w:rsidP="000659D6">
      <w:pPr>
        <w:jc w:val="center"/>
        <w:rPr>
          <w:rFonts w:ascii="Times New Roman" w:hAnsi="Times New Roman" w:cs="Times New Roman"/>
          <w:sz w:val="24"/>
          <w:szCs w:val="24"/>
        </w:rPr>
      </w:pPr>
    </w:p>
    <w:p w14:paraId="639FA77C" w14:textId="77777777" w:rsidR="000659D6" w:rsidRPr="004D6678" w:rsidRDefault="000659D6" w:rsidP="000659D6">
      <w:pPr>
        <w:jc w:val="center"/>
        <w:rPr>
          <w:rFonts w:ascii="Times New Roman" w:hAnsi="Times New Roman" w:cs="Times New Roman"/>
          <w:sz w:val="24"/>
          <w:szCs w:val="24"/>
        </w:rPr>
      </w:pPr>
    </w:p>
    <w:p w14:paraId="7EE93CA6" w14:textId="77777777" w:rsidR="000659D6" w:rsidRPr="004D6678" w:rsidRDefault="000659D6" w:rsidP="000659D6">
      <w:pPr>
        <w:jc w:val="center"/>
        <w:rPr>
          <w:rFonts w:ascii="Times New Roman" w:hAnsi="Times New Roman" w:cs="Times New Roman"/>
          <w:sz w:val="24"/>
          <w:szCs w:val="24"/>
        </w:rPr>
      </w:pPr>
    </w:p>
    <w:p w14:paraId="54C8AF21" w14:textId="77777777" w:rsidR="000659D6" w:rsidRPr="004D6678" w:rsidRDefault="000659D6" w:rsidP="000659D6">
      <w:pPr>
        <w:jc w:val="center"/>
        <w:rPr>
          <w:rFonts w:ascii="Times New Roman" w:hAnsi="Times New Roman" w:cs="Times New Roman"/>
          <w:sz w:val="24"/>
          <w:szCs w:val="24"/>
        </w:rPr>
      </w:pPr>
    </w:p>
    <w:p w14:paraId="31F36486" w14:textId="77777777" w:rsidR="000659D6" w:rsidRPr="004D6678" w:rsidRDefault="000659D6" w:rsidP="000659D6">
      <w:pPr>
        <w:jc w:val="center"/>
        <w:rPr>
          <w:rFonts w:ascii="Times New Roman" w:hAnsi="Times New Roman" w:cs="Times New Roman"/>
          <w:sz w:val="24"/>
          <w:szCs w:val="24"/>
        </w:rPr>
      </w:pPr>
    </w:p>
    <w:p w14:paraId="616432DB" w14:textId="77777777" w:rsidR="000659D6" w:rsidRPr="004D6678" w:rsidRDefault="000659D6" w:rsidP="000659D6">
      <w:pPr>
        <w:jc w:val="center"/>
        <w:rPr>
          <w:rFonts w:ascii="Times New Roman" w:hAnsi="Times New Roman" w:cs="Times New Roman"/>
          <w:sz w:val="24"/>
          <w:szCs w:val="24"/>
        </w:rPr>
      </w:pPr>
    </w:p>
    <w:p w14:paraId="5BFFF504" w14:textId="77777777" w:rsidR="000659D6" w:rsidRPr="004D6678" w:rsidRDefault="000659D6" w:rsidP="000659D6">
      <w:pPr>
        <w:jc w:val="center"/>
        <w:rPr>
          <w:rFonts w:ascii="Times New Roman" w:hAnsi="Times New Roman" w:cs="Times New Roman"/>
          <w:sz w:val="24"/>
          <w:szCs w:val="24"/>
        </w:rPr>
      </w:pPr>
    </w:p>
    <w:p w14:paraId="05678528" w14:textId="77777777" w:rsidR="000659D6" w:rsidRPr="004D6678" w:rsidRDefault="000659D6" w:rsidP="000659D6">
      <w:pPr>
        <w:jc w:val="center"/>
        <w:rPr>
          <w:rFonts w:ascii="Times New Roman" w:hAnsi="Times New Roman" w:cs="Times New Roman"/>
          <w:sz w:val="24"/>
          <w:szCs w:val="24"/>
        </w:rPr>
      </w:pPr>
    </w:p>
    <w:p w14:paraId="6F6BF5D1" w14:textId="77777777" w:rsidR="000659D6" w:rsidRPr="004D6678" w:rsidRDefault="000659D6" w:rsidP="000659D6">
      <w:pPr>
        <w:jc w:val="center"/>
        <w:rPr>
          <w:rFonts w:ascii="Times New Roman" w:hAnsi="Times New Roman" w:cs="Times New Roman"/>
          <w:sz w:val="24"/>
          <w:szCs w:val="24"/>
        </w:rPr>
      </w:pPr>
    </w:p>
    <w:p w14:paraId="1BC24C2A" w14:textId="77777777" w:rsidR="000659D6" w:rsidRPr="004D6678" w:rsidRDefault="000659D6" w:rsidP="000659D6">
      <w:pPr>
        <w:jc w:val="center"/>
        <w:rPr>
          <w:rFonts w:ascii="Times New Roman" w:hAnsi="Times New Roman" w:cs="Times New Roman"/>
          <w:sz w:val="24"/>
          <w:szCs w:val="24"/>
        </w:rPr>
      </w:pPr>
    </w:p>
    <w:p w14:paraId="07F096D7" w14:textId="77777777" w:rsidR="000659D6" w:rsidRPr="004D6678" w:rsidRDefault="000659D6" w:rsidP="000659D6">
      <w:pPr>
        <w:jc w:val="center"/>
        <w:rPr>
          <w:rFonts w:ascii="Times New Roman" w:hAnsi="Times New Roman" w:cs="Times New Roman"/>
          <w:sz w:val="24"/>
          <w:szCs w:val="24"/>
        </w:rPr>
      </w:pPr>
    </w:p>
    <w:p w14:paraId="33D776B2" w14:textId="77777777" w:rsidR="000659D6" w:rsidRPr="004D6678" w:rsidRDefault="000659D6" w:rsidP="000659D6">
      <w:pPr>
        <w:jc w:val="center"/>
        <w:rPr>
          <w:rFonts w:ascii="Times New Roman" w:hAnsi="Times New Roman" w:cs="Times New Roman"/>
          <w:sz w:val="24"/>
          <w:szCs w:val="24"/>
        </w:rPr>
      </w:pPr>
    </w:p>
    <w:p w14:paraId="6BF1542B" w14:textId="77777777" w:rsidR="000659D6" w:rsidRPr="004D6678" w:rsidRDefault="000659D6" w:rsidP="000659D6">
      <w:pPr>
        <w:jc w:val="center"/>
        <w:rPr>
          <w:rFonts w:ascii="Times New Roman" w:hAnsi="Times New Roman" w:cs="Times New Roman"/>
          <w:sz w:val="24"/>
          <w:szCs w:val="24"/>
        </w:rPr>
      </w:pPr>
    </w:p>
    <w:p w14:paraId="2436D6BB" w14:textId="77777777" w:rsidR="000659D6" w:rsidRPr="004D6678" w:rsidRDefault="000659D6" w:rsidP="000659D6">
      <w:pPr>
        <w:jc w:val="center"/>
        <w:rPr>
          <w:rFonts w:ascii="Times New Roman" w:hAnsi="Times New Roman" w:cs="Times New Roman"/>
          <w:sz w:val="24"/>
          <w:szCs w:val="24"/>
        </w:rPr>
      </w:pPr>
    </w:p>
    <w:p w14:paraId="66D886FE" w14:textId="77777777" w:rsidR="000659D6" w:rsidRPr="004D6678" w:rsidRDefault="000659D6" w:rsidP="000659D6">
      <w:pPr>
        <w:jc w:val="center"/>
        <w:rPr>
          <w:rFonts w:ascii="Times New Roman" w:hAnsi="Times New Roman" w:cs="Times New Roman"/>
          <w:sz w:val="24"/>
          <w:szCs w:val="24"/>
        </w:rPr>
      </w:pPr>
    </w:p>
    <w:p w14:paraId="1BBFADEB" w14:textId="77777777" w:rsidR="000659D6" w:rsidRPr="004D6678" w:rsidRDefault="000659D6" w:rsidP="000659D6">
      <w:pPr>
        <w:jc w:val="center"/>
        <w:rPr>
          <w:rFonts w:ascii="Times New Roman" w:hAnsi="Times New Roman" w:cs="Times New Roman"/>
          <w:sz w:val="24"/>
          <w:szCs w:val="24"/>
        </w:rPr>
      </w:pPr>
    </w:p>
    <w:p w14:paraId="237FDC93" w14:textId="77777777" w:rsidR="000659D6" w:rsidRPr="004D6678" w:rsidRDefault="000659D6" w:rsidP="000659D6">
      <w:pPr>
        <w:jc w:val="center"/>
        <w:rPr>
          <w:rFonts w:ascii="Times New Roman" w:hAnsi="Times New Roman" w:cs="Times New Roman"/>
          <w:sz w:val="24"/>
          <w:szCs w:val="24"/>
        </w:rPr>
      </w:pPr>
    </w:p>
    <w:p w14:paraId="7B3DC2D3" w14:textId="77777777" w:rsidR="000659D6" w:rsidRPr="004D6678" w:rsidRDefault="000659D6" w:rsidP="000659D6">
      <w:pPr>
        <w:jc w:val="center"/>
        <w:rPr>
          <w:rFonts w:ascii="Times New Roman" w:hAnsi="Times New Roman" w:cs="Times New Roman"/>
          <w:sz w:val="24"/>
          <w:szCs w:val="24"/>
        </w:rPr>
      </w:pPr>
    </w:p>
    <w:p w14:paraId="0B68072D" w14:textId="77777777" w:rsidR="000659D6" w:rsidRPr="004D6678" w:rsidRDefault="000659D6" w:rsidP="000659D6">
      <w:pPr>
        <w:jc w:val="center"/>
        <w:rPr>
          <w:rFonts w:ascii="Times New Roman" w:hAnsi="Times New Roman" w:cs="Times New Roman"/>
          <w:sz w:val="24"/>
          <w:szCs w:val="24"/>
        </w:rPr>
      </w:pPr>
    </w:p>
    <w:p w14:paraId="30E7F9D4" w14:textId="77777777" w:rsidR="000659D6" w:rsidRPr="004D6678" w:rsidRDefault="000659D6" w:rsidP="000659D6">
      <w:pPr>
        <w:jc w:val="center"/>
        <w:rPr>
          <w:rFonts w:ascii="Times New Roman" w:hAnsi="Times New Roman" w:cs="Times New Roman"/>
          <w:sz w:val="24"/>
          <w:szCs w:val="24"/>
        </w:rPr>
      </w:pPr>
    </w:p>
    <w:p w14:paraId="4E68017F" w14:textId="77777777" w:rsidR="000659D6" w:rsidRPr="004D6678" w:rsidRDefault="000659D6" w:rsidP="000659D6">
      <w:pPr>
        <w:jc w:val="center"/>
        <w:rPr>
          <w:rFonts w:ascii="Times New Roman" w:hAnsi="Times New Roman" w:cs="Times New Roman"/>
          <w:sz w:val="24"/>
          <w:szCs w:val="24"/>
        </w:rPr>
      </w:pPr>
    </w:p>
    <w:p w14:paraId="070E49EB" w14:textId="77777777" w:rsidR="000659D6" w:rsidRPr="004D6678" w:rsidRDefault="000659D6" w:rsidP="000659D6">
      <w:pPr>
        <w:jc w:val="center"/>
        <w:rPr>
          <w:rFonts w:ascii="Times New Roman" w:hAnsi="Times New Roman" w:cs="Times New Roman"/>
          <w:sz w:val="24"/>
          <w:szCs w:val="24"/>
        </w:rPr>
      </w:pPr>
    </w:p>
    <w:p w14:paraId="4A367B9C" w14:textId="77777777" w:rsidR="000659D6" w:rsidRPr="004D6678" w:rsidRDefault="000659D6" w:rsidP="000659D6">
      <w:pPr>
        <w:jc w:val="center"/>
        <w:rPr>
          <w:rFonts w:ascii="Times New Roman" w:hAnsi="Times New Roman" w:cs="Times New Roman"/>
          <w:sz w:val="24"/>
          <w:szCs w:val="24"/>
        </w:rPr>
      </w:pPr>
    </w:p>
    <w:p w14:paraId="2730F534" w14:textId="77777777" w:rsidR="000659D6" w:rsidRDefault="000659D6" w:rsidP="000659D6">
      <w:pPr>
        <w:rPr>
          <w:rFonts w:ascii="Times New Roman" w:hAnsi="Times New Roman" w:cs="Times New Roman"/>
          <w:sz w:val="24"/>
          <w:szCs w:val="24"/>
        </w:rPr>
      </w:pPr>
    </w:p>
    <w:p w14:paraId="1C3B8417" w14:textId="77777777" w:rsidR="000659D6" w:rsidRDefault="000659D6" w:rsidP="000659D6">
      <w:pPr>
        <w:rPr>
          <w:rFonts w:ascii="Times New Roman" w:hAnsi="Times New Roman" w:cs="Times New Roman"/>
          <w:sz w:val="24"/>
          <w:szCs w:val="24"/>
        </w:rPr>
      </w:pPr>
    </w:p>
    <w:p w14:paraId="324722AD" w14:textId="77777777" w:rsidR="000659D6" w:rsidRPr="004D6678" w:rsidRDefault="000659D6" w:rsidP="000659D6">
      <w:pPr>
        <w:rPr>
          <w:rFonts w:ascii="Times New Roman" w:hAnsi="Times New Roman" w:cs="Times New Roman"/>
          <w:sz w:val="24"/>
          <w:szCs w:val="24"/>
        </w:rPr>
      </w:pPr>
    </w:p>
    <w:p w14:paraId="6E0A02CA" w14:textId="77777777" w:rsidR="000659D6" w:rsidRPr="004D6678" w:rsidRDefault="000659D6" w:rsidP="000659D6">
      <w:pPr>
        <w:jc w:val="center"/>
        <w:rPr>
          <w:rFonts w:ascii="Times New Roman" w:hAnsi="Times New Roman" w:cs="Times New Roman"/>
          <w:sz w:val="24"/>
          <w:szCs w:val="24"/>
        </w:rPr>
      </w:pPr>
    </w:p>
    <w:p w14:paraId="1119E537" w14:textId="77777777" w:rsidR="000659D6" w:rsidRPr="004D6678" w:rsidRDefault="000659D6" w:rsidP="000659D6">
      <w:pPr>
        <w:jc w:val="center"/>
        <w:rPr>
          <w:rFonts w:ascii="Times New Roman" w:hAnsi="Times New Roman" w:cs="Times New Roman"/>
          <w:sz w:val="24"/>
          <w:szCs w:val="24"/>
        </w:rPr>
      </w:pPr>
    </w:p>
    <w:p w14:paraId="297B1CC3" w14:textId="77777777" w:rsidR="000659D6" w:rsidRPr="004D6678" w:rsidRDefault="000659D6" w:rsidP="000659D6">
      <w:pPr>
        <w:jc w:val="center"/>
        <w:rPr>
          <w:rFonts w:ascii="Times New Roman" w:hAnsi="Times New Roman" w:cs="Times New Roman"/>
          <w:sz w:val="24"/>
          <w:szCs w:val="24"/>
        </w:rPr>
      </w:pPr>
      <w:r w:rsidRPr="004D6678">
        <w:rPr>
          <w:rFonts w:ascii="Times New Roman" w:hAnsi="Times New Roman" w:cs="Times New Roman"/>
          <w:sz w:val="24"/>
          <w:szCs w:val="24"/>
        </w:rPr>
        <w:t xml:space="preserve">© Copyright by </w:t>
      </w:r>
      <w:r>
        <w:rPr>
          <w:rFonts w:ascii="Times New Roman" w:hAnsi="Times New Roman" w:cs="Times New Roman"/>
          <w:sz w:val="24"/>
          <w:szCs w:val="24"/>
        </w:rPr>
        <w:t>NABE KONATE</w:t>
      </w:r>
      <w:r w:rsidRPr="004D6678">
        <w:rPr>
          <w:rFonts w:ascii="Times New Roman" w:hAnsi="Times New Roman" w:cs="Times New Roman"/>
          <w:sz w:val="24"/>
          <w:szCs w:val="24"/>
        </w:rPr>
        <w:t xml:space="preserve"> 20</w:t>
      </w:r>
      <w:r w:rsidR="00A50F40">
        <w:rPr>
          <w:rFonts w:ascii="Times New Roman" w:hAnsi="Times New Roman" w:cs="Times New Roman"/>
          <w:sz w:val="24"/>
          <w:szCs w:val="24"/>
        </w:rPr>
        <w:t>20</w:t>
      </w:r>
    </w:p>
    <w:p w14:paraId="730B3E00" w14:textId="77777777" w:rsidR="000659D6" w:rsidRPr="004D6678" w:rsidRDefault="000659D6" w:rsidP="000659D6">
      <w:pPr>
        <w:jc w:val="center"/>
        <w:rPr>
          <w:rFonts w:ascii="Times New Roman" w:hAnsi="Times New Roman" w:cs="Times New Roman"/>
          <w:sz w:val="24"/>
          <w:szCs w:val="24"/>
        </w:rPr>
        <w:sectPr w:rsidR="000659D6" w:rsidRPr="004D6678" w:rsidSect="00C44780">
          <w:headerReference w:type="default" r:id="rId8"/>
          <w:footerReference w:type="default" r:id="rId9"/>
          <w:footerReference w:type="first" r:id="rId10"/>
          <w:pgSz w:w="12240" w:h="15840"/>
          <w:pgMar w:top="1440" w:right="1440" w:bottom="1440" w:left="2160" w:header="720" w:footer="720" w:gutter="0"/>
          <w:pgNumType w:fmt="lowerRoman"/>
          <w:cols w:space="720"/>
          <w:titlePg/>
          <w:docGrid w:linePitch="360"/>
        </w:sectPr>
      </w:pPr>
      <w:r w:rsidRPr="004D6678">
        <w:rPr>
          <w:rFonts w:ascii="Times New Roman" w:hAnsi="Times New Roman" w:cs="Times New Roman"/>
          <w:sz w:val="24"/>
          <w:szCs w:val="24"/>
        </w:rPr>
        <w:t>All Rights Reserved.</w:t>
      </w:r>
    </w:p>
    <w:p w14:paraId="11568C0D" w14:textId="77777777" w:rsidR="000659D6" w:rsidRPr="004D6678" w:rsidRDefault="000659D6" w:rsidP="000659D6">
      <w:pPr>
        <w:pStyle w:val="Heading1"/>
        <w:rPr>
          <w:rFonts w:cs="Times New Roman"/>
        </w:rPr>
      </w:pPr>
      <w:bookmarkStart w:id="0" w:name="_Toc39751572"/>
      <w:r w:rsidRPr="004D6678">
        <w:rPr>
          <w:rFonts w:cs="Times New Roman"/>
        </w:rPr>
        <w:lastRenderedPageBreak/>
        <w:t>Acknowledgements</w:t>
      </w:r>
      <w:bookmarkEnd w:id="0"/>
    </w:p>
    <w:p w14:paraId="4047808D" w14:textId="77777777" w:rsidR="000659D6" w:rsidRPr="004D6678" w:rsidRDefault="000659D6" w:rsidP="000659D6">
      <w:pPr>
        <w:spacing w:line="480" w:lineRule="auto"/>
        <w:jc w:val="both"/>
        <w:rPr>
          <w:rFonts w:ascii="Times New Roman" w:hAnsi="Times New Roman" w:cs="Times New Roman"/>
          <w:sz w:val="24"/>
          <w:szCs w:val="24"/>
        </w:rPr>
      </w:pPr>
      <w:r w:rsidRPr="004D6678">
        <w:rPr>
          <w:rFonts w:ascii="Times New Roman" w:hAnsi="Times New Roman" w:cs="Times New Roman"/>
          <w:sz w:val="24"/>
          <w:szCs w:val="24"/>
        </w:rPr>
        <w:t>I would like to thank my Research advisor and mentor Dr. Saeed Salehi for sacrific</w:t>
      </w:r>
      <w:r w:rsidR="00C44780">
        <w:rPr>
          <w:rFonts w:ascii="Times New Roman" w:hAnsi="Times New Roman" w:cs="Times New Roman"/>
          <w:sz w:val="24"/>
          <w:szCs w:val="24"/>
        </w:rPr>
        <w:t>ing</w:t>
      </w:r>
      <w:r w:rsidRPr="004D6678">
        <w:rPr>
          <w:rFonts w:ascii="Times New Roman" w:hAnsi="Times New Roman" w:cs="Times New Roman"/>
          <w:sz w:val="24"/>
          <w:szCs w:val="24"/>
        </w:rPr>
        <w:t xml:space="preserve"> </w:t>
      </w:r>
      <w:r w:rsidR="00C44780">
        <w:rPr>
          <w:rFonts w:ascii="Times New Roman" w:hAnsi="Times New Roman" w:cs="Times New Roman"/>
          <w:sz w:val="24"/>
          <w:szCs w:val="24"/>
        </w:rPr>
        <w:t>your precious</w:t>
      </w:r>
      <w:r w:rsidRPr="004D6678">
        <w:rPr>
          <w:rFonts w:ascii="Times New Roman" w:hAnsi="Times New Roman" w:cs="Times New Roman"/>
          <w:sz w:val="24"/>
          <w:szCs w:val="24"/>
        </w:rPr>
        <w:t xml:space="preserve"> time, finances and energy during my </w:t>
      </w:r>
      <w:r w:rsidR="00C44780">
        <w:rPr>
          <w:rFonts w:ascii="Times New Roman" w:hAnsi="Times New Roman" w:cs="Times New Roman"/>
          <w:sz w:val="24"/>
          <w:szCs w:val="24"/>
        </w:rPr>
        <w:t xml:space="preserve">years </w:t>
      </w:r>
      <w:r w:rsidRPr="004D6678">
        <w:rPr>
          <w:rFonts w:ascii="Times New Roman" w:hAnsi="Times New Roman" w:cs="Times New Roman"/>
          <w:sz w:val="24"/>
          <w:szCs w:val="24"/>
        </w:rPr>
        <w:t xml:space="preserve">as a student. Your devotion to seeing me mature and improve in both my research and academic life has been nothing short of undeserving favor. </w:t>
      </w:r>
      <w:r w:rsidR="00A03651">
        <w:rPr>
          <w:rFonts w:ascii="Times New Roman" w:hAnsi="Times New Roman" w:cs="Times New Roman"/>
          <w:sz w:val="24"/>
          <w:szCs w:val="24"/>
        </w:rPr>
        <w:t xml:space="preserve">You took me under your supervision since day one and exposed me to various and educated projects to help me develop as a student and a researcher. </w:t>
      </w:r>
      <w:r w:rsidRPr="004D6678">
        <w:rPr>
          <w:rFonts w:ascii="Times New Roman" w:hAnsi="Times New Roman" w:cs="Times New Roman"/>
          <w:sz w:val="24"/>
          <w:szCs w:val="24"/>
        </w:rPr>
        <w:t>It has been a</w:t>
      </w:r>
      <w:r w:rsidR="00A03651">
        <w:rPr>
          <w:rFonts w:ascii="Times New Roman" w:hAnsi="Times New Roman" w:cs="Times New Roman"/>
          <w:sz w:val="24"/>
          <w:szCs w:val="24"/>
        </w:rPr>
        <w:t xml:space="preserve"> great</w:t>
      </w:r>
      <w:r w:rsidRPr="004D6678">
        <w:rPr>
          <w:rFonts w:ascii="Times New Roman" w:hAnsi="Times New Roman" w:cs="Times New Roman"/>
          <w:sz w:val="24"/>
          <w:szCs w:val="24"/>
        </w:rPr>
        <w:t xml:space="preserve"> honor working with you and learning from you through our discussions and talks about life. I am truly grateful and </w:t>
      </w:r>
      <w:r w:rsidR="00A03651">
        <w:rPr>
          <w:rFonts w:ascii="Times New Roman" w:hAnsi="Times New Roman" w:cs="Times New Roman"/>
          <w:sz w:val="24"/>
          <w:szCs w:val="24"/>
        </w:rPr>
        <w:t>will forever be in</w:t>
      </w:r>
      <w:r w:rsidRPr="004D6678">
        <w:rPr>
          <w:rFonts w:ascii="Times New Roman" w:hAnsi="Times New Roman" w:cs="Times New Roman"/>
          <w:sz w:val="24"/>
          <w:szCs w:val="24"/>
        </w:rPr>
        <w:t xml:space="preserve"> your debt. </w:t>
      </w:r>
    </w:p>
    <w:p w14:paraId="121B730C" w14:textId="77777777" w:rsidR="000659D6" w:rsidRDefault="00A03651" w:rsidP="000659D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would also like to give a special </w:t>
      </w:r>
      <w:r w:rsidR="00042180">
        <w:rPr>
          <w:rFonts w:ascii="Times New Roman" w:hAnsi="Times New Roman" w:cs="Times New Roman"/>
          <w:sz w:val="24"/>
          <w:szCs w:val="24"/>
        </w:rPr>
        <w:t>thanks</w:t>
      </w:r>
      <w:r>
        <w:rPr>
          <w:rFonts w:ascii="Times New Roman" w:hAnsi="Times New Roman" w:cs="Times New Roman"/>
          <w:sz w:val="24"/>
          <w:szCs w:val="24"/>
        </w:rPr>
        <w:t xml:space="preserve"> to all my committee members for their unwavering support. Both Dr. Catalin Teodoriu and Dr. Ahmed Ramadan</w:t>
      </w:r>
      <w:r w:rsidR="005E1363">
        <w:rPr>
          <w:rFonts w:ascii="Times New Roman" w:hAnsi="Times New Roman" w:cs="Times New Roman"/>
          <w:sz w:val="24"/>
          <w:szCs w:val="24"/>
        </w:rPr>
        <w:t xml:space="preserve"> have been great professors and advisors for the University of Oklahoma and the department of Mewbourne School of Petroleum and Geological engineering with whom I have the great chance of working with both as Undergraduate and graduate student. Your support and comment on my work have been greatly appreciated.</w:t>
      </w:r>
    </w:p>
    <w:p w14:paraId="42195453" w14:textId="77777777" w:rsidR="000659D6" w:rsidRPr="004D6678" w:rsidRDefault="005E1363" w:rsidP="000659D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My deepest gratitude </w:t>
      </w:r>
      <w:r w:rsidR="00B324EE">
        <w:rPr>
          <w:rFonts w:ascii="Times New Roman" w:hAnsi="Times New Roman" w:cs="Times New Roman"/>
          <w:sz w:val="24"/>
          <w:szCs w:val="24"/>
        </w:rPr>
        <w:t xml:space="preserve">goes to all those service companies including </w:t>
      </w:r>
      <w:r w:rsidR="00042180">
        <w:rPr>
          <w:rFonts w:ascii="Times New Roman" w:hAnsi="Times New Roman" w:cs="Times New Roman"/>
          <w:sz w:val="24"/>
          <w:szCs w:val="24"/>
        </w:rPr>
        <w:t>Sinomine Specialty Fluids</w:t>
      </w:r>
      <w:r w:rsidR="00B324EE">
        <w:rPr>
          <w:rFonts w:ascii="Times New Roman" w:hAnsi="Times New Roman" w:cs="Times New Roman"/>
          <w:sz w:val="24"/>
          <w:szCs w:val="24"/>
        </w:rPr>
        <w:t xml:space="preserve"> for their support in providing the drilling fluids required for this graduate work. </w:t>
      </w:r>
      <w:r w:rsidR="000659D6" w:rsidRPr="004D6678">
        <w:rPr>
          <w:rFonts w:ascii="Times New Roman" w:hAnsi="Times New Roman" w:cs="Times New Roman"/>
          <w:sz w:val="24"/>
          <w:szCs w:val="24"/>
        </w:rPr>
        <w:t>This research work was partially supported by the Department of Energy (D.O.E) National Energy Technology Laboratory under Award Number DE- FE0031575 (Tuscaloosa Marine Shale Laboratory). A special thanks goes to the TMSL team at the University of Louisiana for</w:t>
      </w:r>
      <w:r w:rsidR="00447E8A">
        <w:rPr>
          <w:rFonts w:ascii="Times New Roman" w:hAnsi="Times New Roman" w:cs="Times New Roman"/>
          <w:sz w:val="24"/>
          <w:szCs w:val="24"/>
        </w:rPr>
        <w:t xml:space="preserve"> providing </w:t>
      </w:r>
      <w:r w:rsidR="00B324EE">
        <w:rPr>
          <w:rFonts w:ascii="Times New Roman" w:hAnsi="Times New Roman" w:cs="Times New Roman"/>
          <w:sz w:val="24"/>
          <w:szCs w:val="24"/>
        </w:rPr>
        <w:t xml:space="preserve"> the core samples </w:t>
      </w:r>
      <w:r w:rsidR="000659D6" w:rsidRPr="004D6678">
        <w:rPr>
          <w:rFonts w:ascii="Times New Roman" w:hAnsi="Times New Roman" w:cs="Times New Roman"/>
          <w:sz w:val="24"/>
          <w:szCs w:val="24"/>
        </w:rPr>
        <w:t>in order to complete my research objectives.</w:t>
      </w:r>
    </w:p>
    <w:p w14:paraId="60C4BA22" w14:textId="77777777" w:rsidR="00B324EE" w:rsidRDefault="00B324EE" w:rsidP="000659D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It was a great honor to have worked with Jeff McCaskill at the OU Well Construction and Technology Center (WCTC). </w:t>
      </w:r>
      <w:r w:rsidR="004B12EA">
        <w:rPr>
          <w:rFonts w:ascii="Times New Roman" w:hAnsi="Times New Roman" w:cs="Times New Roman"/>
          <w:sz w:val="24"/>
          <w:szCs w:val="24"/>
        </w:rPr>
        <w:t>His great</w:t>
      </w:r>
      <w:r w:rsidR="00BC59CC">
        <w:rPr>
          <w:rFonts w:ascii="Times New Roman" w:hAnsi="Times New Roman" w:cs="Times New Roman"/>
          <w:sz w:val="24"/>
          <w:szCs w:val="24"/>
        </w:rPr>
        <w:t xml:space="preserve"> support during the experiments and with all the equipment </w:t>
      </w:r>
      <w:r w:rsidR="00BC59CC">
        <w:rPr>
          <w:rFonts w:ascii="Times New Roman" w:hAnsi="Times New Roman" w:cs="Times New Roman"/>
          <w:sz w:val="24"/>
          <w:szCs w:val="24"/>
        </w:rPr>
        <w:lastRenderedPageBreak/>
        <w:t xml:space="preserve">in the laboratory. His expertise in this domain was unbelievable. My gratitude goes also to Gary Stowe for providing the coring bit and helping with all work that was required to be done in the main laboratory of Integrated Core Characterization Center (ICCC). </w:t>
      </w:r>
      <w:r w:rsidR="006059BE">
        <w:rPr>
          <w:rFonts w:ascii="Times New Roman" w:hAnsi="Times New Roman" w:cs="Times New Roman"/>
          <w:sz w:val="24"/>
          <w:szCs w:val="24"/>
        </w:rPr>
        <w:t xml:space="preserve">I would also like to thank Dr. Chinedum Ezeakacha for his help with my set-up and helping me </w:t>
      </w:r>
      <w:r w:rsidR="00042180">
        <w:rPr>
          <w:rFonts w:ascii="Times New Roman" w:hAnsi="Times New Roman" w:cs="Times New Roman"/>
          <w:sz w:val="24"/>
          <w:szCs w:val="24"/>
        </w:rPr>
        <w:t xml:space="preserve">becoming a better technical </w:t>
      </w:r>
      <w:r w:rsidR="005F59F8">
        <w:rPr>
          <w:rFonts w:ascii="Times New Roman" w:hAnsi="Times New Roman" w:cs="Times New Roman"/>
          <w:sz w:val="24"/>
          <w:szCs w:val="24"/>
        </w:rPr>
        <w:t>writer</w:t>
      </w:r>
      <w:r w:rsidR="006059BE">
        <w:rPr>
          <w:rFonts w:ascii="Times New Roman" w:hAnsi="Times New Roman" w:cs="Times New Roman"/>
          <w:sz w:val="24"/>
          <w:szCs w:val="24"/>
        </w:rPr>
        <w:t>.</w:t>
      </w:r>
    </w:p>
    <w:p w14:paraId="76259D37" w14:textId="77777777" w:rsidR="000659D6" w:rsidRPr="004D6678" w:rsidRDefault="00B324EE" w:rsidP="000659D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659D6" w:rsidRPr="004D6678">
        <w:rPr>
          <w:rFonts w:ascii="Times New Roman" w:hAnsi="Times New Roman" w:cs="Times New Roman"/>
          <w:sz w:val="24"/>
          <w:szCs w:val="24"/>
        </w:rPr>
        <w:t xml:space="preserve">Lastly, I would like to thank my family, </w:t>
      </w:r>
      <w:r w:rsidR="006059BE">
        <w:rPr>
          <w:rFonts w:ascii="Times New Roman" w:hAnsi="Times New Roman" w:cs="Times New Roman"/>
          <w:sz w:val="24"/>
          <w:szCs w:val="24"/>
        </w:rPr>
        <w:t xml:space="preserve">parents and all my brothers and </w:t>
      </w:r>
      <w:r w:rsidR="00791039">
        <w:rPr>
          <w:rFonts w:ascii="Times New Roman" w:hAnsi="Times New Roman" w:cs="Times New Roman"/>
          <w:sz w:val="24"/>
          <w:szCs w:val="24"/>
        </w:rPr>
        <w:t>sisters,</w:t>
      </w:r>
      <w:r w:rsidR="000659D6" w:rsidRPr="004D6678">
        <w:rPr>
          <w:rFonts w:ascii="Times New Roman" w:hAnsi="Times New Roman" w:cs="Times New Roman"/>
          <w:sz w:val="24"/>
          <w:szCs w:val="24"/>
        </w:rPr>
        <w:t xml:space="preserve"> and </w:t>
      </w:r>
      <w:r w:rsidR="006059BE">
        <w:rPr>
          <w:rFonts w:ascii="Times New Roman" w:hAnsi="Times New Roman" w:cs="Times New Roman"/>
          <w:sz w:val="24"/>
          <w:szCs w:val="24"/>
        </w:rPr>
        <w:t xml:space="preserve">all </w:t>
      </w:r>
      <w:r w:rsidR="000659D6" w:rsidRPr="004D6678">
        <w:rPr>
          <w:rFonts w:ascii="Times New Roman" w:hAnsi="Times New Roman" w:cs="Times New Roman"/>
          <w:sz w:val="24"/>
          <w:szCs w:val="24"/>
        </w:rPr>
        <w:t>my friends</w:t>
      </w:r>
      <w:r w:rsidR="006059BE">
        <w:rPr>
          <w:rFonts w:ascii="Times New Roman" w:hAnsi="Times New Roman" w:cs="Times New Roman"/>
          <w:sz w:val="24"/>
          <w:szCs w:val="24"/>
        </w:rPr>
        <w:t xml:space="preserve"> at</w:t>
      </w:r>
      <w:r w:rsidR="000659D6" w:rsidRPr="004D6678">
        <w:rPr>
          <w:rFonts w:ascii="Times New Roman" w:hAnsi="Times New Roman" w:cs="Times New Roman"/>
          <w:sz w:val="24"/>
          <w:szCs w:val="24"/>
        </w:rPr>
        <w:t xml:space="preserve"> </w:t>
      </w:r>
      <w:r w:rsidR="00042180">
        <w:rPr>
          <w:rFonts w:ascii="Times New Roman" w:hAnsi="Times New Roman" w:cs="Times New Roman"/>
          <w:sz w:val="24"/>
          <w:szCs w:val="24"/>
        </w:rPr>
        <w:t xml:space="preserve">OU </w:t>
      </w:r>
      <w:r w:rsidR="00536874">
        <w:rPr>
          <w:rFonts w:ascii="Times New Roman" w:hAnsi="Times New Roman" w:cs="Times New Roman"/>
          <w:sz w:val="24"/>
          <w:szCs w:val="24"/>
        </w:rPr>
        <w:t xml:space="preserve">and WCTC </w:t>
      </w:r>
      <w:r w:rsidR="000659D6" w:rsidRPr="004D6678">
        <w:rPr>
          <w:rFonts w:ascii="Times New Roman" w:hAnsi="Times New Roman" w:cs="Times New Roman"/>
          <w:sz w:val="24"/>
          <w:szCs w:val="24"/>
        </w:rPr>
        <w:t xml:space="preserve">for their </w:t>
      </w:r>
      <w:r w:rsidR="00851B55">
        <w:rPr>
          <w:rFonts w:ascii="Times New Roman" w:hAnsi="Times New Roman" w:cs="Times New Roman"/>
          <w:sz w:val="24"/>
          <w:szCs w:val="24"/>
        </w:rPr>
        <w:t>unconditional</w:t>
      </w:r>
      <w:r w:rsidR="000659D6" w:rsidRPr="004D6678">
        <w:rPr>
          <w:rFonts w:ascii="Times New Roman" w:hAnsi="Times New Roman" w:cs="Times New Roman"/>
          <w:sz w:val="24"/>
          <w:szCs w:val="24"/>
        </w:rPr>
        <w:t xml:space="preserve"> love, prayers and respect for me in my journey in this life.</w:t>
      </w:r>
    </w:p>
    <w:p w14:paraId="1C0D3248" w14:textId="77777777" w:rsidR="003B74B3" w:rsidRDefault="003B74B3" w:rsidP="000659D6">
      <w:pPr>
        <w:pStyle w:val="Heading1"/>
        <w:rPr>
          <w:rFonts w:cs="Times New Roman"/>
        </w:rPr>
      </w:pPr>
    </w:p>
    <w:p w14:paraId="414EABD4" w14:textId="77777777" w:rsidR="003B74B3" w:rsidRDefault="003B74B3" w:rsidP="000659D6">
      <w:pPr>
        <w:pStyle w:val="Heading1"/>
        <w:rPr>
          <w:rFonts w:cs="Times New Roman"/>
        </w:rPr>
      </w:pPr>
    </w:p>
    <w:p w14:paraId="0222BC49" w14:textId="77777777" w:rsidR="003B74B3" w:rsidRDefault="003B74B3" w:rsidP="000659D6">
      <w:pPr>
        <w:pStyle w:val="Heading1"/>
        <w:rPr>
          <w:rFonts w:cs="Times New Roman"/>
        </w:rPr>
      </w:pPr>
    </w:p>
    <w:p w14:paraId="099DEEF3" w14:textId="77777777" w:rsidR="003B74B3" w:rsidRDefault="003B74B3" w:rsidP="000659D6">
      <w:pPr>
        <w:pStyle w:val="Heading1"/>
        <w:rPr>
          <w:rFonts w:cs="Times New Roman"/>
        </w:rPr>
      </w:pPr>
    </w:p>
    <w:p w14:paraId="0AE49D20" w14:textId="77777777" w:rsidR="003B74B3" w:rsidRDefault="003B74B3" w:rsidP="000659D6">
      <w:pPr>
        <w:pStyle w:val="Heading1"/>
        <w:rPr>
          <w:rFonts w:cs="Times New Roman"/>
        </w:rPr>
      </w:pPr>
    </w:p>
    <w:p w14:paraId="7F6C8B9C" w14:textId="77777777" w:rsidR="003B74B3" w:rsidRDefault="003B74B3" w:rsidP="000659D6">
      <w:pPr>
        <w:pStyle w:val="Heading1"/>
        <w:rPr>
          <w:rFonts w:cs="Times New Roman"/>
        </w:rPr>
      </w:pPr>
    </w:p>
    <w:p w14:paraId="0234DD0F" w14:textId="77777777" w:rsidR="003B74B3" w:rsidRDefault="003B74B3" w:rsidP="000659D6">
      <w:pPr>
        <w:pStyle w:val="Heading1"/>
        <w:rPr>
          <w:rFonts w:cs="Times New Roman"/>
        </w:rPr>
      </w:pPr>
    </w:p>
    <w:p w14:paraId="41113EEC" w14:textId="77777777" w:rsidR="00B56962" w:rsidRDefault="00B56962" w:rsidP="00B56962">
      <w:pPr>
        <w:pStyle w:val="Heading1"/>
        <w:jc w:val="left"/>
        <w:rPr>
          <w:rFonts w:cs="Times New Roman"/>
        </w:rPr>
      </w:pPr>
      <w:bookmarkStart w:id="1" w:name="_Table_of_contents"/>
      <w:bookmarkEnd w:id="1"/>
    </w:p>
    <w:p w14:paraId="4DA7BF99" w14:textId="77777777" w:rsidR="00B56962" w:rsidRPr="00B56962" w:rsidRDefault="00B56962" w:rsidP="00B56962"/>
    <w:p w14:paraId="376E3596" w14:textId="77777777" w:rsidR="000659D6" w:rsidRDefault="000659D6" w:rsidP="000659D6">
      <w:pPr>
        <w:pStyle w:val="Heading1"/>
        <w:rPr>
          <w:rFonts w:cs="Times New Roman"/>
        </w:rPr>
      </w:pPr>
      <w:bookmarkStart w:id="2" w:name="_Toc39751573"/>
      <w:r w:rsidRPr="004D6678">
        <w:rPr>
          <w:rFonts w:cs="Times New Roman"/>
        </w:rPr>
        <w:lastRenderedPageBreak/>
        <w:t>Table of contents</w:t>
      </w:r>
      <w:bookmarkEnd w:id="2"/>
    </w:p>
    <w:p w14:paraId="1A0A8FA4" w14:textId="77777777" w:rsidR="003B74B3" w:rsidRPr="003B74B3" w:rsidRDefault="003B74B3" w:rsidP="003B74B3"/>
    <w:sdt>
      <w:sdtPr>
        <w:rPr>
          <w:rFonts w:ascii="Times New Roman" w:eastAsiaTheme="minorHAnsi" w:hAnsi="Times New Roman" w:cs="Times New Roman"/>
          <w:color w:val="auto"/>
          <w:sz w:val="24"/>
          <w:szCs w:val="24"/>
        </w:rPr>
        <w:id w:val="1214003118"/>
        <w:docPartObj>
          <w:docPartGallery w:val="Table of Contents"/>
          <w:docPartUnique/>
        </w:docPartObj>
      </w:sdtPr>
      <w:sdtEndPr>
        <w:rPr>
          <w:bCs/>
          <w:noProof/>
        </w:rPr>
      </w:sdtEndPr>
      <w:sdtContent>
        <w:p w14:paraId="22353962" w14:textId="77777777" w:rsidR="000659D6" w:rsidRPr="00444475" w:rsidRDefault="000659D6" w:rsidP="000659D6">
          <w:pPr>
            <w:pStyle w:val="TOCHeading"/>
            <w:tabs>
              <w:tab w:val="left" w:pos="1515"/>
              <w:tab w:val="left" w:pos="2280"/>
            </w:tabs>
            <w:spacing w:line="240" w:lineRule="auto"/>
            <w:rPr>
              <w:rFonts w:ascii="Times New Roman" w:hAnsi="Times New Roman" w:cs="Times New Roman"/>
              <w:sz w:val="24"/>
              <w:szCs w:val="24"/>
            </w:rPr>
          </w:pPr>
          <w:r w:rsidRPr="00444475">
            <w:rPr>
              <w:rFonts w:ascii="Times New Roman" w:hAnsi="Times New Roman" w:cs="Times New Roman"/>
              <w:sz w:val="24"/>
              <w:szCs w:val="24"/>
            </w:rPr>
            <w:tab/>
          </w:r>
          <w:r w:rsidRPr="00444475">
            <w:rPr>
              <w:rFonts w:ascii="Times New Roman" w:hAnsi="Times New Roman" w:cs="Times New Roman"/>
              <w:sz w:val="24"/>
              <w:szCs w:val="24"/>
            </w:rPr>
            <w:tab/>
          </w:r>
        </w:p>
        <w:p w14:paraId="3A0A38B9" w14:textId="48ECC81A" w:rsidR="00D6463B" w:rsidRDefault="000659D6">
          <w:pPr>
            <w:pStyle w:val="TOC1"/>
            <w:tabs>
              <w:tab w:val="right" w:leader="dot" w:pos="9350"/>
            </w:tabs>
            <w:rPr>
              <w:rFonts w:eastAsiaTheme="minorEastAsia"/>
              <w:noProof/>
            </w:rPr>
          </w:pPr>
          <w:r w:rsidRPr="00B51D66">
            <w:rPr>
              <w:rFonts w:ascii="Times New Roman" w:hAnsi="Times New Roman" w:cs="Times New Roman"/>
              <w:bCs/>
              <w:noProof/>
              <w:sz w:val="24"/>
              <w:szCs w:val="24"/>
            </w:rPr>
            <w:fldChar w:fldCharType="begin"/>
          </w:r>
          <w:r w:rsidRPr="00B51D66">
            <w:rPr>
              <w:rFonts w:ascii="Times New Roman" w:hAnsi="Times New Roman" w:cs="Times New Roman"/>
              <w:bCs/>
              <w:noProof/>
              <w:sz w:val="24"/>
              <w:szCs w:val="24"/>
            </w:rPr>
            <w:instrText xml:space="preserve"> TOC \o "1-3" \h \z \u </w:instrText>
          </w:r>
          <w:r w:rsidRPr="00B51D66">
            <w:rPr>
              <w:rFonts w:ascii="Times New Roman" w:hAnsi="Times New Roman" w:cs="Times New Roman"/>
              <w:bCs/>
              <w:noProof/>
              <w:sz w:val="24"/>
              <w:szCs w:val="24"/>
            </w:rPr>
            <w:fldChar w:fldCharType="separate"/>
          </w:r>
          <w:hyperlink w:anchor="_Toc39751572" w:history="1">
            <w:r w:rsidR="00D6463B" w:rsidRPr="000954FA">
              <w:rPr>
                <w:rStyle w:val="Hyperlink"/>
                <w:rFonts w:cs="Times New Roman"/>
                <w:noProof/>
              </w:rPr>
              <w:t>Acknowledgements</w:t>
            </w:r>
            <w:r w:rsidR="00D6463B">
              <w:rPr>
                <w:noProof/>
                <w:webHidden/>
              </w:rPr>
              <w:tab/>
            </w:r>
            <w:r w:rsidR="00D6463B">
              <w:rPr>
                <w:noProof/>
                <w:webHidden/>
              </w:rPr>
              <w:fldChar w:fldCharType="begin"/>
            </w:r>
            <w:r w:rsidR="00D6463B">
              <w:rPr>
                <w:noProof/>
                <w:webHidden/>
              </w:rPr>
              <w:instrText xml:space="preserve"> PAGEREF _Toc39751572 \h </w:instrText>
            </w:r>
            <w:r w:rsidR="00D6463B">
              <w:rPr>
                <w:noProof/>
                <w:webHidden/>
              </w:rPr>
            </w:r>
            <w:r w:rsidR="00D6463B">
              <w:rPr>
                <w:noProof/>
                <w:webHidden/>
              </w:rPr>
              <w:fldChar w:fldCharType="separate"/>
            </w:r>
            <w:r w:rsidR="0092747F">
              <w:rPr>
                <w:noProof/>
                <w:webHidden/>
              </w:rPr>
              <w:t>iv</w:t>
            </w:r>
            <w:r w:rsidR="00D6463B">
              <w:rPr>
                <w:noProof/>
                <w:webHidden/>
              </w:rPr>
              <w:fldChar w:fldCharType="end"/>
            </w:r>
          </w:hyperlink>
        </w:p>
        <w:p w14:paraId="352EE281" w14:textId="6819D21D" w:rsidR="00D6463B" w:rsidRDefault="00D6463B">
          <w:pPr>
            <w:pStyle w:val="TOC1"/>
            <w:tabs>
              <w:tab w:val="right" w:leader="dot" w:pos="9350"/>
            </w:tabs>
            <w:rPr>
              <w:rFonts w:eastAsiaTheme="minorEastAsia"/>
              <w:noProof/>
            </w:rPr>
          </w:pPr>
          <w:hyperlink w:anchor="_Toc39751573" w:history="1">
            <w:r w:rsidRPr="000954FA">
              <w:rPr>
                <w:rStyle w:val="Hyperlink"/>
                <w:rFonts w:cs="Times New Roman"/>
                <w:noProof/>
              </w:rPr>
              <w:t>Table of contents</w:t>
            </w:r>
            <w:r>
              <w:rPr>
                <w:noProof/>
                <w:webHidden/>
              </w:rPr>
              <w:tab/>
            </w:r>
            <w:r>
              <w:rPr>
                <w:noProof/>
                <w:webHidden/>
              </w:rPr>
              <w:fldChar w:fldCharType="begin"/>
            </w:r>
            <w:r>
              <w:rPr>
                <w:noProof/>
                <w:webHidden/>
              </w:rPr>
              <w:instrText xml:space="preserve"> PAGEREF _Toc39751573 \h </w:instrText>
            </w:r>
            <w:r>
              <w:rPr>
                <w:noProof/>
                <w:webHidden/>
              </w:rPr>
            </w:r>
            <w:r>
              <w:rPr>
                <w:noProof/>
                <w:webHidden/>
              </w:rPr>
              <w:fldChar w:fldCharType="separate"/>
            </w:r>
            <w:r w:rsidR="0092747F">
              <w:rPr>
                <w:noProof/>
                <w:webHidden/>
              </w:rPr>
              <w:t>vi</w:t>
            </w:r>
            <w:r>
              <w:rPr>
                <w:noProof/>
                <w:webHidden/>
              </w:rPr>
              <w:fldChar w:fldCharType="end"/>
            </w:r>
          </w:hyperlink>
        </w:p>
        <w:p w14:paraId="62B44BC6" w14:textId="7958320F" w:rsidR="00D6463B" w:rsidRDefault="00D6463B">
          <w:pPr>
            <w:pStyle w:val="TOC1"/>
            <w:tabs>
              <w:tab w:val="right" w:leader="dot" w:pos="9350"/>
            </w:tabs>
            <w:rPr>
              <w:rFonts w:eastAsiaTheme="minorEastAsia"/>
              <w:noProof/>
            </w:rPr>
          </w:pPr>
          <w:hyperlink w:anchor="_Toc39751574" w:history="1">
            <w:r w:rsidRPr="000954FA">
              <w:rPr>
                <w:rStyle w:val="Hyperlink"/>
                <w:rFonts w:cs="Times New Roman"/>
                <w:noProof/>
              </w:rPr>
              <w:t>List of tables</w:t>
            </w:r>
            <w:r>
              <w:rPr>
                <w:noProof/>
                <w:webHidden/>
              </w:rPr>
              <w:tab/>
            </w:r>
            <w:r>
              <w:rPr>
                <w:noProof/>
                <w:webHidden/>
              </w:rPr>
              <w:fldChar w:fldCharType="begin"/>
            </w:r>
            <w:r>
              <w:rPr>
                <w:noProof/>
                <w:webHidden/>
              </w:rPr>
              <w:instrText xml:space="preserve"> PAGEREF _Toc39751574 \h </w:instrText>
            </w:r>
            <w:r>
              <w:rPr>
                <w:noProof/>
                <w:webHidden/>
              </w:rPr>
            </w:r>
            <w:r>
              <w:rPr>
                <w:noProof/>
                <w:webHidden/>
              </w:rPr>
              <w:fldChar w:fldCharType="separate"/>
            </w:r>
            <w:r w:rsidR="0092747F">
              <w:rPr>
                <w:noProof/>
                <w:webHidden/>
              </w:rPr>
              <w:t>viii</w:t>
            </w:r>
            <w:r>
              <w:rPr>
                <w:noProof/>
                <w:webHidden/>
              </w:rPr>
              <w:fldChar w:fldCharType="end"/>
            </w:r>
          </w:hyperlink>
        </w:p>
        <w:p w14:paraId="39CBCDC3" w14:textId="63F3C042" w:rsidR="00D6463B" w:rsidRDefault="00D6463B">
          <w:pPr>
            <w:pStyle w:val="TOC1"/>
            <w:tabs>
              <w:tab w:val="right" w:leader="dot" w:pos="9350"/>
            </w:tabs>
            <w:rPr>
              <w:rFonts w:eastAsiaTheme="minorEastAsia"/>
              <w:noProof/>
            </w:rPr>
          </w:pPr>
          <w:hyperlink w:anchor="_Toc39751575" w:history="1">
            <w:r w:rsidRPr="000954FA">
              <w:rPr>
                <w:rStyle w:val="Hyperlink"/>
                <w:rFonts w:cs="Times New Roman"/>
                <w:noProof/>
              </w:rPr>
              <w:t>List of figures</w:t>
            </w:r>
            <w:r>
              <w:rPr>
                <w:noProof/>
                <w:webHidden/>
              </w:rPr>
              <w:tab/>
            </w:r>
            <w:r>
              <w:rPr>
                <w:noProof/>
                <w:webHidden/>
              </w:rPr>
              <w:fldChar w:fldCharType="begin"/>
            </w:r>
            <w:r>
              <w:rPr>
                <w:noProof/>
                <w:webHidden/>
              </w:rPr>
              <w:instrText xml:space="preserve"> PAGEREF _Toc39751575 \h </w:instrText>
            </w:r>
            <w:r>
              <w:rPr>
                <w:noProof/>
                <w:webHidden/>
              </w:rPr>
            </w:r>
            <w:r>
              <w:rPr>
                <w:noProof/>
                <w:webHidden/>
              </w:rPr>
              <w:fldChar w:fldCharType="separate"/>
            </w:r>
            <w:r w:rsidR="0092747F">
              <w:rPr>
                <w:noProof/>
                <w:webHidden/>
              </w:rPr>
              <w:t>ix</w:t>
            </w:r>
            <w:r>
              <w:rPr>
                <w:noProof/>
                <w:webHidden/>
              </w:rPr>
              <w:fldChar w:fldCharType="end"/>
            </w:r>
          </w:hyperlink>
        </w:p>
        <w:p w14:paraId="5AA17BB8" w14:textId="04AF494C" w:rsidR="00D6463B" w:rsidRDefault="00D6463B">
          <w:pPr>
            <w:pStyle w:val="TOC1"/>
            <w:tabs>
              <w:tab w:val="right" w:leader="dot" w:pos="9350"/>
            </w:tabs>
            <w:rPr>
              <w:rFonts w:eastAsiaTheme="minorEastAsia"/>
              <w:noProof/>
            </w:rPr>
          </w:pPr>
          <w:hyperlink w:anchor="_Toc39751576" w:history="1">
            <w:r w:rsidRPr="000954FA">
              <w:rPr>
                <w:rStyle w:val="Hyperlink"/>
                <w:rFonts w:cs="Times New Roman"/>
                <w:noProof/>
              </w:rPr>
              <w:t>Abstract</w:t>
            </w:r>
            <w:r>
              <w:rPr>
                <w:noProof/>
                <w:webHidden/>
              </w:rPr>
              <w:tab/>
            </w:r>
            <w:r>
              <w:rPr>
                <w:noProof/>
                <w:webHidden/>
              </w:rPr>
              <w:fldChar w:fldCharType="begin"/>
            </w:r>
            <w:r>
              <w:rPr>
                <w:noProof/>
                <w:webHidden/>
              </w:rPr>
              <w:instrText xml:space="preserve"> PAGEREF _Toc39751576 \h </w:instrText>
            </w:r>
            <w:r>
              <w:rPr>
                <w:noProof/>
                <w:webHidden/>
              </w:rPr>
            </w:r>
            <w:r>
              <w:rPr>
                <w:noProof/>
                <w:webHidden/>
              </w:rPr>
              <w:fldChar w:fldCharType="separate"/>
            </w:r>
            <w:r w:rsidR="0092747F">
              <w:rPr>
                <w:noProof/>
                <w:webHidden/>
              </w:rPr>
              <w:t>x</w:t>
            </w:r>
            <w:r>
              <w:rPr>
                <w:noProof/>
                <w:webHidden/>
              </w:rPr>
              <w:fldChar w:fldCharType="end"/>
            </w:r>
          </w:hyperlink>
        </w:p>
        <w:p w14:paraId="00141F6F" w14:textId="11CE800A" w:rsidR="00D6463B" w:rsidRDefault="00D6463B">
          <w:pPr>
            <w:pStyle w:val="TOC1"/>
            <w:tabs>
              <w:tab w:val="left" w:pos="440"/>
              <w:tab w:val="right" w:leader="dot" w:pos="9350"/>
            </w:tabs>
            <w:rPr>
              <w:rFonts w:eastAsiaTheme="minorEastAsia"/>
              <w:noProof/>
            </w:rPr>
          </w:pPr>
          <w:hyperlink w:anchor="_Toc39751577" w:history="1">
            <w:r w:rsidRPr="000954FA">
              <w:rPr>
                <w:rStyle w:val="Hyperlink"/>
                <w:rFonts w:cs="Times New Roman"/>
                <w:noProof/>
              </w:rPr>
              <w:t>1.</w:t>
            </w:r>
            <w:r>
              <w:rPr>
                <w:rFonts w:eastAsiaTheme="minorEastAsia"/>
                <w:noProof/>
              </w:rPr>
              <w:tab/>
            </w:r>
            <w:r w:rsidRPr="000954FA">
              <w:rPr>
                <w:rStyle w:val="Hyperlink"/>
                <w:rFonts w:cs="Times New Roman"/>
                <w:noProof/>
              </w:rPr>
              <w:t>Introduction</w:t>
            </w:r>
            <w:r>
              <w:rPr>
                <w:noProof/>
                <w:webHidden/>
              </w:rPr>
              <w:tab/>
            </w:r>
            <w:r>
              <w:rPr>
                <w:noProof/>
                <w:webHidden/>
              </w:rPr>
              <w:fldChar w:fldCharType="begin"/>
            </w:r>
            <w:r>
              <w:rPr>
                <w:noProof/>
                <w:webHidden/>
              </w:rPr>
              <w:instrText xml:space="preserve"> PAGEREF _Toc39751577 \h </w:instrText>
            </w:r>
            <w:r>
              <w:rPr>
                <w:noProof/>
                <w:webHidden/>
              </w:rPr>
            </w:r>
            <w:r>
              <w:rPr>
                <w:noProof/>
                <w:webHidden/>
              </w:rPr>
              <w:fldChar w:fldCharType="separate"/>
            </w:r>
            <w:r w:rsidR="0092747F">
              <w:rPr>
                <w:noProof/>
                <w:webHidden/>
              </w:rPr>
              <w:t>1</w:t>
            </w:r>
            <w:r>
              <w:rPr>
                <w:noProof/>
                <w:webHidden/>
              </w:rPr>
              <w:fldChar w:fldCharType="end"/>
            </w:r>
          </w:hyperlink>
        </w:p>
        <w:p w14:paraId="1F0693C8" w14:textId="7DB844F3" w:rsidR="00D6463B" w:rsidRDefault="00D6463B">
          <w:pPr>
            <w:pStyle w:val="TOC2"/>
            <w:tabs>
              <w:tab w:val="left" w:pos="880"/>
              <w:tab w:val="right" w:leader="dot" w:pos="9350"/>
            </w:tabs>
            <w:rPr>
              <w:rFonts w:cstheme="minorBidi"/>
              <w:noProof/>
            </w:rPr>
          </w:pPr>
          <w:hyperlink w:anchor="_Toc39751578" w:history="1">
            <w:r w:rsidRPr="000954FA">
              <w:rPr>
                <w:rStyle w:val="Hyperlink"/>
                <w:noProof/>
              </w:rPr>
              <w:t>1.1.</w:t>
            </w:r>
            <w:r>
              <w:rPr>
                <w:rFonts w:cstheme="minorBidi"/>
                <w:noProof/>
              </w:rPr>
              <w:tab/>
            </w:r>
            <w:r w:rsidRPr="000954FA">
              <w:rPr>
                <w:rStyle w:val="Hyperlink"/>
                <w:noProof/>
              </w:rPr>
              <w:t>Research motivation and Research Hypothesis</w:t>
            </w:r>
            <w:r>
              <w:rPr>
                <w:noProof/>
                <w:webHidden/>
              </w:rPr>
              <w:tab/>
            </w:r>
            <w:r>
              <w:rPr>
                <w:noProof/>
                <w:webHidden/>
              </w:rPr>
              <w:fldChar w:fldCharType="begin"/>
            </w:r>
            <w:r>
              <w:rPr>
                <w:noProof/>
                <w:webHidden/>
              </w:rPr>
              <w:instrText xml:space="preserve"> PAGEREF _Toc39751578 \h </w:instrText>
            </w:r>
            <w:r>
              <w:rPr>
                <w:noProof/>
                <w:webHidden/>
              </w:rPr>
            </w:r>
            <w:r>
              <w:rPr>
                <w:noProof/>
                <w:webHidden/>
              </w:rPr>
              <w:fldChar w:fldCharType="separate"/>
            </w:r>
            <w:r w:rsidR="0092747F">
              <w:rPr>
                <w:noProof/>
                <w:webHidden/>
              </w:rPr>
              <w:t>1</w:t>
            </w:r>
            <w:r>
              <w:rPr>
                <w:noProof/>
                <w:webHidden/>
              </w:rPr>
              <w:fldChar w:fldCharType="end"/>
            </w:r>
          </w:hyperlink>
        </w:p>
        <w:p w14:paraId="5A602ACF" w14:textId="4AE466B5" w:rsidR="00D6463B" w:rsidRDefault="00D6463B">
          <w:pPr>
            <w:pStyle w:val="TOC2"/>
            <w:tabs>
              <w:tab w:val="left" w:pos="880"/>
              <w:tab w:val="right" w:leader="dot" w:pos="9350"/>
            </w:tabs>
            <w:rPr>
              <w:rFonts w:cstheme="minorBidi"/>
              <w:noProof/>
            </w:rPr>
          </w:pPr>
          <w:hyperlink w:anchor="_Toc39751579" w:history="1">
            <w:r w:rsidRPr="000954FA">
              <w:rPr>
                <w:rStyle w:val="Hyperlink"/>
                <w:noProof/>
              </w:rPr>
              <w:t>1.2.</w:t>
            </w:r>
            <w:r>
              <w:rPr>
                <w:rFonts w:cstheme="minorBidi"/>
                <w:noProof/>
              </w:rPr>
              <w:tab/>
            </w:r>
            <w:r w:rsidRPr="000954FA">
              <w:rPr>
                <w:rStyle w:val="Hyperlink"/>
                <w:noProof/>
              </w:rPr>
              <w:t>Research Objectives</w:t>
            </w:r>
            <w:r>
              <w:rPr>
                <w:noProof/>
                <w:webHidden/>
              </w:rPr>
              <w:tab/>
            </w:r>
            <w:r>
              <w:rPr>
                <w:noProof/>
                <w:webHidden/>
              </w:rPr>
              <w:fldChar w:fldCharType="begin"/>
            </w:r>
            <w:r>
              <w:rPr>
                <w:noProof/>
                <w:webHidden/>
              </w:rPr>
              <w:instrText xml:space="preserve"> PAGEREF _Toc39751579 \h </w:instrText>
            </w:r>
            <w:r>
              <w:rPr>
                <w:noProof/>
                <w:webHidden/>
              </w:rPr>
            </w:r>
            <w:r>
              <w:rPr>
                <w:noProof/>
                <w:webHidden/>
              </w:rPr>
              <w:fldChar w:fldCharType="separate"/>
            </w:r>
            <w:r w:rsidR="0092747F">
              <w:rPr>
                <w:noProof/>
                <w:webHidden/>
              </w:rPr>
              <w:t>6</w:t>
            </w:r>
            <w:r>
              <w:rPr>
                <w:noProof/>
                <w:webHidden/>
              </w:rPr>
              <w:fldChar w:fldCharType="end"/>
            </w:r>
          </w:hyperlink>
        </w:p>
        <w:p w14:paraId="365735CB" w14:textId="6ED3BD4B" w:rsidR="00D6463B" w:rsidRDefault="00D6463B">
          <w:pPr>
            <w:pStyle w:val="TOC2"/>
            <w:tabs>
              <w:tab w:val="left" w:pos="880"/>
              <w:tab w:val="right" w:leader="dot" w:pos="9350"/>
            </w:tabs>
            <w:rPr>
              <w:rFonts w:cstheme="minorBidi"/>
              <w:noProof/>
            </w:rPr>
          </w:pPr>
          <w:hyperlink w:anchor="_Toc39751580" w:history="1">
            <w:r w:rsidRPr="000954FA">
              <w:rPr>
                <w:rStyle w:val="Hyperlink"/>
                <w:noProof/>
              </w:rPr>
              <w:t>1.3.</w:t>
            </w:r>
            <w:r>
              <w:rPr>
                <w:rFonts w:cstheme="minorBidi"/>
                <w:noProof/>
              </w:rPr>
              <w:tab/>
            </w:r>
            <w:r w:rsidRPr="000954FA">
              <w:rPr>
                <w:rStyle w:val="Hyperlink"/>
                <w:noProof/>
              </w:rPr>
              <w:t>Research Outline and scope of Study</w:t>
            </w:r>
            <w:r>
              <w:rPr>
                <w:noProof/>
                <w:webHidden/>
              </w:rPr>
              <w:tab/>
            </w:r>
            <w:r>
              <w:rPr>
                <w:noProof/>
                <w:webHidden/>
              </w:rPr>
              <w:fldChar w:fldCharType="begin"/>
            </w:r>
            <w:r>
              <w:rPr>
                <w:noProof/>
                <w:webHidden/>
              </w:rPr>
              <w:instrText xml:space="preserve"> PAGEREF _Toc39751580 \h </w:instrText>
            </w:r>
            <w:r>
              <w:rPr>
                <w:noProof/>
                <w:webHidden/>
              </w:rPr>
            </w:r>
            <w:r>
              <w:rPr>
                <w:noProof/>
                <w:webHidden/>
              </w:rPr>
              <w:fldChar w:fldCharType="separate"/>
            </w:r>
            <w:r w:rsidR="0092747F">
              <w:rPr>
                <w:noProof/>
                <w:webHidden/>
              </w:rPr>
              <w:t>6</w:t>
            </w:r>
            <w:r>
              <w:rPr>
                <w:noProof/>
                <w:webHidden/>
              </w:rPr>
              <w:fldChar w:fldCharType="end"/>
            </w:r>
          </w:hyperlink>
        </w:p>
        <w:p w14:paraId="4AB78A7B" w14:textId="62F11BE8" w:rsidR="00D6463B" w:rsidRDefault="00D6463B">
          <w:pPr>
            <w:pStyle w:val="TOC1"/>
            <w:tabs>
              <w:tab w:val="left" w:pos="440"/>
              <w:tab w:val="right" w:leader="dot" w:pos="9350"/>
            </w:tabs>
            <w:rPr>
              <w:rFonts w:eastAsiaTheme="minorEastAsia"/>
              <w:noProof/>
            </w:rPr>
          </w:pPr>
          <w:hyperlink w:anchor="_Toc39751581" w:history="1">
            <w:r w:rsidRPr="000954FA">
              <w:rPr>
                <w:rStyle w:val="Hyperlink"/>
                <w:rFonts w:cs="Times New Roman"/>
                <w:noProof/>
              </w:rPr>
              <w:t>2.</w:t>
            </w:r>
            <w:r>
              <w:rPr>
                <w:rFonts w:eastAsiaTheme="minorEastAsia"/>
                <w:noProof/>
              </w:rPr>
              <w:tab/>
            </w:r>
            <w:r w:rsidRPr="000954FA">
              <w:rPr>
                <w:rStyle w:val="Hyperlink"/>
                <w:noProof/>
              </w:rPr>
              <w:t>Literature Review</w:t>
            </w:r>
            <w:r>
              <w:rPr>
                <w:noProof/>
                <w:webHidden/>
              </w:rPr>
              <w:tab/>
            </w:r>
            <w:r>
              <w:rPr>
                <w:noProof/>
                <w:webHidden/>
              </w:rPr>
              <w:fldChar w:fldCharType="begin"/>
            </w:r>
            <w:r>
              <w:rPr>
                <w:noProof/>
                <w:webHidden/>
              </w:rPr>
              <w:instrText xml:space="preserve"> PAGEREF _Toc39751581 \h </w:instrText>
            </w:r>
            <w:r>
              <w:rPr>
                <w:noProof/>
                <w:webHidden/>
              </w:rPr>
            </w:r>
            <w:r>
              <w:rPr>
                <w:noProof/>
                <w:webHidden/>
              </w:rPr>
              <w:fldChar w:fldCharType="separate"/>
            </w:r>
            <w:r w:rsidR="0092747F">
              <w:rPr>
                <w:noProof/>
                <w:webHidden/>
              </w:rPr>
              <w:t>8</w:t>
            </w:r>
            <w:r>
              <w:rPr>
                <w:noProof/>
                <w:webHidden/>
              </w:rPr>
              <w:fldChar w:fldCharType="end"/>
            </w:r>
          </w:hyperlink>
        </w:p>
        <w:p w14:paraId="7E487370" w14:textId="6786F0F3" w:rsidR="00D6463B" w:rsidRDefault="00D6463B">
          <w:pPr>
            <w:pStyle w:val="TOC2"/>
            <w:tabs>
              <w:tab w:val="left" w:pos="880"/>
              <w:tab w:val="right" w:leader="dot" w:pos="9350"/>
            </w:tabs>
            <w:rPr>
              <w:rFonts w:cstheme="minorBidi"/>
              <w:noProof/>
            </w:rPr>
          </w:pPr>
          <w:hyperlink w:anchor="_Toc39751584" w:history="1">
            <w:r w:rsidRPr="000954FA">
              <w:rPr>
                <w:rStyle w:val="Hyperlink"/>
                <w:noProof/>
              </w:rPr>
              <w:t>2.1.</w:t>
            </w:r>
            <w:r>
              <w:rPr>
                <w:rFonts w:cstheme="minorBidi"/>
                <w:noProof/>
              </w:rPr>
              <w:tab/>
            </w:r>
            <w:r w:rsidRPr="000954FA">
              <w:rPr>
                <w:rStyle w:val="Hyperlink"/>
                <w:noProof/>
              </w:rPr>
              <w:t>Introduction</w:t>
            </w:r>
            <w:r>
              <w:rPr>
                <w:noProof/>
                <w:webHidden/>
              </w:rPr>
              <w:tab/>
            </w:r>
            <w:r>
              <w:rPr>
                <w:noProof/>
                <w:webHidden/>
              </w:rPr>
              <w:fldChar w:fldCharType="begin"/>
            </w:r>
            <w:r>
              <w:rPr>
                <w:noProof/>
                <w:webHidden/>
              </w:rPr>
              <w:instrText xml:space="preserve"> PAGEREF _Toc39751584 \h </w:instrText>
            </w:r>
            <w:r>
              <w:rPr>
                <w:noProof/>
                <w:webHidden/>
              </w:rPr>
            </w:r>
            <w:r>
              <w:rPr>
                <w:noProof/>
                <w:webHidden/>
              </w:rPr>
              <w:fldChar w:fldCharType="separate"/>
            </w:r>
            <w:r w:rsidR="0092747F">
              <w:rPr>
                <w:noProof/>
                <w:webHidden/>
              </w:rPr>
              <w:t>8</w:t>
            </w:r>
            <w:r>
              <w:rPr>
                <w:noProof/>
                <w:webHidden/>
              </w:rPr>
              <w:fldChar w:fldCharType="end"/>
            </w:r>
          </w:hyperlink>
        </w:p>
        <w:p w14:paraId="3C8178F6" w14:textId="481127F4" w:rsidR="00D6463B" w:rsidRDefault="00D6463B">
          <w:pPr>
            <w:pStyle w:val="TOC2"/>
            <w:tabs>
              <w:tab w:val="left" w:pos="880"/>
              <w:tab w:val="right" w:leader="dot" w:pos="9350"/>
            </w:tabs>
            <w:rPr>
              <w:rFonts w:cstheme="minorBidi"/>
              <w:noProof/>
            </w:rPr>
          </w:pPr>
          <w:hyperlink w:anchor="_Toc39751585" w:history="1">
            <w:r w:rsidRPr="000954FA">
              <w:rPr>
                <w:rStyle w:val="Hyperlink"/>
                <w:noProof/>
              </w:rPr>
              <w:t>2.2.</w:t>
            </w:r>
            <w:r>
              <w:rPr>
                <w:rFonts w:cstheme="minorBidi"/>
                <w:noProof/>
              </w:rPr>
              <w:tab/>
            </w:r>
            <w:r w:rsidRPr="000954FA">
              <w:rPr>
                <w:rStyle w:val="Hyperlink"/>
                <w:noProof/>
              </w:rPr>
              <w:t>Wellbore Instability</w:t>
            </w:r>
            <w:r>
              <w:rPr>
                <w:noProof/>
                <w:webHidden/>
              </w:rPr>
              <w:tab/>
            </w:r>
            <w:r>
              <w:rPr>
                <w:noProof/>
                <w:webHidden/>
              </w:rPr>
              <w:fldChar w:fldCharType="begin"/>
            </w:r>
            <w:r>
              <w:rPr>
                <w:noProof/>
                <w:webHidden/>
              </w:rPr>
              <w:instrText xml:space="preserve"> PAGEREF _Toc39751585 \h </w:instrText>
            </w:r>
            <w:r>
              <w:rPr>
                <w:noProof/>
                <w:webHidden/>
              </w:rPr>
            </w:r>
            <w:r>
              <w:rPr>
                <w:noProof/>
                <w:webHidden/>
              </w:rPr>
              <w:fldChar w:fldCharType="separate"/>
            </w:r>
            <w:r w:rsidR="0092747F">
              <w:rPr>
                <w:noProof/>
                <w:webHidden/>
              </w:rPr>
              <w:t>8</w:t>
            </w:r>
            <w:r>
              <w:rPr>
                <w:noProof/>
                <w:webHidden/>
              </w:rPr>
              <w:fldChar w:fldCharType="end"/>
            </w:r>
          </w:hyperlink>
        </w:p>
        <w:p w14:paraId="4E0A5726" w14:textId="29A70624" w:rsidR="00D6463B" w:rsidRDefault="00D6463B">
          <w:pPr>
            <w:pStyle w:val="TOC2"/>
            <w:tabs>
              <w:tab w:val="left" w:pos="880"/>
              <w:tab w:val="right" w:leader="dot" w:pos="9350"/>
            </w:tabs>
            <w:rPr>
              <w:rFonts w:cstheme="minorBidi"/>
              <w:noProof/>
            </w:rPr>
          </w:pPr>
          <w:hyperlink w:anchor="_Toc39751586" w:history="1">
            <w:r w:rsidRPr="000954FA">
              <w:rPr>
                <w:rStyle w:val="Hyperlink"/>
                <w:noProof/>
              </w:rPr>
              <w:t>2.3.</w:t>
            </w:r>
            <w:r>
              <w:rPr>
                <w:rFonts w:cstheme="minorBidi"/>
                <w:noProof/>
              </w:rPr>
              <w:tab/>
            </w:r>
            <w:r w:rsidRPr="000954FA">
              <w:rPr>
                <w:rStyle w:val="Hyperlink"/>
                <w:noProof/>
              </w:rPr>
              <w:t>Bit Balling</w:t>
            </w:r>
            <w:r>
              <w:rPr>
                <w:noProof/>
                <w:webHidden/>
              </w:rPr>
              <w:tab/>
            </w:r>
            <w:r>
              <w:rPr>
                <w:noProof/>
                <w:webHidden/>
              </w:rPr>
              <w:fldChar w:fldCharType="begin"/>
            </w:r>
            <w:r>
              <w:rPr>
                <w:noProof/>
                <w:webHidden/>
              </w:rPr>
              <w:instrText xml:space="preserve"> PAGEREF _Toc39751586 \h </w:instrText>
            </w:r>
            <w:r>
              <w:rPr>
                <w:noProof/>
                <w:webHidden/>
              </w:rPr>
            </w:r>
            <w:r>
              <w:rPr>
                <w:noProof/>
                <w:webHidden/>
              </w:rPr>
              <w:fldChar w:fldCharType="separate"/>
            </w:r>
            <w:r w:rsidR="0092747F">
              <w:rPr>
                <w:noProof/>
                <w:webHidden/>
              </w:rPr>
              <w:t>13</w:t>
            </w:r>
            <w:r>
              <w:rPr>
                <w:noProof/>
                <w:webHidden/>
              </w:rPr>
              <w:fldChar w:fldCharType="end"/>
            </w:r>
          </w:hyperlink>
        </w:p>
        <w:p w14:paraId="7DBE2837" w14:textId="235FA781" w:rsidR="00D6463B" w:rsidRDefault="00D6463B">
          <w:pPr>
            <w:pStyle w:val="TOC2"/>
            <w:tabs>
              <w:tab w:val="left" w:pos="880"/>
              <w:tab w:val="right" w:leader="dot" w:pos="9350"/>
            </w:tabs>
            <w:rPr>
              <w:rFonts w:cstheme="minorBidi"/>
              <w:noProof/>
            </w:rPr>
          </w:pPr>
          <w:hyperlink w:anchor="_Toc39751587" w:history="1">
            <w:r w:rsidRPr="000954FA">
              <w:rPr>
                <w:rStyle w:val="Hyperlink"/>
                <w:noProof/>
              </w:rPr>
              <w:t>2.4.</w:t>
            </w:r>
            <w:r>
              <w:rPr>
                <w:rFonts w:cstheme="minorBidi"/>
                <w:noProof/>
              </w:rPr>
              <w:tab/>
            </w:r>
            <w:r w:rsidRPr="000954FA">
              <w:rPr>
                <w:rStyle w:val="Hyperlink"/>
                <w:noProof/>
              </w:rPr>
              <w:t>Lost Circulation</w:t>
            </w:r>
            <w:r>
              <w:rPr>
                <w:noProof/>
                <w:webHidden/>
              </w:rPr>
              <w:tab/>
            </w:r>
            <w:r>
              <w:rPr>
                <w:noProof/>
                <w:webHidden/>
              </w:rPr>
              <w:fldChar w:fldCharType="begin"/>
            </w:r>
            <w:r>
              <w:rPr>
                <w:noProof/>
                <w:webHidden/>
              </w:rPr>
              <w:instrText xml:space="preserve"> PAGEREF _Toc39751587 \h </w:instrText>
            </w:r>
            <w:r>
              <w:rPr>
                <w:noProof/>
                <w:webHidden/>
              </w:rPr>
            </w:r>
            <w:r>
              <w:rPr>
                <w:noProof/>
                <w:webHidden/>
              </w:rPr>
              <w:fldChar w:fldCharType="separate"/>
            </w:r>
            <w:r w:rsidR="0092747F">
              <w:rPr>
                <w:noProof/>
                <w:webHidden/>
              </w:rPr>
              <w:t>16</w:t>
            </w:r>
            <w:r>
              <w:rPr>
                <w:noProof/>
                <w:webHidden/>
              </w:rPr>
              <w:fldChar w:fldCharType="end"/>
            </w:r>
          </w:hyperlink>
        </w:p>
        <w:p w14:paraId="0319B6E7" w14:textId="347D0057" w:rsidR="00D6463B" w:rsidRDefault="00D6463B">
          <w:pPr>
            <w:pStyle w:val="TOC2"/>
            <w:tabs>
              <w:tab w:val="left" w:pos="880"/>
              <w:tab w:val="right" w:leader="dot" w:pos="9350"/>
            </w:tabs>
            <w:rPr>
              <w:rFonts w:cstheme="minorBidi"/>
              <w:noProof/>
            </w:rPr>
          </w:pPr>
          <w:hyperlink w:anchor="_Toc39751588" w:history="1">
            <w:r w:rsidRPr="000954FA">
              <w:rPr>
                <w:rStyle w:val="Hyperlink"/>
                <w:noProof/>
              </w:rPr>
              <w:t>2.5.</w:t>
            </w:r>
            <w:r>
              <w:rPr>
                <w:rFonts w:cstheme="minorBidi"/>
                <w:noProof/>
              </w:rPr>
              <w:tab/>
            </w:r>
            <w:r w:rsidRPr="000954FA">
              <w:rPr>
                <w:rStyle w:val="Hyperlink"/>
                <w:noProof/>
              </w:rPr>
              <w:t>Clays Characterization</w:t>
            </w:r>
            <w:r>
              <w:rPr>
                <w:noProof/>
                <w:webHidden/>
              </w:rPr>
              <w:tab/>
            </w:r>
            <w:r>
              <w:rPr>
                <w:noProof/>
                <w:webHidden/>
              </w:rPr>
              <w:fldChar w:fldCharType="begin"/>
            </w:r>
            <w:r>
              <w:rPr>
                <w:noProof/>
                <w:webHidden/>
              </w:rPr>
              <w:instrText xml:space="preserve"> PAGEREF _Toc39751588 \h </w:instrText>
            </w:r>
            <w:r>
              <w:rPr>
                <w:noProof/>
                <w:webHidden/>
              </w:rPr>
            </w:r>
            <w:r>
              <w:rPr>
                <w:noProof/>
                <w:webHidden/>
              </w:rPr>
              <w:fldChar w:fldCharType="separate"/>
            </w:r>
            <w:r w:rsidR="0092747F">
              <w:rPr>
                <w:noProof/>
                <w:webHidden/>
              </w:rPr>
              <w:t>19</w:t>
            </w:r>
            <w:r>
              <w:rPr>
                <w:noProof/>
                <w:webHidden/>
              </w:rPr>
              <w:fldChar w:fldCharType="end"/>
            </w:r>
          </w:hyperlink>
        </w:p>
        <w:p w14:paraId="0C8A6535" w14:textId="46C76757" w:rsidR="00D6463B" w:rsidRDefault="00D6463B">
          <w:pPr>
            <w:pStyle w:val="TOC3"/>
            <w:tabs>
              <w:tab w:val="left" w:pos="1320"/>
              <w:tab w:val="right" w:leader="dot" w:pos="9350"/>
            </w:tabs>
            <w:rPr>
              <w:rFonts w:cstheme="minorBidi"/>
              <w:noProof/>
            </w:rPr>
          </w:pPr>
          <w:hyperlink w:anchor="_Toc39751589" w:history="1">
            <w:r w:rsidRPr="000954FA">
              <w:rPr>
                <w:rStyle w:val="Hyperlink"/>
                <w:noProof/>
              </w:rPr>
              <w:t>2.5.1.</w:t>
            </w:r>
            <w:r>
              <w:rPr>
                <w:rFonts w:cstheme="minorBidi"/>
                <w:noProof/>
              </w:rPr>
              <w:tab/>
            </w:r>
            <w:r w:rsidRPr="000954FA">
              <w:rPr>
                <w:rStyle w:val="Hyperlink"/>
                <w:noProof/>
              </w:rPr>
              <w:t>Clay Structure</w:t>
            </w:r>
            <w:r>
              <w:rPr>
                <w:noProof/>
                <w:webHidden/>
              </w:rPr>
              <w:tab/>
            </w:r>
            <w:r>
              <w:rPr>
                <w:noProof/>
                <w:webHidden/>
              </w:rPr>
              <w:fldChar w:fldCharType="begin"/>
            </w:r>
            <w:r>
              <w:rPr>
                <w:noProof/>
                <w:webHidden/>
              </w:rPr>
              <w:instrText xml:space="preserve"> PAGEREF _Toc39751589 \h </w:instrText>
            </w:r>
            <w:r>
              <w:rPr>
                <w:noProof/>
                <w:webHidden/>
              </w:rPr>
            </w:r>
            <w:r>
              <w:rPr>
                <w:noProof/>
                <w:webHidden/>
              </w:rPr>
              <w:fldChar w:fldCharType="separate"/>
            </w:r>
            <w:r w:rsidR="0092747F">
              <w:rPr>
                <w:noProof/>
                <w:webHidden/>
              </w:rPr>
              <w:t>20</w:t>
            </w:r>
            <w:r>
              <w:rPr>
                <w:noProof/>
                <w:webHidden/>
              </w:rPr>
              <w:fldChar w:fldCharType="end"/>
            </w:r>
          </w:hyperlink>
        </w:p>
        <w:p w14:paraId="345958F4" w14:textId="6F4ACC24" w:rsidR="00D6463B" w:rsidRDefault="00D6463B">
          <w:pPr>
            <w:pStyle w:val="TOC3"/>
            <w:tabs>
              <w:tab w:val="left" w:pos="1320"/>
              <w:tab w:val="right" w:leader="dot" w:pos="9350"/>
            </w:tabs>
            <w:rPr>
              <w:rFonts w:cstheme="minorBidi"/>
              <w:noProof/>
            </w:rPr>
          </w:pPr>
          <w:hyperlink w:anchor="_Toc39751590" w:history="1">
            <w:r w:rsidRPr="000954FA">
              <w:rPr>
                <w:rStyle w:val="Hyperlink"/>
                <w:noProof/>
              </w:rPr>
              <w:t>2.5.2.</w:t>
            </w:r>
            <w:r>
              <w:rPr>
                <w:rFonts w:cstheme="minorBidi"/>
                <w:noProof/>
              </w:rPr>
              <w:tab/>
            </w:r>
            <w:r w:rsidRPr="000954FA">
              <w:rPr>
                <w:rStyle w:val="Hyperlink"/>
                <w:noProof/>
              </w:rPr>
              <w:t>Clay Mineral Classification</w:t>
            </w:r>
            <w:r>
              <w:rPr>
                <w:noProof/>
                <w:webHidden/>
              </w:rPr>
              <w:tab/>
            </w:r>
            <w:r>
              <w:rPr>
                <w:noProof/>
                <w:webHidden/>
              </w:rPr>
              <w:fldChar w:fldCharType="begin"/>
            </w:r>
            <w:r>
              <w:rPr>
                <w:noProof/>
                <w:webHidden/>
              </w:rPr>
              <w:instrText xml:space="preserve"> PAGEREF _Toc39751590 \h </w:instrText>
            </w:r>
            <w:r>
              <w:rPr>
                <w:noProof/>
                <w:webHidden/>
              </w:rPr>
            </w:r>
            <w:r>
              <w:rPr>
                <w:noProof/>
                <w:webHidden/>
              </w:rPr>
              <w:fldChar w:fldCharType="separate"/>
            </w:r>
            <w:r w:rsidR="0092747F">
              <w:rPr>
                <w:noProof/>
                <w:webHidden/>
              </w:rPr>
              <w:t>22</w:t>
            </w:r>
            <w:r>
              <w:rPr>
                <w:noProof/>
                <w:webHidden/>
              </w:rPr>
              <w:fldChar w:fldCharType="end"/>
            </w:r>
          </w:hyperlink>
        </w:p>
        <w:p w14:paraId="62B66A09" w14:textId="79A1BE55" w:rsidR="00D6463B" w:rsidRDefault="00D6463B">
          <w:pPr>
            <w:pStyle w:val="TOC2"/>
            <w:tabs>
              <w:tab w:val="left" w:pos="880"/>
              <w:tab w:val="right" w:leader="dot" w:pos="9350"/>
            </w:tabs>
            <w:rPr>
              <w:rFonts w:cstheme="minorBidi"/>
              <w:noProof/>
            </w:rPr>
          </w:pPr>
          <w:hyperlink w:anchor="_Toc39751591" w:history="1">
            <w:r w:rsidRPr="000954FA">
              <w:rPr>
                <w:rStyle w:val="Hyperlink"/>
                <w:noProof/>
              </w:rPr>
              <w:t>2.6.</w:t>
            </w:r>
            <w:r>
              <w:rPr>
                <w:rFonts w:cstheme="minorBidi"/>
                <w:noProof/>
              </w:rPr>
              <w:tab/>
            </w:r>
            <w:r w:rsidRPr="000954FA">
              <w:rPr>
                <w:rStyle w:val="Hyperlink"/>
                <w:noProof/>
              </w:rPr>
              <w:t>Drilling Fluids</w:t>
            </w:r>
            <w:r>
              <w:rPr>
                <w:noProof/>
                <w:webHidden/>
              </w:rPr>
              <w:tab/>
            </w:r>
            <w:r>
              <w:rPr>
                <w:noProof/>
                <w:webHidden/>
              </w:rPr>
              <w:fldChar w:fldCharType="begin"/>
            </w:r>
            <w:r>
              <w:rPr>
                <w:noProof/>
                <w:webHidden/>
              </w:rPr>
              <w:instrText xml:space="preserve"> PAGEREF _Toc39751591 \h </w:instrText>
            </w:r>
            <w:r>
              <w:rPr>
                <w:noProof/>
                <w:webHidden/>
              </w:rPr>
            </w:r>
            <w:r>
              <w:rPr>
                <w:noProof/>
                <w:webHidden/>
              </w:rPr>
              <w:fldChar w:fldCharType="separate"/>
            </w:r>
            <w:r w:rsidR="0092747F">
              <w:rPr>
                <w:noProof/>
                <w:webHidden/>
              </w:rPr>
              <w:t>25</w:t>
            </w:r>
            <w:r>
              <w:rPr>
                <w:noProof/>
                <w:webHidden/>
              </w:rPr>
              <w:fldChar w:fldCharType="end"/>
            </w:r>
          </w:hyperlink>
        </w:p>
        <w:p w14:paraId="0B0ED153" w14:textId="6EE74361" w:rsidR="00D6463B" w:rsidRDefault="00D6463B">
          <w:pPr>
            <w:pStyle w:val="TOC3"/>
            <w:tabs>
              <w:tab w:val="left" w:pos="1320"/>
              <w:tab w:val="right" w:leader="dot" w:pos="9350"/>
            </w:tabs>
            <w:rPr>
              <w:rFonts w:cstheme="minorBidi"/>
              <w:noProof/>
            </w:rPr>
          </w:pPr>
          <w:hyperlink w:anchor="_Toc39751592" w:history="1">
            <w:r w:rsidRPr="000954FA">
              <w:rPr>
                <w:rStyle w:val="Hyperlink"/>
                <w:noProof/>
              </w:rPr>
              <w:t>2.6.1.</w:t>
            </w:r>
            <w:r>
              <w:rPr>
                <w:rFonts w:cstheme="minorBidi"/>
                <w:noProof/>
              </w:rPr>
              <w:tab/>
            </w:r>
            <w:r w:rsidRPr="000954FA">
              <w:rPr>
                <w:rStyle w:val="Hyperlink"/>
                <w:noProof/>
              </w:rPr>
              <w:t>Water-Based Mud Systems</w:t>
            </w:r>
            <w:r>
              <w:rPr>
                <w:noProof/>
                <w:webHidden/>
              </w:rPr>
              <w:tab/>
            </w:r>
            <w:r>
              <w:rPr>
                <w:noProof/>
                <w:webHidden/>
              </w:rPr>
              <w:fldChar w:fldCharType="begin"/>
            </w:r>
            <w:r>
              <w:rPr>
                <w:noProof/>
                <w:webHidden/>
              </w:rPr>
              <w:instrText xml:space="preserve"> PAGEREF _Toc39751592 \h </w:instrText>
            </w:r>
            <w:r>
              <w:rPr>
                <w:noProof/>
                <w:webHidden/>
              </w:rPr>
            </w:r>
            <w:r>
              <w:rPr>
                <w:noProof/>
                <w:webHidden/>
              </w:rPr>
              <w:fldChar w:fldCharType="separate"/>
            </w:r>
            <w:r w:rsidR="0092747F">
              <w:rPr>
                <w:noProof/>
                <w:webHidden/>
              </w:rPr>
              <w:t>28</w:t>
            </w:r>
            <w:r>
              <w:rPr>
                <w:noProof/>
                <w:webHidden/>
              </w:rPr>
              <w:fldChar w:fldCharType="end"/>
            </w:r>
          </w:hyperlink>
        </w:p>
        <w:p w14:paraId="5281041D" w14:textId="549C621C" w:rsidR="00D6463B" w:rsidRDefault="00D6463B">
          <w:pPr>
            <w:pStyle w:val="TOC3"/>
            <w:tabs>
              <w:tab w:val="left" w:pos="1320"/>
              <w:tab w:val="right" w:leader="dot" w:pos="9350"/>
            </w:tabs>
            <w:rPr>
              <w:rFonts w:cstheme="minorBidi"/>
              <w:noProof/>
            </w:rPr>
          </w:pPr>
          <w:hyperlink w:anchor="_Toc39751593" w:history="1">
            <w:r w:rsidRPr="000954FA">
              <w:rPr>
                <w:rStyle w:val="Hyperlink"/>
                <w:noProof/>
              </w:rPr>
              <w:t>2.6.2.</w:t>
            </w:r>
            <w:r>
              <w:rPr>
                <w:rFonts w:cstheme="minorBidi"/>
                <w:noProof/>
              </w:rPr>
              <w:tab/>
            </w:r>
            <w:r w:rsidRPr="000954FA">
              <w:rPr>
                <w:rStyle w:val="Hyperlink"/>
                <w:noProof/>
              </w:rPr>
              <w:t>Oil-Based Mud Systems</w:t>
            </w:r>
            <w:r>
              <w:rPr>
                <w:noProof/>
                <w:webHidden/>
              </w:rPr>
              <w:tab/>
            </w:r>
            <w:r>
              <w:rPr>
                <w:noProof/>
                <w:webHidden/>
              </w:rPr>
              <w:fldChar w:fldCharType="begin"/>
            </w:r>
            <w:r>
              <w:rPr>
                <w:noProof/>
                <w:webHidden/>
              </w:rPr>
              <w:instrText xml:space="preserve"> PAGEREF _Toc39751593 \h </w:instrText>
            </w:r>
            <w:r>
              <w:rPr>
                <w:noProof/>
                <w:webHidden/>
              </w:rPr>
            </w:r>
            <w:r>
              <w:rPr>
                <w:noProof/>
                <w:webHidden/>
              </w:rPr>
              <w:fldChar w:fldCharType="separate"/>
            </w:r>
            <w:r w:rsidR="0092747F">
              <w:rPr>
                <w:noProof/>
                <w:webHidden/>
              </w:rPr>
              <w:t>29</w:t>
            </w:r>
            <w:r>
              <w:rPr>
                <w:noProof/>
                <w:webHidden/>
              </w:rPr>
              <w:fldChar w:fldCharType="end"/>
            </w:r>
          </w:hyperlink>
        </w:p>
        <w:p w14:paraId="3A87B7C2" w14:textId="78ED3579" w:rsidR="00D6463B" w:rsidRDefault="00D6463B">
          <w:pPr>
            <w:pStyle w:val="TOC3"/>
            <w:tabs>
              <w:tab w:val="left" w:pos="1320"/>
              <w:tab w:val="right" w:leader="dot" w:pos="9350"/>
            </w:tabs>
            <w:rPr>
              <w:rFonts w:cstheme="minorBidi"/>
              <w:noProof/>
            </w:rPr>
          </w:pPr>
          <w:hyperlink w:anchor="_Toc39751594" w:history="1">
            <w:r w:rsidRPr="000954FA">
              <w:rPr>
                <w:rStyle w:val="Hyperlink"/>
                <w:noProof/>
              </w:rPr>
              <w:t>2.6.3.</w:t>
            </w:r>
            <w:r>
              <w:rPr>
                <w:rFonts w:cstheme="minorBidi"/>
                <w:noProof/>
              </w:rPr>
              <w:tab/>
            </w:r>
            <w:r w:rsidRPr="000954FA">
              <w:rPr>
                <w:rStyle w:val="Hyperlink"/>
                <w:noProof/>
              </w:rPr>
              <w:t>Synthetic-Based Mud Systems</w:t>
            </w:r>
            <w:r>
              <w:rPr>
                <w:noProof/>
                <w:webHidden/>
              </w:rPr>
              <w:tab/>
            </w:r>
            <w:r>
              <w:rPr>
                <w:noProof/>
                <w:webHidden/>
              </w:rPr>
              <w:fldChar w:fldCharType="begin"/>
            </w:r>
            <w:r>
              <w:rPr>
                <w:noProof/>
                <w:webHidden/>
              </w:rPr>
              <w:instrText xml:space="preserve"> PAGEREF _Toc39751594 \h </w:instrText>
            </w:r>
            <w:r>
              <w:rPr>
                <w:noProof/>
                <w:webHidden/>
              </w:rPr>
            </w:r>
            <w:r>
              <w:rPr>
                <w:noProof/>
                <w:webHidden/>
              </w:rPr>
              <w:fldChar w:fldCharType="separate"/>
            </w:r>
            <w:r w:rsidR="0092747F">
              <w:rPr>
                <w:noProof/>
                <w:webHidden/>
              </w:rPr>
              <w:t>30</w:t>
            </w:r>
            <w:r>
              <w:rPr>
                <w:noProof/>
                <w:webHidden/>
              </w:rPr>
              <w:fldChar w:fldCharType="end"/>
            </w:r>
          </w:hyperlink>
        </w:p>
        <w:p w14:paraId="03A1648C" w14:textId="33353D67" w:rsidR="00D6463B" w:rsidRDefault="00D6463B">
          <w:pPr>
            <w:pStyle w:val="TOC3"/>
            <w:tabs>
              <w:tab w:val="left" w:pos="1320"/>
              <w:tab w:val="right" w:leader="dot" w:pos="9350"/>
            </w:tabs>
            <w:rPr>
              <w:rFonts w:cstheme="minorBidi"/>
              <w:noProof/>
            </w:rPr>
          </w:pPr>
          <w:hyperlink w:anchor="_Toc39751595" w:history="1">
            <w:r w:rsidRPr="000954FA">
              <w:rPr>
                <w:rStyle w:val="Hyperlink"/>
                <w:noProof/>
              </w:rPr>
              <w:t>2.6.4.</w:t>
            </w:r>
            <w:r>
              <w:rPr>
                <w:rFonts w:cstheme="minorBidi"/>
                <w:noProof/>
              </w:rPr>
              <w:tab/>
            </w:r>
            <w:r w:rsidRPr="000954FA">
              <w:rPr>
                <w:rStyle w:val="Hyperlink"/>
                <w:noProof/>
              </w:rPr>
              <w:t>Formate Fluids</w:t>
            </w:r>
            <w:r>
              <w:rPr>
                <w:noProof/>
                <w:webHidden/>
              </w:rPr>
              <w:tab/>
            </w:r>
            <w:r>
              <w:rPr>
                <w:noProof/>
                <w:webHidden/>
              </w:rPr>
              <w:fldChar w:fldCharType="begin"/>
            </w:r>
            <w:r>
              <w:rPr>
                <w:noProof/>
                <w:webHidden/>
              </w:rPr>
              <w:instrText xml:space="preserve"> PAGEREF _Toc39751595 \h </w:instrText>
            </w:r>
            <w:r>
              <w:rPr>
                <w:noProof/>
                <w:webHidden/>
              </w:rPr>
            </w:r>
            <w:r>
              <w:rPr>
                <w:noProof/>
                <w:webHidden/>
              </w:rPr>
              <w:fldChar w:fldCharType="separate"/>
            </w:r>
            <w:r w:rsidR="0092747F">
              <w:rPr>
                <w:noProof/>
                <w:webHidden/>
              </w:rPr>
              <w:t>30</w:t>
            </w:r>
            <w:r>
              <w:rPr>
                <w:noProof/>
                <w:webHidden/>
              </w:rPr>
              <w:fldChar w:fldCharType="end"/>
            </w:r>
          </w:hyperlink>
        </w:p>
        <w:p w14:paraId="619B04E2" w14:textId="2A825CC0" w:rsidR="00D6463B" w:rsidRDefault="00D6463B">
          <w:pPr>
            <w:pStyle w:val="TOC3"/>
            <w:tabs>
              <w:tab w:val="left" w:pos="1320"/>
              <w:tab w:val="right" w:leader="dot" w:pos="9350"/>
            </w:tabs>
            <w:rPr>
              <w:rFonts w:cstheme="minorBidi"/>
              <w:noProof/>
            </w:rPr>
          </w:pPr>
          <w:hyperlink w:anchor="_Toc39751596" w:history="1">
            <w:r w:rsidRPr="000954FA">
              <w:rPr>
                <w:rStyle w:val="Hyperlink"/>
                <w:noProof/>
              </w:rPr>
              <w:t>2.6.5.</w:t>
            </w:r>
            <w:r>
              <w:rPr>
                <w:rFonts w:cstheme="minorBidi"/>
                <w:noProof/>
              </w:rPr>
              <w:tab/>
            </w:r>
            <w:r w:rsidRPr="000954FA">
              <w:rPr>
                <w:rStyle w:val="Hyperlink"/>
                <w:noProof/>
              </w:rPr>
              <w:t>Amine-based fluid systems</w:t>
            </w:r>
            <w:r>
              <w:rPr>
                <w:noProof/>
                <w:webHidden/>
              </w:rPr>
              <w:tab/>
            </w:r>
            <w:r>
              <w:rPr>
                <w:noProof/>
                <w:webHidden/>
              </w:rPr>
              <w:fldChar w:fldCharType="begin"/>
            </w:r>
            <w:r>
              <w:rPr>
                <w:noProof/>
                <w:webHidden/>
              </w:rPr>
              <w:instrText xml:space="preserve"> PAGEREF _Toc39751596 \h </w:instrText>
            </w:r>
            <w:r>
              <w:rPr>
                <w:noProof/>
                <w:webHidden/>
              </w:rPr>
            </w:r>
            <w:r>
              <w:rPr>
                <w:noProof/>
                <w:webHidden/>
              </w:rPr>
              <w:fldChar w:fldCharType="separate"/>
            </w:r>
            <w:r w:rsidR="0092747F">
              <w:rPr>
                <w:noProof/>
                <w:webHidden/>
              </w:rPr>
              <w:t>32</w:t>
            </w:r>
            <w:r>
              <w:rPr>
                <w:noProof/>
                <w:webHidden/>
              </w:rPr>
              <w:fldChar w:fldCharType="end"/>
            </w:r>
          </w:hyperlink>
        </w:p>
        <w:p w14:paraId="13172A85" w14:textId="644B8944" w:rsidR="00D6463B" w:rsidRDefault="00D6463B">
          <w:pPr>
            <w:pStyle w:val="TOC3"/>
            <w:tabs>
              <w:tab w:val="left" w:pos="1320"/>
              <w:tab w:val="right" w:leader="dot" w:pos="9350"/>
            </w:tabs>
            <w:rPr>
              <w:rFonts w:cstheme="minorBidi"/>
              <w:noProof/>
            </w:rPr>
          </w:pPr>
          <w:hyperlink w:anchor="_Toc39751597" w:history="1">
            <w:r w:rsidRPr="000954FA">
              <w:rPr>
                <w:rStyle w:val="Hyperlink"/>
                <w:noProof/>
              </w:rPr>
              <w:t>2.6.6.</w:t>
            </w:r>
            <w:r>
              <w:rPr>
                <w:rFonts w:cstheme="minorBidi"/>
                <w:noProof/>
              </w:rPr>
              <w:tab/>
            </w:r>
            <w:r w:rsidRPr="000954FA">
              <w:rPr>
                <w:rStyle w:val="Hyperlink"/>
                <w:noProof/>
              </w:rPr>
              <w:t>Glycol-based fluid systems</w:t>
            </w:r>
            <w:r>
              <w:rPr>
                <w:noProof/>
                <w:webHidden/>
              </w:rPr>
              <w:tab/>
            </w:r>
            <w:r>
              <w:rPr>
                <w:noProof/>
                <w:webHidden/>
              </w:rPr>
              <w:fldChar w:fldCharType="begin"/>
            </w:r>
            <w:r>
              <w:rPr>
                <w:noProof/>
                <w:webHidden/>
              </w:rPr>
              <w:instrText xml:space="preserve"> PAGEREF _Toc39751597 \h </w:instrText>
            </w:r>
            <w:r>
              <w:rPr>
                <w:noProof/>
                <w:webHidden/>
              </w:rPr>
            </w:r>
            <w:r>
              <w:rPr>
                <w:noProof/>
                <w:webHidden/>
              </w:rPr>
              <w:fldChar w:fldCharType="separate"/>
            </w:r>
            <w:r w:rsidR="0092747F">
              <w:rPr>
                <w:noProof/>
                <w:webHidden/>
              </w:rPr>
              <w:t>33</w:t>
            </w:r>
            <w:r>
              <w:rPr>
                <w:noProof/>
                <w:webHidden/>
              </w:rPr>
              <w:fldChar w:fldCharType="end"/>
            </w:r>
          </w:hyperlink>
        </w:p>
        <w:p w14:paraId="7AC6F0AD" w14:textId="1A166629" w:rsidR="00D6463B" w:rsidRDefault="00D6463B">
          <w:pPr>
            <w:pStyle w:val="TOC3"/>
            <w:tabs>
              <w:tab w:val="left" w:pos="1320"/>
              <w:tab w:val="right" w:leader="dot" w:pos="9350"/>
            </w:tabs>
            <w:rPr>
              <w:rFonts w:cstheme="minorBidi"/>
              <w:noProof/>
            </w:rPr>
          </w:pPr>
          <w:hyperlink w:anchor="_Toc39751598" w:history="1">
            <w:r w:rsidRPr="000954FA">
              <w:rPr>
                <w:rStyle w:val="Hyperlink"/>
                <w:noProof/>
              </w:rPr>
              <w:t>2.6.7.</w:t>
            </w:r>
            <w:r>
              <w:rPr>
                <w:rFonts w:cstheme="minorBidi"/>
                <w:noProof/>
              </w:rPr>
              <w:tab/>
            </w:r>
            <w:r w:rsidRPr="000954FA">
              <w:rPr>
                <w:rStyle w:val="Hyperlink"/>
                <w:noProof/>
              </w:rPr>
              <w:t>Aluminum-based fluid systems</w:t>
            </w:r>
            <w:r>
              <w:rPr>
                <w:noProof/>
                <w:webHidden/>
              </w:rPr>
              <w:tab/>
            </w:r>
            <w:r>
              <w:rPr>
                <w:noProof/>
                <w:webHidden/>
              </w:rPr>
              <w:fldChar w:fldCharType="begin"/>
            </w:r>
            <w:r>
              <w:rPr>
                <w:noProof/>
                <w:webHidden/>
              </w:rPr>
              <w:instrText xml:space="preserve"> PAGEREF _Toc39751598 \h </w:instrText>
            </w:r>
            <w:r>
              <w:rPr>
                <w:noProof/>
                <w:webHidden/>
              </w:rPr>
            </w:r>
            <w:r>
              <w:rPr>
                <w:noProof/>
                <w:webHidden/>
              </w:rPr>
              <w:fldChar w:fldCharType="separate"/>
            </w:r>
            <w:r w:rsidR="0092747F">
              <w:rPr>
                <w:noProof/>
                <w:webHidden/>
              </w:rPr>
              <w:t>33</w:t>
            </w:r>
            <w:r>
              <w:rPr>
                <w:noProof/>
                <w:webHidden/>
              </w:rPr>
              <w:fldChar w:fldCharType="end"/>
            </w:r>
          </w:hyperlink>
        </w:p>
        <w:p w14:paraId="3D0C1E2D" w14:textId="5D09EF1F" w:rsidR="00D6463B" w:rsidRDefault="00D6463B">
          <w:pPr>
            <w:pStyle w:val="TOC3"/>
            <w:tabs>
              <w:tab w:val="left" w:pos="1320"/>
              <w:tab w:val="right" w:leader="dot" w:pos="9350"/>
            </w:tabs>
            <w:rPr>
              <w:rFonts w:cstheme="minorBidi"/>
              <w:noProof/>
            </w:rPr>
          </w:pPr>
          <w:hyperlink w:anchor="_Toc39751599" w:history="1">
            <w:r w:rsidRPr="000954FA">
              <w:rPr>
                <w:rStyle w:val="Hyperlink"/>
                <w:noProof/>
              </w:rPr>
              <w:t>2.6.8.</w:t>
            </w:r>
            <w:r>
              <w:rPr>
                <w:rFonts w:cstheme="minorBidi"/>
                <w:noProof/>
              </w:rPr>
              <w:tab/>
            </w:r>
            <w:r w:rsidRPr="000954FA">
              <w:rPr>
                <w:rStyle w:val="Hyperlink"/>
                <w:noProof/>
              </w:rPr>
              <w:t>Silicate-based fluid systems</w:t>
            </w:r>
            <w:r>
              <w:rPr>
                <w:noProof/>
                <w:webHidden/>
              </w:rPr>
              <w:tab/>
            </w:r>
            <w:r>
              <w:rPr>
                <w:noProof/>
                <w:webHidden/>
              </w:rPr>
              <w:fldChar w:fldCharType="begin"/>
            </w:r>
            <w:r>
              <w:rPr>
                <w:noProof/>
                <w:webHidden/>
              </w:rPr>
              <w:instrText xml:space="preserve"> PAGEREF _Toc39751599 \h </w:instrText>
            </w:r>
            <w:r>
              <w:rPr>
                <w:noProof/>
                <w:webHidden/>
              </w:rPr>
            </w:r>
            <w:r>
              <w:rPr>
                <w:noProof/>
                <w:webHidden/>
              </w:rPr>
              <w:fldChar w:fldCharType="separate"/>
            </w:r>
            <w:r w:rsidR="0092747F">
              <w:rPr>
                <w:noProof/>
                <w:webHidden/>
              </w:rPr>
              <w:t>34</w:t>
            </w:r>
            <w:r>
              <w:rPr>
                <w:noProof/>
                <w:webHidden/>
              </w:rPr>
              <w:fldChar w:fldCharType="end"/>
            </w:r>
          </w:hyperlink>
        </w:p>
        <w:p w14:paraId="14EE6B9B" w14:textId="3D5197EF" w:rsidR="00D6463B" w:rsidRDefault="00D6463B">
          <w:pPr>
            <w:pStyle w:val="TOC3"/>
            <w:tabs>
              <w:tab w:val="left" w:pos="1320"/>
              <w:tab w:val="right" w:leader="dot" w:pos="9350"/>
            </w:tabs>
            <w:rPr>
              <w:rFonts w:cstheme="minorBidi"/>
              <w:noProof/>
            </w:rPr>
          </w:pPr>
          <w:hyperlink w:anchor="_Toc39751600" w:history="1">
            <w:r w:rsidRPr="000954FA">
              <w:rPr>
                <w:rStyle w:val="Hyperlink"/>
                <w:noProof/>
              </w:rPr>
              <w:t>2.6.9.</w:t>
            </w:r>
            <w:r>
              <w:rPr>
                <w:rFonts w:cstheme="minorBidi"/>
                <w:noProof/>
              </w:rPr>
              <w:tab/>
            </w:r>
            <w:r w:rsidRPr="000954FA">
              <w:rPr>
                <w:rStyle w:val="Hyperlink"/>
                <w:noProof/>
              </w:rPr>
              <w:t>Nano-based fluid systems</w:t>
            </w:r>
            <w:r>
              <w:rPr>
                <w:noProof/>
                <w:webHidden/>
              </w:rPr>
              <w:tab/>
            </w:r>
            <w:r>
              <w:rPr>
                <w:noProof/>
                <w:webHidden/>
              </w:rPr>
              <w:fldChar w:fldCharType="begin"/>
            </w:r>
            <w:r>
              <w:rPr>
                <w:noProof/>
                <w:webHidden/>
              </w:rPr>
              <w:instrText xml:space="preserve"> PAGEREF _Toc39751600 \h </w:instrText>
            </w:r>
            <w:r>
              <w:rPr>
                <w:noProof/>
                <w:webHidden/>
              </w:rPr>
            </w:r>
            <w:r>
              <w:rPr>
                <w:noProof/>
                <w:webHidden/>
              </w:rPr>
              <w:fldChar w:fldCharType="separate"/>
            </w:r>
            <w:r w:rsidR="0092747F">
              <w:rPr>
                <w:noProof/>
                <w:webHidden/>
              </w:rPr>
              <w:t>35</w:t>
            </w:r>
            <w:r>
              <w:rPr>
                <w:noProof/>
                <w:webHidden/>
              </w:rPr>
              <w:fldChar w:fldCharType="end"/>
            </w:r>
          </w:hyperlink>
        </w:p>
        <w:p w14:paraId="19A2E92F" w14:textId="41AE6481" w:rsidR="00D6463B" w:rsidRDefault="00D6463B">
          <w:pPr>
            <w:pStyle w:val="TOC1"/>
            <w:tabs>
              <w:tab w:val="left" w:pos="440"/>
              <w:tab w:val="right" w:leader="dot" w:pos="9350"/>
            </w:tabs>
            <w:rPr>
              <w:rFonts w:eastAsiaTheme="minorEastAsia"/>
              <w:noProof/>
            </w:rPr>
          </w:pPr>
          <w:hyperlink w:anchor="_Toc39751601" w:history="1">
            <w:r w:rsidRPr="000954FA">
              <w:rPr>
                <w:rStyle w:val="Hyperlink"/>
                <w:noProof/>
              </w:rPr>
              <w:t>3.</w:t>
            </w:r>
            <w:r>
              <w:rPr>
                <w:rFonts w:eastAsiaTheme="minorEastAsia"/>
                <w:noProof/>
              </w:rPr>
              <w:tab/>
            </w:r>
            <w:r w:rsidRPr="000954FA">
              <w:rPr>
                <w:rStyle w:val="Hyperlink"/>
                <w:noProof/>
              </w:rPr>
              <w:t>Laboratory Experimental Methods</w:t>
            </w:r>
            <w:r>
              <w:rPr>
                <w:noProof/>
                <w:webHidden/>
              </w:rPr>
              <w:tab/>
            </w:r>
            <w:r>
              <w:rPr>
                <w:noProof/>
                <w:webHidden/>
              </w:rPr>
              <w:fldChar w:fldCharType="begin"/>
            </w:r>
            <w:r>
              <w:rPr>
                <w:noProof/>
                <w:webHidden/>
              </w:rPr>
              <w:instrText xml:space="preserve"> PAGEREF _Toc39751601 \h </w:instrText>
            </w:r>
            <w:r>
              <w:rPr>
                <w:noProof/>
                <w:webHidden/>
              </w:rPr>
            </w:r>
            <w:r>
              <w:rPr>
                <w:noProof/>
                <w:webHidden/>
              </w:rPr>
              <w:fldChar w:fldCharType="separate"/>
            </w:r>
            <w:r w:rsidR="0092747F">
              <w:rPr>
                <w:noProof/>
                <w:webHidden/>
              </w:rPr>
              <w:t>36</w:t>
            </w:r>
            <w:r>
              <w:rPr>
                <w:noProof/>
                <w:webHidden/>
              </w:rPr>
              <w:fldChar w:fldCharType="end"/>
            </w:r>
          </w:hyperlink>
        </w:p>
        <w:p w14:paraId="19D87BAE" w14:textId="2B197D4E" w:rsidR="00D6463B" w:rsidRDefault="00D6463B">
          <w:pPr>
            <w:pStyle w:val="TOC2"/>
            <w:tabs>
              <w:tab w:val="left" w:pos="880"/>
              <w:tab w:val="right" w:leader="dot" w:pos="9350"/>
            </w:tabs>
            <w:rPr>
              <w:rFonts w:cstheme="minorBidi"/>
              <w:noProof/>
            </w:rPr>
          </w:pPr>
          <w:hyperlink w:anchor="_Toc39751602" w:history="1">
            <w:r w:rsidRPr="000954FA">
              <w:rPr>
                <w:rStyle w:val="Hyperlink"/>
                <w:noProof/>
              </w:rPr>
              <w:t>3.1.</w:t>
            </w:r>
            <w:r>
              <w:rPr>
                <w:rFonts w:cstheme="minorBidi"/>
                <w:noProof/>
              </w:rPr>
              <w:tab/>
            </w:r>
            <w:r w:rsidRPr="000954FA">
              <w:rPr>
                <w:rStyle w:val="Hyperlink"/>
                <w:noProof/>
              </w:rPr>
              <w:t>Overview</w:t>
            </w:r>
            <w:r>
              <w:rPr>
                <w:noProof/>
                <w:webHidden/>
              </w:rPr>
              <w:tab/>
            </w:r>
            <w:r>
              <w:rPr>
                <w:noProof/>
                <w:webHidden/>
              </w:rPr>
              <w:fldChar w:fldCharType="begin"/>
            </w:r>
            <w:r>
              <w:rPr>
                <w:noProof/>
                <w:webHidden/>
              </w:rPr>
              <w:instrText xml:space="preserve"> PAGEREF _Toc39751602 \h </w:instrText>
            </w:r>
            <w:r>
              <w:rPr>
                <w:noProof/>
                <w:webHidden/>
              </w:rPr>
            </w:r>
            <w:r>
              <w:rPr>
                <w:noProof/>
                <w:webHidden/>
              </w:rPr>
              <w:fldChar w:fldCharType="separate"/>
            </w:r>
            <w:r w:rsidR="0092747F">
              <w:rPr>
                <w:noProof/>
                <w:webHidden/>
              </w:rPr>
              <w:t>36</w:t>
            </w:r>
            <w:r>
              <w:rPr>
                <w:noProof/>
                <w:webHidden/>
              </w:rPr>
              <w:fldChar w:fldCharType="end"/>
            </w:r>
          </w:hyperlink>
        </w:p>
        <w:p w14:paraId="210D8041" w14:textId="00253549" w:rsidR="00D6463B" w:rsidRDefault="00D6463B">
          <w:pPr>
            <w:pStyle w:val="TOC2"/>
            <w:tabs>
              <w:tab w:val="left" w:pos="880"/>
              <w:tab w:val="right" w:leader="dot" w:pos="9350"/>
            </w:tabs>
            <w:rPr>
              <w:rFonts w:cstheme="minorBidi"/>
              <w:noProof/>
            </w:rPr>
          </w:pPr>
          <w:hyperlink w:anchor="_Toc39751603" w:history="1">
            <w:r w:rsidRPr="000954FA">
              <w:rPr>
                <w:rStyle w:val="Hyperlink"/>
                <w:noProof/>
              </w:rPr>
              <w:t>3.2.</w:t>
            </w:r>
            <w:r>
              <w:rPr>
                <w:rFonts w:cstheme="minorBidi"/>
                <w:noProof/>
              </w:rPr>
              <w:tab/>
            </w:r>
            <w:r w:rsidRPr="000954FA">
              <w:rPr>
                <w:rStyle w:val="Hyperlink"/>
                <w:noProof/>
              </w:rPr>
              <w:t>Drilling Fluid Design</w:t>
            </w:r>
            <w:r>
              <w:rPr>
                <w:noProof/>
                <w:webHidden/>
              </w:rPr>
              <w:tab/>
            </w:r>
            <w:r>
              <w:rPr>
                <w:noProof/>
                <w:webHidden/>
              </w:rPr>
              <w:fldChar w:fldCharType="begin"/>
            </w:r>
            <w:r>
              <w:rPr>
                <w:noProof/>
                <w:webHidden/>
              </w:rPr>
              <w:instrText xml:space="preserve"> PAGEREF _Toc39751603 \h </w:instrText>
            </w:r>
            <w:r>
              <w:rPr>
                <w:noProof/>
                <w:webHidden/>
              </w:rPr>
            </w:r>
            <w:r>
              <w:rPr>
                <w:noProof/>
                <w:webHidden/>
              </w:rPr>
              <w:fldChar w:fldCharType="separate"/>
            </w:r>
            <w:r w:rsidR="0092747F">
              <w:rPr>
                <w:noProof/>
                <w:webHidden/>
              </w:rPr>
              <w:t>36</w:t>
            </w:r>
            <w:r>
              <w:rPr>
                <w:noProof/>
                <w:webHidden/>
              </w:rPr>
              <w:fldChar w:fldCharType="end"/>
            </w:r>
          </w:hyperlink>
        </w:p>
        <w:p w14:paraId="1DFE0060" w14:textId="160AD409" w:rsidR="00D6463B" w:rsidRDefault="00D6463B">
          <w:pPr>
            <w:pStyle w:val="TOC2"/>
            <w:tabs>
              <w:tab w:val="left" w:pos="880"/>
              <w:tab w:val="right" w:leader="dot" w:pos="9350"/>
            </w:tabs>
            <w:rPr>
              <w:rFonts w:cstheme="minorBidi"/>
              <w:noProof/>
            </w:rPr>
          </w:pPr>
          <w:hyperlink w:anchor="_Toc39751604" w:history="1">
            <w:r w:rsidRPr="000954FA">
              <w:rPr>
                <w:rStyle w:val="Hyperlink"/>
                <w:noProof/>
              </w:rPr>
              <w:t>3.3.</w:t>
            </w:r>
            <w:r>
              <w:rPr>
                <w:rFonts w:cstheme="minorBidi"/>
                <w:noProof/>
              </w:rPr>
              <w:tab/>
            </w:r>
            <w:r w:rsidRPr="000954FA">
              <w:rPr>
                <w:rStyle w:val="Hyperlink"/>
                <w:noProof/>
              </w:rPr>
              <w:t>Drilling Fluid Rheology</w:t>
            </w:r>
            <w:r>
              <w:rPr>
                <w:noProof/>
                <w:webHidden/>
              </w:rPr>
              <w:tab/>
            </w:r>
            <w:r>
              <w:rPr>
                <w:noProof/>
                <w:webHidden/>
              </w:rPr>
              <w:fldChar w:fldCharType="begin"/>
            </w:r>
            <w:r>
              <w:rPr>
                <w:noProof/>
                <w:webHidden/>
              </w:rPr>
              <w:instrText xml:space="preserve"> PAGEREF _Toc39751604 \h </w:instrText>
            </w:r>
            <w:r>
              <w:rPr>
                <w:noProof/>
                <w:webHidden/>
              </w:rPr>
            </w:r>
            <w:r>
              <w:rPr>
                <w:noProof/>
                <w:webHidden/>
              </w:rPr>
              <w:fldChar w:fldCharType="separate"/>
            </w:r>
            <w:r w:rsidR="0092747F">
              <w:rPr>
                <w:noProof/>
                <w:webHidden/>
              </w:rPr>
              <w:t>37</w:t>
            </w:r>
            <w:r>
              <w:rPr>
                <w:noProof/>
                <w:webHidden/>
              </w:rPr>
              <w:fldChar w:fldCharType="end"/>
            </w:r>
          </w:hyperlink>
        </w:p>
        <w:p w14:paraId="346136A5" w14:textId="00DEE0BB" w:rsidR="00D6463B" w:rsidRDefault="00D6463B">
          <w:pPr>
            <w:pStyle w:val="TOC2"/>
            <w:tabs>
              <w:tab w:val="left" w:pos="880"/>
              <w:tab w:val="right" w:leader="dot" w:pos="9350"/>
            </w:tabs>
            <w:rPr>
              <w:rFonts w:cstheme="minorBidi"/>
              <w:noProof/>
            </w:rPr>
          </w:pPr>
          <w:hyperlink w:anchor="_Toc39751605" w:history="1">
            <w:r w:rsidRPr="000954FA">
              <w:rPr>
                <w:rStyle w:val="Hyperlink"/>
                <w:noProof/>
              </w:rPr>
              <w:t>3.4.</w:t>
            </w:r>
            <w:r>
              <w:rPr>
                <w:rFonts w:cstheme="minorBidi"/>
                <w:noProof/>
              </w:rPr>
              <w:tab/>
            </w:r>
            <w:r w:rsidRPr="000954FA">
              <w:rPr>
                <w:rStyle w:val="Hyperlink"/>
                <w:noProof/>
              </w:rPr>
              <w:t>Mineralogy Testing</w:t>
            </w:r>
            <w:r>
              <w:rPr>
                <w:noProof/>
                <w:webHidden/>
              </w:rPr>
              <w:tab/>
            </w:r>
            <w:r>
              <w:rPr>
                <w:noProof/>
                <w:webHidden/>
              </w:rPr>
              <w:fldChar w:fldCharType="begin"/>
            </w:r>
            <w:r>
              <w:rPr>
                <w:noProof/>
                <w:webHidden/>
              </w:rPr>
              <w:instrText xml:space="preserve"> PAGEREF _Toc39751605 \h </w:instrText>
            </w:r>
            <w:r>
              <w:rPr>
                <w:noProof/>
                <w:webHidden/>
              </w:rPr>
            </w:r>
            <w:r>
              <w:rPr>
                <w:noProof/>
                <w:webHidden/>
              </w:rPr>
              <w:fldChar w:fldCharType="separate"/>
            </w:r>
            <w:r w:rsidR="0092747F">
              <w:rPr>
                <w:noProof/>
                <w:webHidden/>
              </w:rPr>
              <w:t>38</w:t>
            </w:r>
            <w:r>
              <w:rPr>
                <w:noProof/>
                <w:webHidden/>
              </w:rPr>
              <w:fldChar w:fldCharType="end"/>
            </w:r>
          </w:hyperlink>
        </w:p>
        <w:p w14:paraId="107A34A2" w14:textId="5F7F1A06" w:rsidR="00D6463B" w:rsidRDefault="00D6463B">
          <w:pPr>
            <w:pStyle w:val="TOC2"/>
            <w:tabs>
              <w:tab w:val="left" w:pos="880"/>
              <w:tab w:val="right" w:leader="dot" w:pos="9350"/>
            </w:tabs>
            <w:rPr>
              <w:rFonts w:cstheme="minorBidi"/>
              <w:noProof/>
            </w:rPr>
          </w:pPr>
          <w:hyperlink w:anchor="_Toc39751606" w:history="1">
            <w:r w:rsidRPr="000954FA">
              <w:rPr>
                <w:rStyle w:val="Hyperlink"/>
                <w:noProof/>
              </w:rPr>
              <w:t>3.5.</w:t>
            </w:r>
            <w:r>
              <w:rPr>
                <w:rFonts w:cstheme="minorBidi"/>
                <w:noProof/>
              </w:rPr>
              <w:tab/>
            </w:r>
            <w:r w:rsidRPr="000954FA">
              <w:rPr>
                <w:rStyle w:val="Hyperlink"/>
                <w:noProof/>
              </w:rPr>
              <w:t>Laboratory Swelling Testing</w:t>
            </w:r>
            <w:r>
              <w:rPr>
                <w:noProof/>
                <w:webHidden/>
              </w:rPr>
              <w:tab/>
            </w:r>
            <w:r>
              <w:rPr>
                <w:noProof/>
                <w:webHidden/>
              </w:rPr>
              <w:fldChar w:fldCharType="begin"/>
            </w:r>
            <w:r>
              <w:rPr>
                <w:noProof/>
                <w:webHidden/>
              </w:rPr>
              <w:instrText xml:space="preserve"> PAGEREF _Toc39751606 \h </w:instrText>
            </w:r>
            <w:r>
              <w:rPr>
                <w:noProof/>
                <w:webHidden/>
              </w:rPr>
            </w:r>
            <w:r>
              <w:rPr>
                <w:noProof/>
                <w:webHidden/>
              </w:rPr>
              <w:fldChar w:fldCharType="separate"/>
            </w:r>
            <w:r w:rsidR="0092747F">
              <w:rPr>
                <w:noProof/>
                <w:webHidden/>
              </w:rPr>
              <w:t>40</w:t>
            </w:r>
            <w:r>
              <w:rPr>
                <w:noProof/>
                <w:webHidden/>
              </w:rPr>
              <w:fldChar w:fldCharType="end"/>
            </w:r>
          </w:hyperlink>
        </w:p>
        <w:p w14:paraId="3B41D26A" w14:textId="307135A0" w:rsidR="00D6463B" w:rsidRDefault="00D6463B">
          <w:pPr>
            <w:pStyle w:val="TOC2"/>
            <w:tabs>
              <w:tab w:val="left" w:pos="880"/>
              <w:tab w:val="right" w:leader="dot" w:pos="9350"/>
            </w:tabs>
            <w:rPr>
              <w:rFonts w:cstheme="minorBidi"/>
              <w:noProof/>
            </w:rPr>
          </w:pPr>
          <w:hyperlink w:anchor="_Toc39751607" w:history="1">
            <w:r w:rsidRPr="000954FA">
              <w:rPr>
                <w:rStyle w:val="Hyperlink"/>
                <w:noProof/>
                <w:lang w:val="en-GB" w:eastAsia="cs-CZ"/>
              </w:rPr>
              <w:t>3.6.</w:t>
            </w:r>
            <w:r>
              <w:rPr>
                <w:rFonts w:cstheme="minorBidi"/>
                <w:noProof/>
              </w:rPr>
              <w:tab/>
            </w:r>
            <w:r w:rsidRPr="000954FA">
              <w:rPr>
                <w:rStyle w:val="Hyperlink"/>
                <w:noProof/>
                <w:lang w:val="en-GB" w:eastAsia="cs-CZ"/>
              </w:rPr>
              <w:t>Cutting Dispersion Testing</w:t>
            </w:r>
            <w:r>
              <w:rPr>
                <w:noProof/>
                <w:webHidden/>
              </w:rPr>
              <w:tab/>
            </w:r>
            <w:r>
              <w:rPr>
                <w:noProof/>
                <w:webHidden/>
              </w:rPr>
              <w:fldChar w:fldCharType="begin"/>
            </w:r>
            <w:r>
              <w:rPr>
                <w:noProof/>
                <w:webHidden/>
              </w:rPr>
              <w:instrText xml:space="preserve"> PAGEREF _Toc39751607 \h </w:instrText>
            </w:r>
            <w:r>
              <w:rPr>
                <w:noProof/>
                <w:webHidden/>
              </w:rPr>
            </w:r>
            <w:r>
              <w:rPr>
                <w:noProof/>
                <w:webHidden/>
              </w:rPr>
              <w:fldChar w:fldCharType="separate"/>
            </w:r>
            <w:r w:rsidR="0092747F">
              <w:rPr>
                <w:noProof/>
                <w:webHidden/>
              </w:rPr>
              <w:t>42</w:t>
            </w:r>
            <w:r>
              <w:rPr>
                <w:noProof/>
                <w:webHidden/>
              </w:rPr>
              <w:fldChar w:fldCharType="end"/>
            </w:r>
          </w:hyperlink>
        </w:p>
        <w:p w14:paraId="673202C0" w14:textId="1278AC7D" w:rsidR="00D6463B" w:rsidRDefault="00D6463B">
          <w:pPr>
            <w:pStyle w:val="TOC2"/>
            <w:tabs>
              <w:tab w:val="left" w:pos="880"/>
              <w:tab w:val="right" w:leader="dot" w:pos="9350"/>
            </w:tabs>
            <w:rPr>
              <w:rFonts w:cstheme="minorBidi"/>
              <w:noProof/>
            </w:rPr>
          </w:pPr>
          <w:hyperlink w:anchor="_Toc39751608" w:history="1">
            <w:r w:rsidRPr="000954FA">
              <w:rPr>
                <w:rStyle w:val="Hyperlink"/>
                <w:noProof/>
              </w:rPr>
              <w:t>3.7.</w:t>
            </w:r>
            <w:r>
              <w:rPr>
                <w:rFonts w:cstheme="minorBidi"/>
                <w:noProof/>
              </w:rPr>
              <w:tab/>
            </w:r>
            <w:r w:rsidRPr="000954FA">
              <w:rPr>
                <w:rStyle w:val="Hyperlink"/>
                <w:noProof/>
              </w:rPr>
              <w:t>Dynamic Drilling Simulation Testing</w:t>
            </w:r>
            <w:r>
              <w:rPr>
                <w:noProof/>
                <w:webHidden/>
              </w:rPr>
              <w:tab/>
            </w:r>
            <w:r>
              <w:rPr>
                <w:noProof/>
                <w:webHidden/>
              </w:rPr>
              <w:fldChar w:fldCharType="begin"/>
            </w:r>
            <w:r>
              <w:rPr>
                <w:noProof/>
                <w:webHidden/>
              </w:rPr>
              <w:instrText xml:space="preserve"> PAGEREF _Toc39751608 \h </w:instrText>
            </w:r>
            <w:r>
              <w:rPr>
                <w:noProof/>
                <w:webHidden/>
              </w:rPr>
            </w:r>
            <w:r>
              <w:rPr>
                <w:noProof/>
                <w:webHidden/>
              </w:rPr>
              <w:fldChar w:fldCharType="separate"/>
            </w:r>
            <w:r w:rsidR="0092747F">
              <w:rPr>
                <w:noProof/>
                <w:webHidden/>
              </w:rPr>
              <w:t>43</w:t>
            </w:r>
            <w:r>
              <w:rPr>
                <w:noProof/>
                <w:webHidden/>
              </w:rPr>
              <w:fldChar w:fldCharType="end"/>
            </w:r>
          </w:hyperlink>
        </w:p>
        <w:p w14:paraId="04A05C37" w14:textId="0E12F357" w:rsidR="00D6463B" w:rsidRDefault="00D6463B">
          <w:pPr>
            <w:pStyle w:val="TOC2"/>
            <w:tabs>
              <w:tab w:val="left" w:pos="880"/>
              <w:tab w:val="right" w:leader="dot" w:pos="9350"/>
            </w:tabs>
            <w:rPr>
              <w:rFonts w:cstheme="minorBidi"/>
              <w:noProof/>
            </w:rPr>
          </w:pPr>
          <w:hyperlink w:anchor="_Toc39751609" w:history="1">
            <w:r w:rsidRPr="000954FA">
              <w:rPr>
                <w:rStyle w:val="Hyperlink"/>
                <w:noProof/>
              </w:rPr>
              <w:t>3.8.</w:t>
            </w:r>
            <w:r>
              <w:rPr>
                <w:rFonts w:cstheme="minorBidi"/>
                <w:noProof/>
              </w:rPr>
              <w:tab/>
            </w:r>
            <w:r w:rsidRPr="000954FA">
              <w:rPr>
                <w:rStyle w:val="Hyperlink"/>
                <w:noProof/>
              </w:rPr>
              <w:t>Dynamic Fracture Sealing Testing</w:t>
            </w:r>
            <w:r>
              <w:rPr>
                <w:noProof/>
                <w:webHidden/>
              </w:rPr>
              <w:tab/>
            </w:r>
            <w:r>
              <w:rPr>
                <w:noProof/>
                <w:webHidden/>
              </w:rPr>
              <w:fldChar w:fldCharType="begin"/>
            </w:r>
            <w:r>
              <w:rPr>
                <w:noProof/>
                <w:webHidden/>
              </w:rPr>
              <w:instrText xml:space="preserve"> PAGEREF _Toc39751609 \h </w:instrText>
            </w:r>
            <w:r>
              <w:rPr>
                <w:noProof/>
                <w:webHidden/>
              </w:rPr>
            </w:r>
            <w:r>
              <w:rPr>
                <w:noProof/>
                <w:webHidden/>
              </w:rPr>
              <w:fldChar w:fldCharType="separate"/>
            </w:r>
            <w:r w:rsidR="0092747F">
              <w:rPr>
                <w:noProof/>
                <w:webHidden/>
              </w:rPr>
              <w:t>46</w:t>
            </w:r>
            <w:r>
              <w:rPr>
                <w:noProof/>
                <w:webHidden/>
              </w:rPr>
              <w:fldChar w:fldCharType="end"/>
            </w:r>
          </w:hyperlink>
        </w:p>
        <w:p w14:paraId="16FE6301" w14:textId="1AC58211" w:rsidR="00D6463B" w:rsidRDefault="00D6463B">
          <w:pPr>
            <w:pStyle w:val="TOC1"/>
            <w:tabs>
              <w:tab w:val="left" w:pos="440"/>
              <w:tab w:val="right" w:leader="dot" w:pos="9350"/>
            </w:tabs>
            <w:rPr>
              <w:rFonts w:eastAsiaTheme="minorEastAsia"/>
              <w:noProof/>
            </w:rPr>
          </w:pPr>
          <w:hyperlink w:anchor="_Toc39751610" w:history="1">
            <w:r w:rsidRPr="000954FA">
              <w:rPr>
                <w:rStyle w:val="Hyperlink"/>
                <w:noProof/>
              </w:rPr>
              <w:t>4.</w:t>
            </w:r>
            <w:r>
              <w:rPr>
                <w:rFonts w:eastAsiaTheme="minorEastAsia"/>
                <w:noProof/>
              </w:rPr>
              <w:tab/>
            </w:r>
            <w:r w:rsidRPr="000954FA">
              <w:rPr>
                <w:rStyle w:val="Hyperlink"/>
                <w:noProof/>
              </w:rPr>
              <w:t>Experimental Results and Discussions</w:t>
            </w:r>
            <w:r>
              <w:rPr>
                <w:noProof/>
                <w:webHidden/>
              </w:rPr>
              <w:tab/>
            </w:r>
            <w:r>
              <w:rPr>
                <w:noProof/>
                <w:webHidden/>
              </w:rPr>
              <w:fldChar w:fldCharType="begin"/>
            </w:r>
            <w:r>
              <w:rPr>
                <w:noProof/>
                <w:webHidden/>
              </w:rPr>
              <w:instrText xml:space="preserve"> PAGEREF _Toc39751610 \h </w:instrText>
            </w:r>
            <w:r>
              <w:rPr>
                <w:noProof/>
                <w:webHidden/>
              </w:rPr>
            </w:r>
            <w:r>
              <w:rPr>
                <w:noProof/>
                <w:webHidden/>
              </w:rPr>
              <w:fldChar w:fldCharType="separate"/>
            </w:r>
            <w:r w:rsidR="0092747F">
              <w:rPr>
                <w:noProof/>
                <w:webHidden/>
              </w:rPr>
              <w:t>48</w:t>
            </w:r>
            <w:r>
              <w:rPr>
                <w:noProof/>
                <w:webHidden/>
              </w:rPr>
              <w:fldChar w:fldCharType="end"/>
            </w:r>
          </w:hyperlink>
        </w:p>
        <w:p w14:paraId="3828D99B" w14:textId="067B9454" w:rsidR="00D6463B" w:rsidRDefault="00D6463B">
          <w:pPr>
            <w:pStyle w:val="TOC2"/>
            <w:tabs>
              <w:tab w:val="left" w:pos="880"/>
              <w:tab w:val="right" w:leader="dot" w:pos="9350"/>
            </w:tabs>
            <w:rPr>
              <w:rFonts w:cstheme="minorBidi"/>
              <w:noProof/>
            </w:rPr>
          </w:pPr>
          <w:hyperlink w:anchor="_Toc39751611" w:history="1">
            <w:r w:rsidRPr="000954FA">
              <w:rPr>
                <w:rStyle w:val="Hyperlink"/>
                <w:noProof/>
              </w:rPr>
              <w:t>4.1.</w:t>
            </w:r>
            <w:r>
              <w:rPr>
                <w:rFonts w:cstheme="minorBidi"/>
                <w:noProof/>
              </w:rPr>
              <w:tab/>
            </w:r>
            <w:r w:rsidRPr="000954FA">
              <w:rPr>
                <w:rStyle w:val="Hyperlink"/>
                <w:noProof/>
              </w:rPr>
              <w:t>Overview</w:t>
            </w:r>
            <w:r>
              <w:rPr>
                <w:noProof/>
                <w:webHidden/>
              </w:rPr>
              <w:tab/>
            </w:r>
            <w:r>
              <w:rPr>
                <w:noProof/>
                <w:webHidden/>
              </w:rPr>
              <w:fldChar w:fldCharType="begin"/>
            </w:r>
            <w:r>
              <w:rPr>
                <w:noProof/>
                <w:webHidden/>
              </w:rPr>
              <w:instrText xml:space="preserve"> PAGEREF _Toc39751611 \h </w:instrText>
            </w:r>
            <w:r>
              <w:rPr>
                <w:noProof/>
                <w:webHidden/>
              </w:rPr>
            </w:r>
            <w:r>
              <w:rPr>
                <w:noProof/>
                <w:webHidden/>
              </w:rPr>
              <w:fldChar w:fldCharType="separate"/>
            </w:r>
            <w:r w:rsidR="0092747F">
              <w:rPr>
                <w:noProof/>
                <w:webHidden/>
              </w:rPr>
              <w:t>48</w:t>
            </w:r>
            <w:r>
              <w:rPr>
                <w:noProof/>
                <w:webHidden/>
              </w:rPr>
              <w:fldChar w:fldCharType="end"/>
            </w:r>
          </w:hyperlink>
        </w:p>
        <w:p w14:paraId="1230EAA6" w14:textId="724D28E9" w:rsidR="00D6463B" w:rsidRDefault="00D6463B">
          <w:pPr>
            <w:pStyle w:val="TOC2"/>
            <w:tabs>
              <w:tab w:val="left" w:pos="880"/>
              <w:tab w:val="right" w:leader="dot" w:pos="9350"/>
            </w:tabs>
            <w:rPr>
              <w:rFonts w:cstheme="minorBidi"/>
              <w:noProof/>
            </w:rPr>
          </w:pPr>
          <w:hyperlink w:anchor="_Toc39751612" w:history="1">
            <w:r w:rsidRPr="000954FA">
              <w:rPr>
                <w:rStyle w:val="Hyperlink"/>
                <w:noProof/>
              </w:rPr>
              <w:t>4.2.</w:t>
            </w:r>
            <w:r>
              <w:rPr>
                <w:rFonts w:cstheme="minorBidi"/>
                <w:noProof/>
              </w:rPr>
              <w:tab/>
            </w:r>
            <w:r w:rsidRPr="000954FA">
              <w:rPr>
                <w:rStyle w:val="Hyperlink"/>
                <w:noProof/>
              </w:rPr>
              <w:t>Mineralogy Characterization</w:t>
            </w:r>
            <w:r>
              <w:rPr>
                <w:noProof/>
                <w:webHidden/>
              </w:rPr>
              <w:tab/>
            </w:r>
            <w:r>
              <w:rPr>
                <w:noProof/>
                <w:webHidden/>
              </w:rPr>
              <w:fldChar w:fldCharType="begin"/>
            </w:r>
            <w:r>
              <w:rPr>
                <w:noProof/>
                <w:webHidden/>
              </w:rPr>
              <w:instrText xml:space="preserve"> PAGEREF _Toc39751612 \h </w:instrText>
            </w:r>
            <w:r>
              <w:rPr>
                <w:noProof/>
                <w:webHidden/>
              </w:rPr>
            </w:r>
            <w:r>
              <w:rPr>
                <w:noProof/>
                <w:webHidden/>
              </w:rPr>
              <w:fldChar w:fldCharType="separate"/>
            </w:r>
            <w:r w:rsidR="0092747F">
              <w:rPr>
                <w:noProof/>
                <w:webHidden/>
              </w:rPr>
              <w:t>48</w:t>
            </w:r>
            <w:r>
              <w:rPr>
                <w:noProof/>
                <w:webHidden/>
              </w:rPr>
              <w:fldChar w:fldCharType="end"/>
            </w:r>
          </w:hyperlink>
        </w:p>
        <w:p w14:paraId="79A6A5E3" w14:textId="23121BBD" w:rsidR="00D6463B" w:rsidRDefault="00D6463B">
          <w:pPr>
            <w:pStyle w:val="TOC2"/>
            <w:tabs>
              <w:tab w:val="left" w:pos="880"/>
              <w:tab w:val="right" w:leader="dot" w:pos="9350"/>
            </w:tabs>
            <w:rPr>
              <w:rFonts w:cstheme="minorBidi"/>
              <w:noProof/>
            </w:rPr>
          </w:pPr>
          <w:hyperlink w:anchor="_Toc39751613" w:history="1">
            <w:r w:rsidRPr="000954FA">
              <w:rPr>
                <w:rStyle w:val="Hyperlink"/>
                <w:noProof/>
              </w:rPr>
              <w:t>4.3.</w:t>
            </w:r>
            <w:r>
              <w:rPr>
                <w:rFonts w:cstheme="minorBidi"/>
                <w:noProof/>
              </w:rPr>
              <w:tab/>
            </w:r>
            <w:r w:rsidRPr="000954FA">
              <w:rPr>
                <w:rStyle w:val="Hyperlink"/>
                <w:noProof/>
              </w:rPr>
              <w:t>Drilling Fluid Characterization and Rheology</w:t>
            </w:r>
            <w:r>
              <w:rPr>
                <w:noProof/>
                <w:webHidden/>
              </w:rPr>
              <w:tab/>
            </w:r>
            <w:r>
              <w:rPr>
                <w:noProof/>
                <w:webHidden/>
              </w:rPr>
              <w:fldChar w:fldCharType="begin"/>
            </w:r>
            <w:r>
              <w:rPr>
                <w:noProof/>
                <w:webHidden/>
              </w:rPr>
              <w:instrText xml:space="preserve"> PAGEREF _Toc39751613 \h </w:instrText>
            </w:r>
            <w:r>
              <w:rPr>
                <w:noProof/>
                <w:webHidden/>
              </w:rPr>
            </w:r>
            <w:r>
              <w:rPr>
                <w:noProof/>
                <w:webHidden/>
              </w:rPr>
              <w:fldChar w:fldCharType="separate"/>
            </w:r>
            <w:r w:rsidR="0092747F">
              <w:rPr>
                <w:noProof/>
                <w:webHidden/>
              </w:rPr>
              <w:t>50</w:t>
            </w:r>
            <w:r>
              <w:rPr>
                <w:noProof/>
                <w:webHidden/>
              </w:rPr>
              <w:fldChar w:fldCharType="end"/>
            </w:r>
          </w:hyperlink>
        </w:p>
        <w:p w14:paraId="0936EF87" w14:textId="2033A127" w:rsidR="00D6463B" w:rsidRDefault="00D6463B">
          <w:pPr>
            <w:pStyle w:val="TOC2"/>
            <w:tabs>
              <w:tab w:val="left" w:pos="880"/>
              <w:tab w:val="right" w:leader="dot" w:pos="9350"/>
            </w:tabs>
            <w:rPr>
              <w:rFonts w:cstheme="minorBidi"/>
              <w:noProof/>
            </w:rPr>
          </w:pPr>
          <w:hyperlink w:anchor="_Toc39751614" w:history="1">
            <w:r w:rsidRPr="000954FA">
              <w:rPr>
                <w:rStyle w:val="Hyperlink"/>
                <w:noProof/>
              </w:rPr>
              <w:t>4.4.</w:t>
            </w:r>
            <w:r>
              <w:rPr>
                <w:rFonts w:cstheme="minorBidi"/>
                <w:noProof/>
              </w:rPr>
              <w:tab/>
            </w:r>
            <w:r w:rsidRPr="000954FA">
              <w:rPr>
                <w:rStyle w:val="Hyperlink"/>
                <w:noProof/>
              </w:rPr>
              <w:t>Wellbore Stability Analysis</w:t>
            </w:r>
            <w:r>
              <w:rPr>
                <w:noProof/>
                <w:webHidden/>
              </w:rPr>
              <w:tab/>
            </w:r>
            <w:r>
              <w:rPr>
                <w:noProof/>
                <w:webHidden/>
              </w:rPr>
              <w:fldChar w:fldCharType="begin"/>
            </w:r>
            <w:r>
              <w:rPr>
                <w:noProof/>
                <w:webHidden/>
              </w:rPr>
              <w:instrText xml:space="preserve"> PAGEREF _Toc39751614 \h </w:instrText>
            </w:r>
            <w:r>
              <w:rPr>
                <w:noProof/>
                <w:webHidden/>
              </w:rPr>
            </w:r>
            <w:r>
              <w:rPr>
                <w:noProof/>
                <w:webHidden/>
              </w:rPr>
              <w:fldChar w:fldCharType="separate"/>
            </w:r>
            <w:r w:rsidR="0092747F">
              <w:rPr>
                <w:noProof/>
                <w:webHidden/>
              </w:rPr>
              <w:t>52</w:t>
            </w:r>
            <w:r>
              <w:rPr>
                <w:noProof/>
                <w:webHidden/>
              </w:rPr>
              <w:fldChar w:fldCharType="end"/>
            </w:r>
          </w:hyperlink>
        </w:p>
        <w:p w14:paraId="1B8FBD7A" w14:textId="367498EB" w:rsidR="00D6463B" w:rsidRDefault="00D6463B">
          <w:pPr>
            <w:pStyle w:val="TOC3"/>
            <w:tabs>
              <w:tab w:val="left" w:pos="1320"/>
              <w:tab w:val="right" w:leader="dot" w:pos="9350"/>
            </w:tabs>
            <w:rPr>
              <w:rFonts w:cstheme="minorBidi"/>
              <w:noProof/>
            </w:rPr>
          </w:pPr>
          <w:hyperlink w:anchor="_Toc39751623" w:history="1">
            <w:r w:rsidRPr="000954FA">
              <w:rPr>
                <w:rStyle w:val="Hyperlink"/>
                <w:noProof/>
              </w:rPr>
              <w:t>4.4.1.</w:t>
            </w:r>
            <w:r>
              <w:rPr>
                <w:rFonts w:cstheme="minorBidi"/>
                <w:noProof/>
              </w:rPr>
              <w:tab/>
            </w:r>
            <w:r w:rsidRPr="000954FA">
              <w:rPr>
                <w:rStyle w:val="Hyperlink"/>
                <w:noProof/>
              </w:rPr>
              <w:t>Linear Swelling Characterization</w:t>
            </w:r>
            <w:r>
              <w:rPr>
                <w:noProof/>
                <w:webHidden/>
              </w:rPr>
              <w:tab/>
            </w:r>
            <w:r>
              <w:rPr>
                <w:noProof/>
                <w:webHidden/>
              </w:rPr>
              <w:fldChar w:fldCharType="begin"/>
            </w:r>
            <w:r>
              <w:rPr>
                <w:noProof/>
                <w:webHidden/>
              </w:rPr>
              <w:instrText xml:space="preserve"> PAGEREF _Toc39751623 \h </w:instrText>
            </w:r>
            <w:r>
              <w:rPr>
                <w:noProof/>
                <w:webHidden/>
              </w:rPr>
            </w:r>
            <w:r>
              <w:rPr>
                <w:noProof/>
                <w:webHidden/>
              </w:rPr>
              <w:fldChar w:fldCharType="separate"/>
            </w:r>
            <w:r w:rsidR="0092747F">
              <w:rPr>
                <w:noProof/>
                <w:webHidden/>
              </w:rPr>
              <w:t>53</w:t>
            </w:r>
            <w:r>
              <w:rPr>
                <w:noProof/>
                <w:webHidden/>
              </w:rPr>
              <w:fldChar w:fldCharType="end"/>
            </w:r>
          </w:hyperlink>
        </w:p>
        <w:p w14:paraId="7464A3F8" w14:textId="58595661" w:rsidR="00D6463B" w:rsidRDefault="00D6463B">
          <w:pPr>
            <w:pStyle w:val="TOC3"/>
            <w:tabs>
              <w:tab w:val="left" w:pos="1320"/>
              <w:tab w:val="right" w:leader="dot" w:pos="9350"/>
            </w:tabs>
            <w:rPr>
              <w:rFonts w:cstheme="minorBidi"/>
              <w:noProof/>
            </w:rPr>
          </w:pPr>
          <w:hyperlink w:anchor="_Toc39751624" w:history="1">
            <w:r w:rsidRPr="000954FA">
              <w:rPr>
                <w:rStyle w:val="Hyperlink"/>
                <w:rFonts w:eastAsia="Calibri"/>
                <w:noProof/>
              </w:rPr>
              <w:t>4.4.2.</w:t>
            </w:r>
            <w:r>
              <w:rPr>
                <w:rFonts w:cstheme="minorBidi"/>
                <w:noProof/>
              </w:rPr>
              <w:tab/>
            </w:r>
            <w:r w:rsidRPr="000954FA">
              <w:rPr>
                <w:rStyle w:val="Hyperlink"/>
                <w:rFonts w:eastAsia="Calibri"/>
                <w:noProof/>
              </w:rPr>
              <w:t>Cutting Dispersion Analysis</w:t>
            </w:r>
            <w:r>
              <w:rPr>
                <w:noProof/>
                <w:webHidden/>
              </w:rPr>
              <w:tab/>
            </w:r>
            <w:r>
              <w:rPr>
                <w:noProof/>
                <w:webHidden/>
              </w:rPr>
              <w:fldChar w:fldCharType="begin"/>
            </w:r>
            <w:r>
              <w:rPr>
                <w:noProof/>
                <w:webHidden/>
              </w:rPr>
              <w:instrText xml:space="preserve"> PAGEREF _Toc39751624 \h </w:instrText>
            </w:r>
            <w:r>
              <w:rPr>
                <w:noProof/>
                <w:webHidden/>
              </w:rPr>
            </w:r>
            <w:r>
              <w:rPr>
                <w:noProof/>
                <w:webHidden/>
              </w:rPr>
              <w:fldChar w:fldCharType="separate"/>
            </w:r>
            <w:r w:rsidR="0092747F">
              <w:rPr>
                <w:noProof/>
                <w:webHidden/>
              </w:rPr>
              <w:t>56</w:t>
            </w:r>
            <w:r>
              <w:rPr>
                <w:noProof/>
                <w:webHidden/>
              </w:rPr>
              <w:fldChar w:fldCharType="end"/>
            </w:r>
          </w:hyperlink>
        </w:p>
        <w:p w14:paraId="53F35934" w14:textId="0300BACD" w:rsidR="00D6463B" w:rsidRDefault="00D6463B">
          <w:pPr>
            <w:pStyle w:val="TOC3"/>
            <w:tabs>
              <w:tab w:val="left" w:pos="1320"/>
              <w:tab w:val="right" w:leader="dot" w:pos="9350"/>
            </w:tabs>
            <w:rPr>
              <w:rFonts w:cstheme="minorBidi"/>
              <w:noProof/>
            </w:rPr>
          </w:pPr>
          <w:hyperlink w:anchor="_Toc39751625" w:history="1">
            <w:r w:rsidRPr="000954FA">
              <w:rPr>
                <w:rStyle w:val="Hyperlink"/>
                <w:rFonts w:eastAsia="Calibri"/>
                <w:noProof/>
              </w:rPr>
              <w:t>4.4.3.</w:t>
            </w:r>
            <w:r>
              <w:rPr>
                <w:rFonts w:cstheme="minorBidi"/>
                <w:noProof/>
              </w:rPr>
              <w:tab/>
            </w:r>
            <w:r w:rsidRPr="000954FA">
              <w:rPr>
                <w:rStyle w:val="Hyperlink"/>
                <w:rFonts w:eastAsia="Calibri"/>
                <w:noProof/>
              </w:rPr>
              <w:t>Wellbore Strengthening</w:t>
            </w:r>
            <w:r>
              <w:rPr>
                <w:noProof/>
                <w:webHidden/>
              </w:rPr>
              <w:tab/>
            </w:r>
            <w:r>
              <w:rPr>
                <w:noProof/>
                <w:webHidden/>
              </w:rPr>
              <w:fldChar w:fldCharType="begin"/>
            </w:r>
            <w:r>
              <w:rPr>
                <w:noProof/>
                <w:webHidden/>
              </w:rPr>
              <w:instrText xml:space="preserve"> PAGEREF _Toc39751625 \h </w:instrText>
            </w:r>
            <w:r>
              <w:rPr>
                <w:noProof/>
                <w:webHidden/>
              </w:rPr>
            </w:r>
            <w:r>
              <w:rPr>
                <w:noProof/>
                <w:webHidden/>
              </w:rPr>
              <w:fldChar w:fldCharType="separate"/>
            </w:r>
            <w:r w:rsidR="0092747F">
              <w:rPr>
                <w:noProof/>
                <w:webHidden/>
              </w:rPr>
              <w:t>58</w:t>
            </w:r>
            <w:r>
              <w:rPr>
                <w:noProof/>
                <w:webHidden/>
              </w:rPr>
              <w:fldChar w:fldCharType="end"/>
            </w:r>
          </w:hyperlink>
        </w:p>
        <w:p w14:paraId="39B20053" w14:textId="17471EBF" w:rsidR="00D6463B" w:rsidRDefault="00D6463B">
          <w:pPr>
            <w:pStyle w:val="TOC2"/>
            <w:tabs>
              <w:tab w:val="left" w:pos="880"/>
              <w:tab w:val="right" w:leader="dot" w:pos="9350"/>
            </w:tabs>
            <w:rPr>
              <w:rFonts w:cstheme="minorBidi"/>
              <w:noProof/>
            </w:rPr>
          </w:pPr>
          <w:hyperlink w:anchor="_Toc39751626" w:history="1">
            <w:r w:rsidRPr="000954FA">
              <w:rPr>
                <w:rStyle w:val="Hyperlink"/>
                <w:noProof/>
              </w:rPr>
              <w:t>4.5.</w:t>
            </w:r>
            <w:r>
              <w:rPr>
                <w:rFonts w:cstheme="minorBidi"/>
                <w:noProof/>
              </w:rPr>
              <w:tab/>
            </w:r>
            <w:r w:rsidRPr="000954FA">
              <w:rPr>
                <w:rStyle w:val="Hyperlink"/>
                <w:noProof/>
              </w:rPr>
              <w:t>Drilling Performance</w:t>
            </w:r>
            <w:r>
              <w:rPr>
                <w:noProof/>
                <w:webHidden/>
              </w:rPr>
              <w:tab/>
            </w:r>
            <w:r>
              <w:rPr>
                <w:noProof/>
                <w:webHidden/>
              </w:rPr>
              <w:fldChar w:fldCharType="begin"/>
            </w:r>
            <w:r>
              <w:rPr>
                <w:noProof/>
                <w:webHidden/>
              </w:rPr>
              <w:instrText xml:space="preserve"> PAGEREF _Toc39751626 \h </w:instrText>
            </w:r>
            <w:r>
              <w:rPr>
                <w:noProof/>
                <w:webHidden/>
              </w:rPr>
            </w:r>
            <w:r>
              <w:rPr>
                <w:noProof/>
                <w:webHidden/>
              </w:rPr>
              <w:fldChar w:fldCharType="separate"/>
            </w:r>
            <w:r w:rsidR="0092747F">
              <w:rPr>
                <w:noProof/>
                <w:webHidden/>
              </w:rPr>
              <w:t>60</w:t>
            </w:r>
            <w:r>
              <w:rPr>
                <w:noProof/>
                <w:webHidden/>
              </w:rPr>
              <w:fldChar w:fldCharType="end"/>
            </w:r>
          </w:hyperlink>
        </w:p>
        <w:p w14:paraId="7CC34139" w14:textId="47D48B60" w:rsidR="00D6463B" w:rsidRDefault="00D6463B">
          <w:pPr>
            <w:pStyle w:val="TOC3"/>
            <w:tabs>
              <w:tab w:val="left" w:pos="1320"/>
              <w:tab w:val="right" w:leader="dot" w:pos="9350"/>
            </w:tabs>
            <w:rPr>
              <w:rFonts w:cstheme="minorBidi"/>
              <w:noProof/>
            </w:rPr>
          </w:pPr>
          <w:hyperlink w:anchor="_Toc39751627" w:history="1">
            <w:r w:rsidRPr="000954FA">
              <w:rPr>
                <w:rStyle w:val="Hyperlink"/>
                <w:noProof/>
              </w:rPr>
              <w:t>4.5.1.</w:t>
            </w:r>
            <w:r>
              <w:rPr>
                <w:rFonts w:cstheme="minorBidi"/>
                <w:noProof/>
              </w:rPr>
              <w:tab/>
            </w:r>
            <w:r w:rsidRPr="000954FA">
              <w:rPr>
                <w:rStyle w:val="Hyperlink"/>
                <w:noProof/>
              </w:rPr>
              <w:t>Torque and Friction Factor During Drilling</w:t>
            </w:r>
            <w:r>
              <w:rPr>
                <w:noProof/>
                <w:webHidden/>
              </w:rPr>
              <w:tab/>
            </w:r>
            <w:r>
              <w:rPr>
                <w:noProof/>
                <w:webHidden/>
              </w:rPr>
              <w:fldChar w:fldCharType="begin"/>
            </w:r>
            <w:r>
              <w:rPr>
                <w:noProof/>
                <w:webHidden/>
              </w:rPr>
              <w:instrText xml:space="preserve"> PAGEREF _Toc39751627 \h </w:instrText>
            </w:r>
            <w:r>
              <w:rPr>
                <w:noProof/>
                <w:webHidden/>
              </w:rPr>
            </w:r>
            <w:r>
              <w:rPr>
                <w:noProof/>
                <w:webHidden/>
              </w:rPr>
              <w:fldChar w:fldCharType="separate"/>
            </w:r>
            <w:r w:rsidR="0092747F">
              <w:rPr>
                <w:noProof/>
                <w:webHidden/>
              </w:rPr>
              <w:t>60</w:t>
            </w:r>
            <w:r>
              <w:rPr>
                <w:noProof/>
                <w:webHidden/>
              </w:rPr>
              <w:fldChar w:fldCharType="end"/>
            </w:r>
          </w:hyperlink>
        </w:p>
        <w:p w14:paraId="69AA1613" w14:textId="05E23CBB" w:rsidR="00D6463B" w:rsidRDefault="00D6463B">
          <w:pPr>
            <w:pStyle w:val="TOC3"/>
            <w:tabs>
              <w:tab w:val="left" w:pos="1320"/>
              <w:tab w:val="right" w:leader="dot" w:pos="9350"/>
            </w:tabs>
            <w:rPr>
              <w:rFonts w:cstheme="minorBidi"/>
              <w:noProof/>
            </w:rPr>
          </w:pPr>
          <w:hyperlink w:anchor="_Toc39751628" w:history="1">
            <w:r w:rsidRPr="000954FA">
              <w:rPr>
                <w:rStyle w:val="Hyperlink"/>
                <w:noProof/>
              </w:rPr>
              <w:t>4.5.2.</w:t>
            </w:r>
            <w:r>
              <w:rPr>
                <w:rFonts w:cstheme="minorBidi"/>
                <w:noProof/>
              </w:rPr>
              <w:tab/>
            </w:r>
            <w:r w:rsidRPr="000954FA">
              <w:rPr>
                <w:rStyle w:val="Hyperlink"/>
                <w:noProof/>
              </w:rPr>
              <w:t>Rate of Penetration (ROP) Optimization</w:t>
            </w:r>
            <w:r>
              <w:rPr>
                <w:noProof/>
                <w:webHidden/>
              </w:rPr>
              <w:tab/>
            </w:r>
            <w:r>
              <w:rPr>
                <w:noProof/>
                <w:webHidden/>
              </w:rPr>
              <w:fldChar w:fldCharType="begin"/>
            </w:r>
            <w:r>
              <w:rPr>
                <w:noProof/>
                <w:webHidden/>
              </w:rPr>
              <w:instrText xml:space="preserve"> PAGEREF _Toc39751628 \h </w:instrText>
            </w:r>
            <w:r>
              <w:rPr>
                <w:noProof/>
                <w:webHidden/>
              </w:rPr>
            </w:r>
            <w:r>
              <w:rPr>
                <w:noProof/>
                <w:webHidden/>
              </w:rPr>
              <w:fldChar w:fldCharType="separate"/>
            </w:r>
            <w:r w:rsidR="0092747F">
              <w:rPr>
                <w:noProof/>
                <w:webHidden/>
              </w:rPr>
              <w:t>63</w:t>
            </w:r>
            <w:r>
              <w:rPr>
                <w:noProof/>
                <w:webHidden/>
              </w:rPr>
              <w:fldChar w:fldCharType="end"/>
            </w:r>
          </w:hyperlink>
        </w:p>
        <w:p w14:paraId="3D1DC62C" w14:textId="6F47A7EC" w:rsidR="00D6463B" w:rsidRDefault="00D6463B">
          <w:pPr>
            <w:pStyle w:val="TOC3"/>
            <w:tabs>
              <w:tab w:val="left" w:pos="1320"/>
              <w:tab w:val="right" w:leader="dot" w:pos="9350"/>
            </w:tabs>
            <w:rPr>
              <w:rFonts w:cstheme="minorBidi"/>
              <w:noProof/>
            </w:rPr>
          </w:pPr>
          <w:hyperlink w:anchor="_Toc39751629" w:history="1">
            <w:r w:rsidRPr="000954FA">
              <w:rPr>
                <w:rStyle w:val="Hyperlink"/>
                <w:noProof/>
              </w:rPr>
              <w:t>4.5.3.</w:t>
            </w:r>
            <w:r>
              <w:rPr>
                <w:rFonts w:cstheme="minorBidi"/>
                <w:noProof/>
              </w:rPr>
              <w:tab/>
            </w:r>
            <w:r w:rsidRPr="000954FA">
              <w:rPr>
                <w:rStyle w:val="Hyperlink"/>
                <w:noProof/>
              </w:rPr>
              <w:t>Mechanical Energy (MSE) Optimization</w:t>
            </w:r>
            <w:r>
              <w:rPr>
                <w:noProof/>
                <w:webHidden/>
              </w:rPr>
              <w:tab/>
            </w:r>
            <w:r>
              <w:rPr>
                <w:noProof/>
                <w:webHidden/>
              </w:rPr>
              <w:fldChar w:fldCharType="begin"/>
            </w:r>
            <w:r>
              <w:rPr>
                <w:noProof/>
                <w:webHidden/>
              </w:rPr>
              <w:instrText xml:space="preserve"> PAGEREF _Toc39751629 \h </w:instrText>
            </w:r>
            <w:r>
              <w:rPr>
                <w:noProof/>
                <w:webHidden/>
              </w:rPr>
            </w:r>
            <w:r>
              <w:rPr>
                <w:noProof/>
                <w:webHidden/>
              </w:rPr>
              <w:fldChar w:fldCharType="separate"/>
            </w:r>
            <w:r w:rsidR="0092747F">
              <w:rPr>
                <w:noProof/>
                <w:webHidden/>
              </w:rPr>
              <w:t>64</w:t>
            </w:r>
            <w:r>
              <w:rPr>
                <w:noProof/>
                <w:webHidden/>
              </w:rPr>
              <w:fldChar w:fldCharType="end"/>
            </w:r>
          </w:hyperlink>
        </w:p>
        <w:p w14:paraId="3A4855B5" w14:textId="07F852B2" w:rsidR="00D6463B" w:rsidRDefault="00D6463B">
          <w:pPr>
            <w:pStyle w:val="TOC1"/>
            <w:tabs>
              <w:tab w:val="left" w:pos="440"/>
              <w:tab w:val="right" w:leader="dot" w:pos="9350"/>
            </w:tabs>
            <w:rPr>
              <w:rFonts w:eastAsiaTheme="minorEastAsia"/>
              <w:noProof/>
            </w:rPr>
          </w:pPr>
          <w:hyperlink w:anchor="_Toc39751630" w:history="1">
            <w:r w:rsidRPr="000954FA">
              <w:rPr>
                <w:rStyle w:val="Hyperlink"/>
                <w:noProof/>
              </w:rPr>
              <w:t>5.</w:t>
            </w:r>
            <w:r>
              <w:rPr>
                <w:rFonts w:eastAsiaTheme="minorEastAsia"/>
                <w:noProof/>
              </w:rPr>
              <w:tab/>
            </w:r>
            <w:r w:rsidRPr="000954FA">
              <w:rPr>
                <w:rStyle w:val="Hyperlink"/>
                <w:noProof/>
              </w:rPr>
              <w:t>Summary and Conclusions</w:t>
            </w:r>
            <w:r>
              <w:rPr>
                <w:noProof/>
                <w:webHidden/>
              </w:rPr>
              <w:tab/>
            </w:r>
            <w:r>
              <w:rPr>
                <w:noProof/>
                <w:webHidden/>
              </w:rPr>
              <w:fldChar w:fldCharType="begin"/>
            </w:r>
            <w:r>
              <w:rPr>
                <w:noProof/>
                <w:webHidden/>
              </w:rPr>
              <w:instrText xml:space="preserve"> PAGEREF _Toc39751630 \h </w:instrText>
            </w:r>
            <w:r>
              <w:rPr>
                <w:noProof/>
                <w:webHidden/>
              </w:rPr>
            </w:r>
            <w:r>
              <w:rPr>
                <w:noProof/>
                <w:webHidden/>
              </w:rPr>
              <w:fldChar w:fldCharType="separate"/>
            </w:r>
            <w:r w:rsidR="0092747F">
              <w:rPr>
                <w:noProof/>
                <w:webHidden/>
              </w:rPr>
              <w:t>67</w:t>
            </w:r>
            <w:r>
              <w:rPr>
                <w:noProof/>
                <w:webHidden/>
              </w:rPr>
              <w:fldChar w:fldCharType="end"/>
            </w:r>
          </w:hyperlink>
        </w:p>
        <w:p w14:paraId="040CE4CA" w14:textId="13AFA970" w:rsidR="00D6463B" w:rsidRDefault="00D6463B">
          <w:pPr>
            <w:pStyle w:val="TOC1"/>
            <w:tabs>
              <w:tab w:val="left" w:pos="440"/>
              <w:tab w:val="right" w:leader="dot" w:pos="9350"/>
            </w:tabs>
            <w:rPr>
              <w:rFonts w:eastAsiaTheme="minorEastAsia"/>
              <w:noProof/>
            </w:rPr>
          </w:pPr>
          <w:hyperlink w:anchor="_Toc39751631" w:history="1">
            <w:r w:rsidRPr="000954FA">
              <w:rPr>
                <w:rStyle w:val="Hyperlink"/>
                <w:noProof/>
              </w:rPr>
              <w:t>6.</w:t>
            </w:r>
            <w:r>
              <w:rPr>
                <w:rFonts w:eastAsiaTheme="minorEastAsia"/>
                <w:noProof/>
              </w:rPr>
              <w:tab/>
            </w:r>
            <w:r w:rsidRPr="000954FA">
              <w:rPr>
                <w:rStyle w:val="Hyperlink"/>
                <w:noProof/>
              </w:rPr>
              <w:t>Recommendations and Future Work</w:t>
            </w:r>
            <w:r>
              <w:rPr>
                <w:noProof/>
                <w:webHidden/>
              </w:rPr>
              <w:tab/>
            </w:r>
            <w:r>
              <w:rPr>
                <w:noProof/>
                <w:webHidden/>
              </w:rPr>
              <w:fldChar w:fldCharType="begin"/>
            </w:r>
            <w:r>
              <w:rPr>
                <w:noProof/>
                <w:webHidden/>
              </w:rPr>
              <w:instrText xml:space="preserve"> PAGEREF _Toc39751631 \h </w:instrText>
            </w:r>
            <w:r>
              <w:rPr>
                <w:noProof/>
                <w:webHidden/>
              </w:rPr>
            </w:r>
            <w:r>
              <w:rPr>
                <w:noProof/>
                <w:webHidden/>
              </w:rPr>
              <w:fldChar w:fldCharType="separate"/>
            </w:r>
            <w:r w:rsidR="0092747F">
              <w:rPr>
                <w:noProof/>
                <w:webHidden/>
              </w:rPr>
              <w:t>69</w:t>
            </w:r>
            <w:r>
              <w:rPr>
                <w:noProof/>
                <w:webHidden/>
              </w:rPr>
              <w:fldChar w:fldCharType="end"/>
            </w:r>
          </w:hyperlink>
        </w:p>
        <w:p w14:paraId="7DB1B94D" w14:textId="0FFEC426" w:rsidR="00D6463B" w:rsidRDefault="00D6463B">
          <w:pPr>
            <w:pStyle w:val="TOC1"/>
            <w:tabs>
              <w:tab w:val="left" w:pos="440"/>
              <w:tab w:val="right" w:leader="dot" w:pos="9350"/>
            </w:tabs>
            <w:rPr>
              <w:rFonts w:eastAsiaTheme="minorEastAsia"/>
              <w:noProof/>
            </w:rPr>
          </w:pPr>
          <w:hyperlink w:anchor="_Toc39751632" w:history="1">
            <w:r w:rsidRPr="000954FA">
              <w:rPr>
                <w:rStyle w:val="Hyperlink"/>
                <w:noProof/>
              </w:rPr>
              <w:t>7.</w:t>
            </w:r>
            <w:r>
              <w:rPr>
                <w:rFonts w:eastAsiaTheme="minorEastAsia"/>
                <w:noProof/>
              </w:rPr>
              <w:tab/>
            </w:r>
            <w:r w:rsidRPr="000954FA">
              <w:rPr>
                <w:rStyle w:val="Hyperlink"/>
                <w:noProof/>
              </w:rPr>
              <w:t>Nomenclature and Acronyms</w:t>
            </w:r>
            <w:r>
              <w:rPr>
                <w:noProof/>
                <w:webHidden/>
              </w:rPr>
              <w:tab/>
            </w:r>
            <w:r>
              <w:rPr>
                <w:noProof/>
                <w:webHidden/>
              </w:rPr>
              <w:fldChar w:fldCharType="begin"/>
            </w:r>
            <w:r>
              <w:rPr>
                <w:noProof/>
                <w:webHidden/>
              </w:rPr>
              <w:instrText xml:space="preserve"> PAGEREF _Toc39751632 \h </w:instrText>
            </w:r>
            <w:r>
              <w:rPr>
                <w:noProof/>
                <w:webHidden/>
              </w:rPr>
            </w:r>
            <w:r>
              <w:rPr>
                <w:noProof/>
                <w:webHidden/>
              </w:rPr>
              <w:fldChar w:fldCharType="separate"/>
            </w:r>
            <w:r w:rsidR="0092747F">
              <w:rPr>
                <w:noProof/>
                <w:webHidden/>
              </w:rPr>
              <w:t>70</w:t>
            </w:r>
            <w:r>
              <w:rPr>
                <w:noProof/>
                <w:webHidden/>
              </w:rPr>
              <w:fldChar w:fldCharType="end"/>
            </w:r>
          </w:hyperlink>
        </w:p>
        <w:p w14:paraId="261EA75A" w14:textId="103AB168" w:rsidR="00D6463B" w:rsidRDefault="00D6463B">
          <w:pPr>
            <w:pStyle w:val="TOC1"/>
            <w:tabs>
              <w:tab w:val="right" w:leader="dot" w:pos="9350"/>
            </w:tabs>
            <w:rPr>
              <w:rFonts w:eastAsiaTheme="minorEastAsia"/>
              <w:noProof/>
            </w:rPr>
          </w:pPr>
          <w:hyperlink w:anchor="_Toc39751633" w:history="1">
            <w:r w:rsidRPr="000954FA">
              <w:rPr>
                <w:rStyle w:val="Hyperlink"/>
                <w:noProof/>
              </w:rPr>
              <w:t>References</w:t>
            </w:r>
            <w:r>
              <w:rPr>
                <w:noProof/>
                <w:webHidden/>
              </w:rPr>
              <w:tab/>
            </w:r>
            <w:r>
              <w:rPr>
                <w:noProof/>
                <w:webHidden/>
              </w:rPr>
              <w:fldChar w:fldCharType="begin"/>
            </w:r>
            <w:r>
              <w:rPr>
                <w:noProof/>
                <w:webHidden/>
              </w:rPr>
              <w:instrText xml:space="preserve"> PAGEREF _Toc39751633 \h </w:instrText>
            </w:r>
            <w:r>
              <w:rPr>
                <w:noProof/>
                <w:webHidden/>
              </w:rPr>
            </w:r>
            <w:r>
              <w:rPr>
                <w:noProof/>
                <w:webHidden/>
              </w:rPr>
              <w:fldChar w:fldCharType="separate"/>
            </w:r>
            <w:r w:rsidR="0092747F">
              <w:rPr>
                <w:noProof/>
                <w:webHidden/>
              </w:rPr>
              <w:t>72</w:t>
            </w:r>
            <w:r>
              <w:rPr>
                <w:noProof/>
                <w:webHidden/>
              </w:rPr>
              <w:fldChar w:fldCharType="end"/>
            </w:r>
          </w:hyperlink>
        </w:p>
        <w:p w14:paraId="0106DC39" w14:textId="484B9B47" w:rsidR="00D6463B" w:rsidRDefault="00D6463B">
          <w:pPr>
            <w:pStyle w:val="TOC1"/>
            <w:tabs>
              <w:tab w:val="right" w:leader="dot" w:pos="9350"/>
            </w:tabs>
            <w:rPr>
              <w:rFonts w:eastAsiaTheme="minorEastAsia"/>
              <w:noProof/>
            </w:rPr>
          </w:pPr>
          <w:hyperlink w:anchor="_Toc39751634" w:history="1">
            <w:r w:rsidRPr="000954FA">
              <w:rPr>
                <w:rStyle w:val="Hyperlink"/>
                <w:rFonts w:eastAsia="Calibri"/>
                <w:noProof/>
              </w:rPr>
              <w:t>Appendix A: Additional Procedures</w:t>
            </w:r>
            <w:r>
              <w:rPr>
                <w:noProof/>
                <w:webHidden/>
              </w:rPr>
              <w:tab/>
            </w:r>
            <w:r>
              <w:rPr>
                <w:noProof/>
                <w:webHidden/>
              </w:rPr>
              <w:fldChar w:fldCharType="begin"/>
            </w:r>
            <w:r>
              <w:rPr>
                <w:noProof/>
                <w:webHidden/>
              </w:rPr>
              <w:instrText xml:space="preserve"> PAGEREF _Toc39751634 \h </w:instrText>
            </w:r>
            <w:r>
              <w:rPr>
                <w:noProof/>
                <w:webHidden/>
              </w:rPr>
            </w:r>
            <w:r>
              <w:rPr>
                <w:noProof/>
                <w:webHidden/>
              </w:rPr>
              <w:fldChar w:fldCharType="separate"/>
            </w:r>
            <w:r w:rsidR="0092747F">
              <w:rPr>
                <w:noProof/>
                <w:webHidden/>
              </w:rPr>
              <w:t>78</w:t>
            </w:r>
            <w:r>
              <w:rPr>
                <w:noProof/>
                <w:webHidden/>
              </w:rPr>
              <w:fldChar w:fldCharType="end"/>
            </w:r>
          </w:hyperlink>
        </w:p>
        <w:p w14:paraId="7F3B36D8" w14:textId="2AE73EED" w:rsidR="00D6463B" w:rsidRDefault="00D6463B">
          <w:pPr>
            <w:pStyle w:val="TOC2"/>
            <w:tabs>
              <w:tab w:val="right" w:leader="dot" w:pos="9350"/>
            </w:tabs>
            <w:rPr>
              <w:rFonts w:cstheme="minorBidi"/>
              <w:noProof/>
            </w:rPr>
          </w:pPr>
          <w:hyperlink w:anchor="_Toc39751635" w:history="1">
            <w:r w:rsidRPr="000954FA">
              <w:rPr>
                <w:rStyle w:val="Hyperlink"/>
                <w:noProof/>
              </w:rPr>
              <w:t>Core samples preparation</w:t>
            </w:r>
            <w:r>
              <w:rPr>
                <w:noProof/>
                <w:webHidden/>
              </w:rPr>
              <w:tab/>
            </w:r>
            <w:r>
              <w:rPr>
                <w:noProof/>
                <w:webHidden/>
              </w:rPr>
              <w:fldChar w:fldCharType="begin"/>
            </w:r>
            <w:r>
              <w:rPr>
                <w:noProof/>
                <w:webHidden/>
              </w:rPr>
              <w:instrText xml:space="preserve"> PAGEREF _Toc39751635 \h </w:instrText>
            </w:r>
            <w:r>
              <w:rPr>
                <w:noProof/>
                <w:webHidden/>
              </w:rPr>
            </w:r>
            <w:r>
              <w:rPr>
                <w:noProof/>
                <w:webHidden/>
              </w:rPr>
              <w:fldChar w:fldCharType="separate"/>
            </w:r>
            <w:r w:rsidR="0092747F">
              <w:rPr>
                <w:noProof/>
                <w:webHidden/>
              </w:rPr>
              <w:t>78</w:t>
            </w:r>
            <w:r>
              <w:rPr>
                <w:noProof/>
                <w:webHidden/>
              </w:rPr>
              <w:fldChar w:fldCharType="end"/>
            </w:r>
          </w:hyperlink>
        </w:p>
        <w:p w14:paraId="1DB3E8E5" w14:textId="542E1CA0" w:rsidR="00D6463B" w:rsidRDefault="00D6463B">
          <w:pPr>
            <w:pStyle w:val="TOC2"/>
            <w:tabs>
              <w:tab w:val="right" w:leader="dot" w:pos="9350"/>
            </w:tabs>
            <w:rPr>
              <w:rFonts w:cstheme="minorBidi"/>
              <w:noProof/>
            </w:rPr>
          </w:pPr>
          <w:hyperlink w:anchor="_Toc39751636" w:history="1">
            <w:r w:rsidRPr="000954FA">
              <w:rPr>
                <w:rStyle w:val="Hyperlink"/>
                <w:noProof/>
              </w:rPr>
              <w:t>Linear swell meter</w:t>
            </w:r>
            <w:r>
              <w:rPr>
                <w:noProof/>
                <w:webHidden/>
              </w:rPr>
              <w:tab/>
            </w:r>
            <w:r>
              <w:rPr>
                <w:noProof/>
                <w:webHidden/>
              </w:rPr>
              <w:fldChar w:fldCharType="begin"/>
            </w:r>
            <w:r>
              <w:rPr>
                <w:noProof/>
                <w:webHidden/>
              </w:rPr>
              <w:instrText xml:space="preserve"> PAGEREF _Toc39751636 \h </w:instrText>
            </w:r>
            <w:r>
              <w:rPr>
                <w:noProof/>
                <w:webHidden/>
              </w:rPr>
            </w:r>
            <w:r>
              <w:rPr>
                <w:noProof/>
                <w:webHidden/>
              </w:rPr>
              <w:fldChar w:fldCharType="separate"/>
            </w:r>
            <w:r w:rsidR="0092747F">
              <w:rPr>
                <w:noProof/>
                <w:webHidden/>
              </w:rPr>
              <w:t>79</w:t>
            </w:r>
            <w:r>
              <w:rPr>
                <w:noProof/>
                <w:webHidden/>
              </w:rPr>
              <w:fldChar w:fldCharType="end"/>
            </w:r>
          </w:hyperlink>
        </w:p>
        <w:p w14:paraId="19FA51EA" w14:textId="7782045B" w:rsidR="00D6463B" w:rsidRDefault="00D6463B">
          <w:pPr>
            <w:pStyle w:val="TOC1"/>
            <w:tabs>
              <w:tab w:val="right" w:leader="dot" w:pos="9350"/>
            </w:tabs>
            <w:rPr>
              <w:rFonts w:eastAsiaTheme="minorEastAsia"/>
              <w:noProof/>
            </w:rPr>
          </w:pPr>
          <w:hyperlink w:anchor="_Toc39751637" w:history="1">
            <w:r w:rsidRPr="000954FA">
              <w:rPr>
                <w:rStyle w:val="Hyperlink"/>
                <w:noProof/>
              </w:rPr>
              <w:t>Appendix B: Additional Results</w:t>
            </w:r>
            <w:r>
              <w:rPr>
                <w:noProof/>
                <w:webHidden/>
              </w:rPr>
              <w:tab/>
            </w:r>
            <w:r>
              <w:rPr>
                <w:noProof/>
                <w:webHidden/>
              </w:rPr>
              <w:fldChar w:fldCharType="begin"/>
            </w:r>
            <w:r>
              <w:rPr>
                <w:noProof/>
                <w:webHidden/>
              </w:rPr>
              <w:instrText xml:space="preserve"> PAGEREF _Toc39751637 \h </w:instrText>
            </w:r>
            <w:r>
              <w:rPr>
                <w:noProof/>
                <w:webHidden/>
              </w:rPr>
            </w:r>
            <w:r>
              <w:rPr>
                <w:noProof/>
                <w:webHidden/>
              </w:rPr>
              <w:fldChar w:fldCharType="separate"/>
            </w:r>
            <w:r w:rsidR="0092747F">
              <w:rPr>
                <w:noProof/>
                <w:webHidden/>
              </w:rPr>
              <w:t>80</w:t>
            </w:r>
            <w:r>
              <w:rPr>
                <w:noProof/>
                <w:webHidden/>
              </w:rPr>
              <w:fldChar w:fldCharType="end"/>
            </w:r>
          </w:hyperlink>
        </w:p>
        <w:p w14:paraId="332544BE" w14:textId="3230C2DB" w:rsidR="00D6463B" w:rsidRDefault="00D6463B">
          <w:pPr>
            <w:pStyle w:val="TOC2"/>
            <w:tabs>
              <w:tab w:val="right" w:leader="dot" w:pos="9350"/>
            </w:tabs>
            <w:rPr>
              <w:rFonts w:cstheme="minorBidi"/>
              <w:noProof/>
            </w:rPr>
          </w:pPr>
          <w:hyperlink w:anchor="_Toc39751638" w:history="1">
            <w:r w:rsidRPr="000954FA">
              <w:rPr>
                <w:rStyle w:val="Hyperlink"/>
                <w:noProof/>
              </w:rPr>
              <w:t>Cation suction time (CST)</w:t>
            </w:r>
            <w:r>
              <w:rPr>
                <w:noProof/>
                <w:webHidden/>
              </w:rPr>
              <w:tab/>
            </w:r>
            <w:r>
              <w:rPr>
                <w:noProof/>
                <w:webHidden/>
              </w:rPr>
              <w:fldChar w:fldCharType="begin"/>
            </w:r>
            <w:r>
              <w:rPr>
                <w:noProof/>
                <w:webHidden/>
              </w:rPr>
              <w:instrText xml:space="preserve"> PAGEREF _Toc39751638 \h </w:instrText>
            </w:r>
            <w:r>
              <w:rPr>
                <w:noProof/>
                <w:webHidden/>
              </w:rPr>
            </w:r>
            <w:r>
              <w:rPr>
                <w:noProof/>
                <w:webHidden/>
              </w:rPr>
              <w:fldChar w:fldCharType="separate"/>
            </w:r>
            <w:r w:rsidR="0092747F">
              <w:rPr>
                <w:noProof/>
                <w:webHidden/>
              </w:rPr>
              <w:t>80</w:t>
            </w:r>
            <w:r>
              <w:rPr>
                <w:noProof/>
                <w:webHidden/>
              </w:rPr>
              <w:fldChar w:fldCharType="end"/>
            </w:r>
          </w:hyperlink>
        </w:p>
        <w:p w14:paraId="37CAF27C" w14:textId="642AD32B" w:rsidR="00D6463B" w:rsidRDefault="00D6463B">
          <w:pPr>
            <w:pStyle w:val="TOC2"/>
            <w:tabs>
              <w:tab w:val="right" w:leader="dot" w:pos="9350"/>
            </w:tabs>
            <w:rPr>
              <w:rFonts w:cstheme="minorBidi"/>
              <w:noProof/>
            </w:rPr>
          </w:pPr>
          <w:hyperlink w:anchor="_Toc39751639" w:history="1">
            <w:r w:rsidRPr="000954FA">
              <w:rPr>
                <w:rStyle w:val="Hyperlink"/>
                <w:noProof/>
              </w:rPr>
              <w:t>Temperature effect on torque</w:t>
            </w:r>
            <w:r>
              <w:rPr>
                <w:noProof/>
                <w:webHidden/>
              </w:rPr>
              <w:tab/>
            </w:r>
            <w:r>
              <w:rPr>
                <w:noProof/>
                <w:webHidden/>
              </w:rPr>
              <w:fldChar w:fldCharType="begin"/>
            </w:r>
            <w:r>
              <w:rPr>
                <w:noProof/>
                <w:webHidden/>
              </w:rPr>
              <w:instrText xml:space="preserve"> PAGEREF _Toc39751639 \h </w:instrText>
            </w:r>
            <w:r>
              <w:rPr>
                <w:noProof/>
                <w:webHidden/>
              </w:rPr>
            </w:r>
            <w:r>
              <w:rPr>
                <w:noProof/>
                <w:webHidden/>
              </w:rPr>
              <w:fldChar w:fldCharType="separate"/>
            </w:r>
            <w:r w:rsidR="0092747F">
              <w:rPr>
                <w:noProof/>
                <w:webHidden/>
              </w:rPr>
              <w:t>81</w:t>
            </w:r>
            <w:r>
              <w:rPr>
                <w:noProof/>
                <w:webHidden/>
              </w:rPr>
              <w:fldChar w:fldCharType="end"/>
            </w:r>
          </w:hyperlink>
        </w:p>
        <w:p w14:paraId="7FC54121" w14:textId="02FC18C1" w:rsidR="00D6463B" w:rsidRDefault="00D6463B">
          <w:pPr>
            <w:pStyle w:val="TOC2"/>
            <w:tabs>
              <w:tab w:val="right" w:leader="dot" w:pos="9350"/>
            </w:tabs>
            <w:rPr>
              <w:rFonts w:cstheme="minorBidi"/>
              <w:noProof/>
            </w:rPr>
          </w:pPr>
          <w:hyperlink w:anchor="_Toc39751640" w:history="1">
            <w:r w:rsidRPr="000954FA">
              <w:rPr>
                <w:rStyle w:val="Hyperlink"/>
                <w:noProof/>
              </w:rPr>
              <w:t>Drilling fluid compatibility in Eagle Ford shale formation</w:t>
            </w:r>
            <w:r>
              <w:rPr>
                <w:noProof/>
                <w:webHidden/>
              </w:rPr>
              <w:tab/>
            </w:r>
            <w:r>
              <w:rPr>
                <w:noProof/>
                <w:webHidden/>
              </w:rPr>
              <w:fldChar w:fldCharType="begin"/>
            </w:r>
            <w:r>
              <w:rPr>
                <w:noProof/>
                <w:webHidden/>
              </w:rPr>
              <w:instrText xml:space="preserve"> PAGEREF _Toc39751640 \h </w:instrText>
            </w:r>
            <w:r>
              <w:rPr>
                <w:noProof/>
                <w:webHidden/>
              </w:rPr>
            </w:r>
            <w:r>
              <w:rPr>
                <w:noProof/>
                <w:webHidden/>
              </w:rPr>
              <w:fldChar w:fldCharType="separate"/>
            </w:r>
            <w:r w:rsidR="0092747F">
              <w:rPr>
                <w:noProof/>
                <w:webHidden/>
              </w:rPr>
              <w:t>82</w:t>
            </w:r>
            <w:r>
              <w:rPr>
                <w:noProof/>
                <w:webHidden/>
              </w:rPr>
              <w:fldChar w:fldCharType="end"/>
            </w:r>
          </w:hyperlink>
        </w:p>
        <w:p w14:paraId="1BEF7628" w14:textId="5E35339F" w:rsidR="000659D6" w:rsidRPr="00B51D66" w:rsidRDefault="000659D6" w:rsidP="000659D6">
          <w:pPr>
            <w:spacing w:line="240" w:lineRule="auto"/>
            <w:rPr>
              <w:rFonts w:ascii="Times New Roman" w:hAnsi="Times New Roman" w:cs="Times New Roman"/>
              <w:sz w:val="24"/>
              <w:szCs w:val="24"/>
            </w:rPr>
          </w:pPr>
          <w:r w:rsidRPr="00B51D66">
            <w:rPr>
              <w:rFonts w:ascii="Times New Roman" w:hAnsi="Times New Roman" w:cs="Times New Roman"/>
              <w:bCs/>
              <w:noProof/>
              <w:sz w:val="24"/>
              <w:szCs w:val="24"/>
            </w:rPr>
            <w:fldChar w:fldCharType="end"/>
          </w:r>
        </w:p>
      </w:sdtContent>
    </w:sdt>
    <w:p w14:paraId="3455C19E" w14:textId="77777777" w:rsidR="009D4C51" w:rsidRPr="004D6678" w:rsidRDefault="009D4C51" w:rsidP="000659D6">
      <w:pPr>
        <w:rPr>
          <w:rFonts w:ascii="Times New Roman" w:hAnsi="Times New Roman" w:cs="Times New Roman"/>
        </w:rPr>
      </w:pPr>
    </w:p>
    <w:p w14:paraId="58F19D58" w14:textId="77777777" w:rsidR="000659D6" w:rsidRPr="004D6678" w:rsidRDefault="000659D6" w:rsidP="000659D6">
      <w:pPr>
        <w:pStyle w:val="Heading1"/>
        <w:rPr>
          <w:rFonts w:cs="Times New Roman"/>
        </w:rPr>
      </w:pPr>
      <w:bookmarkStart w:id="3" w:name="_List_of_tables"/>
      <w:bookmarkStart w:id="4" w:name="_Toc39751574"/>
      <w:bookmarkEnd w:id="3"/>
      <w:r w:rsidRPr="004D6678">
        <w:rPr>
          <w:rFonts w:cs="Times New Roman"/>
        </w:rPr>
        <w:lastRenderedPageBreak/>
        <w:t>List of tables</w:t>
      </w:r>
      <w:bookmarkEnd w:id="4"/>
    </w:p>
    <w:p w14:paraId="482E15BB" w14:textId="3078C165" w:rsidR="00FC0C46" w:rsidRDefault="000659D6">
      <w:pPr>
        <w:pStyle w:val="TableofFigures"/>
        <w:tabs>
          <w:tab w:val="right" w:leader="dot" w:pos="9350"/>
        </w:tabs>
        <w:rPr>
          <w:rFonts w:eastAsiaTheme="minorEastAsia"/>
          <w:noProof/>
        </w:rPr>
      </w:pPr>
      <w:r w:rsidRPr="00B51D66">
        <w:rPr>
          <w:rFonts w:ascii="Times New Roman" w:hAnsi="Times New Roman" w:cs="Times New Roman"/>
          <w:sz w:val="24"/>
          <w:szCs w:val="24"/>
        </w:rPr>
        <w:fldChar w:fldCharType="begin"/>
      </w:r>
      <w:r w:rsidRPr="00B51D66">
        <w:rPr>
          <w:rFonts w:ascii="Times New Roman" w:hAnsi="Times New Roman" w:cs="Times New Roman"/>
          <w:sz w:val="24"/>
          <w:szCs w:val="24"/>
        </w:rPr>
        <w:instrText xml:space="preserve"> TOC \h \z \c "Table" </w:instrText>
      </w:r>
      <w:r w:rsidRPr="00B51D66">
        <w:rPr>
          <w:rFonts w:ascii="Times New Roman" w:hAnsi="Times New Roman" w:cs="Times New Roman"/>
          <w:sz w:val="24"/>
          <w:szCs w:val="24"/>
        </w:rPr>
        <w:fldChar w:fldCharType="separate"/>
      </w:r>
      <w:hyperlink w:anchor="_Toc37087878" w:history="1">
        <w:r w:rsidR="00FC0C46" w:rsidRPr="000E2503">
          <w:rPr>
            <w:rStyle w:val="Hyperlink"/>
            <w:noProof/>
          </w:rPr>
          <w:t>Table 1-</w:t>
        </w:r>
        <w:r w:rsidR="00FC0C46" w:rsidRPr="000E2503">
          <w:rPr>
            <w:rStyle w:val="Hyperlink"/>
            <w:bCs/>
            <w:noProof/>
          </w:rPr>
          <w:t>Direct and indirect indicators of wellbore instability (Mohiuddin et al. 2001)</w:t>
        </w:r>
        <w:r w:rsidR="00FC0C46">
          <w:rPr>
            <w:noProof/>
            <w:webHidden/>
          </w:rPr>
          <w:tab/>
        </w:r>
        <w:r w:rsidR="00FC0C46">
          <w:rPr>
            <w:noProof/>
            <w:webHidden/>
          </w:rPr>
          <w:fldChar w:fldCharType="begin"/>
        </w:r>
        <w:r w:rsidR="00FC0C46">
          <w:rPr>
            <w:noProof/>
            <w:webHidden/>
          </w:rPr>
          <w:instrText xml:space="preserve"> PAGEREF _Toc37087878 \h </w:instrText>
        </w:r>
        <w:r w:rsidR="00FC0C46">
          <w:rPr>
            <w:noProof/>
            <w:webHidden/>
          </w:rPr>
        </w:r>
        <w:r w:rsidR="00FC0C46">
          <w:rPr>
            <w:noProof/>
            <w:webHidden/>
          </w:rPr>
          <w:fldChar w:fldCharType="separate"/>
        </w:r>
        <w:r w:rsidR="0092747F">
          <w:rPr>
            <w:noProof/>
            <w:webHidden/>
          </w:rPr>
          <w:t>9</w:t>
        </w:r>
        <w:r w:rsidR="00FC0C46">
          <w:rPr>
            <w:noProof/>
            <w:webHidden/>
          </w:rPr>
          <w:fldChar w:fldCharType="end"/>
        </w:r>
      </w:hyperlink>
    </w:p>
    <w:p w14:paraId="2B047BD4" w14:textId="4BA21A63" w:rsidR="00FC0C46" w:rsidRDefault="00C724F7">
      <w:pPr>
        <w:pStyle w:val="TableofFigures"/>
        <w:tabs>
          <w:tab w:val="right" w:leader="dot" w:pos="9350"/>
        </w:tabs>
        <w:rPr>
          <w:rFonts w:eastAsiaTheme="minorEastAsia"/>
          <w:noProof/>
        </w:rPr>
      </w:pPr>
      <w:hyperlink w:anchor="_Toc37087879" w:history="1">
        <w:r w:rsidR="00FC0C46" w:rsidRPr="000E2503">
          <w:rPr>
            <w:rStyle w:val="Hyperlink"/>
            <w:noProof/>
          </w:rPr>
          <w:t xml:space="preserve">Table 2- </w:t>
        </w:r>
        <w:r w:rsidR="00FC0C46" w:rsidRPr="000E2503">
          <w:rPr>
            <w:rStyle w:val="Hyperlink"/>
            <w:bCs/>
            <w:noProof/>
          </w:rPr>
          <w:t>Causes of wellbore instability (Samuel et al. (2001), Mohiuddin et al. (2001), Pasic et al. (2007), Chen et al. (1998))</w:t>
        </w:r>
        <w:r w:rsidR="00FC0C46">
          <w:rPr>
            <w:noProof/>
            <w:webHidden/>
          </w:rPr>
          <w:tab/>
        </w:r>
        <w:r w:rsidR="00FC0C46">
          <w:rPr>
            <w:noProof/>
            <w:webHidden/>
          </w:rPr>
          <w:fldChar w:fldCharType="begin"/>
        </w:r>
        <w:r w:rsidR="00FC0C46">
          <w:rPr>
            <w:noProof/>
            <w:webHidden/>
          </w:rPr>
          <w:instrText xml:space="preserve"> PAGEREF _Toc37087879 \h </w:instrText>
        </w:r>
        <w:r w:rsidR="00FC0C46">
          <w:rPr>
            <w:noProof/>
            <w:webHidden/>
          </w:rPr>
        </w:r>
        <w:r w:rsidR="00FC0C46">
          <w:rPr>
            <w:noProof/>
            <w:webHidden/>
          </w:rPr>
          <w:fldChar w:fldCharType="separate"/>
        </w:r>
        <w:r w:rsidR="0092747F">
          <w:rPr>
            <w:noProof/>
            <w:webHidden/>
          </w:rPr>
          <w:t>11</w:t>
        </w:r>
        <w:r w:rsidR="00FC0C46">
          <w:rPr>
            <w:noProof/>
            <w:webHidden/>
          </w:rPr>
          <w:fldChar w:fldCharType="end"/>
        </w:r>
      </w:hyperlink>
    </w:p>
    <w:p w14:paraId="660F4623" w14:textId="04621C62" w:rsidR="00FC0C46" w:rsidRDefault="00C724F7">
      <w:pPr>
        <w:pStyle w:val="TableofFigures"/>
        <w:tabs>
          <w:tab w:val="right" w:leader="dot" w:pos="9350"/>
        </w:tabs>
        <w:rPr>
          <w:rFonts w:eastAsiaTheme="minorEastAsia"/>
          <w:noProof/>
        </w:rPr>
      </w:pPr>
      <w:hyperlink w:anchor="_Toc37087880" w:history="1">
        <w:r w:rsidR="00FC0C46" w:rsidRPr="000E2503">
          <w:rPr>
            <w:rStyle w:val="Hyperlink"/>
            <w:noProof/>
          </w:rPr>
          <w:t xml:space="preserve">Table 3- </w:t>
        </w:r>
        <w:r w:rsidR="00FC0C46" w:rsidRPr="000E2503">
          <w:rPr>
            <w:rStyle w:val="Hyperlink"/>
            <w:bCs/>
            <w:noProof/>
          </w:rPr>
          <w:t>Lost circulation classification based on volumetric rate (Frates et al. 2014)</w:t>
        </w:r>
        <w:r w:rsidR="00FC0C46">
          <w:rPr>
            <w:noProof/>
            <w:webHidden/>
          </w:rPr>
          <w:tab/>
        </w:r>
        <w:r w:rsidR="00FC0C46">
          <w:rPr>
            <w:noProof/>
            <w:webHidden/>
          </w:rPr>
          <w:fldChar w:fldCharType="begin"/>
        </w:r>
        <w:r w:rsidR="00FC0C46">
          <w:rPr>
            <w:noProof/>
            <w:webHidden/>
          </w:rPr>
          <w:instrText xml:space="preserve"> PAGEREF _Toc37087880 \h </w:instrText>
        </w:r>
        <w:r w:rsidR="00FC0C46">
          <w:rPr>
            <w:noProof/>
            <w:webHidden/>
          </w:rPr>
        </w:r>
        <w:r w:rsidR="00FC0C46">
          <w:rPr>
            <w:noProof/>
            <w:webHidden/>
          </w:rPr>
          <w:fldChar w:fldCharType="separate"/>
        </w:r>
        <w:r w:rsidR="0092747F">
          <w:rPr>
            <w:noProof/>
            <w:webHidden/>
          </w:rPr>
          <w:t>17</w:t>
        </w:r>
        <w:r w:rsidR="00FC0C46">
          <w:rPr>
            <w:noProof/>
            <w:webHidden/>
          </w:rPr>
          <w:fldChar w:fldCharType="end"/>
        </w:r>
      </w:hyperlink>
    </w:p>
    <w:p w14:paraId="7302898C" w14:textId="4A5FCD4E" w:rsidR="00FC0C46" w:rsidRDefault="00C724F7">
      <w:pPr>
        <w:pStyle w:val="TableofFigures"/>
        <w:tabs>
          <w:tab w:val="right" w:leader="dot" w:pos="9350"/>
        </w:tabs>
        <w:rPr>
          <w:rFonts w:eastAsiaTheme="minorEastAsia"/>
          <w:noProof/>
        </w:rPr>
      </w:pPr>
      <w:hyperlink w:anchor="_Toc37087881" w:history="1">
        <w:r w:rsidR="00FC0C46" w:rsidRPr="000E2503">
          <w:rPr>
            <w:rStyle w:val="Hyperlink"/>
            <w:noProof/>
          </w:rPr>
          <w:t>Table 4</w:t>
        </w:r>
        <w:r w:rsidR="00FC0C46" w:rsidRPr="000E2503">
          <w:rPr>
            <w:rStyle w:val="Hyperlink"/>
            <w:bCs/>
            <w:noProof/>
          </w:rPr>
          <w:t>-Problematic shale classification according to their characteristics and clay mineralogy (after O’Brien and Chenevert, 1973)</w:t>
        </w:r>
        <w:r w:rsidR="00FC0C46">
          <w:rPr>
            <w:noProof/>
            <w:webHidden/>
          </w:rPr>
          <w:tab/>
        </w:r>
        <w:r w:rsidR="00FC0C46">
          <w:rPr>
            <w:noProof/>
            <w:webHidden/>
          </w:rPr>
          <w:fldChar w:fldCharType="begin"/>
        </w:r>
        <w:r w:rsidR="00FC0C46">
          <w:rPr>
            <w:noProof/>
            <w:webHidden/>
          </w:rPr>
          <w:instrText xml:space="preserve"> PAGEREF _Toc37087881 \h </w:instrText>
        </w:r>
        <w:r w:rsidR="00FC0C46">
          <w:rPr>
            <w:noProof/>
            <w:webHidden/>
          </w:rPr>
        </w:r>
        <w:r w:rsidR="00FC0C46">
          <w:rPr>
            <w:noProof/>
            <w:webHidden/>
          </w:rPr>
          <w:fldChar w:fldCharType="separate"/>
        </w:r>
        <w:r w:rsidR="0092747F">
          <w:rPr>
            <w:noProof/>
            <w:webHidden/>
          </w:rPr>
          <w:t>20</w:t>
        </w:r>
        <w:r w:rsidR="00FC0C46">
          <w:rPr>
            <w:noProof/>
            <w:webHidden/>
          </w:rPr>
          <w:fldChar w:fldCharType="end"/>
        </w:r>
      </w:hyperlink>
    </w:p>
    <w:p w14:paraId="4363C216" w14:textId="2B217A7A" w:rsidR="00FC0C46" w:rsidRDefault="00C724F7">
      <w:pPr>
        <w:pStyle w:val="TableofFigures"/>
        <w:tabs>
          <w:tab w:val="right" w:leader="dot" w:pos="9350"/>
        </w:tabs>
        <w:rPr>
          <w:rFonts w:eastAsiaTheme="minorEastAsia"/>
          <w:noProof/>
        </w:rPr>
      </w:pPr>
      <w:hyperlink w:anchor="_Toc37087882" w:history="1">
        <w:r w:rsidR="00FC0C46" w:rsidRPr="000E2503">
          <w:rPr>
            <w:rStyle w:val="Hyperlink"/>
            <w:noProof/>
          </w:rPr>
          <w:t>Table 5</w:t>
        </w:r>
        <w:r w:rsidR="00FC0C46" w:rsidRPr="000E2503">
          <w:rPr>
            <w:rStyle w:val="Hyperlink"/>
            <w:bCs/>
            <w:noProof/>
          </w:rPr>
          <w:t>- Summary of some properties of the most common clay minerals and their effect on reservoir (Tiab et al. 2004, Civan 2000).</w:t>
        </w:r>
        <w:r w:rsidR="00FC0C46">
          <w:rPr>
            <w:noProof/>
            <w:webHidden/>
          </w:rPr>
          <w:tab/>
        </w:r>
        <w:r w:rsidR="00FC0C46">
          <w:rPr>
            <w:noProof/>
            <w:webHidden/>
          </w:rPr>
          <w:fldChar w:fldCharType="begin"/>
        </w:r>
        <w:r w:rsidR="00FC0C46">
          <w:rPr>
            <w:noProof/>
            <w:webHidden/>
          </w:rPr>
          <w:instrText xml:space="preserve"> PAGEREF _Toc37087882 \h </w:instrText>
        </w:r>
        <w:r w:rsidR="00FC0C46">
          <w:rPr>
            <w:noProof/>
            <w:webHidden/>
          </w:rPr>
        </w:r>
        <w:r w:rsidR="00FC0C46">
          <w:rPr>
            <w:noProof/>
            <w:webHidden/>
          </w:rPr>
          <w:fldChar w:fldCharType="separate"/>
        </w:r>
        <w:r w:rsidR="0092747F">
          <w:rPr>
            <w:noProof/>
            <w:webHidden/>
          </w:rPr>
          <w:t>25</w:t>
        </w:r>
        <w:r w:rsidR="00FC0C46">
          <w:rPr>
            <w:noProof/>
            <w:webHidden/>
          </w:rPr>
          <w:fldChar w:fldCharType="end"/>
        </w:r>
      </w:hyperlink>
    </w:p>
    <w:p w14:paraId="65199424" w14:textId="2C4DD726" w:rsidR="00FC0C46" w:rsidRDefault="00C724F7">
      <w:pPr>
        <w:pStyle w:val="TableofFigures"/>
        <w:tabs>
          <w:tab w:val="right" w:leader="dot" w:pos="9350"/>
        </w:tabs>
        <w:rPr>
          <w:rFonts w:eastAsiaTheme="minorEastAsia"/>
          <w:noProof/>
        </w:rPr>
      </w:pPr>
      <w:hyperlink w:anchor="_Toc37087883" w:history="1">
        <w:r w:rsidR="00FC0C46" w:rsidRPr="000E2503">
          <w:rPr>
            <w:rStyle w:val="Hyperlink"/>
            <w:noProof/>
          </w:rPr>
          <w:t>Table 6</w:t>
        </w:r>
        <w:r w:rsidR="00FC0C46" w:rsidRPr="000E2503">
          <w:rPr>
            <w:rStyle w:val="Hyperlink"/>
            <w:bCs/>
            <w:noProof/>
          </w:rPr>
          <w:t>-Summary of major drilling fluid sy</w:t>
        </w:r>
        <w:r w:rsidR="00FC0C46" w:rsidRPr="000E2503">
          <w:rPr>
            <w:rStyle w:val="Hyperlink"/>
            <w:bCs/>
            <w:noProof/>
          </w:rPr>
          <w:t>s</w:t>
        </w:r>
        <w:r w:rsidR="00FC0C46" w:rsidRPr="000E2503">
          <w:rPr>
            <w:rStyle w:val="Hyperlink"/>
            <w:bCs/>
            <w:noProof/>
          </w:rPr>
          <w:t>tems and their pros and cons (Konate et al. 2019, Gilbert et al. 2007).</w:t>
        </w:r>
        <w:r w:rsidR="00FC0C46">
          <w:rPr>
            <w:noProof/>
            <w:webHidden/>
          </w:rPr>
          <w:tab/>
        </w:r>
        <w:r w:rsidR="00FC0C46">
          <w:rPr>
            <w:noProof/>
            <w:webHidden/>
          </w:rPr>
          <w:fldChar w:fldCharType="begin"/>
        </w:r>
        <w:r w:rsidR="00FC0C46">
          <w:rPr>
            <w:noProof/>
            <w:webHidden/>
          </w:rPr>
          <w:instrText xml:space="preserve"> PAGEREF _Toc37087883 \h </w:instrText>
        </w:r>
        <w:r w:rsidR="00FC0C46">
          <w:rPr>
            <w:noProof/>
            <w:webHidden/>
          </w:rPr>
        </w:r>
        <w:r w:rsidR="00FC0C46">
          <w:rPr>
            <w:noProof/>
            <w:webHidden/>
          </w:rPr>
          <w:fldChar w:fldCharType="separate"/>
        </w:r>
        <w:r w:rsidR="0092747F">
          <w:rPr>
            <w:noProof/>
            <w:webHidden/>
          </w:rPr>
          <w:t>35</w:t>
        </w:r>
        <w:r w:rsidR="00FC0C46">
          <w:rPr>
            <w:noProof/>
            <w:webHidden/>
          </w:rPr>
          <w:fldChar w:fldCharType="end"/>
        </w:r>
      </w:hyperlink>
    </w:p>
    <w:p w14:paraId="2155143A" w14:textId="59CD4B97" w:rsidR="00FC0C46" w:rsidRDefault="00C724F7">
      <w:pPr>
        <w:pStyle w:val="TableofFigures"/>
        <w:tabs>
          <w:tab w:val="right" w:leader="dot" w:pos="9350"/>
        </w:tabs>
        <w:rPr>
          <w:rFonts w:eastAsiaTheme="minorEastAsia"/>
          <w:noProof/>
        </w:rPr>
      </w:pPr>
      <w:hyperlink w:anchor="_Toc37087884" w:history="1">
        <w:r w:rsidR="00FC0C46" w:rsidRPr="000E2503">
          <w:rPr>
            <w:rStyle w:val="Hyperlink"/>
            <w:noProof/>
          </w:rPr>
          <w:t>Table 7</w:t>
        </w:r>
        <w:r w:rsidR="00FC0C46" w:rsidRPr="000E2503">
          <w:rPr>
            <w:rStyle w:val="Hyperlink"/>
            <w:rFonts w:eastAsia="Calibri"/>
            <w:noProof/>
          </w:rPr>
          <w:t>-Conventional water-based mud formulation</w:t>
        </w:r>
        <w:r w:rsidR="00FC0C46">
          <w:rPr>
            <w:noProof/>
            <w:webHidden/>
          </w:rPr>
          <w:tab/>
        </w:r>
        <w:r w:rsidR="00FC0C46">
          <w:rPr>
            <w:noProof/>
            <w:webHidden/>
          </w:rPr>
          <w:fldChar w:fldCharType="begin"/>
        </w:r>
        <w:r w:rsidR="00FC0C46">
          <w:rPr>
            <w:noProof/>
            <w:webHidden/>
          </w:rPr>
          <w:instrText xml:space="preserve"> PAGEREF _Toc37087884 \h </w:instrText>
        </w:r>
        <w:r w:rsidR="00FC0C46">
          <w:rPr>
            <w:noProof/>
            <w:webHidden/>
          </w:rPr>
        </w:r>
        <w:r w:rsidR="00FC0C46">
          <w:rPr>
            <w:noProof/>
            <w:webHidden/>
          </w:rPr>
          <w:fldChar w:fldCharType="separate"/>
        </w:r>
        <w:r w:rsidR="0092747F">
          <w:rPr>
            <w:noProof/>
            <w:webHidden/>
          </w:rPr>
          <w:t>36</w:t>
        </w:r>
        <w:r w:rsidR="00FC0C46">
          <w:rPr>
            <w:noProof/>
            <w:webHidden/>
          </w:rPr>
          <w:fldChar w:fldCharType="end"/>
        </w:r>
      </w:hyperlink>
    </w:p>
    <w:p w14:paraId="57F5C52B" w14:textId="423FD8A3" w:rsidR="00FC0C46" w:rsidRDefault="00C724F7">
      <w:pPr>
        <w:pStyle w:val="TableofFigures"/>
        <w:tabs>
          <w:tab w:val="right" w:leader="dot" w:pos="9350"/>
        </w:tabs>
        <w:rPr>
          <w:rFonts w:eastAsiaTheme="minorEastAsia"/>
          <w:noProof/>
        </w:rPr>
      </w:pPr>
      <w:hyperlink w:anchor="_Toc37087885" w:history="1">
        <w:r w:rsidR="00FC0C46" w:rsidRPr="000E2503">
          <w:rPr>
            <w:rStyle w:val="Hyperlink"/>
            <w:noProof/>
          </w:rPr>
          <w:t>Table 8</w:t>
        </w:r>
        <w:r w:rsidR="00FC0C46" w:rsidRPr="000E2503">
          <w:rPr>
            <w:rStyle w:val="Hyperlink"/>
            <w:rFonts w:eastAsia="Calibri"/>
            <w:noProof/>
            <w:lang w:val="en-GB"/>
          </w:rPr>
          <w:t>-</w:t>
        </w:r>
        <w:r w:rsidR="00FC0C46" w:rsidRPr="000E2503">
          <w:rPr>
            <w:rStyle w:val="Hyperlink"/>
            <w:rFonts w:eastAsia="Calibri"/>
            <w:bCs/>
            <w:noProof/>
            <w:lang w:val="en-GB"/>
          </w:rPr>
          <w:t>Required input parameters and their values</w:t>
        </w:r>
        <w:r w:rsidR="00FC0C46">
          <w:rPr>
            <w:noProof/>
            <w:webHidden/>
          </w:rPr>
          <w:tab/>
        </w:r>
        <w:r w:rsidR="00FC0C46">
          <w:rPr>
            <w:noProof/>
            <w:webHidden/>
          </w:rPr>
          <w:fldChar w:fldCharType="begin"/>
        </w:r>
        <w:r w:rsidR="00FC0C46">
          <w:rPr>
            <w:noProof/>
            <w:webHidden/>
          </w:rPr>
          <w:instrText xml:space="preserve"> PAGEREF _Toc37087885 \h </w:instrText>
        </w:r>
        <w:r w:rsidR="00FC0C46">
          <w:rPr>
            <w:noProof/>
            <w:webHidden/>
          </w:rPr>
        </w:r>
        <w:r w:rsidR="00FC0C46">
          <w:rPr>
            <w:noProof/>
            <w:webHidden/>
          </w:rPr>
          <w:fldChar w:fldCharType="separate"/>
        </w:r>
        <w:r w:rsidR="0092747F">
          <w:rPr>
            <w:noProof/>
            <w:webHidden/>
          </w:rPr>
          <w:t>44</w:t>
        </w:r>
        <w:r w:rsidR="00FC0C46">
          <w:rPr>
            <w:noProof/>
            <w:webHidden/>
          </w:rPr>
          <w:fldChar w:fldCharType="end"/>
        </w:r>
      </w:hyperlink>
    </w:p>
    <w:p w14:paraId="0A99E322" w14:textId="50FE13C3" w:rsidR="00FC0C46" w:rsidRDefault="00C724F7">
      <w:pPr>
        <w:pStyle w:val="TableofFigures"/>
        <w:tabs>
          <w:tab w:val="right" w:leader="dot" w:pos="9350"/>
        </w:tabs>
        <w:rPr>
          <w:rFonts w:eastAsiaTheme="minorEastAsia"/>
          <w:noProof/>
        </w:rPr>
      </w:pPr>
      <w:hyperlink w:anchor="_Toc37087886" w:history="1">
        <w:r w:rsidR="00FC0C46" w:rsidRPr="000E2503">
          <w:rPr>
            <w:rStyle w:val="Hyperlink"/>
            <w:noProof/>
          </w:rPr>
          <w:t xml:space="preserve">Table 9- </w:t>
        </w:r>
        <w:r w:rsidR="00FC0C46" w:rsidRPr="000E2503">
          <w:rPr>
            <w:rStyle w:val="Hyperlink"/>
            <w:bCs/>
            <w:noProof/>
          </w:rPr>
          <w:t>Cutting recovery percent for the tested drilling fluid systems</w:t>
        </w:r>
        <w:r w:rsidR="00FC0C46">
          <w:rPr>
            <w:noProof/>
            <w:webHidden/>
          </w:rPr>
          <w:tab/>
        </w:r>
        <w:r w:rsidR="00FC0C46">
          <w:rPr>
            <w:noProof/>
            <w:webHidden/>
          </w:rPr>
          <w:fldChar w:fldCharType="begin"/>
        </w:r>
        <w:r w:rsidR="00FC0C46">
          <w:rPr>
            <w:noProof/>
            <w:webHidden/>
          </w:rPr>
          <w:instrText xml:space="preserve"> PAGEREF _Toc37087886 \h </w:instrText>
        </w:r>
        <w:r w:rsidR="00FC0C46">
          <w:rPr>
            <w:noProof/>
            <w:webHidden/>
          </w:rPr>
        </w:r>
        <w:r w:rsidR="00FC0C46">
          <w:rPr>
            <w:noProof/>
            <w:webHidden/>
          </w:rPr>
          <w:fldChar w:fldCharType="separate"/>
        </w:r>
        <w:r w:rsidR="0092747F">
          <w:rPr>
            <w:noProof/>
            <w:webHidden/>
          </w:rPr>
          <w:t>56</w:t>
        </w:r>
        <w:r w:rsidR="00FC0C46">
          <w:rPr>
            <w:noProof/>
            <w:webHidden/>
          </w:rPr>
          <w:fldChar w:fldCharType="end"/>
        </w:r>
      </w:hyperlink>
    </w:p>
    <w:p w14:paraId="4CAB4107" w14:textId="77777777" w:rsidR="000659D6" w:rsidRPr="00B51D66" w:rsidRDefault="000659D6" w:rsidP="000659D6">
      <w:pPr>
        <w:rPr>
          <w:rFonts w:ascii="Times New Roman" w:hAnsi="Times New Roman" w:cs="Times New Roman"/>
          <w:sz w:val="24"/>
          <w:szCs w:val="24"/>
        </w:rPr>
      </w:pPr>
      <w:r w:rsidRPr="00B51D66">
        <w:rPr>
          <w:rFonts w:ascii="Times New Roman" w:hAnsi="Times New Roman" w:cs="Times New Roman"/>
          <w:sz w:val="24"/>
          <w:szCs w:val="24"/>
        </w:rPr>
        <w:fldChar w:fldCharType="end"/>
      </w:r>
    </w:p>
    <w:p w14:paraId="60EA93CA" w14:textId="77777777" w:rsidR="000659D6" w:rsidRPr="004D6678" w:rsidRDefault="000659D6" w:rsidP="000659D6">
      <w:pPr>
        <w:rPr>
          <w:rFonts w:ascii="Times New Roman" w:hAnsi="Times New Roman" w:cs="Times New Roman"/>
          <w:sz w:val="24"/>
          <w:szCs w:val="24"/>
        </w:rPr>
      </w:pPr>
    </w:p>
    <w:p w14:paraId="22349BF4" w14:textId="77777777" w:rsidR="000659D6" w:rsidRPr="004D6678" w:rsidRDefault="000659D6" w:rsidP="000659D6">
      <w:pPr>
        <w:rPr>
          <w:rFonts w:ascii="Times New Roman" w:hAnsi="Times New Roman" w:cs="Times New Roman"/>
          <w:sz w:val="24"/>
          <w:szCs w:val="24"/>
        </w:rPr>
      </w:pPr>
    </w:p>
    <w:p w14:paraId="574FA4E0" w14:textId="77777777" w:rsidR="000659D6" w:rsidRPr="004D6678" w:rsidRDefault="000659D6" w:rsidP="000659D6">
      <w:pPr>
        <w:rPr>
          <w:rFonts w:ascii="Times New Roman" w:hAnsi="Times New Roman" w:cs="Times New Roman"/>
          <w:sz w:val="24"/>
          <w:szCs w:val="24"/>
        </w:rPr>
      </w:pPr>
    </w:p>
    <w:p w14:paraId="2574F8EC" w14:textId="77777777" w:rsidR="000659D6" w:rsidRDefault="000659D6" w:rsidP="000659D6">
      <w:pPr>
        <w:rPr>
          <w:rFonts w:ascii="Times New Roman" w:hAnsi="Times New Roman" w:cs="Times New Roman"/>
          <w:sz w:val="24"/>
          <w:szCs w:val="24"/>
        </w:rPr>
      </w:pPr>
    </w:p>
    <w:p w14:paraId="137E3D85" w14:textId="77777777" w:rsidR="009D4C51" w:rsidRDefault="009D4C51" w:rsidP="000659D6">
      <w:pPr>
        <w:rPr>
          <w:rFonts w:ascii="Times New Roman" w:hAnsi="Times New Roman" w:cs="Times New Roman"/>
          <w:sz w:val="24"/>
          <w:szCs w:val="24"/>
        </w:rPr>
      </w:pPr>
    </w:p>
    <w:p w14:paraId="6D0ACB3D" w14:textId="77777777" w:rsidR="009D4C51" w:rsidRDefault="009D4C51" w:rsidP="000659D6">
      <w:pPr>
        <w:rPr>
          <w:rFonts w:ascii="Times New Roman" w:hAnsi="Times New Roman" w:cs="Times New Roman"/>
          <w:sz w:val="24"/>
          <w:szCs w:val="24"/>
        </w:rPr>
      </w:pPr>
    </w:p>
    <w:p w14:paraId="5223DEA4" w14:textId="77777777" w:rsidR="009D4C51" w:rsidRDefault="009D4C51" w:rsidP="000659D6">
      <w:pPr>
        <w:rPr>
          <w:rFonts w:ascii="Times New Roman" w:hAnsi="Times New Roman" w:cs="Times New Roman"/>
          <w:sz w:val="24"/>
          <w:szCs w:val="24"/>
        </w:rPr>
      </w:pPr>
    </w:p>
    <w:p w14:paraId="4521209B" w14:textId="77777777" w:rsidR="009D4C51" w:rsidRDefault="009D4C51" w:rsidP="000659D6">
      <w:pPr>
        <w:rPr>
          <w:rFonts w:ascii="Times New Roman" w:hAnsi="Times New Roman" w:cs="Times New Roman"/>
          <w:sz w:val="24"/>
          <w:szCs w:val="24"/>
        </w:rPr>
      </w:pPr>
    </w:p>
    <w:p w14:paraId="22ECAAC9" w14:textId="77777777" w:rsidR="009D4C51" w:rsidRPr="004D6678" w:rsidRDefault="009D4C51" w:rsidP="000659D6">
      <w:pPr>
        <w:rPr>
          <w:rFonts w:ascii="Times New Roman" w:hAnsi="Times New Roman" w:cs="Times New Roman"/>
          <w:sz w:val="24"/>
          <w:szCs w:val="24"/>
        </w:rPr>
      </w:pPr>
    </w:p>
    <w:p w14:paraId="6C6097A4" w14:textId="77777777" w:rsidR="000659D6" w:rsidRPr="004D6678" w:rsidRDefault="000659D6" w:rsidP="000659D6">
      <w:pPr>
        <w:rPr>
          <w:rFonts w:ascii="Times New Roman" w:hAnsi="Times New Roman" w:cs="Times New Roman"/>
          <w:sz w:val="24"/>
          <w:szCs w:val="24"/>
        </w:rPr>
      </w:pPr>
    </w:p>
    <w:p w14:paraId="50A65860" w14:textId="77777777" w:rsidR="000659D6" w:rsidRPr="004D6678" w:rsidRDefault="000659D6" w:rsidP="000659D6">
      <w:pPr>
        <w:rPr>
          <w:rFonts w:ascii="Times New Roman" w:hAnsi="Times New Roman" w:cs="Times New Roman"/>
          <w:sz w:val="24"/>
          <w:szCs w:val="24"/>
        </w:rPr>
      </w:pPr>
    </w:p>
    <w:p w14:paraId="18994700" w14:textId="77777777" w:rsidR="000659D6" w:rsidRPr="004D6678" w:rsidRDefault="000659D6" w:rsidP="000659D6">
      <w:pPr>
        <w:rPr>
          <w:rFonts w:ascii="Times New Roman" w:hAnsi="Times New Roman" w:cs="Times New Roman"/>
          <w:sz w:val="24"/>
          <w:szCs w:val="24"/>
        </w:rPr>
      </w:pPr>
    </w:p>
    <w:p w14:paraId="4B458299" w14:textId="15159E06" w:rsidR="000659D6" w:rsidRDefault="000659D6" w:rsidP="000659D6">
      <w:pPr>
        <w:rPr>
          <w:rFonts w:ascii="Times New Roman" w:hAnsi="Times New Roman" w:cs="Times New Roman"/>
          <w:sz w:val="24"/>
          <w:szCs w:val="24"/>
        </w:rPr>
      </w:pPr>
    </w:p>
    <w:p w14:paraId="795C0F76" w14:textId="77777777" w:rsidR="0050269A" w:rsidRPr="004D6678" w:rsidRDefault="0050269A" w:rsidP="000659D6">
      <w:pPr>
        <w:rPr>
          <w:rFonts w:ascii="Times New Roman" w:hAnsi="Times New Roman" w:cs="Times New Roman"/>
          <w:sz w:val="24"/>
          <w:szCs w:val="24"/>
        </w:rPr>
      </w:pPr>
    </w:p>
    <w:p w14:paraId="72C1EB97" w14:textId="77777777" w:rsidR="000659D6" w:rsidRDefault="000659D6" w:rsidP="000659D6">
      <w:pPr>
        <w:rPr>
          <w:rFonts w:ascii="Times New Roman" w:hAnsi="Times New Roman" w:cs="Times New Roman"/>
          <w:sz w:val="24"/>
          <w:szCs w:val="24"/>
        </w:rPr>
      </w:pPr>
    </w:p>
    <w:p w14:paraId="147803CF" w14:textId="77777777" w:rsidR="009C0541" w:rsidRPr="004D6678" w:rsidRDefault="009C0541" w:rsidP="000659D6">
      <w:pPr>
        <w:rPr>
          <w:rFonts w:ascii="Times New Roman" w:hAnsi="Times New Roman" w:cs="Times New Roman"/>
          <w:sz w:val="24"/>
          <w:szCs w:val="24"/>
        </w:rPr>
      </w:pPr>
    </w:p>
    <w:p w14:paraId="5B36CABA" w14:textId="77777777" w:rsidR="000659D6" w:rsidRPr="004D6678" w:rsidRDefault="000659D6" w:rsidP="000659D6">
      <w:pPr>
        <w:pStyle w:val="Heading1"/>
        <w:rPr>
          <w:rFonts w:cs="Times New Roman"/>
        </w:rPr>
      </w:pPr>
      <w:bookmarkStart w:id="5" w:name="_Toc39751575"/>
      <w:r w:rsidRPr="004D6678">
        <w:rPr>
          <w:rFonts w:cs="Times New Roman"/>
        </w:rPr>
        <w:lastRenderedPageBreak/>
        <w:t>List of figures</w:t>
      </w:r>
      <w:bookmarkEnd w:id="5"/>
    </w:p>
    <w:p w14:paraId="600C3A0E" w14:textId="12E6DFA2" w:rsidR="009C0541" w:rsidRDefault="000659D6">
      <w:pPr>
        <w:pStyle w:val="TableofFigures"/>
        <w:tabs>
          <w:tab w:val="right" w:leader="dot" w:pos="9350"/>
        </w:tabs>
        <w:rPr>
          <w:rFonts w:eastAsiaTheme="minorEastAsia"/>
          <w:noProof/>
        </w:rPr>
      </w:pPr>
      <w:r w:rsidRPr="00B51D66">
        <w:rPr>
          <w:rFonts w:ascii="Times New Roman" w:hAnsi="Times New Roman" w:cs="Times New Roman"/>
          <w:sz w:val="24"/>
          <w:szCs w:val="24"/>
        </w:rPr>
        <w:fldChar w:fldCharType="begin"/>
      </w:r>
      <w:r w:rsidRPr="00B51D66">
        <w:rPr>
          <w:rFonts w:ascii="Times New Roman" w:hAnsi="Times New Roman" w:cs="Times New Roman"/>
          <w:sz w:val="24"/>
          <w:szCs w:val="24"/>
        </w:rPr>
        <w:instrText xml:space="preserve"> TOC \h \z \c "Figure" </w:instrText>
      </w:r>
      <w:r w:rsidRPr="00B51D66">
        <w:rPr>
          <w:rFonts w:ascii="Times New Roman" w:hAnsi="Times New Roman" w:cs="Times New Roman"/>
          <w:sz w:val="24"/>
          <w:szCs w:val="24"/>
        </w:rPr>
        <w:fldChar w:fldCharType="separate"/>
      </w:r>
      <w:hyperlink w:anchor="_Toc37087744" w:history="1">
        <w:r w:rsidR="009C0541" w:rsidRPr="00C83ED8">
          <w:rPr>
            <w:rStyle w:val="Hyperlink"/>
            <w:noProof/>
          </w:rPr>
          <w:t>Figure 1- Natural gas production from major shale plays in the US from 2004 to 2018 (EIA 2018)</w:t>
        </w:r>
        <w:r w:rsidR="009C0541">
          <w:rPr>
            <w:noProof/>
            <w:webHidden/>
          </w:rPr>
          <w:tab/>
        </w:r>
        <w:r w:rsidR="009C0541">
          <w:rPr>
            <w:noProof/>
            <w:webHidden/>
          </w:rPr>
          <w:fldChar w:fldCharType="begin"/>
        </w:r>
        <w:r w:rsidR="009C0541">
          <w:rPr>
            <w:noProof/>
            <w:webHidden/>
          </w:rPr>
          <w:instrText xml:space="preserve"> PAGEREF _Toc37087744 \h </w:instrText>
        </w:r>
        <w:r w:rsidR="009C0541">
          <w:rPr>
            <w:noProof/>
            <w:webHidden/>
          </w:rPr>
        </w:r>
        <w:r w:rsidR="009C0541">
          <w:rPr>
            <w:noProof/>
            <w:webHidden/>
          </w:rPr>
          <w:fldChar w:fldCharType="separate"/>
        </w:r>
        <w:r w:rsidR="0092747F">
          <w:rPr>
            <w:noProof/>
            <w:webHidden/>
          </w:rPr>
          <w:t>2</w:t>
        </w:r>
        <w:r w:rsidR="009C0541">
          <w:rPr>
            <w:noProof/>
            <w:webHidden/>
          </w:rPr>
          <w:fldChar w:fldCharType="end"/>
        </w:r>
      </w:hyperlink>
    </w:p>
    <w:p w14:paraId="501C07EC" w14:textId="2097A52A" w:rsidR="009C0541" w:rsidRDefault="00C724F7">
      <w:pPr>
        <w:pStyle w:val="TableofFigures"/>
        <w:tabs>
          <w:tab w:val="right" w:leader="dot" w:pos="9350"/>
        </w:tabs>
        <w:rPr>
          <w:rFonts w:eastAsiaTheme="minorEastAsia"/>
          <w:noProof/>
        </w:rPr>
      </w:pPr>
      <w:hyperlink w:anchor="_Toc37087745" w:history="1">
        <w:r w:rsidR="009C0541" w:rsidRPr="00C83ED8">
          <w:rPr>
            <w:rStyle w:val="Hyperlink"/>
            <w:noProof/>
          </w:rPr>
          <w:t>Figure 2- Trajectory profile of well A drilled into the Tuscaloosa Marine Shale (TMS)</w:t>
        </w:r>
        <w:r w:rsidR="009C0541">
          <w:rPr>
            <w:noProof/>
            <w:webHidden/>
          </w:rPr>
          <w:tab/>
        </w:r>
        <w:r w:rsidR="009C0541">
          <w:rPr>
            <w:noProof/>
            <w:webHidden/>
          </w:rPr>
          <w:fldChar w:fldCharType="begin"/>
        </w:r>
        <w:r w:rsidR="009C0541">
          <w:rPr>
            <w:noProof/>
            <w:webHidden/>
          </w:rPr>
          <w:instrText xml:space="preserve"> PAGEREF _Toc37087745 \h </w:instrText>
        </w:r>
        <w:r w:rsidR="009C0541">
          <w:rPr>
            <w:noProof/>
            <w:webHidden/>
          </w:rPr>
        </w:r>
        <w:r w:rsidR="009C0541">
          <w:rPr>
            <w:noProof/>
            <w:webHidden/>
          </w:rPr>
          <w:fldChar w:fldCharType="separate"/>
        </w:r>
        <w:r w:rsidR="0092747F">
          <w:rPr>
            <w:noProof/>
            <w:webHidden/>
          </w:rPr>
          <w:t>4</w:t>
        </w:r>
        <w:r w:rsidR="009C0541">
          <w:rPr>
            <w:noProof/>
            <w:webHidden/>
          </w:rPr>
          <w:fldChar w:fldCharType="end"/>
        </w:r>
      </w:hyperlink>
    </w:p>
    <w:p w14:paraId="5E68C498" w14:textId="69A1F119" w:rsidR="009C0541" w:rsidRDefault="00C724F7">
      <w:pPr>
        <w:pStyle w:val="TableofFigures"/>
        <w:tabs>
          <w:tab w:val="right" w:leader="dot" w:pos="9350"/>
        </w:tabs>
        <w:rPr>
          <w:rFonts w:eastAsiaTheme="minorEastAsia"/>
          <w:noProof/>
        </w:rPr>
      </w:pPr>
      <w:hyperlink w:anchor="_Toc37087746" w:history="1">
        <w:r w:rsidR="009C0541" w:rsidRPr="00C83ED8">
          <w:rPr>
            <w:rStyle w:val="Hyperlink"/>
            <w:noProof/>
          </w:rPr>
          <w:t>Figure 3- Tuscaloosa Marine Shale deposit showing the total acres of the formation (Shale Experts 2016)</w:t>
        </w:r>
        <w:r w:rsidR="009C0541">
          <w:rPr>
            <w:noProof/>
            <w:webHidden/>
          </w:rPr>
          <w:tab/>
        </w:r>
        <w:r w:rsidR="009C0541">
          <w:rPr>
            <w:noProof/>
            <w:webHidden/>
          </w:rPr>
          <w:fldChar w:fldCharType="begin"/>
        </w:r>
        <w:r w:rsidR="009C0541">
          <w:rPr>
            <w:noProof/>
            <w:webHidden/>
          </w:rPr>
          <w:instrText xml:space="preserve"> PAGEREF _Toc37087746 \h </w:instrText>
        </w:r>
        <w:r w:rsidR="009C0541">
          <w:rPr>
            <w:noProof/>
            <w:webHidden/>
          </w:rPr>
        </w:r>
        <w:r w:rsidR="009C0541">
          <w:rPr>
            <w:noProof/>
            <w:webHidden/>
          </w:rPr>
          <w:fldChar w:fldCharType="separate"/>
        </w:r>
        <w:r w:rsidR="0092747F">
          <w:rPr>
            <w:noProof/>
            <w:webHidden/>
          </w:rPr>
          <w:t>5</w:t>
        </w:r>
        <w:r w:rsidR="009C0541">
          <w:rPr>
            <w:noProof/>
            <w:webHidden/>
          </w:rPr>
          <w:fldChar w:fldCharType="end"/>
        </w:r>
      </w:hyperlink>
    </w:p>
    <w:p w14:paraId="744AEF94" w14:textId="356A59F1" w:rsidR="009C0541" w:rsidRDefault="00C724F7">
      <w:pPr>
        <w:pStyle w:val="TableofFigures"/>
        <w:tabs>
          <w:tab w:val="right" w:leader="dot" w:pos="9350"/>
        </w:tabs>
        <w:rPr>
          <w:rFonts w:eastAsiaTheme="minorEastAsia"/>
          <w:noProof/>
        </w:rPr>
      </w:pPr>
      <w:hyperlink w:anchor="_Toc37087747" w:history="1">
        <w:r w:rsidR="009C0541" w:rsidRPr="00C83ED8">
          <w:rPr>
            <w:rStyle w:val="Hyperlink"/>
            <w:noProof/>
          </w:rPr>
          <w:t>Figure 4- Illustration of wellbore instability in naturally fractured formation with presence of overgauge (Pasic et al. 2007)</w:t>
        </w:r>
        <w:r w:rsidR="009C0541">
          <w:rPr>
            <w:noProof/>
            <w:webHidden/>
          </w:rPr>
          <w:tab/>
        </w:r>
        <w:r w:rsidR="009C0541">
          <w:rPr>
            <w:noProof/>
            <w:webHidden/>
          </w:rPr>
          <w:fldChar w:fldCharType="begin"/>
        </w:r>
        <w:r w:rsidR="009C0541">
          <w:rPr>
            <w:noProof/>
            <w:webHidden/>
          </w:rPr>
          <w:instrText xml:space="preserve"> PAGEREF _Toc37087747 \h </w:instrText>
        </w:r>
        <w:r w:rsidR="009C0541">
          <w:rPr>
            <w:noProof/>
            <w:webHidden/>
          </w:rPr>
        </w:r>
        <w:r w:rsidR="009C0541">
          <w:rPr>
            <w:noProof/>
            <w:webHidden/>
          </w:rPr>
          <w:fldChar w:fldCharType="separate"/>
        </w:r>
        <w:r w:rsidR="0092747F">
          <w:rPr>
            <w:noProof/>
            <w:webHidden/>
          </w:rPr>
          <w:t>9</w:t>
        </w:r>
        <w:r w:rsidR="009C0541">
          <w:rPr>
            <w:noProof/>
            <w:webHidden/>
          </w:rPr>
          <w:fldChar w:fldCharType="end"/>
        </w:r>
      </w:hyperlink>
    </w:p>
    <w:p w14:paraId="79D60456" w14:textId="1991035A" w:rsidR="009C0541" w:rsidRDefault="00C724F7">
      <w:pPr>
        <w:pStyle w:val="TableofFigures"/>
        <w:tabs>
          <w:tab w:val="right" w:leader="dot" w:pos="9350"/>
        </w:tabs>
        <w:rPr>
          <w:rFonts w:eastAsiaTheme="minorEastAsia"/>
          <w:noProof/>
        </w:rPr>
      </w:pPr>
      <w:hyperlink w:anchor="_Toc37087748" w:history="1">
        <w:r w:rsidR="009C0541" w:rsidRPr="00C83ED8">
          <w:rPr>
            <w:rStyle w:val="Hyperlink"/>
            <w:noProof/>
          </w:rPr>
          <w:t>Figure 5- Record of non-productive time from well A drilled into TMS</w:t>
        </w:r>
        <w:r w:rsidR="009C0541">
          <w:rPr>
            <w:noProof/>
            <w:webHidden/>
          </w:rPr>
          <w:tab/>
        </w:r>
        <w:r w:rsidR="009C0541">
          <w:rPr>
            <w:noProof/>
            <w:webHidden/>
          </w:rPr>
          <w:fldChar w:fldCharType="begin"/>
        </w:r>
        <w:r w:rsidR="009C0541">
          <w:rPr>
            <w:noProof/>
            <w:webHidden/>
          </w:rPr>
          <w:instrText xml:space="preserve"> PAGEREF _Toc37087748 \h </w:instrText>
        </w:r>
        <w:r w:rsidR="009C0541">
          <w:rPr>
            <w:noProof/>
            <w:webHidden/>
          </w:rPr>
        </w:r>
        <w:r w:rsidR="009C0541">
          <w:rPr>
            <w:noProof/>
            <w:webHidden/>
          </w:rPr>
          <w:fldChar w:fldCharType="separate"/>
        </w:r>
        <w:r w:rsidR="0092747F">
          <w:rPr>
            <w:noProof/>
            <w:webHidden/>
          </w:rPr>
          <w:t>13</w:t>
        </w:r>
        <w:r w:rsidR="009C0541">
          <w:rPr>
            <w:noProof/>
            <w:webHidden/>
          </w:rPr>
          <w:fldChar w:fldCharType="end"/>
        </w:r>
      </w:hyperlink>
    </w:p>
    <w:p w14:paraId="227155F3" w14:textId="360871D0" w:rsidR="009C0541" w:rsidRDefault="00C724F7">
      <w:pPr>
        <w:pStyle w:val="TableofFigures"/>
        <w:tabs>
          <w:tab w:val="right" w:leader="dot" w:pos="9350"/>
        </w:tabs>
        <w:rPr>
          <w:rFonts w:eastAsiaTheme="minorEastAsia"/>
          <w:noProof/>
        </w:rPr>
      </w:pPr>
      <w:hyperlink w:anchor="_Toc37087749" w:history="1">
        <w:r w:rsidR="009C0541" w:rsidRPr="00C83ED8">
          <w:rPr>
            <w:rStyle w:val="Hyperlink"/>
            <w:noProof/>
          </w:rPr>
          <w:t>Figure 6</w:t>
        </w:r>
        <w:r w:rsidR="009C0541" w:rsidRPr="00C83ED8">
          <w:rPr>
            <w:rStyle w:val="Hyperlink"/>
            <w:bCs/>
            <w:noProof/>
          </w:rPr>
          <w:t>-</w:t>
        </w:r>
        <w:r w:rsidR="009C0541" w:rsidRPr="00C83ED8">
          <w:rPr>
            <w:rStyle w:val="Hyperlink"/>
            <w:noProof/>
          </w:rPr>
          <w:t xml:space="preserve"> Relationship between bit balling and water content (Van Oort 1997)</w:t>
        </w:r>
        <w:r w:rsidR="009C0541">
          <w:rPr>
            <w:noProof/>
            <w:webHidden/>
          </w:rPr>
          <w:tab/>
        </w:r>
        <w:r w:rsidR="009C0541">
          <w:rPr>
            <w:noProof/>
            <w:webHidden/>
          </w:rPr>
          <w:fldChar w:fldCharType="begin"/>
        </w:r>
        <w:r w:rsidR="009C0541">
          <w:rPr>
            <w:noProof/>
            <w:webHidden/>
          </w:rPr>
          <w:instrText xml:space="preserve"> PAGEREF _Toc37087749 \h </w:instrText>
        </w:r>
        <w:r w:rsidR="009C0541">
          <w:rPr>
            <w:noProof/>
            <w:webHidden/>
          </w:rPr>
        </w:r>
        <w:r w:rsidR="009C0541">
          <w:rPr>
            <w:noProof/>
            <w:webHidden/>
          </w:rPr>
          <w:fldChar w:fldCharType="separate"/>
        </w:r>
        <w:r w:rsidR="0092747F">
          <w:rPr>
            <w:noProof/>
            <w:webHidden/>
          </w:rPr>
          <w:t>14</w:t>
        </w:r>
        <w:r w:rsidR="009C0541">
          <w:rPr>
            <w:noProof/>
            <w:webHidden/>
          </w:rPr>
          <w:fldChar w:fldCharType="end"/>
        </w:r>
      </w:hyperlink>
    </w:p>
    <w:p w14:paraId="70FB04BF" w14:textId="77BDE3EB" w:rsidR="009C0541" w:rsidRDefault="00C724F7">
      <w:pPr>
        <w:pStyle w:val="TableofFigures"/>
        <w:tabs>
          <w:tab w:val="right" w:leader="dot" w:pos="9350"/>
        </w:tabs>
        <w:rPr>
          <w:rFonts w:eastAsiaTheme="minorEastAsia"/>
          <w:noProof/>
        </w:rPr>
      </w:pPr>
      <w:hyperlink w:anchor="_Toc37087750" w:history="1">
        <w:r w:rsidR="009C0541" w:rsidRPr="00C83ED8">
          <w:rPr>
            <w:rStyle w:val="Hyperlink"/>
            <w:noProof/>
          </w:rPr>
          <w:t>Figure 7</w:t>
        </w:r>
        <w:r w:rsidR="009C0541" w:rsidRPr="00C83ED8">
          <w:rPr>
            <w:rStyle w:val="Hyperlink"/>
            <w:bCs/>
            <w:noProof/>
          </w:rPr>
          <w:t>-</w:t>
        </w:r>
        <w:r w:rsidR="009C0541" w:rsidRPr="00C83ED8">
          <w:rPr>
            <w:rStyle w:val="Hyperlink"/>
            <w:noProof/>
          </w:rPr>
          <w:t xml:space="preserve"> Illustration of classification of common lost circulations</w:t>
        </w:r>
        <w:r w:rsidR="009C0541">
          <w:rPr>
            <w:noProof/>
            <w:webHidden/>
          </w:rPr>
          <w:tab/>
        </w:r>
        <w:r w:rsidR="009C0541">
          <w:rPr>
            <w:noProof/>
            <w:webHidden/>
          </w:rPr>
          <w:fldChar w:fldCharType="begin"/>
        </w:r>
        <w:r w:rsidR="009C0541">
          <w:rPr>
            <w:noProof/>
            <w:webHidden/>
          </w:rPr>
          <w:instrText xml:space="preserve"> PAGEREF _Toc37087750 \h </w:instrText>
        </w:r>
        <w:r w:rsidR="009C0541">
          <w:rPr>
            <w:noProof/>
            <w:webHidden/>
          </w:rPr>
        </w:r>
        <w:r w:rsidR="009C0541">
          <w:rPr>
            <w:noProof/>
            <w:webHidden/>
          </w:rPr>
          <w:fldChar w:fldCharType="separate"/>
        </w:r>
        <w:r w:rsidR="0092747F">
          <w:rPr>
            <w:noProof/>
            <w:webHidden/>
          </w:rPr>
          <w:t>16</w:t>
        </w:r>
        <w:r w:rsidR="009C0541">
          <w:rPr>
            <w:noProof/>
            <w:webHidden/>
          </w:rPr>
          <w:fldChar w:fldCharType="end"/>
        </w:r>
      </w:hyperlink>
    </w:p>
    <w:p w14:paraId="68F1F970" w14:textId="334BA880" w:rsidR="009C0541" w:rsidRDefault="00C724F7">
      <w:pPr>
        <w:pStyle w:val="TableofFigures"/>
        <w:tabs>
          <w:tab w:val="right" w:leader="dot" w:pos="9350"/>
        </w:tabs>
        <w:rPr>
          <w:rFonts w:eastAsiaTheme="minorEastAsia"/>
          <w:noProof/>
        </w:rPr>
      </w:pPr>
      <w:hyperlink w:anchor="_Toc37087751" w:history="1">
        <w:r w:rsidR="009C0541" w:rsidRPr="00C83ED8">
          <w:rPr>
            <w:rStyle w:val="Hyperlink"/>
            <w:noProof/>
          </w:rPr>
          <w:t>Figure 8</w:t>
        </w:r>
        <w:r w:rsidR="009C0541" w:rsidRPr="00C83ED8">
          <w:rPr>
            <w:rStyle w:val="Hyperlink"/>
            <w:bCs/>
            <w:noProof/>
          </w:rPr>
          <w:t>-</w:t>
        </w:r>
        <w:r w:rsidR="009C0541" w:rsidRPr="00C83ED8">
          <w:rPr>
            <w:rStyle w:val="Hyperlink"/>
            <w:noProof/>
          </w:rPr>
          <w:t xml:space="preserve"> Most common lost circulation treatment actions (Ezeakacha 2019, Konate et al. 2019, Frates et al. 2014)</w:t>
        </w:r>
        <w:r w:rsidR="009C0541">
          <w:rPr>
            <w:noProof/>
            <w:webHidden/>
          </w:rPr>
          <w:tab/>
        </w:r>
        <w:r w:rsidR="009C0541">
          <w:rPr>
            <w:noProof/>
            <w:webHidden/>
          </w:rPr>
          <w:fldChar w:fldCharType="begin"/>
        </w:r>
        <w:r w:rsidR="009C0541">
          <w:rPr>
            <w:noProof/>
            <w:webHidden/>
          </w:rPr>
          <w:instrText xml:space="preserve"> PAGEREF _Toc37087751 \h </w:instrText>
        </w:r>
        <w:r w:rsidR="009C0541">
          <w:rPr>
            <w:noProof/>
            <w:webHidden/>
          </w:rPr>
        </w:r>
        <w:r w:rsidR="009C0541">
          <w:rPr>
            <w:noProof/>
            <w:webHidden/>
          </w:rPr>
          <w:fldChar w:fldCharType="separate"/>
        </w:r>
        <w:r w:rsidR="0092747F">
          <w:rPr>
            <w:noProof/>
            <w:webHidden/>
          </w:rPr>
          <w:t>18</w:t>
        </w:r>
        <w:r w:rsidR="009C0541">
          <w:rPr>
            <w:noProof/>
            <w:webHidden/>
          </w:rPr>
          <w:fldChar w:fldCharType="end"/>
        </w:r>
      </w:hyperlink>
    </w:p>
    <w:p w14:paraId="25FB26D0" w14:textId="2BE67E9F" w:rsidR="009C0541" w:rsidRDefault="00C724F7">
      <w:pPr>
        <w:pStyle w:val="TableofFigures"/>
        <w:tabs>
          <w:tab w:val="right" w:leader="dot" w:pos="9350"/>
        </w:tabs>
        <w:rPr>
          <w:rFonts w:eastAsiaTheme="minorEastAsia"/>
          <w:noProof/>
        </w:rPr>
      </w:pPr>
      <w:hyperlink w:anchor="_Toc37087752" w:history="1">
        <w:r w:rsidR="009C0541" w:rsidRPr="00C83ED8">
          <w:rPr>
            <w:rStyle w:val="Hyperlink"/>
            <w:noProof/>
          </w:rPr>
          <w:t>Figure 9</w:t>
        </w:r>
        <w:r w:rsidR="009C0541" w:rsidRPr="00C83ED8">
          <w:rPr>
            <w:rStyle w:val="Hyperlink"/>
            <w:bCs/>
            <w:noProof/>
          </w:rPr>
          <w:t>-</w:t>
        </w:r>
        <w:r w:rsidR="009C0541" w:rsidRPr="00C83ED8">
          <w:rPr>
            <w:rStyle w:val="Hyperlink"/>
            <w:noProof/>
          </w:rPr>
          <w:t>Octahedral sheet of a clay (Murray, 2007)</w:t>
        </w:r>
        <w:r w:rsidR="009C0541">
          <w:rPr>
            <w:noProof/>
            <w:webHidden/>
          </w:rPr>
          <w:tab/>
        </w:r>
        <w:r w:rsidR="009C0541">
          <w:rPr>
            <w:noProof/>
            <w:webHidden/>
          </w:rPr>
          <w:fldChar w:fldCharType="begin"/>
        </w:r>
        <w:r w:rsidR="009C0541">
          <w:rPr>
            <w:noProof/>
            <w:webHidden/>
          </w:rPr>
          <w:instrText xml:space="preserve"> PAGEREF _Toc37087752 \h </w:instrText>
        </w:r>
        <w:r w:rsidR="009C0541">
          <w:rPr>
            <w:noProof/>
            <w:webHidden/>
          </w:rPr>
        </w:r>
        <w:r w:rsidR="009C0541">
          <w:rPr>
            <w:noProof/>
            <w:webHidden/>
          </w:rPr>
          <w:fldChar w:fldCharType="separate"/>
        </w:r>
        <w:r w:rsidR="0092747F">
          <w:rPr>
            <w:noProof/>
            <w:webHidden/>
          </w:rPr>
          <w:t>21</w:t>
        </w:r>
        <w:r w:rsidR="009C0541">
          <w:rPr>
            <w:noProof/>
            <w:webHidden/>
          </w:rPr>
          <w:fldChar w:fldCharType="end"/>
        </w:r>
      </w:hyperlink>
    </w:p>
    <w:p w14:paraId="2F0CCD55" w14:textId="0C0D04AD" w:rsidR="009C0541" w:rsidRDefault="00C724F7">
      <w:pPr>
        <w:pStyle w:val="TableofFigures"/>
        <w:tabs>
          <w:tab w:val="right" w:leader="dot" w:pos="9350"/>
        </w:tabs>
        <w:rPr>
          <w:rFonts w:eastAsiaTheme="minorEastAsia"/>
          <w:noProof/>
        </w:rPr>
      </w:pPr>
      <w:hyperlink w:anchor="_Toc37087753" w:history="1">
        <w:r w:rsidR="009C0541" w:rsidRPr="00C83ED8">
          <w:rPr>
            <w:rStyle w:val="Hyperlink"/>
            <w:noProof/>
          </w:rPr>
          <w:t>Figure 10- Tetrahedral sheet of a clay mineral (Murray, 2007)</w:t>
        </w:r>
        <w:r w:rsidR="009C0541">
          <w:rPr>
            <w:noProof/>
            <w:webHidden/>
          </w:rPr>
          <w:tab/>
        </w:r>
        <w:r w:rsidR="009C0541">
          <w:rPr>
            <w:noProof/>
            <w:webHidden/>
          </w:rPr>
          <w:fldChar w:fldCharType="begin"/>
        </w:r>
        <w:r w:rsidR="009C0541">
          <w:rPr>
            <w:noProof/>
            <w:webHidden/>
          </w:rPr>
          <w:instrText xml:space="preserve"> PAGEREF _Toc37087753 \h </w:instrText>
        </w:r>
        <w:r w:rsidR="009C0541">
          <w:rPr>
            <w:noProof/>
            <w:webHidden/>
          </w:rPr>
        </w:r>
        <w:r w:rsidR="009C0541">
          <w:rPr>
            <w:noProof/>
            <w:webHidden/>
          </w:rPr>
          <w:fldChar w:fldCharType="separate"/>
        </w:r>
        <w:r w:rsidR="0092747F">
          <w:rPr>
            <w:noProof/>
            <w:webHidden/>
          </w:rPr>
          <w:t>21</w:t>
        </w:r>
        <w:r w:rsidR="009C0541">
          <w:rPr>
            <w:noProof/>
            <w:webHidden/>
          </w:rPr>
          <w:fldChar w:fldCharType="end"/>
        </w:r>
      </w:hyperlink>
    </w:p>
    <w:p w14:paraId="192E1291" w14:textId="41DF87E5" w:rsidR="009C0541" w:rsidRDefault="00C724F7">
      <w:pPr>
        <w:pStyle w:val="TableofFigures"/>
        <w:tabs>
          <w:tab w:val="right" w:leader="dot" w:pos="9350"/>
        </w:tabs>
        <w:rPr>
          <w:rFonts w:eastAsiaTheme="minorEastAsia"/>
          <w:noProof/>
        </w:rPr>
      </w:pPr>
      <w:hyperlink w:anchor="_Toc37087754" w:history="1">
        <w:r w:rsidR="009C0541" w:rsidRPr="00C83ED8">
          <w:rPr>
            <w:rStyle w:val="Hyperlink"/>
            <w:noProof/>
          </w:rPr>
          <w:t>Figure 11</w:t>
        </w:r>
        <w:r w:rsidR="009C0541" w:rsidRPr="00C83ED8">
          <w:rPr>
            <w:rStyle w:val="Hyperlink"/>
            <w:bCs/>
            <w:noProof/>
          </w:rPr>
          <w:t>-</w:t>
        </w:r>
        <w:r w:rsidR="009C0541" w:rsidRPr="00C83ED8">
          <w:rPr>
            <w:rStyle w:val="Hyperlink"/>
            <w:noProof/>
          </w:rPr>
          <w:t xml:space="preserve"> Scanning electron microscopic illustration of common clay minerals (Tovey 1971)</w:t>
        </w:r>
        <w:r w:rsidR="009C0541">
          <w:rPr>
            <w:noProof/>
            <w:webHidden/>
          </w:rPr>
          <w:tab/>
        </w:r>
        <w:r w:rsidR="009C0541">
          <w:rPr>
            <w:noProof/>
            <w:webHidden/>
          </w:rPr>
          <w:fldChar w:fldCharType="begin"/>
        </w:r>
        <w:r w:rsidR="009C0541">
          <w:rPr>
            <w:noProof/>
            <w:webHidden/>
          </w:rPr>
          <w:instrText xml:space="preserve"> PAGEREF _Toc37087754 \h </w:instrText>
        </w:r>
        <w:r w:rsidR="009C0541">
          <w:rPr>
            <w:noProof/>
            <w:webHidden/>
          </w:rPr>
        </w:r>
        <w:r w:rsidR="009C0541">
          <w:rPr>
            <w:noProof/>
            <w:webHidden/>
          </w:rPr>
          <w:fldChar w:fldCharType="separate"/>
        </w:r>
        <w:r w:rsidR="0092747F">
          <w:rPr>
            <w:noProof/>
            <w:webHidden/>
          </w:rPr>
          <w:t>24</w:t>
        </w:r>
        <w:r w:rsidR="009C0541">
          <w:rPr>
            <w:noProof/>
            <w:webHidden/>
          </w:rPr>
          <w:fldChar w:fldCharType="end"/>
        </w:r>
      </w:hyperlink>
    </w:p>
    <w:p w14:paraId="178B129B" w14:textId="720F75F9" w:rsidR="009C0541" w:rsidRDefault="00C724F7">
      <w:pPr>
        <w:pStyle w:val="TableofFigures"/>
        <w:tabs>
          <w:tab w:val="right" w:leader="dot" w:pos="9350"/>
        </w:tabs>
        <w:rPr>
          <w:rFonts w:eastAsiaTheme="minorEastAsia"/>
          <w:noProof/>
        </w:rPr>
      </w:pPr>
      <w:hyperlink w:anchor="_Toc37087755" w:history="1">
        <w:r w:rsidR="009C0541" w:rsidRPr="00C83ED8">
          <w:rPr>
            <w:rStyle w:val="Hyperlink"/>
            <w:noProof/>
          </w:rPr>
          <w:t>Figure 12</w:t>
        </w:r>
        <w:r w:rsidR="009C0541" w:rsidRPr="00C83ED8">
          <w:rPr>
            <w:rStyle w:val="Hyperlink"/>
            <w:bCs/>
            <w:noProof/>
          </w:rPr>
          <w:t>-</w:t>
        </w:r>
        <w:r w:rsidR="009C0541" w:rsidRPr="00C83ED8">
          <w:rPr>
            <w:rStyle w:val="Hyperlink"/>
            <w:noProof/>
          </w:rPr>
          <w:t xml:space="preserve"> Primary and secondary function of an effective drilling fluid</w:t>
        </w:r>
        <w:r w:rsidR="009C0541">
          <w:rPr>
            <w:noProof/>
            <w:webHidden/>
          </w:rPr>
          <w:tab/>
        </w:r>
        <w:r w:rsidR="009C0541">
          <w:rPr>
            <w:noProof/>
            <w:webHidden/>
          </w:rPr>
          <w:fldChar w:fldCharType="begin"/>
        </w:r>
        <w:r w:rsidR="009C0541">
          <w:rPr>
            <w:noProof/>
            <w:webHidden/>
          </w:rPr>
          <w:instrText xml:space="preserve"> PAGEREF _Toc37087755 \h </w:instrText>
        </w:r>
        <w:r w:rsidR="009C0541">
          <w:rPr>
            <w:noProof/>
            <w:webHidden/>
          </w:rPr>
        </w:r>
        <w:r w:rsidR="009C0541">
          <w:rPr>
            <w:noProof/>
            <w:webHidden/>
          </w:rPr>
          <w:fldChar w:fldCharType="separate"/>
        </w:r>
        <w:r w:rsidR="0092747F">
          <w:rPr>
            <w:noProof/>
            <w:webHidden/>
          </w:rPr>
          <w:t>28</w:t>
        </w:r>
        <w:r w:rsidR="009C0541">
          <w:rPr>
            <w:noProof/>
            <w:webHidden/>
          </w:rPr>
          <w:fldChar w:fldCharType="end"/>
        </w:r>
      </w:hyperlink>
    </w:p>
    <w:p w14:paraId="4D557430" w14:textId="37668B6B" w:rsidR="009C0541" w:rsidRDefault="00C724F7">
      <w:pPr>
        <w:pStyle w:val="TableofFigures"/>
        <w:tabs>
          <w:tab w:val="right" w:leader="dot" w:pos="9350"/>
        </w:tabs>
        <w:rPr>
          <w:rFonts w:eastAsiaTheme="minorEastAsia"/>
          <w:noProof/>
        </w:rPr>
      </w:pPr>
      <w:hyperlink w:anchor="_Toc37087756" w:history="1">
        <w:r w:rsidR="009C0541" w:rsidRPr="00C83ED8">
          <w:rPr>
            <w:rStyle w:val="Hyperlink"/>
            <w:noProof/>
          </w:rPr>
          <w:t>Figure 13</w:t>
        </w:r>
        <w:r w:rsidR="009C0541" w:rsidRPr="00C83ED8">
          <w:rPr>
            <w:rStyle w:val="Hyperlink"/>
            <w:bCs/>
            <w:noProof/>
          </w:rPr>
          <w:t>-</w:t>
        </w:r>
        <w:r w:rsidR="009C0541" w:rsidRPr="00C83ED8">
          <w:rPr>
            <w:rStyle w:val="Hyperlink"/>
            <w:noProof/>
          </w:rPr>
          <w:t xml:space="preserve"> different range of density covered by formate brine fluids (Howard, Formate Technical Manual)</w:t>
        </w:r>
        <w:r w:rsidR="009C0541">
          <w:rPr>
            <w:noProof/>
            <w:webHidden/>
          </w:rPr>
          <w:tab/>
        </w:r>
        <w:r w:rsidR="009C0541">
          <w:rPr>
            <w:noProof/>
            <w:webHidden/>
          </w:rPr>
          <w:fldChar w:fldCharType="begin"/>
        </w:r>
        <w:r w:rsidR="009C0541">
          <w:rPr>
            <w:noProof/>
            <w:webHidden/>
          </w:rPr>
          <w:instrText xml:space="preserve"> PAGEREF _Toc37087756 \h </w:instrText>
        </w:r>
        <w:r w:rsidR="009C0541">
          <w:rPr>
            <w:noProof/>
            <w:webHidden/>
          </w:rPr>
        </w:r>
        <w:r w:rsidR="009C0541">
          <w:rPr>
            <w:noProof/>
            <w:webHidden/>
          </w:rPr>
          <w:fldChar w:fldCharType="separate"/>
        </w:r>
        <w:r w:rsidR="0092747F">
          <w:rPr>
            <w:noProof/>
            <w:webHidden/>
          </w:rPr>
          <w:t>31</w:t>
        </w:r>
        <w:r w:rsidR="009C0541">
          <w:rPr>
            <w:noProof/>
            <w:webHidden/>
          </w:rPr>
          <w:fldChar w:fldCharType="end"/>
        </w:r>
      </w:hyperlink>
    </w:p>
    <w:p w14:paraId="625731E6" w14:textId="24F01056" w:rsidR="009C0541" w:rsidRDefault="00C724F7">
      <w:pPr>
        <w:pStyle w:val="TableofFigures"/>
        <w:tabs>
          <w:tab w:val="right" w:leader="dot" w:pos="9350"/>
        </w:tabs>
        <w:rPr>
          <w:rFonts w:eastAsiaTheme="minorEastAsia"/>
          <w:noProof/>
        </w:rPr>
      </w:pPr>
      <w:hyperlink w:anchor="_Toc37087757" w:history="1">
        <w:r w:rsidR="009C0541" w:rsidRPr="00C83ED8">
          <w:rPr>
            <w:rStyle w:val="Hyperlink"/>
            <w:noProof/>
          </w:rPr>
          <w:t>Figure 14</w:t>
        </w:r>
        <w:r w:rsidR="009C0541" w:rsidRPr="00C83ED8">
          <w:rPr>
            <w:rStyle w:val="Hyperlink"/>
            <w:bCs/>
            <w:noProof/>
          </w:rPr>
          <w:t>-</w:t>
        </w:r>
        <w:r w:rsidR="009C0541" w:rsidRPr="00C83ED8">
          <w:rPr>
            <w:rStyle w:val="Hyperlink"/>
            <w:noProof/>
          </w:rPr>
          <w:t xml:space="preserve"> Automatic M3600 viscometer</w:t>
        </w:r>
        <w:r w:rsidR="009C0541">
          <w:rPr>
            <w:noProof/>
            <w:webHidden/>
          </w:rPr>
          <w:tab/>
        </w:r>
        <w:r w:rsidR="009C0541">
          <w:rPr>
            <w:noProof/>
            <w:webHidden/>
          </w:rPr>
          <w:fldChar w:fldCharType="begin"/>
        </w:r>
        <w:r w:rsidR="009C0541">
          <w:rPr>
            <w:noProof/>
            <w:webHidden/>
          </w:rPr>
          <w:instrText xml:space="preserve"> PAGEREF _Toc37087757 \h </w:instrText>
        </w:r>
        <w:r w:rsidR="009C0541">
          <w:rPr>
            <w:noProof/>
            <w:webHidden/>
          </w:rPr>
        </w:r>
        <w:r w:rsidR="009C0541">
          <w:rPr>
            <w:noProof/>
            <w:webHidden/>
          </w:rPr>
          <w:fldChar w:fldCharType="separate"/>
        </w:r>
        <w:r w:rsidR="0092747F">
          <w:rPr>
            <w:noProof/>
            <w:webHidden/>
          </w:rPr>
          <w:t>38</w:t>
        </w:r>
        <w:r w:rsidR="009C0541">
          <w:rPr>
            <w:noProof/>
            <w:webHidden/>
          </w:rPr>
          <w:fldChar w:fldCharType="end"/>
        </w:r>
      </w:hyperlink>
    </w:p>
    <w:p w14:paraId="462223F0" w14:textId="710678D5" w:rsidR="009C0541" w:rsidRDefault="00C724F7">
      <w:pPr>
        <w:pStyle w:val="TableofFigures"/>
        <w:tabs>
          <w:tab w:val="right" w:leader="dot" w:pos="9350"/>
        </w:tabs>
        <w:rPr>
          <w:rFonts w:eastAsiaTheme="minorEastAsia"/>
          <w:noProof/>
        </w:rPr>
      </w:pPr>
      <w:hyperlink w:anchor="_Toc37087758" w:history="1">
        <w:r w:rsidR="009C0541" w:rsidRPr="00C83ED8">
          <w:rPr>
            <w:rStyle w:val="Hyperlink"/>
            <w:noProof/>
          </w:rPr>
          <w:t>Figure 15</w:t>
        </w:r>
        <w:r w:rsidR="009C0541" w:rsidRPr="00C83ED8">
          <w:rPr>
            <w:rStyle w:val="Hyperlink"/>
            <w:bCs/>
            <w:noProof/>
          </w:rPr>
          <w:t>-</w:t>
        </w:r>
        <w:r w:rsidR="009C0541" w:rsidRPr="00C83ED8">
          <w:rPr>
            <w:rStyle w:val="Hyperlink"/>
            <w:noProof/>
          </w:rPr>
          <w:t xml:space="preserve"> FTIR spectrometer for mineralogy testing</w:t>
        </w:r>
        <w:r w:rsidR="009C0541">
          <w:rPr>
            <w:noProof/>
            <w:webHidden/>
          </w:rPr>
          <w:tab/>
        </w:r>
        <w:r w:rsidR="009C0541">
          <w:rPr>
            <w:noProof/>
            <w:webHidden/>
          </w:rPr>
          <w:fldChar w:fldCharType="begin"/>
        </w:r>
        <w:r w:rsidR="009C0541">
          <w:rPr>
            <w:noProof/>
            <w:webHidden/>
          </w:rPr>
          <w:instrText xml:space="preserve"> PAGEREF _Toc37087758 \h </w:instrText>
        </w:r>
        <w:r w:rsidR="009C0541">
          <w:rPr>
            <w:noProof/>
            <w:webHidden/>
          </w:rPr>
        </w:r>
        <w:r w:rsidR="009C0541">
          <w:rPr>
            <w:noProof/>
            <w:webHidden/>
          </w:rPr>
          <w:fldChar w:fldCharType="separate"/>
        </w:r>
        <w:r w:rsidR="0092747F">
          <w:rPr>
            <w:noProof/>
            <w:webHidden/>
          </w:rPr>
          <w:t>39</w:t>
        </w:r>
        <w:r w:rsidR="009C0541">
          <w:rPr>
            <w:noProof/>
            <w:webHidden/>
          </w:rPr>
          <w:fldChar w:fldCharType="end"/>
        </w:r>
      </w:hyperlink>
    </w:p>
    <w:p w14:paraId="26C990CC" w14:textId="3275B7B4" w:rsidR="009C0541" w:rsidRDefault="00C724F7">
      <w:pPr>
        <w:pStyle w:val="TableofFigures"/>
        <w:tabs>
          <w:tab w:val="right" w:leader="dot" w:pos="9350"/>
        </w:tabs>
        <w:rPr>
          <w:rFonts w:eastAsiaTheme="minorEastAsia"/>
          <w:noProof/>
        </w:rPr>
      </w:pPr>
      <w:hyperlink w:anchor="_Toc37087759" w:history="1">
        <w:r w:rsidR="009C0541" w:rsidRPr="00C83ED8">
          <w:rPr>
            <w:rStyle w:val="Hyperlink"/>
            <w:noProof/>
          </w:rPr>
          <w:t>Figure 16</w:t>
        </w:r>
        <w:r w:rsidR="009C0541" w:rsidRPr="00C83ED8">
          <w:rPr>
            <w:rStyle w:val="Hyperlink"/>
            <w:bCs/>
            <w:noProof/>
            <w:lang w:val="en-GB" w:eastAsia="cs-CZ"/>
          </w:rPr>
          <w:t>-</w:t>
        </w:r>
        <w:r w:rsidR="009C0541" w:rsidRPr="00C83ED8">
          <w:rPr>
            <w:rStyle w:val="Hyperlink"/>
            <w:noProof/>
            <w:lang w:val="en-GB" w:eastAsia="cs-CZ"/>
          </w:rPr>
          <w:t xml:space="preserve"> Illustration of swelling testing procedure using a graduated cylinder (a) initial state and (b) final state after a specified period of time</w:t>
        </w:r>
        <w:r w:rsidR="009C0541">
          <w:rPr>
            <w:noProof/>
            <w:webHidden/>
          </w:rPr>
          <w:tab/>
        </w:r>
        <w:r w:rsidR="009C0541">
          <w:rPr>
            <w:noProof/>
            <w:webHidden/>
          </w:rPr>
          <w:fldChar w:fldCharType="begin"/>
        </w:r>
        <w:r w:rsidR="009C0541">
          <w:rPr>
            <w:noProof/>
            <w:webHidden/>
          </w:rPr>
          <w:instrText xml:space="preserve"> PAGEREF _Toc37087759 \h </w:instrText>
        </w:r>
        <w:r w:rsidR="009C0541">
          <w:rPr>
            <w:noProof/>
            <w:webHidden/>
          </w:rPr>
        </w:r>
        <w:r w:rsidR="009C0541">
          <w:rPr>
            <w:noProof/>
            <w:webHidden/>
          </w:rPr>
          <w:fldChar w:fldCharType="separate"/>
        </w:r>
        <w:r w:rsidR="0092747F">
          <w:rPr>
            <w:noProof/>
            <w:webHidden/>
          </w:rPr>
          <w:t>42</w:t>
        </w:r>
        <w:r w:rsidR="009C0541">
          <w:rPr>
            <w:noProof/>
            <w:webHidden/>
          </w:rPr>
          <w:fldChar w:fldCharType="end"/>
        </w:r>
      </w:hyperlink>
    </w:p>
    <w:p w14:paraId="1DC49716" w14:textId="70AC2782" w:rsidR="009C0541" w:rsidRDefault="00C724F7">
      <w:pPr>
        <w:pStyle w:val="TableofFigures"/>
        <w:tabs>
          <w:tab w:val="right" w:leader="dot" w:pos="9350"/>
        </w:tabs>
        <w:rPr>
          <w:rFonts w:eastAsiaTheme="minorEastAsia"/>
          <w:noProof/>
        </w:rPr>
      </w:pPr>
      <w:hyperlink w:anchor="_Toc37087760" w:history="1">
        <w:r w:rsidR="009C0541" w:rsidRPr="00C83ED8">
          <w:rPr>
            <w:rStyle w:val="Hyperlink"/>
            <w:noProof/>
          </w:rPr>
          <w:t>Figure 17</w:t>
        </w:r>
        <w:r w:rsidR="009C0541" w:rsidRPr="00C83ED8">
          <w:rPr>
            <w:rStyle w:val="Hyperlink"/>
            <w:rFonts w:eastAsia="Calibri"/>
            <w:bCs/>
            <w:noProof/>
            <w:lang w:val="en-GB"/>
          </w:rPr>
          <w:t>-</w:t>
        </w:r>
        <w:r w:rsidR="009C0541" w:rsidRPr="00C83ED8">
          <w:rPr>
            <w:rStyle w:val="Hyperlink"/>
            <w:rFonts w:eastAsia="Calibri"/>
            <w:noProof/>
            <w:lang w:val="en-GB"/>
          </w:rPr>
          <w:t xml:space="preserve"> Vertical cylindrical core samples prepared from well A for drilling operations</w:t>
        </w:r>
        <w:r w:rsidR="009C0541">
          <w:rPr>
            <w:noProof/>
            <w:webHidden/>
          </w:rPr>
          <w:tab/>
        </w:r>
        <w:r w:rsidR="009C0541">
          <w:rPr>
            <w:noProof/>
            <w:webHidden/>
          </w:rPr>
          <w:fldChar w:fldCharType="begin"/>
        </w:r>
        <w:r w:rsidR="009C0541">
          <w:rPr>
            <w:noProof/>
            <w:webHidden/>
          </w:rPr>
          <w:instrText xml:space="preserve"> PAGEREF _Toc37087760 \h </w:instrText>
        </w:r>
        <w:r w:rsidR="009C0541">
          <w:rPr>
            <w:noProof/>
            <w:webHidden/>
          </w:rPr>
        </w:r>
        <w:r w:rsidR="009C0541">
          <w:rPr>
            <w:noProof/>
            <w:webHidden/>
          </w:rPr>
          <w:fldChar w:fldCharType="separate"/>
        </w:r>
        <w:r w:rsidR="0092747F">
          <w:rPr>
            <w:noProof/>
            <w:webHidden/>
          </w:rPr>
          <w:t>44</w:t>
        </w:r>
        <w:r w:rsidR="009C0541">
          <w:rPr>
            <w:noProof/>
            <w:webHidden/>
          </w:rPr>
          <w:fldChar w:fldCharType="end"/>
        </w:r>
      </w:hyperlink>
    </w:p>
    <w:p w14:paraId="19E4EA95" w14:textId="70F67D92" w:rsidR="009C0541" w:rsidRDefault="00C724F7">
      <w:pPr>
        <w:pStyle w:val="TableofFigures"/>
        <w:tabs>
          <w:tab w:val="right" w:leader="dot" w:pos="9350"/>
        </w:tabs>
        <w:rPr>
          <w:rFonts w:eastAsiaTheme="minorEastAsia"/>
          <w:noProof/>
        </w:rPr>
      </w:pPr>
      <w:hyperlink w:anchor="_Toc37087761" w:history="1">
        <w:r w:rsidR="009C0541" w:rsidRPr="00C83ED8">
          <w:rPr>
            <w:rStyle w:val="Hyperlink"/>
            <w:noProof/>
          </w:rPr>
          <w:t>Figure 18</w:t>
        </w:r>
        <w:r w:rsidR="009C0541" w:rsidRPr="00C83ED8">
          <w:rPr>
            <w:rStyle w:val="Hyperlink"/>
            <w:rFonts w:eastAsia="Calibri"/>
            <w:bCs/>
            <w:noProof/>
            <w:lang w:val="en-GB"/>
          </w:rPr>
          <w:t>-</w:t>
        </w:r>
        <w:r w:rsidR="009C0541" w:rsidRPr="00C83ED8">
          <w:rPr>
            <w:rStyle w:val="Hyperlink"/>
            <w:rFonts w:eastAsia="Calibri"/>
            <w:noProof/>
            <w:lang w:val="en-GB"/>
          </w:rPr>
          <w:t xml:space="preserve"> Schematic of the dynamic drilling simulation setup</w:t>
        </w:r>
        <w:r w:rsidR="009C0541">
          <w:rPr>
            <w:noProof/>
            <w:webHidden/>
          </w:rPr>
          <w:tab/>
        </w:r>
        <w:r w:rsidR="009C0541">
          <w:rPr>
            <w:noProof/>
            <w:webHidden/>
          </w:rPr>
          <w:fldChar w:fldCharType="begin"/>
        </w:r>
        <w:r w:rsidR="009C0541">
          <w:rPr>
            <w:noProof/>
            <w:webHidden/>
          </w:rPr>
          <w:instrText xml:space="preserve"> PAGEREF _Toc37087761 \h </w:instrText>
        </w:r>
        <w:r w:rsidR="009C0541">
          <w:rPr>
            <w:noProof/>
            <w:webHidden/>
          </w:rPr>
        </w:r>
        <w:r w:rsidR="009C0541">
          <w:rPr>
            <w:noProof/>
            <w:webHidden/>
          </w:rPr>
          <w:fldChar w:fldCharType="separate"/>
        </w:r>
        <w:r w:rsidR="0092747F">
          <w:rPr>
            <w:noProof/>
            <w:webHidden/>
          </w:rPr>
          <w:t>45</w:t>
        </w:r>
        <w:r w:rsidR="009C0541">
          <w:rPr>
            <w:noProof/>
            <w:webHidden/>
          </w:rPr>
          <w:fldChar w:fldCharType="end"/>
        </w:r>
      </w:hyperlink>
    </w:p>
    <w:p w14:paraId="7E080375" w14:textId="10ABB8DC" w:rsidR="009C0541" w:rsidRDefault="00C724F7">
      <w:pPr>
        <w:pStyle w:val="TableofFigures"/>
        <w:tabs>
          <w:tab w:val="right" w:leader="dot" w:pos="9350"/>
        </w:tabs>
        <w:rPr>
          <w:rFonts w:eastAsiaTheme="minorEastAsia"/>
          <w:noProof/>
        </w:rPr>
      </w:pPr>
      <w:hyperlink w:anchor="_Toc37087762" w:history="1">
        <w:r w:rsidR="009C0541" w:rsidRPr="00C83ED8">
          <w:rPr>
            <w:rStyle w:val="Hyperlink"/>
            <w:noProof/>
          </w:rPr>
          <w:t>Figure 19</w:t>
        </w:r>
        <w:r w:rsidR="009C0541" w:rsidRPr="00C83ED8">
          <w:rPr>
            <w:rStyle w:val="Hyperlink"/>
            <w:bCs/>
            <w:noProof/>
          </w:rPr>
          <w:t>-</w:t>
        </w:r>
        <w:r w:rsidR="009C0541" w:rsidRPr="00C83ED8">
          <w:rPr>
            <w:rStyle w:val="Hyperlink"/>
            <w:noProof/>
          </w:rPr>
          <w:t xml:space="preserve"> Workflow of the dynamic drilling simulation setup</w:t>
        </w:r>
        <w:r w:rsidR="009C0541">
          <w:rPr>
            <w:noProof/>
            <w:webHidden/>
          </w:rPr>
          <w:tab/>
        </w:r>
        <w:r w:rsidR="009C0541">
          <w:rPr>
            <w:noProof/>
            <w:webHidden/>
          </w:rPr>
          <w:fldChar w:fldCharType="begin"/>
        </w:r>
        <w:r w:rsidR="009C0541">
          <w:rPr>
            <w:noProof/>
            <w:webHidden/>
          </w:rPr>
          <w:instrText xml:space="preserve"> PAGEREF _Toc37087762 \h </w:instrText>
        </w:r>
        <w:r w:rsidR="009C0541">
          <w:rPr>
            <w:noProof/>
            <w:webHidden/>
          </w:rPr>
        </w:r>
        <w:r w:rsidR="009C0541">
          <w:rPr>
            <w:noProof/>
            <w:webHidden/>
          </w:rPr>
          <w:fldChar w:fldCharType="separate"/>
        </w:r>
        <w:r w:rsidR="0092747F">
          <w:rPr>
            <w:noProof/>
            <w:webHidden/>
          </w:rPr>
          <w:t>46</w:t>
        </w:r>
        <w:r w:rsidR="009C0541">
          <w:rPr>
            <w:noProof/>
            <w:webHidden/>
          </w:rPr>
          <w:fldChar w:fldCharType="end"/>
        </w:r>
      </w:hyperlink>
    </w:p>
    <w:p w14:paraId="14799B97" w14:textId="69E5B906" w:rsidR="009C0541" w:rsidRDefault="00C724F7">
      <w:pPr>
        <w:pStyle w:val="TableofFigures"/>
        <w:tabs>
          <w:tab w:val="right" w:leader="dot" w:pos="9350"/>
        </w:tabs>
        <w:rPr>
          <w:rFonts w:eastAsiaTheme="minorEastAsia"/>
          <w:noProof/>
        </w:rPr>
      </w:pPr>
      <w:hyperlink w:anchor="_Toc37087763" w:history="1">
        <w:r w:rsidR="009C0541" w:rsidRPr="00C83ED8">
          <w:rPr>
            <w:rStyle w:val="Hyperlink"/>
            <w:noProof/>
          </w:rPr>
          <w:t xml:space="preserve">Figure 20- </w:t>
        </w:r>
        <w:r w:rsidR="009C0541" w:rsidRPr="00C83ED8">
          <w:rPr>
            <w:rStyle w:val="Hyperlink"/>
            <w:rFonts w:eastAsia="DengXian" w:cs="Arial"/>
            <w:noProof/>
            <w:lang w:eastAsia="zh-CN"/>
          </w:rPr>
          <w:t xml:space="preserve">Fracture samples: from left to right is 1x1000 </w:t>
        </w:r>
        <w:r w:rsidR="009C0541" w:rsidRPr="00C83ED8">
          <w:rPr>
            <w:rStyle w:val="Hyperlink"/>
            <w:rFonts w:ascii="Symbol" w:eastAsia="DengXian" w:hAnsi="Symbol" w:cs="Arial"/>
            <w:noProof/>
            <w:lang w:eastAsia="zh-CN"/>
          </w:rPr>
          <w:t></w:t>
        </w:r>
        <w:r w:rsidR="009C0541" w:rsidRPr="00C83ED8">
          <w:rPr>
            <w:rStyle w:val="Hyperlink"/>
            <w:rFonts w:eastAsia="DengXian"/>
            <w:noProof/>
            <w:lang w:eastAsia="zh-CN"/>
          </w:rPr>
          <w:t xml:space="preserve">m </w:t>
        </w:r>
        <w:r w:rsidR="009C0541" w:rsidRPr="00C83ED8">
          <w:rPr>
            <w:rStyle w:val="Hyperlink"/>
            <w:rFonts w:eastAsia="DengXian" w:cs="Arial"/>
            <w:noProof/>
            <w:lang w:eastAsia="zh-CN"/>
          </w:rPr>
          <w:t>vertical</w:t>
        </w:r>
        <w:r w:rsidR="009C0541" w:rsidRPr="00C83ED8">
          <w:rPr>
            <w:rStyle w:val="Hyperlink"/>
            <w:rFonts w:eastAsia="DengXian"/>
            <w:noProof/>
            <w:lang w:eastAsia="zh-CN"/>
          </w:rPr>
          <w:t xml:space="preserve">, 1x horizontal 1000 </w:t>
        </w:r>
        <w:r w:rsidR="009C0541" w:rsidRPr="00C83ED8">
          <w:rPr>
            <w:rStyle w:val="Hyperlink"/>
            <w:rFonts w:ascii="Symbol" w:eastAsia="DengXian" w:hAnsi="Symbol" w:cs="Arial"/>
            <w:noProof/>
            <w:lang w:eastAsia="zh-CN"/>
          </w:rPr>
          <w:t></w:t>
        </w:r>
        <w:r w:rsidR="009C0541" w:rsidRPr="00C83ED8">
          <w:rPr>
            <w:rStyle w:val="Hyperlink"/>
            <w:rFonts w:eastAsia="DengXian"/>
            <w:noProof/>
            <w:lang w:eastAsia="zh-CN"/>
          </w:rPr>
          <w:t xml:space="preserve">m, and 2x500 </w:t>
        </w:r>
        <w:r w:rsidR="009C0541" w:rsidRPr="00C83ED8">
          <w:rPr>
            <w:rStyle w:val="Hyperlink"/>
            <w:rFonts w:ascii="Symbol" w:eastAsia="DengXian" w:hAnsi="Symbol" w:cs="Arial"/>
            <w:noProof/>
            <w:lang w:eastAsia="zh-CN"/>
          </w:rPr>
          <w:t></w:t>
        </w:r>
        <w:r w:rsidR="009C0541" w:rsidRPr="00C83ED8">
          <w:rPr>
            <w:rStyle w:val="Hyperlink"/>
            <w:rFonts w:eastAsia="DengXian"/>
            <w:noProof/>
            <w:lang w:eastAsia="zh-CN"/>
          </w:rPr>
          <w:t>m vertical fracture samples.</w:t>
        </w:r>
        <w:r w:rsidR="009C0541">
          <w:rPr>
            <w:noProof/>
            <w:webHidden/>
          </w:rPr>
          <w:tab/>
        </w:r>
        <w:r w:rsidR="009C0541">
          <w:rPr>
            <w:noProof/>
            <w:webHidden/>
          </w:rPr>
          <w:fldChar w:fldCharType="begin"/>
        </w:r>
        <w:r w:rsidR="009C0541">
          <w:rPr>
            <w:noProof/>
            <w:webHidden/>
          </w:rPr>
          <w:instrText xml:space="preserve"> PAGEREF _Toc37087763 \h </w:instrText>
        </w:r>
        <w:r w:rsidR="009C0541">
          <w:rPr>
            <w:noProof/>
            <w:webHidden/>
          </w:rPr>
        </w:r>
        <w:r w:rsidR="009C0541">
          <w:rPr>
            <w:noProof/>
            <w:webHidden/>
          </w:rPr>
          <w:fldChar w:fldCharType="separate"/>
        </w:r>
        <w:r w:rsidR="0092747F">
          <w:rPr>
            <w:noProof/>
            <w:webHidden/>
          </w:rPr>
          <w:t>47</w:t>
        </w:r>
        <w:r w:rsidR="009C0541">
          <w:rPr>
            <w:noProof/>
            <w:webHidden/>
          </w:rPr>
          <w:fldChar w:fldCharType="end"/>
        </w:r>
      </w:hyperlink>
    </w:p>
    <w:p w14:paraId="18529B8B" w14:textId="42345352" w:rsidR="009C0541" w:rsidRDefault="00C724F7">
      <w:pPr>
        <w:pStyle w:val="TableofFigures"/>
        <w:tabs>
          <w:tab w:val="right" w:leader="dot" w:pos="9350"/>
        </w:tabs>
        <w:rPr>
          <w:rFonts w:eastAsiaTheme="minorEastAsia"/>
          <w:noProof/>
        </w:rPr>
      </w:pPr>
      <w:hyperlink w:anchor="_Toc37087764" w:history="1">
        <w:r w:rsidR="009C0541" w:rsidRPr="00C83ED8">
          <w:rPr>
            <w:rStyle w:val="Hyperlink"/>
            <w:noProof/>
          </w:rPr>
          <w:t>Figure 21-Mineralogy composition of the TMS obtained using FTIR analysis.</w:t>
        </w:r>
        <w:r w:rsidR="009C0541">
          <w:rPr>
            <w:noProof/>
            <w:webHidden/>
          </w:rPr>
          <w:tab/>
        </w:r>
        <w:r w:rsidR="009C0541">
          <w:rPr>
            <w:noProof/>
            <w:webHidden/>
          </w:rPr>
          <w:fldChar w:fldCharType="begin"/>
        </w:r>
        <w:r w:rsidR="009C0541">
          <w:rPr>
            <w:noProof/>
            <w:webHidden/>
          </w:rPr>
          <w:instrText xml:space="preserve"> PAGEREF _Toc37087764 \h </w:instrText>
        </w:r>
        <w:r w:rsidR="009C0541">
          <w:rPr>
            <w:noProof/>
            <w:webHidden/>
          </w:rPr>
        </w:r>
        <w:r w:rsidR="009C0541">
          <w:rPr>
            <w:noProof/>
            <w:webHidden/>
          </w:rPr>
          <w:fldChar w:fldCharType="separate"/>
        </w:r>
        <w:r w:rsidR="0092747F">
          <w:rPr>
            <w:noProof/>
            <w:webHidden/>
          </w:rPr>
          <w:t>49</w:t>
        </w:r>
        <w:r w:rsidR="009C0541">
          <w:rPr>
            <w:noProof/>
            <w:webHidden/>
          </w:rPr>
          <w:fldChar w:fldCharType="end"/>
        </w:r>
      </w:hyperlink>
    </w:p>
    <w:p w14:paraId="3425D300" w14:textId="38676D91" w:rsidR="009C0541" w:rsidRDefault="00C724F7">
      <w:pPr>
        <w:pStyle w:val="TableofFigures"/>
        <w:tabs>
          <w:tab w:val="right" w:leader="dot" w:pos="9350"/>
        </w:tabs>
        <w:rPr>
          <w:rFonts w:eastAsiaTheme="minorEastAsia"/>
          <w:noProof/>
        </w:rPr>
      </w:pPr>
      <w:hyperlink w:anchor="_Toc37087765" w:history="1">
        <w:r w:rsidR="009C0541" w:rsidRPr="00C83ED8">
          <w:rPr>
            <w:rStyle w:val="Hyperlink"/>
            <w:noProof/>
          </w:rPr>
          <w:t>Figure 22- Rheological profile of the tested drilling fluid systems</w:t>
        </w:r>
        <w:r w:rsidR="009C0541">
          <w:rPr>
            <w:noProof/>
            <w:webHidden/>
          </w:rPr>
          <w:tab/>
        </w:r>
        <w:r w:rsidR="009C0541">
          <w:rPr>
            <w:noProof/>
            <w:webHidden/>
          </w:rPr>
          <w:fldChar w:fldCharType="begin"/>
        </w:r>
        <w:r w:rsidR="009C0541">
          <w:rPr>
            <w:noProof/>
            <w:webHidden/>
          </w:rPr>
          <w:instrText xml:space="preserve"> PAGEREF _Toc37087765 \h </w:instrText>
        </w:r>
        <w:r w:rsidR="009C0541">
          <w:rPr>
            <w:noProof/>
            <w:webHidden/>
          </w:rPr>
        </w:r>
        <w:r w:rsidR="009C0541">
          <w:rPr>
            <w:noProof/>
            <w:webHidden/>
          </w:rPr>
          <w:fldChar w:fldCharType="separate"/>
        </w:r>
        <w:r w:rsidR="0092747F">
          <w:rPr>
            <w:noProof/>
            <w:webHidden/>
          </w:rPr>
          <w:t>51</w:t>
        </w:r>
        <w:r w:rsidR="009C0541">
          <w:rPr>
            <w:noProof/>
            <w:webHidden/>
          </w:rPr>
          <w:fldChar w:fldCharType="end"/>
        </w:r>
      </w:hyperlink>
    </w:p>
    <w:p w14:paraId="2A1C86FC" w14:textId="0D8752F6" w:rsidR="009C0541" w:rsidRDefault="00C724F7">
      <w:pPr>
        <w:pStyle w:val="TableofFigures"/>
        <w:tabs>
          <w:tab w:val="right" w:leader="dot" w:pos="9350"/>
        </w:tabs>
        <w:rPr>
          <w:rFonts w:eastAsiaTheme="minorEastAsia"/>
          <w:noProof/>
        </w:rPr>
      </w:pPr>
      <w:hyperlink w:anchor="_Toc37087766" w:history="1">
        <w:r w:rsidR="009C0541" w:rsidRPr="00C83ED8">
          <w:rPr>
            <w:rStyle w:val="Hyperlink"/>
            <w:noProof/>
          </w:rPr>
          <w:t>Figure 23</w:t>
        </w:r>
        <w:r w:rsidR="009C0541" w:rsidRPr="00C83ED8">
          <w:rPr>
            <w:rStyle w:val="Hyperlink"/>
            <w:rFonts w:eastAsia="Calibri"/>
            <w:noProof/>
          </w:rPr>
          <w:t xml:space="preserve">- </w:t>
        </w:r>
        <w:r w:rsidR="009C0541" w:rsidRPr="00C83ED8">
          <w:rPr>
            <w:rStyle w:val="Hyperlink"/>
            <w:rFonts w:eastAsia="Calibri"/>
            <w:bCs/>
            <w:noProof/>
          </w:rPr>
          <w:t>Apparent viscosity profile of the drilling fluid systems tested in this study</w:t>
        </w:r>
        <w:r w:rsidR="009C0541">
          <w:rPr>
            <w:noProof/>
            <w:webHidden/>
          </w:rPr>
          <w:tab/>
        </w:r>
        <w:r w:rsidR="009C0541">
          <w:rPr>
            <w:noProof/>
            <w:webHidden/>
          </w:rPr>
          <w:fldChar w:fldCharType="begin"/>
        </w:r>
        <w:r w:rsidR="009C0541">
          <w:rPr>
            <w:noProof/>
            <w:webHidden/>
          </w:rPr>
          <w:instrText xml:space="preserve"> PAGEREF _Toc37087766 \h </w:instrText>
        </w:r>
        <w:r w:rsidR="009C0541">
          <w:rPr>
            <w:noProof/>
            <w:webHidden/>
          </w:rPr>
        </w:r>
        <w:r w:rsidR="009C0541">
          <w:rPr>
            <w:noProof/>
            <w:webHidden/>
          </w:rPr>
          <w:fldChar w:fldCharType="separate"/>
        </w:r>
        <w:r w:rsidR="0092747F">
          <w:rPr>
            <w:noProof/>
            <w:webHidden/>
          </w:rPr>
          <w:t>52</w:t>
        </w:r>
        <w:r w:rsidR="009C0541">
          <w:rPr>
            <w:noProof/>
            <w:webHidden/>
          </w:rPr>
          <w:fldChar w:fldCharType="end"/>
        </w:r>
      </w:hyperlink>
    </w:p>
    <w:p w14:paraId="23733F2D" w14:textId="0B71EC7D" w:rsidR="009C0541" w:rsidRDefault="00C724F7">
      <w:pPr>
        <w:pStyle w:val="TableofFigures"/>
        <w:tabs>
          <w:tab w:val="right" w:leader="dot" w:pos="9350"/>
        </w:tabs>
        <w:rPr>
          <w:rFonts w:eastAsiaTheme="minorEastAsia"/>
          <w:noProof/>
        </w:rPr>
      </w:pPr>
      <w:hyperlink w:anchor="_Toc37087767" w:history="1">
        <w:r w:rsidR="009C0541" w:rsidRPr="00C83ED8">
          <w:rPr>
            <w:rStyle w:val="Hyperlink"/>
            <w:noProof/>
          </w:rPr>
          <w:t>Figure 24</w:t>
        </w:r>
        <w:r w:rsidR="009C0541" w:rsidRPr="00C83ED8">
          <w:rPr>
            <w:rStyle w:val="Hyperlink"/>
            <w:rFonts w:eastAsia="Calibri"/>
            <w:noProof/>
          </w:rPr>
          <w:t xml:space="preserve">- </w:t>
        </w:r>
        <w:r w:rsidR="009C0541" w:rsidRPr="00C83ED8">
          <w:rPr>
            <w:rStyle w:val="Hyperlink"/>
            <w:rFonts w:eastAsia="Calibri"/>
            <w:bCs/>
            <w:noProof/>
          </w:rPr>
          <w:t>Swelling index profile of the drilling fluid systems tested in this study with freshwater as reference fluid.</w:t>
        </w:r>
        <w:r w:rsidR="009C0541">
          <w:rPr>
            <w:noProof/>
            <w:webHidden/>
          </w:rPr>
          <w:tab/>
        </w:r>
        <w:r w:rsidR="009C0541">
          <w:rPr>
            <w:noProof/>
            <w:webHidden/>
          </w:rPr>
          <w:fldChar w:fldCharType="begin"/>
        </w:r>
        <w:r w:rsidR="009C0541">
          <w:rPr>
            <w:noProof/>
            <w:webHidden/>
          </w:rPr>
          <w:instrText xml:space="preserve"> PAGEREF _Toc37087767 \h </w:instrText>
        </w:r>
        <w:r w:rsidR="009C0541">
          <w:rPr>
            <w:noProof/>
            <w:webHidden/>
          </w:rPr>
        </w:r>
        <w:r w:rsidR="009C0541">
          <w:rPr>
            <w:noProof/>
            <w:webHidden/>
          </w:rPr>
          <w:fldChar w:fldCharType="separate"/>
        </w:r>
        <w:r w:rsidR="0092747F">
          <w:rPr>
            <w:noProof/>
            <w:webHidden/>
          </w:rPr>
          <w:t>54</w:t>
        </w:r>
        <w:r w:rsidR="009C0541">
          <w:rPr>
            <w:noProof/>
            <w:webHidden/>
          </w:rPr>
          <w:fldChar w:fldCharType="end"/>
        </w:r>
      </w:hyperlink>
    </w:p>
    <w:p w14:paraId="174B5BB8" w14:textId="4EF4B199" w:rsidR="009C0541" w:rsidRDefault="00C724F7">
      <w:pPr>
        <w:pStyle w:val="TableofFigures"/>
        <w:tabs>
          <w:tab w:val="right" w:leader="dot" w:pos="9350"/>
        </w:tabs>
        <w:rPr>
          <w:rFonts w:eastAsiaTheme="minorEastAsia"/>
          <w:noProof/>
        </w:rPr>
      </w:pPr>
      <w:hyperlink w:anchor="_Toc37087768" w:history="1">
        <w:r w:rsidR="009C0541" w:rsidRPr="00C83ED8">
          <w:rPr>
            <w:rStyle w:val="Hyperlink"/>
            <w:noProof/>
          </w:rPr>
          <w:t>Figure 25</w:t>
        </w:r>
        <w:r w:rsidR="009C0541" w:rsidRPr="00C83ED8">
          <w:rPr>
            <w:rStyle w:val="Hyperlink"/>
            <w:rFonts w:eastAsia="Calibri"/>
            <w:bCs/>
            <w:noProof/>
          </w:rPr>
          <w:t>- Swelling index profile of the drilling fluid systems tested in this study with freshwater as reference fluid for different exposure times</w:t>
        </w:r>
        <w:r w:rsidR="009C0541">
          <w:rPr>
            <w:noProof/>
            <w:webHidden/>
          </w:rPr>
          <w:tab/>
        </w:r>
        <w:r w:rsidR="009C0541">
          <w:rPr>
            <w:noProof/>
            <w:webHidden/>
          </w:rPr>
          <w:fldChar w:fldCharType="begin"/>
        </w:r>
        <w:r w:rsidR="009C0541">
          <w:rPr>
            <w:noProof/>
            <w:webHidden/>
          </w:rPr>
          <w:instrText xml:space="preserve"> PAGEREF _Toc37087768 \h </w:instrText>
        </w:r>
        <w:r w:rsidR="009C0541">
          <w:rPr>
            <w:noProof/>
            <w:webHidden/>
          </w:rPr>
        </w:r>
        <w:r w:rsidR="009C0541">
          <w:rPr>
            <w:noProof/>
            <w:webHidden/>
          </w:rPr>
          <w:fldChar w:fldCharType="separate"/>
        </w:r>
        <w:r w:rsidR="0092747F">
          <w:rPr>
            <w:noProof/>
            <w:webHidden/>
          </w:rPr>
          <w:t>55</w:t>
        </w:r>
        <w:r w:rsidR="009C0541">
          <w:rPr>
            <w:noProof/>
            <w:webHidden/>
          </w:rPr>
          <w:fldChar w:fldCharType="end"/>
        </w:r>
      </w:hyperlink>
    </w:p>
    <w:p w14:paraId="410A686D" w14:textId="7A4FC674" w:rsidR="009C0541" w:rsidRDefault="00C724F7">
      <w:pPr>
        <w:pStyle w:val="TableofFigures"/>
        <w:tabs>
          <w:tab w:val="right" w:leader="dot" w:pos="9350"/>
        </w:tabs>
        <w:rPr>
          <w:rFonts w:eastAsiaTheme="minorEastAsia"/>
          <w:noProof/>
        </w:rPr>
      </w:pPr>
      <w:hyperlink w:anchor="_Toc37087769" w:history="1">
        <w:r w:rsidR="009C0541" w:rsidRPr="00C83ED8">
          <w:rPr>
            <w:rStyle w:val="Hyperlink"/>
            <w:noProof/>
          </w:rPr>
          <w:t>Figure 26</w:t>
        </w:r>
        <w:r w:rsidR="009C0541" w:rsidRPr="00C83ED8">
          <w:rPr>
            <w:rStyle w:val="Hyperlink"/>
            <w:rFonts w:eastAsia="Calibri"/>
            <w:bCs/>
            <w:noProof/>
          </w:rPr>
          <w:t>- Cutting recovery rate of different drilling fluid systems used in this study.</w:t>
        </w:r>
        <w:r w:rsidR="009C0541">
          <w:rPr>
            <w:noProof/>
            <w:webHidden/>
          </w:rPr>
          <w:tab/>
        </w:r>
        <w:r w:rsidR="009C0541">
          <w:rPr>
            <w:noProof/>
            <w:webHidden/>
          </w:rPr>
          <w:fldChar w:fldCharType="begin"/>
        </w:r>
        <w:r w:rsidR="009C0541">
          <w:rPr>
            <w:noProof/>
            <w:webHidden/>
          </w:rPr>
          <w:instrText xml:space="preserve"> PAGEREF _Toc37087769 \h </w:instrText>
        </w:r>
        <w:r w:rsidR="009C0541">
          <w:rPr>
            <w:noProof/>
            <w:webHidden/>
          </w:rPr>
        </w:r>
        <w:r w:rsidR="009C0541">
          <w:rPr>
            <w:noProof/>
            <w:webHidden/>
          </w:rPr>
          <w:fldChar w:fldCharType="separate"/>
        </w:r>
        <w:r w:rsidR="0092747F">
          <w:rPr>
            <w:noProof/>
            <w:webHidden/>
          </w:rPr>
          <w:t>57</w:t>
        </w:r>
        <w:r w:rsidR="009C0541">
          <w:rPr>
            <w:noProof/>
            <w:webHidden/>
          </w:rPr>
          <w:fldChar w:fldCharType="end"/>
        </w:r>
      </w:hyperlink>
    </w:p>
    <w:p w14:paraId="4754FB7C" w14:textId="21183F5A" w:rsidR="009C0541" w:rsidRDefault="00C724F7">
      <w:pPr>
        <w:pStyle w:val="TableofFigures"/>
        <w:tabs>
          <w:tab w:val="right" w:leader="dot" w:pos="9350"/>
        </w:tabs>
        <w:rPr>
          <w:rFonts w:eastAsiaTheme="minorEastAsia"/>
          <w:noProof/>
        </w:rPr>
      </w:pPr>
      <w:hyperlink w:anchor="_Toc37087770" w:history="1">
        <w:r w:rsidR="009C0541" w:rsidRPr="00C83ED8">
          <w:rPr>
            <w:rStyle w:val="Hyperlink"/>
            <w:noProof/>
          </w:rPr>
          <w:t>Figure 27</w:t>
        </w:r>
        <w:r w:rsidR="009C0541" w:rsidRPr="00C83ED8">
          <w:rPr>
            <w:rStyle w:val="Hyperlink"/>
            <w:rFonts w:eastAsia="Calibri"/>
            <w:bCs/>
            <w:noProof/>
          </w:rPr>
          <w:t>- Cumulative dynamic fluid loss for different fracture widths as function of cedar concentration.</w:t>
        </w:r>
        <w:r w:rsidR="009C0541">
          <w:rPr>
            <w:noProof/>
            <w:webHidden/>
          </w:rPr>
          <w:tab/>
        </w:r>
        <w:r w:rsidR="009C0541">
          <w:rPr>
            <w:noProof/>
            <w:webHidden/>
          </w:rPr>
          <w:fldChar w:fldCharType="begin"/>
        </w:r>
        <w:r w:rsidR="009C0541">
          <w:rPr>
            <w:noProof/>
            <w:webHidden/>
          </w:rPr>
          <w:instrText xml:space="preserve"> PAGEREF _Toc37087770 \h </w:instrText>
        </w:r>
        <w:r w:rsidR="009C0541">
          <w:rPr>
            <w:noProof/>
            <w:webHidden/>
          </w:rPr>
        </w:r>
        <w:r w:rsidR="009C0541">
          <w:rPr>
            <w:noProof/>
            <w:webHidden/>
          </w:rPr>
          <w:fldChar w:fldCharType="separate"/>
        </w:r>
        <w:r w:rsidR="0092747F">
          <w:rPr>
            <w:noProof/>
            <w:webHidden/>
          </w:rPr>
          <w:t>58</w:t>
        </w:r>
        <w:r w:rsidR="009C0541">
          <w:rPr>
            <w:noProof/>
            <w:webHidden/>
          </w:rPr>
          <w:fldChar w:fldCharType="end"/>
        </w:r>
      </w:hyperlink>
    </w:p>
    <w:p w14:paraId="22408E61" w14:textId="3F877401" w:rsidR="009C0541" w:rsidRDefault="00C724F7">
      <w:pPr>
        <w:pStyle w:val="TableofFigures"/>
        <w:tabs>
          <w:tab w:val="right" w:leader="dot" w:pos="9350"/>
        </w:tabs>
        <w:rPr>
          <w:rFonts w:eastAsiaTheme="minorEastAsia"/>
          <w:noProof/>
        </w:rPr>
      </w:pPr>
      <w:hyperlink w:anchor="_Toc37087771" w:history="1">
        <w:r w:rsidR="009C0541" w:rsidRPr="00C83ED8">
          <w:rPr>
            <w:rStyle w:val="Hyperlink"/>
            <w:noProof/>
          </w:rPr>
          <w:t>Figure 28</w:t>
        </w:r>
        <w:r w:rsidR="009C0541" w:rsidRPr="00C83ED8">
          <w:rPr>
            <w:rStyle w:val="Hyperlink"/>
            <w:rFonts w:eastAsia="Calibri"/>
            <w:bCs/>
            <w:noProof/>
          </w:rPr>
          <w:t>- Cumulative dynamic fluid loss as function of fracture orientation for one fracture width of 1000 µm.</w:t>
        </w:r>
        <w:r w:rsidR="009C0541">
          <w:rPr>
            <w:noProof/>
            <w:webHidden/>
          </w:rPr>
          <w:tab/>
        </w:r>
        <w:r w:rsidR="009C0541">
          <w:rPr>
            <w:noProof/>
            <w:webHidden/>
          </w:rPr>
          <w:fldChar w:fldCharType="begin"/>
        </w:r>
        <w:r w:rsidR="009C0541">
          <w:rPr>
            <w:noProof/>
            <w:webHidden/>
          </w:rPr>
          <w:instrText xml:space="preserve"> PAGEREF _Toc37087771 \h </w:instrText>
        </w:r>
        <w:r w:rsidR="009C0541">
          <w:rPr>
            <w:noProof/>
            <w:webHidden/>
          </w:rPr>
        </w:r>
        <w:r w:rsidR="009C0541">
          <w:rPr>
            <w:noProof/>
            <w:webHidden/>
          </w:rPr>
          <w:fldChar w:fldCharType="separate"/>
        </w:r>
        <w:r w:rsidR="0092747F">
          <w:rPr>
            <w:noProof/>
            <w:webHidden/>
          </w:rPr>
          <w:t>59</w:t>
        </w:r>
        <w:r w:rsidR="009C0541">
          <w:rPr>
            <w:noProof/>
            <w:webHidden/>
          </w:rPr>
          <w:fldChar w:fldCharType="end"/>
        </w:r>
      </w:hyperlink>
    </w:p>
    <w:p w14:paraId="21A2D9E9" w14:textId="4889EA8F" w:rsidR="009C0541" w:rsidRDefault="00C724F7">
      <w:pPr>
        <w:pStyle w:val="TableofFigures"/>
        <w:tabs>
          <w:tab w:val="right" w:leader="dot" w:pos="9350"/>
        </w:tabs>
        <w:rPr>
          <w:rFonts w:eastAsiaTheme="minorEastAsia"/>
          <w:noProof/>
        </w:rPr>
      </w:pPr>
      <w:hyperlink w:anchor="_Toc37087772" w:history="1">
        <w:r w:rsidR="009C0541" w:rsidRPr="00C83ED8">
          <w:rPr>
            <w:rStyle w:val="Hyperlink"/>
            <w:noProof/>
          </w:rPr>
          <w:t>Figure 29</w:t>
        </w:r>
        <w:r w:rsidR="009C0541" w:rsidRPr="00C83ED8">
          <w:rPr>
            <w:rStyle w:val="Hyperlink"/>
            <w:rFonts w:eastAsia="Calibri"/>
            <w:bCs/>
            <w:noProof/>
          </w:rPr>
          <w:t>- Effect of the tested drilling fluid systems on torque during drilling.</w:t>
        </w:r>
        <w:r w:rsidR="009C0541">
          <w:rPr>
            <w:noProof/>
            <w:webHidden/>
          </w:rPr>
          <w:tab/>
        </w:r>
        <w:r w:rsidR="009C0541">
          <w:rPr>
            <w:noProof/>
            <w:webHidden/>
          </w:rPr>
          <w:fldChar w:fldCharType="begin"/>
        </w:r>
        <w:r w:rsidR="009C0541">
          <w:rPr>
            <w:noProof/>
            <w:webHidden/>
          </w:rPr>
          <w:instrText xml:space="preserve"> PAGEREF _Toc37087772 \h </w:instrText>
        </w:r>
        <w:r w:rsidR="009C0541">
          <w:rPr>
            <w:noProof/>
            <w:webHidden/>
          </w:rPr>
        </w:r>
        <w:r w:rsidR="009C0541">
          <w:rPr>
            <w:noProof/>
            <w:webHidden/>
          </w:rPr>
          <w:fldChar w:fldCharType="separate"/>
        </w:r>
        <w:r w:rsidR="0092747F">
          <w:rPr>
            <w:noProof/>
            <w:webHidden/>
          </w:rPr>
          <w:t>62</w:t>
        </w:r>
        <w:r w:rsidR="009C0541">
          <w:rPr>
            <w:noProof/>
            <w:webHidden/>
          </w:rPr>
          <w:fldChar w:fldCharType="end"/>
        </w:r>
      </w:hyperlink>
    </w:p>
    <w:p w14:paraId="7F8E7BBC" w14:textId="66C997DC" w:rsidR="009C0541" w:rsidRDefault="00C724F7">
      <w:pPr>
        <w:pStyle w:val="TableofFigures"/>
        <w:tabs>
          <w:tab w:val="right" w:leader="dot" w:pos="9350"/>
        </w:tabs>
        <w:rPr>
          <w:rFonts w:eastAsiaTheme="minorEastAsia"/>
          <w:noProof/>
        </w:rPr>
      </w:pPr>
      <w:hyperlink w:anchor="_Toc37087773" w:history="1">
        <w:r w:rsidR="009C0541" w:rsidRPr="00C83ED8">
          <w:rPr>
            <w:rStyle w:val="Hyperlink"/>
            <w:noProof/>
          </w:rPr>
          <w:t>Figure 30</w:t>
        </w:r>
        <w:r w:rsidR="009C0541" w:rsidRPr="00C83ED8">
          <w:rPr>
            <w:rStyle w:val="Hyperlink"/>
            <w:rFonts w:eastAsia="Calibri"/>
            <w:bCs/>
            <w:noProof/>
          </w:rPr>
          <w:t>- Effect of the tested drilling fluid systems on friction factor during drilling</w:t>
        </w:r>
        <w:r w:rsidR="009C0541">
          <w:rPr>
            <w:noProof/>
            <w:webHidden/>
          </w:rPr>
          <w:tab/>
        </w:r>
        <w:r w:rsidR="009C0541">
          <w:rPr>
            <w:noProof/>
            <w:webHidden/>
          </w:rPr>
          <w:fldChar w:fldCharType="begin"/>
        </w:r>
        <w:r w:rsidR="009C0541">
          <w:rPr>
            <w:noProof/>
            <w:webHidden/>
          </w:rPr>
          <w:instrText xml:space="preserve"> PAGEREF _Toc37087773 \h </w:instrText>
        </w:r>
        <w:r w:rsidR="009C0541">
          <w:rPr>
            <w:noProof/>
            <w:webHidden/>
          </w:rPr>
        </w:r>
        <w:r w:rsidR="009C0541">
          <w:rPr>
            <w:noProof/>
            <w:webHidden/>
          </w:rPr>
          <w:fldChar w:fldCharType="separate"/>
        </w:r>
        <w:r w:rsidR="0092747F">
          <w:rPr>
            <w:noProof/>
            <w:webHidden/>
          </w:rPr>
          <w:t>62</w:t>
        </w:r>
        <w:r w:rsidR="009C0541">
          <w:rPr>
            <w:noProof/>
            <w:webHidden/>
          </w:rPr>
          <w:fldChar w:fldCharType="end"/>
        </w:r>
      </w:hyperlink>
    </w:p>
    <w:p w14:paraId="182DCF10" w14:textId="7A1600D1" w:rsidR="009C0541" w:rsidRDefault="00C724F7">
      <w:pPr>
        <w:pStyle w:val="TableofFigures"/>
        <w:tabs>
          <w:tab w:val="right" w:leader="dot" w:pos="9350"/>
        </w:tabs>
        <w:rPr>
          <w:rFonts w:eastAsiaTheme="minorEastAsia"/>
          <w:noProof/>
        </w:rPr>
      </w:pPr>
      <w:hyperlink w:anchor="_Toc37087774" w:history="1">
        <w:r w:rsidR="009C0541" w:rsidRPr="00C83ED8">
          <w:rPr>
            <w:rStyle w:val="Hyperlink"/>
            <w:noProof/>
          </w:rPr>
          <w:t>Figure 31</w:t>
        </w:r>
        <w:r w:rsidR="009C0541" w:rsidRPr="00C83ED8">
          <w:rPr>
            <w:rStyle w:val="Hyperlink"/>
            <w:rFonts w:eastAsia="Calibri"/>
            <w:bCs/>
            <w:noProof/>
          </w:rPr>
          <w:t>- ROP profile of the tested drilling fluid systems</w:t>
        </w:r>
        <w:r w:rsidR="009C0541">
          <w:rPr>
            <w:noProof/>
            <w:webHidden/>
          </w:rPr>
          <w:tab/>
        </w:r>
        <w:r w:rsidR="009C0541">
          <w:rPr>
            <w:noProof/>
            <w:webHidden/>
          </w:rPr>
          <w:fldChar w:fldCharType="begin"/>
        </w:r>
        <w:r w:rsidR="009C0541">
          <w:rPr>
            <w:noProof/>
            <w:webHidden/>
          </w:rPr>
          <w:instrText xml:space="preserve"> PAGEREF _Toc37087774 \h </w:instrText>
        </w:r>
        <w:r w:rsidR="009C0541">
          <w:rPr>
            <w:noProof/>
            <w:webHidden/>
          </w:rPr>
        </w:r>
        <w:r w:rsidR="009C0541">
          <w:rPr>
            <w:noProof/>
            <w:webHidden/>
          </w:rPr>
          <w:fldChar w:fldCharType="separate"/>
        </w:r>
        <w:r w:rsidR="0092747F">
          <w:rPr>
            <w:noProof/>
            <w:webHidden/>
          </w:rPr>
          <w:t>64</w:t>
        </w:r>
        <w:r w:rsidR="009C0541">
          <w:rPr>
            <w:noProof/>
            <w:webHidden/>
          </w:rPr>
          <w:fldChar w:fldCharType="end"/>
        </w:r>
      </w:hyperlink>
    </w:p>
    <w:p w14:paraId="306D64B7" w14:textId="291EBC68" w:rsidR="009C0541" w:rsidRDefault="00C724F7">
      <w:pPr>
        <w:pStyle w:val="TableofFigures"/>
        <w:tabs>
          <w:tab w:val="right" w:leader="dot" w:pos="9350"/>
        </w:tabs>
        <w:rPr>
          <w:rFonts w:eastAsiaTheme="minorEastAsia"/>
          <w:noProof/>
        </w:rPr>
      </w:pPr>
      <w:hyperlink w:anchor="_Toc37087775" w:history="1">
        <w:r w:rsidR="009C0541" w:rsidRPr="00C83ED8">
          <w:rPr>
            <w:rStyle w:val="Hyperlink"/>
            <w:noProof/>
          </w:rPr>
          <w:t>Figure 32</w:t>
        </w:r>
        <w:r w:rsidR="009C0541" w:rsidRPr="00C83ED8">
          <w:rPr>
            <w:rStyle w:val="Hyperlink"/>
            <w:bCs/>
            <w:noProof/>
          </w:rPr>
          <w:t>- The mechanical specific energy profile for the tested drilling fluid systems.</w:t>
        </w:r>
        <w:r w:rsidR="009C0541">
          <w:rPr>
            <w:noProof/>
            <w:webHidden/>
          </w:rPr>
          <w:tab/>
        </w:r>
        <w:r w:rsidR="009C0541">
          <w:rPr>
            <w:noProof/>
            <w:webHidden/>
          </w:rPr>
          <w:fldChar w:fldCharType="begin"/>
        </w:r>
        <w:r w:rsidR="009C0541">
          <w:rPr>
            <w:noProof/>
            <w:webHidden/>
          </w:rPr>
          <w:instrText xml:space="preserve"> PAGEREF _Toc37087775 \h </w:instrText>
        </w:r>
        <w:r w:rsidR="009C0541">
          <w:rPr>
            <w:noProof/>
            <w:webHidden/>
          </w:rPr>
        </w:r>
        <w:r w:rsidR="009C0541">
          <w:rPr>
            <w:noProof/>
            <w:webHidden/>
          </w:rPr>
          <w:fldChar w:fldCharType="separate"/>
        </w:r>
        <w:r w:rsidR="0092747F">
          <w:rPr>
            <w:noProof/>
            <w:webHidden/>
          </w:rPr>
          <w:t>65</w:t>
        </w:r>
        <w:r w:rsidR="009C0541">
          <w:rPr>
            <w:noProof/>
            <w:webHidden/>
          </w:rPr>
          <w:fldChar w:fldCharType="end"/>
        </w:r>
      </w:hyperlink>
    </w:p>
    <w:p w14:paraId="6FBD9A64" w14:textId="77777777" w:rsidR="00467C04" w:rsidRPr="004B62EB" w:rsidRDefault="000659D6" w:rsidP="004B62EB">
      <w:pPr>
        <w:pStyle w:val="TableofFigures"/>
        <w:tabs>
          <w:tab w:val="right" w:leader="dot" w:pos="8630"/>
        </w:tabs>
        <w:rPr>
          <w:rFonts w:ascii="Times New Roman" w:hAnsi="Times New Roman" w:cs="Times New Roman"/>
          <w:sz w:val="24"/>
          <w:szCs w:val="24"/>
        </w:rPr>
      </w:pPr>
      <w:r w:rsidRPr="00B51D66">
        <w:rPr>
          <w:rFonts w:ascii="Times New Roman" w:hAnsi="Times New Roman" w:cs="Times New Roman"/>
          <w:sz w:val="24"/>
          <w:szCs w:val="24"/>
        </w:rPr>
        <w:lastRenderedPageBreak/>
        <w:fldChar w:fldCharType="end"/>
      </w:r>
    </w:p>
    <w:p w14:paraId="57D8ED55" w14:textId="77777777" w:rsidR="000659D6" w:rsidRPr="004D6678" w:rsidRDefault="000659D6" w:rsidP="004B62EB">
      <w:pPr>
        <w:pStyle w:val="Heading1"/>
        <w:rPr>
          <w:rFonts w:cs="Times New Roman"/>
        </w:rPr>
      </w:pPr>
      <w:bookmarkStart w:id="6" w:name="_Toc39751576"/>
      <w:r w:rsidRPr="004D6678">
        <w:rPr>
          <w:rFonts w:cs="Times New Roman"/>
        </w:rPr>
        <w:t>Abstract</w:t>
      </w:r>
      <w:bookmarkEnd w:id="6"/>
    </w:p>
    <w:p w14:paraId="3815AB39" w14:textId="77777777" w:rsidR="00C57AAB" w:rsidRDefault="003C1D6D" w:rsidP="00D529E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United States (US) energy consumption is growing at an amazing rate. The high demand in oil and gas has created a surge in shale exploration, drilling, and production. Shale formations have become a source of attraction because of their huge potential. Some major shale plays such as the Tuscaloosa Marine Shale (TMS) have reserve</w:t>
      </w:r>
      <w:r w:rsidRPr="003C1D6D">
        <w:rPr>
          <w:rFonts w:ascii="Times New Roman" w:hAnsi="Times New Roman" w:cs="Times New Roman"/>
          <w:sz w:val="24"/>
          <w:szCs w:val="24"/>
        </w:rPr>
        <w:t xml:space="preserve"> </w:t>
      </w:r>
      <w:r>
        <w:rPr>
          <w:rFonts w:ascii="Times New Roman" w:hAnsi="Times New Roman" w:cs="Times New Roman"/>
          <w:sz w:val="24"/>
          <w:szCs w:val="24"/>
        </w:rPr>
        <w:t xml:space="preserve">estimated to be more than seven (7) billion barrels. Despite their huge potential, shale formations present major drilling concerns for drilling operators due to their high rate of alteration and incompatibility when exposed to inappropriate drilling or completion fluid systems. </w:t>
      </w:r>
      <w:r w:rsidR="00006AAC">
        <w:rPr>
          <w:rFonts w:ascii="Times New Roman" w:hAnsi="Times New Roman" w:cs="Times New Roman"/>
          <w:sz w:val="24"/>
          <w:szCs w:val="24"/>
        </w:rPr>
        <w:t xml:space="preserve">Shale instability and low drilling rate represent some of primary drilling concerns encountered in most shale formations. </w:t>
      </w:r>
    </w:p>
    <w:p w14:paraId="32567F47" w14:textId="77777777" w:rsidR="00CC50F4" w:rsidRDefault="00851B55" w:rsidP="00CC50F4">
      <w:pPr>
        <w:spacing w:line="480" w:lineRule="auto"/>
        <w:ind w:firstLine="720"/>
        <w:jc w:val="both"/>
        <w:rPr>
          <w:rFonts w:ascii="Times New Roman" w:hAnsi="Times New Roman" w:cs="Times New Roman"/>
          <w:sz w:val="24"/>
          <w:szCs w:val="24"/>
        </w:rPr>
      </w:pPr>
      <w:r w:rsidRPr="0096753A">
        <w:rPr>
          <w:rFonts w:ascii="Times New Roman" w:hAnsi="Times New Roman" w:cs="Times New Roman"/>
          <w:sz w:val="24"/>
          <w:szCs w:val="24"/>
        </w:rPr>
        <w:t xml:space="preserve">Wellbore instability is caused by the radical change in the mechanical strength as well as chemical and physical alterations when exposed to drilling fluids. </w:t>
      </w:r>
      <w:r>
        <w:rPr>
          <w:rFonts w:ascii="Times New Roman" w:hAnsi="Times New Roman" w:cs="Times New Roman"/>
          <w:sz w:val="24"/>
          <w:szCs w:val="24"/>
        </w:rPr>
        <w:t>A set of unexpected events associated with wellbore instability in shales account for more than 10% of drilling cost</w:t>
      </w:r>
      <w:r w:rsidRPr="0096753A">
        <w:rPr>
          <w:rFonts w:ascii="Times New Roman" w:hAnsi="Times New Roman" w:cs="Times New Roman"/>
          <w:sz w:val="24"/>
          <w:szCs w:val="24"/>
        </w:rPr>
        <w:t>, which is estimated to one billion dollars per annu</w:t>
      </w:r>
      <w:r>
        <w:rPr>
          <w:rFonts w:ascii="Times New Roman" w:hAnsi="Times New Roman" w:cs="Times New Roman"/>
          <w:sz w:val="24"/>
          <w:szCs w:val="24"/>
        </w:rPr>
        <w:t>m</w:t>
      </w:r>
      <w:r w:rsidRPr="0096753A">
        <w:rPr>
          <w:rFonts w:ascii="Times New Roman" w:hAnsi="Times New Roman" w:cs="Times New Roman"/>
          <w:sz w:val="24"/>
          <w:szCs w:val="24"/>
        </w:rPr>
        <w:t>. Understanding shale-drilling fluid interaction plays a key role in minimizing drilling problems in unconventional resources.</w:t>
      </w:r>
      <w:r w:rsidR="00F250CF">
        <w:rPr>
          <w:rFonts w:ascii="Times New Roman" w:hAnsi="Times New Roman" w:cs="Times New Roman"/>
          <w:sz w:val="24"/>
          <w:szCs w:val="24"/>
        </w:rPr>
        <w:t xml:space="preserve"> Drilling operators are moving away from conventional water-based mud systems because of the concerns associated with it. </w:t>
      </w:r>
      <w:r w:rsidRPr="0096753A">
        <w:rPr>
          <w:rFonts w:ascii="Times New Roman" w:hAnsi="Times New Roman" w:cs="Times New Roman"/>
          <w:sz w:val="24"/>
          <w:szCs w:val="24"/>
        </w:rPr>
        <w:t>The</w:t>
      </w:r>
      <w:r w:rsidR="00F250CF">
        <w:rPr>
          <w:rFonts w:ascii="Times New Roman" w:hAnsi="Times New Roman" w:cs="Times New Roman"/>
          <w:sz w:val="24"/>
          <w:szCs w:val="24"/>
        </w:rPr>
        <w:t>refore, the</w:t>
      </w:r>
      <w:r w:rsidRPr="0096753A">
        <w:rPr>
          <w:rFonts w:ascii="Times New Roman" w:hAnsi="Times New Roman" w:cs="Times New Roman"/>
          <w:sz w:val="24"/>
          <w:szCs w:val="24"/>
        </w:rPr>
        <w:t xml:space="preserve"> need for </w:t>
      </w:r>
      <w:r w:rsidR="00F250CF">
        <w:rPr>
          <w:rFonts w:ascii="Times New Roman" w:hAnsi="Times New Roman" w:cs="Times New Roman"/>
          <w:sz w:val="24"/>
          <w:szCs w:val="24"/>
        </w:rPr>
        <w:t xml:space="preserve">an </w:t>
      </w:r>
      <w:r w:rsidR="00F15E35">
        <w:rPr>
          <w:rFonts w:ascii="Times New Roman" w:hAnsi="Times New Roman" w:cs="Times New Roman"/>
          <w:sz w:val="24"/>
          <w:szCs w:val="24"/>
        </w:rPr>
        <w:t>alternative</w:t>
      </w:r>
      <w:r w:rsidR="00F15E35" w:rsidRPr="0096753A">
        <w:rPr>
          <w:rFonts w:ascii="Times New Roman" w:hAnsi="Times New Roman" w:cs="Times New Roman"/>
          <w:sz w:val="24"/>
          <w:szCs w:val="24"/>
        </w:rPr>
        <w:t xml:space="preserve"> drilling fluid system</w:t>
      </w:r>
      <w:r w:rsidRPr="0096753A">
        <w:rPr>
          <w:rFonts w:ascii="Times New Roman" w:hAnsi="Times New Roman" w:cs="Times New Roman"/>
          <w:sz w:val="24"/>
          <w:szCs w:val="24"/>
        </w:rPr>
        <w:t xml:space="preserve"> for drilling operations in unconven</w:t>
      </w:r>
      <w:r>
        <w:rPr>
          <w:rFonts w:ascii="Times New Roman" w:hAnsi="Times New Roman" w:cs="Times New Roman"/>
          <w:sz w:val="24"/>
          <w:szCs w:val="24"/>
        </w:rPr>
        <w:t xml:space="preserve">tional resources is growing. </w:t>
      </w:r>
      <w:r w:rsidR="00F15E35">
        <w:rPr>
          <w:rFonts w:ascii="Times New Roman" w:hAnsi="Times New Roman" w:cs="Times New Roman"/>
          <w:sz w:val="24"/>
          <w:szCs w:val="24"/>
        </w:rPr>
        <w:t xml:space="preserve">Oil-based mud systems </w:t>
      </w:r>
      <w:r w:rsidR="00CE2A5B">
        <w:rPr>
          <w:rFonts w:ascii="Times New Roman" w:hAnsi="Times New Roman" w:cs="Times New Roman"/>
          <w:sz w:val="24"/>
          <w:szCs w:val="24"/>
        </w:rPr>
        <w:t>have been</w:t>
      </w:r>
      <w:r w:rsidR="00F15E35">
        <w:rPr>
          <w:rFonts w:ascii="Times New Roman" w:hAnsi="Times New Roman" w:cs="Times New Roman"/>
          <w:sz w:val="24"/>
          <w:szCs w:val="24"/>
        </w:rPr>
        <w:t xml:space="preserve"> widely used, but stringent environmental regulations and cost limit their effectiveness</w:t>
      </w:r>
      <w:r w:rsidR="00467C04">
        <w:rPr>
          <w:rFonts w:ascii="Times New Roman" w:hAnsi="Times New Roman" w:cs="Times New Roman"/>
          <w:sz w:val="24"/>
          <w:szCs w:val="24"/>
        </w:rPr>
        <w:t>, therefore the introduction of inhibitive mud systems for shale operations</w:t>
      </w:r>
      <w:r w:rsidR="00F15E35">
        <w:rPr>
          <w:rFonts w:ascii="Times New Roman" w:hAnsi="Times New Roman" w:cs="Times New Roman"/>
          <w:sz w:val="24"/>
          <w:szCs w:val="24"/>
        </w:rPr>
        <w:t xml:space="preserve">. </w:t>
      </w:r>
      <w:r w:rsidR="00CE2A5B">
        <w:rPr>
          <w:rFonts w:ascii="Times New Roman" w:hAnsi="Times New Roman" w:cs="Times New Roman"/>
          <w:sz w:val="24"/>
          <w:szCs w:val="24"/>
        </w:rPr>
        <w:t xml:space="preserve">The introduction of inhibitive mud systems in shale drilling provide a means of controlling instability and improving drilling efficiency. </w:t>
      </w:r>
      <w:r w:rsidR="00C531D5">
        <w:rPr>
          <w:rFonts w:ascii="Times New Roman" w:hAnsi="Times New Roman" w:cs="Times New Roman"/>
          <w:sz w:val="24"/>
          <w:szCs w:val="24"/>
        </w:rPr>
        <w:t xml:space="preserve">The shale fluid interaction is mainly influenced by both the shale properties (mineralogy, shale strength, porosity, </w:t>
      </w:r>
      <w:r w:rsidR="00C531D5">
        <w:rPr>
          <w:rFonts w:ascii="Times New Roman" w:hAnsi="Times New Roman" w:cs="Times New Roman"/>
          <w:sz w:val="24"/>
          <w:szCs w:val="24"/>
        </w:rPr>
        <w:lastRenderedPageBreak/>
        <w:t xml:space="preserve">and permeability), and the drilling fluid properties (rheology, cutting removal abilities, and drilling effectiveness). </w:t>
      </w:r>
      <w:r w:rsidR="00CE2A5B">
        <w:rPr>
          <w:rFonts w:ascii="Times New Roman" w:hAnsi="Times New Roman" w:cs="Times New Roman"/>
          <w:sz w:val="24"/>
          <w:szCs w:val="24"/>
        </w:rPr>
        <w:t xml:space="preserve">  </w:t>
      </w:r>
    </w:p>
    <w:p w14:paraId="3B5D8AE7" w14:textId="77777777" w:rsidR="00E73BF2" w:rsidRDefault="00E73BF2" w:rsidP="00CC50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w:t>
      </w:r>
      <w:r w:rsidR="00CC50F4">
        <w:rPr>
          <w:rFonts w:ascii="Times New Roman" w:hAnsi="Times New Roman" w:cs="Times New Roman"/>
          <w:sz w:val="24"/>
          <w:szCs w:val="24"/>
        </w:rPr>
        <w:t>e novelty in this</w:t>
      </w:r>
      <w:r>
        <w:rPr>
          <w:rFonts w:ascii="Times New Roman" w:hAnsi="Times New Roman" w:cs="Times New Roman"/>
          <w:sz w:val="24"/>
          <w:szCs w:val="24"/>
        </w:rPr>
        <w:t xml:space="preserve"> research includes the use of an innovative high-pressure high-temperature drilling simulator set up to investigate </w:t>
      </w:r>
      <w:r w:rsidR="00E20A56">
        <w:rPr>
          <w:rFonts w:ascii="Times New Roman" w:hAnsi="Times New Roman" w:cs="Times New Roman"/>
          <w:sz w:val="24"/>
          <w:szCs w:val="24"/>
        </w:rPr>
        <w:t xml:space="preserve">both </w:t>
      </w:r>
      <w:r>
        <w:rPr>
          <w:rFonts w:ascii="Times New Roman" w:hAnsi="Times New Roman" w:cs="Times New Roman"/>
          <w:sz w:val="24"/>
          <w:szCs w:val="24"/>
        </w:rPr>
        <w:t xml:space="preserve">the drilling performance </w:t>
      </w:r>
      <w:r w:rsidR="00E20A56">
        <w:rPr>
          <w:rFonts w:ascii="Times New Roman" w:hAnsi="Times New Roman" w:cs="Times New Roman"/>
          <w:sz w:val="24"/>
          <w:szCs w:val="24"/>
        </w:rPr>
        <w:t xml:space="preserve">and the compatibility </w:t>
      </w:r>
      <w:r>
        <w:rPr>
          <w:rFonts w:ascii="Times New Roman" w:hAnsi="Times New Roman" w:cs="Times New Roman"/>
          <w:sz w:val="24"/>
          <w:szCs w:val="24"/>
        </w:rPr>
        <w:t>of a set of inhibitive mud systems</w:t>
      </w:r>
      <w:r w:rsidR="00F24D46">
        <w:rPr>
          <w:rFonts w:ascii="Times New Roman" w:hAnsi="Times New Roman" w:cs="Times New Roman"/>
          <w:sz w:val="24"/>
          <w:szCs w:val="24"/>
        </w:rPr>
        <w:t xml:space="preserve"> </w:t>
      </w:r>
      <w:r w:rsidR="00E20A56">
        <w:rPr>
          <w:rFonts w:ascii="Times New Roman" w:hAnsi="Times New Roman" w:cs="Times New Roman"/>
          <w:sz w:val="24"/>
          <w:szCs w:val="24"/>
        </w:rPr>
        <w:t>used in</w:t>
      </w:r>
      <w:r w:rsidR="00F24D46">
        <w:rPr>
          <w:rFonts w:ascii="Times New Roman" w:hAnsi="Times New Roman" w:cs="Times New Roman"/>
          <w:sz w:val="24"/>
          <w:szCs w:val="24"/>
        </w:rPr>
        <w:t xml:space="preserve"> shale drilling. The effectiveness of these inhibitive mud systems in improve shale drilling operation was investigating in the Tuscaloosa Marine Shale (TMS)</w:t>
      </w:r>
      <w:r w:rsidR="00E071DE">
        <w:rPr>
          <w:rFonts w:ascii="Times New Roman" w:hAnsi="Times New Roman" w:cs="Times New Roman"/>
          <w:sz w:val="24"/>
          <w:szCs w:val="24"/>
        </w:rPr>
        <w:t xml:space="preserve">. </w:t>
      </w:r>
      <w:r w:rsidR="00B51AD0">
        <w:rPr>
          <w:rFonts w:ascii="Times New Roman" w:hAnsi="Times New Roman" w:cs="Times New Roman"/>
          <w:sz w:val="24"/>
          <w:szCs w:val="24"/>
        </w:rPr>
        <w:t xml:space="preserve">The tested mud systems </w:t>
      </w:r>
      <w:r w:rsidR="00EE26F6">
        <w:rPr>
          <w:rFonts w:ascii="Times New Roman" w:hAnsi="Times New Roman" w:cs="Times New Roman"/>
          <w:sz w:val="24"/>
          <w:szCs w:val="24"/>
        </w:rPr>
        <w:t>included KCl</w:t>
      </w:r>
      <w:r w:rsidR="00E20A56">
        <w:rPr>
          <w:rFonts w:ascii="Times New Roman" w:hAnsi="Times New Roman" w:cs="Times New Roman"/>
          <w:sz w:val="24"/>
          <w:szCs w:val="24"/>
        </w:rPr>
        <w:t xml:space="preserve"> based fluid</w:t>
      </w:r>
      <w:r w:rsidR="00EE26F6">
        <w:rPr>
          <w:rFonts w:ascii="Times New Roman" w:hAnsi="Times New Roman" w:cs="Times New Roman"/>
          <w:sz w:val="24"/>
          <w:szCs w:val="24"/>
        </w:rPr>
        <w:t xml:space="preserve">, formate brine, and conventional water-based mud (WBM). </w:t>
      </w:r>
      <w:r w:rsidR="00E071DE">
        <w:rPr>
          <w:rFonts w:ascii="Times New Roman" w:hAnsi="Times New Roman" w:cs="Times New Roman"/>
          <w:sz w:val="24"/>
          <w:szCs w:val="24"/>
        </w:rPr>
        <w:t>Cylindrical cores, used to mimic vertical wellbore</w:t>
      </w:r>
      <w:r w:rsidR="00E20A56">
        <w:rPr>
          <w:rFonts w:ascii="Times New Roman" w:hAnsi="Times New Roman" w:cs="Times New Roman"/>
          <w:sz w:val="24"/>
          <w:szCs w:val="24"/>
        </w:rPr>
        <w:t>,</w:t>
      </w:r>
      <w:r w:rsidR="00E071DE">
        <w:rPr>
          <w:rFonts w:ascii="Times New Roman" w:hAnsi="Times New Roman" w:cs="Times New Roman"/>
          <w:sz w:val="24"/>
          <w:szCs w:val="24"/>
        </w:rPr>
        <w:t xml:space="preserve"> were drilled and drilling parameters such as torque, friction factor, rate of penetration (ROP), and mechanical specific energy (MSE) were recorded and analyzed.</w:t>
      </w:r>
    </w:p>
    <w:p w14:paraId="0EA69E08" w14:textId="77777777" w:rsidR="000659D6" w:rsidRPr="004D6678" w:rsidRDefault="000659D6" w:rsidP="00C7157E">
      <w:pPr>
        <w:spacing w:line="480" w:lineRule="auto"/>
        <w:jc w:val="both"/>
        <w:rPr>
          <w:rFonts w:ascii="Times New Roman" w:hAnsi="Times New Roman" w:cs="Times New Roman"/>
          <w:sz w:val="24"/>
          <w:szCs w:val="24"/>
        </w:rPr>
        <w:sectPr w:rsidR="000659D6" w:rsidRPr="004D6678" w:rsidSect="00C44780">
          <w:footerReference w:type="default" r:id="rId11"/>
          <w:footerReference w:type="first" r:id="rId12"/>
          <w:pgSz w:w="12240" w:h="15840"/>
          <w:pgMar w:top="1440" w:right="1440" w:bottom="1440" w:left="1440" w:header="720" w:footer="720" w:gutter="0"/>
          <w:pgNumType w:fmt="lowerRoman" w:start="4"/>
          <w:cols w:space="720"/>
          <w:titlePg/>
          <w:docGrid w:linePitch="360"/>
        </w:sectPr>
      </w:pPr>
      <w:r w:rsidRPr="004D6678">
        <w:rPr>
          <w:rFonts w:ascii="Times New Roman" w:hAnsi="Times New Roman" w:cs="Times New Roman"/>
          <w:sz w:val="24"/>
          <w:szCs w:val="24"/>
        </w:rPr>
        <w:br w:type="page"/>
      </w:r>
    </w:p>
    <w:p w14:paraId="290951C7" w14:textId="77777777" w:rsidR="000659D6" w:rsidRPr="004D6678" w:rsidRDefault="000659D6" w:rsidP="000659D6">
      <w:pPr>
        <w:pStyle w:val="Heading1"/>
        <w:numPr>
          <w:ilvl w:val="0"/>
          <w:numId w:val="2"/>
        </w:numPr>
        <w:rPr>
          <w:rFonts w:cs="Times New Roman"/>
        </w:rPr>
      </w:pPr>
      <w:bookmarkStart w:id="7" w:name="_Toc39751577"/>
      <w:r w:rsidRPr="004D6678">
        <w:rPr>
          <w:rFonts w:cs="Times New Roman"/>
        </w:rPr>
        <w:lastRenderedPageBreak/>
        <w:t>Introduction</w:t>
      </w:r>
      <w:bookmarkEnd w:id="7"/>
    </w:p>
    <w:p w14:paraId="659313F6" w14:textId="77777777" w:rsidR="000659D6" w:rsidRPr="004D6678" w:rsidRDefault="000659D6" w:rsidP="00744AAD">
      <w:pPr>
        <w:pStyle w:val="Heading2"/>
        <w:numPr>
          <w:ilvl w:val="1"/>
          <w:numId w:val="2"/>
        </w:numPr>
      </w:pPr>
      <w:bookmarkStart w:id="8" w:name="_Toc39751578"/>
      <w:r w:rsidRPr="004D6678">
        <w:t>Research motivation</w:t>
      </w:r>
      <w:r w:rsidR="009366FD">
        <w:t xml:space="preserve"> and Research Hypothesis</w:t>
      </w:r>
      <w:bookmarkEnd w:id="8"/>
      <w:r w:rsidR="009366FD">
        <w:t xml:space="preserve"> </w:t>
      </w:r>
    </w:p>
    <w:p w14:paraId="5671A7F2" w14:textId="77777777" w:rsidR="000659D6" w:rsidRPr="00EA63D5" w:rsidRDefault="00E956BC" w:rsidP="0025438C">
      <w:pPr>
        <w:spacing w:line="480" w:lineRule="auto"/>
        <w:rPr>
          <w:rFonts w:ascii="Times New Roman" w:hAnsi="Times New Roman" w:cs="Times New Roman"/>
          <w:sz w:val="24"/>
        </w:rPr>
      </w:pPr>
      <w:r w:rsidRPr="00EA63D5">
        <w:rPr>
          <w:rFonts w:ascii="Times New Roman" w:hAnsi="Times New Roman" w:cs="Times New Roman"/>
          <w:sz w:val="24"/>
        </w:rPr>
        <w:t>In recent years, tight oil and shale gas resources have become the center of attention for the US oil and gas market. Most shale plays are characterized by their huge potential in oil and gas</w:t>
      </w:r>
      <w:r w:rsidR="00FB31C6" w:rsidRPr="00EA63D5">
        <w:rPr>
          <w:rFonts w:ascii="Times New Roman" w:hAnsi="Times New Roman" w:cs="Times New Roman"/>
          <w:sz w:val="24"/>
        </w:rPr>
        <w:t xml:space="preserve">, leading to a surge in </w:t>
      </w:r>
      <w:r w:rsidR="00995B2A">
        <w:rPr>
          <w:rFonts w:ascii="Times New Roman" w:hAnsi="Times New Roman" w:cs="Times New Roman"/>
          <w:sz w:val="24"/>
        </w:rPr>
        <w:t>their</w:t>
      </w:r>
      <w:r w:rsidR="00FB31C6" w:rsidRPr="00EA63D5">
        <w:rPr>
          <w:rFonts w:ascii="Times New Roman" w:hAnsi="Times New Roman" w:cs="Times New Roman"/>
          <w:sz w:val="24"/>
        </w:rPr>
        <w:t xml:space="preserve"> production. This surge in production has completely </w:t>
      </w:r>
      <w:r w:rsidR="001E4614" w:rsidRPr="00EA63D5">
        <w:rPr>
          <w:rFonts w:ascii="Times New Roman" w:hAnsi="Times New Roman" w:cs="Times New Roman"/>
          <w:sz w:val="24"/>
        </w:rPr>
        <w:t>increased the contribution of tight oil and shale gas resources in the US production. US Energy Information Administration (EIA)</w:t>
      </w:r>
      <w:r w:rsidR="000565BF" w:rsidRPr="00EA63D5">
        <w:rPr>
          <w:rFonts w:ascii="Times New Roman" w:hAnsi="Times New Roman" w:cs="Times New Roman"/>
          <w:sz w:val="24"/>
        </w:rPr>
        <w:t xml:space="preserve"> reported in 2018 that tight oil resources or plays accounted for 65 billion cubic feet per day (Bcf/d) of natural gas (accounting for 70% of total US dry gas) and 7 million barrel per day (bbl/d) of crude oil (60% of total US oil). Their report revealed that tight oil resources only accounted for 16 % of US total gas and 12% of total oil respectively in 2008. </w:t>
      </w:r>
      <w:r w:rsidR="00FD74B5" w:rsidRPr="007E7E44">
        <w:rPr>
          <w:rFonts w:ascii="Times New Roman" w:hAnsi="Times New Roman" w:cs="Times New Roman"/>
          <w:sz w:val="24"/>
        </w:rPr>
        <w:t>This increase in tight oil and shale gas production over the past decade in the United States can be associated to the increased technological emphasis on production from unconventional reservoirs and improvement in drilling operations</w:t>
      </w:r>
      <w:r w:rsidR="00CE1CD5">
        <w:rPr>
          <w:rFonts w:ascii="Times New Roman" w:hAnsi="Times New Roman" w:cs="Times New Roman"/>
          <w:sz w:val="24"/>
        </w:rPr>
        <w:t xml:space="preserve"> and practices</w:t>
      </w:r>
      <w:r w:rsidR="00FD74B5" w:rsidRPr="007E7E44">
        <w:rPr>
          <w:rFonts w:ascii="Times New Roman" w:hAnsi="Times New Roman" w:cs="Times New Roman"/>
          <w:sz w:val="24"/>
        </w:rPr>
        <w:t>.</w:t>
      </w:r>
      <w:r w:rsidR="00FD74B5" w:rsidRPr="007E7E44">
        <w:rPr>
          <w:rFonts w:ascii="Times New Roman" w:hAnsi="Times New Roman" w:cs="Times New Roman"/>
          <w:szCs w:val="20"/>
        </w:rPr>
        <w:t xml:space="preserve"> </w:t>
      </w:r>
      <w:r w:rsidR="00A10A75" w:rsidRPr="00EA63D5">
        <w:rPr>
          <w:rFonts w:ascii="Times New Roman" w:hAnsi="Times New Roman" w:cs="Times New Roman"/>
          <w:sz w:val="24"/>
        </w:rPr>
        <w:t xml:space="preserve">The production </w:t>
      </w:r>
      <w:r w:rsidR="001D12A6" w:rsidRPr="00EA63D5">
        <w:rPr>
          <w:rFonts w:ascii="Times New Roman" w:hAnsi="Times New Roman" w:cs="Times New Roman"/>
          <w:sz w:val="24"/>
        </w:rPr>
        <w:t xml:space="preserve">of </w:t>
      </w:r>
      <w:r w:rsidR="00A10A75" w:rsidRPr="00EA63D5">
        <w:rPr>
          <w:rFonts w:ascii="Times New Roman" w:hAnsi="Times New Roman" w:cs="Times New Roman"/>
          <w:sz w:val="24"/>
        </w:rPr>
        <w:t xml:space="preserve">shale gas and tight oil come from various shale plays including Haynesville, Barnett Shale and others. </w:t>
      </w:r>
      <w:r w:rsidR="005F4313" w:rsidRPr="00EA63D5">
        <w:rPr>
          <w:rFonts w:ascii="Times New Roman" w:hAnsi="Times New Roman" w:cs="Times New Roman"/>
          <w:sz w:val="24"/>
        </w:rPr>
        <w:t xml:space="preserve">The </w:t>
      </w:r>
      <w:r w:rsidR="00FA2FE2" w:rsidRPr="00EA63D5">
        <w:rPr>
          <w:rFonts w:ascii="Times New Roman" w:hAnsi="Times New Roman" w:cs="Times New Roman"/>
          <w:sz w:val="24"/>
        </w:rPr>
        <w:t xml:space="preserve">natural gas </w:t>
      </w:r>
      <w:r w:rsidR="005F4313" w:rsidRPr="00EA63D5">
        <w:rPr>
          <w:rFonts w:ascii="Times New Roman" w:hAnsi="Times New Roman" w:cs="Times New Roman"/>
          <w:sz w:val="24"/>
        </w:rPr>
        <w:t xml:space="preserve">production </w:t>
      </w:r>
      <w:r w:rsidR="00FA2FE2" w:rsidRPr="00EA63D5">
        <w:rPr>
          <w:rFonts w:ascii="Times New Roman" w:hAnsi="Times New Roman" w:cs="Times New Roman"/>
          <w:sz w:val="24"/>
        </w:rPr>
        <w:t>from</w:t>
      </w:r>
      <w:r w:rsidR="005F4313" w:rsidRPr="00EA63D5">
        <w:rPr>
          <w:rFonts w:ascii="Times New Roman" w:hAnsi="Times New Roman" w:cs="Times New Roman"/>
          <w:sz w:val="24"/>
        </w:rPr>
        <w:t xml:space="preserve"> these major fields is shown in </w:t>
      </w:r>
      <w:r w:rsidR="005F4313" w:rsidRPr="00EA63D5">
        <w:rPr>
          <w:rFonts w:ascii="Times New Roman" w:hAnsi="Times New Roman" w:cs="Times New Roman"/>
          <w:b/>
          <w:sz w:val="24"/>
        </w:rPr>
        <w:t xml:space="preserve">Figure </w:t>
      </w:r>
      <w:r w:rsidR="001853AB">
        <w:rPr>
          <w:rFonts w:ascii="Times New Roman" w:hAnsi="Times New Roman" w:cs="Times New Roman"/>
          <w:b/>
          <w:sz w:val="24"/>
        </w:rPr>
        <w:t>1</w:t>
      </w:r>
      <w:r w:rsidR="005F4313" w:rsidRPr="00EA63D5">
        <w:rPr>
          <w:rFonts w:ascii="Times New Roman" w:hAnsi="Times New Roman" w:cs="Times New Roman"/>
          <w:b/>
          <w:sz w:val="24"/>
        </w:rPr>
        <w:t xml:space="preserve"> (</w:t>
      </w:r>
      <w:r w:rsidR="005F4313" w:rsidRPr="00EA63D5">
        <w:rPr>
          <w:rFonts w:ascii="Times New Roman" w:hAnsi="Times New Roman" w:cs="Times New Roman"/>
          <w:sz w:val="24"/>
        </w:rPr>
        <w:t>EIA 2018)</w:t>
      </w:r>
      <w:r w:rsidR="00FA2FE2" w:rsidRPr="00EA63D5">
        <w:rPr>
          <w:rFonts w:ascii="Times New Roman" w:hAnsi="Times New Roman" w:cs="Times New Roman"/>
          <w:sz w:val="24"/>
        </w:rPr>
        <w:t>.</w:t>
      </w:r>
    </w:p>
    <w:p w14:paraId="6144D81D" w14:textId="77777777" w:rsidR="005F4313" w:rsidRDefault="005F4313" w:rsidP="0066519A">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275984C8" wp14:editId="3047C5E6">
            <wp:extent cx="5534025" cy="2562225"/>
            <wp:effectExtent l="0" t="0" r="9525" b="9525"/>
            <wp:docPr id="54" name="Picture 54"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788A16.tmp"/>
                    <pic:cNvPicPr/>
                  </pic:nvPicPr>
                  <pic:blipFill rotWithShape="1">
                    <a:blip r:embed="rId13">
                      <a:extLst>
                        <a:ext uri="{28A0092B-C50C-407E-A947-70E740481C1C}">
                          <a14:useLocalDpi xmlns:a14="http://schemas.microsoft.com/office/drawing/2010/main" val="0"/>
                        </a:ext>
                      </a:extLst>
                    </a:blip>
                    <a:srcRect r="1022" b="1825"/>
                    <a:stretch/>
                  </pic:blipFill>
                  <pic:spPr bwMode="auto">
                    <a:xfrm>
                      <a:off x="0" y="0"/>
                      <a:ext cx="5534797" cy="2562582"/>
                    </a:xfrm>
                    <a:prstGeom prst="rect">
                      <a:avLst/>
                    </a:prstGeom>
                    <a:ln>
                      <a:noFill/>
                    </a:ln>
                    <a:extLst>
                      <a:ext uri="{53640926-AAD7-44D8-BBD7-CCE9431645EC}">
                        <a14:shadowObscured xmlns:a14="http://schemas.microsoft.com/office/drawing/2010/main"/>
                      </a:ext>
                    </a:extLst>
                  </pic:spPr>
                </pic:pic>
              </a:graphicData>
            </a:graphic>
          </wp:inline>
        </w:drawing>
      </w:r>
    </w:p>
    <w:p w14:paraId="2923AB46" w14:textId="0F20F44C" w:rsidR="00FA2FE2" w:rsidRPr="00FA2FE2" w:rsidRDefault="0066519A" w:rsidP="0066519A">
      <w:pPr>
        <w:pStyle w:val="Caption"/>
      </w:pPr>
      <w:bookmarkStart w:id="9" w:name="_Toc37087744"/>
      <w:r>
        <w:t xml:space="preserve">Figure </w:t>
      </w:r>
      <w:fldSimple w:instr=" SEQ Figure \* ARABIC ">
        <w:r w:rsidR="0092747F">
          <w:rPr>
            <w:noProof/>
          </w:rPr>
          <w:t>1</w:t>
        </w:r>
      </w:fldSimple>
      <w:r w:rsidR="00CB6CD2">
        <w:t xml:space="preserve">- </w:t>
      </w:r>
      <w:r w:rsidR="00CB6CD2" w:rsidRPr="00FA2FE2">
        <w:t>Natural</w:t>
      </w:r>
      <w:r w:rsidR="00FA2FE2" w:rsidRPr="00FA2FE2">
        <w:t xml:space="preserve"> gas production from major shale plays in the US from 2004 to 2018 (EIA 2018)</w:t>
      </w:r>
      <w:bookmarkEnd w:id="9"/>
    </w:p>
    <w:p w14:paraId="586E74FE" w14:textId="77777777" w:rsidR="00FA2FE2" w:rsidRPr="00043B87" w:rsidRDefault="00B91FC1" w:rsidP="0025438C">
      <w:pPr>
        <w:spacing w:line="480" w:lineRule="auto"/>
        <w:rPr>
          <w:rFonts w:ascii="Times New Roman" w:hAnsi="Times New Roman" w:cs="Times New Roman"/>
          <w:sz w:val="24"/>
          <w:szCs w:val="24"/>
        </w:rPr>
      </w:pPr>
      <w:r w:rsidRPr="00043B87">
        <w:rPr>
          <w:rFonts w:ascii="Times New Roman" w:hAnsi="Times New Roman" w:cs="Times New Roman"/>
          <w:sz w:val="24"/>
          <w:szCs w:val="24"/>
        </w:rPr>
        <w:t xml:space="preserve">Despite the </w:t>
      </w:r>
      <w:r w:rsidR="00351A06" w:rsidRPr="00043B87">
        <w:rPr>
          <w:rFonts w:ascii="Times New Roman" w:hAnsi="Times New Roman" w:cs="Times New Roman"/>
          <w:sz w:val="24"/>
          <w:szCs w:val="24"/>
        </w:rPr>
        <w:t xml:space="preserve">continuous increase in shale production, there are still major concerns over drilling practices in </w:t>
      </w:r>
      <w:r w:rsidR="00995B2A">
        <w:rPr>
          <w:rFonts w:ascii="Times New Roman" w:hAnsi="Times New Roman" w:cs="Times New Roman"/>
          <w:sz w:val="24"/>
          <w:szCs w:val="24"/>
        </w:rPr>
        <w:t xml:space="preserve">these </w:t>
      </w:r>
      <w:r w:rsidR="00351A06" w:rsidRPr="00043B87">
        <w:rPr>
          <w:rFonts w:ascii="Times New Roman" w:hAnsi="Times New Roman" w:cs="Times New Roman"/>
          <w:sz w:val="24"/>
          <w:szCs w:val="24"/>
        </w:rPr>
        <w:t>shale plays.</w:t>
      </w:r>
      <w:r w:rsidR="001D7793" w:rsidRPr="00043B87">
        <w:rPr>
          <w:rFonts w:ascii="Times New Roman" w:hAnsi="Times New Roman" w:cs="Times New Roman"/>
          <w:sz w:val="24"/>
          <w:szCs w:val="24"/>
        </w:rPr>
        <w:t xml:space="preserve"> There continue to be an increasing focus on efficient drilling of deep and tight shale formations. </w:t>
      </w:r>
      <w:r w:rsidR="008751C9" w:rsidRPr="00043B87">
        <w:rPr>
          <w:rFonts w:ascii="Times New Roman" w:hAnsi="Times New Roman" w:cs="Times New Roman"/>
          <w:sz w:val="24"/>
          <w:szCs w:val="24"/>
        </w:rPr>
        <w:t xml:space="preserve">Despite their huge potential, shale drilling continues to be challenging for operators and </w:t>
      </w:r>
      <w:r w:rsidR="00995B2A">
        <w:rPr>
          <w:rFonts w:ascii="Times New Roman" w:hAnsi="Times New Roman" w:cs="Times New Roman"/>
          <w:sz w:val="24"/>
          <w:szCs w:val="24"/>
        </w:rPr>
        <w:t>usually</w:t>
      </w:r>
      <w:r w:rsidR="008751C9" w:rsidRPr="00043B87">
        <w:rPr>
          <w:rFonts w:ascii="Times New Roman" w:hAnsi="Times New Roman" w:cs="Times New Roman"/>
          <w:sz w:val="24"/>
          <w:szCs w:val="24"/>
        </w:rPr>
        <w:t xml:space="preserve"> lead to excessive expenses because of all the possible drilling problems encountered.</w:t>
      </w:r>
      <w:r w:rsidR="00614459" w:rsidRPr="00043B87">
        <w:rPr>
          <w:rFonts w:ascii="Times New Roman" w:hAnsi="Times New Roman" w:cs="Times New Roman"/>
          <w:sz w:val="24"/>
          <w:szCs w:val="24"/>
        </w:rPr>
        <w:t xml:space="preserve"> Serious drilling problems continues to be associated with shale drilling especially in deep and high-pressure wells. Some common problems include</w:t>
      </w:r>
      <w:r w:rsidR="0016238C" w:rsidRPr="00043B87">
        <w:rPr>
          <w:rFonts w:ascii="Times New Roman" w:hAnsi="Times New Roman" w:cs="Times New Roman"/>
          <w:sz w:val="24"/>
          <w:szCs w:val="24"/>
        </w:rPr>
        <w:t xml:space="preserve"> bit balling, wellbore instability</w:t>
      </w:r>
      <w:r w:rsidR="00DD41C6">
        <w:rPr>
          <w:rFonts w:ascii="Times New Roman" w:hAnsi="Times New Roman" w:cs="Times New Roman"/>
          <w:sz w:val="24"/>
          <w:szCs w:val="24"/>
        </w:rPr>
        <w:t>,</w:t>
      </w:r>
      <w:r w:rsidR="0016238C" w:rsidRPr="00043B87">
        <w:rPr>
          <w:rFonts w:ascii="Times New Roman" w:hAnsi="Times New Roman" w:cs="Times New Roman"/>
          <w:sz w:val="24"/>
          <w:szCs w:val="24"/>
        </w:rPr>
        <w:t xml:space="preserve"> and low drilling rates, all correlating to excessive drilling costs.</w:t>
      </w:r>
      <w:r w:rsidR="004A6BD5" w:rsidRPr="00043B87">
        <w:rPr>
          <w:rFonts w:ascii="Times New Roman" w:hAnsi="Times New Roman" w:cs="Times New Roman"/>
          <w:sz w:val="24"/>
          <w:szCs w:val="24"/>
        </w:rPr>
        <w:t xml:space="preserve"> Currently, drilling with polycrystalline diamond compact (PDC) bits </w:t>
      </w:r>
      <w:r w:rsidR="00145458">
        <w:rPr>
          <w:rFonts w:ascii="Times New Roman" w:hAnsi="Times New Roman" w:cs="Times New Roman"/>
          <w:sz w:val="24"/>
          <w:szCs w:val="24"/>
        </w:rPr>
        <w:t>and</w:t>
      </w:r>
      <w:r w:rsidR="004A6BD5" w:rsidRPr="00043B87">
        <w:rPr>
          <w:rFonts w:ascii="Times New Roman" w:hAnsi="Times New Roman" w:cs="Times New Roman"/>
          <w:sz w:val="24"/>
          <w:szCs w:val="24"/>
        </w:rPr>
        <w:t xml:space="preserve"> oil- or synthetic mud systems constitute the best practice</w:t>
      </w:r>
      <w:r w:rsidR="00DC6486">
        <w:rPr>
          <w:rFonts w:ascii="Times New Roman" w:hAnsi="Times New Roman" w:cs="Times New Roman"/>
          <w:sz w:val="24"/>
          <w:szCs w:val="24"/>
        </w:rPr>
        <w:t>s</w:t>
      </w:r>
      <w:r w:rsidR="004A6BD5" w:rsidRPr="00043B87">
        <w:rPr>
          <w:rFonts w:ascii="Times New Roman" w:hAnsi="Times New Roman" w:cs="Times New Roman"/>
          <w:sz w:val="24"/>
          <w:szCs w:val="24"/>
        </w:rPr>
        <w:t xml:space="preserve"> for shale operations. However, </w:t>
      </w:r>
      <w:r w:rsidR="00733734" w:rsidRPr="00043B87">
        <w:rPr>
          <w:rFonts w:ascii="Times New Roman" w:hAnsi="Times New Roman" w:cs="Times New Roman"/>
          <w:sz w:val="24"/>
          <w:szCs w:val="24"/>
        </w:rPr>
        <w:t xml:space="preserve">stringent environmental regulations and high operating cost associated with using oil-based mud (OBM) systems limit the effectiveness of these systems. </w:t>
      </w:r>
      <w:r w:rsidR="00151E5F" w:rsidRPr="00043B87">
        <w:rPr>
          <w:rFonts w:ascii="Times New Roman" w:hAnsi="Times New Roman" w:cs="Times New Roman"/>
          <w:sz w:val="24"/>
          <w:szCs w:val="24"/>
        </w:rPr>
        <w:t xml:space="preserve">As a result, </w:t>
      </w:r>
      <w:r w:rsidR="00075EAD" w:rsidRPr="00043B87">
        <w:rPr>
          <w:rFonts w:ascii="Times New Roman" w:hAnsi="Times New Roman" w:cs="Times New Roman"/>
          <w:sz w:val="24"/>
          <w:szCs w:val="24"/>
        </w:rPr>
        <w:t xml:space="preserve">continuing investigations are still ongoing in industry to find ways to minimize these shale drilling problems and therefore the introduction of inhibitive muds and </w:t>
      </w:r>
      <w:r w:rsidR="004625C0" w:rsidRPr="00043B87">
        <w:rPr>
          <w:rFonts w:ascii="Times New Roman" w:hAnsi="Times New Roman" w:cs="Times New Roman"/>
          <w:sz w:val="24"/>
          <w:szCs w:val="24"/>
        </w:rPr>
        <w:t>high-performance</w:t>
      </w:r>
      <w:r w:rsidR="00075EAD" w:rsidRPr="00043B87">
        <w:rPr>
          <w:rFonts w:ascii="Times New Roman" w:hAnsi="Times New Roman" w:cs="Times New Roman"/>
          <w:sz w:val="24"/>
          <w:szCs w:val="24"/>
        </w:rPr>
        <w:t xml:space="preserve"> </w:t>
      </w:r>
      <w:r w:rsidR="004625C0" w:rsidRPr="00043B87">
        <w:rPr>
          <w:rFonts w:ascii="Times New Roman" w:hAnsi="Times New Roman" w:cs="Times New Roman"/>
          <w:sz w:val="24"/>
          <w:szCs w:val="24"/>
        </w:rPr>
        <w:t xml:space="preserve">water-based </w:t>
      </w:r>
      <w:r w:rsidR="00075EAD" w:rsidRPr="00043B87">
        <w:rPr>
          <w:rFonts w:ascii="Times New Roman" w:hAnsi="Times New Roman" w:cs="Times New Roman"/>
          <w:sz w:val="24"/>
          <w:szCs w:val="24"/>
        </w:rPr>
        <w:t>muds</w:t>
      </w:r>
      <w:r w:rsidR="004625C0" w:rsidRPr="00043B87">
        <w:rPr>
          <w:rFonts w:ascii="Times New Roman" w:hAnsi="Times New Roman" w:cs="Times New Roman"/>
          <w:sz w:val="24"/>
          <w:szCs w:val="24"/>
        </w:rPr>
        <w:t xml:space="preserve"> (HPWBM)</w:t>
      </w:r>
      <w:r w:rsidR="00075EAD" w:rsidRPr="00043B87">
        <w:rPr>
          <w:rFonts w:ascii="Times New Roman" w:hAnsi="Times New Roman" w:cs="Times New Roman"/>
          <w:sz w:val="24"/>
          <w:szCs w:val="24"/>
        </w:rPr>
        <w:t>.</w:t>
      </w:r>
    </w:p>
    <w:p w14:paraId="208B28F0" w14:textId="77777777" w:rsidR="000659D6" w:rsidRPr="00043B87" w:rsidRDefault="00936B8B" w:rsidP="0025438C">
      <w:pPr>
        <w:spacing w:line="480" w:lineRule="auto"/>
        <w:rPr>
          <w:rFonts w:ascii="Times New Roman" w:hAnsi="Times New Roman" w:cs="Times New Roman"/>
          <w:sz w:val="24"/>
          <w:szCs w:val="24"/>
        </w:rPr>
      </w:pPr>
      <w:r w:rsidRPr="00043B87">
        <w:rPr>
          <w:rFonts w:ascii="Times New Roman" w:hAnsi="Times New Roman" w:cs="Times New Roman"/>
          <w:sz w:val="24"/>
          <w:szCs w:val="24"/>
        </w:rPr>
        <w:lastRenderedPageBreak/>
        <w:t>These shale drilling concerns are highly encountered in the Tuscaloosa Marine Shale (TMS).</w:t>
      </w:r>
      <w:r w:rsidR="006C1082" w:rsidRPr="00043B87">
        <w:rPr>
          <w:rFonts w:ascii="Times New Roman" w:hAnsi="Times New Roman" w:cs="Times New Roman"/>
          <w:sz w:val="24"/>
          <w:szCs w:val="24"/>
        </w:rPr>
        <w:t xml:space="preserve"> An intensive analysis of drilling reports obtained from</w:t>
      </w:r>
      <w:r w:rsidR="000659D6" w:rsidRPr="00043B87">
        <w:rPr>
          <w:rFonts w:ascii="Times New Roman" w:hAnsi="Times New Roman" w:cs="Times New Roman"/>
          <w:sz w:val="24"/>
          <w:szCs w:val="24"/>
        </w:rPr>
        <w:t xml:space="preserve"> wells such as </w:t>
      </w:r>
      <w:r w:rsidR="00F627C6">
        <w:rPr>
          <w:rFonts w:ascii="Times New Roman" w:hAnsi="Times New Roman" w:cs="Times New Roman"/>
          <w:sz w:val="24"/>
          <w:szCs w:val="24"/>
        </w:rPr>
        <w:t>well A</w:t>
      </w:r>
      <w:r w:rsidR="006C1082" w:rsidRPr="00043B87">
        <w:rPr>
          <w:rFonts w:ascii="Times New Roman" w:hAnsi="Times New Roman" w:cs="Times New Roman"/>
          <w:sz w:val="24"/>
          <w:szCs w:val="24"/>
        </w:rPr>
        <w:t>, a</w:t>
      </w:r>
      <w:r w:rsidR="000659D6" w:rsidRPr="00043B87">
        <w:rPr>
          <w:rFonts w:ascii="Times New Roman" w:hAnsi="Times New Roman" w:cs="Times New Roman"/>
          <w:sz w:val="24"/>
          <w:szCs w:val="24"/>
        </w:rPr>
        <w:t xml:space="preserve"> well drilled into the Tuscaloosa Marine Shale</w:t>
      </w:r>
      <w:r w:rsidR="006C1082" w:rsidRPr="00043B87">
        <w:rPr>
          <w:rFonts w:ascii="Times New Roman" w:hAnsi="Times New Roman" w:cs="Times New Roman"/>
          <w:sz w:val="24"/>
          <w:szCs w:val="24"/>
        </w:rPr>
        <w:t xml:space="preserve"> revealed that problems such as pipe sticking, lost circulation</w:t>
      </w:r>
      <w:r w:rsidR="00D237B4" w:rsidRPr="00043B87">
        <w:rPr>
          <w:rFonts w:ascii="Times New Roman" w:hAnsi="Times New Roman" w:cs="Times New Roman"/>
          <w:sz w:val="24"/>
          <w:szCs w:val="24"/>
        </w:rPr>
        <w:t xml:space="preserve">, low drilling rate, </w:t>
      </w:r>
      <w:r w:rsidR="00E30BA0">
        <w:rPr>
          <w:rFonts w:ascii="Times New Roman" w:hAnsi="Times New Roman" w:cs="Times New Roman"/>
          <w:sz w:val="24"/>
          <w:szCs w:val="24"/>
        </w:rPr>
        <w:t>excessive torque and drag</w:t>
      </w:r>
      <w:r w:rsidR="00565877">
        <w:rPr>
          <w:rFonts w:ascii="Times New Roman" w:hAnsi="Times New Roman" w:cs="Times New Roman"/>
          <w:sz w:val="24"/>
          <w:szCs w:val="24"/>
        </w:rPr>
        <w:t xml:space="preserve">, </w:t>
      </w:r>
      <w:r w:rsidR="00D237B4" w:rsidRPr="00043B87">
        <w:rPr>
          <w:rFonts w:ascii="Times New Roman" w:hAnsi="Times New Roman" w:cs="Times New Roman"/>
          <w:sz w:val="24"/>
          <w:szCs w:val="24"/>
        </w:rPr>
        <w:t xml:space="preserve">and </w:t>
      </w:r>
      <w:r w:rsidR="00BB2B57" w:rsidRPr="00043B87">
        <w:rPr>
          <w:rFonts w:ascii="Times New Roman" w:hAnsi="Times New Roman" w:cs="Times New Roman"/>
          <w:sz w:val="24"/>
          <w:szCs w:val="24"/>
        </w:rPr>
        <w:t>hole cleaning were encountered during drilling</w:t>
      </w:r>
      <w:r w:rsidR="000659D6" w:rsidRPr="00043B87">
        <w:rPr>
          <w:rFonts w:ascii="Times New Roman" w:hAnsi="Times New Roman" w:cs="Times New Roman"/>
          <w:sz w:val="24"/>
          <w:szCs w:val="24"/>
        </w:rPr>
        <w:t xml:space="preserve">. </w:t>
      </w:r>
      <w:r w:rsidR="00A945F1" w:rsidRPr="00043B87">
        <w:rPr>
          <w:rFonts w:ascii="Times New Roman" w:hAnsi="Times New Roman" w:cs="Times New Roman"/>
          <w:b/>
          <w:sz w:val="24"/>
          <w:szCs w:val="24"/>
        </w:rPr>
        <w:t>Figure 2</w:t>
      </w:r>
      <w:r w:rsidR="00A945F1" w:rsidRPr="00043B87">
        <w:rPr>
          <w:rFonts w:ascii="Times New Roman" w:hAnsi="Times New Roman" w:cs="Times New Roman"/>
          <w:sz w:val="24"/>
          <w:szCs w:val="24"/>
        </w:rPr>
        <w:t xml:space="preserve"> </w:t>
      </w:r>
      <w:r w:rsidR="00565877">
        <w:rPr>
          <w:rFonts w:ascii="Times New Roman" w:hAnsi="Times New Roman" w:cs="Times New Roman"/>
          <w:sz w:val="24"/>
          <w:szCs w:val="24"/>
        </w:rPr>
        <w:t xml:space="preserve">shows </w:t>
      </w:r>
      <w:r w:rsidR="00F627C6">
        <w:rPr>
          <w:rFonts w:ascii="Times New Roman" w:hAnsi="Times New Roman" w:cs="Times New Roman"/>
          <w:sz w:val="24"/>
          <w:szCs w:val="24"/>
        </w:rPr>
        <w:t>well A</w:t>
      </w:r>
      <w:r w:rsidR="00A945F1" w:rsidRPr="00043B87">
        <w:rPr>
          <w:rFonts w:ascii="Times New Roman" w:hAnsi="Times New Roman" w:cs="Times New Roman"/>
          <w:sz w:val="24"/>
          <w:szCs w:val="24"/>
        </w:rPr>
        <w:t xml:space="preserve"> well profile.</w:t>
      </w:r>
      <w:r w:rsidR="008F6A58" w:rsidRPr="00043B87">
        <w:rPr>
          <w:rFonts w:ascii="Times New Roman" w:hAnsi="Times New Roman" w:cs="Times New Roman"/>
          <w:sz w:val="24"/>
          <w:szCs w:val="24"/>
        </w:rPr>
        <w:t xml:space="preserve"> Analysis of the well profile and the drilling and mud reports from the well </w:t>
      </w:r>
      <w:r w:rsidR="008F44C7" w:rsidRPr="00043B87">
        <w:rPr>
          <w:rFonts w:ascii="Times New Roman" w:hAnsi="Times New Roman" w:cs="Times New Roman"/>
          <w:sz w:val="24"/>
          <w:szCs w:val="24"/>
        </w:rPr>
        <w:t xml:space="preserve">revealed drilling concerns such as mud loss, swelling and gumbo zone, pipe sticking, and hole cleaning issues. </w:t>
      </w:r>
      <w:r w:rsidR="000659D6" w:rsidRPr="00043B87">
        <w:rPr>
          <w:rFonts w:ascii="Times New Roman" w:hAnsi="Times New Roman" w:cs="Times New Roman"/>
          <w:sz w:val="24"/>
          <w:szCs w:val="24"/>
        </w:rPr>
        <w:t>Th</w:t>
      </w:r>
      <w:r w:rsidR="00A945F1" w:rsidRPr="00043B87">
        <w:rPr>
          <w:rFonts w:ascii="Times New Roman" w:hAnsi="Times New Roman" w:cs="Times New Roman"/>
          <w:sz w:val="24"/>
          <w:szCs w:val="24"/>
        </w:rPr>
        <w:t>e TMS</w:t>
      </w:r>
      <w:r w:rsidR="000659D6" w:rsidRPr="00043B87">
        <w:rPr>
          <w:rFonts w:ascii="Times New Roman" w:hAnsi="Times New Roman" w:cs="Times New Roman"/>
          <w:sz w:val="24"/>
          <w:szCs w:val="24"/>
        </w:rPr>
        <w:t xml:space="preserve"> extends from North-east Louisiana into South-west Mississippi </w:t>
      </w:r>
      <w:r w:rsidR="000659D6" w:rsidRPr="00043B87">
        <w:rPr>
          <w:rFonts w:ascii="Times New Roman" w:hAnsi="Times New Roman" w:cs="Times New Roman"/>
          <w:b/>
          <w:sz w:val="24"/>
          <w:szCs w:val="24"/>
        </w:rPr>
        <w:t>(</w:t>
      </w:r>
      <w:r w:rsidR="00A945F1" w:rsidRPr="00043B87">
        <w:rPr>
          <w:rFonts w:ascii="Times New Roman" w:hAnsi="Times New Roman" w:cs="Times New Roman"/>
          <w:b/>
          <w:sz w:val="24"/>
          <w:szCs w:val="24"/>
        </w:rPr>
        <w:t>Figure 3</w:t>
      </w:r>
      <w:r w:rsidR="000659D6" w:rsidRPr="00043B87">
        <w:rPr>
          <w:rFonts w:ascii="Times New Roman" w:hAnsi="Times New Roman" w:cs="Times New Roman"/>
          <w:b/>
          <w:sz w:val="24"/>
          <w:szCs w:val="24"/>
        </w:rPr>
        <w:t>)</w:t>
      </w:r>
      <w:r w:rsidR="000659D6" w:rsidRPr="00043B87">
        <w:rPr>
          <w:rFonts w:ascii="Times New Roman" w:hAnsi="Times New Roman" w:cs="Times New Roman"/>
          <w:sz w:val="24"/>
          <w:szCs w:val="24"/>
        </w:rPr>
        <w:t xml:space="preserve">. </w:t>
      </w:r>
      <w:r w:rsidR="00995B2A">
        <w:rPr>
          <w:rFonts w:ascii="Times New Roman" w:hAnsi="Times New Roman" w:cs="Times New Roman"/>
          <w:sz w:val="24"/>
          <w:szCs w:val="24"/>
        </w:rPr>
        <w:t>The TMS presents a huge potential evaluated around 7 billion barrels of oil. This formation can be the next major shale producer if the appropriate drilling practices are undertaken to minimize the excessive cost of operations in the formation.</w:t>
      </w:r>
    </w:p>
    <w:p w14:paraId="15AE51E9" w14:textId="77777777" w:rsidR="00A945F1" w:rsidRDefault="00795933" w:rsidP="00795933">
      <w:pPr>
        <w:jc w:val="center"/>
        <w:rPr>
          <w:rFonts w:ascii="Times New Roman" w:hAnsi="Times New Roman" w:cs="Times New Roman"/>
          <w:sz w:val="24"/>
        </w:rPr>
      </w:pPr>
      <w:r>
        <w:rPr>
          <w:noProof/>
        </w:rPr>
        <w:lastRenderedPageBreak/>
        <w:drawing>
          <wp:inline distT="0" distB="0" distL="0" distR="0" wp14:anchorId="4C7FC8D8" wp14:editId="5D48DA76">
            <wp:extent cx="5905500" cy="5724525"/>
            <wp:effectExtent l="0" t="0" r="0" b="0"/>
            <wp:docPr id="193" name="Chart 193">
              <a:extLst xmlns:a="http://schemas.openxmlformats.org/drawingml/2006/main">
                <a:ext uri="{FF2B5EF4-FFF2-40B4-BE49-F238E27FC236}">
                  <a16:creationId xmlns:a16="http://schemas.microsoft.com/office/drawing/2014/main" id="{00E2A7C0-04B8-47FA-AC6B-BC1C195B68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B891F80" w14:textId="2854795E" w:rsidR="00795933" w:rsidRPr="00795933" w:rsidRDefault="00F74131" w:rsidP="00F74131">
      <w:pPr>
        <w:pStyle w:val="Caption"/>
      </w:pPr>
      <w:bookmarkStart w:id="10" w:name="_Toc37087745"/>
      <w:r>
        <w:t xml:space="preserve">Figure </w:t>
      </w:r>
      <w:fldSimple w:instr=" SEQ Figure \* ARABIC ">
        <w:r w:rsidR="0092747F">
          <w:rPr>
            <w:noProof/>
          </w:rPr>
          <w:t>2</w:t>
        </w:r>
      </w:fldSimple>
      <w:r>
        <w:t>-</w:t>
      </w:r>
      <w:r w:rsidR="00D84F28">
        <w:t xml:space="preserve"> Trajectory profile of well A drilled into the Tuscaloosa Marine Shale (TMS)</w:t>
      </w:r>
      <w:bookmarkEnd w:id="10"/>
      <w:r w:rsidR="00D84F28">
        <w:t xml:space="preserve"> </w:t>
      </w:r>
    </w:p>
    <w:p w14:paraId="368A52C2" w14:textId="77777777" w:rsidR="000659D6" w:rsidRPr="004D6678" w:rsidRDefault="000659D6" w:rsidP="000659D6">
      <w:pPr>
        <w:spacing w:line="240" w:lineRule="auto"/>
        <w:jc w:val="center"/>
        <w:rPr>
          <w:rFonts w:ascii="Times New Roman" w:hAnsi="Times New Roman" w:cs="Times New Roman"/>
          <w:sz w:val="24"/>
          <w:szCs w:val="24"/>
        </w:rPr>
      </w:pPr>
      <w:r w:rsidRPr="004D6678">
        <w:rPr>
          <w:rFonts w:ascii="Times New Roman" w:hAnsi="Times New Roman" w:cs="Times New Roman"/>
          <w:noProof/>
          <w:sz w:val="24"/>
          <w:szCs w:val="24"/>
        </w:rPr>
        <w:lastRenderedPageBreak/>
        <w:drawing>
          <wp:inline distT="0" distB="0" distL="0" distR="0" wp14:anchorId="4EF1D275" wp14:editId="2E23BA6E">
            <wp:extent cx="3724275" cy="3250120"/>
            <wp:effectExtent l="0" t="0" r="0" b="7620"/>
            <wp:docPr id="4" name="Picture 3">
              <a:extLst xmlns:a="http://schemas.openxmlformats.org/drawingml/2006/main">
                <a:ext uri="{FF2B5EF4-FFF2-40B4-BE49-F238E27FC236}">
                  <a16:creationId xmlns:a16="http://schemas.microsoft.com/office/drawing/2014/main" id="{CAE7D8FD-1676-4A80-A522-5D7FDC0B3A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AE7D8FD-1676-4A80-A522-5D7FDC0B3A9D}"/>
                        </a:ext>
                      </a:extLst>
                    </pic:cNvPr>
                    <pic:cNvPicPr>
                      <a:picLocks noChangeAspect="1"/>
                    </pic:cNvPicPr>
                  </pic:nvPicPr>
                  <pic:blipFill>
                    <a:blip r:embed="rId15"/>
                    <a:stretch>
                      <a:fillRect/>
                    </a:stretch>
                  </pic:blipFill>
                  <pic:spPr>
                    <a:xfrm>
                      <a:off x="0" y="0"/>
                      <a:ext cx="3731996" cy="3256858"/>
                    </a:xfrm>
                    <a:prstGeom prst="rect">
                      <a:avLst/>
                    </a:prstGeom>
                  </pic:spPr>
                </pic:pic>
              </a:graphicData>
            </a:graphic>
          </wp:inline>
        </w:drawing>
      </w:r>
    </w:p>
    <w:p w14:paraId="7395AD79" w14:textId="5C88660D" w:rsidR="000659D6" w:rsidRDefault="00DB73FC" w:rsidP="00DB73FC">
      <w:pPr>
        <w:pStyle w:val="Caption"/>
      </w:pPr>
      <w:bookmarkStart w:id="11" w:name="_Toc37087746"/>
      <w:r>
        <w:t xml:space="preserve">Figure </w:t>
      </w:r>
      <w:fldSimple w:instr=" SEQ Figure \* ARABIC ">
        <w:r w:rsidR="0092747F">
          <w:rPr>
            <w:noProof/>
          </w:rPr>
          <w:t>3</w:t>
        </w:r>
      </w:fldSimple>
      <w:r>
        <w:t>-</w:t>
      </w:r>
      <w:r w:rsidR="001853AB">
        <w:t xml:space="preserve"> </w:t>
      </w:r>
      <w:r w:rsidR="000659D6" w:rsidRPr="004D6678">
        <w:t xml:space="preserve">Tuscaloosa Marine Shale deposit showing </w:t>
      </w:r>
      <w:r w:rsidR="00A528DB">
        <w:t xml:space="preserve">the total acres of the formation </w:t>
      </w:r>
      <w:r w:rsidR="000659D6">
        <w:t>(Shale Experts 2016)</w:t>
      </w:r>
      <w:bookmarkEnd w:id="11"/>
    </w:p>
    <w:p w14:paraId="502CE25B" w14:textId="77777777" w:rsidR="00091D21" w:rsidRDefault="00091D21" w:rsidP="0025438C">
      <w:pPr>
        <w:spacing w:line="480" w:lineRule="auto"/>
        <w:rPr>
          <w:rFonts w:ascii="Times New Roman" w:hAnsi="Times New Roman" w:cs="Times New Roman"/>
          <w:sz w:val="24"/>
        </w:rPr>
      </w:pPr>
      <w:r>
        <w:rPr>
          <w:rFonts w:ascii="Times New Roman" w:hAnsi="Times New Roman" w:cs="Times New Roman"/>
          <w:sz w:val="24"/>
        </w:rPr>
        <w:t xml:space="preserve">The major drilling fluid related issues encountered in the Tuscaloosa Marine Shale (TMS) include wellbore instability, bit balling, </w:t>
      </w:r>
      <w:r w:rsidR="002058F8">
        <w:rPr>
          <w:rFonts w:ascii="Times New Roman" w:hAnsi="Times New Roman" w:cs="Times New Roman"/>
          <w:sz w:val="24"/>
        </w:rPr>
        <w:t>high operating cost due to use of oil-based mud systems.</w:t>
      </w:r>
      <w:r w:rsidR="003C71A7">
        <w:rPr>
          <w:rFonts w:ascii="Times New Roman" w:hAnsi="Times New Roman" w:cs="Times New Roman"/>
          <w:sz w:val="24"/>
        </w:rPr>
        <w:t xml:space="preserve"> These issues limited the effectiveness of the drilling fluid systems. </w:t>
      </w:r>
      <w:r w:rsidR="001636D9">
        <w:rPr>
          <w:rFonts w:ascii="Times New Roman" w:hAnsi="Times New Roman" w:cs="Times New Roman"/>
          <w:sz w:val="24"/>
        </w:rPr>
        <w:t>With the forgoing assessment of the drilling fluid effectiveness in the TMS, the following hypotheses have been developed for this research:</w:t>
      </w:r>
    </w:p>
    <w:p w14:paraId="64F4B05F" w14:textId="77777777" w:rsidR="001636D9" w:rsidRDefault="001636D9" w:rsidP="0025438C">
      <w:pPr>
        <w:pStyle w:val="ListParagraph"/>
        <w:numPr>
          <w:ilvl w:val="0"/>
          <w:numId w:val="14"/>
        </w:numPr>
        <w:spacing w:line="480" w:lineRule="auto"/>
        <w:rPr>
          <w:rFonts w:ascii="Times New Roman" w:hAnsi="Times New Roman" w:cs="Times New Roman"/>
          <w:sz w:val="24"/>
        </w:rPr>
      </w:pPr>
      <w:r>
        <w:rPr>
          <w:rFonts w:ascii="Times New Roman" w:hAnsi="Times New Roman" w:cs="Times New Roman"/>
          <w:sz w:val="24"/>
        </w:rPr>
        <w:t xml:space="preserve">The drilling fluid performance is highly influenced by the formation characteristics </w:t>
      </w:r>
      <w:r w:rsidR="00157009">
        <w:rPr>
          <w:rFonts w:ascii="Times New Roman" w:hAnsi="Times New Roman" w:cs="Times New Roman"/>
          <w:sz w:val="24"/>
        </w:rPr>
        <w:t>such as mineralogy</w:t>
      </w:r>
    </w:p>
    <w:p w14:paraId="1A1F1B42" w14:textId="77777777" w:rsidR="001636D9" w:rsidRDefault="00BE0441" w:rsidP="0025438C">
      <w:pPr>
        <w:pStyle w:val="ListParagraph"/>
        <w:numPr>
          <w:ilvl w:val="0"/>
          <w:numId w:val="14"/>
        </w:numPr>
        <w:spacing w:line="480" w:lineRule="auto"/>
        <w:rPr>
          <w:rFonts w:ascii="Times New Roman" w:hAnsi="Times New Roman" w:cs="Times New Roman"/>
          <w:sz w:val="24"/>
        </w:rPr>
      </w:pPr>
      <w:r>
        <w:rPr>
          <w:rFonts w:ascii="Times New Roman" w:hAnsi="Times New Roman" w:cs="Times New Roman"/>
          <w:sz w:val="24"/>
        </w:rPr>
        <w:t>The drilling fluid performance is directly related to the compatibility between the fluid systems and the formation</w:t>
      </w:r>
      <w:r w:rsidR="00C109A9">
        <w:rPr>
          <w:rFonts w:ascii="Times New Roman" w:hAnsi="Times New Roman" w:cs="Times New Roman"/>
          <w:sz w:val="24"/>
        </w:rPr>
        <w:t>.</w:t>
      </w:r>
    </w:p>
    <w:p w14:paraId="36657849" w14:textId="77777777" w:rsidR="00BE0441" w:rsidRDefault="00491CD1" w:rsidP="0025438C">
      <w:pPr>
        <w:pStyle w:val="ListParagraph"/>
        <w:numPr>
          <w:ilvl w:val="0"/>
          <w:numId w:val="14"/>
        </w:numPr>
        <w:spacing w:line="480" w:lineRule="auto"/>
        <w:rPr>
          <w:rFonts w:ascii="Times New Roman" w:hAnsi="Times New Roman" w:cs="Times New Roman"/>
          <w:sz w:val="24"/>
        </w:rPr>
      </w:pPr>
      <w:r>
        <w:rPr>
          <w:rFonts w:ascii="Times New Roman" w:hAnsi="Times New Roman" w:cs="Times New Roman"/>
          <w:sz w:val="24"/>
        </w:rPr>
        <w:t>Inhi</w:t>
      </w:r>
      <w:r w:rsidR="00C109A9">
        <w:rPr>
          <w:rFonts w:ascii="Times New Roman" w:hAnsi="Times New Roman" w:cs="Times New Roman"/>
          <w:sz w:val="24"/>
        </w:rPr>
        <w:t>bitive mud systems are highly effective is shale drilling operations.</w:t>
      </w:r>
    </w:p>
    <w:p w14:paraId="6DC46308" w14:textId="77777777" w:rsidR="006B7A28" w:rsidRDefault="006B7A28" w:rsidP="0025438C">
      <w:pPr>
        <w:pStyle w:val="Heading2"/>
        <w:numPr>
          <w:ilvl w:val="1"/>
          <w:numId w:val="2"/>
        </w:numPr>
      </w:pPr>
      <w:bookmarkStart w:id="12" w:name="_Toc39751579"/>
      <w:r>
        <w:lastRenderedPageBreak/>
        <w:t>Research Objectives</w:t>
      </w:r>
      <w:bookmarkEnd w:id="12"/>
    </w:p>
    <w:p w14:paraId="221813EF" w14:textId="77777777" w:rsidR="006A0CED" w:rsidRDefault="009F0B88" w:rsidP="0025438C">
      <w:pPr>
        <w:spacing w:line="480" w:lineRule="auto"/>
        <w:rPr>
          <w:rFonts w:ascii="Times New Roman" w:hAnsi="Times New Roman" w:cs="Times New Roman"/>
          <w:sz w:val="24"/>
        </w:rPr>
      </w:pPr>
      <w:r>
        <w:rPr>
          <w:rFonts w:ascii="Times New Roman" w:hAnsi="Times New Roman" w:cs="Times New Roman"/>
          <w:sz w:val="24"/>
        </w:rPr>
        <w:t>In th</w:t>
      </w:r>
      <w:r w:rsidR="003056D8">
        <w:rPr>
          <w:rFonts w:ascii="Times New Roman" w:hAnsi="Times New Roman" w:cs="Times New Roman"/>
          <w:sz w:val="24"/>
        </w:rPr>
        <w:t xml:space="preserve">e design and development of drilling fluids, laboratory investigation of drilling fluid performance was carried out at </w:t>
      </w:r>
      <w:r w:rsidR="00157009">
        <w:rPr>
          <w:rFonts w:ascii="Times New Roman" w:hAnsi="Times New Roman" w:cs="Times New Roman"/>
          <w:sz w:val="24"/>
        </w:rPr>
        <w:t>consistent</w:t>
      </w:r>
      <w:r w:rsidR="003056D8">
        <w:rPr>
          <w:rFonts w:ascii="Times New Roman" w:hAnsi="Times New Roman" w:cs="Times New Roman"/>
          <w:sz w:val="24"/>
        </w:rPr>
        <w:t xml:space="preserve"> testing conditions to maintain consistency throughout the research. </w:t>
      </w:r>
      <w:r w:rsidR="006C73E4">
        <w:rPr>
          <w:rFonts w:ascii="Times New Roman" w:hAnsi="Times New Roman" w:cs="Times New Roman"/>
          <w:sz w:val="24"/>
        </w:rPr>
        <w:t>The objective was to devise a</w:t>
      </w:r>
      <w:r w:rsidR="006A0CED">
        <w:rPr>
          <w:rFonts w:ascii="Times New Roman" w:hAnsi="Times New Roman" w:cs="Times New Roman"/>
          <w:sz w:val="24"/>
        </w:rPr>
        <w:t xml:space="preserve">n economical, efficient, and more compatible mud systems as alternative to oil-based mud that can drill </w:t>
      </w:r>
      <w:r w:rsidR="00BE5D1C">
        <w:rPr>
          <w:rFonts w:ascii="Times New Roman" w:hAnsi="Times New Roman" w:cs="Times New Roman"/>
          <w:sz w:val="24"/>
        </w:rPr>
        <w:t xml:space="preserve">the </w:t>
      </w:r>
      <w:r w:rsidR="006A0CED">
        <w:rPr>
          <w:rFonts w:ascii="Times New Roman" w:hAnsi="Times New Roman" w:cs="Times New Roman"/>
          <w:sz w:val="24"/>
        </w:rPr>
        <w:t>deep high-pressure high-temperature (HPHT) Tuscaloosa Marine Shale formation. The major objectives of this research are reported below:</w:t>
      </w:r>
    </w:p>
    <w:p w14:paraId="10C16C34" w14:textId="77777777" w:rsidR="006A0CED" w:rsidRDefault="006A0CED" w:rsidP="0025438C">
      <w:pPr>
        <w:pStyle w:val="ListParagraph"/>
        <w:numPr>
          <w:ilvl w:val="0"/>
          <w:numId w:val="16"/>
        </w:numPr>
        <w:spacing w:line="480" w:lineRule="auto"/>
        <w:rPr>
          <w:rFonts w:ascii="Times New Roman" w:hAnsi="Times New Roman" w:cs="Times New Roman"/>
          <w:sz w:val="24"/>
        </w:rPr>
      </w:pPr>
      <w:r>
        <w:rPr>
          <w:rFonts w:ascii="Times New Roman" w:hAnsi="Times New Roman" w:cs="Times New Roman"/>
          <w:sz w:val="24"/>
        </w:rPr>
        <w:t>Investigate the effect of inhibitive mud systems on shale swelling and dispersion during drilling</w:t>
      </w:r>
    </w:p>
    <w:p w14:paraId="6760B917" w14:textId="77777777" w:rsidR="006A0CED" w:rsidRDefault="006A0CED" w:rsidP="0025438C">
      <w:pPr>
        <w:pStyle w:val="ListParagraph"/>
        <w:numPr>
          <w:ilvl w:val="0"/>
          <w:numId w:val="16"/>
        </w:numPr>
        <w:spacing w:line="480" w:lineRule="auto"/>
        <w:rPr>
          <w:rFonts w:ascii="Times New Roman" w:hAnsi="Times New Roman" w:cs="Times New Roman"/>
          <w:sz w:val="24"/>
        </w:rPr>
      </w:pPr>
      <w:r>
        <w:rPr>
          <w:rFonts w:ascii="Times New Roman" w:hAnsi="Times New Roman" w:cs="Times New Roman"/>
          <w:sz w:val="24"/>
        </w:rPr>
        <w:t xml:space="preserve">Characterize the compatibility between </w:t>
      </w:r>
      <w:r w:rsidR="00EA1B66">
        <w:rPr>
          <w:rFonts w:ascii="Times New Roman" w:hAnsi="Times New Roman" w:cs="Times New Roman"/>
          <w:sz w:val="24"/>
        </w:rPr>
        <w:t xml:space="preserve">different </w:t>
      </w:r>
      <w:r>
        <w:rPr>
          <w:rFonts w:ascii="Times New Roman" w:hAnsi="Times New Roman" w:cs="Times New Roman"/>
          <w:sz w:val="24"/>
        </w:rPr>
        <w:t xml:space="preserve">drilling fluids and shale formations </w:t>
      </w:r>
    </w:p>
    <w:p w14:paraId="04A99C06" w14:textId="77777777" w:rsidR="006A0CED" w:rsidRDefault="006A0CED" w:rsidP="0025438C">
      <w:pPr>
        <w:pStyle w:val="ListParagraph"/>
        <w:numPr>
          <w:ilvl w:val="0"/>
          <w:numId w:val="16"/>
        </w:numPr>
        <w:spacing w:line="480" w:lineRule="auto"/>
        <w:rPr>
          <w:rFonts w:ascii="Times New Roman" w:hAnsi="Times New Roman" w:cs="Times New Roman"/>
          <w:sz w:val="24"/>
        </w:rPr>
      </w:pPr>
      <w:r>
        <w:rPr>
          <w:rFonts w:ascii="Times New Roman" w:hAnsi="Times New Roman" w:cs="Times New Roman"/>
          <w:sz w:val="24"/>
        </w:rPr>
        <w:t>Investigate the impact of drilling inhibitive drilling fluid systems on shale drilling performance</w:t>
      </w:r>
    </w:p>
    <w:p w14:paraId="79D33E89" w14:textId="77777777" w:rsidR="000C6C02" w:rsidRDefault="006A0CED" w:rsidP="0025438C">
      <w:pPr>
        <w:pStyle w:val="ListParagraph"/>
        <w:numPr>
          <w:ilvl w:val="0"/>
          <w:numId w:val="16"/>
        </w:numPr>
        <w:spacing w:line="480" w:lineRule="auto"/>
        <w:rPr>
          <w:rFonts w:ascii="Times New Roman" w:hAnsi="Times New Roman" w:cs="Times New Roman"/>
          <w:sz w:val="24"/>
        </w:rPr>
      </w:pPr>
      <w:r>
        <w:rPr>
          <w:rFonts w:ascii="Times New Roman" w:hAnsi="Times New Roman" w:cs="Times New Roman"/>
          <w:sz w:val="24"/>
        </w:rPr>
        <w:t>Develop a more suitable drilling fluid system that provide better economic and performance for TMS drilling operations</w:t>
      </w:r>
      <w:r w:rsidRPr="006A0CED">
        <w:rPr>
          <w:rFonts w:ascii="Times New Roman" w:hAnsi="Times New Roman" w:cs="Times New Roman"/>
          <w:sz w:val="24"/>
        </w:rPr>
        <w:t xml:space="preserve"> </w:t>
      </w:r>
    </w:p>
    <w:p w14:paraId="3812FBFD" w14:textId="77777777" w:rsidR="00BD2715" w:rsidRDefault="00BD2715" w:rsidP="0025438C">
      <w:pPr>
        <w:pStyle w:val="ListParagraph"/>
        <w:numPr>
          <w:ilvl w:val="0"/>
          <w:numId w:val="16"/>
        </w:numPr>
        <w:spacing w:line="480" w:lineRule="auto"/>
        <w:rPr>
          <w:rFonts w:ascii="Times New Roman" w:hAnsi="Times New Roman" w:cs="Times New Roman"/>
          <w:sz w:val="24"/>
        </w:rPr>
      </w:pPr>
      <w:r>
        <w:rPr>
          <w:rFonts w:ascii="Times New Roman" w:hAnsi="Times New Roman" w:cs="Times New Roman"/>
          <w:sz w:val="24"/>
        </w:rPr>
        <w:t xml:space="preserve">Design an effective lost circulation mud for controlling </w:t>
      </w:r>
      <w:r w:rsidR="00157009">
        <w:rPr>
          <w:rFonts w:ascii="Times New Roman" w:hAnsi="Times New Roman" w:cs="Times New Roman"/>
          <w:sz w:val="24"/>
        </w:rPr>
        <w:t xml:space="preserve">and treating </w:t>
      </w:r>
      <w:r>
        <w:rPr>
          <w:rFonts w:ascii="Times New Roman" w:hAnsi="Times New Roman" w:cs="Times New Roman"/>
          <w:sz w:val="24"/>
        </w:rPr>
        <w:t>fluid loss in the formation</w:t>
      </w:r>
    </w:p>
    <w:p w14:paraId="4B59FA3E" w14:textId="77777777" w:rsidR="00A70F62" w:rsidRDefault="00A70F62" w:rsidP="0025438C">
      <w:pPr>
        <w:pStyle w:val="Heading2"/>
        <w:numPr>
          <w:ilvl w:val="1"/>
          <w:numId w:val="2"/>
        </w:numPr>
      </w:pPr>
      <w:bookmarkStart w:id="13" w:name="_Toc39751580"/>
      <w:r>
        <w:t>Research Outline and scope of Study</w:t>
      </w:r>
      <w:bookmarkEnd w:id="13"/>
    </w:p>
    <w:p w14:paraId="55E1F47D" w14:textId="77777777" w:rsidR="00A70F62" w:rsidRDefault="00183777" w:rsidP="0025438C">
      <w:pPr>
        <w:spacing w:line="480" w:lineRule="auto"/>
        <w:rPr>
          <w:rFonts w:ascii="Times New Roman" w:hAnsi="Times New Roman" w:cs="Times New Roman"/>
          <w:sz w:val="24"/>
        </w:rPr>
      </w:pPr>
      <w:r>
        <w:rPr>
          <w:rFonts w:ascii="Times New Roman" w:hAnsi="Times New Roman" w:cs="Times New Roman"/>
          <w:sz w:val="24"/>
        </w:rPr>
        <w:t xml:space="preserve">The scope of this research focused on </w:t>
      </w:r>
      <w:r w:rsidR="00163F3D">
        <w:rPr>
          <w:rFonts w:ascii="Times New Roman" w:hAnsi="Times New Roman" w:cs="Times New Roman"/>
          <w:sz w:val="24"/>
        </w:rPr>
        <w:t xml:space="preserve">conducting experimental investigation on drilling fluid </w:t>
      </w:r>
      <w:r w:rsidR="00BD4D97">
        <w:rPr>
          <w:rFonts w:ascii="Times New Roman" w:hAnsi="Times New Roman" w:cs="Times New Roman"/>
          <w:sz w:val="24"/>
        </w:rPr>
        <w:t xml:space="preserve">systems </w:t>
      </w:r>
      <w:r w:rsidR="00163F3D">
        <w:rPr>
          <w:rFonts w:ascii="Times New Roman" w:hAnsi="Times New Roman" w:cs="Times New Roman"/>
          <w:sz w:val="24"/>
        </w:rPr>
        <w:t>such as conventional water-based mud (WBM), cesium formate brine, and KCl based mud systems for compatibility and performance purpose. The experiments conducted using the innovative high-pressure high-temperature (HPHT) drilling simulator were performed under dynamic conditions while the swelling tests were run at ambient condition.</w:t>
      </w:r>
    </w:p>
    <w:p w14:paraId="586D42B0" w14:textId="77777777" w:rsidR="00710FCD" w:rsidRDefault="00710FCD" w:rsidP="0025438C">
      <w:pPr>
        <w:spacing w:line="480" w:lineRule="auto"/>
        <w:rPr>
          <w:rFonts w:ascii="Times New Roman" w:hAnsi="Times New Roman" w:cs="Times New Roman"/>
          <w:sz w:val="24"/>
        </w:rPr>
      </w:pPr>
      <w:r>
        <w:rPr>
          <w:rFonts w:ascii="Times New Roman" w:hAnsi="Times New Roman" w:cs="Times New Roman"/>
          <w:sz w:val="24"/>
        </w:rPr>
        <w:lastRenderedPageBreak/>
        <w:t xml:space="preserve">To better conduct this research, a concise and well-developed outline was followed. The research outline used is classified below. </w:t>
      </w:r>
    </w:p>
    <w:p w14:paraId="72A44DA0" w14:textId="77777777" w:rsidR="00960008" w:rsidRDefault="00710FCD" w:rsidP="0025438C">
      <w:pPr>
        <w:pStyle w:val="ListParagraph"/>
        <w:numPr>
          <w:ilvl w:val="0"/>
          <w:numId w:val="17"/>
        </w:numPr>
        <w:spacing w:line="480" w:lineRule="auto"/>
        <w:rPr>
          <w:rFonts w:ascii="Times New Roman" w:hAnsi="Times New Roman" w:cs="Times New Roman"/>
          <w:sz w:val="24"/>
        </w:rPr>
      </w:pPr>
      <w:r w:rsidRPr="007813A6">
        <w:rPr>
          <w:rFonts w:ascii="Times New Roman" w:hAnsi="Times New Roman" w:cs="Times New Roman"/>
          <w:i/>
          <w:sz w:val="24"/>
        </w:rPr>
        <w:t>Theoretical study</w:t>
      </w:r>
      <w:r>
        <w:rPr>
          <w:rFonts w:ascii="Times New Roman" w:hAnsi="Times New Roman" w:cs="Times New Roman"/>
          <w:sz w:val="24"/>
        </w:rPr>
        <w:t xml:space="preserve">: An </w:t>
      </w:r>
      <w:r w:rsidR="00BD4D97">
        <w:rPr>
          <w:rFonts w:ascii="Times New Roman" w:hAnsi="Times New Roman" w:cs="Times New Roman"/>
          <w:sz w:val="24"/>
        </w:rPr>
        <w:t>extensive</w:t>
      </w:r>
      <w:r>
        <w:rPr>
          <w:rFonts w:ascii="Times New Roman" w:hAnsi="Times New Roman" w:cs="Times New Roman"/>
          <w:sz w:val="24"/>
        </w:rPr>
        <w:t xml:space="preserve"> and </w:t>
      </w:r>
      <w:r w:rsidR="004D41A2">
        <w:rPr>
          <w:rFonts w:ascii="Times New Roman" w:hAnsi="Times New Roman" w:cs="Times New Roman"/>
          <w:sz w:val="24"/>
        </w:rPr>
        <w:t>in-depth</w:t>
      </w:r>
      <w:r>
        <w:rPr>
          <w:rFonts w:ascii="Times New Roman" w:hAnsi="Times New Roman" w:cs="Times New Roman"/>
          <w:sz w:val="24"/>
        </w:rPr>
        <w:t xml:space="preserve"> literature review on shale drilling and drilling fluid activity was performed. The review process </w:t>
      </w:r>
      <w:r w:rsidR="004D41A2">
        <w:rPr>
          <w:rFonts w:ascii="Times New Roman" w:hAnsi="Times New Roman" w:cs="Times New Roman"/>
          <w:sz w:val="24"/>
        </w:rPr>
        <w:t>included</w:t>
      </w:r>
      <w:r>
        <w:rPr>
          <w:rFonts w:ascii="Times New Roman" w:hAnsi="Times New Roman" w:cs="Times New Roman"/>
          <w:sz w:val="24"/>
        </w:rPr>
        <w:t xml:space="preserve"> but not limited to</w:t>
      </w:r>
      <w:r w:rsidR="004D41A2">
        <w:rPr>
          <w:rFonts w:ascii="Times New Roman" w:hAnsi="Times New Roman" w:cs="Times New Roman"/>
          <w:sz w:val="24"/>
        </w:rPr>
        <w:t xml:space="preserve"> analysis of journal articles, conference proceedings, field drilling and mud reports from </w:t>
      </w:r>
      <w:r w:rsidR="001E1993">
        <w:rPr>
          <w:rFonts w:ascii="Times New Roman" w:hAnsi="Times New Roman" w:cs="Times New Roman"/>
          <w:sz w:val="24"/>
        </w:rPr>
        <w:t>well A</w:t>
      </w:r>
      <w:r w:rsidR="004D41A2">
        <w:rPr>
          <w:rFonts w:ascii="Times New Roman" w:hAnsi="Times New Roman" w:cs="Times New Roman"/>
          <w:sz w:val="24"/>
        </w:rPr>
        <w:t>, and related technical publications.</w:t>
      </w:r>
    </w:p>
    <w:p w14:paraId="2442DE59" w14:textId="77777777" w:rsidR="00710FCD" w:rsidRDefault="006B4383" w:rsidP="0025438C">
      <w:pPr>
        <w:pStyle w:val="ListParagraph"/>
        <w:numPr>
          <w:ilvl w:val="0"/>
          <w:numId w:val="17"/>
        </w:numPr>
        <w:spacing w:line="480" w:lineRule="auto"/>
        <w:rPr>
          <w:rFonts w:ascii="Times New Roman" w:hAnsi="Times New Roman" w:cs="Times New Roman"/>
          <w:sz w:val="24"/>
        </w:rPr>
      </w:pPr>
      <w:r w:rsidRPr="007813A6">
        <w:rPr>
          <w:rFonts w:ascii="Times New Roman" w:hAnsi="Times New Roman" w:cs="Times New Roman"/>
          <w:i/>
          <w:sz w:val="24"/>
        </w:rPr>
        <w:t xml:space="preserve">Laboratory </w:t>
      </w:r>
      <w:r w:rsidR="00DF0295">
        <w:rPr>
          <w:rFonts w:ascii="Times New Roman" w:hAnsi="Times New Roman" w:cs="Times New Roman"/>
          <w:i/>
          <w:sz w:val="24"/>
        </w:rPr>
        <w:t>e</w:t>
      </w:r>
      <w:r w:rsidRPr="007813A6">
        <w:rPr>
          <w:rFonts w:ascii="Times New Roman" w:hAnsi="Times New Roman" w:cs="Times New Roman"/>
          <w:i/>
          <w:sz w:val="24"/>
        </w:rPr>
        <w:t>xperiments</w:t>
      </w:r>
      <w:r>
        <w:rPr>
          <w:rFonts w:ascii="Times New Roman" w:hAnsi="Times New Roman" w:cs="Times New Roman"/>
          <w:sz w:val="24"/>
        </w:rPr>
        <w:t xml:space="preserve">: </w:t>
      </w:r>
      <w:r w:rsidR="00710FCD">
        <w:rPr>
          <w:rFonts w:ascii="Times New Roman" w:hAnsi="Times New Roman" w:cs="Times New Roman"/>
          <w:sz w:val="24"/>
        </w:rPr>
        <w:t xml:space="preserve"> </w:t>
      </w:r>
      <w:r w:rsidR="007813A6">
        <w:rPr>
          <w:rFonts w:ascii="Times New Roman" w:hAnsi="Times New Roman" w:cs="Times New Roman"/>
          <w:sz w:val="24"/>
        </w:rPr>
        <w:t xml:space="preserve">The experimental methods used in this research include drilling fluid formulation, rheological </w:t>
      </w:r>
      <w:r w:rsidR="008A0EC6">
        <w:rPr>
          <w:rFonts w:ascii="Times New Roman" w:hAnsi="Times New Roman" w:cs="Times New Roman"/>
          <w:sz w:val="24"/>
        </w:rPr>
        <w:t xml:space="preserve">and mineralogy </w:t>
      </w:r>
      <w:r w:rsidR="007813A6">
        <w:rPr>
          <w:rFonts w:ascii="Times New Roman" w:hAnsi="Times New Roman" w:cs="Times New Roman"/>
          <w:sz w:val="24"/>
        </w:rPr>
        <w:t>characterization, swelling test, and drilling simulation tests. The purpose of the experiments was to fully comprehend to compatibility between the tested drilling fluids and the TMS formation and evaluate their performances</w:t>
      </w:r>
      <w:r w:rsidR="00936BDE">
        <w:rPr>
          <w:rFonts w:ascii="Times New Roman" w:hAnsi="Times New Roman" w:cs="Times New Roman"/>
          <w:sz w:val="24"/>
        </w:rPr>
        <w:t xml:space="preserve"> in term of drilling</w:t>
      </w:r>
      <w:r w:rsidR="007813A6">
        <w:rPr>
          <w:rFonts w:ascii="Times New Roman" w:hAnsi="Times New Roman" w:cs="Times New Roman"/>
          <w:sz w:val="24"/>
        </w:rPr>
        <w:t>.</w:t>
      </w:r>
    </w:p>
    <w:p w14:paraId="3458D37A" w14:textId="77777777" w:rsidR="003268BA" w:rsidRDefault="00DF0295" w:rsidP="0025438C">
      <w:pPr>
        <w:pStyle w:val="ListParagraph"/>
        <w:numPr>
          <w:ilvl w:val="0"/>
          <w:numId w:val="17"/>
        </w:numPr>
        <w:spacing w:line="480" w:lineRule="auto"/>
        <w:rPr>
          <w:rFonts w:ascii="Times New Roman" w:hAnsi="Times New Roman" w:cs="Times New Roman"/>
          <w:sz w:val="24"/>
        </w:rPr>
      </w:pPr>
      <w:r>
        <w:rPr>
          <w:rFonts w:ascii="Times New Roman" w:hAnsi="Times New Roman" w:cs="Times New Roman"/>
          <w:i/>
          <w:sz w:val="24"/>
        </w:rPr>
        <w:t>Post experimental analysis</w:t>
      </w:r>
      <w:r w:rsidRPr="00DF0295">
        <w:rPr>
          <w:rFonts w:ascii="Times New Roman" w:hAnsi="Times New Roman" w:cs="Times New Roman"/>
          <w:sz w:val="24"/>
        </w:rPr>
        <w:t>:</w:t>
      </w:r>
      <w:r>
        <w:rPr>
          <w:rFonts w:ascii="Times New Roman" w:hAnsi="Times New Roman" w:cs="Times New Roman"/>
          <w:sz w:val="24"/>
        </w:rPr>
        <w:t xml:space="preserve"> After testing, drilling and swelling data were recorded </w:t>
      </w:r>
      <w:r w:rsidR="00383654">
        <w:rPr>
          <w:rFonts w:ascii="Times New Roman" w:hAnsi="Times New Roman" w:cs="Times New Roman"/>
          <w:sz w:val="24"/>
        </w:rPr>
        <w:t>using</w:t>
      </w:r>
      <w:r>
        <w:rPr>
          <w:rFonts w:ascii="Times New Roman" w:hAnsi="Times New Roman" w:cs="Times New Roman"/>
          <w:sz w:val="24"/>
        </w:rPr>
        <w:t xml:space="preserve"> a data acquisition system (DAQ). The data were analyzed for correlation</w:t>
      </w:r>
      <w:r w:rsidR="00B718A1">
        <w:rPr>
          <w:rFonts w:ascii="Times New Roman" w:hAnsi="Times New Roman" w:cs="Times New Roman"/>
          <w:sz w:val="24"/>
        </w:rPr>
        <w:t xml:space="preserve"> and trend</w:t>
      </w:r>
      <w:r>
        <w:rPr>
          <w:rFonts w:ascii="Times New Roman" w:hAnsi="Times New Roman" w:cs="Times New Roman"/>
          <w:sz w:val="24"/>
        </w:rPr>
        <w:t xml:space="preserve"> purpose </w:t>
      </w:r>
      <w:r w:rsidR="00B718A1">
        <w:rPr>
          <w:rFonts w:ascii="Times New Roman" w:hAnsi="Times New Roman" w:cs="Times New Roman"/>
          <w:sz w:val="24"/>
        </w:rPr>
        <w:t>between drilling parameters. A</w:t>
      </w:r>
      <w:r w:rsidR="00BD4D97">
        <w:rPr>
          <w:rFonts w:ascii="Times New Roman" w:hAnsi="Times New Roman" w:cs="Times New Roman"/>
          <w:sz w:val="24"/>
        </w:rPr>
        <w:t>n in-depth</w:t>
      </w:r>
      <w:r w:rsidR="00B718A1">
        <w:rPr>
          <w:rFonts w:ascii="Times New Roman" w:hAnsi="Times New Roman" w:cs="Times New Roman"/>
          <w:sz w:val="24"/>
        </w:rPr>
        <w:t xml:space="preserve"> analysis </w:t>
      </w:r>
      <w:r w:rsidR="00525066">
        <w:rPr>
          <w:rFonts w:ascii="Times New Roman" w:hAnsi="Times New Roman" w:cs="Times New Roman"/>
          <w:sz w:val="24"/>
        </w:rPr>
        <w:t xml:space="preserve">of the recorded data helped in </w:t>
      </w:r>
      <w:r w:rsidR="00BD4D97">
        <w:rPr>
          <w:rFonts w:ascii="Times New Roman" w:hAnsi="Times New Roman" w:cs="Times New Roman"/>
          <w:sz w:val="24"/>
        </w:rPr>
        <w:t xml:space="preserve">evaluating the performance of each drilling fluid systems and </w:t>
      </w:r>
      <w:r w:rsidR="00525066">
        <w:rPr>
          <w:rFonts w:ascii="Times New Roman" w:hAnsi="Times New Roman" w:cs="Times New Roman"/>
          <w:sz w:val="24"/>
        </w:rPr>
        <w:t>choosing the most appropriate and effective drilling fluid system for TMS drilling.</w:t>
      </w:r>
      <w:r>
        <w:rPr>
          <w:rFonts w:ascii="Times New Roman" w:hAnsi="Times New Roman" w:cs="Times New Roman"/>
          <w:sz w:val="24"/>
        </w:rPr>
        <w:t xml:space="preserve"> </w:t>
      </w:r>
    </w:p>
    <w:p w14:paraId="4EB5AC50" w14:textId="77777777" w:rsidR="0025438C" w:rsidRDefault="0025438C" w:rsidP="0025438C">
      <w:pPr>
        <w:spacing w:line="480" w:lineRule="auto"/>
        <w:rPr>
          <w:rFonts w:ascii="Times New Roman" w:hAnsi="Times New Roman" w:cs="Times New Roman"/>
          <w:sz w:val="24"/>
        </w:rPr>
      </w:pPr>
    </w:p>
    <w:p w14:paraId="2AA04D5C" w14:textId="77777777" w:rsidR="0025438C" w:rsidRDefault="0025438C" w:rsidP="0025438C">
      <w:pPr>
        <w:spacing w:line="480" w:lineRule="auto"/>
        <w:rPr>
          <w:rFonts w:ascii="Times New Roman" w:hAnsi="Times New Roman" w:cs="Times New Roman"/>
          <w:sz w:val="24"/>
        </w:rPr>
      </w:pPr>
    </w:p>
    <w:p w14:paraId="62C48328" w14:textId="77777777" w:rsidR="0025438C" w:rsidRPr="0025438C" w:rsidRDefault="0025438C" w:rsidP="0025438C">
      <w:pPr>
        <w:spacing w:line="480" w:lineRule="auto"/>
        <w:rPr>
          <w:rFonts w:ascii="Times New Roman" w:hAnsi="Times New Roman" w:cs="Times New Roman"/>
          <w:sz w:val="24"/>
        </w:rPr>
      </w:pPr>
    </w:p>
    <w:p w14:paraId="27E89356" w14:textId="77777777" w:rsidR="00F55CC7" w:rsidRDefault="00F55CC7" w:rsidP="008E3BE9">
      <w:pPr>
        <w:pStyle w:val="Heading1"/>
        <w:numPr>
          <w:ilvl w:val="0"/>
          <w:numId w:val="2"/>
        </w:numPr>
      </w:pPr>
      <w:bookmarkStart w:id="14" w:name="_Toc39751581"/>
      <w:r>
        <w:lastRenderedPageBreak/>
        <w:t>Literature Review</w:t>
      </w:r>
      <w:bookmarkEnd w:id="14"/>
      <w:r>
        <w:t xml:space="preserve"> </w:t>
      </w:r>
    </w:p>
    <w:p w14:paraId="2069231C" w14:textId="77777777" w:rsidR="00744AAD" w:rsidRPr="00744AAD" w:rsidRDefault="00744AAD" w:rsidP="00744AAD">
      <w:pPr>
        <w:pStyle w:val="ListParagraph"/>
        <w:keepNext/>
        <w:keepLines/>
        <w:numPr>
          <w:ilvl w:val="0"/>
          <w:numId w:val="15"/>
        </w:numPr>
        <w:spacing w:before="160" w:after="120" w:line="480" w:lineRule="auto"/>
        <w:contextualSpacing w:val="0"/>
        <w:outlineLvl w:val="1"/>
        <w:rPr>
          <w:rFonts w:ascii="Times New Roman" w:eastAsiaTheme="majorEastAsia" w:hAnsi="Times New Roman" w:cstheme="majorBidi"/>
          <w:b/>
          <w:vanish/>
          <w:color w:val="000000" w:themeColor="text1"/>
          <w:sz w:val="26"/>
          <w:szCs w:val="26"/>
        </w:rPr>
      </w:pPr>
      <w:bookmarkStart w:id="15" w:name="_Toc35563340"/>
      <w:bookmarkStart w:id="16" w:name="_Toc35563403"/>
      <w:bookmarkStart w:id="17" w:name="_Toc37771871"/>
      <w:bookmarkStart w:id="18" w:name="_Toc39751582"/>
      <w:bookmarkEnd w:id="15"/>
      <w:bookmarkEnd w:id="16"/>
      <w:bookmarkEnd w:id="17"/>
      <w:bookmarkEnd w:id="18"/>
    </w:p>
    <w:p w14:paraId="7C74ACFB" w14:textId="77777777" w:rsidR="00744AAD" w:rsidRPr="00744AAD" w:rsidRDefault="00744AAD" w:rsidP="00744AAD">
      <w:pPr>
        <w:pStyle w:val="ListParagraph"/>
        <w:keepNext/>
        <w:keepLines/>
        <w:numPr>
          <w:ilvl w:val="0"/>
          <w:numId w:val="15"/>
        </w:numPr>
        <w:spacing w:before="160" w:after="120" w:line="480" w:lineRule="auto"/>
        <w:contextualSpacing w:val="0"/>
        <w:outlineLvl w:val="1"/>
        <w:rPr>
          <w:rFonts w:ascii="Times New Roman" w:eastAsiaTheme="majorEastAsia" w:hAnsi="Times New Roman" w:cstheme="majorBidi"/>
          <w:b/>
          <w:vanish/>
          <w:color w:val="000000" w:themeColor="text1"/>
          <w:sz w:val="26"/>
          <w:szCs w:val="26"/>
        </w:rPr>
      </w:pPr>
      <w:bookmarkStart w:id="19" w:name="_Toc35563341"/>
      <w:bookmarkStart w:id="20" w:name="_Toc35563404"/>
      <w:bookmarkStart w:id="21" w:name="_Toc37771872"/>
      <w:bookmarkStart w:id="22" w:name="_Toc39751583"/>
      <w:bookmarkEnd w:id="19"/>
      <w:bookmarkEnd w:id="20"/>
      <w:bookmarkEnd w:id="21"/>
      <w:bookmarkEnd w:id="22"/>
    </w:p>
    <w:p w14:paraId="231D01C9" w14:textId="77777777" w:rsidR="007B170D" w:rsidRDefault="00744AAD" w:rsidP="00744AAD">
      <w:pPr>
        <w:pStyle w:val="Heading2"/>
        <w:numPr>
          <w:ilvl w:val="1"/>
          <w:numId w:val="15"/>
        </w:numPr>
      </w:pPr>
      <w:bookmarkStart w:id="23" w:name="_Toc39751584"/>
      <w:r w:rsidRPr="00744AAD">
        <w:t>Introduction</w:t>
      </w:r>
      <w:bookmarkEnd w:id="23"/>
    </w:p>
    <w:p w14:paraId="2ADA4560" w14:textId="3C00F3A5" w:rsidR="0043563D" w:rsidRDefault="00805F71" w:rsidP="0025438C">
      <w:pPr>
        <w:spacing w:line="480" w:lineRule="auto"/>
        <w:rPr>
          <w:rFonts w:ascii="Times New Roman" w:hAnsi="Times New Roman" w:cs="Times New Roman"/>
          <w:sz w:val="24"/>
        </w:rPr>
      </w:pPr>
      <w:r>
        <w:rPr>
          <w:rFonts w:ascii="Times New Roman" w:hAnsi="Times New Roman" w:cs="Times New Roman"/>
          <w:sz w:val="24"/>
        </w:rPr>
        <w:t>To effectively enhance drilling efficiency in shale</w:t>
      </w:r>
      <w:r w:rsidR="00C70A41">
        <w:rPr>
          <w:rFonts w:ascii="Times New Roman" w:hAnsi="Times New Roman" w:cs="Times New Roman"/>
          <w:sz w:val="24"/>
        </w:rPr>
        <w:t>, an extensive and in-depth background study of shale drilling and fluid compatibility</w:t>
      </w:r>
      <w:r w:rsidR="00A41D13">
        <w:rPr>
          <w:rFonts w:ascii="Times New Roman" w:hAnsi="Times New Roman" w:cs="Times New Roman"/>
          <w:sz w:val="24"/>
        </w:rPr>
        <w:t xml:space="preserve"> is required</w:t>
      </w:r>
      <w:r w:rsidR="00C70A41">
        <w:rPr>
          <w:rFonts w:ascii="Times New Roman" w:hAnsi="Times New Roman" w:cs="Times New Roman"/>
          <w:sz w:val="24"/>
        </w:rPr>
        <w:t xml:space="preserve">. This chapter describes the drilling concerns and factors that contribute to low drilling rate. </w:t>
      </w:r>
      <w:r w:rsidR="005A678B">
        <w:rPr>
          <w:rFonts w:ascii="Times New Roman" w:hAnsi="Times New Roman" w:cs="Times New Roman"/>
          <w:sz w:val="24"/>
        </w:rPr>
        <w:t>This chapter also gives an insight of the shale-</w:t>
      </w:r>
      <w:r w:rsidR="00DA1D28">
        <w:rPr>
          <w:rFonts w:ascii="Times New Roman" w:hAnsi="Times New Roman" w:cs="Times New Roman"/>
          <w:sz w:val="24"/>
        </w:rPr>
        <w:t>drilling fluid interaction mechanism</w:t>
      </w:r>
      <w:r w:rsidR="006F3983">
        <w:rPr>
          <w:rFonts w:ascii="Times New Roman" w:hAnsi="Times New Roman" w:cs="Times New Roman"/>
          <w:sz w:val="24"/>
        </w:rPr>
        <w:t xml:space="preserve">s. </w:t>
      </w:r>
      <w:r w:rsidR="00E14A4A">
        <w:rPr>
          <w:rFonts w:ascii="Times New Roman" w:hAnsi="Times New Roman" w:cs="Times New Roman"/>
          <w:sz w:val="24"/>
        </w:rPr>
        <w:t>This first section of this chapter focuses on shale wellbore instability by analyzing the cause</w:t>
      </w:r>
      <w:r w:rsidR="00BD4D97">
        <w:rPr>
          <w:rFonts w:ascii="Times New Roman" w:hAnsi="Times New Roman" w:cs="Times New Roman"/>
          <w:sz w:val="24"/>
        </w:rPr>
        <w:t>s</w:t>
      </w:r>
      <w:r w:rsidR="00E14A4A">
        <w:rPr>
          <w:rFonts w:ascii="Times New Roman" w:hAnsi="Times New Roman" w:cs="Times New Roman"/>
          <w:sz w:val="24"/>
        </w:rPr>
        <w:t xml:space="preserve">, consequences, and possible remediation methods. The second section introduces the concept of bit-balling, which is another detrimental drilling concern for shale. The </w:t>
      </w:r>
      <w:r w:rsidR="00BD4D97">
        <w:rPr>
          <w:rFonts w:ascii="Times New Roman" w:hAnsi="Times New Roman" w:cs="Times New Roman"/>
          <w:sz w:val="24"/>
        </w:rPr>
        <w:t>characteristics of some detrimental clays is also</w:t>
      </w:r>
      <w:r w:rsidR="002F54B9">
        <w:rPr>
          <w:rFonts w:ascii="Times New Roman" w:hAnsi="Times New Roman" w:cs="Times New Roman"/>
          <w:sz w:val="24"/>
        </w:rPr>
        <w:t xml:space="preserve"> discussed. The last section focuses on drilling fluids, their application, properties, and environmental concerns</w:t>
      </w:r>
    </w:p>
    <w:p w14:paraId="12A4470C" w14:textId="77777777" w:rsidR="0043563D" w:rsidRDefault="0043563D" w:rsidP="0025438C">
      <w:pPr>
        <w:pStyle w:val="Heading2"/>
        <w:numPr>
          <w:ilvl w:val="1"/>
          <w:numId w:val="15"/>
        </w:numPr>
      </w:pPr>
      <w:bookmarkStart w:id="24" w:name="_Toc39751585"/>
      <w:r>
        <w:t>Wellbore Instability</w:t>
      </w:r>
      <w:bookmarkEnd w:id="24"/>
      <w:r>
        <w:t xml:space="preserve"> </w:t>
      </w:r>
    </w:p>
    <w:p w14:paraId="434662AA" w14:textId="226767BC" w:rsidR="0043563D" w:rsidRDefault="00E41C0B" w:rsidP="0025438C">
      <w:pPr>
        <w:spacing w:line="480" w:lineRule="auto"/>
        <w:rPr>
          <w:rFonts w:ascii="Times New Roman" w:hAnsi="Times New Roman" w:cs="Times New Roman"/>
          <w:sz w:val="24"/>
        </w:rPr>
      </w:pPr>
      <w:r>
        <w:rPr>
          <w:rFonts w:ascii="Times New Roman" w:hAnsi="Times New Roman" w:cs="Times New Roman"/>
          <w:sz w:val="24"/>
        </w:rPr>
        <w:t>Wellbore instability constit</w:t>
      </w:r>
      <w:r w:rsidR="00554576">
        <w:rPr>
          <w:rFonts w:ascii="Times New Roman" w:hAnsi="Times New Roman" w:cs="Times New Roman"/>
          <w:sz w:val="24"/>
        </w:rPr>
        <w:t xml:space="preserve">utes the most common problem associated with unconventional shale drilling. Chenevert et al. (2001) reported that wellbore instability accounts for almost 90% of shale drilling concerns and continues to </w:t>
      </w:r>
      <w:r w:rsidR="000B3307">
        <w:rPr>
          <w:rFonts w:ascii="Times New Roman" w:hAnsi="Times New Roman" w:cs="Times New Roman"/>
          <w:sz w:val="24"/>
        </w:rPr>
        <w:t>pose major</w:t>
      </w:r>
      <w:r w:rsidR="00554576">
        <w:rPr>
          <w:rFonts w:ascii="Times New Roman" w:hAnsi="Times New Roman" w:cs="Times New Roman"/>
          <w:sz w:val="24"/>
        </w:rPr>
        <w:t xml:space="preserve"> economic burden for drilling operators.</w:t>
      </w:r>
      <w:r w:rsidR="000B3307">
        <w:rPr>
          <w:rFonts w:ascii="Times New Roman" w:hAnsi="Times New Roman" w:cs="Times New Roman"/>
          <w:sz w:val="24"/>
        </w:rPr>
        <w:t xml:space="preserve"> </w:t>
      </w:r>
      <w:r w:rsidR="00AA37B9">
        <w:rPr>
          <w:rFonts w:ascii="Times New Roman" w:hAnsi="Times New Roman" w:cs="Times New Roman"/>
          <w:sz w:val="24"/>
        </w:rPr>
        <w:t>Awal</w:t>
      </w:r>
      <w:r w:rsidR="004A21B3">
        <w:rPr>
          <w:rFonts w:ascii="Times New Roman" w:hAnsi="Times New Roman" w:cs="Times New Roman"/>
          <w:sz w:val="24"/>
        </w:rPr>
        <w:t xml:space="preserve"> et al. (200</w:t>
      </w:r>
      <w:r w:rsidR="00AA37B9">
        <w:rPr>
          <w:rFonts w:ascii="Times New Roman" w:hAnsi="Times New Roman" w:cs="Times New Roman"/>
          <w:sz w:val="24"/>
        </w:rPr>
        <w:t>1</w:t>
      </w:r>
      <w:r w:rsidR="004A21B3">
        <w:rPr>
          <w:rFonts w:ascii="Times New Roman" w:hAnsi="Times New Roman" w:cs="Times New Roman"/>
          <w:sz w:val="24"/>
        </w:rPr>
        <w:t>)</w:t>
      </w:r>
      <w:r w:rsidR="00F4355D">
        <w:rPr>
          <w:rFonts w:ascii="Times New Roman" w:hAnsi="Times New Roman" w:cs="Times New Roman"/>
          <w:sz w:val="24"/>
        </w:rPr>
        <w:t xml:space="preserve"> </w:t>
      </w:r>
      <w:r w:rsidR="000B3307">
        <w:rPr>
          <w:rFonts w:ascii="Times New Roman" w:hAnsi="Times New Roman" w:cs="Times New Roman"/>
          <w:sz w:val="24"/>
        </w:rPr>
        <w:t>reported in their study that wellbore instability has an estimated economic loss of approximately eight (8) billion US dollar per ann</w:t>
      </w:r>
      <w:r w:rsidR="000572DC">
        <w:rPr>
          <w:rFonts w:ascii="Times New Roman" w:hAnsi="Times New Roman" w:cs="Times New Roman"/>
          <w:sz w:val="24"/>
        </w:rPr>
        <w:t xml:space="preserve">ual. </w:t>
      </w:r>
      <w:r w:rsidR="001343BE">
        <w:rPr>
          <w:rFonts w:ascii="Times New Roman" w:hAnsi="Times New Roman" w:cs="Times New Roman"/>
          <w:sz w:val="24"/>
        </w:rPr>
        <w:t>Wellbore instability</w:t>
      </w:r>
      <w:r w:rsidR="00F864D3">
        <w:rPr>
          <w:rFonts w:ascii="Times New Roman" w:hAnsi="Times New Roman" w:cs="Times New Roman"/>
          <w:sz w:val="24"/>
        </w:rPr>
        <w:t xml:space="preserve"> can be defined as the variation between the hole diameter and the bit size. It can also be characterized as when the wellbore loses its integrity. Undergauged wellbore, overgauge</w:t>
      </w:r>
      <w:r w:rsidR="00634979">
        <w:rPr>
          <w:rFonts w:ascii="Times New Roman" w:hAnsi="Times New Roman" w:cs="Times New Roman"/>
          <w:sz w:val="24"/>
        </w:rPr>
        <w:t>d</w:t>
      </w:r>
      <w:r w:rsidR="00F864D3">
        <w:rPr>
          <w:rFonts w:ascii="Times New Roman" w:hAnsi="Times New Roman" w:cs="Times New Roman"/>
          <w:sz w:val="24"/>
        </w:rPr>
        <w:t xml:space="preserve"> wellbore, and hole sloughing are prime example of wellbore instability in shale drilling. </w:t>
      </w:r>
      <w:r w:rsidR="00F864D3" w:rsidRPr="00634979">
        <w:rPr>
          <w:rFonts w:ascii="Times New Roman" w:hAnsi="Times New Roman" w:cs="Times New Roman"/>
          <w:b/>
          <w:sz w:val="24"/>
        </w:rPr>
        <w:t xml:space="preserve">Figure </w:t>
      </w:r>
      <w:r w:rsidR="007F76D1">
        <w:rPr>
          <w:rFonts w:ascii="Times New Roman" w:hAnsi="Times New Roman" w:cs="Times New Roman"/>
          <w:b/>
          <w:sz w:val="24"/>
        </w:rPr>
        <w:t>4</w:t>
      </w:r>
      <w:r w:rsidR="00F864D3">
        <w:rPr>
          <w:rFonts w:ascii="Times New Roman" w:hAnsi="Times New Roman" w:cs="Times New Roman"/>
          <w:sz w:val="24"/>
        </w:rPr>
        <w:t xml:space="preserve"> shows a case of wellbore instability</w:t>
      </w:r>
      <w:r w:rsidR="005A1A0C">
        <w:rPr>
          <w:rFonts w:ascii="Times New Roman" w:hAnsi="Times New Roman" w:cs="Times New Roman"/>
          <w:sz w:val="24"/>
        </w:rPr>
        <w:t xml:space="preserve"> in a naturally fractured formation.</w:t>
      </w:r>
    </w:p>
    <w:p w14:paraId="7E43DC49" w14:textId="77777777" w:rsidR="003D1B59" w:rsidRDefault="000D77BD" w:rsidP="003D1B59">
      <w:pPr>
        <w:jc w:val="center"/>
        <w:rPr>
          <w:rFonts w:ascii="Times New Roman" w:hAnsi="Times New Roman" w:cs="Times New Roman"/>
          <w:sz w:val="24"/>
        </w:rPr>
      </w:pPr>
      <w:r>
        <w:rPr>
          <w:noProof/>
        </w:rPr>
        <w:lastRenderedPageBreak/>
        <mc:AlternateContent>
          <mc:Choice Requires="wps">
            <w:drawing>
              <wp:anchor distT="0" distB="0" distL="114300" distR="114300" simplePos="0" relativeHeight="251661312" behindDoc="0" locked="0" layoutInCell="1" allowOverlap="1" wp14:anchorId="2BB3E554" wp14:editId="2F71996A">
                <wp:simplePos x="0" y="0"/>
                <wp:positionH relativeFrom="column">
                  <wp:posOffset>3209924</wp:posOffset>
                </wp:positionH>
                <wp:positionV relativeFrom="paragraph">
                  <wp:posOffset>1419225</wp:posOffset>
                </wp:positionV>
                <wp:extent cx="1876425" cy="47625"/>
                <wp:effectExtent l="38100" t="57150" r="9525" b="104775"/>
                <wp:wrapNone/>
                <wp:docPr id="3" name="Straight Arrow Connector 3"/>
                <wp:cNvGraphicFramePr/>
                <a:graphic xmlns:a="http://schemas.openxmlformats.org/drawingml/2006/main">
                  <a:graphicData uri="http://schemas.microsoft.com/office/word/2010/wordprocessingShape">
                    <wps:wsp>
                      <wps:cNvCnPr/>
                      <wps:spPr>
                        <a:xfrm flipH="1">
                          <a:off x="0" y="0"/>
                          <a:ext cx="1876425" cy="47625"/>
                        </a:xfrm>
                        <a:prstGeom prst="straightConnector1">
                          <a:avLst/>
                        </a:prstGeom>
                        <a:ln w="2857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929175C" id="_x0000_t32" coordsize="21600,21600" o:spt="32" o:oned="t" path="m,l21600,21600e" filled="f">
                <v:path arrowok="t" fillok="f" o:connecttype="none"/>
                <o:lock v:ext="edit" shapetype="t"/>
              </v:shapetype>
              <v:shape id="Straight Arrow Connector 3" o:spid="_x0000_s1026" type="#_x0000_t32" style="position:absolute;margin-left:252.75pt;margin-top:111.75pt;width:147.75pt;height:3.7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" strokecolor="black [3200]" strokeweight="2.25pt">
                <v:stroke endarrow="block" joinstyle="miter"/>
              </v:shape>
            </w:pict>
          </mc:Fallback>
        </mc:AlternateContent>
      </w:r>
      <w:r>
        <w:rPr>
          <w:noProof/>
        </w:rPr>
        <mc:AlternateContent>
          <mc:Choice Requires="wps">
            <w:drawing>
              <wp:anchor distT="0" distB="0" distL="114300" distR="114300" simplePos="0" relativeHeight="251659264" behindDoc="0" locked="0" layoutInCell="1" allowOverlap="1" wp14:anchorId="34173F71" wp14:editId="7AE993E9">
                <wp:simplePos x="0" y="0"/>
                <wp:positionH relativeFrom="column">
                  <wp:posOffset>2828925</wp:posOffset>
                </wp:positionH>
                <wp:positionV relativeFrom="paragraph">
                  <wp:posOffset>2276475</wp:posOffset>
                </wp:positionV>
                <wp:extent cx="2162175" cy="47625"/>
                <wp:effectExtent l="38100" t="57150" r="9525" b="104775"/>
                <wp:wrapNone/>
                <wp:docPr id="2" name="Straight Arrow Connector 2"/>
                <wp:cNvGraphicFramePr/>
                <a:graphic xmlns:a="http://schemas.openxmlformats.org/drawingml/2006/main">
                  <a:graphicData uri="http://schemas.microsoft.com/office/word/2010/wordprocessingShape">
                    <wps:wsp>
                      <wps:cNvCnPr/>
                      <wps:spPr>
                        <a:xfrm flipH="1">
                          <a:off x="0" y="0"/>
                          <a:ext cx="2162175" cy="47625"/>
                        </a:xfrm>
                        <a:prstGeom prst="straightConnector1">
                          <a:avLst/>
                        </a:prstGeom>
                        <a:ln w="28575">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9A9B5D" id="Straight Arrow Connector 2" o:spid="_x0000_s1026" type="#_x0000_t32" style="position:absolute;margin-left:222.75pt;margin-top:179.25pt;width:170.25pt;height:3.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" strokecolor="black [3200]" strokeweight="2.25pt">
                <v:stroke endarrow="block" joinstyle="miter"/>
              </v:shape>
            </w:pict>
          </mc:Fallback>
        </mc:AlternateContent>
      </w:r>
      <w:r w:rsidR="00BD43EC">
        <w:rPr>
          <w:noProof/>
        </w:rPr>
        <mc:AlternateContent>
          <mc:Choice Requires="wps">
            <w:drawing>
              <wp:anchor distT="0" distB="0" distL="114300" distR="114300" simplePos="0" relativeHeight="251664384" behindDoc="0" locked="0" layoutInCell="1" allowOverlap="1" wp14:anchorId="6DDC44E2" wp14:editId="364B7A07">
                <wp:simplePos x="0" y="0"/>
                <wp:positionH relativeFrom="column">
                  <wp:posOffset>4686300</wp:posOffset>
                </wp:positionH>
                <wp:positionV relativeFrom="paragraph">
                  <wp:posOffset>2122170</wp:posOffset>
                </wp:positionV>
                <wp:extent cx="1524000" cy="333375"/>
                <wp:effectExtent l="0" t="0" r="0" b="0"/>
                <wp:wrapNone/>
                <wp:docPr id="6" name="Rectangle 6"/>
                <wp:cNvGraphicFramePr/>
                <a:graphic xmlns:a="http://schemas.openxmlformats.org/drawingml/2006/main">
                  <a:graphicData uri="http://schemas.microsoft.com/office/word/2010/wordprocessingShape">
                    <wps:wsp>
                      <wps:cNvSpPr/>
                      <wps:spPr>
                        <a:xfrm>
                          <a:off x="0" y="0"/>
                          <a:ext cx="1524000" cy="3333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523C5AA" w14:textId="77777777" w:rsidR="00C724F7" w:rsidRPr="00BD43EC" w:rsidRDefault="00C724F7" w:rsidP="00BD43EC">
                            <w:pPr>
                              <w:jc w:val="center"/>
                              <w:rPr>
                                <w:rFonts w:ascii="Times New Roman" w:hAnsi="Times New Roman" w:cs="Times New Roman"/>
                                <w:sz w:val="24"/>
                                <w:szCs w:val="24"/>
                              </w:rPr>
                            </w:pPr>
                            <w:r w:rsidRPr="00BD43EC">
                              <w:rPr>
                                <w:rFonts w:ascii="Times New Roman" w:hAnsi="Times New Roman" w:cs="Times New Roman"/>
                                <w:sz w:val="24"/>
                                <w:szCs w:val="24"/>
                              </w:rPr>
                              <w:t>Bit diameter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DC44E2" id="Rectangle 6" o:spid="_x0000_s1026" style="position:absolute;left:0;text-align:left;margin-left:369pt;margin-top:167.1pt;width:120pt;height:26.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" filled="f" stroked="f" strokeweight="1pt">
                <v:textbox>
                  <w:txbxContent>
                    <w:p w14:paraId="4523C5AA" w14:textId="77777777" w:rsidR="00C724F7" w:rsidRPr="00BD43EC" w:rsidRDefault="00C724F7" w:rsidP="00BD43EC">
                      <w:pPr>
                        <w:jc w:val="center"/>
                        <w:rPr>
                          <w:rFonts w:ascii="Times New Roman" w:hAnsi="Times New Roman" w:cs="Times New Roman"/>
                          <w:sz w:val="24"/>
                          <w:szCs w:val="24"/>
                        </w:rPr>
                      </w:pPr>
                      <w:r w:rsidRPr="00BD43EC">
                        <w:rPr>
                          <w:rFonts w:ascii="Times New Roman" w:hAnsi="Times New Roman" w:cs="Times New Roman"/>
                          <w:sz w:val="24"/>
                          <w:szCs w:val="24"/>
                        </w:rPr>
                        <w:t>Bit diameter</w:t>
                      </w:r>
                    </w:p>
                  </w:txbxContent>
                </v:textbox>
              </v:rect>
            </w:pict>
          </mc:Fallback>
        </mc:AlternateContent>
      </w:r>
      <w:r w:rsidR="00BD43EC">
        <w:rPr>
          <w:noProof/>
        </w:rPr>
        <mc:AlternateContent>
          <mc:Choice Requires="wps">
            <w:drawing>
              <wp:anchor distT="0" distB="0" distL="114300" distR="114300" simplePos="0" relativeHeight="251662336" behindDoc="0" locked="0" layoutInCell="1" allowOverlap="1" wp14:anchorId="089535FD" wp14:editId="5F44DD69">
                <wp:simplePos x="0" y="0"/>
                <wp:positionH relativeFrom="column">
                  <wp:posOffset>4781550</wp:posOffset>
                </wp:positionH>
                <wp:positionV relativeFrom="paragraph">
                  <wp:posOffset>1293495</wp:posOffset>
                </wp:positionV>
                <wp:extent cx="1524000" cy="333375"/>
                <wp:effectExtent l="0" t="0" r="0" b="0"/>
                <wp:wrapNone/>
                <wp:docPr id="5" name="Rectangle 5"/>
                <wp:cNvGraphicFramePr/>
                <a:graphic xmlns:a="http://schemas.openxmlformats.org/drawingml/2006/main">
                  <a:graphicData uri="http://schemas.microsoft.com/office/word/2010/wordprocessingShape">
                    <wps:wsp>
                      <wps:cNvSpPr/>
                      <wps:spPr>
                        <a:xfrm>
                          <a:off x="0" y="0"/>
                          <a:ext cx="1524000" cy="3333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6A8FF14" w14:textId="77777777" w:rsidR="00C724F7" w:rsidRPr="00BD43EC" w:rsidRDefault="00C724F7" w:rsidP="00BD43EC">
                            <w:pPr>
                              <w:jc w:val="center"/>
                              <w:rPr>
                                <w:rFonts w:ascii="Times New Roman" w:hAnsi="Times New Roman" w:cs="Times New Roman"/>
                                <w:sz w:val="24"/>
                                <w:szCs w:val="24"/>
                              </w:rPr>
                            </w:pPr>
                            <w:r w:rsidRPr="00BD43EC">
                              <w:rPr>
                                <w:rFonts w:ascii="Times New Roman" w:hAnsi="Times New Roman" w:cs="Times New Roman"/>
                                <w:sz w:val="24"/>
                                <w:szCs w:val="24"/>
                              </w:rPr>
                              <w:t>Hole diameter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9535FD" id="Rectangle 5" o:spid="_x0000_s1027" style="position:absolute;left:0;text-align:left;margin-left:376.5pt;margin-top:101.85pt;width:120pt;height:26.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" filled="f" stroked="f" strokeweight="1pt">
                <v:textbox>
                  <w:txbxContent>
                    <w:p w14:paraId="56A8FF14" w14:textId="77777777" w:rsidR="00C724F7" w:rsidRPr="00BD43EC" w:rsidRDefault="00C724F7" w:rsidP="00BD43EC">
                      <w:pPr>
                        <w:jc w:val="center"/>
                        <w:rPr>
                          <w:rFonts w:ascii="Times New Roman" w:hAnsi="Times New Roman" w:cs="Times New Roman"/>
                          <w:sz w:val="24"/>
                          <w:szCs w:val="24"/>
                        </w:rPr>
                      </w:pPr>
                      <w:r w:rsidRPr="00BD43EC">
                        <w:rPr>
                          <w:rFonts w:ascii="Times New Roman" w:hAnsi="Times New Roman" w:cs="Times New Roman"/>
                          <w:sz w:val="24"/>
                          <w:szCs w:val="24"/>
                        </w:rPr>
                        <w:t>Hole diameter</w:t>
                      </w:r>
                    </w:p>
                  </w:txbxContent>
                </v:textbox>
              </v:rect>
            </w:pict>
          </mc:Fallback>
        </mc:AlternateContent>
      </w:r>
      <w:r>
        <w:rPr>
          <w:noProof/>
        </w:rPr>
        <w:drawing>
          <wp:inline distT="0" distB="0" distL="0" distR="0" wp14:anchorId="6FEEEF51" wp14:editId="3C5FDF07">
            <wp:extent cx="3448050" cy="2828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48050" cy="2828925"/>
                    </a:xfrm>
                    <a:prstGeom prst="rect">
                      <a:avLst/>
                    </a:prstGeom>
                  </pic:spPr>
                </pic:pic>
              </a:graphicData>
            </a:graphic>
          </wp:inline>
        </w:drawing>
      </w:r>
    </w:p>
    <w:p w14:paraId="0C66D622" w14:textId="325279C4" w:rsidR="001F1237" w:rsidRDefault="007F76D1" w:rsidP="007F76D1">
      <w:pPr>
        <w:pStyle w:val="Caption"/>
      </w:pPr>
      <w:bookmarkStart w:id="25" w:name="_Toc37087747"/>
      <w:r>
        <w:t xml:space="preserve">Figure </w:t>
      </w:r>
      <w:fldSimple w:instr=" SEQ Figure \* ARABIC ">
        <w:r w:rsidR="0092747F">
          <w:rPr>
            <w:noProof/>
          </w:rPr>
          <w:t>4</w:t>
        </w:r>
      </w:fldSimple>
      <w:r>
        <w:t>-</w:t>
      </w:r>
      <w:r w:rsidR="00634979" w:rsidRPr="00634979">
        <w:t xml:space="preserve"> Illustration of wellbore instability </w:t>
      </w:r>
      <w:r w:rsidR="000D77BD">
        <w:t>in naturally fractured formation</w:t>
      </w:r>
      <w:r w:rsidR="00A1163B">
        <w:t xml:space="preserve"> with presence of overgauge</w:t>
      </w:r>
      <w:r w:rsidR="00634979" w:rsidRPr="00634979">
        <w:t xml:space="preserve"> </w:t>
      </w:r>
      <w:r w:rsidR="001F5408">
        <w:t>(</w:t>
      </w:r>
      <w:r w:rsidR="00A1163B">
        <w:t>P</w:t>
      </w:r>
      <w:r w:rsidR="000D77BD">
        <w:t>asic</w:t>
      </w:r>
      <w:r w:rsidR="001F5408">
        <w:t xml:space="preserve"> et al. 200</w:t>
      </w:r>
      <w:r w:rsidR="000D77BD">
        <w:t>7</w:t>
      </w:r>
      <w:r w:rsidR="001F5408">
        <w:t>)</w:t>
      </w:r>
      <w:bookmarkEnd w:id="25"/>
    </w:p>
    <w:p w14:paraId="60318255" w14:textId="77777777" w:rsidR="00F4355D" w:rsidRDefault="00F4355D" w:rsidP="00BD4D97">
      <w:pPr>
        <w:pStyle w:val="Heading4"/>
        <w:spacing w:line="480" w:lineRule="auto"/>
      </w:pPr>
      <w:r>
        <w:t xml:space="preserve">Indicators of Wellbore Instability </w:t>
      </w:r>
    </w:p>
    <w:p w14:paraId="6661E89E" w14:textId="77777777" w:rsidR="00F4355D" w:rsidRDefault="00F4355D" w:rsidP="00BD4D97">
      <w:pPr>
        <w:spacing w:line="480" w:lineRule="auto"/>
        <w:rPr>
          <w:rFonts w:ascii="Times New Roman" w:hAnsi="Times New Roman" w:cs="Times New Roman"/>
          <w:sz w:val="24"/>
        </w:rPr>
      </w:pPr>
      <w:r>
        <w:rPr>
          <w:rFonts w:ascii="Times New Roman" w:hAnsi="Times New Roman" w:cs="Times New Roman"/>
          <w:sz w:val="24"/>
        </w:rPr>
        <w:t xml:space="preserve">Identifying wellbore instability at early stage of the drilling operation is major component of controlling it and minimizing </w:t>
      </w:r>
      <w:r w:rsidR="000A3DBD">
        <w:rPr>
          <w:rFonts w:ascii="Times New Roman" w:hAnsi="Times New Roman" w:cs="Times New Roman"/>
          <w:sz w:val="24"/>
        </w:rPr>
        <w:t xml:space="preserve">its impact </w:t>
      </w:r>
      <w:r w:rsidR="00E86C62">
        <w:rPr>
          <w:rFonts w:ascii="Times New Roman" w:hAnsi="Times New Roman" w:cs="Times New Roman"/>
          <w:sz w:val="24"/>
        </w:rPr>
        <w:t>on non</w:t>
      </w:r>
      <w:r w:rsidR="00FD6066">
        <w:rPr>
          <w:rFonts w:ascii="Times New Roman" w:hAnsi="Times New Roman" w:cs="Times New Roman"/>
          <w:sz w:val="24"/>
        </w:rPr>
        <w:t>-productive time (</w:t>
      </w:r>
      <w:r>
        <w:rPr>
          <w:rFonts w:ascii="Times New Roman" w:hAnsi="Times New Roman" w:cs="Times New Roman"/>
          <w:sz w:val="24"/>
        </w:rPr>
        <w:t>NPT</w:t>
      </w:r>
      <w:r w:rsidR="00FD6066">
        <w:rPr>
          <w:rFonts w:ascii="Times New Roman" w:hAnsi="Times New Roman" w:cs="Times New Roman"/>
          <w:sz w:val="24"/>
        </w:rPr>
        <w:t>)</w:t>
      </w:r>
      <w:r w:rsidR="00276B18">
        <w:rPr>
          <w:rFonts w:ascii="Times New Roman" w:hAnsi="Times New Roman" w:cs="Times New Roman"/>
          <w:sz w:val="24"/>
        </w:rPr>
        <w:t>,</w:t>
      </w:r>
      <w:r>
        <w:rPr>
          <w:rFonts w:ascii="Times New Roman" w:hAnsi="Times New Roman" w:cs="Times New Roman"/>
          <w:sz w:val="24"/>
        </w:rPr>
        <w:t xml:space="preserve"> therefore saving on the drilling cost. There are various indicators of wellbore instability during a drilling operation. Mohiuddin et al. (2001) and Pasic et al. </w:t>
      </w:r>
      <w:r w:rsidR="00E86C62">
        <w:rPr>
          <w:rFonts w:ascii="Times New Roman" w:hAnsi="Times New Roman" w:cs="Times New Roman"/>
          <w:sz w:val="24"/>
        </w:rPr>
        <w:t>(</w:t>
      </w:r>
      <w:r>
        <w:rPr>
          <w:rFonts w:ascii="Times New Roman" w:hAnsi="Times New Roman" w:cs="Times New Roman"/>
          <w:sz w:val="24"/>
        </w:rPr>
        <w:t>2007</w:t>
      </w:r>
      <w:r w:rsidR="00E86C62">
        <w:rPr>
          <w:rFonts w:ascii="Times New Roman" w:hAnsi="Times New Roman" w:cs="Times New Roman"/>
          <w:sz w:val="24"/>
        </w:rPr>
        <w:t>)</w:t>
      </w:r>
      <w:r>
        <w:rPr>
          <w:rFonts w:ascii="Times New Roman" w:hAnsi="Times New Roman" w:cs="Times New Roman"/>
          <w:sz w:val="24"/>
        </w:rPr>
        <w:t xml:space="preserve"> reported that the indicators of wellbore instability can be classified in two major groups. The first group consists of direct indicators of wellbore instability. This group includes indicators such as oversize hole, undergauge hole, excessive volume of cuttings, excessive volume of cavings, size and shape of caving at the surface, hole fill after tripping, and excess cement volume required. The second group consists of indirect indicators including but </w:t>
      </w:r>
      <w:r w:rsidR="008D502F">
        <w:rPr>
          <w:rFonts w:ascii="Times New Roman" w:hAnsi="Times New Roman" w:cs="Times New Roman"/>
          <w:sz w:val="24"/>
        </w:rPr>
        <w:t xml:space="preserve">not </w:t>
      </w:r>
      <w:r>
        <w:rPr>
          <w:rFonts w:ascii="Times New Roman" w:hAnsi="Times New Roman" w:cs="Times New Roman"/>
          <w:sz w:val="24"/>
        </w:rPr>
        <w:t xml:space="preserve">limited to high torque and drag, increased in circulating pressure, stuck pipe, excessive vibrations, poor logging response, keyhole seating, and excessive dogleg. </w:t>
      </w:r>
      <w:r w:rsidRPr="002B2139">
        <w:rPr>
          <w:rFonts w:ascii="Times New Roman" w:hAnsi="Times New Roman" w:cs="Times New Roman"/>
          <w:b/>
          <w:sz w:val="24"/>
        </w:rPr>
        <w:t xml:space="preserve">Table </w:t>
      </w:r>
      <w:r w:rsidR="007E7902">
        <w:rPr>
          <w:rFonts w:ascii="Times New Roman" w:hAnsi="Times New Roman" w:cs="Times New Roman"/>
          <w:b/>
          <w:sz w:val="24"/>
        </w:rPr>
        <w:t>1</w:t>
      </w:r>
      <w:r>
        <w:rPr>
          <w:rFonts w:ascii="Times New Roman" w:hAnsi="Times New Roman" w:cs="Times New Roman"/>
          <w:sz w:val="24"/>
        </w:rPr>
        <w:t xml:space="preserve"> shows the list of indicators of wellbore instability.</w:t>
      </w:r>
    </w:p>
    <w:p w14:paraId="5525EB42" w14:textId="4FA9E874" w:rsidR="00F4355D" w:rsidRPr="007E1992" w:rsidRDefault="00FC776A" w:rsidP="00FC776A">
      <w:pPr>
        <w:pStyle w:val="Caption"/>
      </w:pPr>
      <w:bookmarkStart w:id="26" w:name="_Toc37087878"/>
      <w:r>
        <w:t xml:space="preserve">Table </w:t>
      </w:r>
      <w:fldSimple w:instr=" SEQ Table \* ARABIC ">
        <w:r w:rsidR="0092747F">
          <w:rPr>
            <w:noProof/>
          </w:rPr>
          <w:t>1</w:t>
        </w:r>
      </w:fldSimple>
      <w:hyperlink w:anchor="_List_of_tables" w:history="1">
        <w:r w:rsidR="00F4355D" w:rsidRPr="007E1992">
          <w:rPr>
            <w:rStyle w:val="Hyperlink"/>
            <w:color w:val="0D0D0D" w:themeColor="text1" w:themeTint="F2"/>
            <w:u w:val="none"/>
          </w:rPr>
          <w:t>-</w:t>
        </w:r>
        <w:r w:rsidR="00F4355D" w:rsidRPr="007E1992">
          <w:rPr>
            <w:rStyle w:val="Hyperlink"/>
            <w:bCs/>
            <w:color w:val="0D0D0D" w:themeColor="text1" w:themeTint="F2"/>
            <w:u w:val="none"/>
          </w:rPr>
          <w:t>Direct and indirect indicators of wellbore instability (Mohiuddin et al. 2001)</w:t>
        </w:r>
        <w:bookmarkEnd w:id="26"/>
      </w:hyperlink>
    </w:p>
    <w:tbl>
      <w:tblPr>
        <w:tblStyle w:val="TableGrid"/>
        <w:tblW w:w="9559" w:type="dxa"/>
        <w:tblLook w:val="04A0" w:firstRow="1" w:lastRow="0" w:firstColumn="1" w:lastColumn="0" w:noHBand="0" w:noVBand="1"/>
      </w:tblPr>
      <w:tblGrid>
        <w:gridCol w:w="4779"/>
        <w:gridCol w:w="4780"/>
      </w:tblGrid>
      <w:tr w:rsidR="00F4355D" w14:paraId="04E5FFE1" w14:textId="77777777" w:rsidTr="00581F62">
        <w:trPr>
          <w:trHeight w:val="351"/>
        </w:trPr>
        <w:tc>
          <w:tcPr>
            <w:tcW w:w="9559" w:type="dxa"/>
            <w:gridSpan w:val="2"/>
          </w:tcPr>
          <w:p w14:paraId="2ABF3877"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lastRenderedPageBreak/>
              <w:t>Indicators of wellbore instability</w:t>
            </w:r>
          </w:p>
        </w:tc>
      </w:tr>
      <w:tr w:rsidR="00F4355D" w14:paraId="13695B7D" w14:textId="77777777" w:rsidTr="00581F62">
        <w:trPr>
          <w:trHeight w:val="351"/>
        </w:trPr>
        <w:tc>
          <w:tcPr>
            <w:tcW w:w="4779" w:type="dxa"/>
          </w:tcPr>
          <w:p w14:paraId="06961BA1" w14:textId="77777777" w:rsidR="00F4355D" w:rsidRPr="0089686E" w:rsidRDefault="00F4355D" w:rsidP="00BD4D97">
            <w:pPr>
              <w:jc w:val="center"/>
              <w:rPr>
                <w:rFonts w:ascii="Times New Roman" w:hAnsi="Times New Roman" w:cs="Times New Roman"/>
                <w:b/>
                <w:sz w:val="24"/>
              </w:rPr>
            </w:pPr>
            <w:r w:rsidRPr="0089686E">
              <w:rPr>
                <w:rFonts w:ascii="Times New Roman" w:hAnsi="Times New Roman" w:cs="Times New Roman"/>
                <w:b/>
                <w:sz w:val="24"/>
              </w:rPr>
              <w:t>Direct Indicators</w:t>
            </w:r>
          </w:p>
        </w:tc>
        <w:tc>
          <w:tcPr>
            <w:tcW w:w="4779" w:type="dxa"/>
          </w:tcPr>
          <w:p w14:paraId="47AEAE81" w14:textId="77777777" w:rsidR="00F4355D" w:rsidRPr="0089686E" w:rsidRDefault="00F4355D" w:rsidP="00BD4D97">
            <w:pPr>
              <w:jc w:val="center"/>
              <w:rPr>
                <w:rFonts w:ascii="Times New Roman" w:hAnsi="Times New Roman" w:cs="Times New Roman"/>
                <w:b/>
                <w:sz w:val="24"/>
              </w:rPr>
            </w:pPr>
            <w:r w:rsidRPr="0089686E">
              <w:rPr>
                <w:rFonts w:ascii="Times New Roman" w:hAnsi="Times New Roman" w:cs="Times New Roman"/>
                <w:b/>
                <w:sz w:val="24"/>
              </w:rPr>
              <w:t>Indirect Indicators</w:t>
            </w:r>
          </w:p>
        </w:tc>
      </w:tr>
      <w:tr w:rsidR="00F4355D" w14:paraId="689A4A2C" w14:textId="77777777" w:rsidTr="00581F62">
        <w:trPr>
          <w:trHeight w:val="351"/>
        </w:trPr>
        <w:tc>
          <w:tcPr>
            <w:tcW w:w="4779" w:type="dxa"/>
          </w:tcPr>
          <w:p w14:paraId="4BE78EF8"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Oversi</w:t>
            </w:r>
            <w:r w:rsidR="00F72C1D">
              <w:rPr>
                <w:rFonts w:ascii="Times New Roman" w:hAnsi="Times New Roman" w:cs="Times New Roman"/>
                <w:sz w:val="24"/>
              </w:rPr>
              <w:t>z</w:t>
            </w:r>
            <w:r>
              <w:rPr>
                <w:rFonts w:ascii="Times New Roman" w:hAnsi="Times New Roman" w:cs="Times New Roman"/>
                <w:sz w:val="24"/>
              </w:rPr>
              <w:t>e hole</w:t>
            </w:r>
          </w:p>
        </w:tc>
        <w:tc>
          <w:tcPr>
            <w:tcW w:w="4779" w:type="dxa"/>
          </w:tcPr>
          <w:p w14:paraId="0D64A1A7"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High torque and drag (friction)</w:t>
            </w:r>
          </w:p>
        </w:tc>
      </w:tr>
      <w:tr w:rsidR="00F4355D" w14:paraId="517BCAD4" w14:textId="77777777" w:rsidTr="00581F62">
        <w:trPr>
          <w:trHeight w:val="722"/>
        </w:trPr>
        <w:tc>
          <w:tcPr>
            <w:tcW w:w="4779" w:type="dxa"/>
          </w:tcPr>
          <w:p w14:paraId="021C7745"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Undergauge hole</w:t>
            </w:r>
          </w:p>
        </w:tc>
        <w:tc>
          <w:tcPr>
            <w:tcW w:w="4779" w:type="dxa"/>
          </w:tcPr>
          <w:p w14:paraId="19183A28"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Hanging up of drillstring, casing, or coiled tubing</w:t>
            </w:r>
          </w:p>
        </w:tc>
      </w:tr>
      <w:tr w:rsidR="00F4355D" w14:paraId="2EF11E87" w14:textId="77777777" w:rsidTr="00581F62">
        <w:trPr>
          <w:trHeight w:val="351"/>
        </w:trPr>
        <w:tc>
          <w:tcPr>
            <w:tcW w:w="4779" w:type="dxa"/>
          </w:tcPr>
          <w:p w14:paraId="1520FDA3"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Excessive volume of cutting</w:t>
            </w:r>
          </w:p>
        </w:tc>
        <w:tc>
          <w:tcPr>
            <w:tcW w:w="4779" w:type="dxa"/>
          </w:tcPr>
          <w:p w14:paraId="2DAF08CB"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Increased circulating pressure</w:t>
            </w:r>
          </w:p>
        </w:tc>
      </w:tr>
      <w:tr w:rsidR="00F4355D" w14:paraId="303756C6" w14:textId="77777777" w:rsidTr="00581F62">
        <w:trPr>
          <w:trHeight w:val="351"/>
        </w:trPr>
        <w:tc>
          <w:tcPr>
            <w:tcW w:w="4779" w:type="dxa"/>
          </w:tcPr>
          <w:p w14:paraId="732CDF28"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Excessive volume of caving</w:t>
            </w:r>
          </w:p>
        </w:tc>
        <w:tc>
          <w:tcPr>
            <w:tcW w:w="4779" w:type="dxa"/>
          </w:tcPr>
          <w:p w14:paraId="1B79F1A0"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Stuck pipe</w:t>
            </w:r>
          </w:p>
        </w:tc>
      </w:tr>
      <w:tr w:rsidR="00F4355D" w14:paraId="4A0D7CD9" w14:textId="77777777" w:rsidTr="00581F62">
        <w:trPr>
          <w:trHeight w:val="351"/>
        </w:trPr>
        <w:tc>
          <w:tcPr>
            <w:tcW w:w="4779" w:type="dxa"/>
          </w:tcPr>
          <w:p w14:paraId="5608C6FD"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Caving at the surface</w:t>
            </w:r>
          </w:p>
        </w:tc>
        <w:tc>
          <w:tcPr>
            <w:tcW w:w="4779" w:type="dxa"/>
          </w:tcPr>
          <w:p w14:paraId="29C6C8AE"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Excessive drillstring vibrations</w:t>
            </w:r>
          </w:p>
        </w:tc>
      </w:tr>
      <w:tr w:rsidR="00F4355D" w14:paraId="31511B5D" w14:textId="77777777" w:rsidTr="00581F62">
        <w:trPr>
          <w:trHeight w:val="351"/>
        </w:trPr>
        <w:tc>
          <w:tcPr>
            <w:tcW w:w="4779" w:type="dxa"/>
          </w:tcPr>
          <w:p w14:paraId="027B6F2C"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Hole fill after tripping</w:t>
            </w:r>
          </w:p>
        </w:tc>
        <w:tc>
          <w:tcPr>
            <w:tcW w:w="4779" w:type="dxa"/>
          </w:tcPr>
          <w:p w14:paraId="54649265"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Drillstring failure</w:t>
            </w:r>
          </w:p>
        </w:tc>
      </w:tr>
      <w:tr w:rsidR="00F4355D" w14:paraId="2F44B10F" w14:textId="77777777" w:rsidTr="00581F62">
        <w:trPr>
          <w:trHeight w:val="351"/>
        </w:trPr>
        <w:tc>
          <w:tcPr>
            <w:tcW w:w="4779" w:type="dxa"/>
          </w:tcPr>
          <w:p w14:paraId="0F939422"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Excess cement volume required</w:t>
            </w:r>
          </w:p>
        </w:tc>
        <w:tc>
          <w:tcPr>
            <w:tcW w:w="4779" w:type="dxa"/>
          </w:tcPr>
          <w:p w14:paraId="2BA68B8F"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Deviation control problems</w:t>
            </w:r>
          </w:p>
        </w:tc>
      </w:tr>
      <w:tr w:rsidR="00F4355D" w14:paraId="11DE12D2" w14:textId="77777777" w:rsidTr="00581F62">
        <w:trPr>
          <w:trHeight w:val="351"/>
        </w:trPr>
        <w:tc>
          <w:tcPr>
            <w:tcW w:w="4779" w:type="dxa"/>
          </w:tcPr>
          <w:p w14:paraId="79496A8E" w14:textId="77777777" w:rsidR="00F4355D" w:rsidRDefault="00F4355D" w:rsidP="00BD4D97">
            <w:pPr>
              <w:jc w:val="center"/>
              <w:rPr>
                <w:rFonts w:ascii="Times New Roman" w:hAnsi="Times New Roman" w:cs="Times New Roman"/>
                <w:sz w:val="24"/>
              </w:rPr>
            </w:pPr>
          </w:p>
        </w:tc>
        <w:tc>
          <w:tcPr>
            <w:tcW w:w="4779" w:type="dxa"/>
          </w:tcPr>
          <w:p w14:paraId="1089CF30"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Inability to run logs</w:t>
            </w:r>
          </w:p>
        </w:tc>
      </w:tr>
      <w:tr w:rsidR="00F4355D" w14:paraId="7FCB3561" w14:textId="77777777" w:rsidTr="00581F62">
        <w:trPr>
          <w:trHeight w:val="351"/>
        </w:trPr>
        <w:tc>
          <w:tcPr>
            <w:tcW w:w="4779" w:type="dxa"/>
          </w:tcPr>
          <w:p w14:paraId="0F84C67A" w14:textId="77777777" w:rsidR="00F4355D" w:rsidRDefault="00F4355D" w:rsidP="00BD4D97">
            <w:pPr>
              <w:jc w:val="center"/>
              <w:rPr>
                <w:rFonts w:ascii="Times New Roman" w:hAnsi="Times New Roman" w:cs="Times New Roman"/>
                <w:sz w:val="24"/>
              </w:rPr>
            </w:pPr>
          </w:p>
        </w:tc>
        <w:tc>
          <w:tcPr>
            <w:tcW w:w="4779" w:type="dxa"/>
          </w:tcPr>
          <w:p w14:paraId="73BEF508"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Poor logging response</w:t>
            </w:r>
          </w:p>
        </w:tc>
      </w:tr>
      <w:tr w:rsidR="00F4355D" w14:paraId="11035378" w14:textId="77777777" w:rsidTr="00581F62">
        <w:trPr>
          <w:trHeight w:val="351"/>
        </w:trPr>
        <w:tc>
          <w:tcPr>
            <w:tcW w:w="4779" w:type="dxa"/>
          </w:tcPr>
          <w:p w14:paraId="31CBC5A5" w14:textId="77777777" w:rsidR="00F4355D" w:rsidRDefault="00F4355D" w:rsidP="00BD4D97">
            <w:pPr>
              <w:jc w:val="center"/>
              <w:rPr>
                <w:rFonts w:ascii="Times New Roman" w:hAnsi="Times New Roman" w:cs="Times New Roman"/>
                <w:sz w:val="24"/>
              </w:rPr>
            </w:pPr>
          </w:p>
        </w:tc>
        <w:tc>
          <w:tcPr>
            <w:tcW w:w="4779" w:type="dxa"/>
          </w:tcPr>
          <w:p w14:paraId="716A2B12"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Annular get leakage due to poor cement</w:t>
            </w:r>
          </w:p>
        </w:tc>
      </w:tr>
      <w:tr w:rsidR="00F4355D" w14:paraId="331C4CC2" w14:textId="77777777" w:rsidTr="00581F62">
        <w:trPr>
          <w:trHeight w:val="351"/>
        </w:trPr>
        <w:tc>
          <w:tcPr>
            <w:tcW w:w="4779" w:type="dxa"/>
          </w:tcPr>
          <w:p w14:paraId="47A5D4DF" w14:textId="77777777" w:rsidR="00F4355D" w:rsidRDefault="00F4355D" w:rsidP="00BD4D97">
            <w:pPr>
              <w:jc w:val="center"/>
              <w:rPr>
                <w:rFonts w:ascii="Times New Roman" w:hAnsi="Times New Roman" w:cs="Times New Roman"/>
                <w:sz w:val="24"/>
              </w:rPr>
            </w:pPr>
          </w:p>
        </w:tc>
        <w:tc>
          <w:tcPr>
            <w:tcW w:w="4779" w:type="dxa"/>
          </w:tcPr>
          <w:p w14:paraId="3FE44448"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Keyhole seating</w:t>
            </w:r>
          </w:p>
        </w:tc>
      </w:tr>
      <w:tr w:rsidR="00F4355D" w14:paraId="06F02D2B" w14:textId="77777777" w:rsidTr="00581F62">
        <w:trPr>
          <w:trHeight w:val="351"/>
        </w:trPr>
        <w:tc>
          <w:tcPr>
            <w:tcW w:w="4779" w:type="dxa"/>
          </w:tcPr>
          <w:p w14:paraId="5FB976B5" w14:textId="77777777" w:rsidR="00F4355D" w:rsidRDefault="00F4355D" w:rsidP="00BD4D97">
            <w:pPr>
              <w:jc w:val="center"/>
              <w:rPr>
                <w:rFonts w:ascii="Times New Roman" w:hAnsi="Times New Roman" w:cs="Times New Roman"/>
                <w:sz w:val="24"/>
              </w:rPr>
            </w:pPr>
          </w:p>
        </w:tc>
        <w:tc>
          <w:tcPr>
            <w:tcW w:w="4779" w:type="dxa"/>
          </w:tcPr>
          <w:p w14:paraId="690BDB7D"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Excessive dogleg</w:t>
            </w:r>
          </w:p>
        </w:tc>
      </w:tr>
    </w:tbl>
    <w:p w14:paraId="47018D88" w14:textId="77777777" w:rsidR="00F4355D" w:rsidRDefault="00F4355D" w:rsidP="00F4355D">
      <w:pPr>
        <w:tabs>
          <w:tab w:val="left" w:pos="2760"/>
        </w:tabs>
        <w:rPr>
          <w:rFonts w:ascii="Times New Roman" w:hAnsi="Times New Roman" w:cs="Times New Roman"/>
          <w:sz w:val="24"/>
        </w:rPr>
      </w:pPr>
    </w:p>
    <w:p w14:paraId="219F7C1D" w14:textId="77777777" w:rsidR="00F4355D" w:rsidRDefault="00F4355D" w:rsidP="00581F62">
      <w:pPr>
        <w:pStyle w:val="Heading4"/>
        <w:spacing w:line="480" w:lineRule="auto"/>
      </w:pPr>
      <w:r>
        <w:t xml:space="preserve">Causes of Wellbore Instability </w:t>
      </w:r>
    </w:p>
    <w:p w14:paraId="7E6938FA" w14:textId="77777777" w:rsidR="00F4355D" w:rsidRDefault="00F4355D" w:rsidP="00581F62">
      <w:pPr>
        <w:spacing w:line="480" w:lineRule="auto"/>
        <w:rPr>
          <w:rFonts w:ascii="Times New Roman" w:hAnsi="Times New Roman" w:cs="Times New Roman"/>
          <w:sz w:val="24"/>
          <w:szCs w:val="24"/>
        </w:rPr>
      </w:pPr>
      <w:r>
        <w:rPr>
          <w:rFonts w:ascii="Times New Roman" w:hAnsi="Times New Roman" w:cs="Times New Roman"/>
          <w:sz w:val="24"/>
          <w:szCs w:val="24"/>
        </w:rPr>
        <w:t xml:space="preserve">Wellbore instability is one of the most common drilling concerns encountered when drilling most unconventional shale formations. There are various causes of the wellbore instability. According to Samuel et al. (2001), </w:t>
      </w:r>
      <w:r w:rsidR="00581F62">
        <w:rPr>
          <w:rFonts w:ascii="Times New Roman" w:hAnsi="Times New Roman" w:cs="Times New Roman"/>
          <w:sz w:val="24"/>
          <w:szCs w:val="24"/>
        </w:rPr>
        <w:t xml:space="preserve">Chenevert et al. (2001), </w:t>
      </w:r>
      <w:r w:rsidR="003C6DFF">
        <w:rPr>
          <w:rFonts w:ascii="Times New Roman" w:hAnsi="Times New Roman" w:cs="Times New Roman"/>
          <w:sz w:val="24"/>
          <w:szCs w:val="24"/>
        </w:rPr>
        <w:t xml:space="preserve">and </w:t>
      </w:r>
      <w:r w:rsidR="00581F62">
        <w:rPr>
          <w:rFonts w:ascii="Times New Roman" w:hAnsi="Times New Roman" w:cs="Times New Roman"/>
          <w:sz w:val="24"/>
          <w:szCs w:val="24"/>
        </w:rPr>
        <w:t xml:space="preserve">Konate et al. (2020) </w:t>
      </w:r>
      <w:r>
        <w:rPr>
          <w:rFonts w:ascii="Times New Roman" w:hAnsi="Times New Roman" w:cs="Times New Roman"/>
          <w:sz w:val="24"/>
          <w:szCs w:val="24"/>
        </w:rPr>
        <w:t xml:space="preserve">the causes of wellbore instability can be grouped under three (3) major interrelated headings. The first heading refers to mechanical wellbore instability. The mechanical instability is associated with stress and rock strength variation around the wellbore. The causes are related to the rock type, rock strength, rock stresses, and wellbore geometry such as inclination and azimuth. Mechanical failure occurs when the wellbore stresses concentration exceeds the rock strength. Samuel et al. (2001), Chenevert et al. (2001), and Van Oort et al. (2003) reported that wellbore stress concentration of wellbore results from drilling into pre-stressed rock, excessive wellbore pressure, and drillstring vibration. The second major heading is the chemical-rock interaction instability. This refers to the sensitivity of shale formations to their chemical environment. </w:t>
      </w:r>
      <w:r>
        <w:rPr>
          <w:rFonts w:ascii="Times New Roman" w:hAnsi="Times New Roman" w:cs="Times New Roman"/>
          <w:sz w:val="24"/>
          <w:szCs w:val="24"/>
        </w:rPr>
        <w:lastRenderedPageBreak/>
        <w:t xml:space="preserve">Incompatibility between drilling fluid systems and shale formation constitute one of the primary and most concerning cause of wellbore instability as cause a reaction. This reaction is characterized by the swelling, disintegration, and dispersion of the wellbore and eventually lead to the collapse of the wellbore. Finally, the last heading refers to the man-made wellbore instability. The man-made instability mostly involves the lack of inadequate well planning. Poor well trajectory selection, selection of wrong inclination and azimuth angle, selection of the wrong drilling fluid system, and poor mud weight selection. All these major headings consist of causes that can be classified into two groups: uncontrollable causes referring to natural factors that cannot be adjusted and the controllable causes where the operators can take actions to limit their impact. </w:t>
      </w:r>
      <w:r w:rsidRPr="00374822">
        <w:rPr>
          <w:rFonts w:ascii="Times New Roman" w:hAnsi="Times New Roman" w:cs="Times New Roman"/>
          <w:b/>
          <w:bCs/>
          <w:sz w:val="24"/>
          <w:szCs w:val="24"/>
        </w:rPr>
        <w:t xml:space="preserve">Table </w:t>
      </w:r>
      <w:r w:rsidR="00887A5C">
        <w:rPr>
          <w:rFonts w:ascii="Times New Roman" w:hAnsi="Times New Roman" w:cs="Times New Roman"/>
          <w:b/>
          <w:bCs/>
          <w:sz w:val="24"/>
          <w:szCs w:val="24"/>
        </w:rPr>
        <w:t>2</w:t>
      </w:r>
      <w:r>
        <w:rPr>
          <w:rFonts w:ascii="Times New Roman" w:hAnsi="Times New Roman" w:cs="Times New Roman"/>
          <w:sz w:val="24"/>
          <w:szCs w:val="24"/>
        </w:rPr>
        <w:t xml:space="preserve"> reveals the list of uncontrollable and controllable causes of wellbore stability.</w:t>
      </w:r>
      <w:r w:rsidR="00CB5821">
        <w:rPr>
          <w:rFonts w:ascii="Times New Roman" w:hAnsi="Times New Roman" w:cs="Times New Roman"/>
          <w:sz w:val="24"/>
          <w:szCs w:val="24"/>
        </w:rPr>
        <w:t xml:space="preserve"> All aspects of wellbore instability (mechanical, chemical etc.) need to be considered when analyzing instability.</w:t>
      </w:r>
      <w:r w:rsidR="009F7780">
        <w:rPr>
          <w:rFonts w:ascii="Times New Roman" w:hAnsi="Times New Roman" w:cs="Times New Roman"/>
          <w:sz w:val="24"/>
          <w:szCs w:val="24"/>
        </w:rPr>
        <w:t xml:space="preserve"> Salehi et al. (2010) in their work to develop a numerical model to simulate the mechanical aspect of wellbore instability, suggested that a </w:t>
      </w:r>
      <w:r w:rsidR="0079285B">
        <w:rPr>
          <w:rFonts w:ascii="Times New Roman" w:hAnsi="Times New Roman" w:cs="Times New Roman"/>
          <w:sz w:val="24"/>
          <w:szCs w:val="24"/>
        </w:rPr>
        <w:t>combination</w:t>
      </w:r>
      <w:r w:rsidR="009F7780">
        <w:rPr>
          <w:rFonts w:ascii="Times New Roman" w:hAnsi="Times New Roman" w:cs="Times New Roman"/>
          <w:sz w:val="24"/>
          <w:szCs w:val="24"/>
        </w:rPr>
        <w:t xml:space="preserve"> of both chemical and mechanical instability should be considered.</w:t>
      </w:r>
    </w:p>
    <w:p w14:paraId="25BBC3DC" w14:textId="52B8FBB9" w:rsidR="00F4355D" w:rsidRPr="007E1992" w:rsidRDefault="00192985" w:rsidP="00192985">
      <w:pPr>
        <w:pStyle w:val="Caption"/>
      </w:pPr>
      <w:bookmarkStart w:id="27" w:name="_Toc37087879"/>
      <w:r>
        <w:t xml:space="preserve">Table </w:t>
      </w:r>
      <w:fldSimple w:instr=" SEQ Table \* ARABIC ">
        <w:r w:rsidR="0092747F">
          <w:rPr>
            <w:noProof/>
          </w:rPr>
          <w:t>2</w:t>
        </w:r>
      </w:fldSimple>
      <w:hyperlink w:anchor="_List_of_tables" w:history="1">
        <w:r w:rsidR="00F4355D" w:rsidRPr="007E1992">
          <w:rPr>
            <w:rStyle w:val="Hyperlink"/>
            <w:color w:val="0D0D0D" w:themeColor="text1" w:themeTint="F2"/>
            <w:szCs w:val="24"/>
            <w:u w:val="none"/>
          </w:rPr>
          <w:t xml:space="preserve">- </w:t>
        </w:r>
        <w:r w:rsidR="00F4355D" w:rsidRPr="007E1992">
          <w:rPr>
            <w:rStyle w:val="Hyperlink"/>
            <w:bCs/>
            <w:color w:val="0D0D0D" w:themeColor="text1" w:themeTint="F2"/>
            <w:szCs w:val="24"/>
            <w:u w:val="none"/>
          </w:rPr>
          <w:t>Causes of wellbore instability (Samuel et al. (2001), Mohiuddin et al. (2001), Pasic et al. (2007), Chen et al. (1998))</w:t>
        </w:r>
        <w:bookmarkEnd w:id="27"/>
      </w:hyperlink>
    </w:p>
    <w:tbl>
      <w:tblPr>
        <w:tblStyle w:val="TableGrid"/>
        <w:tblW w:w="9544" w:type="dxa"/>
        <w:tblLook w:val="04A0" w:firstRow="1" w:lastRow="0" w:firstColumn="1" w:lastColumn="0" w:noHBand="0" w:noVBand="1"/>
      </w:tblPr>
      <w:tblGrid>
        <w:gridCol w:w="4772"/>
        <w:gridCol w:w="4772"/>
      </w:tblGrid>
      <w:tr w:rsidR="00F4355D" w14:paraId="02A5A49F" w14:textId="77777777" w:rsidTr="006B7BEB">
        <w:trPr>
          <w:trHeight w:val="329"/>
        </w:trPr>
        <w:tc>
          <w:tcPr>
            <w:tcW w:w="9544" w:type="dxa"/>
            <w:gridSpan w:val="2"/>
          </w:tcPr>
          <w:p w14:paraId="2F559E46"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Causes of wellbore instability</w:t>
            </w:r>
          </w:p>
        </w:tc>
      </w:tr>
      <w:tr w:rsidR="00F4355D" w14:paraId="5E13DA3D" w14:textId="77777777" w:rsidTr="006B7BEB">
        <w:trPr>
          <w:trHeight w:val="329"/>
        </w:trPr>
        <w:tc>
          <w:tcPr>
            <w:tcW w:w="4772" w:type="dxa"/>
          </w:tcPr>
          <w:p w14:paraId="27A91C4A" w14:textId="77777777" w:rsidR="00F4355D" w:rsidRPr="0089686E" w:rsidRDefault="00F4355D" w:rsidP="00BD4D97">
            <w:pPr>
              <w:jc w:val="center"/>
              <w:rPr>
                <w:rFonts w:ascii="Times New Roman" w:hAnsi="Times New Roman" w:cs="Times New Roman"/>
                <w:b/>
                <w:sz w:val="24"/>
              </w:rPr>
            </w:pPr>
            <w:r>
              <w:rPr>
                <w:rFonts w:ascii="Times New Roman" w:hAnsi="Times New Roman" w:cs="Times New Roman"/>
                <w:b/>
                <w:sz w:val="24"/>
              </w:rPr>
              <w:t>Uncontrollable (natural) factors</w:t>
            </w:r>
          </w:p>
        </w:tc>
        <w:tc>
          <w:tcPr>
            <w:tcW w:w="4772" w:type="dxa"/>
          </w:tcPr>
          <w:p w14:paraId="1DAF0307" w14:textId="77777777" w:rsidR="00F4355D" w:rsidRPr="0089686E" w:rsidRDefault="00F4355D" w:rsidP="00BD4D97">
            <w:pPr>
              <w:jc w:val="center"/>
              <w:rPr>
                <w:rFonts w:ascii="Times New Roman" w:hAnsi="Times New Roman" w:cs="Times New Roman"/>
                <w:b/>
                <w:sz w:val="24"/>
              </w:rPr>
            </w:pPr>
            <w:r>
              <w:rPr>
                <w:rFonts w:ascii="Times New Roman" w:hAnsi="Times New Roman" w:cs="Times New Roman"/>
                <w:b/>
                <w:sz w:val="24"/>
              </w:rPr>
              <w:t>Controllable factors</w:t>
            </w:r>
          </w:p>
        </w:tc>
      </w:tr>
      <w:tr w:rsidR="00F4355D" w14:paraId="2F7CCF6B" w14:textId="77777777" w:rsidTr="006B7BEB">
        <w:trPr>
          <w:trHeight w:val="329"/>
        </w:trPr>
        <w:tc>
          <w:tcPr>
            <w:tcW w:w="4772" w:type="dxa"/>
          </w:tcPr>
          <w:p w14:paraId="3AA846EE"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Naturally fractured or faulty formations</w:t>
            </w:r>
          </w:p>
        </w:tc>
        <w:tc>
          <w:tcPr>
            <w:tcW w:w="4772" w:type="dxa"/>
          </w:tcPr>
          <w:p w14:paraId="64B5DA19"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Bottom-hole pressure (mud density)</w:t>
            </w:r>
          </w:p>
        </w:tc>
      </w:tr>
      <w:tr w:rsidR="00F4355D" w14:paraId="588C5E60" w14:textId="77777777" w:rsidTr="006B7BEB">
        <w:trPr>
          <w:trHeight w:val="329"/>
        </w:trPr>
        <w:tc>
          <w:tcPr>
            <w:tcW w:w="4772" w:type="dxa"/>
          </w:tcPr>
          <w:p w14:paraId="622E09A5"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Tectonically stressed formations</w:t>
            </w:r>
          </w:p>
        </w:tc>
        <w:tc>
          <w:tcPr>
            <w:tcW w:w="4772" w:type="dxa"/>
          </w:tcPr>
          <w:p w14:paraId="1B34ED9D"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Well inclination and azimuth</w:t>
            </w:r>
          </w:p>
        </w:tc>
      </w:tr>
      <w:tr w:rsidR="00F4355D" w14:paraId="095BA290" w14:textId="77777777" w:rsidTr="006B7BEB">
        <w:trPr>
          <w:trHeight w:val="329"/>
        </w:trPr>
        <w:tc>
          <w:tcPr>
            <w:tcW w:w="4772" w:type="dxa"/>
          </w:tcPr>
          <w:p w14:paraId="1C0D6783"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High in-situ stresses</w:t>
            </w:r>
          </w:p>
        </w:tc>
        <w:tc>
          <w:tcPr>
            <w:tcW w:w="4772" w:type="dxa"/>
          </w:tcPr>
          <w:p w14:paraId="4948CFE0"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 xml:space="preserve">Transient pore pressure </w:t>
            </w:r>
          </w:p>
        </w:tc>
      </w:tr>
      <w:tr w:rsidR="00F4355D" w14:paraId="5331766F" w14:textId="77777777" w:rsidTr="006B7BEB">
        <w:trPr>
          <w:trHeight w:val="329"/>
        </w:trPr>
        <w:tc>
          <w:tcPr>
            <w:tcW w:w="4772" w:type="dxa"/>
          </w:tcPr>
          <w:p w14:paraId="1B782E27"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Unconsolidated formations</w:t>
            </w:r>
          </w:p>
        </w:tc>
        <w:tc>
          <w:tcPr>
            <w:tcW w:w="4772" w:type="dxa"/>
          </w:tcPr>
          <w:p w14:paraId="6C8F5EB7"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Physio-chemical rock-fluid interaction</w:t>
            </w:r>
          </w:p>
        </w:tc>
      </w:tr>
      <w:tr w:rsidR="00F4355D" w14:paraId="4C25885B" w14:textId="77777777" w:rsidTr="006B7BEB">
        <w:trPr>
          <w:trHeight w:val="329"/>
        </w:trPr>
        <w:tc>
          <w:tcPr>
            <w:tcW w:w="4772" w:type="dxa"/>
          </w:tcPr>
          <w:p w14:paraId="2B996627"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Naturally over-pressure shale collapse</w:t>
            </w:r>
          </w:p>
        </w:tc>
        <w:tc>
          <w:tcPr>
            <w:tcW w:w="4772" w:type="dxa"/>
          </w:tcPr>
          <w:p w14:paraId="36F0BA3D"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Drillstring vibration</w:t>
            </w:r>
          </w:p>
        </w:tc>
      </w:tr>
      <w:tr w:rsidR="00F4355D" w14:paraId="0B0116EC" w14:textId="77777777" w:rsidTr="006B7BEB">
        <w:trPr>
          <w:trHeight w:val="348"/>
        </w:trPr>
        <w:tc>
          <w:tcPr>
            <w:tcW w:w="4772" w:type="dxa"/>
          </w:tcPr>
          <w:p w14:paraId="56ECEEDD"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Mobile formation</w:t>
            </w:r>
          </w:p>
        </w:tc>
        <w:tc>
          <w:tcPr>
            <w:tcW w:w="4772" w:type="dxa"/>
          </w:tcPr>
          <w:p w14:paraId="5A946C06"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 xml:space="preserve">Erosion </w:t>
            </w:r>
          </w:p>
        </w:tc>
      </w:tr>
      <w:tr w:rsidR="00F4355D" w14:paraId="6639887D" w14:textId="77777777" w:rsidTr="006B7BEB">
        <w:trPr>
          <w:trHeight w:val="311"/>
        </w:trPr>
        <w:tc>
          <w:tcPr>
            <w:tcW w:w="4772" w:type="dxa"/>
          </w:tcPr>
          <w:p w14:paraId="43D90F0F"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Induced overpressure shale collapse</w:t>
            </w:r>
          </w:p>
        </w:tc>
        <w:tc>
          <w:tcPr>
            <w:tcW w:w="4772" w:type="dxa"/>
          </w:tcPr>
          <w:p w14:paraId="79239C8B" w14:textId="77777777" w:rsidR="00F4355D" w:rsidRDefault="00F4355D" w:rsidP="00BD4D97">
            <w:pPr>
              <w:jc w:val="center"/>
              <w:rPr>
                <w:rFonts w:ascii="Times New Roman" w:hAnsi="Times New Roman" w:cs="Times New Roman"/>
                <w:sz w:val="24"/>
              </w:rPr>
            </w:pPr>
            <w:r>
              <w:rPr>
                <w:rFonts w:ascii="Times New Roman" w:hAnsi="Times New Roman" w:cs="Times New Roman"/>
                <w:sz w:val="24"/>
              </w:rPr>
              <w:t>Temperature</w:t>
            </w:r>
          </w:p>
        </w:tc>
      </w:tr>
    </w:tbl>
    <w:p w14:paraId="48361753" w14:textId="77777777" w:rsidR="00F4355D" w:rsidRPr="00D46CCE" w:rsidRDefault="00F4355D" w:rsidP="00F4355D">
      <w:pPr>
        <w:rPr>
          <w:rFonts w:ascii="Times New Roman" w:hAnsi="Times New Roman" w:cs="Times New Roman"/>
          <w:sz w:val="24"/>
          <w:szCs w:val="24"/>
        </w:rPr>
      </w:pPr>
    </w:p>
    <w:p w14:paraId="5E29A4EA" w14:textId="77777777" w:rsidR="00FC6474" w:rsidRPr="00FC6474" w:rsidRDefault="00FC6474" w:rsidP="006B7BEB">
      <w:pPr>
        <w:pStyle w:val="Heading4"/>
        <w:spacing w:line="480" w:lineRule="auto"/>
      </w:pPr>
      <w:r w:rsidRPr="00FC6474">
        <w:lastRenderedPageBreak/>
        <w:t xml:space="preserve">Consequences of Wellbore Instability </w:t>
      </w:r>
    </w:p>
    <w:p w14:paraId="7EA89612" w14:textId="77777777" w:rsidR="00AF18C7" w:rsidRDefault="001F1237" w:rsidP="006B7BEB">
      <w:pPr>
        <w:spacing w:line="480" w:lineRule="auto"/>
        <w:rPr>
          <w:rFonts w:ascii="Times New Roman" w:hAnsi="Times New Roman" w:cs="Times New Roman"/>
          <w:sz w:val="24"/>
        </w:rPr>
      </w:pPr>
      <w:r>
        <w:rPr>
          <w:rFonts w:ascii="Times New Roman" w:hAnsi="Times New Roman" w:cs="Times New Roman"/>
          <w:sz w:val="24"/>
        </w:rPr>
        <w:t>Wellbore instability in shale and unconventional drilling continues to have major consequences for the drilling operators</w:t>
      </w:r>
      <w:r w:rsidR="00843AE4">
        <w:rPr>
          <w:rFonts w:ascii="Times New Roman" w:hAnsi="Times New Roman" w:cs="Times New Roman"/>
          <w:sz w:val="24"/>
        </w:rPr>
        <w:t xml:space="preserve">, with the most relevant </w:t>
      </w:r>
      <w:r w:rsidR="0070351A">
        <w:rPr>
          <w:rFonts w:ascii="Times New Roman" w:hAnsi="Times New Roman" w:cs="Times New Roman"/>
          <w:sz w:val="24"/>
        </w:rPr>
        <w:t xml:space="preserve">consequences </w:t>
      </w:r>
      <w:r w:rsidR="00843AE4">
        <w:rPr>
          <w:rFonts w:ascii="Times New Roman" w:hAnsi="Times New Roman" w:cs="Times New Roman"/>
          <w:sz w:val="24"/>
        </w:rPr>
        <w:t xml:space="preserve">being the </w:t>
      </w:r>
      <w:r w:rsidR="004B1177">
        <w:rPr>
          <w:rFonts w:ascii="Times New Roman" w:hAnsi="Times New Roman" w:cs="Times New Roman"/>
          <w:sz w:val="24"/>
        </w:rPr>
        <w:t>increase in non-productive time</w:t>
      </w:r>
      <w:r w:rsidR="00812B23">
        <w:rPr>
          <w:rFonts w:ascii="Times New Roman" w:hAnsi="Times New Roman" w:cs="Times New Roman"/>
          <w:sz w:val="24"/>
        </w:rPr>
        <w:t xml:space="preserve"> (NPT)</w:t>
      </w:r>
      <w:r w:rsidR="004B1177">
        <w:rPr>
          <w:rFonts w:ascii="Times New Roman" w:hAnsi="Times New Roman" w:cs="Times New Roman"/>
          <w:sz w:val="24"/>
        </w:rPr>
        <w:t xml:space="preserve"> and therefore an increase in drilling cost.</w:t>
      </w:r>
      <w:r w:rsidR="00AF18C7">
        <w:rPr>
          <w:rFonts w:ascii="Times New Roman" w:hAnsi="Times New Roman" w:cs="Times New Roman"/>
          <w:sz w:val="24"/>
        </w:rPr>
        <w:t xml:space="preserve"> The major consequences of wellbore instability according to </w:t>
      </w:r>
      <w:r w:rsidR="00AF18C7" w:rsidRPr="00220C0C">
        <w:rPr>
          <w:rFonts w:ascii="Times New Roman" w:eastAsia="Calibri" w:hAnsi="Times New Roman" w:cs="Times New Roman"/>
          <w:sz w:val="24"/>
          <w:szCs w:val="24"/>
        </w:rPr>
        <w:t>(Samuel et al. (2001), Santarelli et al. (1992), Chenevert et al. (2001)</w:t>
      </w:r>
      <w:r w:rsidR="007F59E0">
        <w:rPr>
          <w:rFonts w:ascii="Times New Roman" w:eastAsia="Calibri" w:hAnsi="Times New Roman" w:cs="Times New Roman"/>
          <w:sz w:val="24"/>
          <w:szCs w:val="24"/>
        </w:rPr>
        <w:t xml:space="preserve">, Salehi et al. </w:t>
      </w:r>
      <w:r w:rsidR="00D611E3">
        <w:rPr>
          <w:rFonts w:ascii="Times New Roman" w:eastAsia="Calibri" w:hAnsi="Times New Roman" w:cs="Times New Roman"/>
          <w:sz w:val="24"/>
          <w:szCs w:val="24"/>
        </w:rPr>
        <w:t>(</w:t>
      </w:r>
      <w:r w:rsidR="007F59E0">
        <w:rPr>
          <w:rFonts w:ascii="Times New Roman" w:eastAsia="Calibri" w:hAnsi="Times New Roman" w:cs="Times New Roman"/>
          <w:sz w:val="24"/>
          <w:szCs w:val="24"/>
        </w:rPr>
        <w:t>2011</w:t>
      </w:r>
      <w:r w:rsidR="00D611E3">
        <w:rPr>
          <w:rFonts w:ascii="Times New Roman" w:eastAsia="Calibri" w:hAnsi="Times New Roman" w:cs="Times New Roman"/>
          <w:sz w:val="24"/>
          <w:szCs w:val="24"/>
        </w:rPr>
        <w:t>)</w:t>
      </w:r>
      <w:r w:rsidR="00AF18C7" w:rsidRPr="00220C0C">
        <w:rPr>
          <w:rFonts w:ascii="Times New Roman" w:eastAsia="Calibri" w:hAnsi="Times New Roman" w:cs="Times New Roman"/>
          <w:sz w:val="24"/>
          <w:szCs w:val="24"/>
        </w:rPr>
        <w:t>)</w:t>
      </w:r>
      <w:r w:rsidR="00AF18C7" w:rsidRPr="00220C0C">
        <w:rPr>
          <w:rFonts w:eastAsia="Calibri"/>
          <w:sz w:val="24"/>
          <w:szCs w:val="24"/>
        </w:rPr>
        <w:t xml:space="preserve"> </w:t>
      </w:r>
      <w:r w:rsidR="00AF18C7">
        <w:rPr>
          <w:rFonts w:ascii="Times New Roman" w:hAnsi="Times New Roman" w:cs="Times New Roman"/>
          <w:sz w:val="24"/>
        </w:rPr>
        <w:t>include but not limited to:</w:t>
      </w:r>
    </w:p>
    <w:p w14:paraId="2492346A" w14:textId="77777777" w:rsidR="00AF18C7" w:rsidRDefault="00AF18C7" w:rsidP="0025438C">
      <w:pPr>
        <w:pStyle w:val="ListParagraph"/>
        <w:numPr>
          <w:ilvl w:val="0"/>
          <w:numId w:val="18"/>
        </w:numPr>
        <w:spacing w:line="480" w:lineRule="auto"/>
        <w:rPr>
          <w:rFonts w:ascii="Times New Roman" w:hAnsi="Times New Roman" w:cs="Times New Roman"/>
          <w:sz w:val="24"/>
        </w:rPr>
      </w:pPr>
      <w:r>
        <w:rPr>
          <w:rFonts w:ascii="Times New Roman" w:hAnsi="Times New Roman" w:cs="Times New Roman"/>
          <w:sz w:val="24"/>
        </w:rPr>
        <w:t>Reduction in drilling performance (slow drilling rate)</w:t>
      </w:r>
    </w:p>
    <w:p w14:paraId="17F1945C" w14:textId="77777777" w:rsidR="00AF18C7" w:rsidRDefault="00AF18C7" w:rsidP="0025438C">
      <w:pPr>
        <w:pStyle w:val="ListParagraph"/>
        <w:numPr>
          <w:ilvl w:val="0"/>
          <w:numId w:val="18"/>
        </w:numPr>
        <w:spacing w:line="480" w:lineRule="auto"/>
        <w:rPr>
          <w:rFonts w:ascii="Times New Roman" w:hAnsi="Times New Roman" w:cs="Times New Roman"/>
          <w:sz w:val="24"/>
        </w:rPr>
      </w:pPr>
      <w:r>
        <w:rPr>
          <w:rFonts w:ascii="Times New Roman" w:hAnsi="Times New Roman" w:cs="Times New Roman"/>
          <w:sz w:val="24"/>
        </w:rPr>
        <w:t>Stuck bottomhole assembly (BHA) and downhole tools</w:t>
      </w:r>
    </w:p>
    <w:p w14:paraId="29D55CB3" w14:textId="77777777" w:rsidR="00AF18C7" w:rsidRDefault="00AF18C7" w:rsidP="0025438C">
      <w:pPr>
        <w:pStyle w:val="ListParagraph"/>
        <w:numPr>
          <w:ilvl w:val="0"/>
          <w:numId w:val="18"/>
        </w:numPr>
        <w:spacing w:line="480" w:lineRule="auto"/>
        <w:rPr>
          <w:rFonts w:ascii="Times New Roman" w:hAnsi="Times New Roman" w:cs="Times New Roman"/>
          <w:sz w:val="24"/>
        </w:rPr>
      </w:pPr>
      <w:r>
        <w:rPr>
          <w:rFonts w:ascii="Times New Roman" w:hAnsi="Times New Roman" w:cs="Times New Roman"/>
          <w:sz w:val="24"/>
        </w:rPr>
        <w:t xml:space="preserve">Loss of equipment and sidetracking </w:t>
      </w:r>
    </w:p>
    <w:p w14:paraId="7951F93E" w14:textId="77777777" w:rsidR="00F4273C" w:rsidRDefault="00F4273C" w:rsidP="0025438C">
      <w:pPr>
        <w:pStyle w:val="ListParagraph"/>
        <w:numPr>
          <w:ilvl w:val="0"/>
          <w:numId w:val="18"/>
        </w:numPr>
        <w:spacing w:line="480" w:lineRule="auto"/>
        <w:rPr>
          <w:rFonts w:ascii="Times New Roman" w:hAnsi="Times New Roman" w:cs="Times New Roman"/>
          <w:sz w:val="24"/>
        </w:rPr>
      </w:pPr>
      <w:r>
        <w:rPr>
          <w:rFonts w:ascii="Times New Roman" w:hAnsi="Times New Roman" w:cs="Times New Roman"/>
          <w:sz w:val="24"/>
        </w:rPr>
        <w:t xml:space="preserve">Excessive trip time and reaming time </w:t>
      </w:r>
    </w:p>
    <w:p w14:paraId="58D3C4E5" w14:textId="77777777" w:rsidR="00F4273C" w:rsidRDefault="00AA425F" w:rsidP="0025438C">
      <w:pPr>
        <w:pStyle w:val="ListParagraph"/>
        <w:numPr>
          <w:ilvl w:val="0"/>
          <w:numId w:val="18"/>
        </w:numPr>
        <w:spacing w:line="480" w:lineRule="auto"/>
        <w:rPr>
          <w:rFonts w:ascii="Times New Roman" w:hAnsi="Times New Roman" w:cs="Times New Roman"/>
          <w:sz w:val="24"/>
        </w:rPr>
      </w:pPr>
      <w:r>
        <w:rPr>
          <w:rFonts w:ascii="Times New Roman" w:hAnsi="Times New Roman" w:cs="Times New Roman"/>
          <w:sz w:val="24"/>
        </w:rPr>
        <w:t>Poor hole logging, inability to land casing and poor cementing conditions and cement jobs</w:t>
      </w:r>
    </w:p>
    <w:p w14:paraId="4F356B51" w14:textId="77777777" w:rsidR="00AA425F" w:rsidRDefault="002E0821" w:rsidP="0025438C">
      <w:pPr>
        <w:pStyle w:val="ListParagraph"/>
        <w:numPr>
          <w:ilvl w:val="0"/>
          <w:numId w:val="18"/>
        </w:numPr>
        <w:spacing w:line="480" w:lineRule="auto"/>
        <w:rPr>
          <w:rFonts w:ascii="Times New Roman" w:hAnsi="Times New Roman" w:cs="Times New Roman"/>
          <w:sz w:val="24"/>
        </w:rPr>
      </w:pPr>
      <w:r>
        <w:rPr>
          <w:rFonts w:ascii="Times New Roman" w:hAnsi="Times New Roman" w:cs="Times New Roman"/>
          <w:sz w:val="24"/>
        </w:rPr>
        <w:t>Total collapse and loss of hole</w:t>
      </w:r>
    </w:p>
    <w:p w14:paraId="4F62F25E" w14:textId="77777777" w:rsidR="00B52FC3" w:rsidRDefault="00B52FC3" w:rsidP="0025438C">
      <w:pPr>
        <w:pStyle w:val="ListParagraph"/>
        <w:numPr>
          <w:ilvl w:val="0"/>
          <w:numId w:val="18"/>
        </w:numPr>
        <w:spacing w:line="480" w:lineRule="auto"/>
        <w:rPr>
          <w:rFonts w:ascii="Times New Roman" w:hAnsi="Times New Roman" w:cs="Times New Roman"/>
          <w:sz w:val="24"/>
        </w:rPr>
      </w:pPr>
      <w:r>
        <w:rPr>
          <w:rFonts w:ascii="Times New Roman" w:hAnsi="Times New Roman" w:cs="Times New Roman"/>
          <w:sz w:val="24"/>
        </w:rPr>
        <w:t>Fracture generation and propagation</w:t>
      </w:r>
      <w:r w:rsidR="00832B21">
        <w:rPr>
          <w:rFonts w:ascii="Times New Roman" w:hAnsi="Times New Roman" w:cs="Times New Roman"/>
          <w:sz w:val="24"/>
        </w:rPr>
        <w:t>.</w:t>
      </w:r>
    </w:p>
    <w:p w14:paraId="21F8E83A" w14:textId="77777777" w:rsidR="0070351A" w:rsidRDefault="0070351A" w:rsidP="0025438C">
      <w:pPr>
        <w:pStyle w:val="ListParagraph"/>
        <w:numPr>
          <w:ilvl w:val="0"/>
          <w:numId w:val="18"/>
        </w:numPr>
        <w:spacing w:line="480" w:lineRule="auto"/>
        <w:rPr>
          <w:rFonts w:ascii="Times New Roman" w:hAnsi="Times New Roman" w:cs="Times New Roman"/>
          <w:sz w:val="24"/>
        </w:rPr>
      </w:pPr>
      <w:r>
        <w:rPr>
          <w:rFonts w:ascii="Times New Roman" w:hAnsi="Times New Roman" w:cs="Times New Roman"/>
          <w:sz w:val="24"/>
        </w:rPr>
        <w:t>Loss circulation</w:t>
      </w:r>
    </w:p>
    <w:p w14:paraId="64F1B802" w14:textId="77777777" w:rsidR="001F5408" w:rsidRDefault="001F5408" w:rsidP="0025438C">
      <w:pPr>
        <w:spacing w:line="480" w:lineRule="auto"/>
        <w:rPr>
          <w:rFonts w:ascii="Times New Roman" w:hAnsi="Times New Roman" w:cs="Times New Roman"/>
          <w:sz w:val="24"/>
        </w:rPr>
      </w:pPr>
      <w:r>
        <w:rPr>
          <w:rFonts w:ascii="Times New Roman" w:hAnsi="Times New Roman" w:cs="Times New Roman"/>
          <w:sz w:val="24"/>
        </w:rPr>
        <w:t xml:space="preserve">All these consequences create a huge </w:t>
      </w:r>
      <w:r w:rsidR="00623D23">
        <w:rPr>
          <w:rFonts w:ascii="Times New Roman" w:hAnsi="Times New Roman" w:cs="Times New Roman"/>
          <w:sz w:val="24"/>
        </w:rPr>
        <w:t>economic</w:t>
      </w:r>
      <w:r>
        <w:rPr>
          <w:rFonts w:ascii="Times New Roman" w:hAnsi="Times New Roman" w:cs="Times New Roman"/>
          <w:sz w:val="24"/>
        </w:rPr>
        <w:t xml:space="preserve"> burden for the operators because of the increase in drilling cost </w:t>
      </w:r>
      <w:r w:rsidR="00B14332">
        <w:rPr>
          <w:rFonts w:ascii="Times New Roman" w:hAnsi="Times New Roman" w:cs="Times New Roman"/>
          <w:sz w:val="24"/>
        </w:rPr>
        <w:t xml:space="preserve">due to the excessive non-productive time. </w:t>
      </w:r>
      <w:r w:rsidR="001853AB" w:rsidRPr="002A2955">
        <w:rPr>
          <w:rFonts w:ascii="Times New Roman" w:hAnsi="Times New Roman" w:cs="Times New Roman"/>
          <w:b/>
          <w:sz w:val="24"/>
        </w:rPr>
        <w:t xml:space="preserve">Figure </w:t>
      </w:r>
      <w:r w:rsidR="007F76D1">
        <w:rPr>
          <w:rFonts w:ascii="Times New Roman" w:hAnsi="Times New Roman" w:cs="Times New Roman"/>
          <w:b/>
          <w:sz w:val="24"/>
        </w:rPr>
        <w:t>5</w:t>
      </w:r>
      <w:r w:rsidR="001853AB">
        <w:rPr>
          <w:rFonts w:ascii="Times New Roman" w:hAnsi="Times New Roman" w:cs="Times New Roman"/>
          <w:sz w:val="24"/>
        </w:rPr>
        <w:t xml:space="preserve"> reveals that about of 57 % of the non-productive time encountered </w:t>
      </w:r>
      <w:r w:rsidR="00554740">
        <w:rPr>
          <w:rFonts w:ascii="Times New Roman" w:hAnsi="Times New Roman" w:cs="Times New Roman"/>
          <w:sz w:val="24"/>
        </w:rPr>
        <w:t xml:space="preserve">in </w:t>
      </w:r>
      <w:r w:rsidR="001853AB">
        <w:rPr>
          <w:rFonts w:ascii="Times New Roman" w:hAnsi="Times New Roman" w:cs="Times New Roman"/>
          <w:sz w:val="24"/>
        </w:rPr>
        <w:t>well</w:t>
      </w:r>
      <w:r w:rsidR="00554740">
        <w:rPr>
          <w:rFonts w:ascii="Times New Roman" w:hAnsi="Times New Roman" w:cs="Times New Roman"/>
          <w:sz w:val="24"/>
        </w:rPr>
        <w:t xml:space="preserve"> A</w:t>
      </w:r>
      <w:r w:rsidR="001853AB">
        <w:rPr>
          <w:rFonts w:ascii="Times New Roman" w:hAnsi="Times New Roman" w:cs="Times New Roman"/>
          <w:sz w:val="24"/>
        </w:rPr>
        <w:t xml:space="preserve"> of the TMS can be attributed to wellbore instability. Th</w:t>
      </w:r>
      <w:r w:rsidR="00812B23">
        <w:rPr>
          <w:rFonts w:ascii="Times New Roman" w:hAnsi="Times New Roman" w:cs="Times New Roman"/>
          <w:sz w:val="24"/>
        </w:rPr>
        <w:t>e</w:t>
      </w:r>
      <w:r w:rsidR="001853AB">
        <w:rPr>
          <w:rFonts w:ascii="Times New Roman" w:hAnsi="Times New Roman" w:cs="Times New Roman"/>
          <w:sz w:val="24"/>
        </w:rPr>
        <w:t xml:space="preserve"> wellbore </w:t>
      </w:r>
      <w:r w:rsidR="00812B23">
        <w:rPr>
          <w:rFonts w:ascii="Times New Roman" w:hAnsi="Times New Roman" w:cs="Times New Roman"/>
          <w:sz w:val="24"/>
        </w:rPr>
        <w:t xml:space="preserve">instability NPT comes from sources such as lost circulation, pipe sticking, and loss of equipment. The other source of NPT such as tools replacement and wait on weather accounted for 32%, while the wait on cement (WOC) accounted for 11 % of the total NPT in </w:t>
      </w:r>
      <w:r w:rsidR="00554740">
        <w:rPr>
          <w:rFonts w:ascii="Times New Roman" w:hAnsi="Times New Roman" w:cs="Times New Roman"/>
          <w:sz w:val="24"/>
        </w:rPr>
        <w:t>well A</w:t>
      </w:r>
      <w:r w:rsidR="00812B23">
        <w:rPr>
          <w:rFonts w:ascii="Times New Roman" w:hAnsi="Times New Roman" w:cs="Times New Roman"/>
          <w:sz w:val="24"/>
        </w:rPr>
        <w:t>.</w:t>
      </w:r>
      <w:r w:rsidR="001853AB">
        <w:rPr>
          <w:rFonts w:ascii="Times New Roman" w:hAnsi="Times New Roman" w:cs="Times New Roman"/>
          <w:sz w:val="24"/>
        </w:rPr>
        <w:t xml:space="preserve"> </w:t>
      </w:r>
      <w:r w:rsidR="006B7BEB">
        <w:rPr>
          <w:rFonts w:ascii="Times New Roman" w:hAnsi="Times New Roman" w:cs="Times New Roman"/>
          <w:sz w:val="24"/>
        </w:rPr>
        <w:t>This indicates the impact of wellbore instability in the TMS formation.</w:t>
      </w:r>
    </w:p>
    <w:p w14:paraId="282D14BF" w14:textId="77777777" w:rsidR="00B14332" w:rsidRDefault="00B14332" w:rsidP="001853AB">
      <w:pPr>
        <w:jc w:val="center"/>
        <w:rPr>
          <w:rFonts w:ascii="Times New Roman" w:hAnsi="Times New Roman" w:cs="Times New Roman"/>
          <w:sz w:val="24"/>
        </w:rPr>
      </w:pPr>
      <w:r>
        <w:rPr>
          <w:noProof/>
        </w:rPr>
        <w:lastRenderedPageBreak/>
        <w:drawing>
          <wp:inline distT="0" distB="0" distL="0" distR="0" wp14:anchorId="44FBD8E6" wp14:editId="0CBCC2BB">
            <wp:extent cx="4190999" cy="2743200"/>
            <wp:effectExtent l="0" t="0" r="635" b="0"/>
            <wp:docPr id="7" name="Chart 7">
              <a:extLst xmlns:a="http://schemas.openxmlformats.org/drawingml/2006/main">
                <a:ext uri="{FF2B5EF4-FFF2-40B4-BE49-F238E27FC236}">
                  <a16:creationId xmlns:a16="http://schemas.microsoft.com/office/drawing/2014/main" id="{61369F0F-048A-44E7-A4C6-C3052B1785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81AC11" w14:textId="0AA4EB89" w:rsidR="002A2955" w:rsidRDefault="007F76D1" w:rsidP="007F76D1">
      <w:pPr>
        <w:pStyle w:val="Caption"/>
      </w:pPr>
      <w:bookmarkStart w:id="28" w:name="_Toc37087748"/>
      <w:r>
        <w:t xml:space="preserve">Figure </w:t>
      </w:r>
      <w:fldSimple w:instr=" SEQ Figure \* ARABIC ">
        <w:r w:rsidR="0092747F">
          <w:rPr>
            <w:noProof/>
          </w:rPr>
          <w:t>5</w:t>
        </w:r>
      </w:fldSimple>
      <w:r>
        <w:t>-</w:t>
      </w:r>
      <w:r w:rsidR="002A2955" w:rsidRPr="00230620">
        <w:t xml:space="preserve"> </w:t>
      </w:r>
      <w:r w:rsidR="00230620" w:rsidRPr="00230620">
        <w:t>Record of non-productive time from</w:t>
      </w:r>
      <w:r w:rsidR="00554740">
        <w:t xml:space="preserve"> </w:t>
      </w:r>
      <w:r w:rsidR="00230620" w:rsidRPr="00230620">
        <w:t>well</w:t>
      </w:r>
      <w:r w:rsidR="00554740">
        <w:t xml:space="preserve"> A drilled</w:t>
      </w:r>
      <w:r w:rsidR="00230620" w:rsidRPr="00230620">
        <w:t xml:space="preserve"> in</w:t>
      </w:r>
      <w:r w:rsidR="00554740">
        <w:t>to</w:t>
      </w:r>
      <w:r w:rsidR="00230620" w:rsidRPr="00230620">
        <w:t xml:space="preserve"> TMS</w:t>
      </w:r>
      <w:bookmarkEnd w:id="28"/>
    </w:p>
    <w:p w14:paraId="5DB2E95B" w14:textId="77777777" w:rsidR="003F5B26" w:rsidRDefault="003F5B26" w:rsidP="00F32B4E">
      <w:pPr>
        <w:pStyle w:val="Heading2"/>
        <w:numPr>
          <w:ilvl w:val="1"/>
          <w:numId w:val="15"/>
        </w:numPr>
        <w:contextualSpacing/>
      </w:pPr>
      <w:bookmarkStart w:id="29" w:name="_Toc39751586"/>
      <w:r>
        <w:t>Bit Balling</w:t>
      </w:r>
      <w:bookmarkEnd w:id="29"/>
      <w:r>
        <w:t xml:space="preserve"> </w:t>
      </w:r>
    </w:p>
    <w:p w14:paraId="33AF3874" w14:textId="77777777" w:rsidR="000F1185" w:rsidRDefault="000F1185" w:rsidP="0025438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slow drilling rate in shale is one of the major consequences of wellbore instability. The low rate of penetration (ROP) is a major drilling concern for all drilling operators because of its implications on drilling time and costs. A primary </w:t>
      </w:r>
      <w:r w:rsidR="00DB622B">
        <w:rPr>
          <w:rFonts w:ascii="Times New Roman" w:hAnsi="Times New Roman" w:cs="Times New Roman"/>
          <w:sz w:val="24"/>
          <w:szCs w:val="24"/>
        </w:rPr>
        <w:t xml:space="preserve">contributing </w:t>
      </w:r>
      <w:r>
        <w:rPr>
          <w:rFonts w:ascii="Times New Roman" w:hAnsi="Times New Roman" w:cs="Times New Roman"/>
          <w:sz w:val="24"/>
          <w:szCs w:val="24"/>
        </w:rPr>
        <w:t xml:space="preserve">factor </w:t>
      </w:r>
      <w:r w:rsidR="00DB622B">
        <w:rPr>
          <w:rFonts w:ascii="Times New Roman" w:hAnsi="Times New Roman" w:cs="Times New Roman"/>
          <w:sz w:val="24"/>
          <w:szCs w:val="24"/>
        </w:rPr>
        <w:t>to</w:t>
      </w:r>
      <w:r>
        <w:rPr>
          <w:rFonts w:ascii="Times New Roman" w:hAnsi="Times New Roman" w:cs="Times New Roman"/>
          <w:sz w:val="24"/>
          <w:szCs w:val="24"/>
        </w:rPr>
        <w:t xml:space="preserve"> low ROP </w:t>
      </w:r>
      <w:r w:rsidR="00DB622B">
        <w:rPr>
          <w:rFonts w:ascii="Times New Roman" w:hAnsi="Times New Roman" w:cs="Times New Roman"/>
          <w:sz w:val="24"/>
          <w:szCs w:val="24"/>
        </w:rPr>
        <w:t xml:space="preserve">in shale </w:t>
      </w:r>
      <w:r>
        <w:rPr>
          <w:rFonts w:ascii="Times New Roman" w:hAnsi="Times New Roman" w:cs="Times New Roman"/>
          <w:sz w:val="24"/>
          <w:szCs w:val="24"/>
        </w:rPr>
        <w:t>is known as the bit-balling</w:t>
      </w:r>
      <w:r w:rsidR="00DB622B">
        <w:rPr>
          <w:rFonts w:ascii="Times New Roman" w:hAnsi="Times New Roman" w:cs="Times New Roman"/>
          <w:sz w:val="24"/>
          <w:szCs w:val="24"/>
        </w:rPr>
        <w:t>. Bit-balling is</w:t>
      </w:r>
      <w:r>
        <w:rPr>
          <w:rFonts w:ascii="Times New Roman" w:hAnsi="Times New Roman" w:cs="Times New Roman"/>
          <w:sz w:val="24"/>
          <w:szCs w:val="24"/>
        </w:rPr>
        <w:t xml:space="preserve"> a very common phenomenon in high reactive and water sensitive shales. According to Van Oort (1997)</w:t>
      </w:r>
      <w:r w:rsidR="00D0146B">
        <w:rPr>
          <w:rFonts w:ascii="Times New Roman" w:hAnsi="Times New Roman" w:cs="Times New Roman"/>
          <w:sz w:val="24"/>
          <w:szCs w:val="24"/>
        </w:rPr>
        <w:t xml:space="preserve">, bit balling refers to the tendency of drilled cuttings to adhere to the bit surface, as a result forming a cushion between the formation and the bit. </w:t>
      </w:r>
      <w:r w:rsidR="00BE7AF5">
        <w:rPr>
          <w:rFonts w:ascii="Times New Roman" w:hAnsi="Times New Roman" w:cs="Times New Roman"/>
          <w:sz w:val="24"/>
          <w:szCs w:val="24"/>
        </w:rPr>
        <w:t xml:space="preserve">The sticky cuttings occupy spaces between drill bit teeth </w:t>
      </w:r>
      <w:r w:rsidR="009D0D1B">
        <w:rPr>
          <w:rFonts w:ascii="Times New Roman" w:hAnsi="Times New Roman" w:cs="Times New Roman"/>
          <w:sz w:val="24"/>
          <w:szCs w:val="24"/>
        </w:rPr>
        <w:t>therefore preventing the drill bit cutters from effectively contacting the formation. Consequently, this phenomenon of poor contact between the drill bit cutters and the formation lower the rate of penetration (ROP)</w:t>
      </w:r>
      <w:r w:rsidR="00F32B4E">
        <w:rPr>
          <w:rFonts w:ascii="Times New Roman" w:hAnsi="Times New Roman" w:cs="Times New Roman"/>
          <w:sz w:val="24"/>
          <w:szCs w:val="24"/>
        </w:rPr>
        <w:t xml:space="preserve">. </w:t>
      </w:r>
      <w:r w:rsidR="005652F3">
        <w:rPr>
          <w:rFonts w:ascii="Times New Roman" w:hAnsi="Times New Roman" w:cs="Times New Roman"/>
          <w:sz w:val="24"/>
          <w:szCs w:val="24"/>
        </w:rPr>
        <w:t>Dupriest and Koederitz (2005) and Remmert et al. (2007) reported that bit balling is qualified as a major limiter to ROP.</w:t>
      </w:r>
      <w:r w:rsidR="008F1360">
        <w:rPr>
          <w:rFonts w:ascii="Times New Roman" w:hAnsi="Times New Roman" w:cs="Times New Roman"/>
          <w:sz w:val="24"/>
          <w:szCs w:val="24"/>
        </w:rPr>
        <w:t xml:space="preserve"> Bit balling and cutting accretion are highly affected by shale hydration process. Van Oort (1997) reported that the tendency of shale cuttings to stick to the bit is a function of the water content of the cutting and the used drilling fluid system. </w:t>
      </w:r>
      <w:r w:rsidR="00F37687">
        <w:rPr>
          <w:rFonts w:ascii="Times New Roman" w:hAnsi="Times New Roman" w:cs="Times New Roman"/>
          <w:sz w:val="24"/>
          <w:szCs w:val="24"/>
        </w:rPr>
        <w:t xml:space="preserve">The initial water </w:t>
      </w:r>
      <w:r w:rsidR="00F37687">
        <w:rPr>
          <w:rFonts w:ascii="Times New Roman" w:hAnsi="Times New Roman" w:cs="Times New Roman"/>
          <w:sz w:val="24"/>
          <w:szCs w:val="24"/>
        </w:rPr>
        <w:lastRenderedPageBreak/>
        <w:t>content is also dependent on the shale type and its clay content.</w:t>
      </w:r>
      <w:r w:rsidR="000E1C6B">
        <w:rPr>
          <w:rFonts w:ascii="Times New Roman" w:hAnsi="Times New Roman" w:cs="Times New Roman"/>
          <w:sz w:val="24"/>
          <w:szCs w:val="24"/>
        </w:rPr>
        <w:t xml:space="preserve"> In a study performed in 1997, Van Oort evaluated the correlation between the water content and the clay stickiness. He identified three major zone</w:t>
      </w:r>
      <w:r w:rsidR="00550167">
        <w:rPr>
          <w:rFonts w:ascii="Times New Roman" w:hAnsi="Times New Roman" w:cs="Times New Roman"/>
          <w:sz w:val="24"/>
          <w:szCs w:val="24"/>
        </w:rPr>
        <w:t>s</w:t>
      </w:r>
      <w:r w:rsidR="000E1C6B">
        <w:rPr>
          <w:rFonts w:ascii="Times New Roman" w:hAnsi="Times New Roman" w:cs="Times New Roman"/>
          <w:sz w:val="24"/>
          <w:szCs w:val="24"/>
        </w:rPr>
        <w:t xml:space="preserve"> in his study. A dry zone where the shale is in its initial state</w:t>
      </w:r>
      <w:r w:rsidR="00C92365">
        <w:rPr>
          <w:rFonts w:ascii="Times New Roman" w:hAnsi="Times New Roman" w:cs="Times New Roman"/>
          <w:sz w:val="24"/>
          <w:szCs w:val="24"/>
        </w:rPr>
        <w:t>. In this zone, the shale is too dry to stick to the bit. It is qualified as a safe zone where there is no chance of bit balling. Continuous hydration of the shale leads to a transition from the dry zone to a more plastic zone. In this zone, shales highly hydrated and very sticky. As a result, the probability of bit balling occurring is very high</w:t>
      </w:r>
      <w:r w:rsidR="009514B3">
        <w:rPr>
          <w:rFonts w:ascii="Times New Roman" w:hAnsi="Times New Roman" w:cs="Times New Roman"/>
          <w:sz w:val="24"/>
          <w:szCs w:val="24"/>
        </w:rPr>
        <w:t>,</w:t>
      </w:r>
      <w:r w:rsidR="00C92365">
        <w:rPr>
          <w:rFonts w:ascii="Times New Roman" w:hAnsi="Times New Roman" w:cs="Times New Roman"/>
          <w:sz w:val="24"/>
          <w:szCs w:val="24"/>
        </w:rPr>
        <w:t xml:space="preserve"> </w:t>
      </w:r>
      <w:r w:rsidR="00550167">
        <w:rPr>
          <w:rFonts w:ascii="Times New Roman" w:hAnsi="Times New Roman" w:cs="Times New Roman"/>
          <w:sz w:val="24"/>
          <w:szCs w:val="24"/>
        </w:rPr>
        <w:t xml:space="preserve">making the zone very problematic. </w:t>
      </w:r>
      <w:r w:rsidR="00A41011">
        <w:rPr>
          <w:rFonts w:ascii="Times New Roman" w:hAnsi="Times New Roman" w:cs="Times New Roman"/>
          <w:sz w:val="24"/>
          <w:szCs w:val="24"/>
        </w:rPr>
        <w:t>The last zone refers to the liquid zone, which is obtained by continuous hydration of the plastic zone</w:t>
      </w:r>
      <w:r w:rsidR="00964723">
        <w:rPr>
          <w:rFonts w:ascii="Times New Roman" w:hAnsi="Times New Roman" w:cs="Times New Roman"/>
          <w:sz w:val="24"/>
          <w:szCs w:val="24"/>
        </w:rPr>
        <w:t xml:space="preserve">. In this zone, shales are too dispersed which limits their ability to stick on the bit. This zone </w:t>
      </w:r>
      <w:r w:rsidR="00982852">
        <w:rPr>
          <w:rFonts w:ascii="Times New Roman" w:hAnsi="Times New Roman" w:cs="Times New Roman"/>
          <w:sz w:val="24"/>
          <w:szCs w:val="24"/>
        </w:rPr>
        <w:t xml:space="preserve">there is an effective wash off of the drill bit cutter. Therefore, this zone presents no risk of bit balling. </w:t>
      </w:r>
      <w:r w:rsidR="00982852" w:rsidRPr="000D581C">
        <w:rPr>
          <w:rFonts w:ascii="Times New Roman" w:hAnsi="Times New Roman" w:cs="Times New Roman"/>
          <w:b/>
          <w:bCs/>
          <w:sz w:val="24"/>
          <w:szCs w:val="24"/>
        </w:rPr>
        <w:t xml:space="preserve">Figure </w:t>
      </w:r>
      <w:r w:rsidR="007F76D1">
        <w:rPr>
          <w:rFonts w:ascii="Times New Roman" w:hAnsi="Times New Roman" w:cs="Times New Roman"/>
          <w:b/>
          <w:bCs/>
          <w:sz w:val="24"/>
          <w:szCs w:val="24"/>
        </w:rPr>
        <w:t>6</w:t>
      </w:r>
      <w:r w:rsidR="00982852">
        <w:rPr>
          <w:rFonts w:ascii="Times New Roman" w:hAnsi="Times New Roman" w:cs="Times New Roman"/>
          <w:sz w:val="24"/>
          <w:szCs w:val="24"/>
        </w:rPr>
        <w:t xml:space="preserve"> shows the relationship between the clay stickiness and the water content.</w:t>
      </w:r>
    </w:p>
    <w:p w14:paraId="64157F4C" w14:textId="77777777" w:rsidR="000D581C" w:rsidRDefault="000D581C" w:rsidP="000D581C">
      <w:pPr>
        <w:contextualSpacing/>
        <w:jc w:val="center"/>
        <w:rPr>
          <w:rFonts w:ascii="Times New Roman" w:hAnsi="Times New Roman" w:cs="Times New Roman"/>
          <w:sz w:val="24"/>
          <w:szCs w:val="24"/>
        </w:rPr>
      </w:pPr>
      <w:r>
        <w:rPr>
          <w:noProof/>
        </w:rPr>
        <w:drawing>
          <wp:inline distT="0" distB="0" distL="0" distR="0" wp14:anchorId="408724E0" wp14:editId="1B9E6DE8">
            <wp:extent cx="5457825" cy="36099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57825" cy="3609975"/>
                    </a:xfrm>
                    <a:prstGeom prst="rect">
                      <a:avLst/>
                    </a:prstGeom>
                  </pic:spPr>
                </pic:pic>
              </a:graphicData>
            </a:graphic>
          </wp:inline>
        </w:drawing>
      </w:r>
    </w:p>
    <w:p w14:paraId="27C1798D" w14:textId="4BBE0FD1" w:rsidR="000D581C" w:rsidRDefault="007F76D1" w:rsidP="007F76D1">
      <w:pPr>
        <w:pStyle w:val="Caption"/>
      </w:pPr>
      <w:bookmarkStart w:id="30" w:name="_Toc37087749"/>
      <w:r>
        <w:t xml:space="preserve">Figure </w:t>
      </w:r>
      <w:fldSimple w:instr=" SEQ Figure \* ARABIC ">
        <w:r w:rsidR="0092747F">
          <w:rPr>
            <w:noProof/>
          </w:rPr>
          <w:t>6</w:t>
        </w:r>
      </w:fldSimple>
      <w:r>
        <w:rPr>
          <w:bCs/>
        </w:rPr>
        <w:t>-</w:t>
      </w:r>
      <w:r w:rsidR="000D581C">
        <w:t xml:space="preserve"> </w:t>
      </w:r>
      <w:r w:rsidR="00400CE1">
        <w:t>Relationship between bit balling and water content (Van Oort 1997)</w:t>
      </w:r>
      <w:bookmarkEnd w:id="30"/>
    </w:p>
    <w:p w14:paraId="4460E220" w14:textId="77777777" w:rsidR="00400CE1" w:rsidRDefault="00400CE1" w:rsidP="0025438C">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Bit balling ranges from slight to severe with an uninhibited water-based mud. Invert emulsion oil-based muds are reported to have no bit balling issues. The ratio of bit torque to weight-on-bit (WOB) is a </w:t>
      </w:r>
      <w:r w:rsidR="00FE51AD">
        <w:rPr>
          <w:rFonts w:ascii="Times New Roman" w:hAnsi="Times New Roman" w:cs="Times New Roman"/>
          <w:sz w:val="24"/>
          <w:szCs w:val="24"/>
        </w:rPr>
        <w:t>reliable indicator of the degree</w:t>
      </w:r>
      <w:r>
        <w:rPr>
          <w:rFonts w:ascii="Times New Roman" w:hAnsi="Times New Roman" w:cs="Times New Roman"/>
          <w:sz w:val="24"/>
          <w:szCs w:val="24"/>
        </w:rPr>
        <w:t xml:space="preserve"> of</w:t>
      </w:r>
      <w:r w:rsidR="00FD532E">
        <w:rPr>
          <w:rFonts w:ascii="Times New Roman" w:hAnsi="Times New Roman" w:cs="Times New Roman"/>
          <w:sz w:val="24"/>
          <w:szCs w:val="24"/>
        </w:rPr>
        <w:t xml:space="preserve"> severity of the</w:t>
      </w:r>
      <w:r>
        <w:rPr>
          <w:rFonts w:ascii="Times New Roman" w:hAnsi="Times New Roman" w:cs="Times New Roman"/>
          <w:sz w:val="24"/>
          <w:szCs w:val="24"/>
        </w:rPr>
        <w:t xml:space="preserve"> bit balling</w:t>
      </w:r>
      <w:r w:rsidR="00FD532E">
        <w:rPr>
          <w:rFonts w:ascii="Times New Roman" w:hAnsi="Times New Roman" w:cs="Times New Roman"/>
          <w:sz w:val="24"/>
          <w:szCs w:val="24"/>
        </w:rPr>
        <w:t>.</w:t>
      </w:r>
      <w:r w:rsidR="00FE51AD">
        <w:rPr>
          <w:rFonts w:ascii="Times New Roman" w:hAnsi="Times New Roman" w:cs="Times New Roman"/>
          <w:sz w:val="24"/>
          <w:szCs w:val="24"/>
        </w:rPr>
        <w:t xml:space="preserve"> Bit balling and cutting accretion results in reduced drilling rate, excessive non-drilling time (NDT), and expensive remediation.</w:t>
      </w:r>
    </w:p>
    <w:p w14:paraId="53CFBF8A" w14:textId="77777777" w:rsidR="00050701" w:rsidRDefault="00050701" w:rsidP="0025438C">
      <w:pPr>
        <w:spacing w:line="480" w:lineRule="auto"/>
        <w:contextualSpacing/>
        <w:rPr>
          <w:rFonts w:ascii="Times New Roman" w:hAnsi="Times New Roman" w:cs="Times New Roman"/>
          <w:sz w:val="24"/>
          <w:szCs w:val="24"/>
        </w:rPr>
      </w:pPr>
      <w:r>
        <w:rPr>
          <w:rFonts w:ascii="Times New Roman" w:hAnsi="Times New Roman" w:cs="Times New Roman"/>
          <w:sz w:val="24"/>
          <w:szCs w:val="24"/>
        </w:rPr>
        <w:t>Bit balling can be significantly reduced by maintaining a low water content of the shale, selection of appropriate drilling fluid system, and drill bit optimization.</w:t>
      </w:r>
      <w:r w:rsidR="009514B3">
        <w:rPr>
          <w:rFonts w:ascii="Times New Roman" w:hAnsi="Times New Roman" w:cs="Times New Roman"/>
          <w:sz w:val="24"/>
          <w:szCs w:val="24"/>
        </w:rPr>
        <w:t xml:space="preserve"> Most formations including high-reactive shale formations rely on polycrystalline diamond compact (PDC) bit. However, the use of shear cutting principle by the PDC bit makes it very vulnerable to bit balling due to its ability to generate cutting chips. Several studies have been undertaken to understand and develop method of optimizing PDC bit.</w:t>
      </w:r>
      <w:r w:rsidR="00541743">
        <w:rPr>
          <w:rFonts w:ascii="Times New Roman" w:hAnsi="Times New Roman" w:cs="Times New Roman"/>
          <w:sz w:val="24"/>
          <w:szCs w:val="24"/>
        </w:rPr>
        <w:t xml:space="preserve"> Since bit balling is mostly initiated by the generation of small cuttings, Zijsling et al. (1993) suggested the use of larger cutter standoff distance in a PDC design to ensure the production of larger cuttings that can be efficiently transported and reducing the contact with the bit body. This method provides improvement in minimizing bit balling; however, it greatly weakens the bit strength. Thus, this method is only effective for a range of drilling parameters and certain formations to avoid rapid wear and fatigue of the bit</w:t>
      </w:r>
      <w:r w:rsidR="00660850">
        <w:rPr>
          <w:rFonts w:ascii="Times New Roman" w:hAnsi="Times New Roman" w:cs="Times New Roman"/>
          <w:sz w:val="24"/>
          <w:szCs w:val="24"/>
        </w:rPr>
        <w:t>.</w:t>
      </w:r>
      <w:r w:rsidR="00541743">
        <w:rPr>
          <w:rFonts w:ascii="Times New Roman" w:hAnsi="Times New Roman" w:cs="Times New Roman"/>
          <w:sz w:val="24"/>
          <w:szCs w:val="24"/>
        </w:rPr>
        <w:t xml:space="preserve"> </w:t>
      </w:r>
      <w:r w:rsidR="00573D94">
        <w:rPr>
          <w:rFonts w:ascii="Times New Roman" w:hAnsi="Times New Roman" w:cs="Times New Roman"/>
          <w:sz w:val="24"/>
          <w:szCs w:val="24"/>
        </w:rPr>
        <w:t xml:space="preserve">Additionally, Smith et al. (1995) suggested smoothening the surface finish of a PDC cutter in order to reduce the friction coefficient of the cutter and produce long thin cuttings that are easily evacuated. They claimed that the evacuation of rock cutting is highly affected by the thickness of the </w:t>
      </w:r>
      <w:r w:rsidR="00442705">
        <w:rPr>
          <w:rFonts w:ascii="Times New Roman" w:hAnsi="Times New Roman" w:cs="Times New Roman"/>
          <w:sz w:val="24"/>
          <w:szCs w:val="24"/>
        </w:rPr>
        <w:t>cuttings and the friction generated. The idea of smoothening</w:t>
      </w:r>
      <w:r w:rsidR="002B5552">
        <w:rPr>
          <w:rFonts w:ascii="Times New Roman" w:hAnsi="Times New Roman" w:cs="Times New Roman"/>
          <w:sz w:val="24"/>
          <w:szCs w:val="24"/>
        </w:rPr>
        <w:t xml:space="preserve"> the cutter of PDC bit led to the introduction of polished cutter. Van Oort et al. (2000) suggested that the use of polished cutters minimize bit-balling and improve the bit life.</w:t>
      </w:r>
      <w:r w:rsidR="00442705">
        <w:rPr>
          <w:rFonts w:ascii="Times New Roman" w:hAnsi="Times New Roman" w:cs="Times New Roman"/>
          <w:sz w:val="24"/>
          <w:szCs w:val="24"/>
        </w:rPr>
        <w:t xml:space="preserve"> </w:t>
      </w:r>
    </w:p>
    <w:p w14:paraId="63F3E9C5" w14:textId="77777777" w:rsidR="00CA0107" w:rsidRDefault="00CA0107" w:rsidP="00D53DDB">
      <w:pPr>
        <w:pStyle w:val="Heading2"/>
        <w:numPr>
          <w:ilvl w:val="1"/>
          <w:numId w:val="15"/>
        </w:numPr>
      </w:pPr>
      <w:bookmarkStart w:id="31" w:name="_Toc39751587"/>
      <w:r>
        <w:lastRenderedPageBreak/>
        <w:t>Lost Circulation</w:t>
      </w:r>
      <w:bookmarkEnd w:id="31"/>
      <w:r>
        <w:t xml:space="preserve"> </w:t>
      </w:r>
    </w:p>
    <w:p w14:paraId="1F5C2633" w14:textId="77777777" w:rsidR="00136D70" w:rsidRDefault="00C57643" w:rsidP="0025438C">
      <w:pPr>
        <w:spacing w:line="480" w:lineRule="auto"/>
        <w:rPr>
          <w:rFonts w:ascii="Times New Roman" w:hAnsi="Times New Roman" w:cs="Times New Roman"/>
          <w:sz w:val="24"/>
          <w:szCs w:val="24"/>
        </w:rPr>
      </w:pPr>
      <w:r>
        <w:rPr>
          <w:rFonts w:ascii="Times New Roman" w:hAnsi="Times New Roman" w:cs="Times New Roman"/>
          <w:sz w:val="24"/>
          <w:szCs w:val="24"/>
        </w:rPr>
        <w:t xml:space="preserve">Lost circulation is another major </w:t>
      </w:r>
      <w:r w:rsidR="00FF1201">
        <w:rPr>
          <w:rFonts w:ascii="Times New Roman" w:hAnsi="Times New Roman" w:cs="Times New Roman"/>
          <w:sz w:val="24"/>
          <w:szCs w:val="24"/>
        </w:rPr>
        <w:t>consequence</w:t>
      </w:r>
      <w:r>
        <w:rPr>
          <w:rFonts w:ascii="Times New Roman" w:hAnsi="Times New Roman" w:cs="Times New Roman"/>
          <w:sz w:val="24"/>
          <w:szCs w:val="24"/>
        </w:rPr>
        <w:t xml:space="preserve"> of wellbore instability in shales and natural fractured reservoirs</w:t>
      </w:r>
      <w:r w:rsidRPr="009344DD">
        <w:rPr>
          <w:rFonts w:ascii="Times New Roman" w:hAnsi="Times New Roman" w:cs="Times New Roman"/>
          <w:sz w:val="24"/>
          <w:szCs w:val="24"/>
        </w:rPr>
        <w:t>.</w:t>
      </w:r>
      <w:r w:rsidR="00FF1201" w:rsidRPr="009344DD">
        <w:rPr>
          <w:rFonts w:ascii="Times New Roman" w:hAnsi="Times New Roman" w:cs="Times New Roman"/>
          <w:sz w:val="24"/>
          <w:szCs w:val="24"/>
        </w:rPr>
        <w:t xml:space="preserve"> Lost circulation refers to continuous loss of drilling fluids into a fracture wellbore</w:t>
      </w:r>
      <w:r w:rsidR="005157BD" w:rsidRPr="009344DD">
        <w:rPr>
          <w:rFonts w:ascii="Times New Roman" w:hAnsi="Times New Roman" w:cs="Times New Roman"/>
          <w:sz w:val="24"/>
          <w:szCs w:val="24"/>
        </w:rPr>
        <w:t xml:space="preserve">. Lost circulation is one of the main </w:t>
      </w:r>
      <w:r w:rsidR="009344DD" w:rsidRPr="009344DD">
        <w:rPr>
          <w:rFonts w:ascii="Times New Roman" w:hAnsi="Times New Roman" w:cs="Times New Roman"/>
          <w:sz w:val="24"/>
          <w:szCs w:val="24"/>
        </w:rPr>
        <w:t>contributors</w:t>
      </w:r>
      <w:r w:rsidR="005157BD" w:rsidRPr="009344DD">
        <w:rPr>
          <w:rFonts w:ascii="Times New Roman" w:hAnsi="Times New Roman" w:cs="Times New Roman"/>
          <w:sz w:val="24"/>
          <w:szCs w:val="24"/>
        </w:rPr>
        <w:t xml:space="preserve"> of non-productive time (NPT) is most shale operations.</w:t>
      </w:r>
      <w:r w:rsidR="009344DD">
        <w:rPr>
          <w:rFonts w:ascii="Times New Roman" w:hAnsi="Times New Roman" w:cs="Times New Roman"/>
          <w:sz w:val="24"/>
          <w:szCs w:val="24"/>
        </w:rPr>
        <w:t xml:space="preserve"> Analysis of previous drilling report from </w:t>
      </w:r>
      <w:r w:rsidR="00C6119D">
        <w:rPr>
          <w:rFonts w:ascii="Times New Roman" w:hAnsi="Times New Roman" w:cs="Times New Roman"/>
          <w:sz w:val="24"/>
          <w:szCs w:val="24"/>
        </w:rPr>
        <w:t>well A</w:t>
      </w:r>
      <w:r w:rsidR="009344DD">
        <w:rPr>
          <w:rFonts w:ascii="Times New Roman" w:hAnsi="Times New Roman" w:cs="Times New Roman"/>
          <w:sz w:val="24"/>
          <w:szCs w:val="24"/>
        </w:rPr>
        <w:t xml:space="preserve"> revealed that lost circulation accounted for more than 40% of the NPT in this well</w:t>
      </w:r>
      <w:r w:rsidR="005A7B05">
        <w:rPr>
          <w:rFonts w:ascii="Times New Roman" w:hAnsi="Times New Roman" w:cs="Times New Roman"/>
          <w:sz w:val="24"/>
          <w:szCs w:val="24"/>
        </w:rPr>
        <w:t>.</w:t>
      </w:r>
      <w:r w:rsidR="00711A34">
        <w:rPr>
          <w:rFonts w:ascii="Times New Roman" w:hAnsi="Times New Roman" w:cs="Times New Roman"/>
          <w:sz w:val="24"/>
          <w:szCs w:val="24"/>
        </w:rPr>
        <w:t xml:space="preserve"> </w:t>
      </w:r>
      <w:r w:rsidR="00136D70">
        <w:rPr>
          <w:rFonts w:ascii="Times New Roman" w:hAnsi="Times New Roman" w:cs="Times New Roman"/>
          <w:sz w:val="24"/>
          <w:szCs w:val="24"/>
        </w:rPr>
        <w:t xml:space="preserve">Lost circulations in mostly common in </w:t>
      </w:r>
      <w:r w:rsidR="00E855F6">
        <w:rPr>
          <w:rFonts w:ascii="Times New Roman" w:hAnsi="Times New Roman" w:cs="Times New Roman"/>
          <w:sz w:val="24"/>
          <w:szCs w:val="24"/>
        </w:rPr>
        <w:t>loose/</w:t>
      </w:r>
      <w:r w:rsidR="00136D70">
        <w:rPr>
          <w:rFonts w:ascii="Times New Roman" w:hAnsi="Times New Roman" w:cs="Times New Roman"/>
          <w:sz w:val="24"/>
          <w:szCs w:val="24"/>
        </w:rPr>
        <w:t>depleted reservoir, shale formations, fractured reservoirs</w:t>
      </w:r>
      <w:r w:rsidR="00E855F6">
        <w:rPr>
          <w:rFonts w:ascii="Times New Roman" w:hAnsi="Times New Roman" w:cs="Times New Roman"/>
          <w:sz w:val="24"/>
          <w:szCs w:val="24"/>
        </w:rPr>
        <w:t>, highly permeable formations etc.</w:t>
      </w:r>
      <w:r w:rsidR="007504A4">
        <w:rPr>
          <w:rFonts w:ascii="Times New Roman" w:hAnsi="Times New Roman" w:cs="Times New Roman"/>
          <w:sz w:val="24"/>
          <w:szCs w:val="24"/>
        </w:rPr>
        <w:t xml:space="preserve"> (</w:t>
      </w:r>
      <w:r w:rsidR="007504A4" w:rsidRPr="007504A4">
        <w:rPr>
          <w:rFonts w:ascii="Times New Roman" w:hAnsi="Times New Roman" w:cs="Times New Roman"/>
          <w:b/>
          <w:bCs/>
          <w:sz w:val="24"/>
          <w:szCs w:val="24"/>
        </w:rPr>
        <w:t xml:space="preserve">Figure </w:t>
      </w:r>
      <w:r w:rsidR="00CD06A2">
        <w:rPr>
          <w:rFonts w:ascii="Times New Roman" w:hAnsi="Times New Roman" w:cs="Times New Roman"/>
          <w:b/>
          <w:bCs/>
          <w:sz w:val="24"/>
          <w:szCs w:val="24"/>
        </w:rPr>
        <w:t>7</w:t>
      </w:r>
      <w:r w:rsidR="007504A4">
        <w:rPr>
          <w:rFonts w:ascii="Times New Roman" w:hAnsi="Times New Roman" w:cs="Times New Roman"/>
          <w:sz w:val="24"/>
          <w:szCs w:val="24"/>
        </w:rPr>
        <w:t>)</w:t>
      </w:r>
      <w:r w:rsidR="00136D70">
        <w:rPr>
          <w:rFonts w:ascii="Times New Roman" w:hAnsi="Times New Roman" w:cs="Times New Roman"/>
          <w:sz w:val="24"/>
          <w:szCs w:val="24"/>
        </w:rPr>
        <w:t>. A study performed by Ezeakacha (201</w:t>
      </w:r>
      <w:r w:rsidR="00F34696">
        <w:rPr>
          <w:rFonts w:ascii="Times New Roman" w:hAnsi="Times New Roman" w:cs="Times New Roman"/>
          <w:sz w:val="24"/>
          <w:szCs w:val="24"/>
        </w:rPr>
        <w:t>8</w:t>
      </w:r>
      <w:r w:rsidR="00136D70">
        <w:rPr>
          <w:rFonts w:ascii="Times New Roman" w:hAnsi="Times New Roman" w:cs="Times New Roman"/>
          <w:sz w:val="24"/>
          <w:szCs w:val="24"/>
        </w:rPr>
        <w:t>) revealed that shale formations and loose and depleted sand account for about 29% of the NPT among different lithologies</w:t>
      </w:r>
      <w:r w:rsidR="00DC3875">
        <w:rPr>
          <w:rFonts w:ascii="Times New Roman" w:hAnsi="Times New Roman" w:cs="Times New Roman"/>
          <w:sz w:val="24"/>
          <w:szCs w:val="24"/>
        </w:rPr>
        <w:t>.</w:t>
      </w:r>
      <w:r w:rsidR="00314A33">
        <w:rPr>
          <w:rFonts w:ascii="Times New Roman" w:hAnsi="Times New Roman" w:cs="Times New Roman"/>
          <w:sz w:val="24"/>
          <w:szCs w:val="24"/>
        </w:rPr>
        <w:t xml:space="preserve"> </w:t>
      </w:r>
    </w:p>
    <w:p w14:paraId="2D324121" w14:textId="77777777" w:rsidR="006C7FAE" w:rsidRDefault="006C5352" w:rsidP="006C5352">
      <w:pPr>
        <w:jc w:val="center"/>
        <w:rPr>
          <w:rFonts w:ascii="Times New Roman" w:hAnsi="Times New Roman" w:cs="Times New Roman"/>
          <w:sz w:val="24"/>
          <w:szCs w:val="24"/>
        </w:rPr>
      </w:pPr>
      <w:r>
        <w:rPr>
          <w:noProof/>
        </w:rPr>
        <w:drawing>
          <wp:inline distT="0" distB="0" distL="0" distR="0" wp14:anchorId="27EB3087" wp14:editId="04B17D51">
            <wp:extent cx="3886200" cy="40100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86200" cy="4010025"/>
                    </a:xfrm>
                    <a:prstGeom prst="rect">
                      <a:avLst/>
                    </a:prstGeom>
                  </pic:spPr>
                </pic:pic>
              </a:graphicData>
            </a:graphic>
          </wp:inline>
        </w:drawing>
      </w:r>
    </w:p>
    <w:p w14:paraId="7BF95737" w14:textId="00A4D7F9" w:rsidR="007504A4" w:rsidRDefault="00CD06A2" w:rsidP="00CD06A2">
      <w:pPr>
        <w:pStyle w:val="Caption"/>
      </w:pPr>
      <w:bookmarkStart w:id="32" w:name="_Toc37087750"/>
      <w:r>
        <w:t xml:space="preserve">Figure </w:t>
      </w:r>
      <w:fldSimple w:instr=" SEQ Figure \* ARABIC ">
        <w:r w:rsidR="0092747F">
          <w:rPr>
            <w:noProof/>
          </w:rPr>
          <w:t>7</w:t>
        </w:r>
      </w:fldSimple>
      <w:r>
        <w:rPr>
          <w:bCs/>
        </w:rPr>
        <w:t>-</w:t>
      </w:r>
      <w:r w:rsidR="007504A4">
        <w:t xml:space="preserve"> Illustration of classification of common lost circulations</w:t>
      </w:r>
      <w:bookmarkEnd w:id="32"/>
      <w:r w:rsidR="007504A4">
        <w:t xml:space="preserve"> </w:t>
      </w:r>
    </w:p>
    <w:p w14:paraId="2793DD15" w14:textId="77777777" w:rsidR="005E32C5" w:rsidRDefault="005E32C5" w:rsidP="002543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In addition to </w:t>
      </w:r>
      <w:r w:rsidR="00DB622B">
        <w:rPr>
          <w:rFonts w:ascii="Times New Roman" w:hAnsi="Times New Roman" w:cs="Times New Roman"/>
          <w:sz w:val="24"/>
          <w:szCs w:val="24"/>
        </w:rPr>
        <w:t xml:space="preserve">the </w:t>
      </w:r>
      <w:r>
        <w:rPr>
          <w:rFonts w:ascii="Times New Roman" w:hAnsi="Times New Roman" w:cs="Times New Roman"/>
          <w:sz w:val="24"/>
          <w:szCs w:val="24"/>
        </w:rPr>
        <w:t>increase in NPT, lost circulation presents some other major consequences for shale drilling operations. According to Ezeakacha et al. (2019)</w:t>
      </w:r>
      <w:r w:rsidR="003756A5">
        <w:rPr>
          <w:rFonts w:ascii="Times New Roman" w:hAnsi="Times New Roman" w:cs="Times New Roman"/>
          <w:sz w:val="24"/>
          <w:szCs w:val="24"/>
        </w:rPr>
        <w:t xml:space="preserve"> and Salehi et al. (2016)</w:t>
      </w:r>
      <w:r>
        <w:rPr>
          <w:rFonts w:ascii="Times New Roman" w:hAnsi="Times New Roman" w:cs="Times New Roman"/>
          <w:sz w:val="24"/>
          <w:szCs w:val="24"/>
        </w:rPr>
        <w:t xml:space="preserve">, some major consequences of lost circulation include but not limited to excessive non-drilling time (NDT), formation damage, and stuck pipe. The severity of the loss is highly correlated with the consequences. </w:t>
      </w:r>
      <w:r w:rsidR="00721D04">
        <w:rPr>
          <w:rFonts w:ascii="Times New Roman" w:hAnsi="Times New Roman" w:cs="Times New Roman"/>
          <w:sz w:val="24"/>
          <w:szCs w:val="24"/>
        </w:rPr>
        <w:t>The severity of the loss is dependent of the formation type and the lithology.</w:t>
      </w:r>
      <w:r w:rsidR="00092DF2">
        <w:rPr>
          <w:rFonts w:ascii="Times New Roman" w:hAnsi="Times New Roman" w:cs="Times New Roman"/>
          <w:sz w:val="24"/>
          <w:szCs w:val="24"/>
        </w:rPr>
        <w:t xml:space="preserve"> Ezeakacha et al. (2017) reported that fluid loss is more pronounced in more porous rocks.</w:t>
      </w:r>
      <w:r w:rsidR="00EE49FD">
        <w:rPr>
          <w:rFonts w:ascii="Times New Roman" w:hAnsi="Times New Roman" w:cs="Times New Roman"/>
          <w:sz w:val="24"/>
          <w:szCs w:val="24"/>
        </w:rPr>
        <w:t xml:space="preserve"> </w:t>
      </w:r>
      <w:r w:rsidR="001668C5">
        <w:rPr>
          <w:rFonts w:ascii="Times New Roman" w:hAnsi="Times New Roman" w:cs="Times New Roman"/>
          <w:sz w:val="24"/>
          <w:szCs w:val="24"/>
        </w:rPr>
        <w:t xml:space="preserve">According to Frates et al. 2014), as the severity of the loss increases, the financial losses also increase to eventually match the cost for additional drilling fluid, lost circulation treatment, rig time, and delays in drilling operations. </w:t>
      </w:r>
      <w:r>
        <w:rPr>
          <w:rFonts w:ascii="Times New Roman" w:hAnsi="Times New Roman" w:cs="Times New Roman"/>
          <w:sz w:val="24"/>
          <w:szCs w:val="24"/>
        </w:rPr>
        <w:t>The</w:t>
      </w:r>
      <w:r w:rsidR="001668C5">
        <w:rPr>
          <w:rFonts w:ascii="Times New Roman" w:hAnsi="Times New Roman" w:cs="Times New Roman"/>
          <w:sz w:val="24"/>
          <w:szCs w:val="24"/>
        </w:rPr>
        <w:t>re</w:t>
      </w:r>
      <w:r>
        <w:rPr>
          <w:rFonts w:ascii="Times New Roman" w:hAnsi="Times New Roman" w:cs="Times New Roman"/>
          <w:sz w:val="24"/>
          <w:szCs w:val="24"/>
        </w:rPr>
        <w:t xml:space="preserve"> are four common types of lost circulation classified based on volumetric rate.</w:t>
      </w:r>
      <w:r w:rsidR="004D6E4A">
        <w:rPr>
          <w:rFonts w:ascii="Times New Roman" w:hAnsi="Times New Roman" w:cs="Times New Roman"/>
          <w:sz w:val="24"/>
          <w:szCs w:val="24"/>
        </w:rPr>
        <w:t xml:space="preserve"> </w:t>
      </w:r>
      <w:r w:rsidR="004D6E4A" w:rsidRPr="004D6E4A">
        <w:rPr>
          <w:rFonts w:ascii="Times New Roman" w:hAnsi="Times New Roman" w:cs="Times New Roman"/>
          <w:b/>
          <w:bCs/>
          <w:sz w:val="24"/>
          <w:szCs w:val="24"/>
        </w:rPr>
        <w:t>Table 3</w:t>
      </w:r>
      <w:r w:rsidRPr="004D6E4A">
        <w:rPr>
          <w:rFonts w:ascii="Times New Roman" w:hAnsi="Times New Roman" w:cs="Times New Roman"/>
          <w:b/>
          <w:bCs/>
          <w:sz w:val="24"/>
          <w:szCs w:val="24"/>
        </w:rPr>
        <w:t xml:space="preserve"> </w:t>
      </w:r>
      <w:r w:rsidR="004D6E4A">
        <w:rPr>
          <w:rFonts w:ascii="Times New Roman" w:hAnsi="Times New Roman" w:cs="Times New Roman"/>
          <w:sz w:val="24"/>
          <w:szCs w:val="24"/>
        </w:rPr>
        <w:t>illustrates the different types of losses.</w:t>
      </w:r>
    </w:p>
    <w:p w14:paraId="6E952B18" w14:textId="70CDB09D" w:rsidR="004D6E4A" w:rsidRPr="00AF2241" w:rsidRDefault="00C724F7" w:rsidP="004F5994">
      <w:pPr>
        <w:pStyle w:val="Caption"/>
      </w:pPr>
      <w:hyperlink w:anchor="_List_of_tables" w:history="1">
        <w:bookmarkStart w:id="33" w:name="_Toc37087880"/>
        <w:r w:rsidR="004F5994">
          <w:t xml:space="preserve">Table </w:t>
        </w:r>
        <w:fldSimple w:instr=" SEQ Table \* ARABIC ">
          <w:r w:rsidR="0092747F">
            <w:rPr>
              <w:noProof/>
            </w:rPr>
            <w:t>3</w:t>
          </w:r>
        </w:fldSimple>
        <w:r w:rsidR="00BE624F" w:rsidRPr="00AF2241">
          <w:rPr>
            <w:rStyle w:val="Hyperlink"/>
            <w:color w:val="0D0D0D" w:themeColor="text1" w:themeTint="F2"/>
            <w:szCs w:val="24"/>
            <w:u w:val="none"/>
          </w:rPr>
          <w:t>-</w:t>
        </w:r>
        <w:r w:rsidR="004D6E4A" w:rsidRPr="00AF2241">
          <w:rPr>
            <w:rStyle w:val="Hyperlink"/>
            <w:color w:val="0D0D0D" w:themeColor="text1" w:themeTint="F2"/>
            <w:szCs w:val="24"/>
            <w:u w:val="none"/>
          </w:rPr>
          <w:t xml:space="preserve"> </w:t>
        </w:r>
        <w:r w:rsidR="004D6E4A" w:rsidRPr="00AF2241">
          <w:rPr>
            <w:rStyle w:val="Hyperlink"/>
            <w:bCs/>
            <w:color w:val="0D0D0D" w:themeColor="text1" w:themeTint="F2"/>
            <w:szCs w:val="24"/>
            <w:u w:val="none"/>
          </w:rPr>
          <w:t>Lost circulation classification based on volumetric rate (Frates et al. 2014)</w:t>
        </w:r>
        <w:bookmarkEnd w:id="33"/>
      </w:hyperlink>
    </w:p>
    <w:tbl>
      <w:tblPr>
        <w:tblStyle w:val="TableGrid"/>
        <w:tblW w:w="0" w:type="auto"/>
        <w:tblLook w:val="04A0" w:firstRow="1" w:lastRow="0" w:firstColumn="1" w:lastColumn="0" w:noHBand="0" w:noVBand="1"/>
      </w:tblPr>
      <w:tblGrid>
        <w:gridCol w:w="4675"/>
        <w:gridCol w:w="4675"/>
      </w:tblGrid>
      <w:tr w:rsidR="004D6E4A" w14:paraId="6DC85646" w14:textId="77777777" w:rsidTr="00554A01">
        <w:tc>
          <w:tcPr>
            <w:tcW w:w="4675" w:type="dxa"/>
          </w:tcPr>
          <w:p w14:paraId="6BA327F6" w14:textId="77777777" w:rsidR="004D6E4A" w:rsidRPr="00967847" w:rsidRDefault="004D6E4A" w:rsidP="00554A01">
            <w:pPr>
              <w:spacing w:line="480" w:lineRule="auto"/>
              <w:jc w:val="center"/>
              <w:rPr>
                <w:rFonts w:ascii="Times New Roman" w:hAnsi="Times New Roman" w:cs="Times New Roman"/>
                <w:b/>
                <w:sz w:val="24"/>
                <w:szCs w:val="24"/>
              </w:rPr>
            </w:pPr>
            <w:r w:rsidRPr="00967847">
              <w:rPr>
                <w:rFonts w:ascii="Times New Roman" w:hAnsi="Times New Roman" w:cs="Times New Roman"/>
                <w:b/>
                <w:sz w:val="24"/>
                <w:szCs w:val="24"/>
              </w:rPr>
              <w:t>Type of Loss</w:t>
            </w:r>
          </w:p>
        </w:tc>
        <w:tc>
          <w:tcPr>
            <w:tcW w:w="4675" w:type="dxa"/>
          </w:tcPr>
          <w:p w14:paraId="6D40E61A" w14:textId="77777777" w:rsidR="004D6E4A" w:rsidRPr="00967847" w:rsidRDefault="004D6E4A" w:rsidP="00554A01">
            <w:pPr>
              <w:spacing w:line="480" w:lineRule="auto"/>
              <w:jc w:val="center"/>
              <w:rPr>
                <w:rFonts w:ascii="Times New Roman" w:hAnsi="Times New Roman" w:cs="Times New Roman"/>
                <w:b/>
                <w:sz w:val="24"/>
                <w:szCs w:val="24"/>
              </w:rPr>
            </w:pPr>
            <w:r w:rsidRPr="00967847">
              <w:rPr>
                <w:rFonts w:ascii="Times New Roman" w:hAnsi="Times New Roman" w:cs="Times New Roman"/>
                <w:b/>
                <w:sz w:val="24"/>
                <w:szCs w:val="24"/>
              </w:rPr>
              <w:t>Severity of Loss</w:t>
            </w:r>
          </w:p>
        </w:tc>
      </w:tr>
      <w:tr w:rsidR="004D6E4A" w14:paraId="10B1A81F" w14:textId="77777777" w:rsidTr="00554A01">
        <w:tc>
          <w:tcPr>
            <w:tcW w:w="4675" w:type="dxa"/>
          </w:tcPr>
          <w:p w14:paraId="39A2ABBF" w14:textId="77777777" w:rsidR="004D6E4A" w:rsidRPr="00EC4B5A" w:rsidRDefault="004D6E4A" w:rsidP="00554A01">
            <w:pPr>
              <w:spacing w:line="480" w:lineRule="auto"/>
              <w:jc w:val="center"/>
              <w:rPr>
                <w:rFonts w:ascii="Times New Roman" w:hAnsi="Times New Roman" w:cs="Times New Roman"/>
                <w:sz w:val="24"/>
                <w:szCs w:val="24"/>
              </w:rPr>
            </w:pPr>
            <w:r w:rsidRPr="00EC4B5A">
              <w:rPr>
                <w:rFonts w:ascii="Times New Roman" w:hAnsi="Times New Roman" w:cs="Times New Roman"/>
                <w:sz w:val="24"/>
                <w:szCs w:val="24"/>
              </w:rPr>
              <w:t>Seepage</w:t>
            </w:r>
          </w:p>
        </w:tc>
        <w:tc>
          <w:tcPr>
            <w:tcW w:w="4675" w:type="dxa"/>
          </w:tcPr>
          <w:p w14:paraId="30A3A304" w14:textId="77777777" w:rsidR="004D6E4A" w:rsidRPr="00EC4B5A" w:rsidRDefault="004D6E4A" w:rsidP="00554A01">
            <w:pPr>
              <w:spacing w:line="480" w:lineRule="auto"/>
              <w:jc w:val="center"/>
              <w:rPr>
                <w:rFonts w:ascii="Times New Roman" w:hAnsi="Times New Roman" w:cs="Times New Roman"/>
                <w:sz w:val="24"/>
                <w:szCs w:val="24"/>
              </w:rPr>
            </w:pPr>
            <w:r>
              <w:rPr>
                <w:rFonts w:ascii="Times New Roman" w:hAnsi="Times New Roman" w:cs="Times New Roman"/>
                <w:sz w:val="24"/>
                <w:szCs w:val="24"/>
              </w:rPr>
              <w:t>Less than 1.6 m</w:t>
            </w:r>
            <w:r w:rsidRPr="00EC4B5A">
              <w:rPr>
                <w:rFonts w:ascii="Times New Roman" w:hAnsi="Times New Roman" w:cs="Times New Roman"/>
                <w:sz w:val="24"/>
                <w:szCs w:val="24"/>
                <w:vertAlign w:val="superscript"/>
              </w:rPr>
              <w:t>3</w:t>
            </w:r>
            <w:r>
              <w:rPr>
                <w:rFonts w:ascii="Times New Roman" w:hAnsi="Times New Roman" w:cs="Times New Roman"/>
                <w:sz w:val="24"/>
                <w:szCs w:val="24"/>
              </w:rPr>
              <w:t>/h [10 bbl/h]</w:t>
            </w:r>
          </w:p>
        </w:tc>
      </w:tr>
      <w:tr w:rsidR="004D6E4A" w14:paraId="76DC112F" w14:textId="77777777" w:rsidTr="00554A01">
        <w:tc>
          <w:tcPr>
            <w:tcW w:w="4675" w:type="dxa"/>
          </w:tcPr>
          <w:p w14:paraId="0A8B74AC" w14:textId="77777777" w:rsidR="004D6E4A" w:rsidRPr="00EC4B5A" w:rsidRDefault="004D6E4A" w:rsidP="00554A01">
            <w:pPr>
              <w:spacing w:line="480" w:lineRule="auto"/>
              <w:jc w:val="center"/>
              <w:rPr>
                <w:rFonts w:ascii="Times New Roman" w:hAnsi="Times New Roman" w:cs="Times New Roman"/>
                <w:sz w:val="24"/>
                <w:szCs w:val="24"/>
              </w:rPr>
            </w:pPr>
            <w:r w:rsidRPr="00EC4B5A">
              <w:rPr>
                <w:rFonts w:ascii="Times New Roman" w:hAnsi="Times New Roman" w:cs="Times New Roman"/>
                <w:sz w:val="24"/>
                <w:szCs w:val="24"/>
              </w:rPr>
              <w:t>Partial</w:t>
            </w:r>
          </w:p>
        </w:tc>
        <w:tc>
          <w:tcPr>
            <w:tcW w:w="4675" w:type="dxa"/>
          </w:tcPr>
          <w:p w14:paraId="2307A1EF" w14:textId="77777777" w:rsidR="004D6E4A" w:rsidRPr="00EC4B5A" w:rsidRDefault="004D6E4A" w:rsidP="00554A01">
            <w:pPr>
              <w:spacing w:line="480" w:lineRule="auto"/>
              <w:jc w:val="center"/>
              <w:rPr>
                <w:rFonts w:ascii="Times New Roman" w:hAnsi="Times New Roman" w:cs="Times New Roman"/>
                <w:sz w:val="24"/>
                <w:szCs w:val="24"/>
              </w:rPr>
            </w:pPr>
            <w:r>
              <w:rPr>
                <w:rFonts w:ascii="Times New Roman" w:hAnsi="Times New Roman" w:cs="Times New Roman"/>
                <w:sz w:val="24"/>
                <w:szCs w:val="24"/>
              </w:rPr>
              <w:t>1.6 to 16 m</w:t>
            </w:r>
            <w:r w:rsidRPr="00EC4B5A">
              <w:rPr>
                <w:rFonts w:ascii="Times New Roman" w:hAnsi="Times New Roman" w:cs="Times New Roman"/>
                <w:sz w:val="24"/>
                <w:szCs w:val="24"/>
                <w:vertAlign w:val="superscript"/>
              </w:rPr>
              <w:t>3</w:t>
            </w:r>
            <w:r>
              <w:rPr>
                <w:rFonts w:ascii="Times New Roman" w:hAnsi="Times New Roman" w:cs="Times New Roman"/>
                <w:sz w:val="24"/>
                <w:szCs w:val="24"/>
              </w:rPr>
              <w:t>/h [10 to 100 bbl/h]</w:t>
            </w:r>
          </w:p>
        </w:tc>
      </w:tr>
      <w:tr w:rsidR="004D6E4A" w14:paraId="732C94E7" w14:textId="77777777" w:rsidTr="00554A01">
        <w:tc>
          <w:tcPr>
            <w:tcW w:w="4675" w:type="dxa"/>
          </w:tcPr>
          <w:p w14:paraId="738C1D39" w14:textId="77777777" w:rsidR="004D6E4A" w:rsidRPr="00EC4B5A" w:rsidRDefault="004D6E4A" w:rsidP="00554A01">
            <w:pPr>
              <w:spacing w:line="480" w:lineRule="auto"/>
              <w:jc w:val="center"/>
              <w:rPr>
                <w:rFonts w:ascii="Times New Roman" w:hAnsi="Times New Roman" w:cs="Times New Roman"/>
                <w:sz w:val="24"/>
                <w:szCs w:val="24"/>
              </w:rPr>
            </w:pPr>
            <w:r w:rsidRPr="00EC4B5A">
              <w:rPr>
                <w:rFonts w:ascii="Times New Roman" w:hAnsi="Times New Roman" w:cs="Times New Roman"/>
                <w:sz w:val="24"/>
                <w:szCs w:val="24"/>
              </w:rPr>
              <w:t>Severe</w:t>
            </w:r>
          </w:p>
        </w:tc>
        <w:tc>
          <w:tcPr>
            <w:tcW w:w="4675" w:type="dxa"/>
          </w:tcPr>
          <w:p w14:paraId="614A1C4D" w14:textId="77777777" w:rsidR="004D6E4A" w:rsidRPr="00EC4B5A" w:rsidRDefault="004D6E4A" w:rsidP="00554A01">
            <w:pPr>
              <w:spacing w:line="480" w:lineRule="auto"/>
              <w:jc w:val="center"/>
              <w:rPr>
                <w:rFonts w:ascii="Times New Roman" w:hAnsi="Times New Roman" w:cs="Times New Roman"/>
                <w:sz w:val="24"/>
                <w:szCs w:val="24"/>
              </w:rPr>
            </w:pPr>
            <w:r>
              <w:rPr>
                <w:rFonts w:ascii="Times New Roman" w:hAnsi="Times New Roman" w:cs="Times New Roman"/>
                <w:sz w:val="24"/>
                <w:szCs w:val="24"/>
              </w:rPr>
              <w:t>More than 16 m</w:t>
            </w:r>
            <w:r w:rsidRPr="00EC4B5A">
              <w:rPr>
                <w:rFonts w:ascii="Times New Roman" w:hAnsi="Times New Roman" w:cs="Times New Roman"/>
                <w:sz w:val="24"/>
                <w:szCs w:val="24"/>
                <w:vertAlign w:val="superscript"/>
              </w:rPr>
              <w:t>3</w:t>
            </w:r>
            <w:r>
              <w:rPr>
                <w:rFonts w:ascii="Times New Roman" w:hAnsi="Times New Roman" w:cs="Times New Roman"/>
                <w:sz w:val="24"/>
                <w:szCs w:val="24"/>
              </w:rPr>
              <w:t>/h</w:t>
            </w:r>
          </w:p>
        </w:tc>
      </w:tr>
      <w:tr w:rsidR="004D6E4A" w14:paraId="0F219832" w14:textId="77777777" w:rsidTr="00554A01">
        <w:tc>
          <w:tcPr>
            <w:tcW w:w="4675" w:type="dxa"/>
          </w:tcPr>
          <w:p w14:paraId="10596772" w14:textId="77777777" w:rsidR="004D6E4A" w:rsidRPr="00EC4B5A" w:rsidRDefault="004D6E4A" w:rsidP="00554A01">
            <w:pPr>
              <w:spacing w:line="480" w:lineRule="auto"/>
              <w:jc w:val="center"/>
              <w:rPr>
                <w:rFonts w:ascii="Times New Roman" w:hAnsi="Times New Roman" w:cs="Times New Roman"/>
                <w:sz w:val="24"/>
                <w:szCs w:val="24"/>
              </w:rPr>
            </w:pPr>
            <w:r w:rsidRPr="00EC4B5A">
              <w:rPr>
                <w:rFonts w:ascii="Times New Roman" w:hAnsi="Times New Roman" w:cs="Times New Roman"/>
                <w:sz w:val="24"/>
                <w:szCs w:val="24"/>
              </w:rPr>
              <w:t>Total</w:t>
            </w:r>
          </w:p>
        </w:tc>
        <w:tc>
          <w:tcPr>
            <w:tcW w:w="4675" w:type="dxa"/>
          </w:tcPr>
          <w:p w14:paraId="50E227E7" w14:textId="77777777" w:rsidR="004D6E4A" w:rsidRPr="00EC4B5A" w:rsidRDefault="004D6E4A" w:rsidP="00554A01">
            <w:pPr>
              <w:spacing w:line="480" w:lineRule="auto"/>
              <w:jc w:val="center"/>
              <w:rPr>
                <w:rFonts w:ascii="Times New Roman" w:hAnsi="Times New Roman" w:cs="Times New Roman"/>
                <w:sz w:val="24"/>
                <w:szCs w:val="24"/>
              </w:rPr>
            </w:pPr>
            <w:r>
              <w:rPr>
                <w:rFonts w:ascii="Times New Roman" w:hAnsi="Times New Roman" w:cs="Times New Roman"/>
                <w:sz w:val="24"/>
                <w:szCs w:val="24"/>
              </w:rPr>
              <w:t>No fluid return to the surface</w:t>
            </w:r>
          </w:p>
        </w:tc>
      </w:tr>
    </w:tbl>
    <w:p w14:paraId="16D87063" w14:textId="77777777" w:rsidR="0025438C" w:rsidRDefault="0025438C" w:rsidP="0025438C">
      <w:pPr>
        <w:spacing w:line="480" w:lineRule="auto"/>
        <w:rPr>
          <w:rFonts w:ascii="Times New Roman" w:hAnsi="Times New Roman" w:cs="Times New Roman"/>
          <w:sz w:val="24"/>
          <w:szCs w:val="24"/>
        </w:rPr>
      </w:pPr>
    </w:p>
    <w:p w14:paraId="085C3E9D" w14:textId="77777777" w:rsidR="00737D35" w:rsidRDefault="00737D35" w:rsidP="0025438C">
      <w:pPr>
        <w:spacing w:line="480" w:lineRule="auto"/>
        <w:rPr>
          <w:rFonts w:ascii="Times New Roman" w:hAnsi="Times New Roman" w:cs="Times New Roman"/>
          <w:sz w:val="24"/>
          <w:szCs w:val="24"/>
        </w:rPr>
      </w:pPr>
      <w:r>
        <w:rPr>
          <w:rFonts w:ascii="Times New Roman" w:hAnsi="Times New Roman" w:cs="Times New Roman"/>
          <w:sz w:val="24"/>
          <w:szCs w:val="24"/>
        </w:rPr>
        <w:t>Due to the high cost implications of lost circulation, it is crucial to take preventive and remedial actions to control the losses</w:t>
      </w:r>
      <w:r w:rsidR="00871532">
        <w:rPr>
          <w:rFonts w:ascii="Times New Roman" w:hAnsi="Times New Roman" w:cs="Times New Roman"/>
          <w:sz w:val="24"/>
          <w:szCs w:val="24"/>
        </w:rPr>
        <w:t>. Although it is preferable to complete stop lost circulation during drilling, it is not always possible or required. Lost circulations are much easier to prevent than cure. An advanced controlled of the lost circulation</w:t>
      </w:r>
      <w:r w:rsidR="006B4687">
        <w:rPr>
          <w:rFonts w:ascii="Times New Roman" w:hAnsi="Times New Roman" w:cs="Times New Roman"/>
          <w:sz w:val="24"/>
          <w:szCs w:val="24"/>
        </w:rPr>
        <w:t>, allows the drilling operation to continue while maintaining a full wellbore and preventing gas influx.</w:t>
      </w:r>
      <w:r w:rsidR="0022089D">
        <w:rPr>
          <w:rFonts w:ascii="Times New Roman" w:hAnsi="Times New Roman" w:cs="Times New Roman"/>
          <w:sz w:val="24"/>
          <w:szCs w:val="24"/>
        </w:rPr>
        <w:t xml:space="preserve"> </w:t>
      </w:r>
      <w:r w:rsidR="007C6211">
        <w:rPr>
          <w:rFonts w:ascii="Times New Roman" w:hAnsi="Times New Roman" w:cs="Times New Roman"/>
          <w:sz w:val="24"/>
          <w:szCs w:val="24"/>
        </w:rPr>
        <w:t xml:space="preserve">There two major types of treatment:  a remedial treatment, which refers to actions taken to cure loss when it has already occurred and </w:t>
      </w:r>
      <w:r w:rsidR="006C6D91">
        <w:rPr>
          <w:rFonts w:ascii="Times New Roman" w:hAnsi="Times New Roman" w:cs="Times New Roman"/>
          <w:sz w:val="24"/>
          <w:szCs w:val="24"/>
        </w:rPr>
        <w:lastRenderedPageBreak/>
        <w:t xml:space="preserve">preventive treatment that refers to taking actions when a loss zone is anticipated. </w:t>
      </w:r>
      <w:r w:rsidR="0022089D" w:rsidRPr="00FB571C">
        <w:rPr>
          <w:rFonts w:ascii="Times New Roman" w:hAnsi="Times New Roman" w:cs="Times New Roman"/>
          <w:b/>
          <w:bCs/>
          <w:sz w:val="24"/>
          <w:szCs w:val="24"/>
        </w:rPr>
        <w:t xml:space="preserve">Figure </w:t>
      </w:r>
      <w:r w:rsidR="00D26835">
        <w:rPr>
          <w:rFonts w:ascii="Times New Roman" w:hAnsi="Times New Roman" w:cs="Times New Roman"/>
          <w:b/>
          <w:bCs/>
          <w:sz w:val="24"/>
          <w:szCs w:val="24"/>
        </w:rPr>
        <w:t xml:space="preserve">8 </w:t>
      </w:r>
      <w:r w:rsidR="0022089D">
        <w:rPr>
          <w:rFonts w:ascii="Times New Roman" w:hAnsi="Times New Roman" w:cs="Times New Roman"/>
          <w:sz w:val="24"/>
          <w:szCs w:val="24"/>
        </w:rPr>
        <w:t>illustrates some potential lost circulation treatment methods.</w:t>
      </w:r>
    </w:p>
    <w:p w14:paraId="55DACCCC" w14:textId="77777777" w:rsidR="005144E2" w:rsidRDefault="00BC5164" w:rsidP="005144E2">
      <w:pPr>
        <w:jc w:val="center"/>
      </w:pPr>
      <w:r>
        <w:rPr>
          <w:noProof/>
        </w:rPr>
        <w:drawing>
          <wp:inline distT="0" distB="0" distL="0" distR="0" wp14:anchorId="07E2B9C9" wp14:editId="1FFDFBF5">
            <wp:extent cx="5762625" cy="419100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b="8333"/>
                    <a:stretch/>
                  </pic:blipFill>
                  <pic:spPr bwMode="auto">
                    <a:xfrm>
                      <a:off x="0" y="0"/>
                      <a:ext cx="5762625" cy="4191000"/>
                    </a:xfrm>
                    <a:prstGeom prst="rect">
                      <a:avLst/>
                    </a:prstGeom>
                    <a:ln>
                      <a:noFill/>
                    </a:ln>
                    <a:extLst>
                      <a:ext uri="{53640926-AAD7-44D8-BBD7-CCE9431645EC}">
                        <a14:shadowObscured xmlns:a14="http://schemas.microsoft.com/office/drawing/2010/main"/>
                      </a:ext>
                    </a:extLst>
                  </pic:spPr>
                </pic:pic>
              </a:graphicData>
            </a:graphic>
          </wp:inline>
        </w:drawing>
      </w:r>
    </w:p>
    <w:p w14:paraId="45EF9E0D" w14:textId="47A7A16A" w:rsidR="006C5352" w:rsidRDefault="00D26835" w:rsidP="00D26835">
      <w:pPr>
        <w:pStyle w:val="Caption"/>
      </w:pPr>
      <w:bookmarkStart w:id="34" w:name="_Toc37087751"/>
      <w:r>
        <w:t xml:space="preserve">Figure </w:t>
      </w:r>
      <w:fldSimple w:instr=" SEQ Figure \* ARABIC ">
        <w:r w:rsidR="0092747F">
          <w:rPr>
            <w:noProof/>
          </w:rPr>
          <w:t>8</w:t>
        </w:r>
      </w:fldSimple>
      <w:r>
        <w:rPr>
          <w:bCs/>
        </w:rPr>
        <w:t>-</w:t>
      </w:r>
      <w:r w:rsidR="000C0CE0">
        <w:t xml:space="preserve"> Most common lost circulation treatment actions (Ezeakacha 2019, Konate et al. 2019, Frates et al. 2014</w:t>
      </w:r>
      <w:r w:rsidR="00C716BA">
        <w:t>, Magzoub et al. 2019</w:t>
      </w:r>
      <w:r w:rsidR="000C0CE0">
        <w:t>)</w:t>
      </w:r>
      <w:bookmarkEnd w:id="34"/>
    </w:p>
    <w:p w14:paraId="148F40CD" w14:textId="77777777" w:rsidR="00995230" w:rsidRPr="00995230" w:rsidRDefault="00995230" w:rsidP="005D1B8D">
      <w:pPr>
        <w:spacing w:line="480" w:lineRule="auto"/>
        <w:rPr>
          <w:rFonts w:ascii="Times New Roman" w:hAnsi="Times New Roman" w:cs="Times New Roman"/>
          <w:sz w:val="24"/>
          <w:szCs w:val="24"/>
        </w:rPr>
      </w:pPr>
      <w:r>
        <w:rPr>
          <w:rFonts w:ascii="Times New Roman" w:hAnsi="Times New Roman" w:cs="Times New Roman"/>
          <w:sz w:val="24"/>
          <w:szCs w:val="24"/>
        </w:rPr>
        <w:t>Three of the most common treatment methods include</w:t>
      </w:r>
      <w:r w:rsidR="00A6503D">
        <w:rPr>
          <w:rFonts w:ascii="Times New Roman" w:hAnsi="Times New Roman" w:cs="Times New Roman"/>
          <w:sz w:val="24"/>
          <w:szCs w:val="24"/>
        </w:rPr>
        <w:t>:</w:t>
      </w:r>
      <w:r>
        <w:rPr>
          <w:rFonts w:ascii="Times New Roman" w:hAnsi="Times New Roman" w:cs="Times New Roman"/>
          <w:sz w:val="24"/>
          <w:szCs w:val="24"/>
        </w:rPr>
        <w:t xml:space="preserve"> the use of lost circulation materials</w:t>
      </w:r>
      <w:r w:rsidR="00340A46">
        <w:rPr>
          <w:rFonts w:ascii="Times New Roman" w:hAnsi="Times New Roman" w:cs="Times New Roman"/>
          <w:sz w:val="24"/>
          <w:szCs w:val="24"/>
        </w:rPr>
        <w:t>, settable materials, and a combination of the previous t</w:t>
      </w:r>
      <w:r w:rsidR="00E2385D">
        <w:rPr>
          <w:rFonts w:ascii="Times New Roman" w:hAnsi="Times New Roman" w:cs="Times New Roman"/>
          <w:sz w:val="24"/>
          <w:szCs w:val="24"/>
        </w:rPr>
        <w:t>wo.</w:t>
      </w:r>
      <w:r>
        <w:rPr>
          <w:rFonts w:ascii="Times New Roman" w:hAnsi="Times New Roman" w:cs="Times New Roman"/>
          <w:sz w:val="24"/>
          <w:szCs w:val="24"/>
        </w:rPr>
        <w:t xml:space="preserve"> </w:t>
      </w:r>
      <w:r w:rsidR="00E2385D">
        <w:rPr>
          <w:rFonts w:ascii="Times New Roman" w:hAnsi="Times New Roman" w:cs="Times New Roman"/>
          <w:sz w:val="24"/>
          <w:szCs w:val="24"/>
        </w:rPr>
        <w:t>Lost circulation materials include but not limited</w:t>
      </w:r>
      <w:r w:rsidR="006317EE">
        <w:rPr>
          <w:rFonts w:ascii="Times New Roman" w:hAnsi="Times New Roman" w:cs="Times New Roman"/>
          <w:sz w:val="24"/>
          <w:szCs w:val="24"/>
        </w:rPr>
        <w:t xml:space="preserve"> to</w:t>
      </w:r>
      <w:r>
        <w:rPr>
          <w:rFonts w:ascii="Times New Roman" w:hAnsi="Times New Roman" w:cs="Times New Roman"/>
          <w:sz w:val="24"/>
          <w:szCs w:val="24"/>
        </w:rPr>
        <w:t xml:space="preserve"> fibrous fiber, nanoparticles, and swellable materials. </w:t>
      </w:r>
      <w:r w:rsidR="006317EE">
        <w:rPr>
          <w:rFonts w:ascii="Times New Roman" w:hAnsi="Times New Roman" w:cs="Times New Roman"/>
          <w:sz w:val="24"/>
          <w:szCs w:val="24"/>
        </w:rPr>
        <w:t>Fibrous fiber (c</w:t>
      </w:r>
      <w:r>
        <w:rPr>
          <w:rFonts w:ascii="Times New Roman" w:hAnsi="Times New Roman" w:cs="Times New Roman"/>
          <w:sz w:val="24"/>
          <w:szCs w:val="24"/>
        </w:rPr>
        <w:t>edar fiber</w:t>
      </w:r>
      <w:r w:rsidR="006317EE">
        <w:rPr>
          <w:rFonts w:ascii="Times New Roman" w:hAnsi="Times New Roman" w:cs="Times New Roman"/>
          <w:sz w:val="24"/>
          <w:szCs w:val="24"/>
        </w:rPr>
        <w:t>)</w:t>
      </w:r>
      <w:r>
        <w:rPr>
          <w:rFonts w:ascii="Times New Roman" w:hAnsi="Times New Roman" w:cs="Times New Roman"/>
          <w:sz w:val="24"/>
          <w:szCs w:val="24"/>
        </w:rPr>
        <w:t xml:space="preserve"> remains one of the most used lost circulation materials in fractured shale formations</w:t>
      </w:r>
      <w:r w:rsidR="00612253">
        <w:rPr>
          <w:rFonts w:ascii="Times New Roman" w:hAnsi="Times New Roman" w:cs="Times New Roman"/>
          <w:sz w:val="24"/>
          <w:szCs w:val="24"/>
        </w:rPr>
        <w:t xml:space="preserve"> due their stability at </w:t>
      </w:r>
      <w:r w:rsidR="00B779FE">
        <w:rPr>
          <w:rFonts w:ascii="Times New Roman" w:hAnsi="Times New Roman" w:cs="Times New Roman"/>
          <w:sz w:val="24"/>
          <w:szCs w:val="24"/>
        </w:rPr>
        <w:t>high temperature</w:t>
      </w:r>
      <w:r w:rsidR="00612253">
        <w:rPr>
          <w:rFonts w:ascii="Times New Roman" w:hAnsi="Times New Roman" w:cs="Times New Roman"/>
          <w:sz w:val="24"/>
          <w:szCs w:val="24"/>
        </w:rPr>
        <w:t>.</w:t>
      </w:r>
      <w:r w:rsidR="00B779FE">
        <w:rPr>
          <w:rFonts w:ascii="Times New Roman" w:hAnsi="Times New Roman" w:cs="Times New Roman"/>
          <w:sz w:val="24"/>
          <w:szCs w:val="24"/>
        </w:rPr>
        <w:t xml:space="preserve">  Settable materials consist of slurry systems that set at a desired location.</w:t>
      </w:r>
      <w:r w:rsidR="00615D5D">
        <w:rPr>
          <w:rFonts w:ascii="Times New Roman" w:hAnsi="Times New Roman" w:cs="Times New Roman"/>
          <w:sz w:val="24"/>
          <w:szCs w:val="24"/>
        </w:rPr>
        <w:t xml:space="preserve"> These materials generate a solid seal in the target zone where</w:t>
      </w:r>
      <w:r w:rsidR="00F13A5B">
        <w:rPr>
          <w:rFonts w:ascii="Times New Roman" w:hAnsi="Times New Roman" w:cs="Times New Roman"/>
          <w:sz w:val="24"/>
          <w:szCs w:val="24"/>
        </w:rPr>
        <w:t xml:space="preserve"> there is a chance of loss.</w:t>
      </w:r>
      <w:r w:rsidR="002D61AC">
        <w:rPr>
          <w:rFonts w:ascii="Times New Roman" w:hAnsi="Times New Roman" w:cs="Times New Roman"/>
          <w:sz w:val="24"/>
          <w:szCs w:val="24"/>
        </w:rPr>
        <w:t xml:space="preserve"> Some of the most common settable materials include but not limited to cement and cross-linked polymers.</w:t>
      </w:r>
      <w:r w:rsidR="00695A4C">
        <w:rPr>
          <w:rFonts w:ascii="Times New Roman" w:hAnsi="Times New Roman" w:cs="Times New Roman"/>
          <w:sz w:val="24"/>
          <w:szCs w:val="24"/>
        </w:rPr>
        <w:t xml:space="preserve"> Magzoub et al. (2019) evaluated the effectiveness of cross-linked polymer in sealing </w:t>
      </w:r>
      <w:r w:rsidR="00695A4C">
        <w:rPr>
          <w:rFonts w:ascii="Times New Roman" w:hAnsi="Times New Roman" w:cs="Times New Roman"/>
          <w:sz w:val="24"/>
          <w:szCs w:val="24"/>
        </w:rPr>
        <w:lastRenderedPageBreak/>
        <w:t>fractured zones.</w:t>
      </w:r>
      <w:r w:rsidR="00C51822">
        <w:rPr>
          <w:rFonts w:ascii="Times New Roman" w:hAnsi="Times New Roman" w:cs="Times New Roman"/>
          <w:sz w:val="24"/>
          <w:szCs w:val="24"/>
        </w:rPr>
        <w:t xml:space="preserve"> Their study showed that cross-linked polymers are very effective in sealing wide fractures and where temperature varies a lot</w:t>
      </w:r>
      <w:r w:rsidR="00135655">
        <w:rPr>
          <w:rFonts w:ascii="Times New Roman" w:hAnsi="Times New Roman" w:cs="Times New Roman"/>
          <w:sz w:val="24"/>
          <w:szCs w:val="24"/>
        </w:rPr>
        <w:t xml:space="preserve"> making them suitable for shale formations.</w:t>
      </w:r>
      <w:r w:rsidR="00600B4E">
        <w:rPr>
          <w:rFonts w:ascii="Times New Roman" w:hAnsi="Times New Roman" w:cs="Times New Roman"/>
          <w:sz w:val="24"/>
          <w:szCs w:val="24"/>
        </w:rPr>
        <w:t xml:space="preserve"> </w:t>
      </w:r>
      <w:r w:rsidR="00B44478">
        <w:rPr>
          <w:rFonts w:ascii="Times New Roman" w:hAnsi="Times New Roman" w:cs="Times New Roman"/>
          <w:sz w:val="24"/>
          <w:szCs w:val="24"/>
        </w:rPr>
        <w:t>One primary requirement for settable materials is that their slurries must be easily pumpable.</w:t>
      </w:r>
      <w:r w:rsidR="00B779FE">
        <w:rPr>
          <w:rFonts w:ascii="Times New Roman" w:hAnsi="Times New Roman" w:cs="Times New Roman"/>
          <w:sz w:val="24"/>
          <w:szCs w:val="24"/>
        </w:rPr>
        <w:t xml:space="preserve"> </w:t>
      </w:r>
    </w:p>
    <w:p w14:paraId="56B5B769" w14:textId="77777777" w:rsidR="003F5B26" w:rsidRDefault="003F5B26" w:rsidP="003F5B26">
      <w:pPr>
        <w:pStyle w:val="Heading2"/>
        <w:numPr>
          <w:ilvl w:val="1"/>
          <w:numId w:val="15"/>
        </w:numPr>
      </w:pPr>
      <w:bookmarkStart w:id="35" w:name="_Toc39751588"/>
      <w:r>
        <w:t>Clays Characterization</w:t>
      </w:r>
      <w:bookmarkEnd w:id="35"/>
    </w:p>
    <w:p w14:paraId="144A272A" w14:textId="77777777" w:rsidR="004A07D0" w:rsidRDefault="004A07D0" w:rsidP="0025438C">
      <w:pPr>
        <w:spacing w:line="480" w:lineRule="auto"/>
        <w:rPr>
          <w:rFonts w:ascii="Times New Roman" w:hAnsi="Times New Roman" w:cs="Times New Roman"/>
          <w:sz w:val="24"/>
          <w:szCs w:val="24"/>
        </w:rPr>
      </w:pPr>
      <w:r>
        <w:rPr>
          <w:rFonts w:ascii="Times New Roman" w:hAnsi="Times New Roman" w:cs="Times New Roman"/>
          <w:sz w:val="24"/>
          <w:szCs w:val="24"/>
        </w:rPr>
        <w:t>Understanding clay</w:t>
      </w:r>
      <w:r w:rsidR="008527C0">
        <w:rPr>
          <w:rFonts w:ascii="Times New Roman" w:hAnsi="Times New Roman" w:cs="Times New Roman"/>
          <w:sz w:val="24"/>
          <w:szCs w:val="24"/>
        </w:rPr>
        <w:t xml:space="preserve"> characterization plays a major role in controlling wellbore instability in most reactive shales. There is a high correlation between the clay type and the wellbore instability.it is generally reported that the nature or type of clay minerals in shale formations is a primary cause of instability. Currently, the volume expansion (swelling) of most reactive clays is considered as one of the leading cause</w:t>
      </w:r>
      <w:r w:rsidR="0048396C">
        <w:rPr>
          <w:rFonts w:ascii="Times New Roman" w:hAnsi="Times New Roman" w:cs="Times New Roman"/>
          <w:sz w:val="24"/>
          <w:szCs w:val="24"/>
        </w:rPr>
        <w:t>s</w:t>
      </w:r>
      <w:r w:rsidR="008527C0">
        <w:rPr>
          <w:rFonts w:ascii="Times New Roman" w:hAnsi="Times New Roman" w:cs="Times New Roman"/>
          <w:sz w:val="24"/>
          <w:szCs w:val="24"/>
        </w:rPr>
        <w:t xml:space="preserve"> of instability. </w:t>
      </w:r>
      <w:r w:rsidR="0048396C">
        <w:rPr>
          <w:rFonts w:ascii="Times New Roman" w:hAnsi="Times New Roman" w:cs="Times New Roman"/>
          <w:sz w:val="24"/>
          <w:szCs w:val="24"/>
        </w:rPr>
        <w:t xml:space="preserve">O’Brien and Chenevert (1973) were some of the first researchers to study the relationship between wellbore instability and clay mineral composition. They characterized clay mineral in term of hardness, </w:t>
      </w:r>
      <w:r w:rsidR="00F12B02">
        <w:rPr>
          <w:rFonts w:ascii="Times New Roman" w:hAnsi="Times New Roman" w:cs="Times New Roman"/>
          <w:sz w:val="24"/>
          <w:szCs w:val="24"/>
        </w:rPr>
        <w:t xml:space="preserve">tendency to hydrate, swelling tendency, and dispersion tendency. </w:t>
      </w:r>
      <w:r w:rsidR="003A4563">
        <w:rPr>
          <w:rFonts w:ascii="Times New Roman" w:hAnsi="Times New Roman" w:cs="Times New Roman"/>
          <w:sz w:val="24"/>
          <w:szCs w:val="24"/>
        </w:rPr>
        <w:t>Their study revealed that the most active clay minerals in causing wellbore instability include smectite, illite, and mixed clay (illite + smectite). Both kaolinite and chlorite were given a secondary importance, implying their inactivity in wellbore instability.</w:t>
      </w:r>
      <w:r w:rsidR="00374822">
        <w:rPr>
          <w:rFonts w:ascii="Times New Roman" w:hAnsi="Times New Roman" w:cs="Times New Roman"/>
          <w:sz w:val="24"/>
          <w:szCs w:val="24"/>
        </w:rPr>
        <w:t xml:space="preserve"> Their study revealed five (5) classes of shales (</w:t>
      </w:r>
      <w:r w:rsidR="00374822">
        <w:rPr>
          <w:rFonts w:ascii="Times New Roman" w:hAnsi="Times New Roman" w:cs="Times New Roman"/>
          <w:b/>
          <w:bCs/>
          <w:sz w:val="24"/>
          <w:szCs w:val="24"/>
        </w:rPr>
        <w:t>T</w:t>
      </w:r>
      <w:r w:rsidR="00374822" w:rsidRPr="00374822">
        <w:rPr>
          <w:rFonts w:ascii="Times New Roman" w:hAnsi="Times New Roman" w:cs="Times New Roman"/>
          <w:b/>
          <w:bCs/>
          <w:sz w:val="24"/>
          <w:szCs w:val="24"/>
        </w:rPr>
        <w:t xml:space="preserve">able </w:t>
      </w:r>
      <w:r w:rsidR="00737D35">
        <w:rPr>
          <w:rFonts w:ascii="Times New Roman" w:hAnsi="Times New Roman" w:cs="Times New Roman"/>
          <w:b/>
          <w:bCs/>
          <w:sz w:val="24"/>
          <w:szCs w:val="24"/>
        </w:rPr>
        <w:t>4</w:t>
      </w:r>
      <w:r w:rsidR="00374822">
        <w:rPr>
          <w:rFonts w:ascii="Times New Roman" w:hAnsi="Times New Roman" w:cs="Times New Roman"/>
          <w:sz w:val="24"/>
          <w:szCs w:val="24"/>
        </w:rPr>
        <w:t>).</w:t>
      </w:r>
      <w:r w:rsidR="000D1075">
        <w:rPr>
          <w:rFonts w:ascii="Times New Roman" w:hAnsi="Times New Roman" w:cs="Times New Roman"/>
          <w:sz w:val="24"/>
          <w:szCs w:val="24"/>
        </w:rPr>
        <w:t xml:space="preserve"> Class 1 shale is mostly dominated by smectite and present the highest affinity </w:t>
      </w:r>
      <w:r w:rsidR="005E2469">
        <w:rPr>
          <w:rFonts w:ascii="Times New Roman" w:hAnsi="Times New Roman" w:cs="Times New Roman"/>
          <w:sz w:val="24"/>
          <w:szCs w:val="24"/>
        </w:rPr>
        <w:t>and shows high swelling and dispersion tendency. Class 2 shale is reported to be fairly dispersive with low swelling tendency due to a combination of high illite fairly high smectite. Shale dominated by mixed layer clay and chlorite (class 3) less dispersive shows lower swelling tendency. Hard shales (class 4 and 5) shows very low to little dispersion</w:t>
      </w:r>
    </w:p>
    <w:p w14:paraId="7BCD3EEF" w14:textId="77777777" w:rsidR="001F5895" w:rsidRDefault="001F5895" w:rsidP="004F5994">
      <w:pPr>
        <w:pStyle w:val="Caption"/>
      </w:pPr>
    </w:p>
    <w:p w14:paraId="0BF45E5F" w14:textId="77777777" w:rsidR="001F5895" w:rsidRDefault="001F5895" w:rsidP="004F5994">
      <w:pPr>
        <w:pStyle w:val="Caption"/>
      </w:pPr>
    </w:p>
    <w:p w14:paraId="38D52C9E" w14:textId="77777777" w:rsidR="001F5895" w:rsidRDefault="001F5895" w:rsidP="004F5994">
      <w:pPr>
        <w:pStyle w:val="Caption"/>
      </w:pPr>
    </w:p>
    <w:p w14:paraId="651D7586" w14:textId="77777777" w:rsidR="001F5895" w:rsidRDefault="001F5895" w:rsidP="004F5994">
      <w:pPr>
        <w:pStyle w:val="Caption"/>
      </w:pPr>
    </w:p>
    <w:p w14:paraId="36328480" w14:textId="4C773AAF" w:rsidR="007A32B6" w:rsidRPr="00AF2241" w:rsidRDefault="00C724F7" w:rsidP="004F5994">
      <w:pPr>
        <w:pStyle w:val="Caption"/>
      </w:pPr>
      <w:hyperlink w:anchor="_List_of_tables" w:history="1">
        <w:bookmarkStart w:id="36" w:name="_Toc37087881"/>
        <w:r w:rsidR="004F5994">
          <w:t xml:space="preserve">Table </w:t>
        </w:r>
        <w:fldSimple w:instr=" SEQ Table \* ARABIC ">
          <w:r w:rsidR="0092747F">
            <w:rPr>
              <w:noProof/>
            </w:rPr>
            <w:t>4</w:t>
          </w:r>
        </w:fldSimple>
        <w:r w:rsidR="00BE624F" w:rsidRPr="00AF2241">
          <w:rPr>
            <w:rStyle w:val="Hyperlink"/>
            <w:bCs/>
            <w:color w:val="0D0D0D" w:themeColor="text1" w:themeTint="F2"/>
            <w:szCs w:val="24"/>
            <w:u w:val="none"/>
          </w:rPr>
          <w:t>-</w:t>
        </w:r>
        <w:r w:rsidR="007A32B6" w:rsidRPr="00AF2241">
          <w:rPr>
            <w:rStyle w:val="Hyperlink"/>
            <w:bCs/>
            <w:color w:val="0D0D0D" w:themeColor="text1" w:themeTint="F2"/>
            <w:szCs w:val="24"/>
            <w:u w:val="none"/>
          </w:rPr>
          <w:t>Problem</w:t>
        </w:r>
        <w:r w:rsidR="00047ABA" w:rsidRPr="00AF2241">
          <w:rPr>
            <w:rStyle w:val="Hyperlink"/>
            <w:bCs/>
            <w:color w:val="0D0D0D" w:themeColor="text1" w:themeTint="F2"/>
            <w:szCs w:val="24"/>
            <w:u w:val="none"/>
          </w:rPr>
          <w:t>atic</w:t>
        </w:r>
        <w:r w:rsidR="007A32B6" w:rsidRPr="00AF2241">
          <w:rPr>
            <w:rStyle w:val="Hyperlink"/>
            <w:bCs/>
            <w:color w:val="0D0D0D" w:themeColor="text1" w:themeTint="F2"/>
            <w:szCs w:val="24"/>
            <w:u w:val="none"/>
          </w:rPr>
          <w:t xml:space="preserve"> shale classification according to their </w:t>
        </w:r>
        <w:r w:rsidR="00AA0273" w:rsidRPr="00AF2241">
          <w:rPr>
            <w:rStyle w:val="Hyperlink"/>
            <w:bCs/>
            <w:color w:val="0D0D0D" w:themeColor="text1" w:themeTint="F2"/>
            <w:szCs w:val="24"/>
            <w:u w:val="none"/>
          </w:rPr>
          <w:t>characteristics and clay mineralogy (after O’Brien and Chenevert, 1973)</w:t>
        </w:r>
        <w:bookmarkEnd w:id="36"/>
      </w:hyperlink>
    </w:p>
    <w:tbl>
      <w:tblPr>
        <w:tblStyle w:val="TableGrid"/>
        <w:tblW w:w="10291" w:type="dxa"/>
        <w:jc w:val="center"/>
        <w:tblLook w:val="04A0" w:firstRow="1" w:lastRow="0" w:firstColumn="1" w:lastColumn="0" w:noHBand="0" w:noVBand="1"/>
      </w:tblPr>
      <w:tblGrid>
        <w:gridCol w:w="3429"/>
        <w:gridCol w:w="3431"/>
        <w:gridCol w:w="3431"/>
      </w:tblGrid>
      <w:tr w:rsidR="00374822" w14:paraId="156B6C9A" w14:textId="77777777" w:rsidTr="005E2469">
        <w:trPr>
          <w:trHeight w:val="450"/>
          <w:jc w:val="center"/>
        </w:trPr>
        <w:tc>
          <w:tcPr>
            <w:tcW w:w="3429" w:type="dxa"/>
          </w:tcPr>
          <w:p w14:paraId="4B11EEC7" w14:textId="77777777" w:rsidR="00374822" w:rsidRDefault="00374822" w:rsidP="00374822">
            <w:pPr>
              <w:jc w:val="center"/>
              <w:rPr>
                <w:rFonts w:ascii="Times New Roman" w:hAnsi="Times New Roman" w:cs="Times New Roman"/>
                <w:sz w:val="24"/>
                <w:szCs w:val="24"/>
              </w:rPr>
            </w:pPr>
            <w:r>
              <w:rPr>
                <w:rFonts w:ascii="Times New Roman" w:hAnsi="Times New Roman" w:cs="Times New Roman"/>
                <w:sz w:val="24"/>
                <w:szCs w:val="24"/>
              </w:rPr>
              <w:t>class</w:t>
            </w:r>
          </w:p>
        </w:tc>
        <w:tc>
          <w:tcPr>
            <w:tcW w:w="3431" w:type="dxa"/>
          </w:tcPr>
          <w:p w14:paraId="0A021EB0" w14:textId="77777777" w:rsidR="00374822" w:rsidRDefault="00374822" w:rsidP="00374822">
            <w:pPr>
              <w:jc w:val="center"/>
              <w:rPr>
                <w:rFonts w:ascii="Times New Roman" w:hAnsi="Times New Roman" w:cs="Times New Roman"/>
                <w:sz w:val="24"/>
                <w:szCs w:val="24"/>
              </w:rPr>
            </w:pPr>
            <w:r>
              <w:rPr>
                <w:rFonts w:ascii="Times New Roman" w:hAnsi="Times New Roman" w:cs="Times New Roman"/>
                <w:sz w:val="24"/>
                <w:szCs w:val="24"/>
              </w:rPr>
              <w:t>Characteristics</w:t>
            </w:r>
          </w:p>
        </w:tc>
        <w:tc>
          <w:tcPr>
            <w:tcW w:w="3431" w:type="dxa"/>
          </w:tcPr>
          <w:p w14:paraId="0E6009FA" w14:textId="77777777" w:rsidR="00374822" w:rsidRDefault="00374822" w:rsidP="00374822">
            <w:pPr>
              <w:jc w:val="center"/>
              <w:rPr>
                <w:rFonts w:ascii="Times New Roman" w:hAnsi="Times New Roman" w:cs="Times New Roman"/>
                <w:sz w:val="24"/>
                <w:szCs w:val="24"/>
              </w:rPr>
            </w:pPr>
            <w:r>
              <w:rPr>
                <w:rFonts w:ascii="Times New Roman" w:hAnsi="Times New Roman" w:cs="Times New Roman"/>
                <w:sz w:val="24"/>
                <w:szCs w:val="24"/>
              </w:rPr>
              <w:t>Clay minerals</w:t>
            </w:r>
          </w:p>
        </w:tc>
      </w:tr>
      <w:tr w:rsidR="00374822" w14:paraId="17B37677" w14:textId="77777777" w:rsidTr="005E2469">
        <w:trPr>
          <w:trHeight w:val="927"/>
          <w:jc w:val="center"/>
        </w:trPr>
        <w:tc>
          <w:tcPr>
            <w:tcW w:w="3429" w:type="dxa"/>
          </w:tcPr>
          <w:p w14:paraId="55320CF0" w14:textId="77777777" w:rsidR="00374822" w:rsidRDefault="008476CD" w:rsidP="008476CD">
            <w:pPr>
              <w:jc w:val="center"/>
              <w:rPr>
                <w:rFonts w:ascii="Times New Roman" w:hAnsi="Times New Roman" w:cs="Times New Roman"/>
                <w:sz w:val="24"/>
                <w:szCs w:val="24"/>
              </w:rPr>
            </w:pPr>
            <w:r>
              <w:rPr>
                <w:rFonts w:ascii="Times New Roman" w:hAnsi="Times New Roman" w:cs="Times New Roman"/>
                <w:sz w:val="24"/>
                <w:szCs w:val="24"/>
              </w:rPr>
              <w:t>1</w:t>
            </w:r>
          </w:p>
        </w:tc>
        <w:tc>
          <w:tcPr>
            <w:tcW w:w="3431" w:type="dxa"/>
          </w:tcPr>
          <w:p w14:paraId="7C27277A" w14:textId="77777777" w:rsidR="00374822" w:rsidRDefault="007A32B6" w:rsidP="007A32B6">
            <w:pPr>
              <w:jc w:val="center"/>
              <w:rPr>
                <w:rFonts w:ascii="Times New Roman" w:hAnsi="Times New Roman" w:cs="Times New Roman"/>
                <w:sz w:val="24"/>
                <w:szCs w:val="24"/>
              </w:rPr>
            </w:pPr>
            <w:r>
              <w:rPr>
                <w:rFonts w:ascii="Times New Roman" w:hAnsi="Times New Roman" w:cs="Times New Roman"/>
                <w:sz w:val="24"/>
                <w:szCs w:val="24"/>
              </w:rPr>
              <w:t>Soft, highly dispersive (gumbo). Mud making</w:t>
            </w:r>
          </w:p>
        </w:tc>
        <w:tc>
          <w:tcPr>
            <w:tcW w:w="3431" w:type="dxa"/>
          </w:tcPr>
          <w:p w14:paraId="052280CA" w14:textId="77777777" w:rsidR="00374822" w:rsidRDefault="007A32B6" w:rsidP="007A32B6">
            <w:pPr>
              <w:jc w:val="center"/>
              <w:rPr>
                <w:rFonts w:ascii="Times New Roman" w:hAnsi="Times New Roman" w:cs="Times New Roman"/>
                <w:sz w:val="24"/>
                <w:szCs w:val="24"/>
              </w:rPr>
            </w:pPr>
            <w:r>
              <w:rPr>
                <w:rFonts w:ascii="Times New Roman" w:hAnsi="Times New Roman" w:cs="Times New Roman"/>
                <w:sz w:val="24"/>
                <w:szCs w:val="24"/>
              </w:rPr>
              <w:t>High smectite, some illite</w:t>
            </w:r>
          </w:p>
        </w:tc>
      </w:tr>
      <w:tr w:rsidR="00374822" w14:paraId="04DF9281" w14:textId="77777777" w:rsidTr="005E2469">
        <w:trPr>
          <w:trHeight w:val="902"/>
          <w:jc w:val="center"/>
        </w:trPr>
        <w:tc>
          <w:tcPr>
            <w:tcW w:w="3429" w:type="dxa"/>
          </w:tcPr>
          <w:p w14:paraId="5AD465BB" w14:textId="77777777" w:rsidR="00374822" w:rsidRDefault="008476CD" w:rsidP="008476CD">
            <w:pPr>
              <w:jc w:val="center"/>
              <w:rPr>
                <w:rFonts w:ascii="Times New Roman" w:hAnsi="Times New Roman" w:cs="Times New Roman"/>
                <w:sz w:val="24"/>
                <w:szCs w:val="24"/>
              </w:rPr>
            </w:pPr>
            <w:r>
              <w:rPr>
                <w:rFonts w:ascii="Times New Roman" w:hAnsi="Times New Roman" w:cs="Times New Roman"/>
                <w:sz w:val="24"/>
                <w:szCs w:val="24"/>
              </w:rPr>
              <w:t>2</w:t>
            </w:r>
          </w:p>
        </w:tc>
        <w:tc>
          <w:tcPr>
            <w:tcW w:w="3431" w:type="dxa"/>
          </w:tcPr>
          <w:p w14:paraId="214FA11C" w14:textId="77777777" w:rsidR="00374822" w:rsidRDefault="007A32B6" w:rsidP="007A32B6">
            <w:pPr>
              <w:jc w:val="center"/>
              <w:rPr>
                <w:rFonts w:ascii="Times New Roman" w:hAnsi="Times New Roman" w:cs="Times New Roman"/>
                <w:sz w:val="24"/>
                <w:szCs w:val="24"/>
              </w:rPr>
            </w:pPr>
            <w:r>
              <w:rPr>
                <w:rFonts w:ascii="Times New Roman" w:hAnsi="Times New Roman" w:cs="Times New Roman"/>
                <w:sz w:val="24"/>
                <w:szCs w:val="24"/>
              </w:rPr>
              <w:t>Soft, fairly dispersive. Mud making</w:t>
            </w:r>
          </w:p>
        </w:tc>
        <w:tc>
          <w:tcPr>
            <w:tcW w:w="3431" w:type="dxa"/>
          </w:tcPr>
          <w:p w14:paraId="06E4716A" w14:textId="77777777" w:rsidR="00374822" w:rsidRDefault="007A32B6" w:rsidP="007A32B6">
            <w:pPr>
              <w:jc w:val="center"/>
              <w:rPr>
                <w:rFonts w:ascii="Times New Roman" w:hAnsi="Times New Roman" w:cs="Times New Roman"/>
                <w:sz w:val="24"/>
                <w:szCs w:val="24"/>
              </w:rPr>
            </w:pPr>
            <w:r>
              <w:rPr>
                <w:rFonts w:ascii="Times New Roman" w:hAnsi="Times New Roman" w:cs="Times New Roman"/>
                <w:sz w:val="24"/>
                <w:szCs w:val="24"/>
              </w:rPr>
              <w:t>High illite, fairly high smectite</w:t>
            </w:r>
          </w:p>
        </w:tc>
      </w:tr>
      <w:tr w:rsidR="00374822" w14:paraId="60C2AD40" w14:textId="77777777" w:rsidTr="005E2469">
        <w:trPr>
          <w:trHeight w:val="902"/>
          <w:jc w:val="center"/>
        </w:trPr>
        <w:tc>
          <w:tcPr>
            <w:tcW w:w="3429" w:type="dxa"/>
          </w:tcPr>
          <w:p w14:paraId="10040BAC" w14:textId="77777777" w:rsidR="00374822" w:rsidRDefault="008476CD" w:rsidP="008476CD">
            <w:pPr>
              <w:jc w:val="center"/>
              <w:rPr>
                <w:rFonts w:ascii="Times New Roman" w:hAnsi="Times New Roman" w:cs="Times New Roman"/>
                <w:sz w:val="24"/>
                <w:szCs w:val="24"/>
              </w:rPr>
            </w:pPr>
            <w:r>
              <w:rPr>
                <w:rFonts w:ascii="Times New Roman" w:hAnsi="Times New Roman" w:cs="Times New Roman"/>
                <w:sz w:val="24"/>
                <w:szCs w:val="24"/>
              </w:rPr>
              <w:t>3</w:t>
            </w:r>
          </w:p>
        </w:tc>
        <w:tc>
          <w:tcPr>
            <w:tcW w:w="3431" w:type="dxa"/>
          </w:tcPr>
          <w:p w14:paraId="064090CB" w14:textId="77777777" w:rsidR="00374822" w:rsidRDefault="007A32B6" w:rsidP="007A32B6">
            <w:pPr>
              <w:jc w:val="center"/>
              <w:rPr>
                <w:rFonts w:ascii="Times New Roman" w:hAnsi="Times New Roman" w:cs="Times New Roman"/>
                <w:sz w:val="24"/>
                <w:szCs w:val="24"/>
              </w:rPr>
            </w:pPr>
            <w:r>
              <w:rPr>
                <w:rFonts w:ascii="Times New Roman" w:hAnsi="Times New Roman" w:cs="Times New Roman"/>
                <w:sz w:val="24"/>
                <w:szCs w:val="24"/>
              </w:rPr>
              <w:t>Medium hard, moderately dispersive, sloughing</w:t>
            </w:r>
          </w:p>
        </w:tc>
        <w:tc>
          <w:tcPr>
            <w:tcW w:w="3431" w:type="dxa"/>
          </w:tcPr>
          <w:p w14:paraId="75FF5DE9" w14:textId="77777777" w:rsidR="00374822" w:rsidRDefault="007A32B6" w:rsidP="007A32B6">
            <w:pPr>
              <w:jc w:val="center"/>
              <w:rPr>
                <w:rFonts w:ascii="Times New Roman" w:hAnsi="Times New Roman" w:cs="Times New Roman"/>
                <w:sz w:val="24"/>
                <w:szCs w:val="24"/>
              </w:rPr>
            </w:pPr>
            <w:r>
              <w:rPr>
                <w:rFonts w:ascii="Times New Roman" w:hAnsi="Times New Roman" w:cs="Times New Roman"/>
                <w:sz w:val="24"/>
                <w:szCs w:val="24"/>
              </w:rPr>
              <w:t>High in mixed layer, illite, chlorite</w:t>
            </w:r>
          </w:p>
        </w:tc>
      </w:tr>
      <w:tr w:rsidR="007A32B6" w14:paraId="7147B996" w14:textId="77777777" w:rsidTr="005E2469">
        <w:trPr>
          <w:trHeight w:val="927"/>
          <w:jc w:val="center"/>
        </w:trPr>
        <w:tc>
          <w:tcPr>
            <w:tcW w:w="3429" w:type="dxa"/>
          </w:tcPr>
          <w:p w14:paraId="277D68F6" w14:textId="77777777" w:rsidR="007A32B6" w:rsidRDefault="007A32B6" w:rsidP="007A32B6">
            <w:pPr>
              <w:jc w:val="center"/>
              <w:rPr>
                <w:rFonts w:ascii="Times New Roman" w:hAnsi="Times New Roman" w:cs="Times New Roman"/>
                <w:sz w:val="24"/>
                <w:szCs w:val="24"/>
              </w:rPr>
            </w:pPr>
            <w:r>
              <w:rPr>
                <w:rFonts w:ascii="Times New Roman" w:hAnsi="Times New Roman" w:cs="Times New Roman"/>
                <w:sz w:val="24"/>
                <w:szCs w:val="24"/>
              </w:rPr>
              <w:t>4</w:t>
            </w:r>
          </w:p>
        </w:tc>
        <w:tc>
          <w:tcPr>
            <w:tcW w:w="3431" w:type="dxa"/>
          </w:tcPr>
          <w:p w14:paraId="113070C0" w14:textId="77777777" w:rsidR="007A32B6" w:rsidRDefault="007A32B6" w:rsidP="007A32B6">
            <w:pPr>
              <w:jc w:val="center"/>
              <w:rPr>
                <w:rFonts w:ascii="Times New Roman" w:hAnsi="Times New Roman" w:cs="Times New Roman"/>
                <w:sz w:val="24"/>
                <w:szCs w:val="24"/>
              </w:rPr>
            </w:pPr>
            <w:r>
              <w:rPr>
                <w:rFonts w:ascii="Times New Roman" w:hAnsi="Times New Roman" w:cs="Times New Roman"/>
                <w:sz w:val="24"/>
                <w:szCs w:val="24"/>
              </w:rPr>
              <w:t>Hard, little dispersion, sloughing</w:t>
            </w:r>
          </w:p>
        </w:tc>
        <w:tc>
          <w:tcPr>
            <w:tcW w:w="3431" w:type="dxa"/>
          </w:tcPr>
          <w:p w14:paraId="0A621EE4" w14:textId="77777777" w:rsidR="007A32B6" w:rsidRDefault="007A32B6" w:rsidP="007A32B6">
            <w:pPr>
              <w:jc w:val="center"/>
              <w:rPr>
                <w:rFonts w:ascii="Times New Roman" w:hAnsi="Times New Roman" w:cs="Times New Roman"/>
                <w:sz w:val="24"/>
                <w:szCs w:val="24"/>
              </w:rPr>
            </w:pPr>
            <w:r>
              <w:rPr>
                <w:rFonts w:ascii="Times New Roman" w:hAnsi="Times New Roman" w:cs="Times New Roman"/>
                <w:sz w:val="24"/>
                <w:szCs w:val="24"/>
              </w:rPr>
              <w:t>Moderate illite, moderate chlorite</w:t>
            </w:r>
          </w:p>
        </w:tc>
      </w:tr>
      <w:tr w:rsidR="007A32B6" w14:paraId="37151081" w14:textId="77777777" w:rsidTr="005E2469">
        <w:trPr>
          <w:trHeight w:val="902"/>
          <w:jc w:val="center"/>
        </w:trPr>
        <w:tc>
          <w:tcPr>
            <w:tcW w:w="3429" w:type="dxa"/>
          </w:tcPr>
          <w:p w14:paraId="67A7A880" w14:textId="77777777" w:rsidR="007A32B6" w:rsidRDefault="007A32B6" w:rsidP="007A32B6">
            <w:pPr>
              <w:jc w:val="center"/>
              <w:rPr>
                <w:rFonts w:ascii="Times New Roman" w:hAnsi="Times New Roman" w:cs="Times New Roman"/>
                <w:sz w:val="24"/>
                <w:szCs w:val="24"/>
              </w:rPr>
            </w:pPr>
            <w:r>
              <w:rPr>
                <w:rFonts w:ascii="Times New Roman" w:hAnsi="Times New Roman" w:cs="Times New Roman"/>
                <w:sz w:val="24"/>
                <w:szCs w:val="24"/>
              </w:rPr>
              <w:t>5</w:t>
            </w:r>
          </w:p>
        </w:tc>
        <w:tc>
          <w:tcPr>
            <w:tcW w:w="3431" w:type="dxa"/>
          </w:tcPr>
          <w:p w14:paraId="25F81DD4" w14:textId="77777777" w:rsidR="007A32B6" w:rsidRDefault="007A32B6" w:rsidP="007A32B6">
            <w:pPr>
              <w:jc w:val="center"/>
              <w:rPr>
                <w:rFonts w:ascii="Times New Roman" w:hAnsi="Times New Roman" w:cs="Times New Roman"/>
                <w:sz w:val="24"/>
                <w:szCs w:val="24"/>
              </w:rPr>
            </w:pPr>
            <w:r>
              <w:rPr>
                <w:rFonts w:ascii="Times New Roman" w:hAnsi="Times New Roman" w:cs="Times New Roman"/>
                <w:sz w:val="24"/>
                <w:szCs w:val="24"/>
              </w:rPr>
              <w:t>Very hard, brittle, no dispersion, caving</w:t>
            </w:r>
          </w:p>
        </w:tc>
        <w:tc>
          <w:tcPr>
            <w:tcW w:w="3431" w:type="dxa"/>
          </w:tcPr>
          <w:p w14:paraId="3A9D1400" w14:textId="77777777" w:rsidR="007A32B6" w:rsidRDefault="007A32B6" w:rsidP="007A32B6">
            <w:pPr>
              <w:jc w:val="center"/>
              <w:rPr>
                <w:rFonts w:ascii="Times New Roman" w:hAnsi="Times New Roman" w:cs="Times New Roman"/>
                <w:sz w:val="24"/>
                <w:szCs w:val="24"/>
              </w:rPr>
            </w:pPr>
            <w:r>
              <w:rPr>
                <w:rFonts w:ascii="Times New Roman" w:hAnsi="Times New Roman" w:cs="Times New Roman"/>
                <w:sz w:val="24"/>
                <w:szCs w:val="24"/>
              </w:rPr>
              <w:t>High illite, moderate chlorite</w:t>
            </w:r>
          </w:p>
        </w:tc>
      </w:tr>
    </w:tbl>
    <w:p w14:paraId="3E26E9CC" w14:textId="77777777" w:rsidR="00374822" w:rsidRDefault="000D1075" w:rsidP="0003629F">
      <w:pPr>
        <w:pStyle w:val="Heading3"/>
        <w:numPr>
          <w:ilvl w:val="2"/>
          <w:numId w:val="15"/>
        </w:numPr>
      </w:pPr>
      <w:bookmarkStart w:id="37" w:name="_Hlk35990716"/>
      <w:bookmarkStart w:id="38" w:name="_Toc39751589"/>
      <w:r>
        <w:t xml:space="preserve">Clay </w:t>
      </w:r>
      <w:r w:rsidR="007E0519">
        <w:t>Structure</w:t>
      </w:r>
      <w:bookmarkEnd w:id="38"/>
    </w:p>
    <w:p w14:paraId="75E41524" w14:textId="77777777" w:rsidR="004C3312" w:rsidRPr="004C3312" w:rsidRDefault="00E56201" w:rsidP="0025438C">
      <w:pPr>
        <w:spacing w:line="480" w:lineRule="auto"/>
        <w:rPr>
          <w:rFonts w:ascii="Times New Roman" w:hAnsi="Times New Roman" w:cs="Times New Roman"/>
          <w:sz w:val="24"/>
          <w:szCs w:val="24"/>
        </w:rPr>
      </w:pPr>
      <w:r>
        <w:rPr>
          <w:rFonts w:ascii="Times New Roman" w:hAnsi="Times New Roman" w:cs="Times New Roman"/>
          <w:sz w:val="24"/>
          <w:szCs w:val="24"/>
        </w:rPr>
        <w:t xml:space="preserve">All clay minerals are in general crystalline dominated in nature. These crystals determine the main properties of the clays. </w:t>
      </w:r>
      <w:r w:rsidR="000821CA">
        <w:rPr>
          <w:rFonts w:ascii="Times New Roman" w:hAnsi="Times New Roman" w:cs="Times New Roman"/>
          <w:sz w:val="24"/>
          <w:szCs w:val="24"/>
        </w:rPr>
        <w:t>Clays are characterized to have a flaky, mica-type structure, where the flakes are composed of a number of crystal platelets that are stacked face to face. Each of the platelet represents a unit layer, and the surface of the unit layer is referred to as basal surface.</w:t>
      </w:r>
      <w:r w:rsidR="00CC4E24">
        <w:rPr>
          <w:rFonts w:ascii="Times New Roman" w:hAnsi="Times New Roman" w:cs="Times New Roman"/>
          <w:sz w:val="24"/>
          <w:szCs w:val="24"/>
        </w:rPr>
        <w:t xml:space="preserve"> A clay unit layer is composed of multiple sheets. The most common sheets include the octahedral and the tetrahedral sheet. The octahedral sheet is mainly composed of either aluminum (Al) or magnesium (Mg) </w:t>
      </w:r>
      <w:r w:rsidR="008E12F1">
        <w:rPr>
          <w:rFonts w:ascii="Times New Roman" w:hAnsi="Times New Roman" w:cs="Times New Roman"/>
          <w:sz w:val="24"/>
          <w:szCs w:val="24"/>
        </w:rPr>
        <w:t xml:space="preserve">atoms that are octahedrally coordinated with oxygen (O) and hydroxyl (OH) at the edges. The oxygen and hydroxyl group represent the anion groups which share the edges of the sheet with coordinating cation groups such as aluminum, </w:t>
      </w:r>
      <w:r w:rsidR="00D8067F">
        <w:rPr>
          <w:rFonts w:ascii="Times New Roman" w:hAnsi="Times New Roman" w:cs="Times New Roman"/>
          <w:sz w:val="24"/>
          <w:szCs w:val="24"/>
        </w:rPr>
        <w:t xml:space="preserve">or </w:t>
      </w:r>
      <w:r w:rsidR="008E12F1">
        <w:rPr>
          <w:rFonts w:ascii="Times New Roman" w:hAnsi="Times New Roman" w:cs="Times New Roman"/>
          <w:sz w:val="24"/>
          <w:szCs w:val="24"/>
        </w:rPr>
        <w:t>magnesium</w:t>
      </w:r>
      <w:r w:rsidR="00D8067F">
        <w:rPr>
          <w:rFonts w:ascii="Times New Roman" w:hAnsi="Times New Roman" w:cs="Times New Roman"/>
          <w:sz w:val="24"/>
          <w:szCs w:val="24"/>
        </w:rPr>
        <w:t xml:space="preserve"> </w:t>
      </w:r>
      <w:r w:rsidR="00094DA3">
        <w:rPr>
          <w:rFonts w:ascii="Times New Roman" w:hAnsi="Times New Roman" w:cs="Times New Roman"/>
          <w:sz w:val="24"/>
          <w:szCs w:val="24"/>
        </w:rPr>
        <w:t xml:space="preserve">as reported by </w:t>
      </w:r>
      <w:r w:rsidR="00886126">
        <w:rPr>
          <w:rFonts w:ascii="Times New Roman" w:hAnsi="Times New Roman" w:cs="Times New Roman"/>
          <w:sz w:val="24"/>
          <w:szCs w:val="24"/>
        </w:rPr>
        <w:t>(Murray, 2007)</w:t>
      </w:r>
      <w:r w:rsidR="008E12F1">
        <w:rPr>
          <w:rFonts w:ascii="Times New Roman" w:hAnsi="Times New Roman" w:cs="Times New Roman"/>
          <w:sz w:val="24"/>
          <w:szCs w:val="24"/>
        </w:rPr>
        <w:t>.</w:t>
      </w:r>
      <w:r w:rsidR="009E7481">
        <w:rPr>
          <w:rFonts w:ascii="Times New Roman" w:hAnsi="Times New Roman" w:cs="Times New Roman"/>
          <w:sz w:val="24"/>
          <w:szCs w:val="24"/>
        </w:rPr>
        <w:t xml:space="preserve"> </w:t>
      </w:r>
      <w:r w:rsidR="00341C03">
        <w:rPr>
          <w:rFonts w:ascii="Times New Roman" w:hAnsi="Times New Roman" w:cs="Times New Roman"/>
          <w:sz w:val="24"/>
          <w:szCs w:val="24"/>
        </w:rPr>
        <w:t>The aluminum and magnesium ions that make up the octahedral layers can be replaced by other well-known ions such as Fe</w:t>
      </w:r>
      <w:r w:rsidR="00341C03" w:rsidRPr="004C3312">
        <w:rPr>
          <w:rFonts w:ascii="Times New Roman" w:hAnsi="Times New Roman" w:cs="Times New Roman"/>
          <w:sz w:val="24"/>
          <w:szCs w:val="24"/>
          <w:vertAlign w:val="superscript"/>
        </w:rPr>
        <w:t>3+,</w:t>
      </w:r>
      <w:r w:rsidR="00341C03">
        <w:rPr>
          <w:rFonts w:ascii="Times New Roman" w:hAnsi="Times New Roman" w:cs="Times New Roman"/>
          <w:sz w:val="24"/>
          <w:szCs w:val="24"/>
        </w:rPr>
        <w:t xml:space="preserve"> Fe</w:t>
      </w:r>
      <w:r w:rsidR="00341C03" w:rsidRPr="004C3312">
        <w:rPr>
          <w:rFonts w:ascii="Times New Roman" w:hAnsi="Times New Roman" w:cs="Times New Roman"/>
          <w:sz w:val="24"/>
          <w:szCs w:val="24"/>
          <w:vertAlign w:val="superscript"/>
        </w:rPr>
        <w:t>2+</w:t>
      </w:r>
      <w:r w:rsidR="00341C03">
        <w:rPr>
          <w:rFonts w:ascii="Times New Roman" w:hAnsi="Times New Roman" w:cs="Times New Roman"/>
          <w:sz w:val="24"/>
          <w:szCs w:val="24"/>
        </w:rPr>
        <w:t>, Cr</w:t>
      </w:r>
      <w:r w:rsidR="00341C03" w:rsidRPr="004C3312">
        <w:rPr>
          <w:rFonts w:ascii="Times New Roman" w:hAnsi="Times New Roman" w:cs="Times New Roman"/>
          <w:sz w:val="24"/>
          <w:szCs w:val="24"/>
          <w:vertAlign w:val="superscript"/>
        </w:rPr>
        <w:t>2+</w:t>
      </w:r>
      <w:r w:rsidR="00341C03">
        <w:rPr>
          <w:rFonts w:ascii="Times New Roman" w:hAnsi="Times New Roman" w:cs="Times New Roman"/>
          <w:sz w:val="24"/>
          <w:szCs w:val="24"/>
        </w:rPr>
        <w:t>, Zn</w:t>
      </w:r>
      <w:r w:rsidR="00341C03" w:rsidRPr="004C3312">
        <w:rPr>
          <w:rFonts w:ascii="Times New Roman" w:hAnsi="Times New Roman" w:cs="Times New Roman"/>
          <w:sz w:val="24"/>
          <w:szCs w:val="24"/>
          <w:vertAlign w:val="superscript"/>
        </w:rPr>
        <w:t>2+</w:t>
      </w:r>
      <w:r w:rsidR="00341C03">
        <w:rPr>
          <w:rFonts w:ascii="Times New Roman" w:hAnsi="Times New Roman" w:cs="Times New Roman"/>
          <w:sz w:val="24"/>
          <w:szCs w:val="24"/>
        </w:rPr>
        <w:t>, Ni</w:t>
      </w:r>
      <w:r w:rsidR="00341C03" w:rsidRPr="004C3312">
        <w:rPr>
          <w:rFonts w:ascii="Times New Roman" w:hAnsi="Times New Roman" w:cs="Times New Roman"/>
          <w:sz w:val="24"/>
          <w:szCs w:val="24"/>
          <w:vertAlign w:val="superscript"/>
        </w:rPr>
        <w:t>2+</w:t>
      </w:r>
      <w:r w:rsidR="00341C03">
        <w:rPr>
          <w:rFonts w:ascii="Times New Roman" w:hAnsi="Times New Roman" w:cs="Times New Roman"/>
          <w:sz w:val="24"/>
          <w:szCs w:val="24"/>
        </w:rPr>
        <w:t xml:space="preserve">, and many others. The </w:t>
      </w:r>
      <w:r w:rsidR="00341C03">
        <w:rPr>
          <w:rFonts w:ascii="Times New Roman" w:hAnsi="Times New Roman" w:cs="Times New Roman"/>
          <w:sz w:val="24"/>
          <w:szCs w:val="24"/>
        </w:rPr>
        <w:lastRenderedPageBreak/>
        <w:t>replacement of Al</w:t>
      </w:r>
      <w:r w:rsidR="00341C03" w:rsidRPr="004C3312">
        <w:rPr>
          <w:rFonts w:ascii="Times New Roman" w:hAnsi="Times New Roman" w:cs="Times New Roman"/>
          <w:sz w:val="24"/>
          <w:szCs w:val="24"/>
          <w:vertAlign w:val="superscript"/>
        </w:rPr>
        <w:t>3+</w:t>
      </w:r>
      <w:r w:rsidR="00341C03">
        <w:rPr>
          <w:rFonts w:ascii="Times New Roman" w:hAnsi="Times New Roman" w:cs="Times New Roman"/>
          <w:sz w:val="24"/>
          <w:szCs w:val="24"/>
        </w:rPr>
        <w:t xml:space="preserve"> by Fe</w:t>
      </w:r>
      <w:r w:rsidR="00341C03" w:rsidRPr="004C3312">
        <w:rPr>
          <w:rFonts w:ascii="Times New Roman" w:hAnsi="Times New Roman" w:cs="Times New Roman"/>
          <w:sz w:val="24"/>
          <w:szCs w:val="24"/>
          <w:vertAlign w:val="superscript"/>
        </w:rPr>
        <w:t>3+</w:t>
      </w:r>
      <w:r w:rsidR="00341C03">
        <w:rPr>
          <w:rFonts w:ascii="Times New Roman" w:hAnsi="Times New Roman" w:cs="Times New Roman"/>
          <w:sz w:val="24"/>
          <w:szCs w:val="24"/>
        </w:rPr>
        <w:t xml:space="preserve"> and Mg</w:t>
      </w:r>
      <w:r w:rsidR="00341C03" w:rsidRPr="004C3312">
        <w:rPr>
          <w:rFonts w:ascii="Times New Roman" w:hAnsi="Times New Roman" w:cs="Times New Roman"/>
          <w:sz w:val="24"/>
          <w:szCs w:val="24"/>
          <w:vertAlign w:val="superscript"/>
        </w:rPr>
        <w:t>2+</w:t>
      </w:r>
      <w:r w:rsidR="00341C03">
        <w:rPr>
          <w:rFonts w:ascii="Times New Roman" w:hAnsi="Times New Roman" w:cs="Times New Roman"/>
          <w:sz w:val="24"/>
          <w:szCs w:val="24"/>
        </w:rPr>
        <w:t xml:space="preserve"> by Fe</w:t>
      </w:r>
      <w:r w:rsidR="00341C03" w:rsidRPr="004C3312">
        <w:rPr>
          <w:rFonts w:ascii="Times New Roman" w:hAnsi="Times New Roman" w:cs="Times New Roman"/>
          <w:sz w:val="24"/>
          <w:szCs w:val="24"/>
          <w:vertAlign w:val="superscript"/>
        </w:rPr>
        <w:t xml:space="preserve">2+ </w:t>
      </w:r>
      <w:r w:rsidR="00341C03">
        <w:rPr>
          <w:rFonts w:ascii="Times New Roman" w:hAnsi="Times New Roman" w:cs="Times New Roman"/>
          <w:sz w:val="24"/>
          <w:szCs w:val="24"/>
        </w:rPr>
        <w:t>is the most common substitution encountered.</w:t>
      </w:r>
      <w:r w:rsidR="00DB66B0">
        <w:rPr>
          <w:rFonts w:ascii="Times New Roman" w:hAnsi="Times New Roman" w:cs="Times New Roman"/>
          <w:sz w:val="24"/>
          <w:szCs w:val="24"/>
        </w:rPr>
        <w:t xml:space="preserve"> </w:t>
      </w:r>
      <w:r w:rsidR="009E7481" w:rsidRPr="00886126">
        <w:rPr>
          <w:rFonts w:ascii="Times New Roman" w:hAnsi="Times New Roman" w:cs="Times New Roman"/>
          <w:b/>
          <w:bCs/>
          <w:sz w:val="24"/>
          <w:szCs w:val="24"/>
        </w:rPr>
        <w:t xml:space="preserve">Figure </w:t>
      </w:r>
      <w:r w:rsidR="00657792">
        <w:rPr>
          <w:rFonts w:ascii="Times New Roman" w:hAnsi="Times New Roman" w:cs="Times New Roman"/>
          <w:b/>
          <w:bCs/>
          <w:sz w:val="24"/>
          <w:szCs w:val="24"/>
        </w:rPr>
        <w:t>9</w:t>
      </w:r>
      <w:r w:rsidR="009E7481">
        <w:rPr>
          <w:rFonts w:ascii="Times New Roman" w:hAnsi="Times New Roman" w:cs="Times New Roman"/>
          <w:sz w:val="24"/>
          <w:szCs w:val="24"/>
        </w:rPr>
        <w:t xml:space="preserve"> shows an </w:t>
      </w:r>
      <w:r w:rsidR="00094DA3">
        <w:rPr>
          <w:rFonts w:ascii="Times New Roman" w:hAnsi="Times New Roman" w:cs="Times New Roman"/>
          <w:sz w:val="24"/>
          <w:szCs w:val="24"/>
        </w:rPr>
        <w:t>octahedral sheet</w:t>
      </w:r>
      <w:r w:rsidR="00B452E7">
        <w:rPr>
          <w:rFonts w:ascii="Times New Roman" w:hAnsi="Times New Roman" w:cs="Times New Roman"/>
          <w:sz w:val="24"/>
          <w:szCs w:val="24"/>
        </w:rPr>
        <w:t xml:space="preserve"> with a combination of aluminum and oxygen atoms</w:t>
      </w:r>
    </w:p>
    <w:p w14:paraId="4A0C04B5" w14:textId="77777777" w:rsidR="00886126" w:rsidRDefault="00886126" w:rsidP="00886126">
      <w:pPr>
        <w:jc w:val="center"/>
        <w:rPr>
          <w:rFonts w:ascii="Times New Roman" w:hAnsi="Times New Roman" w:cs="Times New Roman"/>
          <w:sz w:val="24"/>
          <w:szCs w:val="24"/>
        </w:rPr>
      </w:pPr>
      <w:r>
        <w:rPr>
          <w:noProof/>
        </w:rPr>
        <w:drawing>
          <wp:inline distT="0" distB="0" distL="0" distR="0" wp14:anchorId="6E9FBF88" wp14:editId="0183C0F1">
            <wp:extent cx="4686300" cy="2152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686300" cy="2152650"/>
                    </a:xfrm>
                    <a:prstGeom prst="rect">
                      <a:avLst/>
                    </a:prstGeom>
                  </pic:spPr>
                </pic:pic>
              </a:graphicData>
            </a:graphic>
          </wp:inline>
        </w:drawing>
      </w:r>
    </w:p>
    <w:p w14:paraId="4A1D6CB2" w14:textId="5AF1CC54" w:rsidR="006A420F" w:rsidRDefault="002D0D0B" w:rsidP="002D0D0B">
      <w:pPr>
        <w:pStyle w:val="Caption"/>
        <w:rPr>
          <w:szCs w:val="24"/>
        </w:rPr>
      </w:pPr>
      <w:bookmarkStart w:id="39" w:name="_Toc37087752"/>
      <w:r>
        <w:t xml:space="preserve">Figure </w:t>
      </w:r>
      <w:fldSimple w:instr=" SEQ Figure \* ARABIC ">
        <w:r w:rsidR="0092747F">
          <w:rPr>
            <w:noProof/>
          </w:rPr>
          <w:t>9</w:t>
        </w:r>
      </w:fldSimple>
      <w:r>
        <w:rPr>
          <w:b w:val="0"/>
          <w:bCs/>
          <w:szCs w:val="24"/>
        </w:rPr>
        <w:t>-</w:t>
      </w:r>
      <w:r w:rsidR="003D65E6">
        <w:rPr>
          <w:szCs w:val="24"/>
        </w:rPr>
        <w:t>Octahedral sheet of a clay</w:t>
      </w:r>
      <w:r w:rsidR="006A420F">
        <w:rPr>
          <w:szCs w:val="24"/>
        </w:rPr>
        <w:t xml:space="preserve"> (Murray, 2007)</w:t>
      </w:r>
      <w:bookmarkEnd w:id="39"/>
    </w:p>
    <w:p w14:paraId="65DFB371" w14:textId="77777777" w:rsidR="00377B90" w:rsidRDefault="006A420F" w:rsidP="0025438C">
      <w:pPr>
        <w:spacing w:line="480" w:lineRule="auto"/>
        <w:rPr>
          <w:rFonts w:ascii="Times New Roman" w:hAnsi="Times New Roman" w:cs="Times New Roman"/>
          <w:sz w:val="24"/>
          <w:szCs w:val="24"/>
        </w:rPr>
      </w:pPr>
      <w:r>
        <w:rPr>
          <w:rFonts w:ascii="Times New Roman" w:hAnsi="Times New Roman" w:cs="Times New Roman"/>
          <w:sz w:val="24"/>
          <w:szCs w:val="24"/>
        </w:rPr>
        <w:t>Another most common sheet includes the tetrahedral sheet. This sheet is mainly composed of silicon (Si) atoms that are tetrahedrally coordinated with oxygen atoms</w:t>
      </w:r>
      <w:r w:rsidR="00BB3323">
        <w:rPr>
          <w:rFonts w:ascii="Times New Roman" w:hAnsi="Times New Roman" w:cs="Times New Roman"/>
          <w:sz w:val="24"/>
          <w:szCs w:val="24"/>
        </w:rPr>
        <w:t>.</w:t>
      </w:r>
      <w:r>
        <w:rPr>
          <w:rFonts w:ascii="Times New Roman" w:hAnsi="Times New Roman" w:cs="Times New Roman"/>
          <w:sz w:val="24"/>
          <w:szCs w:val="24"/>
        </w:rPr>
        <w:t xml:space="preserve"> </w:t>
      </w:r>
      <w:r w:rsidR="00812C8D">
        <w:rPr>
          <w:rFonts w:ascii="Times New Roman" w:hAnsi="Times New Roman" w:cs="Times New Roman"/>
          <w:sz w:val="24"/>
          <w:szCs w:val="24"/>
        </w:rPr>
        <w:t>Each silicon atom is coordinated with four (4) oxygen or hydroxyl groups. Tetrahedra are arranged in sheet in a form of hexagonal network, where oxygen atoms share the basal corners of the tetrahedra. In most tetrahedral sheet of clay mineral, the silicon ion (Si</w:t>
      </w:r>
      <w:r w:rsidR="00812C8D" w:rsidRPr="000E1561">
        <w:rPr>
          <w:rFonts w:ascii="Times New Roman" w:hAnsi="Times New Roman" w:cs="Times New Roman"/>
          <w:sz w:val="24"/>
          <w:szCs w:val="24"/>
          <w:vertAlign w:val="superscript"/>
        </w:rPr>
        <w:t>4+</w:t>
      </w:r>
      <w:r w:rsidR="00812C8D">
        <w:rPr>
          <w:rFonts w:ascii="Times New Roman" w:hAnsi="Times New Roman" w:cs="Times New Roman"/>
          <w:sz w:val="24"/>
          <w:szCs w:val="24"/>
        </w:rPr>
        <w:t xml:space="preserve">) </w:t>
      </w:r>
      <w:r w:rsidR="000E1561">
        <w:rPr>
          <w:rFonts w:ascii="Times New Roman" w:hAnsi="Times New Roman" w:cs="Times New Roman"/>
          <w:sz w:val="24"/>
          <w:szCs w:val="24"/>
        </w:rPr>
        <w:t>can be</w:t>
      </w:r>
      <w:r w:rsidR="00812C8D">
        <w:rPr>
          <w:rFonts w:ascii="Times New Roman" w:hAnsi="Times New Roman" w:cs="Times New Roman"/>
          <w:sz w:val="24"/>
          <w:szCs w:val="24"/>
        </w:rPr>
        <w:t xml:space="preserve"> replaced by aluminum ion (Al</w:t>
      </w:r>
      <w:r w:rsidR="00812C8D" w:rsidRPr="000E1561">
        <w:rPr>
          <w:rFonts w:ascii="Times New Roman" w:hAnsi="Times New Roman" w:cs="Times New Roman"/>
          <w:sz w:val="24"/>
          <w:szCs w:val="24"/>
          <w:vertAlign w:val="superscript"/>
        </w:rPr>
        <w:t>3+</w:t>
      </w:r>
      <w:r w:rsidR="00812C8D">
        <w:rPr>
          <w:rFonts w:ascii="Times New Roman" w:hAnsi="Times New Roman" w:cs="Times New Roman"/>
          <w:sz w:val="24"/>
          <w:szCs w:val="24"/>
        </w:rPr>
        <w:t>) or iron ion (Fe</w:t>
      </w:r>
      <w:r w:rsidR="00812C8D" w:rsidRPr="000E1561">
        <w:rPr>
          <w:rFonts w:ascii="Times New Roman" w:hAnsi="Times New Roman" w:cs="Times New Roman"/>
          <w:sz w:val="24"/>
          <w:szCs w:val="24"/>
          <w:vertAlign w:val="superscript"/>
        </w:rPr>
        <w:t>3+</w:t>
      </w:r>
      <w:r w:rsidR="00812C8D">
        <w:rPr>
          <w:rFonts w:ascii="Times New Roman" w:hAnsi="Times New Roman" w:cs="Times New Roman"/>
          <w:sz w:val="24"/>
          <w:szCs w:val="24"/>
        </w:rPr>
        <w:t>) (Murray, 2007).</w:t>
      </w:r>
      <w:r w:rsidR="007E0519">
        <w:rPr>
          <w:rFonts w:ascii="Times New Roman" w:hAnsi="Times New Roman" w:cs="Times New Roman"/>
          <w:sz w:val="24"/>
          <w:szCs w:val="24"/>
        </w:rPr>
        <w:t xml:space="preserve"> </w:t>
      </w:r>
      <w:r w:rsidR="007E0519" w:rsidRPr="001C6135">
        <w:rPr>
          <w:rFonts w:ascii="Times New Roman" w:hAnsi="Times New Roman" w:cs="Times New Roman"/>
          <w:b/>
          <w:bCs/>
          <w:sz w:val="24"/>
          <w:szCs w:val="24"/>
        </w:rPr>
        <w:t xml:space="preserve">Figure </w:t>
      </w:r>
      <w:r w:rsidR="002D0D0B">
        <w:rPr>
          <w:rFonts w:ascii="Times New Roman" w:hAnsi="Times New Roman" w:cs="Times New Roman"/>
          <w:b/>
          <w:bCs/>
          <w:sz w:val="24"/>
          <w:szCs w:val="24"/>
        </w:rPr>
        <w:t>10</w:t>
      </w:r>
      <w:r w:rsidR="007E0519">
        <w:rPr>
          <w:rFonts w:ascii="Times New Roman" w:hAnsi="Times New Roman" w:cs="Times New Roman"/>
          <w:sz w:val="24"/>
          <w:szCs w:val="24"/>
        </w:rPr>
        <w:t xml:space="preserve"> illustrates a tetrahedral sheet</w:t>
      </w:r>
      <w:r w:rsidR="00AA48DE">
        <w:rPr>
          <w:rFonts w:ascii="Times New Roman" w:hAnsi="Times New Roman" w:cs="Times New Roman"/>
          <w:sz w:val="24"/>
          <w:szCs w:val="24"/>
        </w:rPr>
        <w:t xml:space="preserve"> with combination of silicon and oxygen atoms</w:t>
      </w:r>
    </w:p>
    <w:p w14:paraId="51F3DA87" w14:textId="77777777" w:rsidR="007E0519" w:rsidRDefault="002A50FA" w:rsidP="007E0519">
      <w:pPr>
        <w:jc w:val="center"/>
        <w:rPr>
          <w:rFonts w:ascii="Times New Roman" w:hAnsi="Times New Roman" w:cs="Times New Roman"/>
          <w:sz w:val="24"/>
          <w:szCs w:val="24"/>
        </w:rPr>
      </w:pPr>
      <w:r>
        <w:rPr>
          <w:noProof/>
        </w:rPr>
        <w:drawing>
          <wp:inline distT="0" distB="0" distL="0" distR="0" wp14:anchorId="368D8CD5" wp14:editId="6F609275">
            <wp:extent cx="3914775" cy="17716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914775" cy="1771650"/>
                    </a:xfrm>
                    <a:prstGeom prst="rect">
                      <a:avLst/>
                    </a:prstGeom>
                  </pic:spPr>
                </pic:pic>
              </a:graphicData>
            </a:graphic>
          </wp:inline>
        </w:drawing>
      </w:r>
    </w:p>
    <w:p w14:paraId="13135D24" w14:textId="37EE8206" w:rsidR="002A50FA" w:rsidRDefault="0007138C" w:rsidP="0007138C">
      <w:pPr>
        <w:pStyle w:val="Caption"/>
        <w:rPr>
          <w:szCs w:val="24"/>
        </w:rPr>
      </w:pPr>
      <w:bookmarkStart w:id="40" w:name="_Toc37087753"/>
      <w:r>
        <w:t xml:space="preserve">Figure </w:t>
      </w:r>
      <w:fldSimple w:instr=" SEQ Figure \* ARABIC ">
        <w:r w:rsidR="0092747F">
          <w:rPr>
            <w:noProof/>
          </w:rPr>
          <w:t>10</w:t>
        </w:r>
      </w:fldSimple>
      <w:r>
        <w:rPr>
          <w:szCs w:val="24"/>
        </w:rPr>
        <w:t>-</w:t>
      </w:r>
      <w:r w:rsidR="002A50FA">
        <w:rPr>
          <w:szCs w:val="24"/>
        </w:rPr>
        <w:t xml:space="preserve"> Tetrahedral sheet </w:t>
      </w:r>
      <w:r w:rsidR="001C6135">
        <w:rPr>
          <w:szCs w:val="24"/>
        </w:rPr>
        <w:t>of a</w:t>
      </w:r>
      <w:r w:rsidR="002A50FA">
        <w:rPr>
          <w:szCs w:val="24"/>
        </w:rPr>
        <w:t xml:space="preserve"> clay mineral (Murray, 2007)</w:t>
      </w:r>
      <w:bookmarkEnd w:id="40"/>
    </w:p>
    <w:p w14:paraId="68E8D75D" w14:textId="77777777" w:rsidR="0064141F" w:rsidRDefault="0064141F" w:rsidP="002543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Different sheets such as octahedral and tetrahedral sheet of a unit layer can be connected together by the sharing of oxygen atoms. In case of </w:t>
      </w:r>
      <w:r w:rsidR="00877B2C">
        <w:rPr>
          <w:rFonts w:ascii="Times New Roman" w:hAnsi="Times New Roman" w:cs="Times New Roman"/>
          <w:sz w:val="24"/>
          <w:szCs w:val="24"/>
        </w:rPr>
        <w:t>the linking one octahedral and one tetrahedral sheet, one basal surface has exposed oxygen atoms, while the other basal surface has exposed hydroxyl groups. The linking of one octahedral and one tetrahedral sheet constitutes a 1:1 layer.</w:t>
      </w:r>
      <w:r w:rsidR="00E61166">
        <w:rPr>
          <w:rFonts w:ascii="Times New Roman" w:hAnsi="Times New Roman" w:cs="Times New Roman"/>
          <w:sz w:val="24"/>
          <w:szCs w:val="24"/>
        </w:rPr>
        <w:t xml:space="preserve"> Another common connection between sheets includes the linking of two tetrahedral sheets</w:t>
      </w:r>
      <w:r w:rsidR="0003387D">
        <w:rPr>
          <w:rFonts w:ascii="Times New Roman" w:hAnsi="Times New Roman" w:cs="Times New Roman"/>
          <w:sz w:val="24"/>
          <w:szCs w:val="24"/>
        </w:rPr>
        <w:t xml:space="preserve"> and one octahedral sheet</w:t>
      </w:r>
      <w:r w:rsidR="00E61166">
        <w:rPr>
          <w:rFonts w:ascii="Times New Roman" w:hAnsi="Times New Roman" w:cs="Times New Roman"/>
          <w:sz w:val="24"/>
          <w:szCs w:val="24"/>
        </w:rPr>
        <w:t xml:space="preserve"> by the sharing of oxygen atoms. In this case, both basal surfaces of the unit have exposed oxygen atoms.</w:t>
      </w:r>
      <w:r w:rsidR="0003387D">
        <w:rPr>
          <w:rFonts w:ascii="Times New Roman" w:hAnsi="Times New Roman" w:cs="Times New Roman"/>
          <w:sz w:val="24"/>
          <w:szCs w:val="24"/>
        </w:rPr>
        <w:t xml:space="preserve"> This 2:</w:t>
      </w:r>
      <w:r w:rsidR="00AC6CAC">
        <w:rPr>
          <w:rFonts w:ascii="Times New Roman" w:hAnsi="Times New Roman" w:cs="Times New Roman"/>
          <w:sz w:val="24"/>
          <w:szCs w:val="24"/>
        </w:rPr>
        <w:t>1-layer</w:t>
      </w:r>
      <w:r w:rsidR="0003387D">
        <w:rPr>
          <w:rFonts w:ascii="Times New Roman" w:hAnsi="Times New Roman" w:cs="Times New Roman"/>
          <w:sz w:val="24"/>
          <w:szCs w:val="24"/>
        </w:rPr>
        <w:t xml:space="preserve"> results in a structure known as the Hoffmann structure where the octahedral sheet is sandwiched by two tetrahedral sheets</w:t>
      </w:r>
      <w:r w:rsidR="00290717">
        <w:rPr>
          <w:rFonts w:ascii="Times New Roman" w:hAnsi="Times New Roman" w:cs="Times New Roman"/>
          <w:sz w:val="24"/>
          <w:szCs w:val="24"/>
        </w:rPr>
        <w:t xml:space="preserve"> (Hoffmann and Lipscomb, 1962).</w:t>
      </w:r>
    </w:p>
    <w:p w14:paraId="479AE7D9" w14:textId="77777777" w:rsidR="00AC6CAC" w:rsidRDefault="00AC6CAC" w:rsidP="0003629F">
      <w:pPr>
        <w:pStyle w:val="Heading3"/>
        <w:numPr>
          <w:ilvl w:val="2"/>
          <w:numId w:val="15"/>
        </w:numPr>
      </w:pPr>
      <w:bookmarkStart w:id="41" w:name="_Toc39751590"/>
      <w:r>
        <w:t>Cla</w:t>
      </w:r>
      <w:r w:rsidR="00DB13CA">
        <w:t>y Mineral Classification</w:t>
      </w:r>
      <w:bookmarkEnd w:id="41"/>
    </w:p>
    <w:p w14:paraId="1CBD3A3D" w14:textId="77777777" w:rsidR="00C22915" w:rsidRDefault="0096702F" w:rsidP="0025438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arrangement of clay sheets plays a major role in classifying clay minerals. The number and arrangement of the tetrahedral and octahedral sheets determine the type of layer. There are three common type of layers including the 1:1, 2:1, and 2:1:1 clay </w:t>
      </w:r>
      <w:r w:rsidR="00175798">
        <w:rPr>
          <w:rFonts w:ascii="Times New Roman" w:hAnsi="Times New Roman" w:cs="Times New Roman"/>
          <w:sz w:val="24"/>
          <w:szCs w:val="24"/>
        </w:rPr>
        <w:t>mineral</w:t>
      </w:r>
      <w:r>
        <w:rPr>
          <w:rFonts w:ascii="Times New Roman" w:hAnsi="Times New Roman" w:cs="Times New Roman"/>
          <w:sz w:val="24"/>
          <w:szCs w:val="24"/>
        </w:rPr>
        <w:t>.</w:t>
      </w:r>
    </w:p>
    <w:p w14:paraId="226FF7CD" w14:textId="77777777" w:rsidR="00175798" w:rsidRPr="00AE220B" w:rsidRDefault="00175798" w:rsidP="0025438C">
      <w:pPr>
        <w:pStyle w:val="ListParagraph"/>
        <w:numPr>
          <w:ilvl w:val="0"/>
          <w:numId w:val="19"/>
        </w:numPr>
        <w:spacing w:line="480" w:lineRule="auto"/>
        <w:rPr>
          <w:rFonts w:ascii="Times New Roman" w:hAnsi="Times New Roman" w:cs="Times New Roman"/>
          <w:b/>
          <w:bCs/>
          <w:sz w:val="24"/>
          <w:szCs w:val="24"/>
        </w:rPr>
      </w:pPr>
      <w:r w:rsidRPr="00AE220B">
        <w:rPr>
          <w:rFonts w:ascii="Times New Roman" w:hAnsi="Times New Roman" w:cs="Times New Roman"/>
          <w:b/>
          <w:bCs/>
          <w:sz w:val="24"/>
          <w:szCs w:val="24"/>
        </w:rPr>
        <w:t>1:1 clay mineral</w:t>
      </w:r>
    </w:p>
    <w:p w14:paraId="3C822B72" w14:textId="77777777" w:rsidR="00175798" w:rsidRDefault="00175798" w:rsidP="0025438C">
      <w:pPr>
        <w:spacing w:line="480" w:lineRule="auto"/>
        <w:rPr>
          <w:rFonts w:ascii="Times New Roman" w:hAnsi="Times New Roman" w:cs="Times New Roman"/>
          <w:sz w:val="24"/>
          <w:szCs w:val="24"/>
        </w:rPr>
      </w:pPr>
      <w:r>
        <w:rPr>
          <w:rFonts w:ascii="Times New Roman" w:hAnsi="Times New Roman" w:cs="Times New Roman"/>
          <w:sz w:val="24"/>
          <w:szCs w:val="24"/>
        </w:rPr>
        <w:t>The 1:1-layer clay mineral consists of the linking of one tetrahedral and one octahedral sheet in the structural unit. The most common two-sheets mineral type is the kaolin group. The kaolin group is represented by a general formula of Al</w:t>
      </w:r>
      <w:r w:rsidRPr="00175798">
        <w:rPr>
          <w:rFonts w:ascii="Times New Roman" w:hAnsi="Times New Roman" w:cs="Times New Roman"/>
          <w:sz w:val="24"/>
          <w:szCs w:val="24"/>
          <w:vertAlign w:val="subscript"/>
        </w:rPr>
        <w:t>2</w:t>
      </w:r>
      <w:r>
        <w:rPr>
          <w:rFonts w:ascii="Times New Roman" w:hAnsi="Times New Roman" w:cs="Times New Roman"/>
          <w:sz w:val="24"/>
          <w:szCs w:val="24"/>
        </w:rPr>
        <w:t>Si</w:t>
      </w:r>
      <w:r w:rsidRPr="00175798">
        <w:rPr>
          <w:rFonts w:ascii="Times New Roman" w:hAnsi="Times New Roman" w:cs="Times New Roman"/>
          <w:sz w:val="24"/>
          <w:szCs w:val="24"/>
          <w:vertAlign w:val="subscript"/>
        </w:rPr>
        <w:t>2</w:t>
      </w:r>
      <w:r>
        <w:rPr>
          <w:rFonts w:ascii="Times New Roman" w:hAnsi="Times New Roman" w:cs="Times New Roman"/>
          <w:sz w:val="24"/>
          <w:szCs w:val="24"/>
        </w:rPr>
        <w:t>O</w:t>
      </w:r>
      <w:r w:rsidRPr="00175798">
        <w:rPr>
          <w:rFonts w:ascii="Times New Roman" w:hAnsi="Times New Roman" w:cs="Times New Roman"/>
          <w:sz w:val="24"/>
          <w:szCs w:val="24"/>
          <w:vertAlign w:val="subscript"/>
        </w:rPr>
        <w:t>5</w:t>
      </w:r>
      <w:r>
        <w:rPr>
          <w:rFonts w:ascii="Times New Roman" w:hAnsi="Times New Roman" w:cs="Times New Roman"/>
          <w:sz w:val="24"/>
          <w:szCs w:val="24"/>
        </w:rPr>
        <w:t>(OH)</w:t>
      </w:r>
      <w:r w:rsidRPr="00175798">
        <w:rPr>
          <w:rFonts w:ascii="Times New Roman" w:hAnsi="Times New Roman" w:cs="Times New Roman"/>
          <w:sz w:val="24"/>
          <w:szCs w:val="24"/>
          <w:vertAlign w:val="subscript"/>
        </w:rPr>
        <w:t>4</w:t>
      </w:r>
      <w:r>
        <w:rPr>
          <w:rFonts w:ascii="Times New Roman" w:hAnsi="Times New Roman" w:cs="Times New Roman"/>
          <w:sz w:val="24"/>
          <w:szCs w:val="24"/>
        </w:rPr>
        <w:t>. The most common mineral of this group is known as kaolinite</w:t>
      </w:r>
      <w:r w:rsidR="00F56320">
        <w:rPr>
          <w:rFonts w:ascii="Times New Roman" w:hAnsi="Times New Roman" w:cs="Times New Roman"/>
          <w:sz w:val="24"/>
          <w:szCs w:val="24"/>
        </w:rPr>
        <w:t xml:space="preserve"> (</w:t>
      </w:r>
      <w:r w:rsidR="00F56320" w:rsidRPr="00F56320">
        <w:rPr>
          <w:rFonts w:ascii="Times New Roman" w:hAnsi="Times New Roman" w:cs="Times New Roman"/>
          <w:b/>
          <w:bCs/>
          <w:sz w:val="24"/>
          <w:szCs w:val="24"/>
        </w:rPr>
        <w:t xml:space="preserve">Figure </w:t>
      </w:r>
      <w:r w:rsidR="00D94F32">
        <w:rPr>
          <w:rFonts w:ascii="Times New Roman" w:hAnsi="Times New Roman" w:cs="Times New Roman"/>
          <w:b/>
          <w:bCs/>
          <w:sz w:val="24"/>
          <w:szCs w:val="24"/>
        </w:rPr>
        <w:t>11</w:t>
      </w:r>
      <w:r w:rsidR="00691D0A">
        <w:rPr>
          <w:rFonts w:ascii="Times New Roman" w:hAnsi="Times New Roman" w:cs="Times New Roman"/>
          <w:b/>
          <w:bCs/>
          <w:sz w:val="24"/>
          <w:szCs w:val="24"/>
        </w:rPr>
        <w:t>a</w:t>
      </w:r>
      <w:r w:rsidR="00F56320">
        <w:rPr>
          <w:rFonts w:ascii="Times New Roman" w:hAnsi="Times New Roman" w:cs="Times New Roman"/>
          <w:sz w:val="24"/>
          <w:szCs w:val="24"/>
        </w:rPr>
        <w:t>)</w:t>
      </w:r>
      <w:r>
        <w:rPr>
          <w:rFonts w:ascii="Times New Roman" w:hAnsi="Times New Roman" w:cs="Times New Roman"/>
          <w:sz w:val="24"/>
          <w:szCs w:val="24"/>
        </w:rPr>
        <w:t>. This mineral has a coordination of Al</w:t>
      </w:r>
      <w:r w:rsidRPr="00175798">
        <w:rPr>
          <w:rFonts w:ascii="Times New Roman" w:hAnsi="Times New Roman" w:cs="Times New Roman"/>
          <w:sz w:val="24"/>
          <w:szCs w:val="24"/>
          <w:vertAlign w:val="superscript"/>
        </w:rPr>
        <w:t>3+</w:t>
      </w:r>
      <w:r>
        <w:rPr>
          <w:rFonts w:ascii="Times New Roman" w:hAnsi="Times New Roman" w:cs="Times New Roman"/>
          <w:sz w:val="24"/>
          <w:szCs w:val="24"/>
        </w:rPr>
        <w:t xml:space="preserve"> octahedral and Si</w:t>
      </w:r>
      <w:r w:rsidRPr="00175798">
        <w:rPr>
          <w:rFonts w:ascii="Times New Roman" w:hAnsi="Times New Roman" w:cs="Times New Roman"/>
          <w:sz w:val="24"/>
          <w:szCs w:val="24"/>
          <w:vertAlign w:val="superscript"/>
        </w:rPr>
        <w:t>4+</w:t>
      </w:r>
      <w:r>
        <w:rPr>
          <w:rFonts w:ascii="Times New Roman" w:hAnsi="Times New Roman" w:cs="Times New Roman"/>
          <w:sz w:val="24"/>
          <w:szCs w:val="24"/>
        </w:rPr>
        <w:t xml:space="preserve"> tetrahedral. The two sheets are bonded together by the well-known Van der Walls bond between the oxygen of the tetrahedral sheet and the hydroxyls of the octahedral sheet.</w:t>
      </w:r>
      <w:r w:rsidR="00E84BA6">
        <w:rPr>
          <w:rFonts w:ascii="Times New Roman" w:hAnsi="Times New Roman" w:cs="Times New Roman"/>
          <w:sz w:val="24"/>
          <w:szCs w:val="24"/>
        </w:rPr>
        <w:t xml:space="preserve"> The layers of this type of mineral are held together using hydrogen bonding, which limits the expansion and restricts the reactivity of the external surface area</w:t>
      </w:r>
      <w:r w:rsidR="00AE1045">
        <w:rPr>
          <w:rFonts w:ascii="Times New Roman" w:hAnsi="Times New Roman" w:cs="Times New Roman"/>
          <w:sz w:val="24"/>
          <w:szCs w:val="24"/>
        </w:rPr>
        <w:t xml:space="preserve"> (</w:t>
      </w:r>
      <w:r w:rsidR="00A562F6">
        <w:rPr>
          <w:rFonts w:ascii="Times New Roman" w:hAnsi="Times New Roman" w:cs="Times New Roman"/>
          <w:sz w:val="24"/>
          <w:szCs w:val="24"/>
        </w:rPr>
        <w:t xml:space="preserve">Barton and Karathanasis, 2002). Clay minerals from the kaolin group are highly stable with a relatively small surface area of </w:t>
      </w:r>
      <w:r w:rsidR="00605EE3">
        <w:rPr>
          <w:rFonts w:ascii="Times New Roman" w:hAnsi="Times New Roman" w:cs="Times New Roman"/>
          <w:sz w:val="24"/>
          <w:szCs w:val="24"/>
        </w:rPr>
        <w:t>15</w:t>
      </w:r>
      <w:r w:rsidR="00A562F6">
        <w:rPr>
          <w:rFonts w:ascii="Times New Roman" w:hAnsi="Times New Roman" w:cs="Times New Roman"/>
          <w:sz w:val="24"/>
          <w:szCs w:val="24"/>
        </w:rPr>
        <w:t xml:space="preserve"> </w:t>
      </w:r>
      <w:r w:rsidR="00A562F6">
        <w:rPr>
          <w:rFonts w:ascii="Times New Roman" w:hAnsi="Times New Roman" w:cs="Times New Roman"/>
          <w:sz w:val="24"/>
          <w:szCs w:val="24"/>
        </w:rPr>
        <w:lastRenderedPageBreak/>
        <w:t>(m</w:t>
      </w:r>
      <w:r w:rsidR="00A562F6" w:rsidRPr="00A562F6">
        <w:rPr>
          <w:rFonts w:ascii="Times New Roman" w:hAnsi="Times New Roman" w:cs="Times New Roman"/>
          <w:sz w:val="24"/>
          <w:szCs w:val="24"/>
          <w:vertAlign w:val="superscript"/>
        </w:rPr>
        <w:t>2</w:t>
      </w:r>
      <w:r w:rsidR="00A562F6">
        <w:rPr>
          <w:rFonts w:ascii="Times New Roman" w:hAnsi="Times New Roman" w:cs="Times New Roman"/>
          <w:sz w:val="24"/>
          <w:szCs w:val="24"/>
        </w:rPr>
        <w:t>/gm). The kaolinite mineral is also non-swelling and has a very low absorptive capacity. These properties make the kaolinite clay mineral less detrimental to shale drilling operations.</w:t>
      </w:r>
    </w:p>
    <w:p w14:paraId="68C98230" w14:textId="77777777" w:rsidR="00753E6E" w:rsidRDefault="00753E6E" w:rsidP="00753E6E">
      <w:pPr>
        <w:pStyle w:val="ListParagraph"/>
        <w:numPr>
          <w:ilvl w:val="0"/>
          <w:numId w:val="19"/>
        </w:numPr>
        <w:rPr>
          <w:rFonts w:ascii="Times New Roman" w:hAnsi="Times New Roman" w:cs="Times New Roman"/>
          <w:b/>
          <w:bCs/>
          <w:sz w:val="24"/>
          <w:szCs w:val="24"/>
        </w:rPr>
      </w:pPr>
      <w:r w:rsidRPr="00753E6E">
        <w:rPr>
          <w:rFonts w:ascii="Times New Roman" w:hAnsi="Times New Roman" w:cs="Times New Roman"/>
          <w:b/>
          <w:bCs/>
          <w:sz w:val="24"/>
          <w:szCs w:val="24"/>
        </w:rPr>
        <w:t>2:1 clay mineral</w:t>
      </w:r>
    </w:p>
    <w:p w14:paraId="15945A1C" w14:textId="77777777" w:rsidR="00753E6E" w:rsidRDefault="00FC66ED" w:rsidP="0025438C">
      <w:pPr>
        <w:spacing w:line="480" w:lineRule="auto"/>
        <w:rPr>
          <w:rFonts w:ascii="Times New Roman" w:hAnsi="Times New Roman" w:cs="Times New Roman"/>
          <w:sz w:val="24"/>
          <w:szCs w:val="24"/>
        </w:rPr>
      </w:pPr>
      <w:r>
        <w:rPr>
          <w:rFonts w:ascii="Times New Roman" w:hAnsi="Times New Roman" w:cs="Times New Roman"/>
          <w:sz w:val="24"/>
          <w:szCs w:val="24"/>
        </w:rPr>
        <w:t>The sandwiching of one octahedral sheet by two tetrahedral sheets creates a three-sheet clay mineral type, usually called 2:1 clay mineral. The mica and smectite group are the most common 2:1 clay mineral.</w:t>
      </w:r>
      <w:r w:rsidR="00EE0792">
        <w:rPr>
          <w:rFonts w:ascii="Times New Roman" w:hAnsi="Times New Roman" w:cs="Times New Roman"/>
          <w:sz w:val="24"/>
          <w:szCs w:val="24"/>
        </w:rPr>
        <w:t xml:space="preserve"> The first group, mica consists of mineral such illite. Illite</w:t>
      </w:r>
      <w:r w:rsidR="006043E4">
        <w:rPr>
          <w:rFonts w:ascii="Times New Roman" w:hAnsi="Times New Roman" w:cs="Times New Roman"/>
          <w:sz w:val="24"/>
          <w:szCs w:val="24"/>
        </w:rPr>
        <w:t xml:space="preserve"> (</w:t>
      </w:r>
      <w:r w:rsidR="006043E4" w:rsidRPr="006043E4">
        <w:rPr>
          <w:rFonts w:ascii="Times New Roman" w:hAnsi="Times New Roman" w:cs="Times New Roman"/>
          <w:b/>
          <w:bCs/>
          <w:sz w:val="24"/>
          <w:szCs w:val="24"/>
        </w:rPr>
        <w:t xml:space="preserve">Figure </w:t>
      </w:r>
      <w:r w:rsidR="00D94F32">
        <w:rPr>
          <w:rFonts w:ascii="Times New Roman" w:hAnsi="Times New Roman" w:cs="Times New Roman"/>
          <w:b/>
          <w:bCs/>
          <w:sz w:val="24"/>
          <w:szCs w:val="24"/>
        </w:rPr>
        <w:t>11</w:t>
      </w:r>
      <w:r w:rsidR="00691D0A">
        <w:rPr>
          <w:rFonts w:ascii="Times New Roman" w:hAnsi="Times New Roman" w:cs="Times New Roman"/>
          <w:b/>
          <w:bCs/>
          <w:sz w:val="24"/>
          <w:szCs w:val="24"/>
        </w:rPr>
        <w:t>b</w:t>
      </w:r>
      <w:r w:rsidR="006043E4">
        <w:rPr>
          <w:rFonts w:ascii="Times New Roman" w:hAnsi="Times New Roman" w:cs="Times New Roman"/>
          <w:sz w:val="24"/>
          <w:szCs w:val="24"/>
        </w:rPr>
        <w:t>)</w:t>
      </w:r>
      <w:r w:rsidR="00EE0792">
        <w:rPr>
          <w:rFonts w:ascii="Times New Roman" w:hAnsi="Times New Roman" w:cs="Times New Roman"/>
          <w:sz w:val="24"/>
          <w:szCs w:val="24"/>
        </w:rPr>
        <w:t xml:space="preserve"> intermediates between kaolinite and the smectite. It has a general formula of (K</w:t>
      </w:r>
      <w:r w:rsidR="00EE0792" w:rsidRPr="00EE0792">
        <w:rPr>
          <w:rFonts w:ascii="Times New Roman" w:hAnsi="Times New Roman" w:cs="Times New Roman"/>
          <w:sz w:val="24"/>
          <w:szCs w:val="24"/>
          <w:vertAlign w:val="subscript"/>
        </w:rPr>
        <w:t>1-1,5</w:t>
      </w:r>
      <w:r w:rsidR="00EE0792">
        <w:rPr>
          <w:rFonts w:ascii="Times New Roman" w:hAnsi="Times New Roman" w:cs="Times New Roman"/>
          <w:sz w:val="24"/>
          <w:szCs w:val="24"/>
        </w:rPr>
        <w:t>A</w:t>
      </w:r>
      <w:r w:rsidR="00EE0792" w:rsidRPr="00EE0792">
        <w:rPr>
          <w:rFonts w:ascii="Times New Roman" w:hAnsi="Times New Roman" w:cs="Times New Roman"/>
          <w:sz w:val="24"/>
          <w:szCs w:val="24"/>
        </w:rPr>
        <w:t>l</w:t>
      </w:r>
      <w:r w:rsidR="00EE0792" w:rsidRPr="00EE0792">
        <w:rPr>
          <w:rFonts w:ascii="Times New Roman" w:hAnsi="Times New Roman" w:cs="Times New Roman"/>
          <w:sz w:val="24"/>
          <w:szCs w:val="24"/>
          <w:vertAlign w:val="subscript"/>
        </w:rPr>
        <w:t>4</w:t>
      </w:r>
      <w:r w:rsidR="00EE0792">
        <w:rPr>
          <w:rFonts w:ascii="Times New Roman" w:hAnsi="Times New Roman" w:cs="Times New Roman"/>
          <w:sz w:val="24"/>
          <w:szCs w:val="24"/>
        </w:rPr>
        <w:t>[Si</w:t>
      </w:r>
      <w:r w:rsidR="00EE0792" w:rsidRPr="00EE0792">
        <w:rPr>
          <w:rFonts w:ascii="Times New Roman" w:hAnsi="Times New Roman" w:cs="Times New Roman"/>
          <w:sz w:val="24"/>
          <w:szCs w:val="24"/>
          <w:vertAlign w:val="subscript"/>
        </w:rPr>
        <w:t>7-6</w:t>
      </w:r>
      <w:r w:rsidR="00EE0792">
        <w:rPr>
          <w:rFonts w:ascii="Times New Roman" w:hAnsi="Times New Roman" w:cs="Times New Roman"/>
          <w:sz w:val="24"/>
          <w:szCs w:val="24"/>
        </w:rPr>
        <w:t>,</w:t>
      </w:r>
      <w:r w:rsidR="00EE0792" w:rsidRPr="00EE0792">
        <w:rPr>
          <w:rFonts w:ascii="Times New Roman" w:hAnsi="Times New Roman" w:cs="Times New Roman"/>
          <w:sz w:val="24"/>
          <w:szCs w:val="24"/>
          <w:vertAlign w:val="subscript"/>
        </w:rPr>
        <w:t>5</w:t>
      </w:r>
      <w:r w:rsidR="00EE0792" w:rsidRPr="00EE0792">
        <w:rPr>
          <w:rFonts w:ascii="Times New Roman" w:hAnsi="Times New Roman" w:cs="Times New Roman"/>
          <w:sz w:val="24"/>
          <w:szCs w:val="24"/>
        </w:rPr>
        <w:t>Al</w:t>
      </w:r>
      <w:r w:rsidR="00EE0792" w:rsidRPr="00EE0792">
        <w:rPr>
          <w:rFonts w:ascii="Times New Roman" w:hAnsi="Times New Roman" w:cs="Times New Roman"/>
          <w:sz w:val="24"/>
          <w:szCs w:val="24"/>
          <w:vertAlign w:val="subscript"/>
        </w:rPr>
        <w:t>1-1,5</w:t>
      </w:r>
      <w:r w:rsidR="00EE0792">
        <w:rPr>
          <w:rFonts w:ascii="Times New Roman" w:hAnsi="Times New Roman" w:cs="Times New Roman"/>
          <w:sz w:val="24"/>
          <w:szCs w:val="24"/>
        </w:rPr>
        <w:t>O</w:t>
      </w:r>
      <w:r w:rsidR="00EE0792" w:rsidRPr="00EE0792">
        <w:rPr>
          <w:rFonts w:ascii="Times New Roman" w:hAnsi="Times New Roman" w:cs="Times New Roman"/>
          <w:sz w:val="24"/>
          <w:szCs w:val="24"/>
          <w:vertAlign w:val="subscript"/>
        </w:rPr>
        <w:t>20</w:t>
      </w:r>
      <w:r w:rsidR="00EE0792">
        <w:rPr>
          <w:rFonts w:ascii="Times New Roman" w:hAnsi="Times New Roman" w:cs="Times New Roman"/>
          <w:sz w:val="24"/>
          <w:szCs w:val="24"/>
        </w:rPr>
        <w:t>] (OH)</w:t>
      </w:r>
      <w:r w:rsidR="00EE0792" w:rsidRPr="00EE0792">
        <w:rPr>
          <w:rFonts w:ascii="Times New Roman" w:hAnsi="Times New Roman" w:cs="Times New Roman"/>
          <w:sz w:val="24"/>
          <w:szCs w:val="24"/>
          <w:vertAlign w:val="subscript"/>
        </w:rPr>
        <w:t>4</w:t>
      </w:r>
      <w:r w:rsidR="00EE0792">
        <w:rPr>
          <w:rFonts w:ascii="Times New Roman" w:hAnsi="Times New Roman" w:cs="Times New Roman"/>
          <w:sz w:val="24"/>
          <w:szCs w:val="24"/>
        </w:rPr>
        <w:t xml:space="preserve">). The illite mineral has layers that are tightly bonded together by Van der Waals bonds. </w:t>
      </w:r>
      <w:r w:rsidR="003B72D3">
        <w:rPr>
          <w:rFonts w:ascii="Times New Roman" w:hAnsi="Times New Roman" w:cs="Times New Roman"/>
          <w:sz w:val="24"/>
          <w:szCs w:val="24"/>
        </w:rPr>
        <w:t xml:space="preserve">The 2:1 illite presents low absorptive and swelling/shrinking capacity. This also has a surface area of </w:t>
      </w:r>
      <w:r w:rsidR="00605EE3">
        <w:rPr>
          <w:rFonts w:ascii="Times New Roman" w:hAnsi="Times New Roman" w:cs="Times New Roman"/>
          <w:sz w:val="24"/>
          <w:szCs w:val="24"/>
        </w:rPr>
        <w:t>30</w:t>
      </w:r>
      <w:r w:rsidR="003B72D3">
        <w:rPr>
          <w:rFonts w:ascii="Times New Roman" w:hAnsi="Times New Roman" w:cs="Times New Roman"/>
          <w:sz w:val="24"/>
          <w:szCs w:val="24"/>
        </w:rPr>
        <w:t xml:space="preserve"> (m</w:t>
      </w:r>
      <w:r w:rsidR="003B72D3" w:rsidRPr="003B72D3">
        <w:rPr>
          <w:rFonts w:ascii="Times New Roman" w:hAnsi="Times New Roman" w:cs="Times New Roman"/>
          <w:sz w:val="24"/>
          <w:szCs w:val="24"/>
          <w:vertAlign w:val="superscript"/>
        </w:rPr>
        <w:t>2</w:t>
      </w:r>
      <w:r w:rsidR="003B72D3">
        <w:rPr>
          <w:rFonts w:ascii="Times New Roman" w:hAnsi="Times New Roman" w:cs="Times New Roman"/>
          <w:sz w:val="24"/>
          <w:szCs w:val="24"/>
        </w:rPr>
        <w:t>/gm) and is very dispersive.</w:t>
      </w:r>
      <w:r w:rsidR="00C67253">
        <w:rPr>
          <w:rFonts w:ascii="Times New Roman" w:hAnsi="Times New Roman" w:cs="Times New Roman"/>
          <w:sz w:val="24"/>
          <w:szCs w:val="24"/>
        </w:rPr>
        <w:t xml:space="preserve"> The other group of the 2:1 clay mineral is the expandable group known as smectite</w:t>
      </w:r>
      <w:r w:rsidR="00555C6D">
        <w:rPr>
          <w:rFonts w:ascii="Times New Roman" w:hAnsi="Times New Roman" w:cs="Times New Roman"/>
          <w:sz w:val="24"/>
          <w:szCs w:val="24"/>
        </w:rPr>
        <w:t xml:space="preserve"> (</w:t>
      </w:r>
      <w:r w:rsidR="00555C6D" w:rsidRPr="00555C6D">
        <w:rPr>
          <w:rFonts w:ascii="Times New Roman" w:hAnsi="Times New Roman" w:cs="Times New Roman"/>
          <w:b/>
          <w:bCs/>
          <w:sz w:val="24"/>
          <w:szCs w:val="24"/>
        </w:rPr>
        <w:t xml:space="preserve">Figure </w:t>
      </w:r>
      <w:r w:rsidR="00D94F32">
        <w:rPr>
          <w:rFonts w:ascii="Times New Roman" w:hAnsi="Times New Roman" w:cs="Times New Roman"/>
          <w:b/>
          <w:bCs/>
          <w:sz w:val="24"/>
          <w:szCs w:val="24"/>
        </w:rPr>
        <w:t>11</w:t>
      </w:r>
      <w:r w:rsidR="00691D0A">
        <w:rPr>
          <w:rFonts w:ascii="Times New Roman" w:hAnsi="Times New Roman" w:cs="Times New Roman"/>
          <w:b/>
          <w:bCs/>
          <w:sz w:val="24"/>
          <w:szCs w:val="24"/>
        </w:rPr>
        <w:t>c</w:t>
      </w:r>
      <w:r w:rsidR="00555C6D">
        <w:rPr>
          <w:rFonts w:ascii="Times New Roman" w:hAnsi="Times New Roman" w:cs="Times New Roman"/>
          <w:sz w:val="24"/>
          <w:szCs w:val="24"/>
        </w:rPr>
        <w:t>)</w:t>
      </w:r>
      <w:r w:rsidR="00C67253">
        <w:rPr>
          <w:rFonts w:ascii="Times New Roman" w:hAnsi="Times New Roman" w:cs="Times New Roman"/>
          <w:sz w:val="24"/>
          <w:szCs w:val="24"/>
        </w:rPr>
        <w:t xml:space="preserve">. This mineral has charges that </w:t>
      </w:r>
      <w:r w:rsidR="00F942C8">
        <w:rPr>
          <w:rFonts w:ascii="Times New Roman" w:hAnsi="Times New Roman" w:cs="Times New Roman"/>
          <w:sz w:val="24"/>
          <w:szCs w:val="24"/>
        </w:rPr>
        <w:t>derive from the substitution of Mg</w:t>
      </w:r>
      <w:r w:rsidR="00F942C8" w:rsidRPr="00F942C8">
        <w:rPr>
          <w:rFonts w:ascii="Times New Roman" w:hAnsi="Times New Roman" w:cs="Times New Roman"/>
          <w:sz w:val="24"/>
          <w:szCs w:val="24"/>
          <w:vertAlign w:val="superscript"/>
        </w:rPr>
        <w:t>2+</w:t>
      </w:r>
      <w:r w:rsidR="00F942C8">
        <w:rPr>
          <w:rFonts w:ascii="Times New Roman" w:hAnsi="Times New Roman" w:cs="Times New Roman"/>
          <w:sz w:val="24"/>
          <w:szCs w:val="24"/>
        </w:rPr>
        <w:t xml:space="preserve"> and Al</w:t>
      </w:r>
      <w:r w:rsidR="00F942C8" w:rsidRPr="00F942C8">
        <w:rPr>
          <w:rFonts w:ascii="Times New Roman" w:hAnsi="Times New Roman" w:cs="Times New Roman"/>
          <w:sz w:val="24"/>
          <w:szCs w:val="24"/>
          <w:vertAlign w:val="superscript"/>
        </w:rPr>
        <w:t>3+</w:t>
      </w:r>
      <w:r w:rsidR="00F942C8">
        <w:rPr>
          <w:rFonts w:ascii="Times New Roman" w:hAnsi="Times New Roman" w:cs="Times New Roman"/>
          <w:sz w:val="24"/>
          <w:szCs w:val="24"/>
        </w:rPr>
        <w:t xml:space="preserve"> (Barton and Karathanasis, 2002).</w:t>
      </w:r>
      <w:r w:rsidR="00364923">
        <w:rPr>
          <w:rFonts w:ascii="Times New Roman" w:hAnsi="Times New Roman" w:cs="Times New Roman"/>
          <w:sz w:val="24"/>
          <w:szCs w:val="24"/>
        </w:rPr>
        <w:t xml:space="preserve"> Like most of the clay minerals, the 2:1 smectite consists of layers that are held together by the Van der Waals bonds. In addition to these bonds, the layers in this mineral are also held together by a weak cation-oxygen link. </w:t>
      </w:r>
      <w:r w:rsidR="0093440B">
        <w:rPr>
          <w:rFonts w:ascii="Times New Roman" w:hAnsi="Times New Roman" w:cs="Times New Roman"/>
          <w:sz w:val="24"/>
          <w:szCs w:val="24"/>
        </w:rPr>
        <w:t>The smectite group is represented by a general formula given by (1/2</w:t>
      </w:r>
      <w:r w:rsidR="00AC605B">
        <w:rPr>
          <w:rFonts w:ascii="Times New Roman" w:hAnsi="Times New Roman" w:cs="Times New Roman"/>
          <w:sz w:val="24"/>
          <w:szCs w:val="24"/>
        </w:rPr>
        <w:t xml:space="preserve"> </w:t>
      </w:r>
      <w:r w:rsidR="0093440B">
        <w:rPr>
          <w:rFonts w:ascii="Times New Roman" w:hAnsi="Times New Roman" w:cs="Times New Roman"/>
          <w:sz w:val="24"/>
          <w:szCs w:val="24"/>
        </w:rPr>
        <w:t>Ca, Na)</w:t>
      </w:r>
      <w:r w:rsidR="0093440B" w:rsidRPr="0093440B">
        <w:rPr>
          <w:rFonts w:ascii="Times New Roman" w:hAnsi="Times New Roman" w:cs="Times New Roman"/>
          <w:sz w:val="24"/>
          <w:szCs w:val="24"/>
          <w:vertAlign w:val="subscript"/>
        </w:rPr>
        <w:t>0,7</w:t>
      </w:r>
      <w:r w:rsidR="0093440B">
        <w:rPr>
          <w:rFonts w:ascii="Times New Roman" w:hAnsi="Times New Roman" w:cs="Times New Roman"/>
          <w:sz w:val="24"/>
          <w:szCs w:val="24"/>
        </w:rPr>
        <w:t>(Al, Mg, Fe)</w:t>
      </w:r>
      <w:r w:rsidR="0093440B" w:rsidRPr="0093440B">
        <w:rPr>
          <w:rFonts w:ascii="Times New Roman" w:hAnsi="Times New Roman" w:cs="Times New Roman"/>
          <w:sz w:val="24"/>
          <w:szCs w:val="24"/>
          <w:vertAlign w:val="subscript"/>
        </w:rPr>
        <w:t>4</w:t>
      </w:r>
      <w:r w:rsidR="0093440B">
        <w:rPr>
          <w:rFonts w:ascii="Times New Roman" w:hAnsi="Times New Roman" w:cs="Times New Roman"/>
          <w:sz w:val="24"/>
          <w:szCs w:val="24"/>
        </w:rPr>
        <w:t>[(Si, Al)</w:t>
      </w:r>
      <w:r w:rsidR="0093440B" w:rsidRPr="0093440B">
        <w:rPr>
          <w:rFonts w:ascii="Times New Roman" w:hAnsi="Times New Roman" w:cs="Times New Roman"/>
          <w:sz w:val="24"/>
          <w:szCs w:val="24"/>
          <w:vertAlign w:val="subscript"/>
        </w:rPr>
        <w:t>8</w:t>
      </w:r>
      <w:r w:rsidR="0093440B">
        <w:rPr>
          <w:rFonts w:ascii="Times New Roman" w:hAnsi="Times New Roman" w:cs="Times New Roman"/>
          <w:sz w:val="24"/>
          <w:szCs w:val="24"/>
        </w:rPr>
        <w:t>O</w:t>
      </w:r>
      <w:r w:rsidR="0093440B" w:rsidRPr="0093440B">
        <w:rPr>
          <w:rFonts w:ascii="Times New Roman" w:hAnsi="Times New Roman" w:cs="Times New Roman"/>
          <w:sz w:val="24"/>
          <w:szCs w:val="24"/>
          <w:vertAlign w:val="subscript"/>
        </w:rPr>
        <w:t>20</w:t>
      </w:r>
      <w:r w:rsidR="0093440B">
        <w:rPr>
          <w:rFonts w:ascii="Times New Roman" w:hAnsi="Times New Roman" w:cs="Times New Roman"/>
          <w:sz w:val="24"/>
          <w:szCs w:val="24"/>
        </w:rPr>
        <w:t>]. nH</w:t>
      </w:r>
      <w:r w:rsidR="0093440B" w:rsidRPr="0093440B">
        <w:rPr>
          <w:rFonts w:ascii="Times New Roman" w:hAnsi="Times New Roman" w:cs="Times New Roman"/>
          <w:sz w:val="24"/>
          <w:szCs w:val="24"/>
          <w:vertAlign w:val="subscript"/>
        </w:rPr>
        <w:t>2</w:t>
      </w:r>
      <w:r w:rsidR="0093440B">
        <w:rPr>
          <w:rFonts w:ascii="Times New Roman" w:hAnsi="Times New Roman" w:cs="Times New Roman"/>
          <w:sz w:val="24"/>
          <w:szCs w:val="24"/>
        </w:rPr>
        <w:t>O</w:t>
      </w:r>
      <w:r w:rsidR="00BC230C">
        <w:rPr>
          <w:rFonts w:ascii="Times New Roman" w:hAnsi="Times New Roman" w:cs="Times New Roman"/>
          <w:sz w:val="24"/>
          <w:szCs w:val="24"/>
        </w:rPr>
        <w:t>.</w:t>
      </w:r>
      <w:r w:rsidR="00675D36">
        <w:rPr>
          <w:rFonts w:ascii="Times New Roman" w:hAnsi="Times New Roman" w:cs="Times New Roman"/>
          <w:sz w:val="24"/>
          <w:szCs w:val="24"/>
        </w:rPr>
        <w:t xml:space="preserve"> The presence exchangeable cation such as Al</w:t>
      </w:r>
      <w:r w:rsidR="00675D36" w:rsidRPr="007609B1">
        <w:rPr>
          <w:rFonts w:ascii="Times New Roman" w:hAnsi="Times New Roman" w:cs="Times New Roman"/>
          <w:sz w:val="24"/>
          <w:szCs w:val="24"/>
          <w:vertAlign w:val="superscript"/>
        </w:rPr>
        <w:t>3+</w:t>
      </w:r>
      <w:r w:rsidR="00675D36">
        <w:rPr>
          <w:rFonts w:ascii="Times New Roman" w:hAnsi="Times New Roman" w:cs="Times New Roman"/>
          <w:sz w:val="24"/>
          <w:szCs w:val="24"/>
        </w:rPr>
        <w:t xml:space="preserve"> and Mg</w:t>
      </w:r>
      <w:r w:rsidR="00675D36" w:rsidRPr="007609B1">
        <w:rPr>
          <w:rFonts w:ascii="Times New Roman" w:hAnsi="Times New Roman" w:cs="Times New Roman"/>
          <w:sz w:val="24"/>
          <w:szCs w:val="24"/>
          <w:vertAlign w:val="superscript"/>
        </w:rPr>
        <w:t>2+</w:t>
      </w:r>
      <w:r w:rsidR="00675D36">
        <w:rPr>
          <w:rFonts w:ascii="Times New Roman" w:hAnsi="Times New Roman" w:cs="Times New Roman"/>
          <w:sz w:val="24"/>
          <w:szCs w:val="24"/>
        </w:rPr>
        <w:t xml:space="preserve"> between water molecules makes the smectite group </w:t>
      </w:r>
      <w:r w:rsidR="007609B1">
        <w:rPr>
          <w:rFonts w:ascii="Times New Roman" w:hAnsi="Times New Roman" w:cs="Times New Roman"/>
          <w:sz w:val="24"/>
          <w:szCs w:val="24"/>
        </w:rPr>
        <w:t xml:space="preserve">highly </w:t>
      </w:r>
      <w:r w:rsidR="00675D36">
        <w:rPr>
          <w:rFonts w:ascii="Times New Roman" w:hAnsi="Times New Roman" w:cs="Times New Roman"/>
          <w:sz w:val="24"/>
          <w:szCs w:val="24"/>
        </w:rPr>
        <w:t>expandable</w:t>
      </w:r>
      <w:r w:rsidR="007609B1">
        <w:rPr>
          <w:rFonts w:ascii="Times New Roman" w:hAnsi="Times New Roman" w:cs="Times New Roman"/>
          <w:sz w:val="24"/>
          <w:szCs w:val="24"/>
        </w:rPr>
        <w:t>.</w:t>
      </w:r>
      <w:r w:rsidR="00477F43">
        <w:rPr>
          <w:rFonts w:ascii="Times New Roman" w:hAnsi="Times New Roman" w:cs="Times New Roman"/>
          <w:sz w:val="24"/>
          <w:szCs w:val="24"/>
        </w:rPr>
        <w:t xml:space="preserve"> This mineral also has high swelling and shrinking potential, and adsorptive capacity.</w:t>
      </w:r>
      <w:r w:rsidR="00F62F23">
        <w:rPr>
          <w:rFonts w:ascii="Times New Roman" w:hAnsi="Times New Roman" w:cs="Times New Roman"/>
          <w:sz w:val="24"/>
          <w:szCs w:val="24"/>
        </w:rPr>
        <w:t xml:space="preserve"> This mineral unlike others, has a very high surface area of </w:t>
      </w:r>
      <w:r w:rsidR="00605EE3">
        <w:rPr>
          <w:rFonts w:ascii="Times New Roman" w:hAnsi="Times New Roman" w:cs="Times New Roman"/>
          <w:sz w:val="24"/>
          <w:szCs w:val="24"/>
        </w:rPr>
        <w:t>8</w:t>
      </w:r>
      <w:r w:rsidR="00134AEB">
        <w:rPr>
          <w:rFonts w:ascii="Times New Roman" w:hAnsi="Times New Roman" w:cs="Times New Roman"/>
          <w:sz w:val="24"/>
          <w:szCs w:val="24"/>
        </w:rPr>
        <w:t>00 (m</w:t>
      </w:r>
      <w:r w:rsidR="00134AEB" w:rsidRPr="00134AEB">
        <w:rPr>
          <w:rFonts w:ascii="Times New Roman" w:hAnsi="Times New Roman" w:cs="Times New Roman"/>
          <w:sz w:val="24"/>
          <w:szCs w:val="24"/>
          <w:vertAlign w:val="superscript"/>
        </w:rPr>
        <w:t>2</w:t>
      </w:r>
      <w:r w:rsidR="00134AEB">
        <w:rPr>
          <w:rFonts w:ascii="Times New Roman" w:hAnsi="Times New Roman" w:cs="Times New Roman"/>
          <w:sz w:val="24"/>
          <w:szCs w:val="24"/>
        </w:rPr>
        <w:t>/gm)</w:t>
      </w:r>
      <w:r w:rsidR="00605EE3">
        <w:rPr>
          <w:rFonts w:ascii="Times New Roman" w:hAnsi="Times New Roman" w:cs="Times New Roman"/>
          <w:sz w:val="24"/>
          <w:szCs w:val="24"/>
        </w:rPr>
        <w:t xml:space="preserve"> (</w:t>
      </w:r>
      <w:r w:rsidR="00BC47EA">
        <w:rPr>
          <w:rFonts w:ascii="Times New Roman" w:hAnsi="Times New Roman" w:cs="Times New Roman"/>
          <w:sz w:val="24"/>
          <w:szCs w:val="24"/>
        </w:rPr>
        <w:t>Tiab et al. 2004).</w:t>
      </w:r>
    </w:p>
    <w:p w14:paraId="7751A282" w14:textId="77777777" w:rsidR="00691D0A" w:rsidRDefault="00691D0A" w:rsidP="00691D0A">
      <w:pPr>
        <w:jc w:val="center"/>
        <w:rPr>
          <w:rFonts w:ascii="Times New Roman" w:hAnsi="Times New Roman" w:cs="Times New Roman"/>
          <w:sz w:val="24"/>
          <w:szCs w:val="24"/>
        </w:rPr>
      </w:pPr>
      <w:r>
        <w:rPr>
          <w:noProof/>
        </w:rPr>
        <w:lastRenderedPageBreak/>
        <w:drawing>
          <wp:inline distT="0" distB="0" distL="0" distR="0" wp14:anchorId="66DF77F4" wp14:editId="2609C9BF">
            <wp:extent cx="5943600" cy="24409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440940"/>
                    </a:xfrm>
                    <a:prstGeom prst="rect">
                      <a:avLst/>
                    </a:prstGeom>
                  </pic:spPr>
                </pic:pic>
              </a:graphicData>
            </a:graphic>
          </wp:inline>
        </w:drawing>
      </w:r>
    </w:p>
    <w:p w14:paraId="11D45A3A" w14:textId="043F86A5" w:rsidR="00691D0A" w:rsidRDefault="00D94F32" w:rsidP="00D94F32">
      <w:pPr>
        <w:pStyle w:val="Caption"/>
        <w:rPr>
          <w:szCs w:val="24"/>
        </w:rPr>
      </w:pPr>
      <w:bookmarkStart w:id="42" w:name="_Toc37087754"/>
      <w:r>
        <w:t xml:space="preserve">Figure </w:t>
      </w:r>
      <w:fldSimple w:instr=" SEQ Figure \* ARABIC ">
        <w:r w:rsidR="0092747F">
          <w:rPr>
            <w:noProof/>
          </w:rPr>
          <w:t>11</w:t>
        </w:r>
      </w:fldSimple>
      <w:r>
        <w:rPr>
          <w:b w:val="0"/>
          <w:bCs/>
          <w:szCs w:val="24"/>
        </w:rPr>
        <w:t>-</w:t>
      </w:r>
      <w:r w:rsidR="00691D0A">
        <w:rPr>
          <w:szCs w:val="24"/>
        </w:rPr>
        <w:t xml:space="preserve"> Scanning electron microscopic illustration of common clay minerals</w:t>
      </w:r>
      <w:r w:rsidR="00140798">
        <w:rPr>
          <w:szCs w:val="24"/>
        </w:rPr>
        <w:t xml:space="preserve"> </w:t>
      </w:r>
      <w:r w:rsidR="00EC5538">
        <w:rPr>
          <w:szCs w:val="24"/>
        </w:rPr>
        <w:t>(Tovey</w:t>
      </w:r>
      <w:r w:rsidR="005F127C">
        <w:rPr>
          <w:szCs w:val="24"/>
        </w:rPr>
        <w:t xml:space="preserve"> 1971)</w:t>
      </w:r>
      <w:bookmarkEnd w:id="42"/>
    </w:p>
    <w:p w14:paraId="1A96266F" w14:textId="77777777" w:rsidR="00C843DE" w:rsidRPr="006030C5" w:rsidRDefault="00C843DE" w:rsidP="00C843DE">
      <w:pPr>
        <w:pStyle w:val="ListParagraph"/>
        <w:numPr>
          <w:ilvl w:val="0"/>
          <w:numId w:val="19"/>
        </w:numPr>
        <w:rPr>
          <w:rFonts w:ascii="Times New Roman" w:hAnsi="Times New Roman" w:cs="Times New Roman"/>
          <w:b/>
          <w:bCs/>
          <w:sz w:val="24"/>
          <w:szCs w:val="24"/>
        </w:rPr>
      </w:pPr>
      <w:r w:rsidRPr="006030C5">
        <w:rPr>
          <w:rFonts w:ascii="Times New Roman" w:hAnsi="Times New Roman" w:cs="Times New Roman"/>
          <w:b/>
          <w:bCs/>
          <w:sz w:val="24"/>
          <w:szCs w:val="24"/>
        </w:rPr>
        <w:t>2:1:1 clay mineral</w:t>
      </w:r>
    </w:p>
    <w:p w14:paraId="0D4D2F1E" w14:textId="77777777" w:rsidR="00C843DE" w:rsidRDefault="00AE1335" w:rsidP="0025438C">
      <w:pPr>
        <w:spacing w:line="480" w:lineRule="auto"/>
        <w:rPr>
          <w:rFonts w:ascii="Times New Roman" w:hAnsi="Times New Roman" w:cs="Times New Roman"/>
          <w:sz w:val="24"/>
          <w:szCs w:val="24"/>
        </w:rPr>
      </w:pPr>
      <w:r>
        <w:rPr>
          <w:rFonts w:ascii="Times New Roman" w:hAnsi="Times New Roman" w:cs="Times New Roman"/>
          <w:sz w:val="24"/>
          <w:szCs w:val="24"/>
        </w:rPr>
        <w:t>The 2:1:1 clay mineral is a combination of the basic 2:</w:t>
      </w:r>
      <w:r w:rsidR="00DE31BC">
        <w:rPr>
          <w:rFonts w:ascii="Times New Roman" w:hAnsi="Times New Roman" w:cs="Times New Roman"/>
          <w:sz w:val="24"/>
          <w:szCs w:val="24"/>
        </w:rPr>
        <w:t>1-layer</w:t>
      </w:r>
      <w:r>
        <w:rPr>
          <w:rFonts w:ascii="Times New Roman" w:hAnsi="Times New Roman" w:cs="Times New Roman"/>
          <w:sz w:val="24"/>
          <w:szCs w:val="24"/>
        </w:rPr>
        <w:t xml:space="preserve"> structure and an additional interlayer like sheet. The interlayer sheet is generated due to the isomorphic substitution that occurs within the 2:</w:t>
      </w:r>
      <w:r w:rsidR="00DE31BC">
        <w:rPr>
          <w:rFonts w:ascii="Times New Roman" w:hAnsi="Times New Roman" w:cs="Times New Roman"/>
          <w:sz w:val="24"/>
          <w:szCs w:val="24"/>
        </w:rPr>
        <w:t>1-layer</w:t>
      </w:r>
      <w:r>
        <w:rPr>
          <w:rFonts w:ascii="Times New Roman" w:hAnsi="Times New Roman" w:cs="Times New Roman"/>
          <w:sz w:val="24"/>
          <w:szCs w:val="24"/>
        </w:rPr>
        <w:t xml:space="preserve"> structure.</w:t>
      </w:r>
      <w:r w:rsidR="00552C0F">
        <w:rPr>
          <w:rFonts w:ascii="Times New Roman" w:hAnsi="Times New Roman" w:cs="Times New Roman"/>
          <w:sz w:val="24"/>
          <w:szCs w:val="24"/>
        </w:rPr>
        <w:t xml:space="preserve"> The most common group of the 2:1:1 clay mineral is the chlorite.</w:t>
      </w:r>
      <w:r w:rsidR="00E659D8">
        <w:rPr>
          <w:rFonts w:ascii="Times New Roman" w:hAnsi="Times New Roman" w:cs="Times New Roman"/>
          <w:sz w:val="24"/>
          <w:szCs w:val="24"/>
        </w:rPr>
        <w:t xml:space="preserve"> This mineral </w:t>
      </w:r>
      <w:r w:rsidR="00976D96">
        <w:rPr>
          <w:rFonts w:ascii="Times New Roman" w:hAnsi="Times New Roman" w:cs="Times New Roman"/>
          <w:sz w:val="24"/>
          <w:szCs w:val="24"/>
        </w:rPr>
        <w:t>has a</w:t>
      </w:r>
      <w:r w:rsidR="00E659D8">
        <w:rPr>
          <w:rFonts w:ascii="Times New Roman" w:hAnsi="Times New Roman" w:cs="Times New Roman"/>
          <w:sz w:val="24"/>
          <w:szCs w:val="24"/>
        </w:rPr>
        <w:t xml:space="preserve"> general formula given by (Mg, Al, Fe)</w:t>
      </w:r>
      <w:r w:rsidR="00E659D8" w:rsidRPr="00976D96">
        <w:rPr>
          <w:rFonts w:ascii="Times New Roman" w:hAnsi="Times New Roman" w:cs="Times New Roman"/>
          <w:sz w:val="24"/>
          <w:szCs w:val="24"/>
          <w:vertAlign w:val="subscript"/>
        </w:rPr>
        <w:t>12</w:t>
      </w:r>
      <w:r w:rsidR="00E659D8">
        <w:rPr>
          <w:rFonts w:ascii="Times New Roman" w:hAnsi="Times New Roman" w:cs="Times New Roman"/>
          <w:sz w:val="24"/>
          <w:szCs w:val="24"/>
        </w:rPr>
        <w:t>[Si, Al)</w:t>
      </w:r>
      <w:r w:rsidR="00E659D8" w:rsidRPr="00976D96">
        <w:rPr>
          <w:rFonts w:ascii="Times New Roman" w:hAnsi="Times New Roman" w:cs="Times New Roman"/>
          <w:sz w:val="24"/>
          <w:szCs w:val="24"/>
          <w:vertAlign w:val="subscript"/>
        </w:rPr>
        <w:t>8</w:t>
      </w:r>
      <w:r w:rsidR="00E659D8">
        <w:rPr>
          <w:rFonts w:ascii="Times New Roman" w:hAnsi="Times New Roman" w:cs="Times New Roman"/>
          <w:sz w:val="24"/>
          <w:szCs w:val="24"/>
        </w:rPr>
        <w:t>O</w:t>
      </w:r>
      <w:r w:rsidR="00197D02" w:rsidRPr="00976D96">
        <w:rPr>
          <w:rFonts w:ascii="Times New Roman" w:hAnsi="Times New Roman" w:cs="Times New Roman"/>
          <w:sz w:val="24"/>
          <w:szCs w:val="24"/>
          <w:vertAlign w:val="subscript"/>
        </w:rPr>
        <w:t>20</w:t>
      </w:r>
      <w:r w:rsidR="00197D02">
        <w:rPr>
          <w:rFonts w:ascii="Times New Roman" w:hAnsi="Times New Roman" w:cs="Times New Roman"/>
          <w:sz w:val="24"/>
          <w:szCs w:val="24"/>
        </w:rPr>
        <w:t>] (</w:t>
      </w:r>
      <w:r w:rsidR="00E659D8">
        <w:rPr>
          <w:rFonts w:ascii="Times New Roman" w:hAnsi="Times New Roman" w:cs="Times New Roman"/>
          <w:sz w:val="24"/>
          <w:szCs w:val="24"/>
        </w:rPr>
        <w:t>OH)</w:t>
      </w:r>
      <w:r w:rsidR="00E659D8" w:rsidRPr="00976D96">
        <w:rPr>
          <w:rFonts w:ascii="Times New Roman" w:hAnsi="Times New Roman" w:cs="Times New Roman"/>
          <w:sz w:val="24"/>
          <w:szCs w:val="24"/>
          <w:vertAlign w:val="subscript"/>
        </w:rPr>
        <w:t>16</w:t>
      </w:r>
      <w:r w:rsidR="00976D96">
        <w:rPr>
          <w:rFonts w:ascii="Times New Roman" w:hAnsi="Times New Roman" w:cs="Times New Roman"/>
          <w:sz w:val="24"/>
          <w:szCs w:val="24"/>
        </w:rPr>
        <w:t>. This mineral has no adsorption capacity, which makes it non expansive.</w:t>
      </w:r>
      <w:r w:rsidR="00197D02">
        <w:rPr>
          <w:rFonts w:ascii="Times New Roman" w:hAnsi="Times New Roman" w:cs="Times New Roman"/>
          <w:sz w:val="24"/>
          <w:szCs w:val="24"/>
        </w:rPr>
        <w:t xml:space="preserve"> The chlorite has a surface area of 15 (m</w:t>
      </w:r>
      <w:r w:rsidR="00197D02" w:rsidRPr="00197D02">
        <w:rPr>
          <w:rFonts w:ascii="Times New Roman" w:hAnsi="Times New Roman" w:cs="Times New Roman"/>
          <w:sz w:val="24"/>
          <w:szCs w:val="24"/>
          <w:vertAlign w:val="superscript"/>
        </w:rPr>
        <w:t>2</w:t>
      </w:r>
      <w:r w:rsidR="00197D02">
        <w:rPr>
          <w:rFonts w:ascii="Times New Roman" w:hAnsi="Times New Roman" w:cs="Times New Roman"/>
          <w:sz w:val="24"/>
          <w:szCs w:val="24"/>
        </w:rPr>
        <w:t>/gm)</w:t>
      </w:r>
      <w:r w:rsidR="007E5F1D">
        <w:rPr>
          <w:rFonts w:ascii="Times New Roman" w:hAnsi="Times New Roman" w:cs="Times New Roman"/>
          <w:sz w:val="24"/>
          <w:szCs w:val="24"/>
        </w:rPr>
        <w:t xml:space="preserve"> </w:t>
      </w:r>
      <w:r w:rsidR="00B02835">
        <w:rPr>
          <w:rFonts w:ascii="Times New Roman" w:hAnsi="Times New Roman" w:cs="Times New Roman"/>
          <w:sz w:val="24"/>
          <w:szCs w:val="24"/>
        </w:rPr>
        <w:t>(Tiab</w:t>
      </w:r>
      <w:r w:rsidR="007E5F1D">
        <w:rPr>
          <w:rFonts w:ascii="Times New Roman" w:hAnsi="Times New Roman" w:cs="Times New Roman"/>
          <w:sz w:val="24"/>
          <w:szCs w:val="24"/>
        </w:rPr>
        <w:t xml:space="preserve"> et al. 2004).</w:t>
      </w:r>
    </w:p>
    <w:p w14:paraId="65154D9D" w14:textId="77777777" w:rsidR="00BA6ED0" w:rsidRDefault="00BA6ED0" w:rsidP="0025438C">
      <w:pPr>
        <w:pStyle w:val="ListParagraph"/>
        <w:numPr>
          <w:ilvl w:val="0"/>
          <w:numId w:val="19"/>
        </w:numPr>
        <w:spacing w:line="480" w:lineRule="auto"/>
        <w:rPr>
          <w:rFonts w:ascii="Times New Roman" w:hAnsi="Times New Roman" w:cs="Times New Roman"/>
          <w:b/>
          <w:bCs/>
          <w:sz w:val="24"/>
          <w:szCs w:val="24"/>
        </w:rPr>
      </w:pPr>
      <w:r w:rsidRPr="00BA6ED0">
        <w:rPr>
          <w:rFonts w:ascii="Times New Roman" w:hAnsi="Times New Roman" w:cs="Times New Roman"/>
          <w:b/>
          <w:bCs/>
          <w:sz w:val="24"/>
          <w:szCs w:val="24"/>
        </w:rPr>
        <w:t>Mixed-layer clay mineral</w:t>
      </w:r>
    </w:p>
    <w:p w14:paraId="7D4F7751" w14:textId="77777777" w:rsidR="00BA6ED0" w:rsidRDefault="00BA6ED0" w:rsidP="0025438C">
      <w:pPr>
        <w:spacing w:line="480" w:lineRule="auto"/>
        <w:rPr>
          <w:rFonts w:ascii="Times New Roman" w:hAnsi="Times New Roman" w:cs="Times New Roman"/>
          <w:sz w:val="24"/>
          <w:szCs w:val="24"/>
        </w:rPr>
      </w:pPr>
      <w:r>
        <w:rPr>
          <w:rFonts w:ascii="Times New Roman" w:hAnsi="Times New Roman" w:cs="Times New Roman"/>
          <w:sz w:val="24"/>
          <w:szCs w:val="24"/>
        </w:rPr>
        <w:t>In addition to the basic clay mineral discussed, there exist mixed-clay minerals. These minerals are formed from a combination the basic minerals. The most common mixed-layer clay minerals include the illite-smectite and the chlorite-smectite combination.</w:t>
      </w:r>
      <w:r w:rsidR="008B2BA2">
        <w:rPr>
          <w:rFonts w:ascii="Times New Roman" w:hAnsi="Times New Roman" w:cs="Times New Roman"/>
          <w:sz w:val="24"/>
          <w:szCs w:val="24"/>
        </w:rPr>
        <w:t xml:space="preserve"> Theirs properties and characteristics are similar to that their basic minerals that they originate from.</w:t>
      </w:r>
    </w:p>
    <w:p w14:paraId="6CA16538" w14:textId="77777777" w:rsidR="003F6119" w:rsidRDefault="00D1206E" w:rsidP="002543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clay minerals are important components of most shale reservoirs. The presence of clay minerals strongly affects the physical and chemical properties of most unconventional shale operations. </w:t>
      </w:r>
      <w:r w:rsidRPr="0057054F">
        <w:rPr>
          <w:rFonts w:ascii="Times New Roman" w:hAnsi="Times New Roman" w:cs="Times New Roman"/>
          <w:b/>
          <w:bCs/>
          <w:sz w:val="24"/>
          <w:szCs w:val="24"/>
        </w:rPr>
        <w:t xml:space="preserve">Table </w:t>
      </w:r>
      <w:r w:rsidR="004C3312">
        <w:rPr>
          <w:rFonts w:ascii="Times New Roman" w:hAnsi="Times New Roman" w:cs="Times New Roman"/>
          <w:b/>
          <w:bCs/>
          <w:sz w:val="24"/>
          <w:szCs w:val="24"/>
        </w:rPr>
        <w:t>5</w:t>
      </w:r>
      <w:r>
        <w:rPr>
          <w:rFonts w:ascii="Times New Roman" w:hAnsi="Times New Roman" w:cs="Times New Roman"/>
          <w:sz w:val="24"/>
          <w:szCs w:val="24"/>
        </w:rPr>
        <w:t xml:space="preserve"> summarizes some properties of most common clay minerals. </w:t>
      </w:r>
    </w:p>
    <w:p w14:paraId="06B50CDC" w14:textId="4C2C4052" w:rsidR="00A83628" w:rsidRPr="00AF2241" w:rsidRDefault="00C724F7" w:rsidP="004F5994">
      <w:pPr>
        <w:pStyle w:val="Caption"/>
      </w:pPr>
      <w:hyperlink w:anchor="_List_of_tables" w:history="1">
        <w:bookmarkStart w:id="43" w:name="_Toc37087882"/>
        <w:r w:rsidR="004F5994">
          <w:t xml:space="preserve">Table </w:t>
        </w:r>
        <w:fldSimple w:instr=" SEQ Table \* ARABIC ">
          <w:r w:rsidR="0092747F">
            <w:rPr>
              <w:noProof/>
            </w:rPr>
            <w:t>5</w:t>
          </w:r>
        </w:fldSimple>
        <w:r w:rsidR="005D3925" w:rsidRPr="00AF2241">
          <w:rPr>
            <w:rStyle w:val="Hyperlink"/>
            <w:bCs/>
            <w:color w:val="0D0D0D" w:themeColor="text1" w:themeTint="F2"/>
            <w:szCs w:val="24"/>
            <w:u w:val="none"/>
          </w:rPr>
          <w:t>-</w:t>
        </w:r>
        <w:r w:rsidR="00A83628" w:rsidRPr="00AF2241">
          <w:rPr>
            <w:rStyle w:val="Hyperlink"/>
            <w:bCs/>
            <w:color w:val="0D0D0D" w:themeColor="text1" w:themeTint="F2"/>
            <w:szCs w:val="24"/>
            <w:u w:val="none"/>
          </w:rPr>
          <w:t xml:space="preserve"> </w:t>
        </w:r>
        <w:r w:rsidR="005D3925" w:rsidRPr="00AF2241">
          <w:rPr>
            <w:rStyle w:val="Hyperlink"/>
            <w:bCs/>
            <w:color w:val="0D0D0D" w:themeColor="text1" w:themeTint="F2"/>
            <w:szCs w:val="24"/>
            <w:u w:val="none"/>
          </w:rPr>
          <w:t>S</w:t>
        </w:r>
        <w:r w:rsidR="0057054F" w:rsidRPr="00AF2241">
          <w:rPr>
            <w:rStyle w:val="Hyperlink"/>
            <w:bCs/>
            <w:color w:val="0D0D0D" w:themeColor="text1" w:themeTint="F2"/>
            <w:szCs w:val="24"/>
            <w:u w:val="none"/>
          </w:rPr>
          <w:t>ummary of some properties of the most common clay minerals and their effect on reservoir (Tiab et al. 2004, Civan 2000).</w:t>
        </w:r>
        <w:bookmarkEnd w:id="43"/>
      </w:hyperlink>
    </w:p>
    <w:tbl>
      <w:tblPr>
        <w:tblStyle w:val="TableGrid"/>
        <w:tblW w:w="9840" w:type="dxa"/>
        <w:jc w:val="center"/>
        <w:tblLook w:val="04A0" w:firstRow="1" w:lastRow="0" w:firstColumn="1" w:lastColumn="0" w:noHBand="0" w:noVBand="1"/>
      </w:tblPr>
      <w:tblGrid>
        <w:gridCol w:w="2459"/>
        <w:gridCol w:w="2459"/>
        <w:gridCol w:w="2461"/>
        <w:gridCol w:w="2461"/>
      </w:tblGrid>
      <w:tr w:rsidR="00336F93" w14:paraId="78463DD5" w14:textId="77777777" w:rsidTr="00C074CF">
        <w:trPr>
          <w:trHeight w:val="20"/>
          <w:jc w:val="center"/>
        </w:trPr>
        <w:tc>
          <w:tcPr>
            <w:tcW w:w="2459" w:type="dxa"/>
            <w:vAlign w:val="center"/>
          </w:tcPr>
          <w:p w14:paraId="6ABAFC9B"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Minerals</w:t>
            </w:r>
          </w:p>
        </w:tc>
        <w:tc>
          <w:tcPr>
            <w:tcW w:w="2459" w:type="dxa"/>
            <w:vAlign w:val="center"/>
          </w:tcPr>
          <w:p w14:paraId="2279B85A"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Surface area (m2/gm)</w:t>
            </w:r>
          </w:p>
        </w:tc>
        <w:tc>
          <w:tcPr>
            <w:tcW w:w="2461" w:type="dxa"/>
            <w:vAlign w:val="center"/>
          </w:tcPr>
          <w:p w14:paraId="32A219B5"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Cation exchange capacity (meq/100 gm)</w:t>
            </w:r>
          </w:p>
        </w:tc>
        <w:tc>
          <w:tcPr>
            <w:tcW w:w="2461" w:type="dxa"/>
            <w:vAlign w:val="center"/>
          </w:tcPr>
          <w:p w14:paraId="0FC0F366"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Major reservoir concerns</w:t>
            </w:r>
          </w:p>
        </w:tc>
      </w:tr>
      <w:tr w:rsidR="00336F93" w14:paraId="71E1C725" w14:textId="77777777" w:rsidTr="00C074CF">
        <w:trPr>
          <w:trHeight w:val="20"/>
          <w:jc w:val="center"/>
        </w:trPr>
        <w:tc>
          <w:tcPr>
            <w:tcW w:w="2459" w:type="dxa"/>
            <w:vAlign w:val="center"/>
          </w:tcPr>
          <w:p w14:paraId="39BF13E8"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Kaolinite</w:t>
            </w:r>
          </w:p>
        </w:tc>
        <w:tc>
          <w:tcPr>
            <w:tcW w:w="2459" w:type="dxa"/>
            <w:vAlign w:val="center"/>
          </w:tcPr>
          <w:p w14:paraId="726B8B1D"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15</w:t>
            </w:r>
          </w:p>
        </w:tc>
        <w:tc>
          <w:tcPr>
            <w:tcW w:w="2461" w:type="dxa"/>
            <w:vAlign w:val="center"/>
          </w:tcPr>
          <w:p w14:paraId="22C4BD97" w14:textId="77777777" w:rsidR="00336F93" w:rsidRDefault="005B026A" w:rsidP="00623D23">
            <w:pPr>
              <w:jc w:val="center"/>
              <w:rPr>
                <w:rFonts w:ascii="Times New Roman" w:hAnsi="Times New Roman" w:cs="Times New Roman"/>
                <w:sz w:val="24"/>
                <w:szCs w:val="24"/>
              </w:rPr>
            </w:pPr>
            <w:r>
              <w:rPr>
                <w:rFonts w:ascii="Times New Roman" w:hAnsi="Times New Roman" w:cs="Times New Roman"/>
                <w:sz w:val="24"/>
                <w:szCs w:val="24"/>
              </w:rPr>
              <w:t>1-10</w:t>
            </w:r>
          </w:p>
        </w:tc>
        <w:tc>
          <w:tcPr>
            <w:tcW w:w="2461" w:type="dxa"/>
            <w:vAlign w:val="center"/>
          </w:tcPr>
          <w:p w14:paraId="70AA0C9D"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Breaks apart, migrates and</w:t>
            </w:r>
          </w:p>
          <w:p w14:paraId="46B2DD2B"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concentrates at the pore throat</w:t>
            </w:r>
          </w:p>
          <w:p w14:paraId="56DB9775"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causing severe plugging and loss</w:t>
            </w:r>
          </w:p>
          <w:p w14:paraId="414E3F5E" w14:textId="77777777" w:rsidR="00336F93" w:rsidRDefault="005B026A" w:rsidP="00623D23">
            <w:pPr>
              <w:jc w:val="center"/>
              <w:rPr>
                <w:rFonts w:ascii="Times New Roman" w:hAnsi="Times New Roman" w:cs="Times New Roman"/>
                <w:sz w:val="24"/>
                <w:szCs w:val="24"/>
              </w:rPr>
            </w:pPr>
            <w:r w:rsidRPr="005B026A">
              <w:rPr>
                <w:rFonts w:ascii="TimesNewRomanPSMT" w:hAnsi="TimesNewRomanPSMT" w:cs="TimesNewRomanPSMT"/>
                <w:sz w:val="24"/>
                <w:szCs w:val="24"/>
              </w:rPr>
              <w:t>of permeability</w:t>
            </w:r>
          </w:p>
        </w:tc>
      </w:tr>
      <w:tr w:rsidR="00336F93" w14:paraId="5F006F74" w14:textId="77777777" w:rsidTr="00C074CF">
        <w:trPr>
          <w:trHeight w:val="20"/>
          <w:jc w:val="center"/>
        </w:trPr>
        <w:tc>
          <w:tcPr>
            <w:tcW w:w="2459" w:type="dxa"/>
            <w:vAlign w:val="center"/>
          </w:tcPr>
          <w:p w14:paraId="7DA1DA03"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Chlorite</w:t>
            </w:r>
          </w:p>
        </w:tc>
        <w:tc>
          <w:tcPr>
            <w:tcW w:w="2459" w:type="dxa"/>
            <w:vAlign w:val="center"/>
          </w:tcPr>
          <w:p w14:paraId="4535A3CB"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15</w:t>
            </w:r>
          </w:p>
        </w:tc>
        <w:tc>
          <w:tcPr>
            <w:tcW w:w="2461" w:type="dxa"/>
            <w:vAlign w:val="center"/>
          </w:tcPr>
          <w:p w14:paraId="35D98295" w14:textId="77777777" w:rsidR="00336F93" w:rsidRDefault="005B026A" w:rsidP="00623D23">
            <w:pPr>
              <w:jc w:val="center"/>
              <w:rPr>
                <w:rFonts w:ascii="Times New Roman" w:hAnsi="Times New Roman" w:cs="Times New Roman"/>
                <w:sz w:val="24"/>
                <w:szCs w:val="24"/>
              </w:rPr>
            </w:pPr>
            <w:r>
              <w:rPr>
                <w:rFonts w:ascii="Times New Roman" w:hAnsi="Times New Roman" w:cs="Times New Roman"/>
                <w:sz w:val="24"/>
                <w:szCs w:val="24"/>
              </w:rPr>
              <w:t>&lt;10</w:t>
            </w:r>
          </w:p>
        </w:tc>
        <w:tc>
          <w:tcPr>
            <w:tcW w:w="2461" w:type="dxa"/>
            <w:vAlign w:val="center"/>
          </w:tcPr>
          <w:p w14:paraId="74734DD1"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Extremely sensitive to acid and</w:t>
            </w:r>
          </w:p>
          <w:p w14:paraId="067D33E7"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oxygenated waters. Will</w:t>
            </w:r>
          </w:p>
          <w:p w14:paraId="0C3CEAD4"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precipitate gelatinous Fe (OH)</w:t>
            </w:r>
            <w:r w:rsidRPr="005B026A">
              <w:rPr>
                <w:rFonts w:ascii="TimesNewRomanPSMT" w:hAnsi="TimesNewRomanPSMT" w:cs="TimesNewRomanPSMT"/>
                <w:sz w:val="24"/>
                <w:szCs w:val="24"/>
                <w:vertAlign w:val="subscript"/>
              </w:rPr>
              <w:t>3</w:t>
            </w:r>
          </w:p>
          <w:p w14:paraId="18098C8D"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which will not pass through pore</w:t>
            </w:r>
          </w:p>
          <w:p w14:paraId="4161C647" w14:textId="77777777" w:rsidR="00336F93" w:rsidRDefault="005B026A" w:rsidP="00623D23">
            <w:pPr>
              <w:jc w:val="center"/>
              <w:rPr>
                <w:rFonts w:ascii="Times New Roman" w:hAnsi="Times New Roman" w:cs="Times New Roman"/>
                <w:sz w:val="24"/>
                <w:szCs w:val="24"/>
              </w:rPr>
            </w:pPr>
            <w:r w:rsidRPr="005B026A">
              <w:rPr>
                <w:rFonts w:ascii="TimesNewRomanPSMT" w:hAnsi="TimesNewRomanPSMT" w:cs="TimesNewRomanPSMT"/>
                <w:sz w:val="24"/>
                <w:szCs w:val="24"/>
              </w:rPr>
              <w:t>throats.</w:t>
            </w:r>
          </w:p>
        </w:tc>
      </w:tr>
      <w:tr w:rsidR="00336F93" w14:paraId="728B8D66" w14:textId="77777777" w:rsidTr="00C074CF">
        <w:trPr>
          <w:trHeight w:val="20"/>
          <w:jc w:val="center"/>
        </w:trPr>
        <w:tc>
          <w:tcPr>
            <w:tcW w:w="2459" w:type="dxa"/>
            <w:vAlign w:val="center"/>
          </w:tcPr>
          <w:p w14:paraId="2EC090EE"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Illite</w:t>
            </w:r>
          </w:p>
        </w:tc>
        <w:tc>
          <w:tcPr>
            <w:tcW w:w="2459" w:type="dxa"/>
            <w:vAlign w:val="center"/>
          </w:tcPr>
          <w:p w14:paraId="2C84C17F"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30</w:t>
            </w:r>
          </w:p>
        </w:tc>
        <w:tc>
          <w:tcPr>
            <w:tcW w:w="2461" w:type="dxa"/>
            <w:vAlign w:val="center"/>
          </w:tcPr>
          <w:p w14:paraId="7BFFE01A" w14:textId="77777777" w:rsidR="00336F93" w:rsidRDefault="005B026A" w:rsidP="00623D23">
            <w:pPr>
              <w:jc w:val="center"/>
              <w:rPr>
                <w:rFonts w:ascii="Times New Roman" w:hAnsi="Times New Roman" w:cs="Times New Roman"/>
                <w:sz w:val="24"/>
                <w:szCs w:val="24"/>
              </w:rPr>
            </w:pPr>
            <w:r>
              <w:rPr>
                <w:rFonts w:ascii="Times New Roman" w:hAnsi="Times New Roman" w:cs="Times New Roman"/>
                <w:sz w:val="24"/>
                <w:szCs w:val="24"/>
              </w:rPr>
              <w:t>10-40</w:t>
            </w:r>
          </w:p>
        </w:tc>
        <w:tc>
          <w:tcPr>
            <w:tcW w:w="2461" w:type="dxa"/>
            <w:vAlign w:val="center"/>
          </w:tcPr>
          <w:p w14:paraId="224543C7"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Plugs pore throats with other</w:t>
            </w:r>
          </w:p>
          <w:p w14:paraId="5645E65C"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migrating fines. Leaching of</w:t>
            </w:r>
          </w:p>
          <w:p w14:paraId="52A332AF"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potassium ions will change it to</w:t>
            </w:r>
          </w:p>
          <w:p w14:paraId="59DC468E" w14:textId="77777777" w:rsidR="00336F93" w:rsidRDefault="005B026A" w:rsidP="00623D23">
            <w:pPr>
              <w:jc w:val="center"/>
              <w:rPr>
                <w:rFonts w:ascii="Times New Roman" w:hAnsi="Times New Roman" w:cs="Times New Roman"/>
                <w:sz w:val="24"/>
                <w:szCs w:val="24"/>
              </w:rPr>
            </w:pPr>
            <w:r w:rsidRPr="005B026A">
              <w:rPr>
                <w:rFonts w:ascii="TimesNewRomanPSMT" w:hAnsi="TimesNewRomanPSMT" w:cs="TimesNewRomanPSMT"/>
                <w:sz w:val="24"/>
                <w:szCs w:val="24"/>
              </w:rPr>
              <w:t>expandable clay.</w:t>
            </w:r>
          </w:p>
        </w:tc>
      </w:tr>
      <w:tr w:rsidR="00336F93" w14:paraId="608571B2" w14:textId="77777777" w:rsidTr="00C074CF">
        <w:trPr>
          <w:trHeight w:val="20"/>
          <w:jc w:val="center"/>
        </w:trPr>
        <w:tc>
          <w:tcPr>
            <w:tcW w:w="2459" w:type="dxa"/>
            <w:vAlign w:val="center"/>
          </w:tcPr>
          <w:p w14:paraId="6EBC7DC2"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Smectite (Mont</w:t>
            </w:r>
            <w:r w:rsidR="008C449D">
              <w:rPr>
                <w:rFonts w:ascii="Times New Roman" w:hAnsi="Times New Roman" w:cs="Times New Roman"/>
                <w:sz w:val="24"/>
                <w:szCs w:val="24"/>
              </w:rPr>
              <w:t>)</w:t>
            </w:r>
          </w:p>
        </w:tc>
        <w:tc>
          <w:tcPr>
            <w:tcW w:w="2459" w:type="dxa"/>
            <w:vAlign w:val="center"/>
          </w:tcPr>
          <w:p w14:paraId="5031777B" w14:textId="77777777" w:rsidR="00336F93" w:rsidRDefault="00336F93" w:rsidP="00623D23">
            <w:pPr>
              <w:jc w:val="center"/>
              <w:rPr>
                <w:rFonts w:ascii="Times New Roman" w:hAnsi="Times New Roman" w:cs="Times New Roman"/>
                <w:sz w:val="24"/>
                <w:szCs w:val="24"/>
              </w:rPr>
            </w:pPr>
            <w:r>
              <w:rPr>
                <w:rFonts w:ascii="Times New Roman" w:hAnsi="Times New Roman" w:cs="Times New Roman"/>
                <w:sz w:val="24"/>
                <w:szCs w:val="24"/>
              </w:rPr>
              <w:t>800</w:t>
            </w:r>
          </w:p>
        </w:tc>
        <w:tc>
          <w:tcPr>
            <w:tcW w:w="2461" w:type="dxa"/>
            <w:vAlign w:val="center"/>
          </w:tcPr>
          <w:p w14:paraId="14C19B34" w14:textId="77777777" w:rsidR="00336F93" w:rsidRDefault="005B026A" w:rsidP="00623D23">
            <w:pPr>
              <w:jc w:val="center"/>
              <w:rPr>
                <w:rFonts w:ascii="Times New Roman" w:hAnsi="Times New Roman" w:cs="Times New Roman"/>
                <w:sz w:val="24"/>
                <w:szCs w:val="24"/>
              </w:rPr>
            </w:pPr>
            <w:r>
              <w:rPr>
                <w:rFonts w:ascii="Times New Roman" w:hAnsi="Times New Roman" w:cs="Times New Roman"/>
                <w:sz w:val="24"/>
                <w:szCs w:val="24"/>
              </w:rPr>
              <w:t>80-150</w:t>
            </w:r>
          </w:p>
        </w:tc>
        <w:tc>
          <w:tcPr>
            <w:tcW w:w="2461" w:type="dxa"/>
            <w:vAlign w:val="center"/>
          </w:tcPr>
          <w:p w14:paraId="626BD47C"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Water sensitive, 100%</w:t>
            </w:r>
          </w:p>
          <w:p w14:paraId="5DC37488" w14:textId="77777777" w:rsidR="005B026A" w:rsidRPr="005B026A" w:rsidRDefault="005B026A" w:rsidP="00623D23">
            <w:pPr>
              <w:autoSpaceDE w:val="0"/>
              <w:autoSpaceDN w:val="0"/>
              <w:adjustRightInd w:val="0"/>
              <w:jc w:val="center"/>
              <w:rPr>
                <w:rFonts w:ascii="TimesNewRomanPSMT" w:hAnsi="TimesNewRomanPSMT" w:cs="TimesNewRomanPSMT"/>
                <w:sz w:val="24"/>
                <w:szCs w:val="24"/>
              </w:rPr>
            </w:pPr>
            <w:r w:rsidRPr="005B026A">
              <w:rPr>
                <w:rFonts w:ascii="TimesNewRomanPSMT" w:hAnsi="TimesNewRomanPSMT" w:cs="TimesNewRomanPSMT"/>
                <w:sz w:val="24"/>
                <w:szCs w:val="24"/>
              </w:rPr>
              <w:t>expandable. Causes loss of</w:t>
            </w:r>
          </w:p>
          <w:p w14:paraId="2E5A7D4B" w14:textId="77777777" w:rsidR="00336F93" w:rsidRDefault="005B026A" w:rsidP="00623D23">
            <w:pPr>
              <w:jc w:val="center"/>
              <w:rPr>
                <w:rFonts w:ascii="Times New Roman" w:hAnsi="Times New Roman" w:cs="Times New Roman"/>
                <w:sz w:val="24"/>
                <w:szCs w:val="24"/>
              </w:rPr>
            </w:pPr>
            <w:r w:rsidRPr="005B026A">
              <w:rPr>
                <w:rFonts w:ascii="TimesNewRomanPSMT" w:hAnsi="TimesNewRomanPSMT" w:cs="TimesNewRomanPSMT"/>
                <w:sz w:val="24"/>
                <w:szCs w:val="24"/>
              </w:rPr>
              <w:t>microporosity and permeability</w:t>
            </w:r>
            <w:r>
              <w:rPr>
                <w:rFonts w:ascii="TimesNewRomanPSMT" w:hAnsi="TimesNewRomanPSMT" w:cs="TimesNewRomanPSMT"/>
                <w:sz w:val="20"/>
                <w:szCs w:val="20"/>
              </w:rPr>
              <w:t>.</w:t>
            </w:r>
          </w:p>
        </w:tc>
      </w:tr>
    </w:tbl>
    <w:p w14:paraId="7A67B67E" w14:textId="77777777" w:rsidR="004229FF" w:rsidRPr="005E60CE" w:rsidRDefault="004229FF" w:rsidP="004229FF">
      <w:pPr>
        <w:rPr>
          <w:rFonts w:ascii="Times New Roman" w:hAnsi="Times New Roman" w:cs="Times New Roman"/>
          <w:sz w:val="24"/>
          <w:szCs w:val="24"/>
        </w:rPr>
      </w:pPr>
    </w:p>
    <w:p w14:paraId="77D0F123" w14:textId="77777777" w:rsidR="00BF6CA1" w:rsidRDefault="003F5B26" w:rsidP="00BF6CA1">
      <w:pPr>
        <w:pStyle w:val="Heading2"/>
        <w:numPr>
          <w:ilvl w:val="1"/>
          <w:numId w:val="15"/>
        </w:numPr>
      </w:pPr>
      <w:bookmarkStart w:id="44" w:name="_Toc39751591"/>
      <w:bookmarkEnd w:id="37"/>
      <w:r>
        <w:t>Drilling Fluids</w:t>
      </w:r>
      <w:bookmarkEnd w:id="44"/>
    </w:p>
    <w:p w14:paraId="25BFC52D" w14:textId="77777777" w:rsidR="00BF6CA1" w:rsidRDefault="00BF6CA1" w:rsidP="0025438C">
      <w:pPr>
        <w:spacing w:line="480" w:lineRule="auto"/>
        <w:rPr>
          <w:rFonts w:ascii="Times New Roman" w:hAnsi="Times New Roman" w:cs="Times New Roman"/>
          <w:sz w:val="24"/>
          <w:szCs w:val="24"/>
        </w:rPr>
      </w:pPr>
      <w:r>
        <w:rPr>
          <w:rFonts w:ascii="Times New Roman" w:hAnsi="Times New Roman" w:cs="Times New Roman"/>
          <w:sz w:val="24"/>
          <w:szCs w:val="24"/>
        </w:rPr>
        <w:t xml:space="preserve">Drilling fluid refers to any fluid that is circulated or pumped from surface to drillstring through the drill bit and back to the surface by means of the annulus. The drilling fluid governs the </w:t>
      </w:r>
      <w:r>
        <w:rPr>
          <w:rFonts w:ascii="Times New Roman" w:hAnsi="Times New Roman" w:cs="Times New Roman"/>
          <w:sz w:val="24"/>
          <w:szCs w:val="24"/>
        </w:rPr>
        <w:lastRenderedPageBreak/>
        <w:t>success and failure rate of all drilling operations. Drilling fluid is as important for all drilling operations as the blood in a human body.</w:t>
      </w:r>
      <w:r w:rsidR="00C71897">
        <w:rPr>
          <w:rFonts w:ascii="Times New Roman" w:hAnsi="Times New Roman" w:cs="Times New Roman"/>
          <w:sz w:val="24"/>
          <w:szCs w:val="24"/>
        </w:rPr>
        <w:t xml:space="preserve"> It is at the heart of all drilling operations. Poor drilling fluid design and selection can a source of major issues including but not limited to: </w:t>
      </w:r>
    </w:p>
    <w:p w14:paraId="48FC13C2" w14:textId="77777777" w:rsidR="00C71897" w:rsidRDefault="00C71897" w:rsidP="0025438C">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 xml:space="preserve">Poor drilling performance and therefore a high cost of drilling operations </w:t>
      </w:r>
    </w:p>
    <w:p w14:paraId="098ECD1A" w14:textId="77777777" w:rsidR="00C71897" w:rsidRDefault="00C71897" w:rsidP="0025438C">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Failure to deliver quality geological and reservoir data</w:t>
      </w:r>
    </w:p>
    <w:p w14:paraId="465F06D5" w14:textId="77777777" w:rsidR="00C71897" w:rsidRDefault="0070012E" w:rsidP="0025438C">
      <w:pPr>
        <w:pStyle w:val="ListParagraph"/>
        <w:numPr>
          <w:ilvl w:val="0"/>
          <w:numId w:val="19"/>
        </w:numPr>
        <w:spacing w:line="480" w:lineRule="auto"/>
        <w:rPr>
          <w:rFonts w:ascii="Times New Roman" w:hAnsi="Times New Roman" w:cs="Times New Roman"/>
          <w:sz w:val="24"/>
          <w:szCs w:val="24"/>
        </w:rPr>
      </w:pPr>
      <w:r>
        <w:rPr>
          <w:rFonts w:ascii="Times New Roman" w:hAnsi="Times New Roman" w:cs="Times New Roman"/>
          <w:sz w:val="24"/>
          <w:szCs w:val="24"/>
        </w:rPr>
        <w:t>Failure to optimize reservoir production, etc.</w:t>
      </w:r>
    </w:p>
    <w:p w14:paraId="4695EF8C" w14:textId="77777777" w:rsidR="0070012E" w:rsidRDefault="0070012E" w:rsidP="0025438C">
      <w:pPr>
        <w:spacing w:line="480" w:lineRule="auto"/>
        <w:rPr>
          <w:rFonts w:ascii="Times New Roman" w:hAnsi="Times New Roman" w:cs="Times New Roman"/>
          <w:sz w:val="24"/>
          <w:szCs w:val="24"/>
        </w:rPr>
      </w:pPr>
      <w:r>
        <w:rPr>
          <w:rFonts w:ascii="Times New Roman" w:hAnsi="Times New Roman" w:cs="Times New Roman"/>
          <w:sz w:val="24"/>
          <w:szCs w:val="24"/>
        </w:rPr>
        <w:t>Drilling fluids have a variety of functions that can be classified into primary and secondary functions. The primary functions of drilling fluids focus on cutting removal, formation pressure, and borehole stability.</w:t>
      </w:r>
      <w:r w:rsidR="008112C0">
        <w:rPr>
          <w:rFonts w:ascii="Times New Roman" w:hAnsi="Times New Roman" w:cs="Times New Roman"/>
          <w:sz w:val="24"/>
          <w:szCs w:val="24"/>
        </w:rPr>
        <w:t xml:space="preserve"> The primary functions include:</w:t>
      </w:r>
    </w:p>
    <w:p w14:paraId="0113A35B" w14:textId="77777777" w:rsidR="008112C0" w:rsidRDefault="008112C0" w:rsidP="0025438C">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Transporting and remov</w:t>
      </w:r>
      <w:r w:rsidR="008A65D8">
        <w:rPr>
          <w:rFonts w:ascii="Times New Roman" w:hAnsi="Times New Roman" w:cs="Times New Roman"/>
          <w:sz w:val="24"/>
          <w:szCs w:val="24"/>
        </w:rPr>
        <w:t>ing</w:t>
      </w:r>
      <w:r>
        <w:rPr>
          <w:rFonts w:ascii="Times New Roman" w:hAnsi="Times New Roman" w:cs="Times New Roman"/>
          <w:sz w:val="24"/>
          <w:szCs w:val="24"/>
        </w:rPr>
        <w:t xml:space="preserve"> cuttings from wells</w:t>
      </w:r>
    </w:p>
    <w:p w14:paraId="696E9733" w14:textId="77777777" w:rsidR="008112C0" w:rsidRDefault="008112C0" w:rsidP="0025438C">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Controlling of formation pressure during drilling</w:t>
      </w:r>
    </w:p>
    <w:p w14:paraId="52AB61C2" w14:textId="77777777" w:rsidR="008112C0" w:rsidRDefault="008112C0" w:rsidP="0025438C">
      <w:pPr>
        <w:pStyle w:val="ListParagraph"/>
        <w:numPr>
          <w:ilvl w:val="0"/>
          <w:numId w:val="20"/>
        </w:numPr>
        <w:spacing w:line="480" w:lineRule="auto"/>
        <w:rPr>
          <w:rFonts w:ascii="Times New Roman" w:hAnsi="Times New Roman" w:cs="Times New Roman"/>
          <w:sz w:val="24"/>
          <w:szCs w:val="24"/>
        </w:rPr>
      </w:pPr>
      <w:r>
        <w:rPr>
          <w:rFonts w:ascii="Times New Roman" w:hAnsi="Times New Roman" w:cs="Times New Roman"/>
          <w:sz w:val="24"/>
          <w:szCs w:val="24"/>
        </w:rPr>
        <w:t>Maintaining borehole stability</w:t>
      </w:r>
    </w:p>
    <w:p w14:paraId="13D239CE" w14:textId="77777777" w:rsidR="001B3C12" w:rsidRDefault="001B3C12" w:rsidP="0025438C">
      <w:pPr>
        <w:spacing w:line="480" w:lineRule="auto"/>
        <w:rPr>
          <w:rFonts w:ascii="Times New Roman" w:hAnsi="Times New Roman" w:cs="Times New Roman"/>
          <w:sz w:val="24"/>
          <w:szCs w:val="24"/>
        </w:rPr>
      </w:pPr>
      <w:r>
        <w:rPr>
          <w:rFonts w:ascii="Times New Roman" w:hAnsi="Times New Roman" w:cs="Times New Roman"/>
          <w:sz w:val="24"/>
          <w:szCs w:val="24"/>
        </w:rPr>
        <w:t>In addition to these primary functions, drilling fluids provide additional functions known as secondary functions. The secondary functions are as important as the primary functions for the success of any drilling operations. The secondary functions of drilling fluids include:</w:t>
      </w:r>
    </w:p>
    <w:p w14:paraId="03003DA6" w14:textId="77777777" w:rsidR="001B3C12" w:rsidRDefault="001B3C12" w:rsidP="0025438C">
      <w:pPr>
        <w:pStyle w:val="ListParagraph"/>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Sealing of permeable formation to minimize risk of kick and blowout</w:t>
      </w:r>
    </w:p>
    <w:p w14:paraId="3B49CA6B" w14:textId="77777777" w:rsidR="001B3C12" w:rsidRDefault="001B3C12" w:rsidP="0025438C">
      <w:pPr>
        <w:pStyle w:val="ListParagraph"/>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 xml:space="preserve">Suspending of cutting </w:t>
      </w:r>
      <w:r w:rsidR="001141D1">
        <w:rPr>
          <w:rFonts w:ascii="Times New Roman" w:hAnsi="Times New Roman" w:cs="Times New Roman"/>
          <w:sz w:val="24"/>
          <w:szCs w:val="24"/>
        </w:rPr>
        <w:t>under</w:t>
      </w:r>
      <w:r>
        <w:rPr>
          <w:rFonts w:ascii="Times New Roman" w:hAnsi="Times New Roman" w:cs="Times New Roman"/>
          <w:sz w:val="24"/>
          <w:szCs w:val="24"/>
        </w:rPr>
        <w:t xml:space="preserve"> static conditions </w:t>
      </w:r>
    </w:p>
    <w:p w14:paraId="18E73ECC" w14:textId="77777777" w:rsidR="001141D1" w:rsidRDefault="001141D1" w:rsidP="0025438C">
      <w:pPr>
        <w:pStyle w:val="ListParagraph"/>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Cooling and lubricating of drill bit and bottom-hole assembly (BHA)</w:t>
      </w:r>
    </w:p>
    <w:p w14:paraId="7A60CD01" w14:textId="77777777" w:rsidR="001141D1" w:rsidRDefault="001141D1" w:rsidP="0025438C">
      <w:pPr>
        <w:pStyle w:val="ListParagraph"/>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Minimizing loss of fluid to formation</w:t>
      </w:r>
    </w:p>
    <w:p w14:paraId="6EA5A8B4" w14:textId="77777777" w:rsidR="001141D1" w:rsidRDefault="001141D1" w:rsidP="0025438C">
      <w:pPr>
        <w:pStyle w:val="ListParagraph"/>
        <w:numPr>
          <w:ilvl w:val="0"/>
          <w:numId w:val="22"/>
        </w:numPr>
        <w:spacing w:line="480" w:lineRule="auto"/>
        <w:rPr>
          <w:rFonts w:ascii="Times New Roman" w:hAnsi="Times New Roman" w:cs="Times New Roman"/>
          <w:sz w:val="24"/>
          <w:szCs w:val="24"/>
        </w:rPr>
      </w:pPr>
      <w:r>
        <w:rPr>
          <w:rFonts w:ascii="Times New Roman" w:hAnsi="Times New Roman" w:cs="Times New Roman"/>
          <w:sz w:val="24"/>
          <w:szCs w:val="24"/>
        </w:rPr>
        <w:t xml:space="preserve">Providing hydraulic </w:t>
      </w:r>
      <w:r w:rsidR="004410BE">
        <w:rPr>
          <w:rFonts w:ascii="Times New Roman" w:hAnsi="Times New Roman" w:cs="Times New Roman"/>
          <w:sz w:val="24"/>
          <w:szCs w:val="24"/>
        </w:rPr>
        <w:t>horsepower</w:t>
      </w:r>
      <w:r>
        <w:rPr>
          <w:rFonts w:ascii="Times New Roman" w:hAnsi="Times New Roman" w:cs="Times New Roman"/>
          <w:sz w:val="24"/>
          <w:szCs w:val="24"/>
        </w:rPr>
        <w:t xml:space="preserve"> to the bit.</w:t>
      </w:r>
    </w:p>
    <w:p w14:paraId="6445FFA5" w14:textId="77777777" w:rsidR="00DE31BC" w:rsidRDefault="00DE31BC" w:rsidP="002543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An effective drilling fluid accomplishes all primary functions and some secondary functions depending on the formation. </w:t>
      </w:r>
      <w:r w:rsidRPr="0036178A">
        <w:rPr>
          <w:rFonts w:ascii="Times New Roman" w:hAnsi="Times New Roman" w:cs="Times New Roman"/>
          <w:b/>
          <w:bCs/>
          <w:sz w:val="24"/>
          <w:szCs w:val="24"/>
        </w:rPr>
        <w:t xml:space="preserve">Figure </w:t>
      </w:r>
      <w:r w:rsidR="00D94F32">
        <w:rPr>
          <w:rFonts w:ascii="Times New Roman" w:hAnsi="Times New Roman" w:cs="Times New Roman"/>
          <w:b/>
          <w:bCs/>
          <w:sz w:val="24"/>
          <w:szCs w:val="24"/>
        </w:rPr>
        <w:t>12</w:t>
      </w:r>
      <w:r w:rsidRPr="0036178A">
        <w:rPr>
          <w:rFonts w:ascii="Times New Roman" w:hAnsi="Times New Roman" w:cs="Times New Roman"/>
          <w:b/>
          <w:bCs/>
          <w:sz w:val="24"/>
          <w:szCs w:val="24"/>
        </w:rPr>
        <w:t xml:space="preserve"> </w:t>
      </w:r>
      <w:r>
        <w:rPr>
          <w:rFonts w:ascii="Times New Roman" w:hAnsi="Times New Roman" w:cs="Times New Roman"/>
          <w:sz w:val="24"/>
          <w:szCs w:val="24"/>
        </w:rPr>
        <w:t>illustrates the main functions of a drilling fluid.</w:t>
      </w:r>
      <w:r w:rsidR="00510886">
        <w:rPr>
          <w:rFonts w:ascii="Times New Roman" w:hAnsi="Times New Roman" w:cs="Times New Roman"/>
          <w:sz w:val="24"/>
          <w:szCs w:val="24"/>
        </w:rPr>
        <w:t xml:space="preserve"> </w:t>
      </w:r>
      <w:r w:rsidR="003608C4">
        <w:rPr>
          <w:rFonts w:ascii="Times New Roman" w:hAnsi="Times New Roman" w:cs="Times New Roman"/>
          <w:sz w:val="24"/>
          <w:szCs w:val="24"/>
        </w:rPr>
        <w:t xml:space="preserve">Many key factors affect </w:t>
      </w:r>
      <w:r w:rsidR="005527C2">
        <w:rPr>
          <w:rFonts w:ascii="Times New Roman" w:hAnsi="Times New Roman" w:cs="Times New Roman"/>
          <w:sz w:val="24"/>
          <w:szCs w:val="24"/>
        </w:rPr>
        <w:t xml:space="preserve">the performance of drilling fluid. Some of the major factor include: </w:t>
      </w:r>
    </w:p>
    <w:p w14:paraId="6C6D3953" w14:textId="77777777" w:rsidR="005527C2" w:rsidRDefault="005527C2" w:rsidP="0025438C">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Fluid rheology</w:t>
      </w:r>
    </w:p>
    <w:p w14:paraId="353D23EF" w14:textId="77777777" w:rsidR="005527C2" w:rsidRDefault="005527C2" w:rsidP="0025438C">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Change in drilling fluid viscosity</w:t>
      </w:r>
    </w:p>
    <w:p w14:paraId="05984831" w14:textId="77777777" w:rsidR="005527C2" w:rsidRDefault="005527C2" w:rsidP="0025438C">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Change in drilling fluid density</w:t>
      </w:r>
    </w:p>
    <w:p w14:paraId="3E163467" w14:textId="77777777" w:rsidR="005527C2" w:rsidRDefault="005527C2" w:rsidP="0025438C">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Change of mud pH</w:t>
      </w:r>
    </w:p>
    <w:p w14:paraId="74E51A86" w14:textId="77777777" w:rsidR="002C0CFD" w:rsidRDefault="002C0CFD" w:rsidP="0025438C">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Corrosion or fatigue of the drillstring</w:t>
      </w:r>
    </w:p>
    <w:p w14:paraId="14376EFC" w14:textId="77777777" w:rsidR="002C0CFD" w:rsidRDefault="002C0CFD" w:rsidP="0025438C">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Thermal stability of the drilling fluid</w:t>
      </w:r>
    </w:p>
    <w:p w14:paraId="2DA96708" w14:textId="77777777" w:rsidR="002C0CFD" w:rsidRDefault="002C0CFD" w:rsidP="0025438C">
      <w:pPr>
        <w:pStyle w:val="ListParagraph"/>
        <w:numPr>
          <w:ilvl w:val="0"/>
          <w:numId w:val="23"/>
        </w:numPr>
        <w:spacing w:line="480" w:lineRule="auto"/>
        <w:rPr>
          <w:rFonts w:ascii="Times New Roman" w:hAnsi="Times New Roman" w:cs="Times New Roman"/>
          <w:sz w:val="24"/>
          <w:szCs w:val="24"/>
        </w:rPr>
      </w:pPr>
      <w:r>
        <w:rPr>
          <w:rFonts w:ascii="Times New Roman" w:hAnsi="Times New Roman" w:cs="Times New Roman"/>
          <w:sz w:val="24"/>
          <w:szCs w:val="24"/>
        </w:rPr>
        <w:t>Differential sticking</w:t>
      </w:r>
    </w:p>
    <w:p w14:paraId="56E25B32" w14:textId="77777777" w:rsidR="009C7193" w:rsidRPr="009C7193" w:rsidRDefault="003461E3" w:rsidP="0025438C">
      <w:pPr>
        <w:spacing w:line="480" w:lineRule="auto"/>
        <w:rPr>
          <w:rFonts w:ascii="Times New Roman" w:hAnsi="Times New Roman" w:cs="Times New Roman"/>
          <w:sz w:val="24"/>
          <w:szCs w:val="24"/>
        </w:rPr>
      </w:pPr>
      <w:r>
        <w:rPr>
          <w:rFonts w:ascii="Times New Roman" w:hAnsi="Times New Roman" w:cs="Times New Roman"/>
          <w:sz w:val="24"/>
          <w:szCs w:val="24"/>
        </w:rPr>
        <w:t>There are many types of drilling fluid available in the industry. The selection of the appropriate type of drilling fluid system is governed by factors such as formation type, drilling performance, relative cost, and disposal cost</w:t>
      </w:r>
      <w:r w:rsidR="00F75BAC">
        <w:rPr>
          <w:rFonts w:ascii="Times New Roman" w:hAnsi="Times New Roman" w:cs="Times New Roman"/>
          <w:sz w:val="24"/>
          <w:szCs w:val="24"/>
        </w:rPr>
        <w:t>. The major type</w:t>
      </w:r>
      <w:r w:rsidR="00B55B78">
        <w:rPr>
          <w:rFonts w:ascii="Times New Roman" w:hAnsi="Times New Roman" w:cs="Times New Roman"/>
          <w:sz w:val="24"/>
          <w:szCs w:val="24"/>
        </w:rPr>
        <w:t>s</w:t>
      </w:r>
      <w:r w:rsidR="00F75BAC">
        <w:rPr>
          <w:rFonts w:ascii="Times New Roman" w:hAnsi="Times New Roman" w:cs="Times New Roman"/>
          <w:sz w:val="24"/>
          <w:szCs w:val="24"/>
        </w:rPr>
        <w:t xml:space="preserve"> of drilling fluid systems are discussed below.</w:t>
      </w:r>
    </w:p>
    <w:p w14:paraId="44D17D55" w14:textId="77777777" w:rsidR="001B3C12" w:rsidRDefault="00751E8B" w:rsidP="0036178A">
      <w:pPr>
        <w:jc w:val="center"/>
        <w:rPr>
          <w:rFonts w:ascii="Times New Roman" w:hAnsi="Times New Roman" w:cs="Times New Roman"/>
          <w:sz w:val="24"/>
          <w:szCs w:val="24"/>
        </w:rPr>
      </w:pPr>
      <w:r>
        <w:rPr>
          <w:noProof/>
        </w:rPr>
        <w:lastRenderedPageBreak/>
        <w:drawing>
          <wp:inline distT="0" distB="0" distL="0" distR="0" wp14:anchorId="608D72C3" wp14:editId="2D787C88">
            <wp:extent cx="5943600" cy="33743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3374390"/>
                    </a:xfrm>
                    <a:prstGeom prst="rect">
                      <a:avLst/>
                    </a:prstGeom>
                  </pic:spPr>
                </pic:pic>
              </a:graphicData>
            </a:graphic>
          </wp:inline>
        </w:drawing>
      </w:r>
    </w:p>
    <w:p w14:paraId="33C1FC7F" w14:textId="6F8ACC0F" w:rsidR="0036178A" w:rsidRPr="001B3C12" w:rsidRDefault="00D94F32" w:rsidP="00D94F32">
      <w:pPr>
        <w:pStyle w:val="Caption"/>
        <w:rPr>
          <w:szCs w:val="24"/>
        </w:rPr>
      </w:pPr>
      <w:bookmarkStart w:id="45" w:name="_Toc37087755"/>
      <w:r>
        <w:t xml:space="preserve">Figure </w:t>
      </w:r>
      <w:fldSimple w:instr=" SEQ Figure \* ARABIC ">
        <w:r w:rsidR="0092747F">
          <w:rPr>
            <w:noProof/>
          </w:rPr>
          <w:t>12</w:t>
        </w:r>
      </w:fldSimple>
      <w:r>
        <w:rPr>
          <w:b w:val="0"/>
          <w:bCs/>
          <w:szCs w:val="24"/>
        </w:rPr>
        <w:t>-</w:t>
      </w:r>
      <w:r w:rsidR="0036178A">
        <w:rPr>
          <w:szCs w:val="24"/>
        </w:rPr>
        <w:t xml:space="preserve"> Primary and secondary function of an effective drilling flui</w:t>
      </w:r>
      <w:r w:rsidR="00751E8B">
        <w:rPr>
          <w:szCs w:val="24"/>
        </w:rPr>
        <w:t>d</w:t>
      </w:r>
      <w:bookmarkEnd w:id="45"/>
    </w:p>
    <w:p w14:paraId="34006D14" w14:textId="77777777" w:rsidR="003F5B26" w:rsidRDefault="00CB064E" w:rsidP="0003629F">
      <w:pPr>
        <w:pStyle w:val="Heading3"/>
        <w:numPr>
          <w:ilvl w:val="2"/>
          <w:numId w:val="15"/>
        </w:numPr>
      </w:pPr>
      <w:bookmarkStart w:id="46" w:name="_Toc39751592"/>
      <w:r>
        <w:t>Water-Based Mud Systems</w:t>
      </w:r>
      <w:bookmarkEnd w:id="46"/>
    </w:p>
    <w:p w14:paraId="0F65630C" w14:textId="77777777" w:rsidR="00DE401F" w:rsidRDefault="00F95BD3" w:rsidP="0025438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water-based </w:t>
      </w:r>
      <w:r w:rsidR="00554D5A">
        <w:rPr>
          <w:rFonts w:ascii="Times New Roman" w:hAnsi="Times New Roman" w:cs="Times New Roman"/>
          <w:sz w:val="24"/>
          <w:szCs w:val="24"/>
        </w:rPr>
        <w:t>mud (WBM) system</w:t>
      </w:r>
      <w:r>
        <w:rPr>
          <w:rFonts w:ascii="Times New Roman" w:hAnsi="Times New Roman" w:cs="Times New Roman"/>
          <w:sz w:val="24"/>
          <w:szCs w:val="24"/>
        </w:rPr>
        <w:t xml:space="preserve"> represents the most common fluid system used around the world.</w:t>
      </w:r>
      <w:r w:rsidR="0089096C">
        <w:rPr>
          <w:rFonts w:ascii="Times New Roman" w:hAnsi="Times New Roman" w:cs="Times New Roman"/>
          <w:sz w:val="24"/>
          <w:szCs w:val="24"/>
        </w:rPr>
        <w:t xml:space="preserve"> According to </w:t>
      </w:r>
      <w:r w:rsidR="00B43571">
        <w:rPr>
          <w:rFonts w:ascii="Times New Roman" w:hAnsi="Times New Roman" w:cs="Times New Roman"/>
          <w:sz w:val="24"/>
          <w:szCs w:val="24"/>
        </w:rPr>
        <w:t>Ryen Caenn 2015</w:t>
      </w:r>
      <w:r w:rsidR="0089096C">
        <w:rPr>
          <w:rFonts w:ascii="Times New Roman" w:hAnsi="Times New Roman" w:cs="Times New Roman"/>
          <w:sz w:val="24"/>
          <w:szCs w:val="24"/>
        </w:rPr>
        <w:t>, water-ba</w:t>
      </w:r>
      <w:r w:rsidR="00AE5B74">
        <w:rPr>
          <w:rFonts w:ascii="Times New Roman" w:hAnsi="Times New Roman" w:cs="Times New Roman"/>
          <w:sz w:val="24"/>
          <w:szCs w:val="24"/>
        </w:rPr>
        <w:t>sed mud account for approximately 60% of worldwide application.</w:t>
      </w:r>
      <w:r w:rsidR="00554D5A">
        <w:rPr>
          <w:rFonts w:ascii="Times New Roman" w:hAnsi="Times New Roman" w:cs="Times New Roman"/>
          <w:sz w:val="24"/>
          <w:szCs w:val="24"/>
        </w:rPr>
        <w:t xml:space="preserve"> WBM is a fluid system where the water represents the continuous phase of the mixture. WBM consists of a combination of a base fluid (freshwater, seawater), </w:t>
      </w:r>
      <w:r w:rsidR="00402D96">
        <w:rPr>
          <w:rFonts w:ascii="Times New Roman" w:hAnsi="Times New Roman" w:cs="Times New Roman"/>
          <w:sz w:val="24"/>
          <w:szCs w:val="24"/>
        </w:rPr>
        <w:t>clay (bentonite), and chemical or additives.</w:t>
      </w:r>
      <w:r w:rsidR="002A5D00">
        <w:rPr>
          <w:rFonts w:ascii="Times New Roman" w:hAnsi="Times New Roman" w:cs="Times New Roman"/>
          <w:sz w:val="24"/>
          <w:szCs w:val="24"/>
        </w:rPr>
        <w:t xml:space="preserve"> There are variety of WBM systems. The simplest water-based mud </w:t>
      </w:r>
      <w:r w:rsidR="001E180A">
        <w:rPr>
          <w:rFonts w:ascii="Times New Roman" w:hAnsi="Times New Roman" w:cs="Times New Roman"/>
          <w:sz w:val="24"/>
          <w:szCs w:val="24"/>
        </w:rPr>
        <w:t>is designed with based fluid such as freshwater or saltwater. This type of WBM is widely used in competent and non-reactive formations.</w:t>
      </w:r>
      <w:r w:rsidR="002E31C8">
        <w:rPr>
          <w:rFonts w:ascii="Times New Roman" w:hAnsi="Times New Roman" w:cs="Times New Roman"/>
          <w:sz w:val="24"/>
          <w:szCs w:val="24"/>
        </w:rPr>
        <w:t xml:space="preserve"> </w:t>
      </w:r>
      <w:r w:rsidR="00812BD8">
        <w:rPr>
          <w:rFonts w:ascii="Times New Roman" w:hAnsi="Times New Roman" w:cs="Times New Roman"/>
          <w:sz w:val="24"/>
          <w:szCs w:val="24"/>
        </w:rPr>
        <w:t>It can be both dispersive (freshwater) or non-dispersive (saltwater). Some major advantages of using the simplest WBM include its low cost, low toxicity, and low disposal and waste management costs. However, this version of WBM is greatly limited by its performance, stability issues, and poor temperature stability.</w:t>
      </w:r>
    </w:p>
    <w:p w14:paraId="3F95817A" w14:textId="77777777" w:rsidR="00F95BD3" w:rsidRPr="00F95BD3" w:rsidRDefault="00DE401F" w:rsidP="0025438C">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Another major type of water-based mud is the high-performance water-based mud (HPWBM). The HPWBM systems were introduced to overcome the limitations of the simplest WBM. </w:t>
      </w:r>
      <w:r w:rsidR="000512D8">
        <w:rPr>
          <w:rFonts w:ascii="Times New Roman" w:hAnsi="Times New Roman" w:cs="Times New Roman"/>
          <w:sz w:val="24"/>
          <w:szCs w:val="24"/>
        </w:rPr>
        <w:t>This version of WBM is designed using a unique salt such as potassium</w:t>
      </w:r>
      <w:r w:rsidR="0058120C">
        <w:rPr>
          <w:rFonts w:ascii="Times New Roman" w:hAnsi="Times New Roman" w:cs="Times New Roman"/>
          <w:sz w:val="24"/>
          <w:szCs w:val="24"/>
        </w:rPr>
        <w:t xml:space="preserve"> chlorite</w:t>
      </w:r>
      <w:r w:rsidR="000512D8">
        <w:rPr>
          <w:rFonts w:ascii="Times New Roman" w:hAnsi="Times New Roman" w:cs="Times New Roman"/>
          <w:sz w:val="24"/>
          <w:szCs w:val="24"/>
        </w:rPr>
        <w:t>, sodium</w:t>
      </w:r>
      <w:r w:rsidR="0058120C">
        <w:rPr>
          <w:rFonts w:ascii="Times New Roman" w:hAnsi="Times New Roman" w:cs="Times New Roman"/>
          <w:sz w:val="24"/>
          <w:szCs w:val="24"/>
        </w:rPr>
        <w:t xml:space="preserve"> chlorite</w:t>
      </w:r>
      <w:r w:rsidR="000512D8">
        <w:rPr>
          <w:rFonts w:ascii="Times New Roman" w:hAnsi="Times New Roman" w:cs="Times New Roman"/>
          <w:sz w:val="24"/>
          <w:szCs w:val="24"/>
        </w:rPr>
        <w:t xml:space="preserve">, </w:t>
      </w:r>
      <w:r w:rsidR="00651115">
        <w:rPr>
          <w:rFonts w:ascii="Times New Roman" w:hAnsi="Times New Roman" w:cs="Times New Roman"/>
          <w:sz w:val="24"/>
          <w:szCs w:val="24"/>
        </w:rPr>
        <w:t xml:space="preserve">or </w:t>
      </w:r>
      <w:r w:rsidR="000512D8">
        <w:rPr>
          <w:rFonts w:ascii="Times New Roman" w:hAnsi="Times New Roman" w:cs="Times New Roman"/>
          <w:sz w:val="24"/>
          <w:szCs w:val="24"/>
        </w:rPr>
        <w:t>calcium</w:t>
      </w:r>
      <w:r w:rsidR="0058120C">
        <w:rPr>
          <w:rFonts w:ascii="Times New Roman" w:hAnsi="Times New Roman" w:cs="Times New Roman"/>
          <w:sz w:val="24"/>
          <w:szCs w:val="24"/>
        </w:rPr>
        <w:t xml:space="preserve"> chlorite</w:t>
      </w:r>
      <w:r w:rsidR="00651115">
        <w:rPr>
          <w:rFonts w:ascii="Times New Roman" w:hAnsi="Times New Roman" w:cs="Times New Roman"/>
          <w:sz w:val="24"/>
          <w:szCs w:val="24"/>
        </w:rPr>
        <w:t>. These salts provide shale inhibition as opposed to the simplest WBM.</w:t>
      </w:r>
      <w:r w:rsidR="00B4287D">
        <w:rPr>
          <w:rFonts w:ascii="Times New Roman" w:hAnsi="Times New Roman" w:cs="Times New Roman"/>
          <w:sz w:val="24"/>
          <w:szCs w:val="24"/>
        </w:rPr>
        <w:t xml:space="preserve"> The pros of using HPWBM systems for drilling include the reduction in chemical interaction between drilling mud and a water-sensitive formation (reduction in hydration, swelling of clays)</w:t>
      </w:r>
      <w:r w:rsidR="00EF741C">
        <w:rPr>
          <w:rFonts w:ascii="Times New Roman" w:hAnsi="Times New Roman" w:cs="Times New Roman"/>
          <w:sz w:val="24"/>
          <w:szCs w:val="24"/>
        </w:rPr>
        <w:t xml:space="preserve">, improved rheology, improve hole </w:t>
      </w:r>
      <w:r w:rsidR="00037A17">
        <w:rPr>
          <w:rFonts w:ascii="Times New Roman" w:hAnsi="Times New Roman" w:cs="Times New Roman"/>
          <w:sz w:val="24"/>
          <w:szCs w:val="24"/>
        </w:rPr>
        <w:t xml:space="preserve">and temperature </w:t>
      </w:r>
      <w:r w:rsidR="00EF741C">
        <w:rPr>
          <w:rFonts w:ascii="Times New Roman" w:hAnsi="Times New Roman" w:cs="Times New Roman"/>
          <w:sz w:val="24"/>
          <w:szCs w:val="24"/>
        </w:rPr>
        <w:t>stability, and increase drilling performance.</w:t>
      </w:r>
      <w:r w:rsidR="00037A17">
        <w:rPr>
          <w:rFonts w:ascii="Times New Roman" w:hAnsi="Times New Roman" w:cs="Times New Roman"/>
          <w:sz w:val="24"/>
          <w:szCs w:val="24"/>
        </w:rPr>
        <w:t xml:space="preserve"> However, their application is limited by </w:t>
      </w:r>
      <w:r w:rsidR="006E4128">
        <w:rPr>
          <w:rFonts w:ascii="Times New Roman" w:hAnsi="Times New Roman" w:cs="Times New Roman"/>
          <w:sz w:val="24"/>
          <w:szCs w:val="24"/>
        </w:rPr>
        <w:t>their relative cost, disposal cost, and restriction on waste management</w:t>
      </w:r>
      <w:r w:rsidR="00667894">
        <w:rPr>
          <w:rFonts w:ascii="Times New Roman" w:hAnsi="Times New Roman" w:cs="Times New Roman"/>
          <w:sz w:val="24"/>
          <w:szCs w:val="24"/>
        </w:rPr>
        <w:t xml:space="preserve"> (Mar</w:t>
      </w:r>
      <w:r w:rsidR="00AD2303">
        <w:rPr>
          <w:rFonts w:ascii="Times New Roman" w:hAnsi="Times New Roman" w:cs="Times New Roman"/>
          <w:sz w:val="24"/>
          <w:szCs w:val="24"/>
        </w:rPr>
        <w:t>i</w:t>
      </w:r>
      <w:r w:rsidR="00667894">
        <w:rPr>
          <w:rFonts w:ascii="Times New Roman" w:hAnsi="Times New Roman" w:cs="Times New Roman"/>
          <w:sz w:val="24"/>
          <w:szCs w:val="24"/>
        </w:rPr>
        <w:t>o and Mike, 2017)</w:t>
      </w:r>
      <w:r w:rsidR="001F7B3D">
        <w:rPr>
          <w:rFonts w:ascii="Times New Roman" w:hAnsi="Times New Roman" w:cs="Times New Roman"/>
          <w:sz w:val="24"/>
          <w:szCs w:val="24"/>
        </w:rPr>
        <w:t>.</w:t>
      </w:r>
    </w:p>
    <w:p w14:paraId="6594EF0C" w14:textId="77777777" w:rsidR="003F5B26" w:rsidRDefault="00CB064E" w:rsidP="0003629F">
      <w:pPr>
        <w:pStyle w:val="Heading3"/>
        <w:numPr>
          <w:ilvl w:val="2"/>
          <w:numId w:val="15"/>
        </w:numPr>
      </w:pPr>
      <w:bookmarkStart w:id="47" w:name="_Toc39751593"/>
      <w:r>
        <w:t>Oil-Based Mud Systems</w:t>
      </w:r>
      <w:bookmarkEnd w:id="47"/>
    </w:p>
    <w:p w14:paraId="1DA39560" w14:textId="77777777" w:rsidR="0036171F" w:rsidRPr="0036171F" w:rsidRDefault="00F55FE8" w:rsidP="0025438C">
      <w:pPr>
        <w:spacing w:line="480" w:lineRule="auto"/>
        <w:rPr>
          <w:rFonts w:ascii="Times New Roman" w:hAnsi="Times New Roman" w:cs="Times New Roman"/>
          <w:sz w:val="24"/>
          <w:szCs w:val="24"/>
        </w:rPr>
      </w:pPr>
      <w:r>
        <w:rPr>
          <w:rFonts w:ascii="Times New Roman" w:hAnsi="Times New Roman" w:cs="Times New Roman"/>
          <w:sz w:val="24"/>
          <w:szCs w:val="24"/>
        </w:rPr>
        <w:t>Oil-based mud (OBM) system is another major type drilling fluid system with a wide range of use in the industry. OBM is drilling fluid system mainly composed of a base oil (diesel, low toxic mineral), water, additives and chemicals. The base oil represents the continuous phase of the system</w:t>
      </w:r>
      <w:r w:rsidR="0058120C">
        <w:rPr>
          <w:rFonts w:ascii="Times New Roman" w:hAnsi="Times New Roman" w:cs="Times New Roman"/>
          <w:sz w:val="24"/>
          <w:szCs w:val="24"/>
        </w:rPr>
        <w:t>.</w:t>
      </w:r>
      <w:r w:rsidR="00381170">
        <w:rPr>
          <w:rFonts w:ascii="Times New Roman" w:hAnsi="Times New Roman" w:cs="Times New Roman"/>
          <w:sz w:val="24"/>
          <w:szCs w:val="24"/>
        </w:rPr>
        <w:t xml:space="preserve"> </w:t>
      </w:r>
      <w:r w:rsidR="00CB37C1">
        <w:rPr>
          <w:rFonts w:ascii="Times New Roman" w:hAnsi="Times New Roman" w:cs="Times New Roman"/>
          <w:sz w:val="24"/>
          <w:szCs w:val="24"/>
        </w:rPr>
        <w:t>OBM systems provide an improvement to the WBM systems and help overcome their limitations.</w:t>
      </w:r>
      <w:r w:rsidR="005D3E09">
        <w:rPr>
          <w:rFonts w:ascii="Times New Roman" w:hAnsi="Times New Roman" w:cs="Times New Roman"/>
          <w:sz w:val="24"/>
          <w:szCs w:val="24"/>
        </w:rPr>
        <w:t xml:space="preserve"> This drilling fluid is highly effective in drilling of (1) highly reactive shale formations, (2) evaporite formations, (3) extended reach wells, (4) deep, high pressure, high temperature (HPHT) wells (Konate et al. 2019).</w:t>
      </w:r>
      <w:r w:rsidR="00B93B9F">
        <w:rPr>
          <w:rFonts w:ascii="Times New Roman" w:hAnsi="Times New Roman" w:cs="Times New Roman"/>
          <w:sz w:val="24"/>
          <w:szCs w:val="24"/>
        </w:rPr>
        <w:t xml:space="preserve"> </w:t>
      </w:r>
      <w:r w:rsidR="00821DC0">
        <w:rPr>
          <w:rFonts w:ascii="Times New Roman" w:hAnsi="Times New Roman" w:cs="Times New Roman"/>
          <w:sz w:val="24"/>
          <w:szCs w:val="24"/>
        </w:rPr>
        <w:t>OBM systems are used for reasons including improved lubricity, enhanced shale inhibition, improve rock-fluid interaction (swelling and hydration), greater cleaning ability due to low viscosity, and stability at high temperature.</w:t>
      </w:r>
      <w:r w:rsidR="006A4A32">
        <w:rPr>
          <w:rFonts w:ascii="Times New Roman" w:hAnsi="Times New Roman" w:cs="Times New Roman"/>
          <w:sz w:val="24"/>
          <w:szCs w:val="24"/>
        </w:rPr>
        <w:t xml:space="preserve"> However, as reported by Konate et al. (201</w:t>
      </w:r>
      <w:r w:rsidR="00162754">
        <w:rPr>
          <w:rFonts w:ascii="Times New Roman" w:hAnsi="Times New Roman" w:cs="Times New Roman"/>
          <w:sz w:val="24"/>
          <w:szCs w:val="24"/>
        </w:rPr>
        <w:t>9</w:t>
      </w:r>
      <w:r w:rsidR="006A4A32">
        <w:rPr>
          <w:rFonts w:ascii="Times New Roman" w:hAnsi="Times New Roman" w:cs="Times New Roman"/>
          <w:sz w:val="24"/>
          <w:szCs w:val="24"/>
        </w:rPr>
        <w:t>), the effectiveness of OBM systems is greatly limited by the associated high cost, strict environmental regulations, elevated disposal cost, waste management concerns, and logging difficulties.</w:t>
      </w:r>
    </w:p>
    <w:p w14:paraId="27A63A93" w14:textId="77777777" w:rsidR="003F5B26" w:rsidRDefault="00CB064E" w:rsidP="0025438C">
      <w:pPr>
        <w:pStyle w:val="Heading3"/>
        <w:numPr>
          <w:ilvl w:val="2"/>
          <w:numId w:val="15"/>
        </w:numPr>
      </w:pPr>
      <w:bookmarkStart w:id="48" w:name="_Toc39751594"/>
      <w:r>
        <w:lastRenderedPageBreak/>
        <w:t>Synthetic-</w:t>
      </w:r>
      <w:r w:rsidR="00F812E4">
        <w:t>B</w:t>
      </w:r>
      <w:r>
        <w:t>ased Mud Systems</w:t>
      </w:r>
      <w:bookmarkEnd w:id="48"/>
    </w:p>
    <w:p w14:paraId="2F21E3CF" w14:textId="77777777" w:rsidR="00F812E4" w:rsidRPr="00F812E4" w:rsidRDefault="00EE3A0E" w:rsidP="0025438C">
      <w:pPr>
        <w:spacing w:line="480" w:lineRule="auto"/>
        <w:rPr>
          <w:rFonts w:ascii="Times New Roman" w:hAnsi="Times New Roman" w:cs="Times New Roman"/>
          <w:sz w:val="24"/>
          <w:szCs w:val="24"/>
        </w:rPr>
      </w:pPr>
      <w:r>
        <w:rPr>
          <w:rFonts w:ascii="Times New Roman" w:hAnsi="Times New Roman" w:cs="Times New Roman"/>
          <w:sz w:val="24"/>
          <w:szCs w:val="24"/>
        </w:rPr>
        <w:t xml:space="preserve">Synthetic-based mud (SMB) represents an improved version of the OBM. It is commonly known as low toxicity oil-based mud and is designed using synthetic oil such as ester, or paraffins instead of </w:t>
      </w:r>
      <w:r w:rsidR="002A354B">
        <w:rPr>
          <w:rFonts w:ascii="Times New Roman" w:hAnsi="Times New Roman" w:cs="Times New Roman"/>
          <w:sz w:val="24"/>
          <w:szCs w:val="24"/>
        </w:rPr>
        <w:t>diesel or</w:t>
      </w:r>
      <w:r>
        <w:rPr>
          <w:rFonts w:ascii="Times New Roman" w:hAnsi="Times New Roman" w:cs="Times New Roman"/>
          <w:sz w:val="24"/>
          <w:szCs w:val="24"/>
        </w:rPr>
        <w:t xml:space="preserve"> mineral oil.</w:t>
      </w:r>
      <w:r w:rsidR="002A354B">
        <w:rPr>
          <w:rFonts w:ascii="Times New Roman" w:hAnsi="Times New Roman" w:cs="Times New Roman"/>
          <w:sz w:val="24"/>
          <w:szCs w:val="24"/>
        </w:rPr>
        <w:t xml:space="preserve"> SBM systems have similar properties as the OBM with a minimum toxicity.</w:t>
      </w:r>
      <w:r w:rsidR="0061277A">
        <w:rPr>
          <w:rFonts w:ascii="Times New Roman" w:hAnsi="Times New Roman" w:cs="Times New Roman"/>
          <w:sz w:val="24"/>
          <w:szCs w:val="24"/>
        </w:rPr>
        <w:t xml:space="preserve"> These fluid systems provide improved performance with minimal environmental impact. The primary goal of these systems is to </w:t>
      </w:r>
      <w:r w:rsidR="00F85D25">
        <w:rPr>
          <w:rFonts w:ascii="Times New Roman" w:hAnsi="Times New Roman" w:cs="Times New Roman"/>
          <w:sz w:val="24"/>
          <w:szCs w:val="24"/>
        </w:rPr>
        <w:t>provide similar inhibitive properties and advantages as the OBM while limiting toxicity. SBM presents similar cost concerns as the OBM but with minimum environmental restriction.</w:t>
      </w:r>
    </w:p>
    <w:p w14:paraId="422D3DD6" w14:textId="77777777" w:rsidR="00BD6937" w:rsidRDefault="00CB064E" w:rsidP="0003629F">
      <w:pPr>
        <w:pStyle w:val="Heading3"/>
        <w:numPr>
          <w:ilvl w:val="2"/>
          <w:numId w:val="15"/>
        </w:numPr>
      </w:pPr>
      <w:bookmarkStart w:id="49" w:name="_Toc39751595"/>
      <w:r>
        <w:t xml:space="preserve">Formate </w:t>
      </w:r>
      <w:r w:rsidR="00F11864">
        <w:t>Fluids</w:t>
      </w:r>
      <w:bookmarkEnd w:id="49"/>
    </w:p>
    <w:p w14:paraId="5CAA1913" w14:textId="77777777" w:rsidR="00981B1E" w:rsidRDefault="00B6193E" w:rsidP="0025438C">
      <w:pPr>
        <w:spacing w:line="480" w:lineRule="auto"/>
        <w:rPr>
          <w:rFonts w:ascii="Times New Roman" w:hAnsi="Times New Roman" w:cs="Times New Roman"/>
          <w:sz w:val="24"/>
          <w:szCs w:val="24"/>
        </w:rPr>
      </w:pPr>
      <w:r>
        <w:rPr>
          <w:rFonts w:ascii="Times New Roman" w:hAnsi="Times New Roman" w:cs="Times New Roman"/>
          <w:sz w:val="24"/>
          <w:szCs w:val="24"/>
        </w:rPr>
        <w:t>Formate brines</w:t>
      </w:r>
      <w:r w:rsidR="00202DB7">
        <w:rPr>
          <w:rFonts w:ascii="Times New Roman" w:hAnsi="Times New Roman" w:cs="Times New Roman"/>
          <w:sz w:val="24"/>
          <w:szCs w:val="24"/>
        </w:rPr>
        <w:t xml:space="preserve"> are a set of drilling fluid systems designed using high-density brines.</w:t>
      </w:r>
      <w:r>
        <w:rPr>
          <w:rFonts w:ascii="Times New Roman" w:hAnsi="Times New Roman" w:cs="Times New Roman"/>
          <w:sz w:val="24"/>
          <w:szCs w:val="24"/>
        </w:rPr>
        <w:t xml:space="preserve"> The high-density brines are obtained as a combination of dissolved aqueous solution of metal salt of formic acid with water. The most common formate brines include the sodium formate, potassium formate, and cesium formate. The molecular structures of these formate brines are reported below:</w:t>
      </w:r>
    </w:p>
    <w:p w14:paraId="0490E20C" w14:textId="77777777" w:rsidR="00A1037C" w:rsidRDefault="006F229C" w:rsidP="0025438C">
      <w:pPr>
        <w:spacing w:line="480" w:lineRule="auto"/>
        <w:rPr>
          <w:rFonts w:ascii="Times New Roman" w:hAnsi="Times New Roman" w:cs="Times New Roman"/>
          <w:sz w:val="24"/>
          <w:szCs w:val="24"/>
        </w:rPr>
      </w:pPr>
      <w:r>
        <w:rPr>
          <w:noProof/>
        </w:rPr>
        <w:drawing>
          <wp:inline distT="0" distB="0" distL="0" distR="0" wp14:anchorId="024E3125" wp14:editId="0CC013B7">
            <wp:extent cx="5943600" cy="161988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1619885"/>
                    </a:xfrm>
                    <a:prstGeom prst="rect">
                      <a:avLst/>
                    </a:prstGeom>
                  </pic:spPr>
                </pic:pic>
              </a:graphicData>
            </a:graphic>
          </wp:inline>
        </w:drawing>
      </w:r>
      <w:r w:rsidR="007E7D49">
        <w:rPr>
          <w:rFonts w:ascii="Times New Roman" w:hAnsi="Times New Roman" w:cs="Times New Roman"/>
          <w:sz w:val="24"/>
          <w:szCs w:val="24"/>
        </w:rPr>
        <w:t xml:space="preserve">                                                                                                 </w:t>
      </w:r>
    </w:p>
    <w:p w14:paraId="453C884D" w14:textId="77777777" w:rsidR="007E7D49" w:rsidRDefault="007E7D49" w:rsidP="0025438C">
      <w:pPr>
        <w:spacing w:line="480" w:lineRule="auto"/>
        <w:rPr>
          <w:rFonts w:ascii="Times New Roman" w:hAnsi="Times New Roman" w:cs="Times New Roman"/>
          <w:sz w:val="24"/>
          <w:szCs w:val="24"/>
        </w:rPr>
      </w:pPr>
      <w:r>
        <w:rPr>
          <w:rFonts w:ascii="Times New Roman" w:hAnsi="Times New Roman" w:cs="Times New Roman"/>
          <w:sz w:val="24"/>
          <w:szCs w:val="24"/>
        </w:rPr>
        <w:t>According to the formate brine manual from Cabot, these drilling fluid systems consist of physical and chemical properties that suggest better compatibility and interaction with different high clay shale formations.</w:t>
      </w:r>
      <w:r w:rsidR="009C6DDA">
        <w:rPr>
          <w:rFonts w:ascii="Times New Roman" w:hAnsi="Times New Roman" w:cs="Times New Roman"/>
          <w:sz w:val="24"/>
          <w:szCs w:val="24"/>
        </w:rPr>
        <w:t xml:space="preserve"> Some of the most important properties of formate fluids are reported below:</w:t>
      </w:r>
    </w:p>
    <w:p w14:paraId="3E45D6AD" w14:textId="77777777" w:rsidR="009C6DDA" w:rsidRDefault="009C6DDA" w:rsidP="0025438C">
      <w:pPr>
        <w:pStyle w:val="ListParagraph"/>
        <w:numPr>
          <w:ilvl w:val="0"/>
          <w:numId w:val="26"/>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Formate </w:t>
      </w:r>
      <w:r w:rsidR="004E38D5">
        <w:rPr>
          <w:rFonts w:ascii="Times New Roman" w:hAnsi="Times New Roman" w:cs="Times New Roman"/>
          <w:sz w:val="24"/>
          <w:szCs w:val="24"/>
        </w:rPr>
        <w:t>brine systems provide a wide range of density that cover range normally required in drilling and completion operation.</w:t>
      </w:r>
      <w:r w:rsidR="007C65F7">
        <w:rPr>
          <w:rFonts w:ascii="Times New Roman" w:hAnsi="Times New Roman" w:cs="Times New Roman"/>
          <w:sz w:val="24"/>
          <w:szCs w:val="24"/>
        </w:rPr>
        <w:t xml:space="preserve"> </w:t>
      </w:r>
      <w:r w:rsidR="00BC0C9C">
        <w:rPr>
          <w:rFonts w:ascii="Times New Roman" w:hAnsi="Times New Roman" w:cs="Times New Roman"/>
          <w:sz w:val="24"/>
          <w:szCs w:val="24"/>
        </w:rPr>
        <w:t xml:space="preserve">The range of density for formate fluids varies from 8.3 lb/gal to 19.2 lb/gal. </w:t>
      </w:r>
      <w:r w:rsidR="007C65F7" w:rsidRPr="00BC0C9C">
        <w:rPr>
          <w:rFonts w:ascii="Times New Roman" w:hAnsi="Times New Roman" w:cs="Times New Roman"/>
          <w:b/>
          <w:bCs/>
          <w:sz w:val="24"/>
          <w:szCs w:val="24"/>
        </w:rPr>
        <w:t xml:space="preserve">Figure </w:t>
      </w:r>
      <w:r w:rsidR="00E90FA2">
        <w:rPr>
          <w:rFonts w:ascii="Times New Roman" w:hAnsi="Times New Roman" w:cs="Times New Roman"/>
          <w:b/>
          <w:bCs/>
          <w:sz w:val="24"/>
          <w:szCs w:val="24"/>
        </w:rPr>
        <w:t>13</w:t>
      </w:r>
      <w:r w:rsidR="007C65F7" w:rsidRPr="00BC0C9C">
        <w:rPr>
          <w:rFonts w:ascii="Times New Roman" w:hAnsi="Times New Roman" w:cs="Times New Roman"/>
          <w:b/>
          <w:bCs/>
          <w:sz w:val="24"/>
          <w:szCs w:val="24"/>
        </w:rPr>
        <w:t xml:space="preserve"> </w:t>
      </w:r>
      <w:r w:rsidR="007C65F7">
        <w:rPr>
          <w:rFonts w:ascii="Times New Roman" w:hAnsi="Times New Roman" w:cs="Times New Roman"/>
          <w:sz w:val="24"/>
          <w:szCs w:val="24"/>
        </w:rPr>
        <w:t>shows the different range of density for formate fluids.</w:t>
      </w:r>
    </w:p>
    <w:p w14:paraId="1849897C" w14:textId="77777777" w:rsidR="00AF4B40" w:rsidRDefault="00AF4B40" w:rsidP="00AF4B40">
      <w:pPr>
        <w:jc w:val="center"/>
        <w:rPr>
          <w:rFonts w:ascii="Times New Roman" w:hAnsi="Times New Roman" w:cs="Times New Roman"/>
          <w:sz w:val="24"/>
          <w:szCs w:val="24"/>
        </w:rPr>
      </w:pPr>
      <w:r>
        <w:rPr>
          <w:noProof/>
        </w:rPr>
        <w:drawing>
          <wp:inline distT="0" distB="0" distL="0" distR="0" wp14:anchorId="3FC0FA99" wp14:editId="695A8302">
            <wp:extent cx="5086350" cy="1800225"/>
            <wp:effectExtent l="0" t="0" r="0"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086350" cy="1800225"/>
                    </a:xfrm>
                    <a:prstGeom prst="rect">
                      <a:avLst/>
                    </a:prstGeom>
                  </pic:spPr>
                </pic:pic>
              </a:graphicData>
            </a:graphic>
          </wp:inline>
        </w:drawing>
      </w:r>
    </w:p>
    <w:p w14:paraId="582C1D55" w14:textId="52DAF703" w:rsidR="00AF4B40" w:rsidRDefault="00E90FA2" w:rsidP="00E90FA2">
      <w:pPr>
        <w:pStyle w:val="Caption"/>
        <w:rPr>
          <w:szCs w:val="24"/>
        </w:rPr>
      </w:pPr>
      <w:bookmarkStart w:id="50" w:name="_Toc37087756"/>
      <w:r>
        <w:t xml:space="preserve">Figure </w:t>
      </w:r>
      <w:fldSimple w:instr=" SEQ Figure \* ARABIC ">
        <w:r w:rsidR="0092747F">
          <w:rPr>
            <w:noProof/>
          </w:rPr>
          <w:t>13</w:t>
        </w:r>
      </w:fldSimple>
      <w:r>
        <w:rPr>
          <w:b w:val="0"/>
          <w:bCs/>
          <w:szCs w:val="24"/>
        </w:rPr>
        <w:t>-</w:t>
      </w:r>
      <w:r w:rsidR="00AF4B40">
        <w:rPr>
          <w:szCs w:val="24"/>
        </w:rPr>
        <w:t xml:space="preserve"> different range of density covered by formate brine fluids</w:t>
      </w:r>
      <w:r w:rsidR="00576E51">
        <w:rPr>
          <w:szCs w:val="24"/>
        </w:rPr>
        <w:t xml:space="preserve"> (Howard, Formate Technical</w:t>
      </w:r>
      <w:r w:rsidR="00BC0C9C">
        <w:rPr>
          <w:szCs w:val="24"/>
        </w:rPr>
        <w:t xml:space="preserve"> </w:t>
      </w:r>
      <w:r w:rsidR="00576E51">
        <w:rPr>
          <w:szCs w:val="24"/>
        </w:rPr>
        <w:t>Manual)</w:t>
      </w:r>
      <w:bookmarkEnd w:id="50"/>
    </w:p>
    <w:p w14:paraId="2F6E2411" w14:textId="77777777" w:rsidR="00BC0C9C" w:rsidRDefault="0081339A" w:rsidP="0025438C">
      <w:pPr>
        <w:pStyle w:val="ListParagraph"/>
        <w:numPr>
          <w:ilvl w:val="0"/>
          <w:numId w:val="26"/>
        </w:numPr>
        <w:spacing w:line="480" w:lineRule="auto"/>
        <w:rPr>
          <w:rFonts w:ascii="Times New Roman" w:hAnsi="Times New Roman" w:cs="Times New Roman"/>
          <w:sz w:val="24"/>
          <w:szCs w:val="24"/>
        </w:rPr>
      </w:pPr>
      <w:r>
        <w:rPr>
          <w:rFonts w:ascii="Times New Roman" w:hAnsi="Times New Roman" w:cs="Times New Roman"/>
          <w:sz w:val="24"/>
          <w:szCs w:val="24"/>
        </w:rPr>
        <w:t>Formate brine systems show adequate compatibility with most water-based drilling fluids with the exception of halides and barite</w:t>
      </w:r>
      <w:r w:rsidR="000C01BE">
        <w:rPr>
          <w:rFonts w:ascii="Times New Roman" w:hAnsi="Times New Roman" w:cs="Times New Roman"/>
          <w:sz w:val="24"/>
          <w:szCs w:val="24"/>
        </w:rPr>
        <w:t>. A contact between formate ions and barite or halides usually generate precipitates that can be problematic and limit the effectiveness of the formate fluids.</w:t>
      </w:r>
    </w:p>
    <w:p w14:paraId="2F6A6004" w14:textId="77777777" w:rsidR="005B01F0" w:rsidRDefault="005B01F0" w:rsidP="0025438C">
      <w:pPr>
        <w:pStyle w:val="ListParagraph"/>
        <w:numPr>
          <w:ilvl w:val="0"/>
          <w:numId w:val="26"/>
        </w:numPr>
        <w:spacing w:line="480" w:lineRule="auto"/>
        <w:rPr>
          <w:rFonts w:ascii="Times New Roman" w:hAnsi="Times New Roman" w:cs="Times New Roman"/>
          <w:sz w:val="24"/>
          <w:szCs w:val="24"/>
        </w:rPr>
      </w:pPr>
      <w:r>
        <w:rPr>
          <w:rFonts w:ascii="Times New Roman" w:hAnsi="Times New Roman" w:cs="Times New Roman"/>
          <w:sz w:val="24"/>
          <w:szCs w:val="24"/>
        </w:rPr>
        <w:t>The formate brine are also reported to have the ideal characteristics for low solid drilling, deep drilling, and slim hole drilling.</w:t>
      </w:r>
    </w:p>
    <w:p w14:paraId="1EF24A01" w14:textId="77777777" w:rsidR="00ED43AE" w:rsidRDefault="004F7BE0" w:rsidP="0025438C">
      <w:pPr>
        <w:spacing w:line="480" w:lineRule="auto"/>
        <w:rPr>
          <w:rFonts w:ascii="Times New Roman" w:hAnsi="Times New Roman" w:cs="Times New Roman"/>
          <w:sz w:val="24"/>
          <w:szCs w:val="24"/>
        </w:rPr>
      </w:pPr>
      <w:r>
        <w:rPr>
          <w:rFonts w:ascii="Times New Roman" w:hAnsi="Times New Roman" w:cs="Times New Roman"/>
          <w:sz w:val="24"/>
          <w:szCs w:val="24"/>
        </w:rPr>
        <w:t>The formate brines are highly attracted due to their numerous advantages. While their use is still limited by their excessive cost, formate brines provide major benefices to reactive shale drilling.</w:t>
      </w:r>
      <w:r w:rsidR="00ED43AE">
        <w:rPr>
          <w:rFonts w:ascii="Times New Roman" w:hAnsi="Times New Roman" w:cs="Times New Roman"/>
          <w:sz w:val="24"/>
          <w:szCs w:val="24"/>
        </w:rPr>
        <w:t xml:space="preserve"> Some of the advantages </w:t>
      </w:r>
      <w:r w:rsidR="00600026">
        <w:rPr>
          <w:rFonts w:ascii="Times New Roman" w:hAnsi="Times New Roman" w:cs="Times New Roman"/>
          <w:sz w:val="24"/>
          <w:szCs w:val="24"/>
        </w:rPr>
        <w:t>as reported by Konate et al. (2019), konate et al. (2020), Gilbert et al. (2007), Van Oort et al. (2015</w:t>
      </w:r>
      <w:r w:rsidR="003B0FA3">
        <w:rPr>
          <w:rFonts w:ascii="Times New Roman" w:hAnsi="Times New Roman" w:cs="Times New Roman"/>
          <w:sz w:val="24"/>
          <w:szCs w:val="24"/>
        </w:rPr>
        <w:t>),</w:t>
      </w:r>
      <w:r w:rsidR="00632401">
        <w:rPr>
          <w:rFonts w:ascii="Times New Roman" w:hAnsi="Times New Roman" w:cs="Times New Roman"/>
          <w:sz w:val="24"/>
          <w:szCs w:val="24"/>
        </w:rPr>
        <w:t xml:space="preserve"> and John Downs (2018) </w:t>
      </w:r>
      <w:r w:rsidR="00ED43AE">
        <w:rPr>
          <w:rFonts w:ascii="Times New Roman" w:hAnsi="Times New Roman" w:cs="Times New Roman"/>
          <w:sz w:val="24"/>
          <w:szCs w:val="24"/>
        </w:rPr>
        <w:t>include:</w:t>
      </w:r>
    </w:p>
    <w:p w14:paraId="500DC5F4" w14:textId="77777777" w:rsidR="00FD3859" w:rsidRDefault="0099180D" w:rsidP="0025438C">
      <w:pPr>
        <w:pStyle w:val="ListParagraph"/>
        <w:numPr>
          <w:ilvl w:val="0"/>
          <w:numId w:val="30"/>
        </w:numPr>
        <w:spacing w:line="480" w:lineRule="auto"/>
        <w:rPr>
          <w:rFonts w:ascii="Times New Roman" w:hAnsi="Times New Roman" w:cs="Times New Roman"/>
          <w:sz w:val="24"/>
          <w:szCs w:val="24"/>
        </w:rPr>
      </w:pPr>
      <w:r>
        <w:rPr>
          <w:rFonts w:ascii="Times New Roman" w:hAnsi="Times New Roman" w:cs="Times New Roman"/>
          <w:sz w:val="24"/>
          <w:szCs w:val="24"/>
        </w:rPr>
        <w:t>Maintenance of solids carrying capabilities at high temperature</w:t>
      </w:r>
    </w:p>
    <w:p w14:paraId="3B700752" w14:textId="77777777" w:rsidR="0099180D" w:rsidRDefault="0099180D" w:rsidP="0025438C">
      <w:pPr>
        <w:pStyle w:val="ListParagraph"/>
        <w:numPr>
          <w:ilvl w:val="0"/>
          <w:numId w:val="30"/>
        </w:numPr>
        <w:spacing w:line="480" w:lineRule="auto"/>
        <w:rPr>
          <w:rFonts w:ascii="Times New Roman" w:hAnsi="Times New Roman" w:cs="Times New Roman"/>
          <w:sz w:val="24"/>
          <w:szCs w:val="24"/>
        </w:rPr>
      </w:pPr>
      <w:r>
        <w:rPr>
          <w:rFonts w:ascii="Times New Roman" w:hAnsi="Times New Roman" w:cs="Times New Roman"/>
          <w:sz w:val="24"/>
          <w:szCs w:val="24"/>
        </w:rPr>
        <w:t>Improved fluid-rock interaction (swelling, hydration)</w:t>
      </w:r>
    </w:p>
    <w:p w14:paraId="53D59AEC" w14:textId="77777777" w:rsidR="0099180D" w:rsidRDefault="0099180D" w:rsidP="0025438C">
      <w:pPr>
        <w:pStyle w:val="ListParagraph"/>
        <w:numPr>
          <w:ilvl w:val="0"/>
          <w:numId w:val="30"/>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Elimination of solid sag at high temperature</w:t>
      </w:r>
    </w:p>
    <w:p w14:paraId="44A52A2C" w14:textId="77777777" w:rsidR="0099180D" w:rsidRDefault="0099180D" w:rsidP="0025438C">
      <w:pPr>
        <w:pStyle w:val="ListParagraph"/>
        <w:numPr>
          <w:ilvl w:val="0"/>
          <w:numId w:val="30"/>
        </w:numPr>
        <w:spacing w:line="480" w:lineRule="auto"/>
        <w:rPr>
          <w:rFonts w:ascii="Times New Roman" w:hAnsi="Times New Roman" w:cs="Times New Roman"/>
          <w:sz w:val="24"/>
          <w:szCs w:val="24"/>
        </w:rPr>
      </w:pPr>
      <w:r>
        <w:rPr>
          <w:rFonts w:ascii="Times New Roman" w:hAnsi="Times New Roman" w:cs="Times New Roman"/>
          <w:sz w:val="24"/>
          <w:szCs w:val="24"/>
        </w:rPr>
        <w:t>Minimal circulating pressure losses</w:t>
      </w:r>
    </w:p>
    <w:p w14:paraId="0F4FBD0B" w14:textId="77777777" w:rsidR="0099180D" w:rsidRDefault="0099180D" w:rsidP="0025438C">
      <w:pPr>
        <w:pStyle w:val="ListParagraph"/>
        <w:numPr>
          <w:ilvl w:val="0"/>
          <w:numId w:val="30"/>
        </w:numPr>
        <w:spacing w:line="480" w:lineRule="auto"/>
        <w:rPr>
          <w:rFonts w:ascii="Times New Roman" w:hAnsi="Times New Roman" w:cs="Times New Roman"/>
          <w:sz w:val="24"/>
          <w:szCs w:val="24"/>
        </w:rPr>
      </w:pPr>
      <w:r>
        <w:rPr>
          <w:rFonts w:ascii="Times New Roman" w:hAnsi="Times New Roman" w:cs="Times New Roman"/>
          <w:sz w:val="24"/>
          <w:szCs w:val="24"/>
        </w:rPr>
        <w:t>Low potential of differential sticking (very thin filter cake)</w:t>
      </w:r>
    </w:p>
    <w:p w14:paraId="0114076C" w14:textId="77777777" w:rsidR="00600026" w:rsidRDefault="00600026" w:rsidP="0025438C">
      <w:pPr>
        <w:pStyle w:val="ListParagraph"/>
        <w:numPr>
          <w:ilvl w:val="0"/>
          <w:numId w:val="30"/>
        </w:numPr>
        <w:spacing w:line="480" w:lineRule="auto"/>
        <w:rPr>
          <w:rFonts w:ascii="Times New Roman" w:hAnsi="Times New Roman" w:cs="Times New Roman"/>
          <w:sz w:val="24"/>
          <w:szCs w:val="24"/>
        </w:rPr>
      </w:pPr>
      <w:r>
        <w:rPr>
          <w:rFonts w:ascii="Times New Roman" w:hAnsi="Times New Roman" w:cs="Times New Roman"/>
          <w:sz w:val="24"/>
          <w:szCs w:val="24"/>
        </w:rPr>
        <w:t xml:space="preserve">Better hole cleaning </w:t>
      </w:r>
    </w:p>
    <w:p w14:paraId="786D6517" w14:textId="77777777" w:rsidR="00600026" w:rsidRDefault="00600026" w:rsidP="0025438C">
      <w:pPr>
        <w:pStyle w:val="ListParagraph"/>
        <w:numPr>
          <w:ilvl w:val="0"/>
          <w:numId w:val="30"/>
        </w:numPr>
        <w:spacing w:line="480" w:lineRule="auto"/>
        <w:rPr>
          <w:rFonts w:ascii="Times New Roman" w:hAnsi="Times New Roman" w:cs="Times New Roman"/>
          <w:sz w:val="24"/>
          <w:szCs w:val="24"/>
        </w:rPr>
      </w:pPr>
      <w:r>
        <w:rPr>
          <w:rFonts w:ascii="Times New Roman" w:hAnsi="Times New Roman" w:cs="Times New Roman"/>
          <w:sz w:val="24"/>
          <w:szCs w:val="24"/>
        </w:rPr>
        <w:t>Good lubricity</w:t>
      </w:r>
    </w:p>
    <w:p w14:paraId="17CC1FAA" w14:textId="77777777" w:rsidR="0099180D" w:rsidRDefault="0099180D" w:rsidP="0025438C">
      <w:pPr>
        <w:pStyle w:val="ListParagraph"/>
        <w:numPr>
          <w:ilvl w:val="0"/>
          <w:numId w:val="30"/>
        </w:numPr>
        <w:spacing w:line="480" w:lineRule="auto"/>
        <w:rPr>
          <w:rFonts w:ascii="Times New Roman" w:hAnsi="Times New Roman" w:cs="Times New Roman"/>
          <w:sz w:val="24"/>
          <w:szCs w:val="24"/>
        </w:rPr>
      </w:pPr>
      <w:r>
        <w:rPr>
          <w:rFonts w:ascii="Times New Roman" w:hAnsi="Times New Roman" w:cs="Times New Roman"/>
          <w:sz w:val="24"/>
          <w:szCs w:val="24"/>
        </w:rPr>
        <w:t>Low equivalent circulating density (ECDs) in low/narrow boreholes</w:t>
      </w:r>
    </w:p>
    <w:p w14:paraId="0CE788F7" w14:textId="77777777" w:rsidR="0099180D" w:rsidRDefault="0099180D" w:rsidP="0025438C">
      <w:pPr>
        <w:pStyle w:val="ListParagraph"/>
        <w:numPr>
          <w:ilvl w:val="0"/>
          <w:numId w:val="30"/>
        </w:numPr>
        <w:spacing w:line="480" w:lineRule="auto"/>
        <w:rPr>
          <w:rFonts w:ascii="Times New Roman" w:hAnsi="Times New Roman" w:cs="Times New Roman"/>
          <w:sz w:val="24"/>
          <w:szCs w:val="24"/>
        </w:rPr>
      </w:pPr>
      <w:r>
        <w:rPr>
          <w:rFonts w:ascii="Times New Roman" w:hAnsi="Times New Roman" w:cs="Times New Roman"/>
          <w:sz w:val="24"/>
          <w:szCs w:val="24"/>
        </w:rPr>
        <w:t>Maximum power transmission to mud motors and bits</w:t>
      </w:r>
    </w:p>
    <w:p w14:paraId="297E14CB" w14:textId="77777777" w:rsidR="0099180D" w:rsidRDefault="0099180D" w:rsidP="0025438C">
      <w:pPr>
        <w:pStyle w:val="ListParagraph"/>
        <w:numPr>
          <w:ilvl w:val="0"/>
          <w:numId w:val="30"/>
        </w:numPr>
        <w:spacing w:line="480" w:lineRule="auto"/>
        <w:rPr>
          <w:rFonts w:ascii="Times New Roman" w:hAnsi="Times New Roman" w:cs="Times New Roman"/>
          <w:sz w:val="24"/>
          <w:szCs w:val="24"/>
        </w:rPr>
      </w:pPr>
      <w:r>
        <w:rPr>
          <w:rFonts w:ascii="Times New Roman" w:hAnsi="Times New Roman" w:cs="Times New Roman"/>
          <w:sz w:val="24"/>
          <w:szCs w:val="24"/>
        </w:rPr>
        <w:t xml:space="preserve">Non-hazardous </w:t>
      </w:r>
    </w:p>
    <w:p w14:paraId="64F077E6" w14:textId="77777777" w:rsidR="0099180D" w:rsidRDefault="0099180D" w:rsidP="0025438C">
      <w:pPr>
        <w:pStyle w:val="ListParagraph"/>
        <w:numPr>
          <w:ilvl w:val="0"/>
          <w:numId w:val="30"/>
        </w:numPr>
        <w:spacing w:line="480" w:lineRule="auto"/>
        <w:rPr>
          <w:rFonts w:ascii="Times New Roman" w:hAnsi="Times New Roman" w:cs="Times New Roman"/>
          <w:sz w:val="24"/>
          <w:szCs w:val="24"/>
        </w:rPr>
      </w:pPr>
      <w:r>
        <w:rPr>
          <w:rFonts w:ascii="Times New Roman" w:hAnsi="Times New Roman" w:cs="Times New Roman"/>
          <w:sz w:val="24"/>
          <w:szCs w:val="24"/>
        </w:rPr>
        <w:t>Environmentally responsible and readily biodegradable</w:t>
      </w:r>
    </w:p>
    <w:p w14:paraId="7834AFAF" w14:textId="6F6E586D" w:rsidR="00F36B76" w:rsidRDefault="00F36B76" w:rsidP="0025438C">
      <w:pPr>
        <w:spacing w:line="480" w:lineRule="auto"/>
        <w:rPr>
          <w:rFonts w:ascii="Times New Roman" w:hAnsi="Times New Roman" w:cs="Times New Roman"/>
          <w:sz w:val="24"/>
          <w:szCs w:val="24"/>
        </w:rPr>
      </w:pPr>
      <w:r>
        <w:rPr>
          <w:rFonts w:ascii="Times New Roman" w:hAnsi="Times New Roman" w:cs="Times New Roman"/>
          <w:sz w:val="24"/>
          <w:szCs w:val="24"/>
        </w:rPr>
        <w:t>An extensive environmental assessment conducted in 2003 by the environmental Consultancy Metoc provided major supportive ground the environmental compatibility of the formate brine. Their study revealed that a large scale of accidental spills of formate brine do not cause any major environmental damage.</w:t>
      </w:r>
      <w:r w:rsidR="002E6FDC">
        <w:rPr>
          <w:rFonts w:ascii="Times New Roman" w:hAnsi="Times New Roman" w:cs="Times New Roman"/>
          <w:sz w:val="24"/>
          <w:szCs w:val="24"/>
        </w:rPr>
        <w:t xml:space="preserve"> </w:t>
      </w:r>
      <w:r w:rsidR="002E6FDC" w:rsidRPr="008739ED">
        <w:rPr>
          <w:rFonts w:ascii="Times New Roman" w:hAnsi="Times New Roman" w:cs="Times New Roman"/>
          <w:b/>
          <w:bCs/>
          <w:sz w:val="24"/>
          <w:szCs w:val="24"/>
        </w:rPr>
        <w:t xml:space="preserve">Table </w:t>
      </w:r>
      <w:r w:rsidR="006F229C">
        <w:rPr>
          <w:rFonts w:ascii="Times New Roman" w:hAnsi="Times New Roman" w:cs="Times New Roman"/>
          <w:b/>
          <w:bCs/>
          <w:sz w:val="24"/>
          <w:szCs w:val="24"/>
        </w:rPr>
        <w:t>6</w:t>
      </w:r>
      <w:r w:rsidR="002E6FDC">
        <w:rPr>
          <w:rFonts w:ascii="Times New Roman" w:hAnsi="Times New Roman" w:cs="Times New Roman"/>
          <w:sz w:val="24"/>
          <w:szCs w:val="24"/>
        </w:rPr>
        <w:t xml:space="preserve"> provides a summary of the most common drilling fluids in the industry.</w:t>
      </w:r>
      <w:r>
        <w:rPr>
          <w:rFonts w:ascii="Times New Roman" w:hAnsi="Times New Roman" w:cs="Times New Roman"/>
          <w:sz w:val="24"/>
          <w:szCs w:val="24"/>
        </w:rPr>
        <w:t xml:space="preserve"> </w:t>
      </w:r>
    </w:p>
    <w:p w14:paraId="5DBC2F50" w14:textId="289B022C" w:rsidR="001839E6" w:rsidRDefault="001839E6" w:rsidP="001839E6">
      <w:pPr>
        <w:pStyle w:val="Heading3"/>
        <w:numPr>
          <w:ilvl w:val="2"/>
          <w:numId w:val="15"/>
        </w:numPr>
      </w:pPr>
      <w:bookmarkStart w:id="51" w:name="_Toc39751596"/>
      <w:r>
        <w:t>Amine-based fluid systems</w:t>
      </w:r>
      <w:bookmarkEnd w:id="51"/>
    </w:p>
    <w:p w14:paraId="5DAF126C" w14:textId="63F3C07C" w:rsidR="00191BE4" w:rsidRPr="00D57F16" w:rsidRDefault="00D57F16" w:rsidP="001516A0">
      <w:pPr>
        <w:spacing w:line="480" w:lineRule="auto"/>
        <w:rPr>
          <w:rFonts w:ascii="Times New Roman" w:hAnsi="Times New Roman" w:cs="Times New Roman"/>
          <w:sz w:val="24"/>
          <w:szCs w:val="24"/>
        </w:rPr>
      </w:pPr>
      <w:r>
        <w:rPr>
          <w:rFonts w:ascii="Times New Roman" w:hAnsi="Times New Roman" w:cs="Times New Roman"/>
          <w:sz w:val="24"/>
          <w:szCs w:val="24"/>
        </w:rPr>
        <w:t>The amine-based systems represent a variation of the high-performance water-based muds (HPWBM).</w:t>
      </w:r>
      <w:r w:rsidR="007913BD">
        <w:rPr>
          <w:rFonts w:ascii="Times New Roman" w:hAnsi="Times New Roman" w:cs="Times New Roman"/>
          <w:sz w:val="24"/>
          <w:szCs w:val="24"/>
        </w:rPr>
        <w:t xml:space="preserve"> These systems</w:t>
      </w:r>
      <w:r w:rsidR="008F4E84">
        <w:rPr>
          <w:rFonts w:ascii="Times New Roman" w:hAnsi="Times New Roman" w:cs="Times New Roman"/>
          <w:sz w:val="24"/>
          <w:szCs w:val="24"/>
        </w:rPr>
        <w:t xml:space="preserve"> were introduced in the market in the late 1980’s (Beihoffer, 1990).</w:t>
      </w:r>
      <w:r w:rsidR="000E60E0">
        <w:rPr>
          <w:rFonts w:ascii="Times New Roman" w:hAnsi="Times New Roman" w:cs="Times New Roman"/>
          <w:sz w:val="24"/>
          <w:szCs w:val="24"/>
        </w:rPr>
        <w:t xml:space="preserve"> These drilling fluid systems have the potential to </w:t>
      </w:r>
      <w:r w:rsidR="00691931">
        <w:rPr>
          <w:rFonts w:ascii="Times New Roman" w:hAnsi="Times New Roman" w:cs="Times New Roman"/>
          <w:sz w:val="24"/>
          <w:szCs w:val="24"/>
        </w:rPr>
        <w:t>improve shale stability.</w:t>
      </w:r>
      <w:r w:rsidR="00CF43E2">
        <w:rPr>
          <w:rFonts w:ascii="Times New Roman" w:hAnsi="Times New Roman" w:cs="Times New Roman"/>
          <w:sz w:val="24"/>
          <w:szCs w:val="24"/>
        </w:rPr>
        <w:t xml:space="preserve"> According to Patel et al. (2007)</w:t>
      </w:r>
      <w:r w:rsidR="004627B2">
        <w:rPr>
          <w:rFonts w:ascii="Times New Roman" w:hAnsi="Times New Roman" w:cs="Times New Roman"/>
          <w:sz w:val="24"/>
          <w:szCs w:val="24"/>
        </w:rPr>
        <w:t xml:space="preserve">, these fluids systems have improved ability to </w:t>
      </w:r>
      <w:r w:rsidR="000E60E0">
        <w:rPr>
          <w:rFonts w:ascii="Times New Roman" w:hAnsi="Times New Roman" w:cs="Times New Roman"/>
          <w:sz w:val="24"/>
          <w:szCs w:val="24"/>
        </w:rPr>
        <w:t xml:space="preserve">suppress clay hydration and prevent hydratable clays from swelling </w:t>
      </w:r>
      <w:r w:rsidR="00022D64">
        <w:rPr>
          <w:rFonts w:ascii="Times New Roman" w:hAnsi="Times New Roman" w:cs="Times New Roman"/>
          <w:sz w:val="24"/>
          <w:szCs w:val="24"/>
        </w:rPr>
        <w:t xml:space="preserve">and expanding </w:t>
      </w:r>
      <w:r w:rsidR="000E60E0">
        <w:rPr>
          <w:rFonts w:ascii="Times New Roman" w:hAnsi="Times New Roman" w:cs="Times New Roman"/>
          <w:sz w:val="24"/>
          <w:szCs w:val="24"/>
        </w:rPr>
        <w:t>during drilling</w:t>
      </w:r>
      <w:r w:rsidR="00AF320B">
        <w:rPr>
          <w:rFonts w:ascii="Times New Roman" w:hAnsi="Times New Roman" w:cs="Times New Roman"/>
          <w:sz w:val="24"/>
          <w:szCs w:val="24"/>
        </w:rPr>
        <w:t xml:space="preserve"> because of the ability of the amine molecule to easily enter the clay structure</w:t>
      </w:r>
      <w:r w:rsidR="000E60E0">
        <w:rPr>
          <w:rFonts w:ascii="Times New Roman" w:hAnsi="Times New Roman" w:cs="Times New Roman"/>
          <w:sz w:val="24"/>
          <w:szCs w:val="24"/>
        </w:rPr>
        <w:t>.</w:t>
      </w:r>
      <w:r w:rsidR="003B21C2">
        <w:rPr>
          <w:rFonts w:ascii="Times New Roman" w:hAnsi="Times New Roman" w:cs="Times New Roman"/>
          <w:sz w:val="24"/>
          <w:szCs w:val="24"/>
        </w:rPr>
        <w:t xml:space="preserve"> The </w:t>
      </w:r>
      <w:r w:rsidR="005A32CD">
        <w:rPr>
          <w:rFonts w:ascii="Times New Roman" w:hAnsi="Times New Roman" w:cs="Times New Roman"/>
          <w:sz w:val="24"/>
          <w:szCs w:val="24"/>
        </w:rPr>
        <w:t>amine-based</w:t>
      </w:r>
      <w:r w:rsidR="003B21C2">
        <w:rPr>
          <w:rFonts w:ascii="Times New Roman" w:hAnsi="Times New Roman" w:cs="Times New Roman"/>
          <w:sz w:val="24"/>
          <w:szCs w:val="24"/>
        </w:rPr>
        <w:t xml:space="preserve"> fluid systems display the ability to control clays with high absorption capacity such as smectite.</w:t>
      </w:r>
      <w:r w:rsidR="005A32CD">
        <w:rPr>
          <w:rFonts w:ascii="Times New Roman" w:hAnsi="Times New Roman" w:cs="Times New Roman"/>
          <w:sz w:val="24"/>
          <w:szCs w:val="24"/>
        </w:rPr>
        <w:t xml:space="preserve"> They are highly compatible with most drilling fluids additives which can be used to improve their formulation.</w:t>
      </w:r>
      <w:r w:rsidR="00163377">
        <w:rPr>
          <w:rFonts w:ascii="Times New Roman" w:hAnsi="Times New Roman" w:cs="Times New Roman"/>
          <w:sz w:val="24"/>
          <w:szCs w:val="24"/>
        </w:rPr>
        <w:t xml:space="preserve"> These fluid </w:t>
      </w:r>
      <w:r w:rsidR="00163377">
        <w:rPr>
          <w:rFonts w:ascii="Times New Roman" w:hAnsi="Times New Roman" w:cs="Times New Roman"/>
          <w:sz w:val="24"/>
          <w:szCs w:val="24"/>
        </w:rPr>
        <w:lastRenderedPageBreak/>
        <w:t>systems show low marine toxicity making them suitable for offshore drilling</w:t>
      </w:r>
      <w:r w:rsidR="00176628">
        <w:rPr>
          <w:rFonts w:ascii="Times New Roman" w:hAnsi="Times New Roman" w:cs="Times New Roman"/>
          <w:sz w:val="24"/>
          <w:szCs w:val="24"/>
        </w:rPr>
        <w:t xml:space="preserve"> applications.</w:t>
      </w:r>
      <w:r w:rsidR="002D0C64">
        <w:rPr>
          <w:rFonts w:ascii="Times New Roman" w:hAnsi="Times New Roman" w:cs="Times New Roman"/>
          <w:sz w:val="24"/>
          <w:szCs w:val="24"/>
        </w:rPr>
        <w:t xml:space="preserve"> One major limitation of these fluid systems is their limited performance for formation with high concentration of reactive clays.</w:t>
      </w:r>
      <w:r w:rsidR="00B90A09">
        <w:rPr>
          <w:rFonts w:ascii="Times New Roman" w:hAnsi="Times New Roman" w:cs="Times New Roman"/>
          <w:sz w:val="24"/>
          <w:szCs w:val="24"/>
        </w:rPr>
        <w:t xml:space="preserve"> Additionally</w:t>
      </w:r>
      <w:r w:rsidR="00B513AB">
        <w:rPr>
          <w:rFonts w:ascii="Times New Roman" w:hAnsi="Times New Roman" w:cs="Times New Roman"/>
          <w:sz w:val="24"/>
          <w:szCs w:val="24"/>
        </w:rPr>
        <w:t>, Patel et al. (2007) reported that amine systems experience difficulties to disperse or dehydrate clay particles that are already hydrated</w:t>
      </w:r>
      <w:r w:rsidR="002A760C">
        <w:rPr>
          <w:rFonts w:ascii="Times New Roman" w:hAnsi="Times New Roman" w:cs="Times New Roman"/>
          <w:sz w:val="24"/>
          <w:szCs w:val="24"/>
        </w:rPr>
        <w:t xml:space="preserve"> making them less appropriate for drilling shale formations with low cation exchange capacity</w:t>
      </w:r>
      <w:r w:rsidR="00407585">
        <w:rPr>
          <w:rFonts w:ascii="Times New Roman" w:hAnsi="Times New Roman" w:cs="Times New Roman"/>
          <w:sz w:val="24"/>
          <w:szCs w:val="24"/>
        </w:rPr>
        <w:t xml:space="preserve"> (CEC).</w:t>
      </w:r>
    </w:p>
    <w:p w14:paraId="7E3AB0E5" w14:textId="188C024E" w:rsidR="00B45225" w:rsidRDefault="00B45225" w:rsidP="00B45225">
      <w:pPr>
        <w:pStyle w:val="Heading3"/>
        <w:numPr>
          <w:ilvl w:val="2"/>
          <w:numId w:val="15"/>
        </w:numPr>
      </w:pPr>
      <w:bookmarkStart w:id="52" w:name="_Toc39751597"/>
      <w:r>
        <w:t>Glycol-based fluid systems</w:t>
      </w:r>
      <w:bookmarkEnd w:id="52"/>
    </w:p>
    <w:p w14:paraId="77433E96" w14:textId="39E6194F" w:rsidR="001839E6" w:rsidRDefault="00CC6B94" w:rsidP="0025438C">
      <w:pPr>
        <w:spacing w:line="480" w:lineRule="auto"/>
        <w:rPr>
          <w:rFonts w:ascii="Times New Roman" w:hAnsi="Times New Roman" w:cs="Times New Roman"/>
          <w:sz w:val="24"/>
          <w:szCs w:val="24"/>
        </w:rPr>
      </w:pPr>
      <w:r>
        <w:rPr>
          <w:rFonts w:ascii="Times New Roman" w:hAnsi="Times New Roman" w:cs="Times New Roman"/>
          <w:sz w:val="24"/>
          <w:szCs w:val="24"/>
        </w:rPr>
        <w:t>Glycol-based systems are commonly used today in the industry for shale drilli</w:t>
      </w:r>
      <w:r w:rsidR="00D34694">
        <w:rPr>
          <w:rFonts w:ascii="Times New Roman" w:hAnsi="Times New Roman" w:cs="Times New Roman"/>
          <w:sz w:val="24"/>
          <w:szCs w:val="24"/>
        </w:rPr>
        <w:t>ng.</w:t>
      </w:r>
      <w:r w:rsidR="008E16FA">
        <w:rPr>
          <w:rFonts w:ascii="Times New Roman" w:hAnsi="Times New Roman" w:cs="Times New Roman"/>
          <w:sz w:val="24"/>
          <w:szCs w:val="24"/>
        </w:rPr>
        <w:t xml:space="preserve"> These systems are another variation of the HPWBM.</w:t>
      </w:r>
      <w:r w:rsidR="0010039D">
        <w:rPr>
          <w:rFonts w:ascii="Times New Roman" w:hAnsi="Times New Roman" w:cs="Times New Roman"/>
          <w:sz w:val="24"/>
          <w:szCs w:val="24"/>
        </w:rPr>
        <w:t xml:space="preserve"> These drilling fluid systems generate precipitate and displace the water</w:t>
      </w:r>
      <w:r w:rsidR="000A3788">
        <w:rPr>
          <w:rFonts w:ascii="Times New Roman" w:hAnsi="Times New Roman" w:cs="Times New Roman"/>
          <w:sz w:val="24"/>
          <w:szCs w:val="24"/>
        </w:rPr>
        <w:t>; therefore, blocking shale pores and limit fluid invasion during drilling.</w:t>
      </w:r>
      <w:r w:rsidR="00857463">
        <w:rPr>
          <w:rFonts w:ascii="Times New Roman" w:hAnsi="Times New Roman" w:cs="Times New Roman"/>
          <w:sz w:val="24"/>
          <w:szCs w:val="24"/>
        </w:rPr>
        <w:t xml:space="preserve"> The phenomenon </w:t>
      </w:r>
      <w:r w:rsidR="00C22E77">
        <w:rPr>
          <w:rFonts w:ascii="Times New Roman" w:hAnsi="Times New Roman" w:cs="Times New Roman"/>
          <w:sz w:val="24"/>
          <w:szCs w:val="24"/>
        </w:rPr>
        <w:t>tends</w:t>
      </w:r>
      <w:r w:rsidR="00857463">
        <w:rPr>
          <w:rFonts w:ascii="Times New Roman" w:hAnsi="Times New Roman" w:cs="Times New Roman"/>
          <w:sz w:val="24"/>
          <w:szCs w:val="24"/>
        </w:rPr>
        <w:t xml:space="preserve"> to stabilize the wellbore wall.</w:t>
      </w:r>
      <w:r w:rsidR="00C22E77">
        <w:rPr>
          <w:rFonts w:ascii="Times New Roman" w:hAnsi="Times New Roman" w:cs="Times New Roman"/>
          <w:sz w:val="24"/>
          <w:szCs w:val="24"/>
        </w:rPr>
        <w:t xml:space="preserve"> A major advantage of glycol systems is their ability to reduce pore pressure transmission leading to a stable wellbore (M.S. Aston &amp; Elliot, 1994)</w:t>
      </w:r>
      <w:r w:rsidR="00F93653">
        <w:rPr>
          <w:rFonts w:ascii="Times New Roman" w:hAnsi="Times New Roman" w:cs="Times New Roman"/>
          <w:sz w:val="24"/>
          <w:szCs w:val="24"/>
        </w:rPr>
        <w:t>.</w:t>
      </w:r>
      <w:r w:rsidR="00731819">
        <w:rPr>
          <w:rFonts w:ascii="Times New Roman" w:hAnsi="Times New Roman" w:cs="Times New Roman"/>
          <w:sz w:val="24"/>
          <w:szCs w:val="24"/>
        </w:rPr>
        <w:t xml:space="preserve"> These systems have the tendency of coating the drilled cuttings; therefore, reducing their dispersion</w:t>
      </w:r>
      <w:r w:rsidR="008B2409">
        <w:rPr>
          <w:rFonts w:ascii="Times New Roman" w:hAnsi="Times New Roman" w:cs="Times New Roman"/>
          <w:sz w:val="24"/>
          <w:szCs w:val="24"/>
        </w:rPr>
        <w:t>.</w:t>
      </w:r>
      <w:r w:rsidR="00D51E8D">
        <w:rPr>
          <w:rFonts w:ascii="Times New Roman" w:hAnsi="Times New Roman" w:cs="Times New Roman"/>
          <w:sz w:val="24"/>
          <w:szCs w:val="24"/>
        </w:rPr>
        <w:t xml:space="preserve"> The high salt-dependency of these fluid systems </w:t>
      </w:r>
      <w:r w:rsidR="00884CFC">
        <w:rPr>
          <w:rFonts w:ascii="Times New Roman" w:hAnsi="Times New Roman" w:cs="Times New Roman"/>
          <w:sz w:val="24"/>
          <w:szCs w:val="24"/>
        </w:rPr>
        <w:t>makes them</w:t>
      </w:r>
      <w:r w:rsidR="00C157C1">
        <w:rPr>
          <w:rFonts w:ascii="Times New Roman" w:hAnsi="Times New Roman" w:cs="Times New Roman"/>
          <w:sz w:val="24"/>
          <w:szCs w:val="24"/>
        </w:rPr>
        <w:t xml:space="preserve"> impractical in term of fluid and cutting disposal</w:t>
      </w:r>
      <w:r w:rsidR="002E6C4C">
        <w:rPr>
          <w:rFonts w:ascii="Times New Roman" w:hAnsi="Times New Roman" w:cs="Times New Roman"/>
          <w:sz w:val="24"/>
          <w:szCs w:val="24"/>
        </w:rPr>
        <w:t>.</w:t>
      </w:r>
      <w:r w:rsidR="00E274EF">
        <w:rPr>
          <w:rFonts w:ascii="Times New Roman" w:hAnsi="Times New Roman" w:cs="Times New Roman"/>
          <w:sz w:val="24"/>
          <w:szCs w:val="24"/>
        </w:rPr>
        <w:t xml:space="preserve"> Additionally, </w:t>
      </w:r>
      <w:r w:rsidR="0057722C">
        <w:rPr>
          <w:rFonts w:ascii="Times New Roman" w:hAnsi="Times New Roman" w:cs="Times New Roman"/>
          <w:sz w:val="24"/>
          <w:szCs w:val="24"/>
        </w:rPr>
        <w:t>t</w:t>
      </w:r>
      <w:r w:rsidR="00CA67BD">
        <w:rPr>
          <w:rFonts w:ascii="Times New Roman" w:hAnsi="Times New Roman" w:cs="Times New Roman"/>
          <w:sz w:val="24"/>
          <w:szCs w:val="24"/>
        </w:rPr>
        <w:t>he irreversible pore blocking mechanism of these fluid systems make them less desirable for some unconventional shale as they increase formation damage</w:t>
      </w:r>
      <w:r w:rsidR="005D563C">
        <w:rPr>
          <w:rFonts w:ascii="Times New Roman" w:hAnsi="Times New Roman" w:cs="Times New Roman"/>
          <w:sz w:val="24"/>
          <w:szCs w:val="24"/>
        </w:rPr>
        <w:t xml:space="preserve"> (M.S. Aston &amp; Elliot, 1994)</w:t>
      </w:r>
      <w:r w:rsidR="00CA67BD">
        <w:rPr>
          <w:rFonts w:ascii="Times New Roman" w:hAnsi="Times New Roman" w:cs="Times New Roman"/>
          <w:sz w:val="24"/>
          <w:szCs w:val="24"/>
        </w:rPr>
        <w:t>.</w:t>
      </w:r>
    </w:p>
    <w:p w14:paraId="16BD5A52" w14:textId="7090766A" w:rsidR="00914F05" w:rsidRDefault="00914F05" w:rsidP="00914F05">
      <w:pPr>
        <w:pStyle w:val="Heading3"/>
        <w:numPr>
          <w:ilvl w:val="2"/>
          <w:numId w:val="15"/>
        </w:numPr>
      </w:pPr>
      <w:bookmarkStart w:id="53" w:name="_Toc39751598"/>
      <w:r>
        <w:t>Aluminum-based fluid systems</w:t>
      </w:r>
      <w:bookmarkEnd w:id="53"/>
    </w:p>
    <w:p w14:paraId="4B65AD7C" w14:textId="7F8D5099" w:rsidR="00914F05" w:rsidRDefault="00217898" w:rsidP="0025438C">
      <w:pPr>
        <w:spacing w:line="480" w:lineRule="auto"/>
        <w:rPr>
          <w:rFonts w:ascii="Times New Roman" w:hAnsi="Times New Roman" w:cs="Times New Roman"/>
          <w:sz w:val="24"/>
          <w:szCs w:val="24"/>
        </w:rPr>
      </w:pPr>
      <w:r>
        <w:rPr>
          <w:rFonts w:ascii="Times New Roman" w:hAnsi="Times New Roman" w:cs="Times New Roman"/>
          <w:sz w:val="24"/>
          <w:szCs w:val="24"/>
        </w:rPr>
        <w:t>The aluminum-based fluid systems are based on a complex mixture of aluminum salt</w:t>
      </w:r>
      <w:r w:rsidR="005117C7">
        <w:rPr>
          <w:rFonts w:ascii="Times New Roman" w:hAnsi="Times New Roman" w:cs="Times New Roman"/>
          <w:sz w:val="24"/>
          <w:szCs w:val="24"/>
        </w:rPr>
        <w:t xml:space="preserve"> soluble in water.</w:t>
      </w:r>
      <w:r w:rsidR="004D6B63">
        <w:rPr>
          <w:rFonts w:ascii="Times New Roman" w:hAnsi="Times New Roman" w:cs="Times New Roman"/>
          <w:sz w:val="24"/>
          <w:szCs w:val="24"/>
        </w:rPr>
        <w:t xml:space="preserve"> Th</w:t>
      </w:r>
      <w:r w:rsidR="00331DBD">
        <w:rPr>
          <w:rFonts w:ascii="Times New Roman" w:hAnsi="Times New Roman" w:cs="Times New Roman"/>
          <w:sz w:val="24"/>
          <w:szCs w:val="24"/>
        </w:rPr>
        <w:t>ese</w:t>
      </w:r>
      <w:r w:rsidR="004D6B63">
        <w:rPr>
          <w:rFonts w:ascii="Times New Roman" w:hAnsi="Times New Roman" w:cs="Times New Roman"/>
          <w:sz w:val="24"/>
          <w:szCs w:val="24"/>
        </w:rPr>
        <w:t xml:space="preserve"> systems </w:t>
      </w:r>
      <w:r w:rsidR="00A4689B">
        <w:rPr>
          <w:rFonts w:ascii="Times New Roman" w:hAnsi="Times New Roman" w:cs="Times New Roman"/>
          <w:sz w:val="24"/>
          <w:szCs w:val="24"/>
        </w:rPr>
        <w:t>are</w:t>
      </w:r>
      <w:r w:rsidR="004D6B63">
        <w:rPr>
          <w:rFonts w:ascii="Times New Roman" w:hAnsi="Times New Roman" w:cs="Times New Roman"/>
          <w:sz w:val="24"/>
          <w:szCs w:val="24"/>
        </w:rPr>
        <w:t xml:space="preserve"> a variation of </w:t>
      </w:r>
      <w:r w:rsidR="001C3F0A">
        <w:rPr>
          <w:rFonts w:ascii="Times New Roman" w:hAnsi="Times New Roman" w:cs="Times New Roman"/>
          <w:sz w:val="24"/>
          <w:szCs w:val="24"/>
        </w:rPr>
        <w:t>HPWBM</w:t>
      </w:r>
      <w:r w:rsidR="003A3A0D">
        <w:rPr>
          <w:rFonts w:ascii="Times New Roman" w:hAnsi="Times New Roman" w:cs="Times New Roman"/>
          <w:sz w:val="24"/>
          <w:szCs w:val="24"/>
        </w:rPr>
        <w:t>.</w:t>
      </w:r>
      <w:r w:rsidR="00331DBD">
        <w:rPr>
          <w:rFonts w:ascii="Times New Roman" w:hAnsi="Times New Roman" w:cs="Times New Roman"/>
          <w:sz w:val="24"/>
          <w:szCs w:val="24"/>
        </w:rPr>
        <w:t xml:space="preserve"> These systems are characterized to have higher pH</w:t>
      </w:r>
      <w:r w:rsidR="00F168A6">
        <w:rPr>
          <w:rFonts w:ascii="Times New Roman" w:hAnsi="Times New Roman" w:cs="Times New Roman"/>
          <w:sz w:val="24"/>
          <w:szCs w:val="24"/>
        </w:rPr>
        <w:t xml:space="preserve">. </w:t>
      </w:r>
      <w:r w:rsidR="00651F59">
        <w:rPr>
          <w:rFonts w:ascii="Times New Roman" w:hAnsi="Times New Roman" w:cs="Times New Roman"/>
          <w:sz w:val="24"/>
          <w:szCs w:val="24"/>
        </w:rPr>
        <w:t>Therefore,</w:t>
      </w:r>
      <w:r w:rsidR="00F168A6">
        <w:rPr>
          <w:rFonts w:ascii="Times New Roman" w:hAnsi="Times New Roman" w:cs="Times New Roman"/>
          <w:sz w:val="24"/>
          <w:szCs w:val="24"/>
        </w:rPr>
        <w:t xml:space="preserve"> when they encounter a solution of lower pH such as connate water, they tend to generate precipitate</w:t>
      </w:r>
      <w:r w:rsidR="00D02B67">
        <w:rPr>
          <w:rFonts w:ascii="Times New Roman" w:hAnsi="Times New Roman" w:cs="Times New Roman"/>
          <w:sz w:val="24"/>
          <w:szCs w:val="24"/>
        </w:rPr>
        <w:t xml:space="preserve"> known as aluminum hydroxide in the form of crystalline mineral.</w:t>
      </w:r>
      <w:r w:rsidR="00651F59">
        <w:rPr>
          <w:rFonts w:ascii="Times New Roman" w:hAnsi="Times New Roman" w:cs="Times New Roman"/>
          <w:sz w:val="24"/>
          <w:szCs w:val="24"/>
        </w:rPr>
        <w:t xml:space="preserve"> The generated precipitate has the ability of blocking shale pores </w:t>
      </w:r>
      <w:r w:rsidR="00410FEE">
        <w:rPr>
          <w:rFonts w:ascii="Times New Roman" w:hAnsi="Times New Roman" w:cs="Times New Roman"/>
          <w:sz w:val="24"/>
          <w:szCs w:val="24"/>
        </w:rPr>
        <w:t>which eventually reduces the pore transmission</w:t>
      </w:r>
      <w:r w:rsidR="00B67309">
        <w:rPr>
          <w:rFonts w:ascii="Times New Roman" w:hAnsi="Times New Roman" w:cs="Times New Roman"/>
          <w:sz w:val="24"/>
          <w:szCs w:val="24"/>
        </w:rPr>
        <w:t>.</w:t>
      </w:r>
      <w:r w:rsidR="00744A87">
        <w:rPr>
          <w:rFonts w:ascii="Times New Roman" w:hAnsi="Times New Roman" w:cs="Times New Roman"/>
          <w:sz w:val="24"/>
          <w:szCs w:val="24"/>
        </w:rPr>
        <w:t xml:space="preserve"> This mechanism leads to an increase in </w:t>
      </w:r>
      <w:r w:rsidR="00EE226A">
        <w:rPr>
          <w:rFonts w:ascii="Times New Roman" w:hAnsi="Times New Roman" w:cs="Times New Roman"/>
          <w:sz w:val="24"/>
          <w:szCs w:val="24"/>
        </w:rPr>
        <w:t xml:space="preserve">shale strength and prevent the wellbore </w:t>
      </w:r>
      <w:r w:rsidR="00EE226A">
        <w:rPr>
          <w:rFonts w:ascii="Times New Roman" w:hAnsi="Times New Roman" w:cs="Times New Roman"/>
          <w:sz w:val="24"/>
          <w:szCs w:val="24"/>
        </w:rPr>
        <w:lastRenderedPageBreak/>
        <w:t xml:space="preserve">from experiencing swelling or wellbore collapse (Benaissa, </w:t>
      </w:r>
      <w:r w:rsidR="003B3388">
        <w:rPr>
          <w:rFonts w:ascii="Times New Roman" w:hAnsi="Times New Roman" w:cs="Times New Roman"/>
          <w:sz w:val="24"/>
          <w:szCs w:val="24"/>
        </w:rPr>
        <w:t>(</w:t>
      </w:r>
      <w:r w:rsidR="00EE226A">
        <w:rPr>
          <w:rFonts w:ascii="Times New Roman" w:hAnsi="Times New Roman" w:cs="Times New Roman"/>
          <w:sz w:val="24"/>
          <w:szCs w:val="24"/>
        </w:rPr>
        <w:t>1997</w:t>
      </w:r>
      <w:r w:rsidR="003B3388">
        <w:rPr>
          <w:rFonts w:ascii="Times New Roman" w:hAnsi="Times New Roman" w:cs="Times New Roman"/>
          <w:sz w:val="24"/>
          <w:szCs w:val="24"/>
        </w:rPr>
        <w:t xml:space="preserve">), </w:t>
      </w:r>
      <w:r w:rsidR="001A4A7B">
        <w:rPr>
          <w:rFonts w:ascii="Times New Roman" w:hAnsi="Times New Roman" w:cs="Times New Roman"/>
          <w:sz w:val="24"/>
          <w:szCs w:val="24"/>
        </w:rPr>
        <w:t>Omojuwa</w:t>
      </w:r>
      <w:r w:rsidR="003B3388">
        <w:rPr>
          <w:rFonts w:ascii="Times New Roman" w:hAnsi="Times New Roman" w:cs="Times New Roman"/>
          <w:sz w:val="24"/>
          <w:szCs w:val="24"/>
        </w:rPr>
        <w:t xml:space="preserve"> et al. (2011)</w:t>
      </w:r>
      <w:r w:rsidR="00EE226A">
        <w:rPr>
          <w:rFonts w:ascii="Times New Roman" w:hAnsi="Times New Roman" w:cs="Times New Roman"/>
          <w:sz w:val="24"/>
          <w:szCs w:val="24"/>
        </w:rPr>
        <w:t>)</w:t>
      </w:r>
      <w:r w:rsidR="003B3388">
        <w:rPr>
          <w:rFonts w:ascii="Times New Roman" w:hAnsi="Times New Roman" w:cs="Times New Roman"/>
          <w:sz w:val="24"/>
          <w:szCs w:val="24"/>
        </w:rPr>
        <w:t>.</w:t>
      </w:r>
      <w:r w:rsidR="00794AB5">
        <w:rPr>
          <w:rFonts w:ascii="Times New Roman" w:hAnsi="Times New Roman" w:cs="Times New Roman"/>
          <w:sz w:val="24"/>
          <w:szCs w:val="24"/>
        </w:rPr>
        <w:t xml:space="preserve"> These systems are highly effective in improving the overall performance covering reactive clays due to their pore blocking ability and cation exchange capacity (CEC) potential</w:t>
      </w:r>
      <w:r w:rsidR="004B4D40">
        <w:rPr>
          <w:rFonts w:ascii="Times New Roman" w:hAnsi="Times New Roman" w:cs="Times New Roman"/>
          <w:sz w:val="24"/>
          <w:szCs w:val="24"/>
        </w:rPr>
        <w:t>.</w:t>
      </w:r>
      <w:r w:rsidR="00B03FDB">
        <w:rPr>
          <w:rFonts w:ascii="Times New Roman" w:hAnsi="Times New Roman" w:cs="Times New Roman"/>
          <w:sz w:val="24"/>
          <w:szCs w:val="24"/>
        </w:rPr>
        <w:t xml:space="preserve"> According to Van Oort et al. (1996)</w:t>
      </w:r>
      <w:r w:rsidR="005117FC">
        <w:rPr>
          <w:rFonts w:ascii="Times New Roman" w:hAnsi="Times New Roman" w:cs="Times New Roman"/>
          <w:sz w:val="24"/>
          <w:szCs w:val="24"/>
        </w:rPr>
        <w:t>, a major limitation</w:t>
      </w:r>
      <w:r w:rsidR="006013D5">
        <w:rPr>
          <w:rFonts w:ascii="Times New Roman" w:hAnsi="Times New Roman" w:cs="Times New Roman"/>
          <w:sz w:val="24"/>
          <w:szCs w:val="24"/>
        </w:rPr>
        <w:t xml:space="preserve"> of these systems is their </w:t>
      </w:r>
      <w:r w:rsidR="00C24997">
        <w:rPr>
          <w:rFonts w:ascii="Times New Roman" w:hAnsi="Times New Roman" w:cs="Times New Roman"/>
          <w:sz w:val="24"/>
          <w:szCs w:val="24"/>
        </w:rPr>
        <w:t>high dependency</w:t>
      </w:r>
      <w:r w:rsidR="006013D5">
        <w:rPr>
          <w:rFonts w:ascii="Times New Roman" w:hAnsi="Times New Roman" w:cs="Times New Roman"/>
          <w:sz w:val="24"/>
          <w:szCs w:val="24"/>
        </w:rPr>
        <w:t xml:space="preserve"> on pH, which can lead to sudden precipitation due to sudden change in pH.</w:t>
      </w:r>
      <w:r w:rsidR="00413CB4">
        <w:rPr>
          <w:rFonts w:ascii="Times New Roman" w:hAnsi="Times New Roman" w:cs="Times New Roman"/>
          <w:sz w:val="24"/>
          <w:szCs w:val="24"/>
        </w:rPr>
        <w:t xml:space="preserve"> The sudden precipitation can lead to excessive torque and drag and bit-balling.</w:t>
      </w:r>
      <w:r w:rsidR="00DC1335">
        <w:rPr>
          <w:rFonts w:ascii="Times New Roman" w:hAnsi="Times New Roman" w:cs="Times New Roman"/>
          <w:sz w:val="24"/>
          <w:szCs w:val="24"/>
        </w:rPr>
        <w:t xml:space="preserve"> Field case studies in the Chonta shale (Soriano et al. 2015) and the brittle shale formation of Viletta shale (Ramirez</w:t>
      </w:r>
      <w:r w:rsidR="00842916">
        <w:rPr>
          <w:rFonts w:ascii="Times New Roman" w:hAnsi="Times New Roman" w:cs="Times New Roman"/>
          <w:sz w:val="24"/>
          <w:szCs w:val="24"/>
        </w:rPr>
        <w:t xml:space="preserve"> et al. 2015</w:t>
      </w:r>
      <w:r w:rsidR="00DC1335">
        <w:rPr>
          <w:rFonts w:ascii="Times New Roman" w:hAnsi="Times New Roman" w:cs="Times New Roman"/>
          <w:sz w:val="24"/>
          <w:szCs w:val="24"/>
        </w:rPr>
        <w:t>) showed that the aluminum-based systems have adequate performance in term of shale stability.</w:t>
      </w:r>
      <w:r w:rsidR="008C509E">
        <w:rPr>
          <w:rFonts w:ascii="Times New Roman" w:hAnsi="Times New Roman" w:cs="Times New Roman"/>
          <w:sz w:val="24"/>
          <w:szCs w:val="24"/>
        </w:rPr>
        <w:t xml:space="preserve"> These studies showed that the aluminum hydroxide precipitate effectively reduces pore pressure transmission during drilling.</w:t>
      </w:r>
      <w:r w:rsidR="00596628">
        <w:rPr>
          <w:rFonts w:ascii="Times New Roman" w:hAnsi="Times New Roman" w:cs="Times New Roman"/>
          <w:sz w:val="24"/>
          <w:szCs w:val="24"/>
        </w:rPr>
        <w:t xml:space="preserve"> Additionally, Ramirez et al. (2005)</w:t>
      </w:r>
      <w:r w:rsidR="00277DC9">
        <w:rPr>
          <w:rFonts w:ascii="Times New Roman" w:hAnsi="Times New Roman" w:cs="Times New Roman"/>
          <w:sz w:val="24"/>
          <w:szCs w:val="24"/>
        </w:rPr>
        <w:t xml:space="preserve"> reported 75% reduction in shale hydration when aluminum-based fluid system is used to drill the Villeta shale compared to conventional water-based mud.</w:t>
      </w:r>
    </w:p>
    <w:p w14:paraId="29B78551" w14:textId="2681F6BC" w:rsidR="00F61780" w:rsidRDefault="00012920" w:rsidP="00F61780">
      <w:pPr>
        <w:pStyle w:val="Heading3"/>
        <w:numPr>
          <w:ilvl w:val="2"/>
          <w:numId w:val="15"/>
        </w:numPr>
      </w:pPr>
      <w:bookmarkStart w:id="54" w:name="_Toc39751599"/>
      <w:r>
        <w:t>Silicate-based fluid systems</w:t>
      </w:r>
      <w:bookmarkEnd w:id="54"/>
    </w:p>
    <w:p w14:paraId="52267DDE" w14:textId="4FCB680D" w:rsidR="00F61780" w:rsidRDefault="00DB217B" w:rsidP="0025438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E13637">
        <w:rPr>
          <w:rFonts w:ascii="Times New Roman" w:hAnsi="Times New Roman" w:cs="Times New Roman"/>
          <w:sz w:val="24"/>
          <w:szCs w:val="24"/>
        </w:rPr>
        <w:t>silicate-based</w:t>
      </w:r>
      <w:r>
        <w:rPr>
          <w:rFonts w:ascii="Times New Roman" w:hAnsi="Times New Roman" w:cs="Times New Roman"/>
          <w:sz w:val="24"/>
          <w:szCs w:val="24"/>
        </w:rPr>
        <w:t xml:space="preserve"> systems were first introduced in early 1940s</w:t>
      </w:r>
      <w:r w:rsidR="008B27C3">
        <w:rPr>
          <w:rFonts w:ascii="Times New Roman" w:hAnsi="Times New Roman" w:cs="Times New Roman"/>
          <w:sz w:val="24"/>
          <w:szCs w:val="24"/>
        </w:rPr>
        <w:t>. The initial application proved impractical</w:t>
      </w:r>
      <w:r w:rsidR="0071538B">
        <w:rPr>
          <w:rFonts w:ascii="Times New Roman" w:hAnsi="Times New Roman" w:cs="Times New Roman"/>
          <w:sz w:val="24"/>
          <w:szCs w:val="24"/>
        </w:rPr>
        <w:t xml:space="preserve"> due to high rheology problems encountered during drilling (Ward 1999)</w:t>
      </w:r>
      <w:r w:rsidR="00A106EF">
        <w:rPr>
          <w:rFonts w:ascii="Times New Roman" w:hAnsi="Times New Roman" w:cs="Times New Roman"/>
          <w:sz w:val="24"/>
          <w:szCs w:val="24"/>
        </w:rPr>
        <w:t>.</w:t>
      </w:r>
      <w:r w:rsidR="000832AD">
        <w:rPr>
          <w:rFonts w:ascii="Times New Roman" w:hAnsi="Times New Roman" w:cs="Times New Roman"/>
          <w:sz w:val="24"/>
          <w:szCs w:val="24"/>
        </w:rPr>
        <w:t xml:space="preserve"> Since the1960s, the silicates systems were reintroduced with low concentration and in combination salt such as KCl and NaCl</w:t>
      </w:r>
      <w:r w:rsidR="00531113">
        <w:rPr>
          <w:rFonts w:ascii="Times New Roman" w:hAnsi="Times New Roman" w:cs="Times New Roman"/>
          <w:sz w:val="24"/>
          <w:szCs w:val="24"/>
        </w:rPr>
        <w:t>.</w:t>
      </w:r>
      <w:r w:rsidR="00963326">
        <w:rPr>
          <w:rFonts w:ascii="Times New Roman" w:hAnsi="Times New Roman" w:cs="Times New Roman"/>
          <w:sz w:val="24"/>
          <w:szCs w:val="24"/>
        </w:rPr>
        <w:t xml:space="preserve"> The combination of silicate and salt proved to be very effective in stabilizing shale formations and controlling cutting dispersion</w:t>
      </w:r>
      <w:r w:rsidR="008F2F2F">
        <w:rPr>
          <w:rFonts w:ascii="Times New Roman" w:hAnsi="Times New Roman" w:cs="Times New Roman"/>
          <w:sz w:val="24"/>
          <w:szCs w:val="24"/>
        </w:rPr>
        <w:t xml:space="preserve">. These systems provide </w:t>
      </w:r>
      <w:r w:rsidR="00C520A2">
        <w:rPr>
          <w:rFonts w:ascii="Times New Roman" w:hAnsi="Times New Roman" w:cs="Times New Roman"/>
          <w:sz w:val="24"/>
          <w:szCs w:val="24"/>
        </w:rPr>
        <w:t xml:space="preserve">shale pore plugging potential due to the generation of </w:t>
      </w:r>
      <w:r w:rsidR="00DD219B">
        <w:rPr>
          <w:rFonts w:ascii="Times New Roman" w:hAnsi="Times New Roman" w:cs="Times New Roman"/>
          <w:sz w:val="24"/>
          <w:szCs w:val="24"/>
        </w:rPr>
        <w:t>precipitates; therefore, minimizing pressure transmission</w:t>
      </w:r>
      <w:r w:rsidR="00D14F59">
        <w:rPr>
          <w:rFonts w:ascii="Times New Roman" w:hAnsi="Times New Roman" w:cs="Times New Roman"/>
          <w:sz w:val="24"/>
          <w:szCs w:val="24"/>
        </w:rPr>
        <w:t>. These systems minimize fluid invasion into shale matrix and produce shale dehydration due to formation hardening mechanism</w:t>
      </w:r>
      <w:r w:rsidR="00DD7D4C">
        <w:rPr>
          <w:rFonts w:ascii="Times New Roman" w:hAnsi="Times New Roman" w:cs="Times New Roman"/>
          <w:sz w:val="24"/>
          <w:szCs w:val="24"/>
        </w:rPr>
        <w:t>.</w:t>
      </w:r>
      <w:r w:rsidR="003F4328">
        <w:rPr>
          <w:rFonts w:ascii="Times New Roman" w:hAnsi="Times New Roman" w:cs="Times New Roman"/>
          <w:sz w:val="24"/>
          <w:szCs w:val="24"/>
        </w:rPr>
        <w:t xml:space="preserve"> According to Ward (1999), the high concentration of </w:t>
      </w:r>
      <w:r w:rsidR="00CE5A1D">
        <w:rPr>
          <w:rFonts w:ascii="Times New Roman" w:hAnsi="Times New Roman" w:cs="Times New Roman"/>
          <w:sz w:val="24"/>
          <w:szCs w:val="24"/>
        </w:rPr>
        <w:t>salt required for achieving good performance with these systems p</w:t>
      </w:r>
      <w:r w:rsidR="00C5643F">
        <w:rPr>
          <w:rFonts w:ascii="Times New Roman" w:hAnsi="Times New Roman" w:cs="Times New Roman"/>
          <w:sz w:val="24"/>
          <w:szCs w:val="24"/>
        </w:rPr>
        <w:t>o</w:t>
      </w:r>
      <w:r w:rsidR="00CE5A1D">
        <w:rPr>
          <w:rFonts w:ascii="Times New Roman" w:hAnsi="Times New Roman" w:cs="Times New Roman"/>
          <w:sz w:val="24"/>
          <w:szCs w:val="24"/>
        </w:rPr>
        <w:t>ses cost and environmental concerns</w:t>
      </w:r>
      <w:r w:rsidR="00C5643F">
        <w:rPr>
          <w:rFonts w:ascii="Times New Roman" w:hAnsi="Times New Roman" w:cs="Times New Roman"/>
          <w:sz w:val="24"/>
          <w:szCs w:val="24"/>
        </w:rPr>
        <w:t>.</w:t>
      </w:r>
      <w:r w:rsidR="000832AD">
        <w:rPr>
          <w:rFonts w:ascii="Times New Roman" w:hAnsi="Times New Roman" w:cs="Times New Roman"/>
          <w:sz w:val="24"/>
          <w:szCs w:val="24"/>
        </w:rPr>
        <w:t xml:space="preserve"> </w:t>
      </w:r>
    </w:p>
    <w:p w14:paraId="0CF0C25C" w14:textId="66DE45B9" w:rsidR="00A65884" w:rsidRDefault="00A65884" w:rsidP="00A65884">
      <w:pPr>
        <w:pStyle w:val="Heading3"/>
        <w:numPr>
          <w:ilvl w:val="2"/>
          <w:numId w:val="15"/>
        </w:numPr>
      </w:pPr>
      <w:bookmarkStart w:id="55" w:name="_Toc39751600"/>
      <w:r>
        <w:lastRenderedPageBreak/>
        <w:t>Nano-based fluid systems</w:t>
      </w:r>
      <w:bookmarkEnd w:id="55"/>
    </w:p>
    <w:p w14:paraId="496398FB" w14:textId="4D69E093" w:rsidR="00A65884" w:rsidRDefault="00F4626B" w:rsidP="0025438C">
      <w:pPr>
        <w:spacing w:line="480" w:lineRule="auto"/>
        <w:rPr>
          <w:rFonts w:ascii="Times New Roman" w:hAnsi="Times New Roman" w:cs="Times New Roman"/>
          <w:sz w:val="24"/>
          <w:szCs w:val="24"/>
        </w:rPr>
      </w:pPr>
      <w:r>
        <w:rPr>
          <w:rFonts w:ascii="Times New Roman" w:hAnsi="Times New Roman" w:cs="Times New Roman"/>
          <w:sz w:val="24"/>
          <w:szCs w:val="24"/>
        </w:rPr>
        <w:t xml:space="preserve">The nano-based fluid system </w:t>
      </w:r>
      <w:r w:rsidR="00DD6B97">
        <w:rPr>
          <w:rFonts w:ascii="Times New Roman" w:hAnsi="Times New Roman" w:cs="Times New Roman"/>
          <w:sz w:val="24"/>
          <w:szCs w:val="24"/>
        </w:rPr>
        <w:t>is</w:t>
      </w:r>
      <w:r>
        <w:rPr>
          <w:rFonts w:ascii="Times New Roman" w:hAnsi="Times New Roman" w:cs="Times New Roman"/>
          <w:sz w:val="24"/>
          <w:szCs w:val="24"/>
        </w:rPr>
        <w:t xml:space="preserve"> classified as a </w:t>
      </w:r>
      <w:r w:rsidR="00DD6B97">
        <w:rPr>
          <w:rFonts w:ascii="Times New Roman" w:hAnsi="Times New Roman" w:cs="Times New Roman"/>
          <w:sz w:val="24"/>
          <w:szCs w:val="24"/>
        </w:rPr>
        <w:t>smart fluid system</w:t>
      </w:r>
      <w:r>
        <w:rPr>
          <w:rFonts w:ascii="Times New Roman" w:hAnsi="Times New Roman" w:cs="Times New Roman"/>
          <w:sz w:val="24"/>
          <w:szCs w:val="24"/>
        </w:rPr>
        <w:t xml:space="preserve"> obtained by using nano particle with size ranging from 1 to 100 nm</w:t>
      </w:r>
      <w:r w:rsidR="00AD795D">
        <w:rPr>
          <w:rFonts w:ascii="Times New Roman" w:hAnsi="Times New Roman" w:cs="Times New Roman"/>
          <w:sz w:val="24"/>
          <w:szCs w:val="24"/>
        </w:rPr>
        <w:t xml:space="preserve"> as additives in water-based systems.</w:t>
      </w:r>
      <w:r w:rsidR="00707BAF">
        <w:rPr>
          <w:rFonts w:ascii="Times New Roman" w:hAnsi="Times New Roman" w:cs="Times New Roman"/>
          <w:sz w:val="24"/>
          <w:szCs w:val="24"/>
        </w:rPr>
        <w:t xml:space="preserve"> The nano particles are customized for achieving single or multiple functionalities when mixed in the drilling fluid.</w:t>
      </w:r>
      <w:r w:rsidR="00FF1767">
        <w:rPr>
          <w:rFonts w:ascii="Times New Roman" w:hAnsi="Times New Roman" w:cs="Times New Roman"/>
          <w:sz w:val="24"/>
          <w:szCs w:val="24"/>
        </w:rPr>
        <w:t xml:space="preserve"> The nano particle</w:t>
      </w:r>
      <w:r w:rsidR="00C44185">
        <w:rPr>
          <w:rFonts w:ascii="Times New Roman" w:hAnsi="Times New Roman" w:cs="Times New Roman"/>
          <w:sz w:val="24"/>
          <w:szCs w:val="24"/>
        </w:rPr>
        <w:t>s</w:t>
      </w:r>
      <w:r w:rsidR="00FF1767">
        <w:rPr>
          <w:rFonts w:ascii="Times New Roman" w:hAnsi="Times New Roman" w:cs="Times New Roman"/>
          <w:sz w:val="24"/>
          <w:szCs w:val="24"/>
        </w:rPr>
        <w:t xml:space="preserve"> are reported to have high surface area, which increases their reactivity.</w:t>
      </w:r>
      <w:r w:rsidR="00C44185">
        <w:rPr>
          <w:rFonts w:ascii="Times New Roman" w:hAnsi="Times New Roman" w:cs="Times New Roman"/>
          <w:sz w:val="24"/>
          <w:szCs w:val="24"/>
        </w:rPr>
        <w:t xml:space="preserve"> Therefore, it is recommended to use minimum amo</w:t>
      </w:r>
      <w:bookmarkStart w:id="56" w:name="_GoBack"/>
      <w:bookmarkEnd w:id="56"/>
      <w:r w:rsidR="00C44185">
        <w:rPr>
          <w:rFonts w:ascii="Times New Roman" w:hAnsi="Times New Roman" w:cs="Times New Roman"/>
          <w:sz w:val="24"/>
          <w:szCs w:val="24"/>
        </w:rPr>
        <w:t>unt of nano particles.</w:t>
      </w:r>
      <w:r w:rsidR="002F6E6F">
        <w:rPr>
          <w:rFonts w:ascii="Times New Roman" w:hAnsi="Times New Roman" w:cs="Times New Roman"/>
          <w:sz w:val="24"/>
          <w:szCs w:val="24"/>
        </w:rPr>
        <w:t xml:space="preserve"> Subhash et. al (2010) reported that nano-based fluid systems generate thin layer of non-erodible and impermeable </w:t>
      </w:r>
      <w:r w:rsidR="00341452">
        <w:rPr>
          <w:rFonts w:ascii="Times New Roman" w:hAnsi="Times New Roman" w:cs="Times New Roman"/>
          <w:sz w:val="24"/>
          <w:szCs w:val="24"/>
        </w:rPr>
        <w:t>nano particle</w:t>
      </w:r>
      <w:r w:rsidR="002F6E6F">
        <w:rPr>
          <w:rFonts w:ascii="Times New Roman" w:hAnsi="Times New Roman" w:cs="Times New Roman"/>
          <w:sz w:val="24"/>
          <w:szCs w:val="24"/>
        </w:rPr>
        <w:t xml:space="preserve"> around the wellbore which prevent drilling concerns such as shale swelling</w:t>
      </w:r>
      <w:r w:rsidR="006C203B">
        <w:rPr>
          <w:rFonts w:ascii="Times New Roman" w:hAnsi="Times New Roman" w:cs="Times New Roman"/>
          <w:sz w:val="24"/>
          <w:szCs w:val="24"/>
        </w:rPr>
        <w:t xml:space="preserve"> and </w:t>
      </w:r>
      <w:r w:rsidR="002F6E6F">
        <w:rPr>
          <w:rFonts w:ascii="Times New Roman" w:hAnsi="Times New Roman" w:cs="Times New Roman"/>
          <w:sz w:val="24"/>
          <w:szCs w:val="24"/>
        </w:rPr>
        <w:t>excessive torque and drag.</w:t>
      </w:r>
      <w:r w:rsidR="00341452">
        <w:rPr>
          <w:rFonts w:ascii="Times New Roman" w:hAnsi="Times New Roman" w:cs="Times New Roman"/>
          <w:sz w:val="24"/>
          <w:szCs w:val="24"/>
        </w:rPr>
        <w:t xml:space="preserve"> These fluid systems </w:t>
      </w:r>
      <w:r w:rsidR="00AE17E8">
        <w:rPr>
          <w:rFonts w:ascii="Times New Roman" w:hAnsi="Times New Roman" w:cs="Times New Roman"/>
          <w:sz w:val="24"/>
          <w:szCs w:val="24"/>
        </w:rPr>
        <w:t>are very effective in tackling drilling concerns such as fluid invasion, pressure transmission, and cutting dispersion (Cia 2012).</w:t>
      </w:r>
    </w:p>
    <w:p w14:paraId="1844B374" w14:textId="311005AD" w:rsidR="008739ED" w:rsidRPr="00AF2241" w:rsidRDefault="00C724F7" w:rsidP="004F5994">
      <w:pPr>
        <w:pStyle w:val="Caption"/>
      </w:pPr>
      <w:hyperlink w:anchor="_List_of_tables" w:history="1">
        <w:bookmarkStart w:id="57" w:name="_Toc37087883"/>
        <w:r w:rsidR="004F5994">
          <w:t xml:space="preserve">Table </w:t>
        </w:r>
        <w:fldSimple w:instr=" SEQ Table \* ARABIC ">
          <w:r w:rsidR="0092747F">
            <w:rPr>
              <w:noProof/>
            </w:rPr>
            <w:t>6</w:t>
          </w:r>
        </w:fldSimple>
        <w:r w:rsidR="005D3925" w:rsidRPr="00AF2241">
          <w:rPr>
            <w:rStyle w:val="Hyperlink"/>
            <w:bCs/>
            <w:color w:val="0D0D0D" w:themeColor="text1" w:themeTint="F2"/>
            <w:szCs w:val="24"/>
            <w:u w:val="none"/>
          </w:rPr>
          <w:t>-</w:t>
        </w:r>
        <w:r w:rsidR="008739ED" w:rsidRPr="00AF2241">
          <w:rPr>
            <w:rStyle w:val="Hyperlink"/>
            <w:bCs/>
            <w:color w:val="0D0D0D" w:themeColor="text1" w:themeTint="F2"/>
            <w:szCs w:val="24"/>
            <w:u w:val="none"/>
          </w:rPr>
          <w:t>Summary of major drilling fluid systems and their pros and cons (Konate et al. 2019, Gilbert et al. 2007).</w:t>
        </w:r>
        <w:bookmarkEnd w:id="57"/>
      </w:hyperlink>
    </w:p>
    <w:tbl>
      <w:tblPr>
        <w:tblStyle w:val="TableGrid"/>
        <w:tblW w:w="9268" w:type="dxa"/>
        <w:jc w:val="center"/>
        <w:tblLook w:val="04A0" w:firstRow="1" w:lastRow="0" w:firstColumn="1" w:lastColumn="0" w:noHBand="0" w:noVBand="1"/>
      </w:tblPr>
      <w:tblGrid>
        <w:gridCol w:w="1167"/>
        <w:gridCol w:w="1700"/>
        <w:gridCol w:w="1612"/>
        <w:gridCol w:w="1470"/>
        <w:gridCol w:w="1700"/>
        <w:gridCol w:w="1700"/>
      </w:tblGrid>
      <w:tr w:rsidR="008739ED" w:rsidRPr="008B3D03" w14:paraId="28AEC656" w14:textId="77777777" w:rsidTr="00763255">
        <w:trPr>
          <w:trHeight w:val="648"/>
          <w:jc w:val="center"/>
        </w:trPr>
        <w:tc>
          <w:tcPr>
            <w:tcW w:w="1192" w:type="dxa"/>
            <w:tcBorders>
              <w:top w:val="nil"/>
              <w:left w:val="nil"/>
            </w:tcBorders>
            <w:vAlign w:val="center"/>
          </w:tcPr>
          <w:p w14:paraId="1EA52BC1" w14:textId="77777777" w:rsidR="008739ED" w:rsidRPr="00763255" w:rsidRDefault="008739ED" w:rsidP="005E7F3C">
            <w:pPr>
              <w:jc w:val="center"/>
              <w:rPr>
                <w:rFonts w:ascii="Times New Roman" w:hAnsi="Times New Roman" w:cs="Times New Roman"/>
                <w:sz w:val="16"/>
                <w:szCs w:val="16"/>
              </w:rPr>
            </w:pPr>
          </w:p>
        </w:tc>
        <w:tc>
          <w:tcPr>
            <w:tcW w:w="4747" w:type="dxa"/>
            <w:gridSpan w:val="3"/>
            <w:vAlign w:val="center"/>
          </w:tcPr>
          <w:p w14:paraId="418C50F2" w14:textId="77777777" w:rsidR="008739ED" w:rsidRPr="00763255" w:rsidRDefault="008739ED" w:rsidP="005E7F3C">
            <w:pPr>
              <w:jc w:val="center"/>
              <w:rPr>
                <w:rFonts w:ascii="Times New Roman" w:hAnsi="Times New Roman" w:cs="Times New Roman"/>
                <w:sz w:val="16"/>
                <w:szCs w:val="16"/>
              </w:rPr>
            </w:pPr>
          </w:p>
          <w:p w14:paraId="3F0A38D8"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Water-Based Mud</w:t>
            </w:r>
          </w:p>
        </w:tc>
        <w:tc>
          <w:tcPr>
            <w:tcW w:w="1693" w:type="dxa"/>
            <w:vAlign w:val="center"/>
          </w:tcPr>
          <w:p w14:paraId="063383A6" w14:textId="77777777" w:rsidR="008739ED" w:rsidRPr="00763255" w:rsidRDefault="008739ED" w:rsidP="005E7F3C">
            <w:pPr>
              <w:jc w:val="center"/>
              <w:rPr>
                <w:rFonts w:ascii="Times New Roman" w:hAnsi="Times New Roman" w:cs="Times New Roman"/>
                <w:sz w:val="16"/>
                <w:szCs w:val="16"/>
              </w:rPr>
            </w:pPr>
          </w:p>
          <w:p w14:paraId="014E2E3B" w14:textId="77777777" w:rsidR="008739ED" w:rsidRPr="00763255" w:rsidRDefault="008739ED" w:rsidP="005E7F3C">
            <w:pPr>
              <w:jc w:val="center"/>
              <w:rPr>
                <w:rFonts w:ascii="Times New Roman" w:hAnsi="Times New Roman" w:cs="Times New Roman"/>
                <w:sz w:val="16"/>
                <w:szCs w:val="16"/>
              </w:rPr>
            </w:pPr>
          </w:p>
          <w:p w14:paraId="2F504661"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Oil-based mud</w:t>
            </w:r>
          </w:p>
        </w:tc>
        <w:tc>
          <w:tcPr>
            <w:tcW w:w="1636" w:type="dxa"/>
            <w:vAlign w:val="center"/>
          </w:tcPr>
          <w:p w14:paraId="35A8D2E1"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Synthetic-based mud/ Formate brine</w:t>
            </w:r>
          </w:p>
        </w:tc>
      </w:tr>
      <w:tr w:rsidR="008739ED" w:rsidRPr="008B3D03" w14:paraId="128C291B" w14:textId="77777777" w:rsidTr="00763255">
        <w:trPr>
          <w:trHeight w:val="440"/>
          <w:jc w:val="center"/>
        </w:trPr>
        <w:tc>
          <w:tcPr>
            <w:tcW w:w="1192" w:type="dxa"/>
            <w:vAlign w:val="center"/>
          </w:tcPr>
          <w:p w14:paraId="53FBA310"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Application worldwide</w:t>
            </w:r>
          </w:p>
        </w:tc>
        <w:tc>
          <w:tcPr>
            <w:tcW w:w="4747" w:type="dxa"/>
            <w:gridSpan w:val="3"/>
            <w:vAlign w:val="center"/>
          </w:tcPr>
          <w:p w14:paraId="77AB8423"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60%</w:t>
            </w:r>
          </w:p>
        </w:tc>
        <w:tc>
          <w:tcPr>
            <w:tcW w:w="1693" w:type="dxa"/>
            <w:vAlign w:val="center"/>
          </w:tcPr>
          <w:p w14:paraId="09F91F11"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20%</w:t>
            </w:r>
          </w:p>
        </w:tc>
        <w:tc>
          <w:tcPr>
            <w:tcW w:w="1636" w:type="dxa"/>
            <w:vAlign w:val="center"/>
          </w:tcPr>
          <w:p w14:paraId="35297577"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20%</w:t>
            </w:r>
          </w:p>
        </w:tc>
      </w:tr>
      <w:tr w:rsidR="008739ED" w:rsidRPr="008B3D03" w14:paraId="3884F5B9" w14:textId="77777777" w:rsidTr="00763255">
        <w:trPr>
          <w:trHeight w:val="648"/>
          <w:jc w:val="center"/>
        </w:trPr>
        <w:tc>
          <w:tcPr>
            <w:tcW w:w="1192" w:type="dxa"/>
            <w:vAlign w:val="center"/>
          </w:tcPr>
          <w:p w14:paraId="2611A03D" w14:textId="77777777" w:rsidR="008739ED" w:rsidRPr="00763255" w:rsidRDefault="008739ED" w:rsidP="005E7F3C">
            <w:pPr>
              <w:jc w:val="center"/>
              <w:rPr>
                <w:rFonts w:ascii="Times New Roman" w:hAnsi="Times New Roman" w:cs="Times New Roman"/>
                <w:sz w:val="16"/>
                <w:szCs w:val="16"/>
              </w:rPr>
            </w:pPr>
          </w:p>
          <w:p w14:paraId="0D3D1D2E" w14:textId="77777777" w:rsidR="008739ED" w:rsidRPr="00763255" w:rsidRDefault="008739ED" w:rsidP="005E7F3C">
            <w:pPr>
              <w:jc w:val="center"/>
              <w:rPr>
                <w:rFonts w:ascii="Times New Roman" w:hAnsi="Times New Roman" w:cs="Times New Roman"/>
                <w:sz w:val="16"/>
                <w:szCs w:val="16"/>
              </w:rPr>
            </w:pPr>
          </w:p>
          <w:p w14:paraId="7C951917"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Type/base</w:t>
            </w:r>
          </w:p>
        </w:tc>
        <w:tc>
          <w:tcPr>
            <w:tcW w:w="1693" w:type="dxa"/>
            <w:vAlign w:val="center"/>
          </w:tcPr>
          <w:p w14:paraId="7EF08E13" w14:textId="77777777" w:rsidR="008739ED" w:rsidRPr="00763255" w:rsidRDefault="008739ED" w:rsidP="005E7F3C">
            <w:pPr>
              <w:jc w:val="center"/>
              <w:rPr>
                <w:rFonts w:ascii="Times New Roman" w:hAnsi="Times New Roman" w:cs="Times New Roman"/>
                <w:sz w:val="16"/>
                <w:szCs w:val="16"/>
              </w:rPr>
            </w:pPr>
          </w:p>
          <w:p w14:paraId="6D875F84" w14:textId="77777777" w:rsidR="008739ED" w:rsidRPr="00763255" w:rsidRDefault="008739ED" w:rsidP="005E7F3C">
            <w:pPr>
              <w:jc w:val="center"/>
              <w:rPr>
                <w:rFonts w:ascii="Times New Roman" w:hAnsi="Times New Roman" w:cs="Times New Roman"/>
                <w:sz w:val="16"/>
                <w:szCs w:val="16"/>
              </w:rPr>
            </w:pPr>
          </w:p>
          <w:p w14:paraId="7D684B74"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HPWBM</w:t>
            </w:r>
          </w:p>
        </w:tc>
        <w:tc>
          <w:tcPr>
            <w:tcW w:w="1600" w:type="dxa"/>
            <w:vAlign w:val="center"/>
          </w:tcPr>
          <w:p w14:paraId="25238EC3" w14:textId="77777777" w:rsidR="008739ED" w:rsidRPr="00763255" w:rsidRDefault="008739ED" w:rsidP="005E7F3C">
            <w:pPr>
              <w:jc w:val="center"/>
              <w:rPr>
                <w:rFonts w:ascii="Times New Roman" w:hAnsi="Times New Roman" w:cs="Times New Roman"/>
                <w:sz w:val="16"/>
                <w:szCs w:val="16"/>
              </w:rPr>
            </w:pPr>
          </w:p>
          <w:p w14:paraId="60289EC9" w14:textId="77777777" w:rsidR="008739ED" w:rsidRPr="00763255" w:rsidRDefault="008739ED" w:rsidP="005E7F3C">
            <w:pPr>
              <w:jc w:val="center"/>
              <w:rPr>
                <w:rFonts w:ascii="Times New Roman" w:hAnsi="Times New Roman" w:cs="Times New Roman"/>
                <w:sz w:val="16"/>
                <w:szCs w:val="16"/>
              </w:rPr>
            </w:pPr>
          </w:p>
          <w:p w14:paraId="11607DF5"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Non-dispersed</w:t>
            </w:r>
          </w:p>
        </w:tc>
        <w:tc>
          <w:tcPr>
            <w:tcW w:w="1453" w:type="dxa"/>
            <w:vAlign w:val="center"/>
          </w:tcPr>
          <w:p w14:paraId="3DCCD9ED" w14:textId="77777777" w:rsidR="008739ED" w:rsidRPr="00763255" w:rsidRDefault="008739ED" w:rsidP="005E7F3C">
            <w:pPr>
              <w:jc w:val="center"/>
              <w:rPr>
                <w:rFonts w:ascii="Times New Roman" w:hAnsi="Times New Roman" w:cs="Times New Roman"/>
                <w:sz w:val="16"/>
                <w:szCs w:val="16"/>
              </w:rPr>
            </w:pPr>
          </w:p>
          <w:p w14:paraId="76D11C3B" w14:textId="77777777" w:rsidR="008739ED" w:rsidRPr="00763255" w:rsidRDefault="008739ED" w:rsidP="005E7F3C">
            <w:pPr>
              <w:jc w:val="center"/>
              <w:rPr>
                <w:rFonts w:ascii="Times New Roman" w:hAnsi="Times New Roman" w:cs="Times New Roman"/>
                <w:sz w:val="16"/>
                <w:szCs w:val="16"/>
              </w:rPr>
            </w:pPr>
          </w:p>
          <w:p w14:paraId="4F34FA0B"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dispersed</w:t>
            </w:r>
          </w:p>
        </w:tc>
        <w:tc>
          <w:tcPr>
            <w:tcW w:w="1693" w:type="dxa"/>
            <w:vAlign w:val="center"/>
          </w:tcPr>
          <w:p w14:paraId="3E696684"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Diesel or mineral oil</w:t>
            </w:r>
          </w:p>
        </w:tc>
        <w:tc>
          <w:tcPr>
            <w:tcW w:w="1636" w:type="dxa"/>
            <w:vAlign w:val="center"/>
          </w:tcPr>
          <w:p w14:paraId="6C8EACB8"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Ester, paraffins/ cesium, potassium, sodium</w:t>
            </w:r>
          </w:p>
        </w:tc>
      </w:tr>
      <w:tr w:rsidR="008739ED" w:rsidRPr="008B3D03" w14:paraId="0EF85AFD" w14:textId="77777777" w:rsidTr="00763255">
        <w:trPr>
          <w:trHeight w:val="2256"/>
          <w:jc w:val="center"/>
        </w:trPr>
        <w:tc>
          <w:tcPr>
            <w:tcW w:w="1192" w:type="dxa"/>
            <w:vAlign w:val="center"/>
          </w:tcPr>
          <w:p w14:paraId="5FD37CD1"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Key reasons for selection</w:t>
            </w:r>
          </w:p>
        </w:tc>
        <w:tc>
          <w:tcPr>
            <w:tcW w:w="1693" w:type="dxa"/>
            <w:vAlign w:val="center"/>
          </w:tcPr>
          <w:p w14:paraId="4F684A1F"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Improved rheology</w:t>
            </w:r>
          </w:p>
          <w:p w14:paraId="6EF06C30"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Well/hole stability</w:t>
            </w:r>
          </w:p>
          <w:p w14:paraId="187360FB"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Moderate temperature</w:t>
            </w:r>
          </w:p>
        </w:tc>
        <w:tc>
          <w:tcPr>
            <w:tcW w:w="1600" w:type="dxa"/>
            <w:vAlign w:val="center"/>
          </w:tcPr>
          <w:p w14:paraId="1D5C3442"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Inhibition issues</w:t>
            </w:r>
          </w:p>
          <w:p w14:paraId="754D8EDB"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Logistic challenges</w:t>
            </w:r>
          </w:p>
        </w:tc>
        <w:tc>
          <w:tcPr>
            <w:tcW w:w="1453" w:type="dxa"/>
            <w:vAlign w:val="center"/>
          </w:tcPr>
          <w:p w14:paraId="3B6E6151"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Tophole drilling</w:t>
            </w:r>
          </w:p>
          <w:p w14:paraId="149840B6"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Low cost and simple</w:t>
            </w:r>
          </w:p>
          <w:p w14:paraId="2FF74941"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Spud mud</w:t>
            </w:r>
          </w:p>
        </w:tc>
        <w:tc>
          <w:tcPr>
            <w:tcW w:w="1693" w:type="dxa"/>
            <w:vAlign w:val="center"/>
          </w:tcPr>
          <w:p w14:paraId="3CC212DD"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High temperature</w:t>
            </w:r>
          </w:p>
          <w:p w14:paraId="7C5A705D"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Well/hole stability</w:t>
            </w:r>
          </w:p>
          <w:p w14:paraId="349595F3"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Torque and drag</w:t>
            </w:r>
          </w:p>
          <w:p w14:paraId="69A64FFC"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Better lubrication</w:t>
            </w:r>
          </w:p>
          <w:p w14:paraId="2C57660B"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Increase ROP</w:t>
            </w:r>
          </w:p>
        </w:tc>
        <w:tc>
          <w:tcPr>
            <w:tcW w:w="1636" w:type="dxa"/>
            <w:vAlign w:val="center"/>
          </w:tcPr>
          <w:p w14:paraId="2FF27243"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High temperature</w:t>
            </w:r>
          </w:p>
          <w:p w14:paraId="03164C03"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Well stability</w:t>
            </w:r>
          </w:p>
          <w:p w14:paraId="096EB023"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Torque and drag</w:t>
            </w:r>
          </w:p>
          <w:p w14:paraId="7667E629"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Better lubrication</w:t>
            </w:r>
          </w:p>
          <w:p w14:paraId="0AF5B39E" w14:textId="77777777" w:rsidR="008739ED" w:rsidRPr="00763255" w:rsidRDefault="008739ED" w:rsidP="005E7F3C">
            <w:pPr>
              <w:pStyle w:val="ListParagraph"/>
              <w:numPr>
                <w:ilvl w:val="0"/>
                <w:numId w:val="24"/>
              </w:numPr>
              <w:jc w:val="center"/>
              <w:rPr>
                <w:rFonts w:ascii="Times New Roman" w:hAnsi="Times New Roman" w:cs="Times New Roman"/>
                <w:sz w:val="16"/>
                <w:szCs w:val="16"/>
              </w:rPr>
            </w:pPr>
            <w:r w:rsidRPr="00763255">
              <w:rPr>
                <w:rFonts w:ascii="Times New Roman" w:hAnsi="Times New Roman" w:cs="Times New Roman"/>
                <w:sz w:val="16"/>
                <w:szCs w:val="16"/>
              </w:rPr>
              <w:t>Increase ROP</w:t>
            </w:r>
          </w:p>
        </w:tc>
      </w:tr>
      <w:tr w:rsidR="008739ED" w:rsidRPr="008B3D03" w14:paraId="1DD6A416" w14:textId="77777777" w:rsidTr="00763255">
        <w:trPr>
          <w:trHeight w:val="206"/>
          <w:jc w:val="center"/>
        </w:trPr>
        <w:tc>
          <w:tcPr>
            <w:tcW w:w="1192" w:type="dxa"/>
            <w:vAlign w:val="center"/>
          </w:tcPr>
          <w:p w14:paraId="68C7644A"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Cost</w:t>
            </w:r>
          </w:p>
        </w:tc>
        <w:tc>
          <w:tcPr>
            <w:tcW w:w="1693" w:type="dxa"/>
            <w:vAlign w:val="center"/>
          </w:tcPr>
          <w:p w14:paraId="445F568E" w14:textId="77777777" w:rsidR="008739ED" w:rsidRPr="00763255" w:rsidRDefault="008739ED" w:rsidP="005E7F3C">
            <w:pPr>
              <w:jc w:val="center"/>
              <w:rPr>
                <w:rFonts w:ascii="Times New Roman" w:hAnsi="Times New Roman" w:cs="Times New Roman"/>
                <w:sz w:val="16"/>
                <w:szCs w:val="16"/>
              </w:rPr>
            </w:pPr>
            <w:bookmarkStart w:id="58" w:name="OLE_LINK1"/>
            <w:r w:rsidRPr="00763255">
              <w:rPr>
                <w:rFonts w:ascii="Times New Roman" w:hAnsi="Times New Roman" w:cs="Times New Roman"/>
                <w:sz w:val="16"/>
                <w:szCs w:val="16"/>
              </w:rPr>
              <w:t>Medium to high</w:t>
            </w:r>
            <w:bookmarkEnd w:id="58"/>
          </w:p>
        </w:tc>
        <w:tc>
          <w:tcPr>
            <w:tcW w:w="1600" w:type="dxa"/>
            <w:vAlign w:val="center"/>
          </w:tcPr>
          <w:p w14:paraId="1888601A"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w:t>
            </w:r>
          </w:p>
        </w:tc>
        <w:tc>
          <w:tcPr>
            <w:tcW w:w="1453" w:type="dxa"/>
            <w:vAlign w:val="center"/>
          </w:tcPr>
          <w:p w14:paraId="42DB891B"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w:t>
            </w:r>
          </w:p>
        </w:tc>
        <w:tc>
          <w:tcPr>
            <w:tcW w:w="1693" w:type="dxa"/>
            <w:vAlign w:val="center"/>
          </w:tcPr>
          <w:p w14:paraId="7B27AB78"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high</w:t>
            </w:r>
          </w:p>
        </w:tc>
        <w:tc>
          <w:tcPr>
            <w:tcW w:w="1636" w:type="dxa"/>
            <w:vAlign w:val="center"/>
          </w:tcPr>
          <w:p w14:paraId="3BEA128E"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high</w:t>
            </w:r>
          </w:p>
        </w:tc>
      </w:tr>
      <w:tr w:rsidR="008739ED" w:rsidRPr="008B3D03" w14:paraId="7AF2ADE1" w14:textId="77777777" w:rsidTr="00763255">
        <w:trPr>
          <w:trHeight w:val="427"/>
          <w:jc w:val="center"/>
        </w:trPr>
        <w:tc>
          <w:tcPr>
            <w:tcW w:w="1192" w:type="dxa"/>
            <w:vAlign w:val="center"/>
          </w:tcPr>
          <w:p w14:paraId="4E6192F1"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Drilling efficiency</w:t>
            </w:r>
          </w:p>
        </w:tc>
        <w:tc>
          <w:tcPr>
            <w:tcW w:w="1693" w:type="dxa"/>
            <w:vAlign w:val="center"/>
          </w:tcPr>
          <w:p w14:paraId="104F152D" w14:textId="6495854C"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fldChar w:fldCharType="begin"/>
            </w:r>
            <w:r w:rsidRPr="00763255">
              <w:rPr>
                <w:rFonts w:ascii="Times New Roman" w:hAnsi="Times New Roman" w:cs="Times New Roman"/>
                <w:sz w:val="16"/>
                <w:szCs w:val="16"/>
              </w:rPr>
              <w:instrText xml:space="preserve"> LINK </w:instrText>
            </w:r>
            <w:r w:rsidR="00842916" w:rsidRPr="00763255">
              <w:rPr>
                <w:rFonts w:ascii="Times New Roman" w:hAnsi="Times New Roman" w:cs="Times New Roman"/>
                <w:sz w:val="16"/>
                <w:szCs w:val="16"/>
              </w:rPr>
              <w:instrText xml:space="preserve">Word.Document.12 "C:\\Users\\konat\\Desktop\\School\\Graduate Research\\Thesis\\Thesis Dissertation.docx" OLE_LINK1 </w:instrText>
            </w:r>
            <w:r w:rsidRPr="00763255">
              <w:rPr>
                <w:rFonts w:ascii="Times New Roman" w:hAnsi="Times New Roman" w:cs="Times New Roman"/>
                <w:sz w:val="16"/>
                <w:szCs w:val="16"/>
              </w:rPr>
              <w:instrText xml:space="preserve">\a \r  \* MERGEFORMAT </w:instrText>
            </w:r>
            <w:r w:rsidRPr="00763255">
              <w:rPr>
                <w:rFonts w:ascii="Times New Roman" w:hAnsi="Times New Roman" w:cs="Times New Roman"/>
                <w:sz w:val="16"/>
                <w:szCs w:val="16"/>
              </w:rPr>
              <w:fldChar w:fldCharType="separate"/>
            </w:r>
            <w:r w:rsidRPr="00763255">
              <w:rPr>
                <w:rFonts w:ascii="Times New Roman" w:hAnsi="Times New Roman" w:cs="Times New Roman"/>
                <w:sz w:val="16"/>
                <w:szCs w:val="16"/>
              </w:rPr>
              <w:t>Medium to high</w:t>
            </w:r>
            <w:r w:rsidRPr="00763255">
              <w:rPr>
                <w:rFonts w:ascii="Times New Roman" w:hAnsi="Times New Roman" w:cs="Times New Roman"/>
                <w:sz w:val="16"/>
                <w:szCs w:val="16"/>
              </w:rPr>
              <w:fldChar w:fldCharType="end"/>
            </w:r>
          </w:p>
        </w:tc>
        <w:tc>
          <w:tcPr>
            <w:tcW w:w="1600" w:type="dxa"/>
            <w:vAlign w:val="center"/>
          </w:tcPr>
          <w:p w14:paraId="44EC08DC"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 to medium</w:t>
            </w:r>
          </w:p>
        </w:tc>
        <w:tc>
          <w:tcPr>
            <w:tcW w:w="1453" w:type="dxa"/>
            <w:vAlign w:val="center"/>
          </w:tcPr>
          <w:p w14:paraId="2E1CAB87"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 to medium</w:t>
            </w:r>
          </w:p>
        </w:tc>
        <w:tc>
          <w:tcPr>
            <w:tcW w:w="1693" w:type="dxa"/>
            <w:vAlign w:val="center"/>
          </w:tcPr>
          <w:p w14:paraId="1CED1816"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high</w:t>
            </w:r>
          </w:p>
        </w:tc>
        <w:tc>
          <w:tcPr>
            <w:tcW w:w="1636" w:type="dxa"/>
            <w:vAlign w:val="center"/>
          </w:tcPr>
          <w:p w14:paraId="4EC1C6C1"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high</w:t>
            </w:r>
          </w:p>
        </w:tc>
      </w:tr>
      <w:tr w:rsidR="008739ED" w:rsidRPr="008B3D03" w14:paraId="6BD1C88E" w14:textId="77777777" w:rsidTr="00763255">
        <w:trPr>
          <w:trHeight w:val="648"/>
          <w:jc w:val="center"/>
        </w:trPr>
        <w:tc>
          <w:tcPr>
            <w:tcW w:w="1192" w:type="dxa"/>
            <w:vAlign w:val="center"/>
          </w:tcPr>
          <w:p w14:paraId="4B0593CA"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Rate of penetration (ROP)</w:t>
            </w:r>
          </w:p>
        </w:tc>
        <w:tc>
          <w:tcPr>
            <w:tcW w:w="1693" w:type="dxa"/>
            <w:vAlign w:val="center"/>
          </w:tcPr>
          <w:p w14:paraId="30037A62" w14:textId="18A4007D"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fldChar w:fldCharType="begin"/>
            </w:r>
            <w:r w:rsidRPr="00763255">
              <w:rPr>
                <w:rFonts w:ascii="Times New Roman" w:hAnsi="Times New Roman" w:cs="Times New Roman"/>
                <w:sz w:val="16"/>
                <w:szCs w:val="16"/>
              </w:rPr>
              <w:instrText xml:space="preserve"> LINK </w:instrText>
            </w:r>
            <w:r w:rsidR="00842916" w:rsidRPr="00763255">
              <w:rPr>
                <w:rFonts w:ascii="Times New Roman" w:hAnsi="Times New Roman" w:cs="Times New Roman"/>
                <w:sz w:val="16"/>
                <w:szCs w:val="16"/>
              </w:rPr>
              <w:instrText xml:space="preserve">Word.Document.12 "C:\\Users\\konat\\Desktop\\School\\Graduate Research\\Thesis\\Thesis Dissertation.docx" OLE_LINK1 </w:instrText>
            </w:r>
            <w:r w:rsidRPr="00763255">
              <w:rPr>
                <w:rFonts w:ascii="Times New Roman" w:hAnsi="Times New Roman" w:cs="Times New Roman"/>
                <w:sz w:val="16"/>
                <w:szCs w:val="16"/>
              </w:rPr>
              <w:instrText xml:space="preserve">\a \r  \* MERGEFORMAT </w:instrText>
            </w:r>
            <w:r w:rsidRPr="00763255">
              <w:rPr>
                <w:rFonts w:ascii="Times New Roman" w:hAnsi="Times New Roman" w:cs="Times New Roman"/>
                <w:sz w:val="16"/>
                <w:szCs w:val="16"/>
              </w:rPr>
              <w:fldChar w:fldCharType="separate"/>
            </w:r>
            <w:r w:rsidRPr="00763255">
              <w:rPr>
                <w:rFonts w:ascii="Times New Roman" w:hAnsi="Times New Roman" w:cs="Times New Roman"/>
                <w:sz w:val="16"/>
                <w:szCs w:val="16"/>
              </w:rPr>
              <w:t>Medium to high</w:t>
            </w:r>
            <w:r w:rsidRPr="00763255">
              <w:rPr>
                <w:rFonts w:ascii="Times New Roman" w:hAnsi="Times New Roman" w:cs="Times New Roman"/>
                <w:sz w:val="16"/>
                <w:szCs w:val="16"/>
              </w:rPr>
              <w:fldChar w:fldCharType="end"/>
            </w:r>
          </w:p>
        </w:tc>
        <w:tc>
          <w:tcPr>
            <w:tcW w:w="1600" w:type="dxa"/>
            <w:vAlign w:val="center"/>
          </w:tcPr>
          <w:p w14:paraId="107ADED1"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w:t>
            </w:r>
          </w:p>
        </w:tc>
        <w:tc>
          <w:tcPr>
            <w:tcW w:w="1453" w:type="dxa"/>
            <w:vAlign w:val="center"/>
          </w:tcPr>
          <w:p w14:paraId="54C2A9E7"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w:t>
            </w:r>
          </w:p>
        </w:tc>
        <w:tc>
          <w:tcPr>
            <w:tcW w:w="1693" w:type="dxa"/>
            <w:vAlign w:val="center"/>
          </w:tcPr>
          <w:p w14:paraId="4AFCE2AD"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high</w:t>
            </w:r>
          </w:p>
        </w:tc>
        <w:tc>
          <w:tcPr>
            <w:tcW w:w="1636" w:type="dxa"/>
            <w:vAlign w:val="center"/>
          </w:tcPr>
          <w:p w14:paraId="6290E5EE"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high</w:t>
            </w:r>
          </w:p>
        </w:tc>
      </w:tr>
      <w:tr w:rsidR="008739ED" w:rsidRPr="008B3D03" w14:paraId="07B9ABDF" w14:textId="77777777" w:rsidTr="00763255">
        <w:trPr>
          <w:trHeight w:val="427"/>
          <w:jc w:val="center"/>
        </w:trPr>
        <w:tc>
          <w:tcPr>
            <w:tcW w:w="1192" w:type="dxa"/>
            <w:vAlign w:val="center"/>
          </w:tcPr>
          <w:p w14:paraId="6A07DB68"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Wellbore stability</w:t>
            </w:r>
          </w:p>
        </w:tc>
        <w:tc>
          <w:tcPr>
            <w:tcW w:w="1693" w:type="dxa"/>
            <w:vAlign w:val="center"/>
          </w:tcPr>
          <w:p w14:paraId="4A790D4E"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Medium to high</w:t>
            </w:r>
          </w:p>
        </w:tc>
        <w:tc>
          <w:tcPr>
            <w:tcW w:w="1600" w:type="dxa"/>
            <w:vAlign w:val="center"/>
          </w:tcPr>
          <w:p w14:paraId="21005217"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 to medium</w:t>
            </w:r>
          </w:p>
        </w:tc>
        <w:tc>
          <w:tcPr>
            <w:tcW w:w="1453" w:type="dxa"/>
            <w:vAlign w:val="center"/>
          </w:tcPr>
          <w:p w14:paraId="2459ED49"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w:t>
            </w:r>
          </w:p>
        </w:tc>
        <w:tc>
          <w:tcPr>
            <w:tcW w:w="1693" w:type="dxa"/>
            <w:vAlign w:val="center"/>
          </w:tcPr>
          <w:p w14:paraId="28F0D473"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high</w:t>
            </w:r>
          </w:p>
        </w:tc>
        <w:tc>
          <w:tcPr>
            <w:tcW w:w="1636" w:type="dxa"/>
            <w:vAlign w:val="center"/>
          </w:tcPr>
          <w:p w14:paraId="3A130BD5"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high</w:t>
            </w:r>
          </w:p>
        </w:tc>
      </w:tr>
      <w:tr w:rsidR="008739ED" w:rsidRPr="008B3D03" w14:paraId="18D405FE" w14:textId="77777777" w:rsidTr="00763255">
        <w:trPr>
          <w:trHeight w:val="440"/>
          <w:jc w:val="center"/>
        </w:trPr>
        <w:tc>
          <w:tcPr>
            <w:tcW w:w="1192" w:type="dxa"/>
            <w:vAlign w:val="center"/>
          </w:tcPr>
          <w:p w14:paraId="7903340B"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Environmental concerns</w:t>
            </w:r>
          </w:p>
        </w:tc>
        <w:tc>
          <w:tcPr>
            <w:tcW w:w="1693" w:type="dxa"/>
            <w:vAlign w:val="center"/>
          </w:tcPr>
          <w:p w14:paraId="0AF08661"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 to medium</w:t>
            </w:r>
          </w:p>
        </w:tc>
        <w:tc>
          <w:tcPr>
            <w:tcW w:w="1600" w:type="dxa"/>
            <w:vAlign w:val="center"/>
          </w:tcPr>
          <w:p w14:paraId="485FFECB"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w:t>
            </w:r>
          </w:p>
        </w:tc>
        <w:tc>
          <w:tcPr>
            <w:tcW w:w="1453" w:type="dxa"/>
            <w:vAlign w:val="center"/>
          </w:tcPr>
          <w:p w14:paraId="25BE9D7F"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w:t>
            </w:r>
          </w:p>
        </w:tc>
        <w:tc>
          <w:tcPr>
            <w:tcW w:w="1693" w:type="dxa"/>
            <w:vAlign w:val="center"/>
          </w:tcPr>
          <w:p w14:paraId="1CACCC42"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high</w:t>
            </w:r>
          </w:p>
        </w:tc>
        <w:tc>
          <w:tcPr>
            <w:tcW w:w="1636" w:type="dxa"/>
            <w:vAlign w:val="center"/>
          </w:tcPr>
          <w:p w14:paraId="2C24BF84"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Medium to high</w:t>
            </w:r>
          </w:p>
        </w:tc>
      </w:tr>
      <w:tr w:rsidR="008739ED" w:rsidRPr="008B3D03" w14:paraId="6A4A05D3" w14:textId="77777777" w:rsidTr="00763255">
        <w:trPr>
          <w:trHeight w:val="206"/>
          <w:jc w:val="center"/>
        </w:trPr>
        <w:tc>
          <w:tcPr>
            <w:tcW w:w="1192" w:type="dxa"/>
            <w:vAlign w:val="center"/>
          </w:tcPr>
          <w:p w14:paraId="18F6AF5A"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Disposal cost</w:t>
            </w:r>
          </w:p>
        </w:tc>
        <w:tc>
          <w:tcPr>
            <w:tcW w:w="1693" w:type="dxa"/>
            <w:vAlign w:val="center"/>
          </w:tcPr>
          <w:p w14:paraId="4AB1CD83"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 to medium</w:t>
            </w:r>
          </w:p>
        </w:tc>
        <w:tc>
          <w:tcPr>
            <w:tcW w:w="1600" w:type="dxa"/>
            <w:vAlign w:val="center"/>
          </w:tcPr>
          <w:p w14:paraId="2225EED0"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w:t>
            </w:r>
          </w:p>
        </w:tc>
        <w:tc>
          <w:tcPr>
            <w:tcW w:w="1453" w:type="dxa"/>
            <w:vAlign w:val="center"/>
          </w:tcPr>
          <w:p w14:paraId="24475B56"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Low</w:t>
            </w:r>
          </w:p>
        </w:tc>
        <w:tc>
          <w:tcPr>
            <w:tcW w:w="1693" w:type="dxa"/>
            <w:vAlign w:val="center"/>
          </w:tcPr>
          <w:p w14:paraId="6087A771"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Very high</w:t>
            </w:r>
          </w:p>
        </w:tc>
        <w:tc>
          <w:tcPr>
            <w:tcW w:w="1636" w:type="dxa"/>
            <w:vAlign w:val="center"/>
          </w:tcPr>
          <w:p w14:paraId="4F2F728A" w14:textId="77777777" w:rsidR="008739ED" w:rsidRPr="00763255" w:rsidRDefault="008739ED" w:rsidP="005E7F3C">
            <w:pPr>
              <w:jc w:val="center"/>
              <w:rPr>
                <w:rFonts w:ascii="Times New Roman" w:hAnsi="Times New Roman" w:cs="Times New Roman"/>
                <w:sz w:val="16"/>
                <w:szCs w:val="16"/>
              </w:rPr>
            </w:pPr>
            <w:r w:rsidRPr="00763255">
              <w:rPr>
                <w:rFonts w:ascii="Times New Roman" w:hAnsi="Times New Roman" w:cs="Times New Roman"/>
                <w:sz w:val="16"/>
                <w:szCs w:val="16"/>
              </w:rPr>
              <w:t>Medium to high</w:t>
            </w:r>
          </w:p>
        </w:tc>
      </w:tr>
    </w:tbl>
    <w:p w14:paraId="404CD1C7" w14:textId="77777777" w:rsidR="0025438C" w:rsidRPr="00F36B76" w:rsidRDefault="0025438C" w:rsidP="00F36B76">
      <w:pPr>
        <w:rPr>
          <w:rFonts w:ascii="Times New Roman" w:hAnsi="Times New Roman" w:cs="Times New Roman"/>
          <w:sz w:val="24"/>
          <w:szCs w:val="24"/>
        </w:rPr>
      </w:pPr>
    </w:p>
    <w:p w14:paraId="5E18A040" w14:textId="77777777" w:rsidR="00DD29F7" w:rsidRDefault="00DD29F7" w:rsidP="008F5C38">
      <w:pPr>
        <w:pStyle w:val="Heading1"/>
        <w:numPr>
          <w:ilvl w:val="0"/>
          <w:numId w:val="28"/>
        </w:numPr>
      </w:pPr>
      <w:bookmarkStart w:id="59" w:name="_Toc39751601"/>
      <w:r>
        <w:t>Laboratory Experimental Method</w:t>
      </w:r>
      <w:r w:rsidR="008E3BE9">
        <w:t>s</w:t>
      </w:r>
      <w:bookmarkEnd w:id="59"/>
    </w:p>
    <w:p w14:paraId="71C892BC" w14:textId="77777777" w:rsidR="00C56FC6" w:rsidRDefault="00C56FC6" w:rsidP="002528CA">
      <w:pPr>
        <w:pStyle w:val="Heading2"/>
        <w:numPr>
          <w:ilvl w:val="1"/>
          <w:numId w:val="15"/>
        </w:numPr>
      </w:pPr>
      <w:bookmarkStart w:id="60" w:name="_Toc39751602"/>
      <w:r>
        <w:t>Overview</w:t>
      </w:r>
      <w:bookmarkEnd w:id="60"/>
    </w:p>
    <w:p w14:paraId="36B22E2F" w14:textId="77777777" w:rsidR="00FB3167" w:rsidRPr="00FB3167" w:rsidRDefault="00FB3167" w:rsidP="0025438C">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section provides an extensive discussion of the testing procedures, materials used, </w:t>
      </w:r>
      <w:r w:rsidR="00C04BEF">
        <w:rPr>
          <w:rFonts w:ascii="Times New Roman" w:hAnsi="Times New Roman" w:cs="Times New Roman"/>
          <w:sz w:val="24"/>
          <w:szCs w:val="24"/>
        </w:rPr>
        <w:t>experimental equipment and operating procedures</w:t>
      </w:r>
      <w:r w:rsidR="00D640CF">
        <w:rPr>
          <w:rFonts w:ascii="Times New Roman" w:hAnsi="Times New Roman" w:cs="Times New Roman"/>
          <w:sz w:val="24"/>
          <w:szCs w:val="24"/>
        </w:rPr>
        <w:t>.</w:t>
      </w:r>
      <w:r w:rsidR="00E469CA">
        <w:rPr>
          <w:rFonts w:ascii="Times New Roman" w:hAnsi="Times New Roman" w:cs="Times New Roman"/>
          <w:sz w:val="24"/>
          <w:szCs w:val="24"/>
        </w:rPr>
        <w:t xml:space="preserve"> The section </w:t>
      </w:r>
      <w:r w:rsidR="00C04BEF">
        <w:rPr>
          <w:rFonts w:ascii="Times New Roman" w:hAnsi="Times New Roman" w:cs="Times New Roman"/>
          <w:sz w:val="24"/>
          <w:szCs w:val="24"/>
        </w:rPr>
        <w:t xml:space="preserve">mainly </w:t>
      </w:r>
      <w:r w:rsidR="00E469CA">
        <w:rPr>
          <w:rFonts w:ascii="Times New Roman" w:hAnsi="Times New Roman" w:cs="Times New Roman"/>
          <w:sz w:val="24"/>
          <w:szCs w:val="24"/>
        </w:rPr>
        <w:t>focuses on drilling fluid design, swelling testing</w:t>
      </w:r>
      <w:r w:rsidR="00C04BEF">
        <w:rPr>
          <w:rFonts w:ascii="Times New Roman" w:hAnsi="Times New Roman" w:cs="Times New Roman"/>
          <w:sz w:val="24"/>
          <w:szCs w:val="24"/>
        </w:rPr>
        <w:t xml:space="preserve"> procedure</w:t>
      </w:r>
      <w:r w:rsidR="00E469CA">
        <w:rPr>
          <w:rFonts w:ascii="Times New Roman" w:hAnsi="Times New Roman" w:cs="Times New Roman"/>
          <w:sz w:val="24"/>
          <w:szCs w:val="24"/>
        </w:rPr>
        <w:t>, mineralogy characterization, and drilling simulation tests.</w:t>
      </w:r>
    </w:p>
    <w:p w14:paraId="6CA28C86" w14:textId="77777777" w:rsidR="00C56FC6" w:rsidRDefault="00C56FC6" w:rsidP="002528CA">
      <w:pPr>
        <w:pStyle w:val="Heading2"/>
        <w:numPr>
          <w:ilvl w:val="1"/>
          <w:numId w:val="15"/>
        </w:numPr>
      </w:pPr>
      <w:bookmarkStart w:id="61" w:name="_Toc39751603"/>
      <w:r>
        <w:t>Drilling Fluid Design</w:t>
      </w:r>
      <w:bookmarkEnd w:id="61"/>
      <w:r>
        <w:t xml:space="preserve"> </w:t>
      </w:r>
    </w:p>
    <w:p w14:paraId="32F5ED83" w14:textId="77777777" w:rsidR="00FF6FA2" w:rsidRPr="00FF6FA2" w:rsidRDefault="002A4485" w:rsidP="0025438C">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Drilling fluid systems are at the heart of the success of all drilling operations. They play major functions. The impact of drilling design and selection is more pronounced in unconventional operations such shale drilling as compared to conventional. </w:t>
      </w:r>
      <w:r w:rsidR="00145B04">
        <w:rPr>
          <w:rFonts w:ascii="Times New Roman" w:eastAsia="Calibri" w:hAnsi="Times New Roman" w:cs="Times New Roman"/>
          <w:sz w:val="24"/>
          <w:szCs w:val="24"/>
        </w:rPr>
        <w:t xml:space="preserve">In this research, </w:t>
      </w:r>
      <w:r w:rsidR="00145B04" w:rsidRPr="00FF6FA2">
        <w:rPr>
          <w:rFonts w:ascii="Times New Roman" w:eastAsia="Calibri" w:hAnsi="Times New Roman" w:cs="Times New Roman"/>
          <w:sz w:val="24"/>
          <w:szCs w:val="24"/>
        </w:rPr>
        <w:t>four</w:t>
      </w:r>
      <w:r w:rsidR="00FF6FA2" w:rsidRPr="00FF6FA2">
        <w:rPr>
          <w:rFonts w:ascii="Times New Roman" w:eastAsia="Calibri" w:hAnsi="Times New Roman" w:cs="Times New Roman"/>
          <w:sz w:val="24"/>
          <w:szCs w:val="24"/>
        </w:rPr>
        <w:t xml:space="preserve"> (4) drilling fluid systems </w:t>
      </w:r>
      <w:r w:rsidR="00145B04">
        <w:rPr>
          <w:rFonts w:ascii="Times New Roman" w:eastAsia="Calibri" w:hAnsi="Times New Roman" w:cs="Times New Roman"/>
          <w:sz w:val="24"/>
          <w:szCs w:val="24"/>
        </w:rPr>
        <w:t xml:space="preserve">are selected in order to understand their impact on shale drilling. The drilling fluid systems consisted of </w:t>
      </w:r>
      <w:r w:rsidR="00FF6FA2" w:rsidRPr="00FF6FA2">
        <w:rPr>
          <w:rFonts w:ascii="Times New Roman" w:eastAsia="Calibri" w:hAnsi="Times New Roman" w:cs="Times New Roman"/>
          <w:sz w:val="24"/>
          <w:szCs w:val="24"/>
        </w:rPr>
        <w:t>three (3) inhibitive mud systems (1 wt% and 2 wt% KCl-based muds, and cesium formate brine) and one</w:t>
      </w:r>
      <w:r w:rsidR="00FD2CDE">
        <w:rPr>
          <w:rFonts w:ascii="Times New Roman" w:eastAsia="Calibri" w:hAnsi="Times New Roman" w:cs="Times New Roman"/>
          <w:sz w:val="24"/>
          <w:szCs w:val="24"/>
        </w:rPr>
        <w:t xml:space="preserve"> (1)</w:t>
      </w:r>
      <w:r w:rsidR="00FF6FA2" w:rsidRPr="00FF6FA2">
        <w:rPr>
          <w:rFonts w:ascii="Times New Roman" w:eastAsia="Calibri" w:hAnsi="Times New Roman" w:cs="Times New Roman"/>
          <w:sz w:val="24"/>
          <w:szCs w:val="24"/>
        </w:rPr>
        <w:t xml:space="preserve"> conventional water-based mud that </w:t>
      </w:r>
      <w:r w:rsidR="00FD2CDE">
        <w:rPr>
          <w:rFonts w:ascii="Times New Roman" w:eastAsia="Calibri" w:hAnsi="Times New Roman" w:cs="Times New Roman"/>
          <w:sz w:val="24"/>
          <w:szCs w:val="24"/>
        </w:rPr>
        <w:t>is</w:t>
      </w:r>
      <w:r w:rsidR="00FF6FA2" w:rsidRPr="00FF6FA2">
        <w:rPr>
          <w:rFonts w:ascii="Times New Roman" w:eastAsia="Calibri" w:hAnsi="Times New Roman" w:cs="Times New Roman"/>
          <w:sz w:val="24"/>
          <w:szCs w:val="24"/>
        </w:rPr>
        <w:t xml:space="preserve"> used as reference mud. The cesium formate brine system was obtained from service company while the remaining of fluid systems </w:t>
      </w:r>
      <w:r w:rsidR="00F468BA">
        <w:rPr>
          <w:rFonts w:ascii="Times New Roman" w:eastAsia="Calibri" w:hAnsi="Times New Roman" w:cs="Times New Roman"/>
          <w:sz w:val="24"/>
          <w:szCs w:val="24"/>
        </w:rPr>
        <w:t>are</w:t>
      </w:r>
      <w:r w:rsidR="00FF6FA2" w:rsidRPr="00FF6FA2">
        <w:rPr>
          <w:rFonts w:ascii="Times New Roman" w:eastAsia="Calibri" w:hAnsi="Times New Roman" w:cs="Times New Roman"/>
          <w:sz w:val="24"/>
          <w:szCs w:val="24"/>
        </w:rPr>
        <w:t xml:space="preserve"> designed in the laboratory. The drilling fluid systems were mixed according to a practical procedure. The order of the mixing was as followed: water or KCl solution, bentonite, caustic, lignite, desco, and barite. The different components were mixed using a laboratory mud mixer. </w:t>
      </w:r>
      <w:r w:rsidR="0073688A">
        <w:rPr>
          <w:rFonts w:ascii="Times New Roman" w:eastAsia="Calibri" w:hAnsi="Times New Roman" w:cs="Times New Roman"/>
          <w:sz w:val="24"/>
          <w:szCs w:val="24"/>
        </w:rPr>
        <w:t xml:space="preserve">The </w:t>
      </w:r>
      <w:r w:rsidR="00101D86">
        <w:rPr>
          <w:rFonts w:ascii="Times New Roman" w:eastAsia="Calibri" w:hAnsi="Times New Roman" w:cs="Times New Roman"/>
          <w:sz w:val="24"/>
          <w:szCs w:val="24"/>
        </w:rPr>
        <w:t xml:space="preserve">different </w:t>
      </w:r>
      <w:r w:rsidR="0073688A">
        <w:rPr>
          <w:rFonts w:ascii="Times New Roman" w:eastAsia="Calibri" w:hAnsi="Times New Roman" w:cs="Times New Roman"/>
          <w:sz w:val="24"/>
          <w:szCs w:val="24"/>
        </w:rPr>
        <w:t>concentration</w:t>
      </w:r>
      <w:r w:rsidR="00101D86">
        <w:rPr>
          <w:rFonts w:ascii="Times New Roman" w:eastAsia="Calibri" w:hAnsi="Times New Roman" w:cs="Times New Roman"/>
          <w:sz w:val="24"/>
          <w:szCs w:val="24"/>
        </w:rPr>
        <w:t>s</w:t>
      </w:r>
      <w:r w:rsidR="0073688A">
        <w:rPr>
          <w:rFonts w:ascii="Times New Roman" w:eastAsia="Calibri" w:hAnsi="Times New Roman" w:cs="Times New Roman"/>
          <w:sz w:val="24"/>
          <w:szCs w:val="24"/>
        </w:rPr>
        <w:t xml:space="preserve"> of mud materials </w:t>
      </w:r>
      <w:r w:rsidR="00101D86">
        <w:rPr>
          <w:rFonts w:ascii="Times New Roman" w:eastAsia="Calibri" w:hAnsi="Times New Roman" w:cs="Times New Roman"/>
          <w:sz w:val="24"/>
          <w:szCs w:val="24"/>
        </w:rPr>
        <w:t>are</w:t>
      </w:r>
      <w:r w:rsidR="0073688A">
        <w:rPr>
          <w:rFonts w:ascii="Times New Roman" w:eastAsia="Calibri" w:hAnsi="Times New Roman" w:cs="Times New Roman"/>
          <w:sz w:val="24"/>
          <w:szCs w:val="24"/>
        </w:rPr>
        <w:t xml:space="preserve"> based on three (3) laboratory barrels</w:t>
      </w:r>
      <w:r w:rsidR="00FF6FA2" w:rsidRPr="00FF6FA2">
        <w:rPr>
          <w:rFonts w:ascii="Times New Roman" w:eastAsia="Calibri" w:hAnsi="Times New Roman" w:cs="Times New Roman"/>
          <w:sz w:val="24"/>
          <w:szCs w:val="24"/>
        </w:rPr>
        <w:t xml:space="preserve">. The formulation for the conventional WBM is reported in </w:t>
      </w:r>
      <w:r w:rsidR="00FF6FA2">
        <w:rPr>
          <w:rFonts w:ascii="Times New Roman" w:eastAsia="Calibri" w:hAnsi="Times New Roman" w:cs="Times New Roman"/>
          <w:b/>
          <w:sz w:val="24"/>
          <w:szCs w:val="24"/>
        </w:rPr>
        <w:t>T</w:t>
      </w:r>
      <w:r w:rsidR="00FF6FA2" w:rsidRPr="00FF6FA2">
        <w:rPr>
          <w:rFonts w:ascii="Times New Roman" w:eastAsia="Calibri" w:hAnsi="Times New Roman" w:cs="Times New Roman"/>
          <w:b/>
          <w:sz w:val="24"/>
          <w:szCs w:val="24"/>
        </w:rPr>
        <w:t xml:space="preserve">able </w:t>
      </w:r>
      <w:r w:rsidR="006D428E">
        <w:rPr>
          <w:rFonts w:ascii="Times New Roman" w:eastAsia="Calibri" w:hAnsi="Times New Roman" w:cs="Times New Roman"/>
          <w:b/>
          <w:sz w:val="24"/>
          <w:szCs w:val="24"/>
        </w:rPr>
        <w:t>7</w:t>
      </w:r>
      <w:r w:rsidR="00FF6FA2" w:rsidRPr="00FF6FA2">
        <w:rPr>
          <w:rFonts w:ascii="Times New Roman" w:eastAsia="Calibri" w:hAnsi="Times New Roman" w:cs="Times New Roman"/>
          <w:sz w:val="24"/>
          <w:szCs w:val="24"/>
        </w:rPr>
        <w:t xml:space="preserve">. </w:t>
      </w:r>
    </w:p>
    <w:p w14:paraId="7893DF31" w14:textId="77777777" w:rsidR="00180C4F" w:rsidRDefault="00180C4F" w:rsidP="004F5994">
      <w:pPr>
        <w:pStyle w:val="Caption"/>
      </w:pPr>
    </w:p>
    <w:p w14:paraId="1FA585BF" w14:textId="3C7258EF" w:rsidR="00FF6FA2" w:rsidRPr="004A33A4" w:rsidRDefault="00C724F7" w:rsidP="004F5994">
      <w:pPr>
        <w:pStyle w:val="Caption"/>
      </w:pPr>
      <w:hyperlink w:anchor="_List_of_tables" w:history="1">
        <w:bookmarkStart w:id="62" w:name="_Toc37087884"/>
        <w:r w:rsidR="004F5994">
          <w:t xml:space="preserve">Table </w:t>
        </w:r>
        <w:fldSimple w:instr=" SEQ Table \* ARABIC ">
          <w:r w:rsidR="0092747F">
            <w:rPr>
              <w:noProof/>
            </w:rPr>
            <w:t>7</w:t>
          </w:r>
        </w:fldSimple>
        <w:r w:rsidR="005D3925" w:rsidRPr="004A33A4">
          <w:rPr>
            <w:rStyle w:val="Hyperlink"/>
            <w:rFonts w:eastAsia="Calibri"/>
            <w:color w:val="0D0D0D" w:themeColor="text1" w:themeTint="F2"/>
            <w:szCs w:val="24"/>
            <w:u w:val="none"/>
          </w:rPr>
          <w:t>-</w:t>
        </w:r>
        <w:r w:rsidR="00FF6FA2" w:rsidRPr="004A33A4">
          <w:rPr>
            <w:rStyle w:val="Hyperlink"/>
            <w:rFonts w:eastAsia="Calibri"/>
            <w:color w:val="0D0D0D" w:themeColor="text1" w:themeTint="F2"/>
            <w:szCs w:val="24"/>
            <w:u w:val="none"/>
          </w:rPr>
          <w:t>Conventional water-based mud formulation</w:t>
        </w:r>
        <w:bookmarkEnd w:id="62"/>
      </w:hyperlink>
    </w:p>
    <w:tbl>
      <w:tblPr>
        <w:tblStyle w:val="TableGrid1"/>
        <w:tblW w:w="5179" w:type="dxa"/>
        <w:jc w:val="center"/>
        <w:tblLook w:val="04A0" w:firstRow="1" w:lastRow="0" w:firstColumn="1" w:lastColumn="0" w:noHBand="0" w:noVBand="1"/>
      </w:tblPr>
      <w:tblGrid>
        <w:gridCol w:w="1453"/>
        <w:gridCol w:w="856"/>
        <w:gridCol w:w="1421"/>
        <w:gridCol w:w="1449"/>
      </w:tblGrid>
      <w:tr w:rsidR="00FF6FA2" w:rsidRPr="00FF6FA2" w14:paraId="251FED2E" w14:textId="77777777" w:rsidTr="00AD1ECD">
        <w:trPr>
          <w:trHeight w:val="20"/>
          <w:jc w:val="center"/>
        </w:trPr>
        <w:tc>
          <w:tcPr>
            <w:tcW w:w="1462" w:type="dxa"/>
          </w:tcPr>
          <w:p w14:paraId="2C08AAFB"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lastRenderedPageBreak/>
              <w:t>Products</w:t>
            </w:r>
          </w:p>
        </w:tc>
        <w:tc>
          <w:tcPr>
            <w:tcW w:w="822" w:type="dxa"/>
          </w:tcPr>
          <w:p w14:paraId="63943AAB"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Lb/bbl</w:t>
            </w:r>
          </w:p>
        </w:tc>
        <w:tc>
          <w:tcPr>
            <w:tcW w:w="1434" w:type="dxa"/>
          </w:tcPr>
          <w:p w14:paraId="489BAA02"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 by weight</w:t>
            </w:r>
          </w:p>
        </w:tc>
        <w:tc>
          <w:tcPr>
            <w:tcW w:w="1461" w:type="dxa"/>
          </w:tcPr>
          <w:p w14:paraId="16D5DA2F"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 by volume</w:t>
            </w:r>
          </w:p>
        </w:tc>
      </w:tr>
      <w:tr w:rsidR="00FF6FA2" w:rsidRPr="00FF6FA2" w14:paraId="437170C0" w14:textId="77777777" w:rsidTr="00AD1ECD">
        <w:trPr>
          <w:trHeight w:val="20"/>
          <w:jc w:val="center"/>
        </w:trPr>
        <w:tc>
          <w:tcPr>
            <w:tcW w:w="1462" w:type="dxa"/>
          </w:tcPr>
          <w:p w14:paraId="54DAC8B7"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Water</w:t>
            </w:r>
          </w:p>
        </w:tc>
        <w:tc>
          <w:tcPr>
            <w:tcW w:w="822" w:type="dxa"/>
          </w:tcPr>
          <w:p w14:paraId="6852E780"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306</w:t>
            </w:r>
          </w:p>
        </w:tc>
        <w:tc>
          <w:tcPr>
            <w:tcW w:w="1434" w:type="dxa"/>
          </w:tcPr>
          <w:p w14:paraId="4F87FD3B"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66.084</w:t>
            </w:r>
          </w:p>
        </w:tc>
        <w:tc>
          <w:tcPr>
            <w:tcW w:w="1461" w:type="dxa"/>
          </w:tcPr>
          <w:p w14:paraId="2F0A9135"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87.46</w:t>
            </w:r>
          </w:p>
        </w:tc>
      </w:tr>
      <w:tr w:rsidR="00FF6FA2" w:rsidRPr="00FF6FA2" w14:paraId="110A9049" w14:textId="77777777" w:rsidTr="00AD1ECD">
        <w:trPr>
          <w:trHeight w:val="20"/>
          <w:jc w:val="center"/>
        </w:trPr>
        <w:tc>
          <w:tcPr>
            <w:tcW w:w="1462" w:type="dxa"/>
          </w:tcPr>
          <w:p w14:paraId="71FF4F10"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Gel</w:t>
            </w:r>
          </w:p>
        </w:tc>
        <w:tc>
          <w:tcPr>
            <w:tcW w:w="822" w:type="dxa"/>
          </w:tcPr>
          <w:p w14:paraId="6A89066E"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20.0</w:t>
            </w:r>
          </w:p>
        </w:tc>
        <w:tc>
          <w:tcPr>
            <w:tcW w:w="1434" w:type="dxa"/>
          </w:tcPr>
          <w:p w14:paraId="25C8A046"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4.32</w:t>
            </w:r>
          </w:p>
        </w:tc>
        <w:tc>
          <w:tcPr>
            <w:tcW w:w="1461" w:type="dxa"/>
          </w:tcPr>
          <w:p w14:paraId="1CB97001"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2.38</w:t>
            </w:r>
          </w:p>
        </w:tc>
      </w:tr>
      <w:tr w:rsidR="00FF6FA2" w:rsidRPr="00FF6FA2" w14:paraId="7AD3EF00" w14:textId="77777777" w:rsidTr="00AD1ECD">
        <w:trPr>
          <w:trHeight w:val="20"/>
          <w:jc w:val="center"/>
        </w:trPr>
        <w:tc>
          <w:tcPr>
            <w:tcW w:w="1462" w:type="dxa"/>
          </w:tcPr>
          <w:p w14:paraId="5D4E03A7"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Caustic Soda</w:t>
            </w:r>
          </w:p>
        </w:tc>
        <w:tc>
          <w:tcPr>
            <w:tcW w:w="822" w:type="dxa"/>
          </w:tcPr>
          <w:p w14:paraId="14EF1448"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0.5</w:t>
            </w:r>
          </w:p>
        </w:tc>
        <w:tc>
          <w:tcPr>
            <w:tcW w:w="1434" w:type="dxa"/>
          </w:tcPr>
          <w:p w14:paraId="32E9D63D"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0.108</w:t>
            </w:r>
          </w:p>
        </w:tc>
        <w:tc>
          <w:tcPr>
            <w:tcW w:w="1461" w:type="dxa"/>
          </w:tcPr>
          <w:p w14:paraId="4FCCB1F5"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0.094</w:t>
            </w:r>
          </w:p>
        </w:tc>
      </w:tr>
      <w:tr w:rsidR="00FF6FA2" w:rsidRPr="00FF6FA2" w14:paraId="12011FC1" w14:textId="77777777" w:rsidTr="00AD1ECD">
        <w:trPr>
          <w:trHeight w:val="20"/>
          <w:jc w:val="center"/>
        </w:trPr>
        <w:tc>
          <w:tcPr>
            <w:tcW w:w="1462" w:type="dxa"/>
          </w:tcPr>
          <w:p w14:paraId="2F84BB87"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Lignite</w:t>
            </w:r>
          </w:p>
        </w:tc>
        <w:tc>
          <w:tcPr>
            <w:tcW w:w="822" w:type="dxa"/>
          </w:tcPr>
          <w:p w14:paraId="121AEC82"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4.0</w:t>
            </w:r>
          </w:p>
        </w:tc>
        <w:tc>
          <w:tcPr>
            <w:tcW w:w="1434" w:type="dxa"/>
          </w:tcPr>
          <w:p w14:paraId="2DEFEF20"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0.8635</w:t>
            </w:r>
          </w:p>
        </w:tc>
        <w:tc>
          <w:tcPr>
            <w:tcW w:w="1461" w:type="dxa"/>
          </w:tcPr>
          <w:p w14:paraId="68B5656E"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0.762</w:t>
            </w:r>
          </w:p>
        </w:tc>
      </w:tr>
      <w:tr w:rsidR="00FF6FA2" w:rsidRPr="00FF6FA2" w14:paraId="22A8D4A3" w14:textId="77777777" w:rsidTr="00AD1ECD">
        <w:trPr>
          <w:trHeight w:val="20"/>
          <w:jc w:val="center"/>
        </w:trPr>
        <w:tc>
          <w:tcPr>
            <w:tcW w:w="1462" w:type="dxa"/>
          </w:tcPr>
          <w:p w14:paraId="502BED14"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Desco</w:t>
            </w:r>
          </w:p>
        </w:tc>
        <w:tc>
          <w:tcPr>
            <w:tcW w:w="822" w:type="dxa"/>
          </w:tcPr>
          <w:p w14:paraId="4032FA6C"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4.0</w:t>
            </w:r>
          </w:p>
        </w:tc>
        <w:tc>
          <w:tcPr>
            <w:tcW w:w="1434" w:type="dxa"/>
          </w:tcPr>
          <w:p w14:paraId="7EBDD91F"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0.8635</w:t>
            </w:r>
          </w:p>
        </w:tc>
        <w:tc>
          <w:tcPr>
            <w:tcW w:w="1461" w:type="dxa"/>
          </w:tcPr>
          <w:p w14:paraId="543F7CF0"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0.714</w:t>
            </w:r>
          </w:p>
        </w:tc>
      </w:tr>
      <w:tr w:rsidR="00FF6FA2" w:rsidRPr="00FF6FA2" w14:paraId="4B06730A" w14:textId="77777777" w:rsidTr="00AD1ECD">
        <w:trPr>
          <w:trHeight w:val="20"/>
          <w:jc w:val="center"/>
        </w:trPr>
        <w:tc>
          <w:tcPr>
            <w:tcW w:w="1462" w:type="dxa"/>
          </w:tcPr>
          <w:p w14:paraId="41F235B3"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Barite</w:t>
            </w:r>
          </w:p>
        </w:tc>
        <w:tc>
          <w:tcPr>
            <w:tcW w:w="822" w:type="dxa"/>
          </w:tcPr>
          <w:p w14:paraId="0402EE9F"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128.6</w:t>
            </w:r>
          </w:p>
        </w:tc>
        <w:tc>
          <w:tcPr>
            <w:tcW w:w="1434" w:type="dxa"/>
          </w:tcPr>
          <w:p w14:paraId="7F88EE06"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27.76</w:t>
            </w:r>
          </w:p>
        </w:tc>
        <w:tc>
          <w:tcPr>
            <w:tcW w:w="1461" w:type="dxa"/>
          </w:tcPr>
          <w:p w14:paraId="43205916" w14:textId="77777777" w:rsidR="00FF6FA2" w:rsidRPr="00FF6FA2" w:rsidRDefault="00FF6FA2" w:rsidP="00E26B17">
            <w:pPr>
              <w:spacing w:line="360" w:lineRule="auto"/>
              <w:jc w:val="both"/>
              <w:rPr>
                <w:rFonts w:ascii="Times New Roman" w:hAnsi="Times New Roman"/>
                <w:sz w:val="24"/>
                <w:szCs w:val="24"/>
              </w:rPr>
            </w:pPr>
            <w:r w:rsidRPr="00FF6FA2">
              <w:rPr>
                <w:rFonts w:ascii="Times New Roman" w:hAnsi="Times New Roman"/>
                <w:sz w:val="24"/>
                <w:szCs w:val="24"/>
              </w:rPr>
              <w:t>8.58</w:t>
            </w:r>
          </w:p>
        </w:tc>
      </w:tr>
    </w:tbl>
    <w:p w14:paraId="51781C80" w14:textId="77777777" w:rsidR="00FF6FA2" w:rsidRDefault="00FF6FA2" w:rsidP="0025438C">
      <w:pPr>
        <w:spacing w:line="480" w:lineRule="auto"/>
        <w:jc w:val="both"/>
        <w:rPr>
          <w:rFonts w:ascii="Times New Roman" w:eastAsia="Calibri" w:hAnsi="Times New Roman" w:cs="Times New Roman"/>
          <w:sz w:val="24"/>
          <w:szCs w:val="24"/>
        </w:rPr>
      </w:pPr>
      <w:r w:rsidRPr="00FF6FA2">
        <w:rPr>
          <w:rFonts w:ascii="Times New Roman" w:eastAsia="Calibri" w:hAnsi="Times New Roman" w:cs="Times New Roman"/>
          <w:sz w:val="24"/>
          <w:szCs w:val="24"/>
        </w:rPr>
        <w:t xml:space="preserve"> The formulation procedure for the two KCl based systems was similar to that of the conventional WBM. The main difference was replacing the water in </w:t>
      </w:r>
      <w:r w:rsidR="00464033">
        <w:rPr>
          <w:rFonts w:ascii="Times New Roman" w:eastAsia="Calibri" w:hAnsi="Times New Roman" w:cs="Times New Roman"/>
          <w:sz w:val="24"/>
          <w:szCs w:val="24"/>
        </w:rPr>
        <w:t xml:space="preserve">the </w:t>
      </w:r>
      <w:r w:rsidRPr="00FF6FA2">
        <w:rPr>
          <w:rFonts w:ascii="Times New Roman" w:eastAsia="Calibri" w:hAnsi="Times New Roman" w:cs="Times New Roman"/>
          <w:sz w:val="24"/>
          <w:szCs w:val="24"/>
        </w:rPr>
        <w:t xml:space="preserve">conventional WBM with the KCl solution. Same concentration of gel, caustic, lignite, and barite was used for all two KCl mud systems. </w:t>
      </w:r>
      <w:r w:rsidR="00464033">
        <w:rPr>
          <w:rFonts w:ascii="Times New Roman" w:eastAsia="Calibri" w:hAnsi="Times New Roman" w:cs="Times New Roman"/>
          <w:sz w:val="24"/>
          <w:szCs w:val="24"/>
        </w:rPr>
        <w:t xml:space="preserve">After </w:t>
      </w:r>
      <w:r w:rsidR="003D036F">
        <w:rPr>
          <w:rFonts w:ascii="Times New Roman" w:eastAsia="Calibri" w:hAnsi="Times New Roman" w:cs="Times New Roman"/>
          <w:sz w:val="24"/>
          <w:szCs w:val="24"/>
        </w:rPr>
        <w:t xml:space="preserve">the </w:t>
      </w:r>
      <w:r w:rsidR="00464033">
        <w:rPr>
          <w:rFonts w:ascii="Times New Roman" w:eastAsia="Calibri" w:hAnsi="Times New Roman" w:cs="Times New Roman"/>
          <w:sz w:val="24"/>
          <w:szCs w:val="24"/>
        </w:rPr>
        <w:t>design</w:t>
      </w:r>
      <w:r w:rsidR="003D036F">
        <w:rPr>
          <w:rFonts w:ascii="Times New Roman" w:eastAsia="Calibri" w:hAnsi="Times New Roman" w:cs="Times New Roman"/>
          <w:sz w:val="24"/>
          <w:szCs w:val="24"/>
        </w:rPr>
        <w:t>ing phase</w:t>
      </w:r>
      <w:r w:rsidR="00464033">
        <w:rPr>
          <w:rFonts w:ascii="Times New Roman" w:eastAsia="Calibri" w:hAnsi="Times New Roman" w:cs="Times New Roman"/>
          <w:sz w:val="24"/>
          <w:szCs w:val="24"/>
        </w:rPr>
        <w:t xml:space="preserve"> of the drilling fluid</w:t>
      </w:r>
      <w:r w:rsidR="003D036F">
        <w:rPr>
          <w:rFonts w:ascii="Times New Roman" w:eastAsia="Calibri" w:hAnsi="Times New Roman" w:cs="Times New Roman"/>
          <w:sz w:val="24"/>
          <w:szCs w:val="24"/>
        </w:rPr>
        <w:t>s, a mud balance is used to determine the mud weight</w:t>
      </w:r>
      <w:r w:rsidR="00E84543">
        <w:rPr>
          <w:rFonts w:ascii="Times New Roman" w:eastAsia="Calibri" w:hAnsi="Times New Roman" w:cs="Times New Roman"/>
          <w:sz w:val="24"/>
          <w:szCs w:val="24"/>
        </w:rPr>
        <w:t>. The conventional water-based mud (WBM) has a density of 1</w:t>
      </w:r>
      <w:r w:rsidR="00D60EDF">
        <w:rPr>
          <w:rFonts w:ascii="Times New Roman" w:eastAsia="Calibri" w:hAnsi="Times New Roman" w:cs="Times New Roman"/>
          <w:sz w:val="24"/>
          <w:szCs w:val="24"/>
        </w:rPr>
        <w:t>1</w:t>
      </w:r>
      <w:r w:rsidR="00E84543">
        <w:rPr>
          <w:rFonts w:ascii="Times New Roman" w:eastAsia="Calibri" w:hAnsi="Times New Roman" w:cs="Times New Roman"/>
          <w:sz w:val="24"/>
          <w:szCs w:val="24"/>
        </w:rPr>
        <w:t xml:space="preserve"> lb/gal</w:t>
      </w:r>
      <w:r w:rsidR="00D34365">
        <w:rPr>
          <w:rFonts w:ascii="Times New Roman" w:eastAsia="Calibri" w:hAnsi="Times New Roman" w:cs="Times New Roman"/>
          <w:sz w:val="24"/>
          <w:szCs w:val="24"/>
        </w:rPr>
        <w:t>, both KCl based fluids have similar mud density of 1</w:t>
      </w:r>
      <w:r w:rsidR="00986A8D">
        <w:rPr>
          <w:rFonts w:ascii="Times New Roman" w:eastAsia="Calibri" w:hAnsi="Times New Roman" w:cs="Times New Roman"/>
          <w:sz w:val="24"/>
          <w:szCs w:val="24"/>
        </w:rPr>
        <w:t>1</w:t>
      </w:r>
      <w:r w:rsidR="00D34365">
        <w:rPr>
          <w:rFonts w:ascii="Times New Roman" w:eastAsia="Calibri" w:hAnsi="Times New Roman" w:cs="Times New Roman"/>
          <w:sz w:val="24"/>
          <w:szCs w:val="24"/>
        </w:rPr>
        <w:t xml:space="preserve"> lb/gal. The cesium formate brine on the other hand is kept as received from the provider.</w:t>
      </w:r>
    </w:p>
    <w:p w14:paraId="07EA3A7D" w14:textId="77777777" w:rsidR="00304316" w:rsidRDefault="00304316" w:rsidP="00304316">
      <w:pPr>
        <w:pStyle w:val="Heading2"/>
        <w:numPr>
          <w:ilvl w:val="1"/>
          <w:numId w:val="15"/>
        </w:numPr>
      </w:pPr>
      <w:bookmarkStart w:id="63" w:name="_Toc39751604"/>
      <w:r>
        <w:t>Drilling Fluid Rheology</w:t>
      </w:r>
      <w:bookmarkEnd w:id="63"/>
    </w:p>
    <w:p w14:paraId="3FD274AC" w14:textId="77777777" w:rsidR="00511CCB" w:rsidRPr="00511CCB" w:rsidRDefault="00511CCB" w:rsidP="0025438C">
      <w:pPr>
        <w:spacing w:line="480" w:lineRule="auto"/>
        <w:rPr>
          <w:rFonts w:ascii="Times New Roman" w:hAnsi="Times New Roman" w:cs="Times New Roman"/>
          <w:sz w:val="24"/>
          <w:szCs w:val="28"/>
        </w:rPr>
      </w:pPr>
      <w:r w:rsidRPr="00511CCB">
        <w:rPr>
          <w:rFonts w:ascii="Times New Roman" w:hAnsi="Times New Roman" w:cs="Times New Roman"/>
          <w:sz w:val="24"/>
          <w:szCs w:val="28"/>
        </w:rPr>
        <w:t>Drilling fluid rheology is an important parameter for characterizing all fluid systems. The rheological properties can provide an insight on the drilling fluid performance in term of fluid loss, filtration</w:t>
      </w:r>
      <w:r w:rsidR="0003629F">
        <w:rPr>
          <w:rFonts w:ascii="Times New Roman" w:hAnsi="Times New Roman" w:cs="Times New Roman"/>
          <w:sz w:val="24"/>
          <w:szCs w:val="28"/>
        </w:rPr>
        <w:t xml:space="preserve"> (Ezeakacha et al. 2018)</w:t>
      </w:r>
      <w:r w:rsidRPr="00511CCB">
        <w:rPr>
          <w:rFonts w:ascii="Times New Roman" w:hAnsi="Times New Roman" w:cs="Times New Roman"/>
          <w:sz w:val="24"/>
          <w:szCs w:val="28"/>
        </w:rPr>
        <w:t>, and solid and cutting transport ability. The drilling fluid systems were designed by appropriately mixing the required components such water, bentonite, barite, lignite, and others</w:t>
      </w:r>
      <w:r w:rsidR="00BE40DB">
        <w:rPr>
          <w:rFonts w:ascii="Times New Roman" w:hAnsi="Times New Roman" w:cs="Times New Roman"/>
          <w:sz w:val="24"/>
          <w:szCs w:val="28"/>
        </w:rPr>
        <w:t xml:space="preserve"> as discussed previously</w:t>
      </w:r>
      <w:r w:rsidRPr="00511CCB">
        <w:rPr>
          <w:rFonts w:ascii="Times New Roman" w:hAnsi="Times New Roman" w:cs="Times New Roman"/>
          <w:sz w:val="24"/>
          <w:szCs w:val="28"/>
        </w:rPr>
        <w:t xml:space="preserve">. After mixing, </w:t>
      </w:r>
      <w:r w:rsidR="0003629F">
        <w:rPr>
          <w:rFonts w:ascii="Times New Roman" w:hAnsi="Times New Roman" w:cs="Times New Roman"/>
          <w:sz w:val="24"/>
          <w:szCs w:val="28"/>
        </w:rPr>
        <w:t>an extensive rheological investigation was performed</w:t>
      </w:r>
      <w:r w:rsidRPr="00511CCB">
        <w:rPr>
          <w:rFonts w:ascii="Times New Roman" w:hAnsi="Times New Roman" w:cs="Times New Roman"/>
          <w:sz w:val="24"/>
          <w:szCs w:val="28"/>
        </w:rPr>
        <w:t xml:space="preserve"> in accordance with the API practice (API 13 B-1 2003) using the M3600 automat</w:t>
      </w:r>
      <w:r w:rsidR="0003629F">
        <w:rPr>
          <w:rFonts w:ascii="Times New Roman" w:hAnsi="Times New Roman" w:cs="Times New Roman"/>
          <w:sz w:val="24"/>
          <w:szCs w:val="28"/>
        </w:rPr>
        <w:t>ic</w:t>
      </w:r>
      <w:r w:rsidRPr="00511CCB">
        <w:rPr>
          <w:rFonts w:ascii="Times New Roman" w:hAnsi="Times New Roman" w:cs="Times New Roman"/>
          <w:sz w:val="24"/>
          <w:szCs w:val="28"/>
        </w:rPr>
        <w:t xml:space="preserve"> viscometer</w:t>
      </w:r>
      <w:r w:rsidR="009E2815">
        <w:rPr>
          <w:rFonts w:ascii="Times New Roman" w:hAnsi="Times New Roman" w:cs="Times New Roman"/>
          <w:sz w:val="24"/>
          <w:szCs w:val="28"/>
        </w:rPr>
        <w:t xml:space="preserve"> (</w:t>
      </w:r>
      <w:r w:rsidR="009E2815" w:rsidRPr="009E2815">
        <w:rPr>
          <w:rFonts w:ascii="Times New Roman" w:hAnsi="Times New Roman" w:cs="Times New Roman"/>
          <w:b/>
          <w:bCs/>
          <w:sz w:val="24"/>
          <w:szCs w:val="28"/>
        </w:rPr>
        <w:t xml:space="preserve">Figure </w:t>
      </w:r>
      <w:r w:rsidR="00A2205B">
        <w:rPr>
          <w:rFonts w:ascii="Times New Roman" w:hAnsi="Times New Roman" w:cs="Times New Roman"/>
          <w:b/>
          <w:bCs/>
          <w:sz w:val="24"/>
          <w:szCs w:val="28"/>
        </w:rPr>
        <w:t>14</w:t>
      </w:r>
      <w:r w:rsidR="009E2815">
        <w:rPr>
          <w:rFonts w:ascii="Times New Roman" w:hAnsi="Times New Roman" w:cs="Times New Roman"/>
          <w:sz w:val="24"/>
          <w:szCs w:val="28"/>
        </w:rPr>
        <w:t>)</w:t>
      </w:r>
      <w:r w:rsidRPr="00511CCB">
        <w:rPr>
          <w:rFonts w:ascii="Times New Roman" w:hAnsi="Times New Roman" w:cs="Times New Roman"/>
          <w:sz w:val="24"/>
          <w:szCs w:val="28"/>
        </w:rPr>
        <w:t xml:space="preserve">. The viscometer is programmed to profile the drilling fluid rheology parameters including shear stress, shear rate, and apparent viscosity every 30 </w:t>
      </w:r>
      <w:r w:rsidRPr="00511CCB">
        <w:rPr>
          <w:rFonts w:ascii="Times New Roman" w:hAnsi="Times New Roman" w:cs="Times New Roman"/>
          <w:sz w:val="24"/>
          <w:szCs w:val="28"/>
        </w:rPr>
        <w:lastRenderedPageBreak/>
        <w:t xml:space="preserve">seconds at a set temperature. In this study, the temperature was set to 120 </w:t>
      </w:r>
      <w:r w:rsidRPr="00511CCB">
        <w:rPr>
          <w:rFonts w:ascii="Times New Roman" w:hAnsi="Times New Roman" w:cs="Times New Roman"/>
          <w:sz w:val="24"/>
          <w:szCs w:val="28"/>
          <w:vertAlign w:val="superscript"/>
        </w:rPr>
        <w:t>o</w:t>
      </w:r>
      <w:r w:rsidRPr="00511CCB">
        <w:rPr>
          <w:rFonts w:ascii="Times New Roman" w:hAnsi="Times New Roman" w:cs="Times New Roman"/>
          <w:sz w:val="24"/>
          <w:szCs w:val="28"/>
        </w:rPr>
        <w:t xml:space="preserve">F, while the automatic viscometer has a maximum operating temperature of 220 </w:t>
      </w:r>
      <w:r w:rsidRPr="00511CCB">
        <w:rPr>
          <w:rFonts w:ascii="Times New Roman" w:hAnsi="Times New Roman" w:cs="Times New Roman"/>
          <w:sz w:val="24"/>
          <w:szCs w:val="28"/>
          <w:vertAlign w:val="superscript"/>
        </w:rPr>
        <w:t>o</w:t>
      </w:r>
      <w:r w:rsidRPr="00511CCB">
        <w:rPr>
          <w:rFonts w:ascii="Times New Roman" w:hAnsi="Times New Roman" w:cs="Times New Roman"/>
          <w:sz w:val="24"/>
          <w:szCs w:val="28"/>
        </w:rPr>
        <w:t xml:space="preserve">F. </w:t>
      </w:r>
      <w:r w:rsidR="009F5644">
        <w:rPr>
          <w:rFonts w:ascii="Times New Roman" w:hAnsi="Times New Roman" w:cs="Times New Roman"/>
          <w:sz w:val="24"/>
          <w:szCs w:val="28"/>
        </w:rPr>
        <w:t xml:space="preserve">Rheological properties such as shear stress, apparent viscosity, and yield point are major indication of the carrying and hole cleaning capability of all drilling fluid during drilling operations. </w:t>
      </w:r>
      <w:r w:rsidR="000966B8">
        <w:rPr>
          <w:rFonts w:ascii="Times New Roman" w:hAnsi="Times New Roman" w:cs="Times New Roman"/>
          <w:sz w:val="24"/>
          <w:szCs w:val="28"/>
        </w:rPr>
        <w:t xml:space="preserve">Drilling fluid rheology is greatly impacted by the operating temperature and the drilling fluid composition. </w:t>
      </w:r>
      <w:r w:rsidRPr="00511CCB">
        <w:rPr>
          <w:rFonts w:ascii="Times New Roman" w:hAnsi="Times New Roman" w:cs="Times New Roman"/>
          <w:sz w:val="24"/>
          <w:szCs w:val="28"/>
        </w:rPr>
        <w:t>The rheological investigation was performed for the inhibitive mud systems (1 wt% KCl, 2 wt% KCl, cesium formate) and the conventional WBM. The automat</w:t>
      </w:r>
      <w:r w:rsidR="009E2815">
        <w:rPr>
          <w:rFonts w:ascii="Times New Roman" w:hAnsi="Times New Roman" w:cs="Times New Roman"/>
          <w:sz w:val="24"/>
          <w:szCs w:val="28"/>
        </w:rPr>
        <w:t>ic</w:t>
      </w:r>
      <w:r w:rsidRPr="00511CCB">
        <w:rPr>
          <w:rFonts w:ascii="Times New Roman" w:hAnsi="Times New Roman" w:cs="Times New Roman"/>
          <w:sz w:val="24"/>
          <w:szCs w:val="28"/>
        </w:rPr>
        <w:t xml:space="preserve"> viscometer is connected to a data acquisition system (DAQ) that get digital reading that are stored in a computer.</w:t>
      </w:r>
    </w:p>
    <w:p w14:paraId="07D2CB38" w14:textId="77777777" w:rsidR="00304316" w:rsidRDefault="00BF6DF3" w:rsidP="009E2815">
      <w:pPr>
        <w:jc w:val="center"/>
      </w:pPr>
      <w:r>
        <w:rPr>
          <w:noProof/>
        </w:rPr>
        <mc:AlternateContent>
          <mc:Choice Requires="wps">
            <w:drawing>
              <wp:anchor distT="0" distB="0" distL="114300" distR="114300" simplePos="0" relativeHeight="251726848" behindDoc="0" locked="0" layoutInCell="1" allowOverlap="1" wp14:anchorId="5060C090" wp14:editId="2AC8302D">
                <wp:simplePos x="0" y="0"/>
                <wp:positionH relativeFrom="column">
                  <wp:posOffset>4724400</wp:posOffset>
                </wp:positionH>
                <wp:positionV relativeFrom="paragraph">
                  <wp:posOffset>1024255</wp:posOffset>
                </wp:positionV>
                <wp:extent cx="1762125" cy="352425"/>
                <wp:effectExtent l="0" t="0" r="9525" b="9525"/>
                <wp:wrapNone/>
                <wp:docPr id="47" name="Text Box 47"/>
                <wp:cNvGraphicFramePr/>
                <a:graphic xmlns:a="http://schemas.openxmlformats.org/drawingml/2006/main">
                  <a:graphicData uri="http://schemas.microsoft.com/office/word/2010/wordprocessingShape">
                    <wps:wsp>
                      <wps:cNvSpPr txBox="1"/>
                      <wps:spPr>
                        <a:xfrm>
                          <a:off x="0" y="0"/>
                          <a:ext cx="1762125" cy="352425"/>
                        </a:xfrm>
                        <a:prstGeom prst="rect">
                          <a:avLst/>
                        </a:prstGeom>
                        <a:solidFill>
                          <a:schemeClr val="lt1"/>
                        </a:solidFill>
                        <a:ln w="6350">
                          <a:noFill/>
                        </a:ln>
                      </wps:spPr>
                      <wps:txbx>
                        <w:txbxContent>
                          <w:p w14:paraId="5B4F1A38" w14:textId="77777777" w:rsidR="00C724F7" w:rsidRPr="00BF6DF3" w:rsidRDefault="00C724F7">
                            <w:pPr>
                              <w:rPr>
                                <w:rFonts w:ascii="Times New Roman" w:hAnsi="Times New Roman" w:cs="Times New Roman"/>
                                <w:sz w:val="24"/>
                                <w:szCs w:val="24"/>
                              </w:rPr>
                            </w:pPr>
                            <w:r w:rsidRPr="00BF6DF3">
                              <w:rPr>
                                <w:rFonts w:ascii="Times New Roman" w:hAnsi="Times New Roman" w:cs="Times New Roman"/>
                                <w:sz w:val="24"/>
                                <w:szCs w:val="24"/>
                              </w:rPr>
                              <w:t>Temperature sensor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60C090" id="_x0000_t202" coordsize="21600,21600" o:spt="202" path="m,l,21600r21600,l21600,xe">
                <v:stroke joinstyle="miter"/>
                <v:path gradientshapeok="t" o:connecttype="rect"/>
              </v:shapetype>
              <v:shape id="Text Box 47" o:spid="_x0000_s1028" type="#_x0000_t202" style="position:absolute;left:0;text-align:left;margin-left:372pt;margin-top:80.65pt;width:138.75pt;height:27.75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" fillcolor="white [3201]" stroked="f" strokeweight=".5pt">
                <v:textbox>
                  <w:txbxContent>
                    <w:p w14:paraId="5B4F1A38" w14:textId="77777777" w:rsidR="00C724F7" w:rsidRPr="00BF6DF3" w:rsidRDefault="00C724F7">
                      <w:pPr>
                        <w:rPr>
                          <w:rFonts w:ascii="Times New Roman" w:hAnsi="Times New Roman" w:cs="Times New Roman"/>
                          <w:sz w:val="24"/>
                          <w:szCs w:val="24"/>
                        </w:rPr>
                      </w:pPr>
                      <w:r w:rsidRPr="00BF6DF3">
                        <w:rPr>
                          <w:rFonts w:ascii="Times New Roman" w:hAnsi="Times New Roman" w:cs="Times New Roman"/>
                          <w:sz w:val="24"/>
                          <w:szCs w:val="24"/>
                        </w:rPr>
                        <w:t>Temperature sensor</w:t>
                      </w:r>
                    </w:p>
                  </w:txbxContent>
                </v:textbox>
              </v:shape>
            </w:pict>
          </mc:Fallback>
        </mc:AlternateContent>
      </w:r>
      <w:r>
        <w:rPr>
          <w:noProof/>
        </w:rPr>
        <mc:AlternateContent>
          <mc:Choice Requires="wps">
            <w:drawing>
              <wp:anchor distT="0" distB="0" distL="114300" distR="114300" simplePos="0" relativeHeight="251728896" behindDoc="0" locked="0" layoutInCell="1" allowOverlap="1" wp14:anchorId="5CECFC59" wp14:editId="0A99BF8C">
                <wp:simplePos x="0" y="0"/>
                <wp:positionH relativeFrom="column">
                  <wp:posOffset>4752975</wp:posOffset>
                </wp:positionH>
                <wp:positionV relativeFrom="paragraph">
                  <wp:posOffset>1462405</wp:posOffset>
                </wp:positionV>
                <wp:extent cx="1762125" cy="352425"/>
                <wp:effectExtent l="0" t="0" r="9525" b="9525"/>
                <wp:wrapNone/>
                <wp:docPr id="48" name="Text Box 48"/>
                <wp:cNvGraphicFramePr/>
                <a:graphic xmlns:a="http://schemas.openxmlformats.org/drawingml/2006/main">
                  <a:graphicData uri="http://schemas.microsoft.com/office/word/2010/wordprocessingShape">
                    <wps:wsp>
                      <wps:cNvSpPr txBox="1"/>
                      <wps:spPr>
                        <a:xfrm>
                          <a:off x="0" y="0"/>
                          <a:ext cx="1762125" cy="352425"/>
                        </a:xfrm>
                        <a:prstGeom prst="rect">
                          <a:avLst/>
                        </a:prstGeom>
                        <a:solidFill>
                          <a:schemeClr val="lt1"/>
                        </a:solidFill>
                        <a:ln w="6350">
                          <a:noFill/>
                        </a:ln>
                      </wps:spPr>
                      <wps:txbx>
                        <w:txbxContent>
                          <w:p w14:paraId="1818B80F" w14:textId="77777777" w:rsidR="00C724F7" w:rsidRPr="00BF6DF3" w:rsidRDefault="00C724F7">
                            <w:pPr>
                              <w:rPr>
                                <w:rFonts w:ascii="Times New Roman" w:hAnsi="Times New Roman" w:cs="Times New Roman"/>
                                <w:sz w:val="24"/>
                                <w:szCs w:val="24"/>
                              </w:rPr>
                            </w:pPr>
                            <w:r w:rsidRPr="00BF6DF3">
                              <w:rPr>
                                <w:rFonts w:ascii="Times New Roman" w:hAnsi="Times New Roman" w:cs="Times New Roman"/>
                                <w:sz w:val="24"/>
                                <w:szCs w:val="24"/>
                              </w:rPr>
                              <w:t>Bob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ECFC59" id="Text Box 48" o:spid="_x0000_s1029" type="#_x0000_t202" style="position:absolute;left:0;text-align:left;margin-left:374.25pt;margin-top:115.15pt;width:138.75pt;height:27.75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" fillcolor="white [3201]" stroked="f" strokeweight=".5pt">
                <v:textbox>
                  <w:txbxContent>
                    <w:p w14:paraId="1818B80F" w14:textId="77777777" w:rsidR="00C724F7" w:rsidRPr="00BF6DF3" w:rsidRDefault="00C724F7">
                      <w:pPr>
                        <w:rPr>
                          <w:rFonts w:ascii="Times New Roman" w:hAnsi="Times New Roman" w:cs="Times New Roman"/>
                          <w:sz w:val="24"/>
                          <w:szCs w:val="24"/>
                        </w:rPr>
                      </w:pPr>
                      <w:r w:rsidRPr="00BF6DF3">
                        <w:rPr>
                          <w:rFonts w:ascii="Times New Roman" w:hAnsi="Times New Roman" w:cs="Times New Roman"/>
                          <w:sz w:val="24"/>
                          <w:szCs w:val="24"/>
                        </w:rPr>
                        <w:t>Bob</w:t>
                      </w: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47560FD6" wp14:editId="4BAA6480">
                <wp:simplePos x="0" y="0"/>
                <wp:positionH relativeFrom="column">
                  <wp:posOffset>4781550</wp:posOffset>
                </wp:positionH>
                <wp:positionV relativeFrom="paragraph">
                  <wp:posOffset>1786255</wp:posOffset>
                </wp:positionV>
                <wp:extent cx="1762125" cy="352425"/>
                <wp:effectExtent l="0" t="0" r="9525" b="9525"/>
                <wp:wrapNone/>
                <wp:docPr id="49" name="Text Box 49"/>
                <wp:cNvGraphicFramePr/>
                <a:graphic xmlns:a="http://schemas.openxmlformats.org/drawingml/2006/main">
                  <a:graphicData uri="http://schemas.microsoft.com/office/word/2010/wordprocessingShape">
                    <wps:wsp>
                      <wps:cNvSpPr txBox="1"/>
                      <wps:spPr>
                        <a:xfrm>
                          <a:off x="0" y="0"/>
                          <a:ext cx="1762125" cy="352425"/>
                        </a:xfrm>
                        <a:prstGeom prst="rect">
                          <a:avLst/>
                        </a:prstGeom>
                        <a:solidFill>
                          <a:schemeClr val="lt1"/>
                        </a:solidFill>
                        <a:ln w="6350">
                          <a:noFill/>
                        </a:ln>
                      </wps:spPr>
                      <wps:txbx>
                        <w:txbxContent>
                          <w:p w14:paraId="19A584F7" w14:textId="77777777" w:rsidR="00C724F7" w:rsidRPr="00BF6DF3" w:rsidRDefault="00C724F7">
                            <w:pPr>
                              <w:rPr>
                                <w:rFonts w:ascii="Times New Roman" w:hAnsi="Times New Roman" w:cs="Times New Roman"/>
                                <w:sz w:val="24"/>
                                <w:szCs w:val="24"/>
                              </w:rPr>
                            </w:pPr>
                            <w:r w:rsidRPr="00BF6DF3">
                              <w:rPr>
                                <w:rFonts w:ascii="Times New Roman" w:hAnsi="Times New Roman" w:cs="Times New Roman"/>
                                <w:sz w:val="24"/>
                                <w:szCs w:val="24"/>
                              </w:rPr>
                              <w:t>Cup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560FD6" id="Text Box 49" o:spid="_x0000_s1030" type="#_x0000_t202" style="position:absolute;left:0;text-align:left;margin-left:376.5pt;margin-top:140.65pt;width:138.75pt;height:27.7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" fillcolor="white [3201]" stroked="f" strokeweight=".5pt">
                <v:textbox>
                  <w:txbxContent>
                    <w:p w14:paraId="19A584F7" w14:textId="77777777" w:rsidR="00C724F7" w:rsidRPr="00BF6DF3" w:rsidRDefault="00C724F7">
                      <w:pPr>
                        <w:rPr>
                          <w:rFonts w:ascii="Times New Roman" w:hAnsi="Times New Roman" w:cs="Times New Roman"/>
                          <w:sz w:val="24"/>
                          <w:szCs w:val="24"/>
                        </w:rPr>
                      </w:pPr>
                      <w:r w:rsidRPr="00BF6DF3">
                        <w:rPr>
                          <w:rFonts w:ascii="Times New Roman" w:hAnsi="Times New Roman" w:cs="Times New Roman"/>
                          <w:sz w:val="24"/>
                          <w:szCs w:val="24"/>
                        </w:rPr>
                        <w:t>Cup</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62DE6195" wp14:editId="08527E3A">
                <wp:simplePos x="0" y="0"/>
                <wp:positionH relativeFrom="column">
                  <wp:posOffset>4733925</wp:posOffset>
                </wp:positionH>
                <wp:positionV relativeFrom="paragraph">
                  <wp:posOffset>2195830</wp:posOffset>
                </wp:positionV>
                <wp:extent cx="1762125" cy="352425"/>
                <wp:effectExtent l="0" t="0" r="9525" b="9525"/>
                <wp:wrapNone/>
                <wp:docPr id="50" name="Text Box 50"/>
                <wp:cNvGraphicFramePr/>
                <a:graphic xmlns:a="http://schemas.openxmlformats.org/drawingml/2006/main">
                  <a:graphicData uri="http://schemas.microsoft.com/office/word/2010/wordprocessingShape">
                    <wps:wsp>
                      <wps:cNvSpPr txBox="1"/>
                      <wps:spPr>
                        <a:xfrm>
                          <a:off x="0" y="0"/>
                          <a:ext cx="1762125" cy="352425"/>
                        </a:xfrm>
                        <a:prstGeom prst="rect">
                          <a:avLst/>
                        </a:prstGeom>
                        <a:solidFill>
                          <a:schemeClr val="lt1"/>
                        </a:solidFill>
                        <a:ln w="6350">
                          <a:noFill/>
                        </a:ln>
                      </wps:spPr>
                      <wps:txbx>
                        <w:txbxContent>
                          <w:p w14:paraId="2E66658C" w14:textId="77777777" w:rsidR="00C724F7" w:rsidRPr="00BF6DF3" w:rsidRDefault="00C724F7">
                            <w:pPr>
                              <w:rPr>
                                <w:rFonts w:ascii="Times New Roman" w:hAnsi="Times New Roman" w:cs="Times New Roman"/>
                                <w:sz w:val="24"/>
                                <w:szCs w:val="24"/>
                              </w:rPr>
                            </w:pPr>
                            <w:r w:rsidRPr="00BF6DF3">
                              <w:rPr>
                                <w:rFonts w:ascii="Times New Roman" w:hAnsi="Times New Roman" w:cs="Times New Roman"/>
                                <w:sz w:val="24"/>
                                <w:szCs w:val="24"/>
                              </w:rPr>
                              <w:t>Heating jacket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DE6195" id="Text Box 50" o:spid="_x0000_s1031" type="#_x0000_t202" style="position:absolute;left:0;text-align:left;margin-left:372.75pt;margin-top:172.9pt;width:138.75pt;height:27.7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" fillcolor="white [3201]" stroked="f" strokeweight=".5pt">
                <v:textbox>
                  <w:txbxContent>
                    <w:p w14:paraId="2E66658C" w14:textId="77777777" w:rsidR="00C724F7" w:rsidRPr="00BF6DF3" w:rsidRDefault="00C724F7">
                      <w:pPr>
                        <w:rPr>
                          <w:rFonts w:ascii="Times New Roman" w:hAnsi="Times New Roman" w:cs="Times New Roman"/>
                          <w:sz w:val="24"/>
                          <w:szCs w:val="24"/>
                        </w:rPr>
                      </w:pPr>
                      <w:r w:rsidRPr="00BF6DF3">
                        <w:rPr>
                          <w:rFonts w:ascii="Times New Roman" w:hAnsi="Times New Roman" w:cs="Times New Roman"/>
                          <w:sz w:val="24"/>
                          <w:szCs w:val="24"/>
                        </w:rPr>
                        <w:t>Heating jacket</w:t>
                      </w:r>
                    </w:p>
                  </w:txbxContent>
                </v:textbox>
              </v:shape>
            </w:pict>
          </mc:Fallback>
        </mc:AlternateContent>
      </w:r>
      <w:r w:rsidRPr="0041062D">
        <w:rPr>
          <w:rFonts w:ascii="Times New Roman" w:hAnsi="Times New Roman" w:cs="Times New Roman"/>
          <w:noProof/>
          <w:color w:val="0D0D0D" w:themeColor="text1" w:themeTint="F2"/>
          <w:sz w:val="24"/>
          <w:szCs w:val="24"/>
        </w:rPr>
        <mc:AlternateContent>
          <mc:Choice Requires="wps">
            <w:drawing>
              <wp:anchor distT="0" distB="0" distL="114300" distR="114300" simplePos="0" relativeHeight="251719680" behindDoc="0" locked="0" layoutInCell="1" allowOverlap="1" wp14:anchorId="5FC13C87" wp14:editId="133BEF7F">
                <wp:simplePos x="0" y="0"/>
                <wp:positionH relativeFrom="column">
                  <wp:posOffset>3352800</wp:posOffset>
                </wp:positionH>
                <wp:positionV relativeFrom="paragraph">
                  <wp:posOffset>2347595</wp:posOffset>
                </wp:positionV>
                <wp:extent cx="1428750" cy="47625"/>
                <wp:effectExtent l="38100" t="38100" r="19050" b="85725"/>
                <wp:wrapNone/>
                <wp:docPr id="43" name="Straight Arrow Connector 43"/>
                <wp:cNvGraphicFramePr/>
                <a:graphic xmlns:a="http://schemas.openxmlformats.org/drawingml/2006/main">
                  <a:graphicData uri="http://schemas.microsoft.com/office/word/2010/wordprocessingShape">
                    <wps:wsp>
                      <wps:cNvCnPr/>
                      <wps:spPr>
                        <a:xfrm flipH="1">
                          <a:off x="0" y="0"/>
                          <a:ext cx="1428750" cy="47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9D554F" id="Straight Arrow Connector 43" o:spid="_x0000_s1026" type="#_x0000_t32" style="position:absolute;margin-left:264pt;margin-top:184.85pt;width:112.5pt;height:3.7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" strokecolor="black [3200]" strokeweight=".5pt">
                <v:stroke endarrow="block" joinstyle="miter"/>
              </v:shape>
            </w:pict>
          </mc:Fallback>
        </mc:AlternateContent>
      </w:r>
      <w:r w:rsidRPr="0041062D">
        <w:rPr>
          <w:rFonts w:ascii="Times New Roman" w:hAnsi="Times New Roman" w:cs="Times New Roman"/>
          <w:noProof/>
          <w:color w:val="0D0D0D" w:themeColor="text1" w:themeTint="F2"/>
          <w:sz w:val="24"/>
          <w:szCs w:val="24"/>
        </w:rPr>
        <mc:AlternateContent>
          <mc:Choice Requires="wps">
            <w:drawing>
              <wp:anchor distT="0" distB="0" distL="114300" distR="114300" simplePos="0" relativeHeight="251721728" behindDoc="0" locked="0" layoutInCell="1" allowOverlap="1" wp14:anchorId="7D5F968D" wp14:editId="571FA0FF">
                <wp:simplePos x="0" y="0"/>
                <wp:positionH relativeFrom="column">
                  <wp:posOffset>3257550</wp:posOffset>
                </wp:positionH>
                <wp:positionV relativeFrom="paragraph">
                  <wp:posOffset>1929131</wp:posOffset>
                </wp:positionV>
                <wp:extent cx="1524000" cy="57150"/>
                <wp:effectExtent l="38100" t="19050" r="19050" b="95250"/>
                <wp:wrapNone/>
                <wp:docPr id="44" name="Straight Arrow Connector 44"/>
                <wp:cNvGraphicFramePr/>
                <a:graphic xmlns:a="http://schemas.openxmlformats.org/drawingml/2006/main">
                  <a:graphicData uri="http://schemas.microsoft.com/office/word/2010/wordprocessingShape">
                    <wps:wsp>
                      <wps:cNvCnPr/>
                      <wps:spPr>
                        <a:xfrm flipH="1">
                          <a:off x="0" y="0"/>
                          <a:ext cx="1524000" cy="57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B157375" id="Straight Arrow Connector 44" o:spid="_x0000_s1026" type="#_x0000_t32" style="position:absolute;margin-left:256.5pt;margin-top:151.9pt;width:120pt;height:4.5pt;flip:x;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" strokecolor="black [3200]" strokeweight=".5pt">
                <v:stroke endarrow="block" joinstyle="miter"/>
              </v:shape>
            </w:pict>
          </mc:Fallback>
        </mc:AlternateContent>
      </w:r>
      <w:r w:rsidRPr="0041062D">
        <w:rPr>
          <w:rFonts w:ascii="Times New Roman" w:hAnsi="Times New Roman" w:cs="Times New Roman"/>
          <w:noProof/>
          <w:color w:val="0D0D0D" w:themeColor="text1" w:themeTint="F2"/>
          <w:sz w:val="24"/>
          <w:szCs w:val="24"/>
        </w:rPr>
        <mc:AlternateContent>
          <mc:Choice Requires="wps">
            <w:drawing>
              <wp:anchor distT="0" distB="0" distL="114300" distR="114300" simplePos="0" relativeHeight="251723776" behindDoc="0" locked="0" layoutInCell="1" allowOverlap="1" wp14:anchorId="7370478D" wp14:editId="3575E229">
                <wp:simplePos x="0" y="0"/>
                <wp:positionH relativeFrom="column">
                  <wp:posOffset>3114674</wp:posOffset>
                </wp:positionH>
                <wp:positionV relativeFrom="paragraph">
                  <wp:posOffset>1595756</wp:posOffset>
                </wp:positionV>
                <wp:extent cx="1666875" cy="76200"/>
                <wp:effectExtent l="38100" t="0" r="28575" b="95250"/>
                <wp:wrapNone/>
                <wp:docPr id="45" name="Straight Arrow Connector 45"/>
                <wp:cNvGraphicFramePr/>
                <a:graphic xmlns:a="http://schemas.openxmlformats.org/drawingml/2006/main">
                  <a:graphicData uri="http://schemas.microsoft.com/office/word/2010/wordprocessingShape">
                    <wps:wsp>
                      <wps:cNvCnPr/>
                      <wps:spPr>
                        <a:xfrm flipH="1">
                          <a:off x="0" y="0"/>
                          <a:ext cx="1666875" cy="76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EB2358" id="Straight Arrow Connector 45" o:spid="_x0000_s1026" type="#_x0000_t32" style="position:absolute;margin-left:245.25pt;margin-top:125.65pt;width:131.25pt;height:6pt;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" strokecolor="black [3200]" strokeweight=".5pt">
                <v:stroke endarrow="block" joinstyle="miter"/>
              </v:shape>
            </w:pict>
          </mc:Fallback>
        </mc:AlternateContent>
      </w:r>
      <w:r w:rsidRPr="0041062D">
        <w:rPr>
          <w:rFonts w:ascii="Times New Roman" w:hAnsi="Times New Roman" w:cs="Times New Roman"/>
          <w:noProof/>
          <w:color w:val="0D0D0D" w:themeColor="text1" w:themeTint="F2"/>
          <w:sz w:val="24"/>
          <w:szCs w:val="24"/>
        </w:rPr>
        <mc:AlternateContent>
          <mc:Choice Requires="wps">
            <w:drawing>
              <wp:anchor distT="0" distB="0" distL="114300" distR="114300" simplePos="0" relativeHeight="251725824" behindDoc="0" locked="0" layoutInCell="1" allowOverlap="1" wp14:anchorId="06721524" wp14:editId="61A1BC2D">
                <wp:simplePos x="0" y="0"/>
                <wp:positionH relativeFrom="column">
                  <wp:posOffset>3381375</wp:posOffset>
                </wp:positionH>
                <wp:positionV relativeFrom="paragraph">
                  <wp:posOffset>1185545</wp:posOffset>
                </wp:positionV>
                <wp:extent cx="1428750" cy="47625"/>
                <wp:effectExtent l="38100" t="38100" r="19050" b="85725"/>
                <wp:wrapNone/>
                <wp:docPr id="46" name="Straight Arrow Connector 46"/>
                <wp:cNvGraphicFramePr/>
                <a:graphic xmlns:a="http://schemas.openxmlformats.org/drawingml/2006/main">
                  <a:graphicData uri="http://schemas.microsoft.com/office/word/2010/wordprocessingShape">
                    <wps:wsp>
                      <wps:cNvCnPr/>
                      <wps:spPr>
                        <a:xfrm flipH="1">
                          <a:off x="0" y="0"/>
                          <a:ext cx="1428750" cy="47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0C705BB" id="Straight Arrow Connector 46" o:spid="_x0000_s1026" type="#_x0000_t32" style="position:absolute;margin-left:266.25pt;margin-top:93.35pt;width:112.5pt;height:3.75pt;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" strokecolor="black [3200]" strokeweight=".5pt">
                <v:stroke endarrow="block" joinstyle="miter"/>
              </v:shape>
            </w:pict>
          </mc:Fallback>
        </mc:AlternateContent>
      </w:r>
      <w:r w:rsidR="00E26F4A">
        <w:rPr>
          <w:noProof/>
        </w:rPr>
        <w:drawing>
          <wp:inline distT="0" distB="0" distL="0" distR="0" wp14:anchorId="14BCE9BC" wp14:editId="2E5F8D8A">
            <wp:extent cx="3048000" cy="3048000"/>
            <wp:effectExtent l="0" t="0" r="0" b="0"/>
            <wp:docPr id="41" name="Picture 41" descr="M3600 Automatic Visco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3600 Automatic Viscomete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3CCAE9ED" w14:textId="27CEE63B" w:rsidR="009E2815" w:rsidRDefault="00B92D25" w:rsidP="00B92D25">
      <w:pPr>
        <w:pStyle w:val="Caption"/>
        <w:rPr>
          <w:szCs w:val="24"/>
        </w:rPr>
      </w:pPr>
      <w:bookmarkStart w:id="64" w:name="_Toc37087757"/>
      <w:r>
        <w:t xml:space="preserve">Figure </w:t>
      </w:r>
      <w:fldSimple w:instr=" SEQ Figure \* ARABIC ">
        <w:r w:rsidR="0092747F">
          <w:rPr>
            <w:noProof/>
          </w:rPr>
          <w:t>14</w:t>
        </w:r>
      </w:fldSimple>
      <w:r>
        <w:rPr>
          <w:b w:val="0"/>
          <w:bCs/>
          <w:szCs w:val="24"/>
        </w:rPr>
        <w:t>-</w:t>
      </w:r>
      <w:r w:rsidR="00EA30BA" w:rsidRPr="00EA30BA">
        <w:rPr>
          <w:szCs w:val="24"/>
        </w:rPr>
        <w:t xml:space="preserve"> Automatic M3600 viscometer</w:t>
      </w:r>
      <w:bookmarkEnd w:id="64"/>
    </w:p>
    <w:p w14:paraId="4F7D06FB" w14:textId="77777777" w:rsidR="00EA30BA" w:rsidRDefault="00EA30BA" w:rsidP="00EA30BA">
      <w:pPr>
        <w:pStyle w:val="Heading2"/>
        <w:numPr>
          <w:ilvl w:val="1"/>
          <w:numId w:val="15"/>
        </w:numPr>
      </w:pPr>
      <w:bookmarkStart w:id="65" w:name="_Toc39751605"/>
      <w:r>
        <w:t>Mineralogy Testing</w:t>
      </w:r>
      <w:bookmarkEnd w:id="65"/>
    </w:p>
    <w:p w14:paraId="0A81BBE1" w14:textId="77777777" w:rsidR="001A1A8B" w:rsidRDefault="001A1A8B" w:rsidP="0025438C">
      <w:pPr>
        <w:spacing w:line="480" w:lineRule="auto"/>
        <w:rPr>
          <w:rFonts w:ascii="Times New Roman" w:hAnsi="Times New Roman" w:cs="Times New Roman"/>
          <w:sz w:val="24"/>
          <w:szCs w:val="24"/>
        </w:rPr>
      </w:pPr>
      <w:r>
        <w:rPr>
          <w:rFonts w:ascii="Times New Roman" w:hAnsi="Times New Roman" w:cs="Times New Roman"/>
          <w:sz w:val="24"/>
          <w:szCs w:val="24"/>
        </w:rPr>
        <w:t>Mineralogy is a major factor that governs drilling fluids performance and their interaction with shale formations.</w:t>
      </w:r>
      <w:r w:rsidR="00AE4AB7">
        <w:rPr>
          <w:rFonts w:ascii="Times New Roman" w:hAnsi="Times New Roman" w:cs="Times New Roman"/>
          <w:sz w:val="24"/>
          <w:szCs w:val="24"/>
        </w:rPr>
        <w:t xml:space="preserve"> </w:t>
      </w:r>
      <w:r w:rsidR="005F0032">
        <w:rPr>
          <w:rFonts w:ascii="Times New Roman" w:hAnsi="Times New Roman" w:cs="Times New Roman"/>
          <w:sz w:val="24"/>
          <w:szCs w:val="24"/>
        </w:rPr>
        <w:t>Most</w:t>
      </w:r>
      <w:r w:rsidR="00AE4AB7">
        <w:rPr>
          <w:rFonts w:ascii="Times New Roman" w:hAnsi="Times New Roman" w:cs="Times New Roman"/>
          <w:sz w:val="24"/>
          <w:szCs w:val="24"/>
        </w:rPr>
        <w:t xml:space="preserve"> clay minerals </w:t>
      </w:r>
      <w:r w:rsidR="005F0032">
        <w:rPr>
          <w:rFonts w:ascii="Times New Roman" w:hAnsi="Times New Roman" w:cs="Times New Roman"/>
          <w:sz w:val="24"/>
          <w:szCs w:val="24"/>
        </w:rPr>
        <w:t>display different reaction when in contact with different drilling fluids.</w:t>
      </w:r>
      <w:r w:rsidR="00E2627C">
        <w:rPr>
          <w:rFonts w:ascii="Times New Roman" w:hAnsi="Times New Roman" w:cs="Times New Roman"/>
          <w:sz w:val="24"/>
          <w:szCs w:val="24"/>
        </w:rPr>
        <w:t xml:space="preserve"> </w:t>
      </w:r>
      <w:r w:rsidR="003E6CEA">
        <w:rPr>
          <w:rFonts w:ascii="Times New Roman" w:hAnsi="Times New Roman" w:cs="Times New Roman"/>
          <w:sz w:val="24"/>
          <w:szCs w:val="24"/>
        </w:rPr>
        <w:t xml:space="preserve">Minerals such as smectite and illite are highly sensitive to water and some types of drilling fluid. Smectite mineral is characterized by high hydration potential, while illite </w:t>
      </w:r>
      <w:r w:rsidR="00DD265B">
        <w:rPr>
          <w:rFonts w:ascii="Times New Roman" w:hAnsi="Times New Roman" w:cs="Times New Roman"/>
          <w:sz w:val="24"/>
          <w:szCs w:val="24"/>
        </w:rPr>
        <w:t xml:space="preserve">is </w:t>
      </w:r>
      <w:r w:rsidR="00DD265B">
        <w:rPr>
          <w:rFonts w:ascii="Times New Roman" w:hAnsi="Times New Roman" w:cs="Times New Roman"/>
          <w:sz w:val="24"/>
          <w:szCs w:val="24"/>
        </w:rPr>
        <w:lastRenderedPageBreak/>
        <w:t>more</w:t>
      </w:r>
      <w:r w:rsidR="003E6CEA">
        <w:rPr>
          <w:rFonts w:ascii="Times New Roman" w:hAnsi="Times New Roman" w:cs="Times New Roman"/>
          <w:sz w:val="24"/>
          <w:szCs w:val="24"/>
        </w:rPr>
        <w:t xml:space="preserve"> dispersive. </w:t>
      </w:r>
      <w:r w:rsidR="00E2627C">
        <w:rPr>
          <w:rFonts w:ascii="Times New Roman" w:hAnsi="Times New Roman" w:cs="Times New Roman"/>
          <w:sz w:val="24"/>
          <w:szCs w:val="24"/>
        </w:rPr>
        <w:t>In this study, the fourier-transform infrared spectroscopy (FTIR) is used to quantify the mineralogy of the formation of interest.</w:t>
      </w:r>
      <w:r w:rsidR="00072191">
        <w:rPr>
          <w:rFonts w:ascii="Times New Roman" w:hAnsi="Times New Roman" w:cs="Times New Roman"/>
          <w:sz w:val="24"/>
          <w:szCs w:val="24"/>
        </w:rPr>
        <w:t xml:space="preserve"> FTIR is a technique that relies on infrared spectrum. It uses a mathematical process to convert raw data into an actual spectrum that is then converted into weight distribution of different minerals.</w:t>
      </w:r>
      <w:r w:rsidR="00C513B7">
        <w:rPr>
          <w:rFonts w:ascii="Times New Roman" w:hAnsi="Times New Roman" w:cs="Times New Roman"/>
          <w:sz w:val="24"/>
          <w:szCs w:val="24"/>
        </w:rPr>
        <w:t xml:space="preserve"> Sample obtained from </w:t>
      </w:r>
      <w:r w:rsidR="003A6410">
        <w:rPr>
          <w:rFonts w:ascii="Times New Roman" w:hAnsi="Times New Roman" w:cs="Times New Roman"/>
          <w:sz w:val="24"/>
          <w:szCs w:val="24"/>
        </w:rPr>
        <w:t>wel</w:t>
      </w:r>
      <w:r w:rsidR="00C513B7">
        <w:rPr>
          <w:rFonts w:ascii="Times New Roman" w:hAnsi="Times New Roman" w:cs="Times New Roman"/>
          <w:sz w:val="24"/>
          <w:szCs w:val="24"/>
        </w:rPr>
        <w:t>l</w:t>
      </w:r>
      <w:r w:rsidR="003A6410">
        <w:rPr>
          <w:rFonts w:ascii="Times New Roman" w:hAnsi="Times New Roman" w:cs="Times New Roman"/>
          <w:sz w:val="24"/>
          <w:szCs w:val="24"/>
        </w:rPr>
        <w:t xml:space="preserve"> A</w:t>
      </w:r>
      <w:r w:rsidR="00C513B7">
        <w:rPr>
          <w:rFonts w:ascii="Times New Roman" w:hAnsi="Times New Roman" w:cs="Times New Roman"/>
          <w:sz w:val="24"/>
          <w:szCs w:val="24"/>
        </w:rPr>
        <w:t xml:space="preserve"> </w:t>
      </w:r>
      <w:r w:rsidR="005F300F">
        <w:rPr>
          <w:rFonts w:ascii="Times New Roman" w:hAnsi="Times New Roman" w:cs="Times New Roman"/>
          <w:sz w:val="24"/>
          <w:szCs w:val="24"/>
        </w:rPr>
        <w:t>is</w:t>
      </w:r>
      <w:r w:rsidR="00C513B7">
        <w:rPr>
          <w:rFonts w:ascii="Times New Roman" w:hAnsi="Times New Roman" w:cs="Times New Roman"/>
          <w:sz w:val="24"/>
          <w:szCs w:val="24"/>
        </w:rPr>
        <w:t xml:space="preserve"> crushed and finely grinded into powder</w:t>
      </w:r>
      <w:r w:rsidR="00580C4E">
        <w:rPr>
          <w:rFonts w:ascii="Times New Roman" w:hAnsi="Times New Roman" w:cs="Times New Roman"/>
          <w:sz w:val="24"/>
          <w:szCs w:val="24"/>
        </w:rPr>
        <w:t>.</w:t>
      </w:r>
      <w:r w:rsidR="005F300F">
        <w:rPr>
          <w:rFonts w:ascii="Times New Roman" w:hAnsi="Times New Roman" w:cs="Times New Roman"/>
          <w:sz w:val="24"/>
          <w:szCs w:val="24"/>
        </w:rPr>
        <w:t xml:space="preserve"> The grinded sample is then dried out for 24 hours using a </w:t>
      </w:r>
      <w:r w:rsidR="003E1E96">
        <w:rPr>
          <w:rFonts w:ascii="Times New Roman" w:hAnsi="Times New Roman" w:cs="Times New Roman"/>
          <w:sz w:val="24"/>
          <w:szCs w:val="24"/>
        </w:rPr>
        <w:t>1</w:t>
      </w:r>
      <w:r w:rsidR="005F300F">
        <w:rPr>
          <w:rFonts w:ascii="Times New Roman" w:hAnsi="Times New Roman" w:cs="Times New Roman"/>
          <w:sz w:val="24"/>
          <w:szCs w:val="24"/>
        </w:rPr>
        <w:t xml:space="preserve">00 </w:t>
      </w:r>
      <w:r w:rsidR="005F300F" w:rsidRPr="005F300F">
        <w:rPr>
          <w:rFonts w:ascii="Times New Roman" w:hAnsi="Times New Roman" w:cs="Times New Roman"/>
          <w:sz w:val="24"/>
          <w:szCs w:val="24"/>
          <w:vertAlign w:val="superscript"/>
        </w:rPr>
        <w:t>o</w:t>
      </w:r>
      <w:r w:rsidR="00CE45BB">
        <w:rPr>
          <w:rFonts w:ascii="Times New Roman" w:hAnsi="Times New Roman" w:cs="Times New Roman"/>
          <w:sz w:val="24"/>
          <w:szCs w:val="24"/>
        </w:rPr>
        <w:t>C</w:t>
      </w:r>
      <w:r w:rsidR="005F300F">
        <w:rPr>
          <w:rFonts w:ascii="Times New Roman" w:hAnsi="Times New Roman" w:cs="Times New Roman"/>
          <w:sz w:val="24"/>
          <w:szCs w:val="24"/>
        </w:rPr>
        <w:t xml:space="preserve"> oven.</w:t>
      </w:r>
      <w:r w:rsidR="00EF3E9F">
        <w:rPr>
          <w:rFonts w:ascii="Times New Roman" w:hAnsi="Times New Roman" w:cs="Times New Roman"/>
          <w:sz w:val="24"/>
          <w:szCs w:val="24"/>
        </w:rPr>
        <w:t xml:space="preserve"> </w:t>
      </w:r>
      <w:bookmarkStart w:id="66" w:name="_Hlk37862191"/>
      <w:r w:rsidR="00EF3E9F">
        <w:rPr>
          <w:rFonts w:ascii="Times New Roman" w:hAnsi="Times New Roman" w:cs="Times New Roman"/>
          <w:sz w:val="24"/>
          <w:szCs w:val="24"/>
        </w:rPr>
        <w:t xml:space="preserve">0.05 g of the dried sample is added to 0.3 g of a salt known as </w:t>
      </w:r>
      <w:r w:rsidR="0050394B">
        <w:rPr>
          <w:rFonts w:ascii="Times New Roman" w:hAnsi="Times New Roman" w:cs="Times New Roman"/>
          <w:sz w:val="24"/>
          <w:szCs w:val="24"/>
        </w:rPr>
        <w:t>potassium bromi</w:t>
      </w:r>
      <w:r w:rsidR="00D91B1F">
        <w:rPr>
          <w:rFonts w:ascii="Times New Roman" w:hAnsi="Times New Roman" w:cs="Times New Roman"/>
          <w:sz w:val="24"/>
          <w:szCs w:val="24"/>
        </w:rPr>
        <w:t>de</w:t>
      </w:r>
      <w:r w:rsidR="0050394B">
        <w:rPr>
          <w:rFonts w:ascii="Times New Roman" w:hAnsi="Times New Roman" w:cs="Times New Roman"/>
          <w:sz w:val="24"/>
          <w:szCs w:val="24"/>
        </w:rPr>
        <w:t xml:space="preserve"> (</w:t>
      </w:r>
      <w:r w:rsidR="00EF3E9F">
        <w:rPr>
          <w:rFonts w:ascii="Times New Roman" w:hAnsi="Times New Roman" w:cs="Times New Roman"/>
          <w:sz w:val="24"/>
          <w:szCs w:val="24"/>
        </w:rPr>
        <w:t>KB</w:t>
      </w:r>
      <w:r w:rsidR="00D91B1F">
        <w:rPr>
          <w:rFonts w:ascii="Times New Roman" w:hAnsi="Times New Roman" w:cs="Times New Roman"/>
          <w:sz w:val="24"/>
          <w:szCs w:val="24"/>
        </w:rPr>
        <w:t>r</w:t>
      </w:r>
      <w:r w:rsidR="0050394B">
        <w:rPr>
          <w:rFonts w:ascii="Times New Roman" w:hAnsi="Times New Roman" w:cs="Times New Roman"/>
          <w:sz w:val="24"/>
          <w:szCs w:val="24"/>
        </w:rPr>
        <w:t>)</w:t>
      </w:r>
      <w:r w:rsidR="00EF3E9F">
        <w:rPr>
          <w:rFonts w:ascii="Times New Roman" w:hAnsi="Times New Roman" w:cs="Times New Roman"/>
          <w:sz w:val="24"/>
          <w:szCs w:val="24"/>
        </w:rPr>
        <w:t xml:space="preserve"> to generate a disk that is then put in</w:t>
      </w:r>
      <w:r w:rsidR="005F300F">
        <w:rPr>
          <w:rFonts w:ascii="Times New Roman" w:hAnsi="Times New Roman" w:cs="Times New Roman"/>
          <w:sz w:val="24"/>
          <w:szCs w:val="24"/>
        </w:rPr>
        <w:t xml:space="preserve"> </w:t>
      </w:r>
      <w:bookmarkEnd w:id="66"/>
      <w:r w:rsidR="005F300F">
        <w:rPr>
          <w:rFonts w:ascii="Times New Roman" w:hAnsi="Times New Roman" w:cs="Times New Roman"/>
          <w:sz w:val="24"/>
          <w:szCs w:val="24"/>
        </w:rPr>
        <w:t>the FTIR spectrometer (</w:t>
      </w:r>
      <w:r w:rsidR="005F300F" w:rsidRPr="00C513B7">
        <w:rPr>
          <w:rFonts w:ascii="Times New Roman" w:hAnsi="Times New Roman" w:cs="Times New Roman"/>
          <w:b/>
          <w:bCs/>
          <w:sz w:val="24"/>
          <w:szCs w:val="24"/>
        </w:rPr>
        <w:t xml:space="preserve">Figure </w:t>
      </w:r>
      <w:r w:rsidR="00B92D25">
        <w:rPr>
          <w:rFonts w:ascii="Times New Roman" w:hAnsi="Times New Roman" w:cs="Times New Roman"/>
          <w:b/>
          <w:bCs/>
          <w:sz w:val="24"/>
          <w:szCs w:val="24"/>
        </w:rPr>
        <w:t>15</w:t>
      </w:r>
      <w:r w:rsidR="005F300F">
        <w:rPr>
          <w:rFonts w:ascii="Times New Roman" w:hAnsi="Times New Roman" w:cs="Times New Roman"/>
          <w:sz w:val="24"/>
          <w:szCs w:val="24"/>
        </w:rPr>
        <w:t>) to visualize the spectrum.</w:t>
      </w:r>
      <w:r w:rsidR="00C42329">
        <w:rPr>
          <w:rFonts w:ascii="Times New Roman" w:hAnsi="Times New Roman" w:cs="Times New Roman"/>
          <w:sz w:val="24"/>
          <w:szCs w:val="24"/>
        </w:rPr>
        <w:t xml:space="preserve"> The obtained spectrum is then converted into distribution of the different minerals.</w:t>
      </w:r>
    </w:p>
    <w:p w14:paraId="2E116169" w14:textId="77777777" w:rsidR="00BF68F3" w:rsidRDefault="00BF68F3" w:rsidP="00BF68F3">
      <w:pPr>
        <w:jc w:val="center"/>
        <w:rPr>
          <w:rFonts w:ascii="Times New Roman" w:hAnsi="Times New Roman" w:cs="Times New Roman"/>
          <w:sz w:val="24"/>
          <w:szCs w:val="24"/>
        </w:rPr>
      </w:pPr>
      <w:r w:rsidRPr="00BF68F3">
        <w:rPr>
          <w:rFonts w:ascii="Times New Roman" w:hAnsi="Times New Roman" w:cs="Times New Roman"/>
          <w:noProof/>
          <w:sz w:val="24"/>
          <w:szCs w:val="24"/>
        </w:rPr>
        <w:drawing>
          <wp:inline distT="0" distB="0" distL="0" distR="0" wp14:anchorId="22C5C279" wp14:editId="17C25F8C">
            <wp:extent cx="4182643" cy="4109256"/>
            <wp:effectExtent l="0" t="0" r="8890" b="5715"/>
            <wp:docPr id="56" name="Picture 3">
              <a:extLst xmlns:a="http://schemas.openxmlformats.org/drawingml/2006/main">
                <a:ext uri="{FF2B5EF4-FFF2-40B4-BE49-F238E27FC236}">
                  <a16:creationId xmlns:a16="http://schemas.microsoft.com/office/drawing/2014/main" id="{FA36612C-E005-4D45-819E-CB952B3657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FA36612C-E005-4D45-819E-CB952B3657FD}"/>
                        </a:ext>
                      </a:extLst>
                    </pic:cNvPr>
                    <pic:cNvPicPr>
                      <a:picLocks noChangeAspect="1"/>
                    </pic:cNvPicPr>
                  </pic:nvPicPr>
                  <pic:blipFill>
                    <a:blip r:embed="rId28"/>
                    <a:stretch>
                      <a:fillRect/>
                    </a:stretch>
                  </pic:blipFill>
                  <pic:spPr>
                    <a:xfrm>
                      <a:off x="0" y="0"/>
                      <a:ext cx="4182643" cy="4109256"/>
                    </a:xfrm>
                    <a:prstGeom prst="rect">
                      <a:avLst/>
                    </a:prstGeom>
                  </pic:spPr>
                </pic:pic>
              </a:graphicData>
            </a:graphic>
          </wp:inline>
        </w:drawing>
      </w:r>
    </w:p>
    <w:p w14:paraId="6BD2B53C" w14:textId="76387B63" w:rsidR="00304316" w:rsidRDefault="003507B1" w:rsidP="0025438C">
      <w:pPr>
        <w:pStyle w:val="Caption"/>
        <w:rPr>
          <w:szCs w:val="24"/>
        </w:rPr>
      </w:pPr>
      <w:bookmarkStart w:id="67" w:name="_Toc37087758"/>
      <w:r>
        <w:t xml:space="preserve">Figure </w:t>
      </w:r>
      <w:fldSimple w:instr=" SEQ Figure \* ARABIC ">
        <w:r w:rsidR="0092747F">
          <w:rPr>
            <w:noProof/>
          </w:rPr>
          <w:t>15</w:t>
        </w:r>
      </w:fldSimple>
      <w:r>
        <w:rPr>
          <w:b w:val="0"/>
          <w:bCs/>
          <w:szCs w:val="24"/>
        </w:rPr>
        <w:t>-</w:t>
      </w:r>
      <w:r w:rsidR="00BF68F3">
        <w:rPr>
          <w:szCs w:val="24"/>
        </w:rPr>
        <w:t xml:space="preserve"> FTIR spectrometer</w:t>
      </w:r>
      <w:r>
        <w:rPr>
          <w:szCs w:val="24"/>
        </w:rPr>
        <w:t xml:space="preserve"> for mineralogy testing</w:t>
      </w:r>
      <w:bookmarkEnd w:id="67"/>
    </w:p>
    <w:p w14:paraId="0D7FB291" w14:textId="77777777" w:rsidR="00EF3E9F" w:rsidRPr="00EF3E9F" w:rsidRDefault="00EF3E9F" w:rsidP="00987742">
      <w:pPr>
        <w:spacing w:line="480" w:lineRule="auto"/>
        <w:rPr>
          <w:rFonts w:ascii="Times New Roman" w:hAnsi="Times New Roman" w:cs="Times New Roman"/>
          <w:sz w:val="24"/>
          <w:szCs w:val="24"/>
        </w:rPr>
      </w:pPr>
      <w:bookmarkStart w:id="68" w:name="_Hlk37710280"/>
      <w:bookmarkStart w:id="69" w:name="_Hlk37700302"/>
      <w:r>
        <w:rPr>
          <w:rFonts w:ascii="Times New Roman" w:hAnsi="Times New Roman" w:cs="Times New Roman"/>
          <w:sz w:val="24"/>
          <w:szCs w:val="24"/>
        </w:rPr>
        <w:t>The spectrometer uses an infrared light</w:t>
      </w:r>
      <w:r w:rsidR="00F43FD5">
        <w:rPr>
          <w:rFonts w:ascii="Times New Roman" w:hAnsi="Times New Roman" w:cs="Times New Roman"/>
          <w:sz w:val="24"/>
          <w:szCs w:val="24"/>
        </w:rPr>
        <w:t xml:space="preserve"> source to measure the cumulative absorption.</w:t>
      </w:r>
      <w:r w:rsidR="00365C81">
        <w:rPr>
          <w:rFonts w:ascii="Times New Roman" w:hAnsi="Times New Roman" w:cs="Times New Roman"/>
          <w:sz w:val="24"/>
          <w:szCs w:val="24"/>
        </w:rPr>
        <w:t xml:space="preserve"> The generated disk containing the sample and the KBr is then exposed to different wavelength of </w:t>
      </w:r>
      <w:r w:rsidR="00365C81">
        <w:rPr>
          <w:rFonts w:ascii="Times New Roman" w:hAnsi="Times New Roman" w:cs="Times New Roman"/>
          <w:sz w:val="24"/>
          <w:szCs w:val="24"/>
        </w:rPr>
        <w:lastRenderedPageBreak/>
        <w:t>infrared light and the spectrometer measures which measures which wavelength is absorbed.</w:t>
      </w:r>
      <w:r w:rsidR="00637E72">
        <w:rPr>
          <w:rFonts w:ascii="Times New Roman" w:hAnsi="Times New Roman" w:cs="Times New Roman"/>
          <w:sz w:val="24"/>
          <w:szCs w:val="24"/>
        </w:rPr>
        <w:t xml:space="preserve"> The raw absorption data is then converted into an absorption spectrum using the mathematical process known as Fourier Transform.</w:t>
      </w:r>
      <w:r w:rsidR="00814023">
        <w:rPr>
          <w:rFonts w:ascii="Times New Roman" w:hAnsi="Times New Roman" w:cs="Times New Roman"/>
          <w:sz w:val="24"/>
          <w:szCs w:val="24"/>
        </w:rPr>
        <w:t xml:space="preserve"> The resulting spectrum is then compared to a library of spectra to find a match.</w:t>
      </w:r>
      <w:bookmarkEnd w:id="68"/>
    </w:p>
    <w:p w14:paraId="76F20A36" w14:textId="77777777" w:rsidR="00C56FC6" w:rsidRDefault="00C56FC6" w:rsidP="002528CA">
      <w:pPr>
        <w:pStyle w:val="Heading2"/>
        <w:numPr>
          <w:ilvl w:val="1"/>
          <w:numId w:val="15"/>
        </w:numPr>
      </w:pPr>
      <w:bookmarkStart w:id="70" w:name="_Toc39751606"/>
      <w:bookmarkEnd w:id="69"/>
      <w:r>
        <w:t>Laboratory Swelling Testing</w:t>
      </w:r>
      <w:bookmarkEnd w:id="70"/>
      <w:r>
        <w:t xml:space="preserve"> </w:t>
      </w:r>
    </w:p>
    <w:p w14:paraId="3E7EB9E5" w14:textId="77777777" w:rsidR="009828DB" w:rsidRDefault="00AE3B84" w:rsidP="0025438C">
      <w:pPr>
        <w:spacing w:after="120" w:line="480" w:lineRule="auto"/>
        <w:rPr>
          <w:rFonts w:ascii="Times New Roman" w:hAnsi="Times New Roman" w:cs="Times New Roman"/>
          <w:sz w:val="24"/>
          <w:szCs w:val="28"/>
          <w:lang w:val="en-GB" w:eastAsia="cs-CZ"/>
        </w:rPr>
      </w:pPr>
      <w:r w:rsidRPr="00AE3B84">
        <w:rPr>
          <w:rFonts w:ascii="Times New Roman" w:hAnsi="Times New Roman" w:cs="Times New Roman"/>
          <w:sz w:val="24"/>
          <w:szCs w:val="28"/>
          <w:lang w:val="en-GB" w:eastAsia="cs-CZ"/>
        </w:rPr>
        <w:t xml:space="preserve">Clay dominated shale formations such as TMS are composed of clays such as smectite, illite, and kaolinite that are detrimental to shale drilling when an incompatible or a more inappropriate drilling fluid system is used. The clays present swelling and hydration potential that need to be minimized during drilling operations. The swelling of clay during drilling is a major source of concern for shale drilling operators because of the potential setbacks that can be associated with it. The swelling test was carried out to investigate the impact of the inhibitive drilling fluid systems on shale swelling. The test was performed on the set of inhibitive mud systems </w:t>
      </w:r>
      <w:r w:rsidRPr="00AE3B84">
        <w:rPr>
          <w:rFonts w:ascii="Times New Roman" w:hAnsi="Times New Roman" w:cs="Times New Roman"/>
          <w:sz w:val="24"/>
          <w:szCs w:val="28"/>
          <w:lang w:val="cs-CZ" w:eastAsia="cs-CZ"/>
        </w:rPr>
        <w:t xml:space="preserve">(1 wt% KCl, 2 wt% KCl, cesium formate), conventional WBM, and freshwater, which was used as reference fluid. </w:t>
      </w:r>
      <w:r w:rsidR="00DD265B">
        <w:rPr>
          <w:rFonts w:ascii="Times New Roman" w:hAnsi="Times New Roman" w:cs="Times New Roman"/>
          <w:sz w:val="24"/>
          <w:szCs w:val="28"/>
          <w:lang w:val="cs-CZ" w:eastAsia="cs-CZ"/>
        </w:rPr>
        <w:t>Shale swelling is highly dependent on shale type, temperature, pressure, and duration of compaction</w:t>
      </w:r>
      <w:r w:rsidR="00A274DA">
        <w:rPr>
          <w:rFonts w:ascii="Times New Roman" w:hAnsi="Times New Roman" w:cs="Times New Roman"/>
          <w:sz w:val="24"/>
          <w:szCs w:val="28"/>
          <w:lang w:val="cs-CZ" w:eastAsia="cs-CZ"/>
        </w:rPr>
        <w:t>.</w:t>
      </w:r>
      <w:r w:rsidR="00DD265B">
        <w:rPr>
          <w:rFonts w:ascii="Times New Roman" w:hAnsi="Times New Roman" w:cs="Times New Roman"/>
          <w:sz w:val="24"/>
          <w:szCs w:val="28"/>
          <w:lang w:val="cs-CZ" w:eastAsia="cs-CZ"/>
        </w:rPr>
        <w:t xml:space="preserve"> </w:t>
      </w:r>
      <w:r w:rsidRPr="00AE3B84">
        <w:rPr>
          <w:rFonts w:ascii="Times New Roman" w:hAnsi="Times New Roman" w:cs="Times New Roman"/>
          <w:sz w:val="24"/>
          <w:szCs w:val="28"/>
          <w:lang w:val="cs-CZ" w:eastAsia="cs-CZ"/>
        </w:rPr>
        <w:t xml:space="preserve">Various testing procedures are avalaible for quantifying the swelling index, however, the most commonly used in the linear swell tester. This testing relies on a dynamic swell meter to simultaneously test different fluid systems for extended period of time at various temperatures up to 180 </w:t>
      </w:r>
      <w:r w:rsidRPr="00AE3B84">
        <w:rPr>
          <w:rFonts w:ascii="Times New Roman" w:hAnsi="Times New Roman" w:cs="Times New Roman"/>
          <w:sz w:val="24"/>
          <w:szCs w:val="28"/>
          <w:vertAlign w:val="superscript"/>
          <w:lang w:val="cs-CZ" w:eastAsia="cs-CZ"/>
        </w:rPr>
        <w:t>o</w:t>
      </w:r>
      <w:r w:rsidRPr="00AE3B84">
        <w:rPr>
          <w:rFonts w:ascii="Times New Roman" w:hAnsi="Times New Roman" w:cs="Times New Roman"/>
          <w:sz w:val="24"/>
          <w:szCs w:val="28"/>
          <w:lang w:val="cs-CZ" w:eastAsia="cs-CZ"/>
        </w:rPr>
        <w:t xml:space="preserve">F. In this study, a more simpler testing procedure that relies on graduated cylinder </w:t>
      </w:r>
      <w:r w:rsidR="009B2F61">
        <w:rPr>
          <w:rFonts w:ascii="Times New Roman" w:hAnsi="Times New Roman" w:cs="Times New Roman"/>
          <w:sz w:val="24"/>
          <w:szCs w:val="28"/>
          <w:lang w:val="cs-CZ" w:eastAsia="cs-CZ"/>
        </w:rPr>
        <w:t xml:space="preserve">is </w:t>
      </w:r>
      <w:r w:rsidRPr="00AE3B84">
        <w:rPr>
          <w:rFonts w:ascii="Times New Roman" w:hAnsi="Times New Roman" w:cs="Times New Roman"/>
          <w:sz w:val="24"/>
          <w:szCs w:val="28"/>
          <w:lang w:val="cs-CZ" w:eastAsia="cs-CZ"/>
        </w:rPr>
        <w:t xml:space="preserve">used due to </w:t>
      </w:r>
      <w:r w:rsidR="0031067E">
        <w:rPr>
          <w:rFonts w:ascii="Times New Roman" w:hAnsi="Times New Roman" w:cs="Times New Roman"/>
          <w:sz w:val="24"/>
          <w:szCs w:val="28"/>
          <w:lang w:val="cs-CZ" w:eastAsia="cs-CZ"/>
        </w:rPr>
        <w:t>absence</w:t>
      </w:r>
      <w:r w:rsidRPr="00AE3B84">
        <w:rPr>
          <w:rFonts w:ascii="Times New Roman" w:hAnsi="Times New Roman" w:cs="Times New Roman"/>
          <w:sz w:val="24"/>
          <w:szCs w:val="28"/>
          <w:lang w:val="cs-CZ" w:eastAsia="cs-CZ"/>
        </w:rPr>
        <w:t xml:space="preserve"> of a dynamic swell meter. </w:t>
      </w:r>
      <w:r w:rsidR="00E6336E">
        <w:rPr>
          <w:rFonts w:ascii="Times New Roman" w:hAnsi="Times New Roman" w:cs="Times New Roman"/>
          <w:sz w:val="24"/>
          <w:szCs w:val="28"/>
          <w:lang w:val="cs-CZ" w:eastAsia="cs-CZ"/>
        </w:rPr>
        <w:t xml:space="preserve">This method is based on the American Society of Testing Material (ASTM) standard section D 5890. </w:t>
      </w:r>
      <w:r w:rsidRPr="00AE3B84">
        <w:rPr>
          <w:rFonts w:ascii="Times New Roman" w:hAnsi="Times New Roman" w:cs="Times New Roman"/>
          <w:sz w:val="24"/>
          <w:szCs w:val="28"/>
          <w:lang w:val="cs-CZ" w:eastAsia="cs-CZ"/>
        </w:rPr>
        <w:t xml:space="preserve">This testing procedure is very common for testing bentonite and soil swelling. </w:t>
      </w:r>
      <w:r w:rsidR="002C6C1F">
        <w:rPr>
          <w:rFonts w:ascii="Times New Roman" w:hAnsi="Times New Roman" w:cs="Times New Roman"/>
          <w:sz w:val="24"/>
          <w:szCs w:val="28"/>
          <w:lang w:val="cs-CZ" w:eastAsia="cs-CZ"/>
        </w:rPr>
        <w:t xml:space="preserve">It is a very simple and fast testing procedure commonly used by mudloggers on the field to test for reactivity of drilled cuttings. </w:t>
      </w:r>
      <w:r w:rsidRPr="00AE3B84">
        <w:rPr>
          <w:rFonts w:ascii="Times New Roman" w:hAnsi="Times New Roman" w:cs="Times New Roman"/>
          <w:sz w:val="24"/>
          <w:szCs w:val="28"/>
          <w:lang w:val="en-GB" w:eastAsia="cs-CZ"/>
        </w:rPr>
        <w:t>To perform these tests, a 2g sample of dried and finely gr</w:t>
      </w:r>
      <w:r w:rsidR="00CE15EC">
        <w:rPr>
          <w:rFonts w:ascii="Times New Roman" w:hAnsi="Times New Roman" w:cs="Times New Roman"/>
          <w:sz w:val="24"/>
          <w:szCs w:val="28"/>
          <w:lang w:val="en-GB" w:eastAsia="cs-CZ"/>
        </w:rPr>
        <w:t>in</w:t>
      </w:r>
      <w:r w:rsidRPr="00AE3B84">
        <w:rPr>
          <w:rFonts w:ascii="Times New Roman" w:hAnsi="Times New Roman" w:cs="Times New Roman"/>
          <w:sz w:val="24"/>
          <w:szCs w:val="28"/>
          <w:lang w:val="en-GB" w:eastAsia="cs-CZ"/>
        </w:rPr>
        <w:t>d</w:t>
      </w:r>
      <w:r w:rsidR="00CE15EC">
        <w:rPr>
          <w:rFonts w:ascii="Times New Roman" w:hAnsi="Times New Roman" w:cs="Times New Roman"/>
          <w:sz w:val="24"/>
          <w:szCs w:val="28"/>
          <w:lang w:val="en-GB" w:eastAsia="cs-CZ"/>
        </w:rPr>
        <w:t>ed</w:t>
      </w:r>
      <w:r w:rsidRPr="00AE3B84">
        <w:rPr>
          <w:rFonts w:ascii="Times New Roman" w:hAnsi="Times New Roman" w:cs="Times New Roman"/>
          <w:sz w:val="24"/>
          <w:szCs w:val="28"/>
          <w:lang w:val="en-GB" w:eastAsia="cs-CZ"/>
        </w:rPr>
        <w:t xml:space="preserve"> </w:t>
      </w:r>
      <w:r w:rsidR="00CE15EC">
        <w:rPr>
          <w:rFonts w:ascii="Times New Roman" w:hAnsi="Times New Roman" w:cs="Times New Roman"/>
          <w:sz w:val="24"/>
          <w:szCs w:val="28"/>
          <w:lang w:val="en-GB" w:eastAsia="cs-CZ"/>
        </w:rPr>
        <w:t>shale sample</w:t>
      </w:r>
      <w:r w:rsidRPr="00AE3B84">
        <w:rPr>
          <w:rFonts w:ascii="Times New Roman" w:hAnsi="Times New Roman" w:cs="Times New Roman"/>
          <w:sz w:val="24"/>
          <w:szCs w:val="28"/>
          <w:lang w:val="en-GB" w:eastAsia="cs-CZ"/>
        </w:rPr>
        <w:t xml:space="preserve"> is dispersed into a 100 </w:t>
      </w:r>
      <w:r w:rsidRPr="00AE3B84">
        <w:rPr>
          <w:rFonts w:ascii="Times New Roman" w:hAnsi="Times New Roman" w:cs="Times New Roman"/>
          <w:sz w:val="24"/>
          <w:szCs w:val="28"/>
          <w:lang w:val="en-GB" w:eastAsia="cs-CZ"/>
        </w:rPr>
        <w:lastRenderedPageBreak/>
        <w:t xml:space="preserve">ml graduated cylinder in 0.1g increments. </w:t>
      </w:r>
      <w:r w:rsidR="00376587">
        <w:rPr>
          <w:rFonts w:ascii="Times New Roman" w:hAnsi="Times New Roman" w:cs="Times New Roman"/>
          <w:sz w:val="24"/>
          <w:szCs w:val="28"/>
          <w:lang w:val="en-GB" w:eastAsia="cs-CZ"/>
        </w:rPr>
        <w:t xml:space="preserve">The grinded sample </w:t>
      </w:r>
      <w:r w:rsidR="00DA5BC9">
        <w:rPr>
          <w:rFonts w:ascii="Times New Roman" w:hAnsi="Times New Roman" w:cs="Times New Roman"/>
          <w:sz w:val="24"/>
          <w:szCs w:val="28"/>
          <w:lang w:val="en-GB" w:eastAsia="cs-CZ"/>
        </w:rPr>
        <w:t xml:space="preserve">may </w:t>
      </w:r>
      <w:r w:rsidR="00376587">
        <w:rPr>
          <w:rFonts w:ascii="Times New Roman" w:hAnsi="Times New Roman" w:cs="Times New Roman"/>
          <w:sz w:val="24"/>
          <w:szCs w:val="28"/>
          <w:lang w:val="en-GB" w:eastAsia="cs-CZ"/>
        </w:rPr>
        <w:t>come from two sources: intact core sample and drilled cutting.</w:t>
      </w:r>
      <w:r w:rsidR="00F21315">
        <w:rPr>
          <w:rFonts w:ascii="Times New Roman" w:hAnsi="Times New Roman" w:cs="Times New Roman"/>
          <w:sz w:val="24"/>
          <w:szCs w:val="28"/>
          <w:lang w:val="en-GB" w:eastAsia="cs-CZ"/>
        </w:rPr>
        <w:t xml:space="preserve"> If using drilled cuttings for sample preparation, they must be clean to remove any residual mud, then dried in a 220</w:t>
      </w:r>
      <w:r w:rsidR="00F21315" w:rsidRPr="00F21315">
        <w:rPr>
          <w:rFonts w:ascii="Times New Roman" w:hAnsi="Times New Roman" w:cs="Times New Roman"/>
          <w:sz w:val="24"/>
          <w:szCs w:val="24"/>
          <w:vertAlign w:val="superscript"/>
        </w:rPr>
        <w:t xml:space="preserve"> </w:t>
      </w:r>
      <w:r w:rsidR="00F21315" w:rsidRPr="005F300F">
        <w:rPr>
          <w:rFonts w:ascii="Times New Roman" w:hAnsi="Times New Roman" w:cs="Times New Roman"/>
          <w:sz w:val="24"/>
          <w:szCs w:val="24"/>
          <w:vertAlign w:val="superscript"/>
        </w:rPr>
        <w:t>o</w:t>
      </w:r>
      <w:r w:rsidR="00F21315">
        <w:rPr>
          <w:rFonts w:ascii="Times New Roman" w:hAnsi="Times New Roman" w:cs="Times New Roman"/>
          <w:sz w:val="24"/>
          <w:szCs w:val="24"/>
        </w:rPr>
        <w:t>F</w:t>
      </w:r>
      <w:r w:rsidR="00F21315" w:rsidRPr="00AE3B84">
        <w:rPr>
          <w:rFonts w:ascii="Times New Roman" w:hAnsi="Times New Roman" w:cs="Times New Roman"/>
          <w:sz w:val="24"/>
          <w:szCs w:val="28"/>
          <w:lang w:val="en-GB" w:eastAsia="cs-CZ"/>
        </w:rPr>
        <w:t xml:space="preserve"> </w:t>
      </w:r>
      <w:r w:rsidR="00F21315">
        <w:rPr>
          <w:rFonts w:ascii="Times New Roman" w:hAnsi="Times New Roman" w:cs="Times New Roman"/>
          <w:sz w:val="24"/>
          <w:szCs w:val="28"/>
          <w:lang w:val="en-GB" w:eastAsia="cs-CZ"/>
        </w:rPr>
        <w:t>(105</w:t>
      </w:r>
      <w:r w:rsidR="00F21315" w:rsidRPr="00F21315">
        <w:rPr>
          <w:rFonts w:ascii="Times New Roman" w:hAnsi="Times New Roman" w:cs="Times New Roman"/>
          <w:sz w:val="24"/>
          <w:szCs w:val="24"/>
          <w:vertAlign w:val="superscript"/>
        </w:rPr>
        <w:t xml:space="preserve"> </w:t>
      </w:r>
      <w:r w:rsidR="00F21315" w:rsidRPr="005F300F">
        <w:rPr>
          <w:rFonts w:ascii="Times New Roman" w:hAnsi="Times New Roman" w:cs="Times New Roman"/>
          <w:sz w:val="24"/>
          <w:szCs w:val="24"/>
          <w:vertAlign w:val="superscript"/>
        </w:rPr>
        <w:t>o</w:t>
      </w:r>
      <w:r w:rsidR="00F21315">
        <w:rPr>
          <w:rFonts w:ascii="Times New Roman" w:hAnsi="Times New Roman" w:cs="Times New Roman"/>
          <w:sz w:val="24"/>
          <w:szCs w:val="24"/>
        </w:rPr>
        <w:t>C)</w:t>
      </w:r>
      <w:r w:rsidR="00F21315">
        <w:rPr>
          <w:rFonts w:ascii="Times New Roman" w:hAnsi="Times New Roman" w:cs="Times New Roman"/>
          <w:sz w:val="24"/>
          <w:szCs w:val="28"/>
          <w:lang w:val="en-GB" w:eastAsia="cs-CZ"/>
        </w:rPr>
        <w:t xml:space="preserve"> oven before the grinding process.</w:t>
      </w:r>
      <w:r w:rsidR="003F55A9">
        <w:rPr>
          <w:rFonts w:ascii="Times New Roman" w:hAnsi="Times New Roman" w:cs="Times New Roman"/>
          <w:sz w:val="24"/>
          <w:szCs w:val="28"/>
          <w:lang w:val="en-GB" w:eastAsia="cs-CZ"/>
        </w:rPr>
        <w:t xml:space="preserve"> The grinded shale samples must be able to pass through the 200-mesh sieve.</w:t>
      </w:r>
      <w:r w:rsidR="00F21315">
        <w:rPr>
          <w:rFonts w:ascii="Times New Roman" w:hAnsi="Times New Roman" w:cs="Times New Roman"/>
          <w:sz w:val="24"/>
          <w:szCs w:val="28"/>
          <w:lang w:val="en-GB" w:eastAsia="cs-CZ"/>
        </w:rPr>
        <w:t xml:space="preserve"> </w:t>
      </w:r>
      <w:r w:rsidRPr="00AE3B84">
        <w:rPr>
          <w:rFonts w:ascii="Times New Roman" w:hAnsi="Times New Roman" w:cs="Times New Roman"/>
          <w:sz w:val="24"/>
          <w:szCs w:val="28"/>
          <w:lang w:val="en-GB" w:eastAsia="cs-CZ"/>
        </w:rPr>
        <w:t xml:space="preserve">A minimum of 10 minutes must pass between additions to allow for full settlement of the clay to the bottom of the cylinder. These steps are followed until the entire 2g sample has been added to the cylinder. </w:t>
      </w:r>
      <w:r w:rsidR="00BB5533">
        <w:rPr>
          <w:rFonts w:ascii="Times New Roman" w:hAnsi="Times New Roman" w:cs="Times New Roman"/>
          <w:sz w:val="24"/>
          <w:szCs w:val="28"/>
          <w:lang w:val="en-GB" w:eastAsia="cs-CZ"/>
        </w:rPr>
        <w:t xml:space="preserve">The sample must be added slowly because rapid addition results in macrovoids, which represent presence of air and/or fluid pockets in the hydrated layers. </w:t>
      </w:r>
      <w:r w:rsidRPr="00AE3B84">
        <w:rPr>
          <w:rFonts w:ascii="Times New Roman" w:hAnsi="Times New Roman" w:cs="Times New Roman"/>
          <w:sz w:val="24"/>
          <w:szCs w:val="28"/>
          <w:lang w:val="en-GB" w:eastAsia="cs-CZ"/>
        </w:rPr>
        <w:t>The sample is then covered and protected from disturbances for a period of 16 - 24 hours, at which time the level of the settled and swollen clay is recorded to the nearest 0.</w:t>
      </w:r>
      <w:r w:rsidR="00A274DA">
        <w:rPr>
          <w:rFonts w:ascii="Times New Roman" w:hAnsi="Times New Roman" w:cs="Times New Roman"/>
          <w:sz w:val="24"/>
          <w:szCs w:val="28"/>
          <w:lang w:val="en-GB" w:eastAsia="cs-CZ"/>
        </w:rPr>
        <w:t>0</w:t>
      </w:r>
      <w:r w:rsidRPr="00AE3B84">
        <w:rPr>
          <w:rFonts w:ascii="Times New Roman" w:hAnsi="Times New Roman" w:cs="Times New Roman"/>
          <w:sz w:val="24"/>
          <w:szCs w:val="28"/>
          <w:lang w:val="en-GB" w:eastAsia="cs-CZ"/>
        </w:rPr>
        <w:t>5 ml.</w:t>
      </w:r>
      <w:r w:rsidR="00190704">
        <w:rPr>
          <w:rFonts w:ascii="Times New Roman" w:hAnsi="Times New Roman" w:cs="Times New Roman"/>
          <w:sz w:val="24"/>
          <w:szCs w:val="28"/>
          <w:lang w:val="en-GB" w:eastAsia="cs-CZ"/>
        </w:rPr>
        <w:t xml:space="preserve"> </w:t>
      </w:r>
      <w:r w:rsidR="009828DB">
        <w:rPr>
          <w:rFonts w:ascii="Times New Roman" w:hAnsi="Times New Roman" w:cs="Times New Roman"/>
          <w:sz w:val="24"/>
          <w:szCs w:val="28"/>
          <w:lang w:val="en-GB" w:eastAsia="cs-CZ"/>
        </w:rPr>
        <w:t xml:space="preserve">Despite its effectiveness and low cost, this testing procedure presents </w:t>
      </w:r>
      <w:r w:rsidR="00B959DA">
        <w:rPr>
          <w:rFonts w:ascii="Times New Roman" w:hAnsi="Times New Roman" w:cs="Times New Roman"/>
          <w:sz w:val="24"/>
          <w:szCs w:val="28"/>
          <w:lang w:val="en-GB" w:eastAsia="cs-CZ"/>
        </w:rPr>
        <w:t>some</w:t>
      </w:r>
      <w:r w:rsidR="009828DB">
        <w:rPr>
          <w:rFonts w:ascii="Times New Roman" w:hAnsi="Times New Roman" w:cs="Times New Roman"/>
          <w:sz w:val="24"/>
          <w:szCs w:val="28"/>
          <w:lang w:val="en-GB" w:eastAsia="cs-CZ"/>
        </w:rPr>
        <w:t xml:space="preserve"> limitations that include:</w:t>
      </w:r>
    </w:p>
    <w:p w14:paraId="1EAE5ED5" w14:textId="77777777" w:rsidR="009828DB" w:rsidRPr="00D505BC" w:rsidRDefault="009828DB" w:rsidP="0025438C">
      <w:pPr>
        <w:pStyle w:val="ListParagraph"/>
        <w:numPr>
          <w:ilvl w:val="0"/>
          <w:numId w:val="32"/>
        </w:numPr>
        <w:spacing w:after="120" w:line="480" w:lineRule="auto"/>
        <w:rPr>
          <w:rFonts w:ascii="Times New Roman" w:hAnsi="Times New Roman" w:cs="Times New Roman"/>
          <w:sz w:val="24"/>
          <w:szCs w:val="28"/>
          <w:lang w:val="en-GB" w:eastAsia="cs-CZ"/>
        </w:rPr>
      </w:pPr>
      <w:r>
        <w:rPr>
          <w:rFonts w:ascii="Times New Roman" w:hAnsi="Times New Roman" w:cs="Times New Roman"/>
          <w:sz w:val="24"/>
          <w:szCs w:val="28"/>
          <w:lang w:val="en-GB" w:eastAsia="cs-CZ"/>
        </w:rPr>
        <w:t xml:space="preserve">Minimizing the effect of pressure and temperature as the test is conducted at atmospheric temperature (68 </w:t>
      </w:r>
      <w:r w:rsidRPr="005F300F">
        <w:rPr>
          <w:rFonts w:ascii="Times New Roman" w:hAnsi="Times New Roman" w:cs="Times New Roman"/>
          <w:sz w:val="24"/>
          <w:szCs w:val="24"/>
          <w:vertAlign w:val="superscript"/>
        </w:rPr>
        <w:t>o</w:t>
      </w:r>
      <w:r>
        <w:rPr>
          <w:rFonts w:ascii="Times New Roman" w:hAnsi="Times New Roman" w:cs="Times New Roman"/>
          <w:sz w:val="24"/>
          <w:szCs w:val="24"/>
        </w:rPr>
        <w:t>F) and pressure (14.7 psia)</w:t>
      </w:r>
    </w:p>
    <w:p w14:paraId="2278E6A6" w14:textId="77777777" w:rsidR="00D505BC" w:rsidRPr="00036B35" w:rsidRDefault="00D505BC" w:rsidP="0025438C">
      <w:pPr>
        <w:pStyle w:val="ListParagraph"/>
        <w:numPr>
          <w:ilvl w:val="0"/>
          <w:numId w:val="32"/>
        </w:numPr>
        <w:spacing w:after="120" w:line="480" w:lineRule="auto"/>
        <w:rPr>
          <w:rFonts w:ascii="Times New Roman" w:hAnsi="Times New Roman" w:cs="Times New Roman"/>
          <w:sz w:val="24"/>
          <w:szCs w:val="28"/>
          <w:lang w:val="en-GB" w:eastAsia="cs-CZ"/>
        </w:rPr>
      </w:pPr>
      <w:r>
        <w:rPr>
          <w:rFonts w:ascii="Times New Roman" w:hAnsi="Times New Roman" w:cs="Times New Roman"/>
          <w:sz w:val="24"/>
          <w:szCs w:val="24"/>
        </w:rPr>
        <w:t xml:space="preserve">Minimum confining, which is not the case downhole as most formations are exposed to </w:t>
      </w:r>
      <w:r w:rsidR="001B5558">
        <w:rPr>
          <w:rFonts w:ascii="Times New Roman" w:hAnsi="Times New Roman" w:cs="Times New Roman"/>
          <w:sz w:val="24"/>
          <w:szCs w:val="24"/>
        </w:rPr>
        <w:t>confining pressure</w:t>
      </w:r>
    </w:p>
    <w:p w14:paraId="13353CE8" w14:textId="77777777" w:rsidR="00036B35" w:rsidRPr="009828DB" w:rsidRDefault="00036B35" w:rsidP="0025438C">
      <w:pPr>
        <w:pStyle w:val="ListParagraph"/>
        <w:numPr>
          <w:ilvl w:val="0"/>
          <w:numId w:val="32"/>
        </w:numPr>
        <w:spacing w:after="120" w:line="480" w:lineRule="auto"/>
        <w:rPr>
          <w:rFonts w:ascii="Times New Roman" w:hAnsi="Times New Roman" w:cs="Times New Roman"/>
          <w:sz w:val="24"/>
          <w:szCs w:val="28"/>
          <w:lang w:val="en-GB" w:eastAsia="cs-CZ"/>
        </w:rPr>
      </w:pPr>
      <w:r>
        <w:rPr>
          <w:rFonts w:ascii="Times New Roman" w:hAnsi="Times New Roman" w:cs="Times New Roman"/>
          <w:sz w:val="24"/>
          <w:szCs w:val="24"/>
        </w:rPr>
        <w:t>Presence of macrovoids could make reading in some case very complex</w:t>
      </w:r>
    </w:p>
    <w:p w14:paraId="7C6E5882" w14:textId="77777777" w:rsidR="00F66F23" w:rsidRDefault="00190704" w:rsidP="0025438C">
      <w:pPr>
        <w:spacing w:after="120" w:line="480" w:lineRule="auto"/>
        <w:rPr>
          <w:rFonts w:ascii="Times New Roman" w:hAnsi="Times New Roman" w:cs="Times New Roman"/>
          <w:sz w:val="24"/>
          <w:szCs w:val="28"/>
          <w:lang w:val="en-GB" w:eastAsia="cs-CZ"/>
        </w:rPr>
      </w:pPr>
      <w:r w:rsidRPr="00FC00AA">
        <w:rPr>
          <w:rFonts w:ascii="Times New Roman" w:hAnsi="Times New Roman" w:cs="Times New Roman"/>
          <w:b/>
          <w:bCs/>
          <w:sz w:val="24"/>
          <w:szCs w:val="28"/>
          <w:lang w:val="en-GB" w:eastAsia="cs-CZ"/>
        </w:rPr>
        <w:t xml:space="preserve">Figure </w:t>
      </w:r>
      <w:r w:rsidR="001A1DE5">
        <w:rPr>
          <w:rFonts w:ascii="Times New Roman" w:hAnsi="Times New Roman" w:cs="Times New Roman"/>
          <w:b/>
          <w:bCs/>
          <w:sz w:val="24"/>
          <w:szCs w:val="28"/>
          <w:lang w:val="en-GB" w:eastAsia="cs-CZ"/>
        </w:rPr>
        <w:t>16</w:t>
      </w:r>
      <w:r>
        <w:rPr>
          <w:rFonts w:ascii="Times New Roman" w:hAnsi="Times New Roman" w:cs="Times New Roman"/>
          <w:sz w:val="24"/>
          <w:szCs w:val="28"/>
          <w:lang w:val="en-GB" w:eastAsia="cs-CZ"/>
        </w:rPr>
        <w:t xml:space="preserve"> illustrates the testing procedure using a graduated cylinder</w:t>
      </w:r>
      <w:r w:rsidR="005D4A12">
        <w:rPr>
          <w:rFonts w:ascii="Times New Roman" w:hAnsi="Times New Roman" w:cs="Times New Roman"/>
          <w:sz w:val="24"/>
          <w:szCs w:val="28"/>
          <w:lang w:val="en-GB" w:eastAsia="cs-CZ"/>
        </w:rPr>
        <w:t xml:space="preserve"> with the initial stage where the initial volume is recorded and the final stage where the final volume is obtained. The swelling index is based on the change in volume between the two stages</w:t>
      </w:r>
      <w:r w:rsidR="00563E46">
        <w:rPr>
          <w:rFonts w:ascii="Times New Roman" w:hAnsi="Times New Roman" w:cs="Times New Roman"/>
          <w:sz w:val="24"/>
          <w:szCs w:val="28"/>
          <w:lang w:val="en-GB" w:eastAsia="cs-CZ"/>
        </w:rPr>
        <w:t>.</w:t>
      </w:r>
    </w:p>
    <w:p w14:paraId="30467754" w14:textId="77777777" w:rsidR="00E85194" w:rsidRDefault="0075462B" w:rsidP="00E85194">
      <w:pPr>
        <w:spacing w:after="120" w:line="276" w:lineRule="auto"/>
        <w:jc w:val="center"/>
        <w:rPr>
          <w:rFonts w:ascii="Times New Roman" w:hAnsi="Times New Roman" w:cs="Times New Roman"/>
          <w:sz w:val="24"/>
          <w:szCs w:val="28"/>
          <w:lang w:val="en-GB" w:eastAsia="cs-CZ"/>
        </w:rPr>
      </w:pPr>
      <w:r>
        <w:rPr>
          <w:noProof/>
        </w:rPr>
        <w:lastRenderedPageBreak/>
        <w:drawing>
          <wp:inline distT="0" distB="0" distL="0" distR="0" wp14:anchorId="16D82B32" wp14:editId="7DFDCC84">
            <wp:extent cx="3552825" cy="35909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52825" cy="3590925"/>
                    </a:xfrm>
                    <a:prstGeom prst="rect">
                      <a:avLst/>
                    </a:prstGeom>
                  </pic:spPr>
                </pic:pic>
              </a:graphicData>
            </a:graphic>
          </wp:inline>
        </w:drawing>
      </w:r>
    </w:p>
    <w:p w14:paraId="1A5C8DFC" w14:textId="752FEB8E" w:rsidR="00C01B79" w:rsidRDefault="001A1DE5" w:rsidP="001A1DE5">
      <w:pPr>
        <w:pStyle w:val="Caption"/>
        <w:rPr>
          <w:szCs w:val="28"/>
          <w:lang w:val="en-GB" w:eastAsia="cs-CZ"/>
        </w:rPr>
      </w:pPr>
      <w:bookmarkStart w:id="71" w:name="_Toc37087759"/>
      <w:r>
        <w:t xml:space="preserve">Figure </w:t>
      </w:r>
      <w:fldSimple w:instr=" SEQ Figure \* ARABIC ">
        <w:r w:rsidR="0092747F">
          <w:rPr>
            <w:noProof/>
          </w:rPr>
          <w:t>16</w:t>
        </w:r>
      </w:fldSimple>
      <w:r>
        <w:rPr>
          <w:b w:val="0"/>
          <w:bCs/>
          <w:szCs w:val="28"/>
          <w:lang w:val="en-GB" w:eastAsia="cs-CZ"/>
        </w:rPr>
        <w:t>-</w:t>
      </w:r>
      <w:r w:rsidR="00C01B79">
        <w:rPr>
          <w:szCs w:val="28"/>
          <w:lang w:val="en-GB" w:eastAsia="cs-CZ"/>
        </w:rPr>
        <w:t xml:space="preserve"> Illustration of swelling testing procedure using a graduated cylinder (a) initial state and (b) final state after a specified period of time</w:t>
      </w:r>
      <w:bookmarkEnd w:id="71"/>
    </w:p>
    <w:p w14:paraId="6BBFC66D" w14:textId="77777777" w:rsidR="00265F1F" w:rsidRDefault="00265F1F" w:rsidP="00265F1F">
      <w:pPr>
        <w:pStyle w:val="Heading2"/>
        <w:numPr>
          <w:ilvl w:val="1"/>
          <w:numId w:val="15"/>
        </w:numPr>
        <w:rPr>
          <w:lang w:val="en-GB" w:eastAsia="cs-CZ"/>
        </w:rPr>
      </w:pPr>
      <w:bookmarkStart w:id="72" w:name="_Toc39751607"/>
      <w:r>
        <w:rPr>
          <w:lang w:val="en-GB" w:eastAsia="cs-CZ"/>
        </w:rPr>
        <w:t>Cutting Dispersion Test</w:t>
      </w:r>
      <w:r w:rsidR="00473DDA">
        <w:rPr>
          <w:lang w:val="en-GB" w:eastAsia="cs-CZ"/>
        </w:rPr>
        <w:t>ing</w:t>
      </w:r>
      <w:bookmarkEnd w:id="72"/>
    </w:p>
    <w:p w14:paraId="372C212F" w14:textId="77777777" w:rsidR="00930725" w:rsidRPr="00930725" w:rsidRDefault="00264DCC" w:rsidP="0025438C">
      <w:pPr>
        <w:spacing w:line="480" w:lineRule="auto"/>
        <w:rPr>
          <w:rFonts w:ascii="Times New Roman" w:hAnsi="Times New Roman" w:cs="Times New Roman"/>
          <w:sz w:val="24"/>
          <w:szCs w:val="24"/>
          <w:lang w:val="en-GB" w:eastAsia="cs-CZ"/>
        </w:rPr>
      </w:pPr>
      <w:r>
        <w:rPr>
          <w:rFonts w:ascii="Times New Roman" w:hAnsi="Times New Roman" w:cs="Times New Roman"/>
          <w:sz w:val="24"/>
          <w:szCs w:val="24"/>
          <w:lang w:val="en-GB" w:eastAsia="cs-CZ"/>
        </w:rPr>
        <w:t>The cutting dispersion test is a very useful test for investigating the interaction between drilling fluid systems and different shale formations.</w:t>
      </w:r>
      <w:r w:rsidR="00875312">
        <w:rPr>
          <w:rFonts w:ascii="Times New Roman" w:hAnsi="Times New Roman" w:cs="Times New Roman"/>
          <w:sz w:val="24"/>
          <w:szCs w:val="24"/>
          <w:lang w:val="en-GB" w:eastAsia="cs-CZ"/>
        </w:rPr>
        <w:t xml:space="preserve"> </w:t>
      </w:r>
      <w:r w:rsidR="00790BA4">
        <w:rPr>
          <w:rFonts w:ascii="Times New Roman" w:hAnsi="Times New Roman" w:cs="Times New Roman"/>
          <w:sz w:val="24"/>
          <w:szCs w:val="24"/>
          <w:lang w:val="en-GB" w:eastAsia="cs-CZ"/>
        </w:rPr>
        <w:t>This test is mainly designed to investigate the effectiveness of different drilling fluid systems in maintaining the integrity of the cuttings and minimizing the interaction of fluids with shale formations during drilling or completion operations.</w:t>
      </w:r>
      <w:r w:rsidR="00A044B8">
        <w:rPr>
          <w:rFonts w:ascii="Times New Roman" w:hAnsi="Times New Roman" w:cs="Times New Roman"/>
          <w:sz w:val="24"/>
          <w:szCs w:val="24"/>
          <w:lang w:val="en-GB" w:eastAsia="cs-CZ"/>
        </w:rPr>
        <w:t xml:space="preserve"> </w:t>
      </w:r>
      <w:r w:rsidR="00E01136">
        <w:rPr>
          <w:rFonts w:ascii="Times New Roman" w:hAnsi="Times New Roman" w:cs="Times New Roman"/>
          <w:sz w:val="24"/>
          <w:szCs w:val="24"/>
          <w:lang w:val="en-GB" w:eastAsia="cs-CZ"/>
        </w:rPr>
        <w:t>Most reactive shale formations</w:t>
      </w:r>
      <w:r w:rsidR="00A044B8">
        <w:rPr>
          <w:rFonts w:ascii="Times New Roman" w:hAnsi="Times New Roman" w:cs="Times New Roman"/>
          <w:sz w:val="24"/>
          <w:szCs w:val="24"/>
          <w:lang w:val="en-GB" w:eastAsia="cs-CZ"/>
        </w:rPr>
        <w:t xml:space="preserve"> characterized by high to fairly amount of smectite and moderate content of illite are very suitable for this test.</w:t>
      </w:r>
      <w:r w:rsidR="003C3D40">
        <w:rPr>
          <w:rFonts w:ascii="Times New Roman" w:hAnsi="Times New Roman" w:cs="Times New Roman"/>
          <w:sz w:val="24"/>
          <w:szCs w:val="24"/>
          <w:lang w:val="en-GB" w:eastAsia="cs-CZ"/>
        </w:rPr>
        <w:t xml:space="preserve"> C</w:t>
      </w:r>
      <w:r w:rsidR="00E01136">
        <w:rPr>
          <w:rFonts w:ascii="Times New Roman" w:hAnsi="Times New Roman" w:cs="Times New Roman"/>
          <w:sz w:val="24"/>
          <w:szCs w:val="24"/>
          <w:lang w:val="en-GB" w:eastAsia="cs-CZ"/>
        </w:rPr>
        <w:t>uttings generated using oil-based mud (OBM) are more effective for this test than those drilled with WBM</w:t>
      </w:r>
      <w:r w:rsidR="001666BC">
        <w:rPr>
          <w:rFonts w:ascii="Times New Roman" w:hAnsi="Times New Roman" w:cs="Times New Roman"/>
          <w:sz w:val="24"/>
          <w:szCs w:val="24"/>
          <w:lang w:val="en-GB" w:eastAsia="cs-CZ"/>
        </w:rPr>
        <w:t xml:space="preserve"> as the cuttings may have already dispersed and reacted prior to the test.</w:t>
      </w:r>
      <w:r w:rsidR="00EC1425">
        <w:rPr>
          <w:rFonts w:ascii="Times New Roman" w:hAnsi="Times New Roman" w:cs="Times New Roman"/>
          <w:sz w:val="24"/>
          <w:szCs w:val="24"/>
          <w:lang w:val="en-GB" w:eastAsia="cs-CZ"/>
        </w:rPr>
        <w:t xml:space="preserve"> For this test, no cuttings were obtained from </w:t>
      </w:r>
      <w:r w:rsidR="00A71130">
        <w:rPr>
          <w:rFonts w:ascii="Times New Roman" w:hAnsi="Times New Roman" w:cs="Times New Roman"/>
          <w:sz w:val="24"/>
          <w:szCs w:val="24"/>
          <w:lang w:val="en-GB" w:eastAsia="cs-CZ"/>
        </w:rPr>
        <w:t>well A</w:t>
      </w:r>
      <w:r w:rsidR="00B73C8E">
        <w:rPr>
          <w:rFonts w:ascii="Times New Roman" w:hAnsi="Times New Roman" w:cs="Times New Roman"/>
          <w:sz w:val="24"/>
          <w:szCs w:val="24"/>
          <w:lang w:val="en-GB" w:eastAsia="cs-CZ"/>
        </w:rPr>
        <w:t>, therefore, cuttings were generated by breaking of core samples into smaller size up to 20 mesh.</w:t>
      </w:r>
      <w:r w:rsidR="00C54B3B">
        <w:rPr>
          <w:rFonts w:ascii="Times New Roman" w:hAnsi="Times New Roman" w:cs="Times New Roman"/>
          <w:sz w:val="24"/>
          <w:szCs w:val="24"/>
          <w:lang w:val="en-GB" w:eastAsia="cs-CZ"/>
        </w:rPr>
        <w:t xml:space="preserve"> The procedure involved exposing the cuttings to a drilling fluid. The mixture is then rolled </w:t>
      </w:r>
      <w:r w:rsidR="00C54B3B">
        <w:rPr>
          <w:rFonts w:ascii="Times New Roman" w:hAnsi="Times New Roman" w:cs="Times New Roman"/>
          <w:sz w:val="24"/>
          <w:szCs w:val="24"/>
          <w:lang w:val="en-GB" w:eastAsia="cs-CZ"/>
        </w:rPr>
        <w:lastRenderedPageBreak/>
        <w:t>homogenously and heated for 16 hours using a heating oven.</w:t>
      </w:r>
      <w:r w:rsidR="00CC769D">
        <w:rPr>
          <w:rFonts w:ascii="Times New Roman" w:hAnsi="Times New Roman" w:cs="Times New Roman"/>
          <w:sz w:val="24"/>
          <w:szCs w:val="24"/>
          <w:lang w:val="en-GB" w:eastAsia="cs-CZ"/>
        </w:rPr>
        <w:t xml:space="preserve"> The heating oven was used due to the lack of roller oven, which is mostly used for the test.</w:t>
      </w:r>
      <w:r w:rsidR="00A02FA8">
        <w:rPr>
          <w:rFonts w:ascii="Times New Roman" w:hAnsi="Times New Roman" w:cs="Times New Roman"/>
          <w:sz w:val="24"/>
          <w:szCs w:val="24"/>
          <w:lang w:val="en-GB" w:eastAsia="cs-CZ"/>
        </w:rPr>
        <w:t xml:space="preserve"> The cuttings are then retrieved, washed, weighted, and dried out in an overnight oven. </w:t>
      </w:r>
      <w:r w:rsidR="00CC579F">
        <w:rPr>
          <w:rFonts w:ascii="Times New Roman" w:hAnsi="Times New Roman" w:cs="Times New Roman"/>
          <w:sz w:val="24"/>
          <w:szCs w:val="24"/>
          <w:lang w:val="en-GB" w:eastAsia="cs-CZ"/>
        </w:rPr>
        <w:t>After drying the cuttings, they are then re</w:t>
      </w:r>
      <w:r w:rsidR="006C2668">
        <w:rPr>
          <w:rFonts w:ascii="Times New Roman" w:hAnsi="Times New Roman" w:cs="Times New Roman"/>
          <w:sz w:val="24"/>
          <w:szCs w:val="24"/>
          <w:lang w:val="en-GB" w:eastAsia="cs-CZ"/>
        </w:rPr>
        <w:t>-</w:t>
      </w:r>
      <w:r w:rsidR="00CC579F">
        <w:rPr>
          <w:rFonts w:ascii="Times New Roman" w:hAnsi="Times New Roman" w:cs="Times New Roman"/>
          <w:sz w:val="24"/>
          <w:szCs w:val="24"/>
          <w:lang w:val="en-GB" w:eastAsia="cs-CZ"/>
        </w:rPr>
        <w:t xml:space="preserve">weighted to determine the percent recovery. </w:t>
      </w:r>
      <w:r w:rsidR="00752A22">
        <w:rPr>
          <w:rFonts w:ascii="Times New Roman" w:hAnsi="Times New Roman" w:cs="Times New Roman"/>
          <w:sz w:val="24"/>
          <w:szCs w:val="24"/>
          <w:lang w:val="en-GB" w:eastAsia="cs-CZ"/>
        </w:rPr>
        <w:t xml:space="preserve">The effectiveness of the drilling fluid is based on the percent recovery. </w:t>
      </w:r>
      <w:r w:rsidR="00963EB2">
        <w:rPr>
          <w:rFonts w:ascii="Times New Roman" w:hAnsi="Times New Roman" w:cs="Times New Roman"/>
          <w:sz w:val="24"/>
          <w:szCs w:val="24"/>
          <w:lang w:val="en-GB" w:eastAsia="cs-CZ"/>
        </w:rPr>
        <w:t>A more compatible drilling fluid is characterized by high percent recovery of the shale cutting.</w:t>
      </w:r>
    </w:p>
    <w:p w14:paraId="3301DCF8" w14:textId="77777777" w:rsidR="003208AC" w:rsidRDefault="004B0DC2" w:rsidP="003208AC">
      <w:pPr>
        <w:pStyle w:val="Heading2"/>
        <w:numPr>
          <w:ilvl w:val="1"/>
          <w:numId w:val="15"/>
        </w:numPr>
      </w:pPr>
      <w:bookmarkStart w:id="73" w:name="_Toc39751608"/>
      <w:r>
        <w:t xml:space="preserve">Dynamic </w:t>
      </w:r>
      <w:r w:rsidR="007B7173">
        <w:t xml:space="preserve">Drilling Simulation </w:t>
      </w:r>
      <w:r w:rsidR="00473DDA">
        <w:t>Testing</w:t>
      </w:r>
      <w:bookmarkEnd w:id="73"/>
    </w:p>
    <w:p w14:paraId="6986E837" w14:textId="77777777" w:rsidR="004B0DC2" w:rsidRDefault="004B0DC2" w:rsidP="0025438C">
      <w:pPr>
        <w:spacing w:line="480" w:lineRule="auto"/>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 xml:space="preserve">An innovative </w:t>
      </w:r>
      <w:r w:rsidRPr="004B0DC2">
        <w:rPr>
          <w:rFonts w:ascii="Times New Roman" w:eastAsia="Calibri" w:hAnsi="Times New Roman" w:cs="Times New Roman"/>
          <w:sz w:val="24"/>
          <w:szCs w:val="28"/>
          <w:lang w:val="en-GB"/>
        </w:rPr>
        <w:t>high-pressure high-temperature (HPHT) drilling simulator was used to conduct the</w:t>
      </w:r>
      <w:r w:rsidRPr="004B0DC2">
        <w:rPr>
          <w:rFonts w:ascii="Times New Roman" w:eastAsia="Calibri" w:hAnsi="Times New Roman" w:cs="Times New Roman"/>
          <w:b/>
          <w:sz w:val="24"/>
          <w:szCs w:val="28"/>
        </w:rPr>
        <w:t xml:space="preserve"> </w:t>
      </w:r>
      <w:r w:rsidRPr="004B0DC2">
        <w:rPr>
          <w:rFonts w:ascii="Times New Roman" w:eastAsia="Calibri" w:hAnsi="Times New Roman" w:cs="Times New Roman"/>
          <w:sz w:val="24"/>
          <w:szCs w:val="28"/>
          <w:lang w:val="en-GB"/>
        </w:rPr>
        <w:t xml:space="preserve">required experiments to investigate the effectiveness </w:t>
      </w:r>
      <w:r>
        <w:rPr>
          <w:rFonts w:ascii="Times New Roman" w:eastAsia="Calibri" w:hAnsi="Times New Roman" w:cs="Times New Roman"/>
          <w:sz w:val="24"/>
          <w:szCs w:val="28"/>
          <w:lang w:val="en-GB"/>
        </w:rPr>
        <w:t>of the designed</w:t>
      </w:r>
      <w:r w:rsidRPr="004B0DC2">
        <w:rPr>
          <w:rFonts w:ascii="Times New Roman" w:eastAsia="Calibri" w:hAnsi="Times New Roman" w:cs="Times New Roman"/>
          <w:sz w:val="24"/>
          <w:szCs w:val="28"/>
          <w:lang w:val="en-GB"/>
        </w:rPr>
        <w:t xml:space="preserve"> drilling fluid systems </w:t>
      </w:r>
      <w:r>
        <w:rPr>
          <w:rFonts w:ascii="Times New Roman" w:eastAsia="Calibri" w:hAnsi="Times New Roman" w:cs="Times New Roman"/>
          <w:sz w:val="24"/>
          <w:szCs w:val="28"/>
          <w:lang w:val="en-GB"/>
        </w:rPr>
        <w:t xml:space="preserve">(WBM, KCl, cesium formate) </w:t>
      </w:r>
      <w:r w:rsidRPr="004B0DC2">
        <w:rPr>
          <w:rFonts w:ascii="Times New Roman" w:eastAsia="Calibri" w:hAnsi="Times New Roman" w:cs="Times New Roman"/>
          <w:sz w:val="24"/>
          <w:szCs w:val="28"/>
          <w:lang w:val="en-GB"/>
        </w:rPr>
        <w:t xml:space="preserve">in drilling </w:t>
      </w:r>
      <w:r>
        <w:rPr>
          <w:rFonts w:ascii="Times New Roman" w:eastAsia="Calibri" w:hAnsi="Times New Roman" w:cs="Times New Roman"/>
          <w:sz w:val="24"/>
          <w:szCs w:val="28"/>
          <w:lang w:val="en-GB"/>
        </w:rPr>
        <w:t>TMS formation</w:t>
      </w:r>
      <w:r w:rsidRPr="004B0DC2">
        <w:rPr>
          <w:rFonts w:ascii="Times New Roman" w:eastAsia="Calibri" w:hAnsi="Times New Roman" w:cs="Times New Roman"/>
          <w:sz w:val="24"/>
          <w:szCs w:val="28"/>
          <w:lang w:val="en-GB"/>
        </w:rPr>
        <w:t>. Th</w:t>
      </w:r>
      <w:r>
        <w:rPr>
          <w:rFonts w:ascii="Times New Roman" w:eastAsia="Calibri" w:hAnsi="Times New Roman" w:cs="Times New Roman"/>
          <w:sz w:val="24"/>
          <w:szCs w:val="28"/>
          <w:lang w:val="en-GB"/>
        </w:rPr>
        <w:t>is</w:t>
      </w:r>
      <w:r w:rsidRPr="004B0DC2">
        <w:rPr>
          <w:rFonts w:ascii="Times New Roman" w:eastAsia="Calibri" w:hAnsi="Times New Roman" w:cs="Times New Roman"/>
          <w:sz w:val="24"/>
          <w:szCs w:val="28"/>
          <w:lang w:val="en-GB"/>
        </w:rPr>
        <w:t xml:space="preserve"> innovative drilling simulator provides a great opportunity to simulate </w:t>
      </w:r>
      <w:r>
        <w:rPr>
          <w:rFonts w:ascii="Times New Roman" w:eastAsia="Calibri" w:hAnsi="Times New Roman" w:cs="Times New Roman"/>
          <w:sz w:val="24"/>
          <w:szCs w:val="28"/>
          <w:lang w:val="en-GB"/>
        </w:rPr>
        <w:t xml:space="preserve">real-time drilling operation under </w:t>
      </w:r>
      <w:r w:rsidRPr="004B0DC2">
        <w:rPr>
          <w:rFonts w:ascii="Times New Roman" w:eastAsia="Calibri" w:hAnsi="Times New Roman" w:cs="Times New Roman"/>
          <w:sz w:val="24"/>
          <w:szCs w:val="28"/>
          <w:lang w:val="en-GB"/>
        </w:rPr>
        <w:t>actual downhole drilling conditions</w:t>
      </w:r>
      <w:r>
        <w:rPr>
          <w:rFonts w:ascii="Times New Roman" w:eastAsia="Calibri" w:hAnsi="Times New Roman" w:cs="Times New Roman"/>
          <w:sz w:val="24"/>
          <w:szCs w:val="28"/>
          <w:lang w:val="en-GB"/>
        </w:rPr>
        <w:t xml:space="preserve">. </w:t>
      </w:r>
      <w:r w:rsidR="009716DD">
        <w:rPr>
          <w:rFonts w:ascii="Times New Roman" w:eastAsia="Calibri" w:hAnsi="Times New Roman" w:cs="Times New Roman"/>
          <w:sz w:val="24"/>
          <w:szCs w:val="28"/>
          <w:lang w:val="en-GB"/>
        </w:rPr>
        <w:t xml:space="preserve">The innovative HPHT simulator is a multi-purpose simulator. The equipment </w:t>
      </w:r>
      <w:r w:rsidR="00911B6F">
        <w:rPr>
          <w:rFonts w:ascii="Times New Roman" w:eastAsia="Calibri" w:hAnsi="Times New Roman" w:cs="Times New Roman"/>
          <w:sz w:val="24"/>
          <w:szCs w:val="28"/>
          <w:lang w:val="en-GB"/>
        </w:rPr>
        <w:t>allows</w:t>
      </w:r>
      <w:r w:rsidR="009716DD">
        <w:rPr>
          <w:rFonts w:ascii="Times New Roman" w:eastAsia="Calibri" w:hAnsi="Times New Roman" w:cs="Times New Roman"/>
          <w:sz w:val="24"/>
          <w:szCs w:val="28"/>
          <w:lang w:val="en-GB"/>
        </w:rPr>
        <w:t xml:space="preserve"> for testing of dynamic lubricity, filtration, and drilling</w:t>
      </w:r>
      <w:r w:rsidR="00146DB3">
        <w:rPr>
          <w:rFonts w:ascii="Times New Roman" w:eastAsia="Calibri" w:hAnsi="Times New Roman" w:cs="Times New Roman"/>
          <w:sz w:val="24"/>
          <w:szCs w:val="28"/>
          <w:lang w:val="en-GB"/>
        </w:rPr>
        <w:t>.</w:t>
      </w:r>
      <w:r w:rsidR="00911B6F">
        <w:rPr>
          <w:rFonts w:ascii="Times New Roman" w:eastAsia="Calibri" w:hAnsi="Times New Roman" w:cs="Times New Roman"/>
          <w:sz w:val="24"/>
          <w:szCs w:val="28"/>
          <w:lang w:val="en-GB"/>
        </w:rPr>
        <w:t xml:space="preserve"> The dynamic lubricity testing of this innovative equipment provides an improvement over the more traditional static tester.</w:t>
      </w:r>
      <w:r w:rsidR="009C6F64">
        <w:rPr>
          <w:rFonts w:ascii="Times New Roman" w:eastAsia="Calibri" w:hAnsi="Times New Roman" w:cs="Times New Roman"/>
          <w:sz w:val="24"/>
          <w:szCs w:val="28"/>
          <w:lang w:val="en-GB"/>
        </w:rPr>
        <w:t xml:space="preserve"> The drilling </w:t>
      </w:r>
      <w:r w:rsidR="00DF0A27">
        <w:rPr>
          <w:rFonts w:ascii="Times New Roman" w:eastAsia="Calibri" w:hAnsi="Times New Roman" w:cs="Times New Roman"/>
          <w:sz w:val="24"/>
          <w:szCs w:val="28"/>
          <w:lang w:val="en-GB"/>
        </w:rPr>
        <w:t>simulator is</w:t>
      </w:r>
      <w:r w:rsidR="009C6F64">
        <w:rPr>
          <w:rFonts w:ascii="Times New Roman" w:eastAsia="Calibri" w:hAnsi="Times New Roman" w:cs="Times New Roman"/>
          <w:sz w:val="24"/>
          <w:szCs w:val="28"/>
          <w:lang w:val="en-GB"/>
        </w:rPr>
        <w:t xml:space="preserve"> </w:t>
      </w:r>
      <w:r w:rsidR="00DF0A27">
        <w:rPr>
          <w:rFonts w:ascii="Times New Roman" w:eastAsia="Calibri" w:hAnsi="Times New Roman" w:cs="Times New Roman"/>
          <w:sz w:val="24"/>
          <w:szCs w:val="28"/>
          <w:lang w:val="en-GB"/>
        </w:rPr>
        <w:t>connected</w:t>
      </w:r>
      <w:r w:rsidR="009C6F64">
        <w:rPr>
          <w:rFonts w:ascii="Times New Roman" w:eastAsia="Calibri" w:hAnsi="Times New Roman" w:cs="Times New Roman"/>
          <w:sz w:val="24"/>
          <w:szCs w:val="28"/>
          <w:lang w:val="en-GB"/>
        </w:rPr>
        <w:t xml:space="preserve"> to a data acquisition (DAQ) system which record the real-time drilling parameters such as torque, friction factor, lubricity, and rate of penetration (ROP) for post-experiment analysis. </w:t>
      </w:r>
      <w:r w:rsidR="00DF0A27">
        <w:rPr>
          <w:rFonts w:ascii="Times New Roman" w:eastAsia="Calibri" w:hAnsi="Times New Roman" w:cs="Times New Roman"/>
          <w:sz w:val="24"/>
          <w:szCs w:val="28"/>
          <w:lang w:val="en-GB"/>
        </w:rPr>
        <w:t>The drilling operation required materials such as a drilling fluid, a vertical cylindrical core sample, and some input drilling parameter.</w:t>
      </w:r>
      <w:r w:rsidR="004F0AF4">
        <w:rPr>
          <w:rFonts w:ascii="Times New Roman" w:eastAsia="Calibri" w:hAnsi="Times New Roman" w:cs="Times New Roman"/>
          <w:sz w:val="24"/>
          <w:szCs w:val="28"/>
          <w:lang w:val="en-GB"/>
        </w:rPr>
        <w:t xml:space="preserve"> The vertical core sample used for the drilling operation in this research are prepared from core plugs obtained from the field case </w:t>
      </w:r>
      <w:r w:rsidR="007B4E4F">
        <w:rPr>
          <w:rFonts w:ascii="Times New Roman" w:eastAsia="Calibri" w:hAnsi="Times New Roman" w:cs="Times New Roman"/>
          <w:sz w:val="24"/>
          <w:szCs w:val="28"/>
          <w:lang w:val="en-GB"/>
        </w:rPr>
        <w:t xml:space="preserve">well </w:t>
      </w:r>
      <w:r w:rsidR="004F0AF4">
        <w:rPr>
          <w:rFonts w:ascii="Times New Roman" w:eastAsia="Calibri" w:hAnsi="Times New Roman" w:cs="Times New Roman"/>
          <w:sz w:val="24"/>
          <w:szCs w:val="28"/>
          <w:lang w:val="en-GB"/>
        </w:rPr>
        <w:t>located in the TMS.</w:t>
      </w:r>
      <w:r w:rsidR="00A516ED">
        <w:rPr>
          <w:rFonts w:ascii="Times New Roman" w:eastAsia="Calibri" w:hAnsi="Times New Roman" w:cs="Times New Roman"/>
          <w:sz w:val="24"/>
          <w:szCs w:val="28"/>
          <w:lang w:val="en-GB"/>
        </w:rPr>
        <w:t xml:space="preserve"> The core plugs are obtained from the most troublesome zone at depth ranging from 12181.3 ft to 12181.6 ft. The zone presents the highest risks of wellbore instability</w:t>
      </w:r>
      <w:r w:rsidR="004F0AF4">
        <w:rPr>
          <w:rFonts w:ascii="Times New Roman" w:eastAsia="Calibri" w:hAnsi="Times New Roman" w:cs="Times New Roman"/>
          <w:sz w:val="24"/>
          <w:szCs w:val="28"/>
          <w:lang w:val="en-GB"/>
        </w:rPr>
        <w:t xml:space="preserve"> </w:t>
      </w:r>
      <w:r w:rsidR="00A516ED">
        <w:rPr>
          <w:rFonts w:ascii="Times New Roman" w:eastAsia="Calibri" w:hAnsi="Times New Roman" w:cs="Times New Roman"/>
          <w:sz w:val="24"/>
          <w:szCs w:val="28"/>
          <w:lang w:val="en-GB"/>
        </w:rPr>
        <w:t>and slow drilling rates.</w:t>
      </w:r>
      <w:r w:rsidR="00E14369">
        <w:rPr>
          <w:rFonts w:ascii="Times New Roman" w:eastAsia="Calibri" w:hAnsi="Times New Roman" w:cs="Times New Roman"/>
          <w:sz w:val="24"/>
          <w:szCs w:val="28"/>
          <w:lang w:val="en-GB"/>
        </w:rPr>
        <w:t xml:space="preserve"> The vertical cylindrical (</w:t>
      </w:r>
      <w:r w:rsidR="00E14369" w:rsidRPr="00CF2AC7">
        <w:rPr>
          <w:rFonts w:ascii="Times New Roman" w:eastAsia="Calibri" w:hAnsi="Times New Roman" w:cs="Times New Roman"/>
          <w:b/>
          <w:bCs/>
          <w:sz w:val="24"/>
          <w:szCs w:val="28"/>
          <w:lang w:val="en-GB"/>
        </w:rPr>
        <w:t>Figure</w:t>
      </w:r>
      <w:r w:rsidR="00CF2AC7" w:rsidRPr="00CF2AC7">
        <w:rPr>
          <w:rFonts w:ascii="Times New Roman" w:eastAsia="Calibri" w:hAnsi="Times New Roman" w:cs="Times New Roman"/>
          <w:b/>
          <w:bCs/>
          <w:sz w:val="24"/>
          <w:szCs w:val="28"/>
          <w:lang w:val="en-GB"/>
        </w:rPr>
        <w:t xml:space="preserve"> </w:t>
      </w:r>
      <w:r w:rsidR="000E2C4D">
        <w:rPr>
          <w:rFonts w:ascii="Times New Roman" w:eastAsia="Calibri" w:hAnsi="Times New Roman" w:cs="Times New Roman"/>
          <w:b/>
          <w:bCs/>
          <w:sz w:val="24"/>
          <w:szCs w:val="28"/>
          <w:lang w:val="en-GB"/>
        </w:rPr>
        <w:t>17</w:t>
      </w:r>
      <w:r w:rsidR="00CF2AC7">
        <w:rPr>
          <w:rFonts w:ascii="Times New Roman" w:eastAsia="Calibri" w:hAnsi="Times New Roman" w:cs="Times New Roman"/>
          <w:sz w:val="24"/>
          <w:szCs w:val="28"/>
          <w:lang w:val="en-GB"/>
        </w:rPr>
        <w:t>)</w:t>
      </w:r>
      <w:r w:rsidR="00E14369">
        <w:rPr>
          <w:rFonts w:ascii="Times New Roman" w:eastAsia="Calibri" w:hAnsi="Times New Roman" w:cs="Times New Roman"/>
          <w:sz w:val="24"/>
          <w:szCs w:val="28"/>
          <w:lang w:val="en-GB"/>
        </w:rPr>
        <w:t xml:space="preserve"> core plugs prepared have required dimensions of 1.5 in diameter and 1.1 in length</w:t>
      </w:r>
      <w:r w:rsidR="00CF2AC7">
        <w:rPr>
          <w:rFonts w:ascii="Times New Roman" w:eastAsia="Calibri" w:hAnsi="Times New Roman" w:cs="Times New Roman"/>
          <w:sz w:val="24"/>
          <w:szCs w:val="28"/>
          <w:lang w:val="en-GB"/>
        </w:rPr>
        <w:t>.</w:t>
      </w:r>
    </w:p>
    <w:p w14:paraId="778762D0" w14:textId="77777777" w:rsidR="00CF2AC7" w:rsidRDefault="00CF2AC7" w:rsidP="00CF2AC7">
      <w:pPr>
        <w:jc w:val="center"/>
        <w:rPr>
          <w:rFonts w:ascii="Times New Roman" w:eastAsia="Calibri" w:hAnsi="Times New Roman" w:cs="Times New Roman"/>
          <w:sz w:val="24"/>
          <w:szCs w:val="28"/>
          <w:lang w:val="en-GB"/>
        </w:rPr>
      </w:pPr>
      <w:r w:rsidRPr="00CF2AC7">
        <w:rPr>
          <w:rFonts w:ascii="Times New Roman" w:eastAsia="Calibri" w:hAnsi="Times New Roman" w:cs="Times New Roman"/>
          <w:noProof/>
          <w:sz w:val="24"/>
          <w:szCs w:val="28"/>
        </w:rPr>
        <w:lastRenderedPageBreak/>
        <w:drawing>
          <wp:inline distT="0" distB="0" distL="0" distR="0" wp14:anchorId="0C9BDC5E" wp14:editId="5261B1BA">
            <wp:extent cx="3875061" cy="2419350"/>
            <wp:effectExtent l="19050" t="19050" r="11430" b="19050"/>
            <wp:docPr id="15" name="Picture 14" descr="A picture containing sitting, table, box, white&#10;&#10;Description automatically generated">
              <a:extLst xmlns:a="http://schemas.openxmlformats.org/drawingml/2006/main">
                <a:ext uri="{FF2B5EF4-FFF2-40B4-BE49-F238E27FC236}">
                  <a16:creationId xmlns:a16="http://schemas.microsoft.com/office/drawing/2014/main" id="{4ADAA2D6-DA9A-4E9B-AF66-7E4BAF8A76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icture containing sitting, table, box, white&#10;&#10;Description automatically generated">
                      <a:extLst>
                        <a:ext uri="{FF2B5EF4-FFF2-40B4-BE49-F238E27FC236}">
                          <a16:creationId xmlns:a16="http://schemas.microsoft.com/office/drawing/2014/main" id="{4ADAA2D6-DA9A-4E9B-AF66-7E4BAF8A766E}"/>
                        </a:ext>
                      </a:extLst>
                    </pic:cNvPr>
                    <pic:cNvPicPr>
                      <a:picLocks noChangeAspect="1"/>
                    </pic:cNvPicPr>
                  </pic:nvPicPr>
                  <pic:blipFill rotWithShape="1">
                    <a:blip r:embed="rId30"/>
                    <a:srcRect t="17119" r="2089" b="32209"/>
                    <a:stretch/>
                  </pic:blipFill>
                  <pic:spPr>
                    <a:xfrm>
                      <a:off x="0" y="0"/>
                      <a:ext cx="3876490" cy="2420242"/>
                    </a:xfrm>
                    <a:prstGeom prst="rect">
                      <a:avLst/>
                    </a:prstGeom>
                    <a:ln>
                      <a:solidFill>
                        <a:schemeClr val="tx1">
                          <a:lumMod val="95000"/>
                          <a:lumOff val="5000"/>
                        </a:schemeClr>
                      </a:solidFill>
                    </a:ln>
                  </pic:spPr>
                </pic:pic>
              </a:graphicData>
            </a:graphic>
          </wp:inline>
        </w:drawing>
      </w:r>
    </w:p>
    <w:p w14:paraId="1FE6C7CA" w14:textId="42E814F2" w:rsidR="00CF2AC7" w:rsidRDefault="000E2C4D" w:rsidP="000E2C4D">
      <w:pPr>
        <w:pStyle w:val="Caption"/>
        <w:rPr>
          <w:rFonts w:eastAsia="Calibri"/>
          <w:szCs w:val="28"/>
          <w:lang w:val="en-GB"/>
        </w:rPr>
      </w:pPr>
      <w:bookmarkStart w:id="74" w:name="_Toc37087760"/>
      <w:r>
        <w:t xml:space="preserve">Figure </w:t>
      </w:r>
      <w:fldSimple w:instr=" SEQ Figure \* ARABIC ">
        <w:r w:rsidR="0092747F">
          <w:rPr>
            <w:noProof/>
          </w:rPr>
          <w:t>17</w:t>
        </w:r>
      </w:fldSimple>
      <w:r>
        <w:rPr>
          <w:rFonts w:eastAsia="Calibri"/>
          <w:b w:val="0"/>
          <w:bCs/>
          <w:szCs w:val="28"/>
          <w:lang w:val="en-GB"/>
        </w:rPr>
        <w:t>-</w:t>
      </w:r>
      <w:r w:rsidR="00CF2AC7">
        <w:rPr>
          <w:rFonts w:eastAsia="Calibri"/>
          <w:szCs w:val="28"/>
          <w:lang w:val="en-GB"/>
        </w:rPr>
        <w:t xml:space="preserve"> Vertical cylindrical core samples prepared from </w:t>
      </w:r>
      <w:r w:rsidR="00EA14FF">
        <w:rPr>
          <w:rFonts w:eastAsia="Calibri"/>
          <w:szCs w:val="28"/>
          <w:lang w:val="en-GB"/>
        </w:rPr>
        <w:t>well A</w:t>
      </w:r>
      <w:r w:rsidR="00CF2AC7">
        <w:rPr>
          <w:rFonts w:eastAsia="Calibri"/>
          <w:szCs w:val="28"/>
          <w:lang w:val="en-GB"/>
        </w:rPr>
        <w:t xml:space="preserve"> for drilling operations</w:t>
      </w:r>
      <w:bookmarkEnd w:id="74"/>
    </w:p>
    <w:p w14:paraId="738B5E88" w14:textId="77777777" w:rsidR="00BE2559" w:rsidRDefault="00BE2559" w:rsidP="0025438C">
      <w:pPr>
        <w:spacing w:line="480" w:lineRule="auto"/>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Drilling operations are conducted for the four (4) selected drilling fluids which include WBM, 1 and 2% KCl, and cesium formate.</w:t>
      </w:r>
      <w:r w:rsidR="007038C1">
        <w:rPr>
          <w:rFonts w:ascii="Times New Roman" w:eastAsia="Calibri" w:hAnsi="Times New Roman" w:cs="Times New Roman"/>
          <w:sz w:val="24"/>
          <w:szCs w:val="28"/>
          <w:lang w:val="en-GB"/>
        </w:rPr>
        <w:t xml:space="preserve"> A volume of 350 mL of the drilling fluid is required for the drilling test.</w:t>
      </w:r>
      <w:r w:rsidR="0006290A">
        <w:rPr>
          <w:rFonts w:ascii="Times New Roman" w:eastAsia="Calibri" w:hAnsi="Times New Roman" w:cs="Times New Roman"/>
          <w:sz w:val="24"/>
          <w:szCs w:val="28"/>
          <w:lang w:val="en-GB"/>
        </w:rPr>
        <w:t xml:space="preserve"> The required volume is measured and poured into the </w:t>
      </w:r>
      <w:r w:rsidR="004C456E">
        <w:rPr>
          <w:rFonts w:ascii="Times New Roman" w:eastAsia="Calibri" w:hAnsi="Times New Roman" w:cs="Times New Roman"/>
          <w:sz w:val="24"/>
          <w:szCs w:val="28"/>
          <w:lang w:val="en-GB"/>
        </w:rPr>
        <w:t>core holder</w:t>
      </w:r>
      <w:r w:rsidR="0006290A">
        <w:rPr>
          <w:rFonts w:ascii="Times New Roman" w:eastAsia="Calibri" w:hAnsi="Times New Roman" w:cs="Times New Roman"/>
          <w:sz w:val="24"/>
          <w:szCs w:val="28"/>
          <w:lang w:val="en-GB"/>
        </w:rPr>
        <w:t xml:space="preserve"> </w:t>
      </w:r>
      <w:r w:rsidR="00741763">
        <w:rPr>
          <w:rFonts w:ascii="Times New Roman" w:eastAsia="Calibri" w:hAnsi="Times New Roman" w:cs="Times New Roman"/>
          <w:sz w:val="24"/>
          <w:szCs w:val="28"/>
          <w:lang w:val="en-GB"/>
        </w:rPr>
        <w:t>with the core.</w:t>
      </w:r>
      <w:r w:rsidR="00143AC0">
        <w:rPr>
          <w:rFonts w:ascii="Times New Roman" w:eastAsia="Calibri" w:hAnsi="Times New Roman" w:cs="Times New Roman"/>
          <w:sz w:val="24"/>
          <w:szCs w:val="28"/>
          <w:lang w:val="en-GB"/>
        </w:rPr>
        <w:t xml:space="preserve"> A 1-inch polycrystalline diamond compound (PDC) drill bit is used to fully drill to core sample.</w:t>
      </w:r>
      <w:r w:rsidR="0031207B">
        <w:rPr>
          <w:rFonts w:ascii="Times New Roman" w:eastAsia="Calibri" w:hAnsi="Times New Roman" w:cs="Times New Roman"/>
          <w:sz w:val="24"/>
          <w:szCs w:val="28"/>
          <w:lang w:val="en-GB"/>
        </w:rPr>
        <w:t xml:space="preserve"> The required input parameters for the drilling experiments in this research are mostly based on analysis of previous drilling reports in the </w:t>
      </w:r>
      <w:r w:rsidR="00C10B5D">
        <w:rPr>
          <w:rFonts w:ascii="Times New Roman" w:eastAsia="Calibri" w:hAnsi="Times New Roman" w:cs="Times New Roman"/>
          <w:sz w:val="24"/>
          <w:szCs w:val="28"/>
          <w:lang w:val="en-GB"/>
        </w:rPr>
        <w:t>well A</w:t>
      </w:r>
      <w:r w:rsidR="0031207B">
        <w:rPr>
          <w:rFonts w:ascii="Times New Roman" w:eastAsia="Calibri" w:hAnsi="Times New Roman" w:cs="Times New Roman"/>
          <w:sz w:val="24"/>
          <w:szCs w:val="28"/>
          <w:lang w:val="en-GB"/>
        </w:rPr>
        <w:t>.</w:t>
      </w:r>
      <w:r w:rsidR="0075018C">
        <w:rPr>
          <w:rFonts w:ascii="Times New Roman" w:eastAsia="Calibri" w:hAnsi="Times New Roman" w:cs="Times New Roman"/>
          <w:sz w:val="24"/>
          <w:szCs w:val="28"/>
          <w:lang w:val="en-GB"/>
        </w:rPr>
        <w:t xml:space="preserve"> </w:t>
      </w:r>
      <w:r w:rsidR="0075018C" w:rsidRPr="005A0FE4">
        <w:rPr>
          <w:rFonts w:ascii="Times New Roman" w:eastAsia="Calibri" w:hAnsi="Times New Roman" w:cs="Times New Roman"/>
          <w:b/>
          <w:bCs/>
          <w:sz w:val="24"/>
          <w:szCs w:val="28"/>
          <w:lang w:val="en-GB"/>
        </w:rPr>
        <w:t xml:space="preserve">Table </w:t>
      </w:r>
      <w:r w:rsidR="006D428E">
        <w:rPr>
          <w:rFonts w:ascii="Times New Roman" w:eastAsia="Calibri" w:hAnsi="Times New Roman" w:cs="Times New Roman"/>
          <w:b/>
          <w:bCs/>
          <w:sz w:val="24"/>
          <w:szCs w:val="28"/>
          <w:lang w:val="en-GB"/>
        </w:rPr>
        <w:t>8</w:t>
      </w:r>
      <w:r w:rsidR="0075018C">
        <w:rPr>
          <w:rFonts w:ascii="Times New Roman" w:eastAsia="Calibri" w:hAnsi="Times New Roman" w:cs="Times New Roman"/>
          <w:sz w:val="24"/>
          <w:szCs w:val="28"/>
          <w:lang w:val="en-GB"/>
        </w:rPr>
        <w:t xml:space="preserve"> shows the input drilling parameters used in this study.</w:t>
      </w:r>
    </w:p>
    <w:p w14:paraId="44B6728E" w14:textId="77777777" w:rsidR="005A0FE4" w:rsidRDefault="005A0FE4" w:rsidP="00BE2559">
      <w:pPr>
        <w:rPr>
          <w:rFonts w:ascii="Times New Roman" w:eastAsia="Calibri" w:hAnsi="Times New Roman" w:cs="Times New Roman"/>
          <w:sz w:val="24"/>
          <w:szCs w:val="28"/>
          <w:lang w:val="en-GB"/>
        </w:rPr>
      </w:pPr>
    </w:p>
    <w:p w14:paraId="265581D6" w14:textId="59A8DCE9" w:rsidR="005A0FE4" w:rsidRPr="00656DD7" w:rsidRDefault="00C724F7" w:rsidP="004F5994">
      <w:pPr>
        <w:pStyle w:val="Caption"/>
        <w:rPr>
          <w:rFonts w:eastAsia="Calibri"/>
          <w:szCs w:val="28"/>
          <w:lang w:val="en-GB"/>
        </w:rPr>
      </w:pPr>
      <w:hyperlink w:anchor="_List_of_tables" w:history="1">
        <w:bookmarkStart w:id="75" w:name="_Toc37087885"/>
        <w:r w:rsidR="004F5994">
          <w:t xml:space="preserve">Table </w:t>
        </w:r>
        <w:fldSimple w:instr=" SEQ Table \* ARABIC ">
          <w:r w:rsidR="0092747F">
            <w:rPr>
              <w:noProof/>
            </w:rPr>
            <w:t>8</w:t>
          </w:r>
        </w:fldSimple>
        <w:r w:rsidR="00EB4548" w:rsidRPr="00656DD7">
          <w:rPr>
            <w:rStyle w:val="Hyperlink"/>
            <w:rFonts w:eastAsia="Calibri"/>
            <w:color w:val="0D0D0D" w:themeColor="text1" w:themeTint="F2"/>
            <w:szCs w:val="28"/>
            <w:u w:val="none"/>
            <w:lang w:val="en-GB"/>
          </w:rPr>
          <w:t>-</w:t>
        </w:r>
        <w:r w:rsidR="00DB4C8A" w:rsidRPr="00656DD7">
          <w:rPr>
            <w:rStyle w:val="Hyperlink"/>
            <w:rFonts w:eastAsia="Calibri"/>
            <w:bCs/>
            <w:color w:val="0D0D0D" w:themeColor="text1" w:themeTint="F2"/>
            <w:szCs w:val="28"/>
            <w:u w:val="none"/>
            <w:lang w:val="en-GB"/>
          </w:rPr>
          <w:t>Required i</w:t>
        </w:r>
        <w:r w:rsidR="005A0FE4" w:rsidRPr="00656DD7">
          <w:rPr>
            <w:rStyle w:val="Hyperlink"/>
            <w:rFonts w:eastAsia="Calibri"/>
            <w:bCs/>
            <w:color w:val="0D0D0D" w:themeColor="text1" w:themeTint="F2"/>
            <w:szCs w:val="28"/>
            <w:u w:val="none"/>
            <w:lang w:val="en-GB"/>
          </w:rPr>
          <w:t>nput parameters</w:t>
        </w:r>
        <w:r w:rsidR="00DB4C8A" w:rsidRPr="00656DD7">
          <w:rPr>
            <w:rStyle w:val="Hyperlink"/>
            <w:rFonts w:eastAsia="Calibri"/>
            <w:bCs/>
            <w:color w:val="0D0D0D" w:themeColor="text1" w:themeTint="F2"/>
            <w:szCs w:val="28"/>
            <w:u w:val="none"/>
            <w:lang w:val="en-GB"/>
          </w:rPr>
          <w:t xml:space="preserve"> and their values</w:t>
        </w:r>
        <w:bookmarkEnd w:id="75"/>
      </w:hyperlink>
      <w:r w:rsidR="005A0FE4" w:rsidRPr="00656DD7">
        <w:rPr>
          <w:rFonts w:eastAsia="Calibri"/>
          <w:szCs w:val="28"/>
          <w:lang w:val="en-GB"/>
        </w:rPr>
        <w:t xml:space="preserve"> </w:t>
      </w:r>
    </w:p>
    <w:tbl>
      <w:tblPr>
        <w:tblStyle w:val="TableGrid"/>
        <w:tblW w:w="0" w:type="auto"/>
        <w:jc w:val="center"/>
        <w:tblLook w:val="04A0" w:firstRow="1" w:lastRow="0" w:firstColumn="1" w:lastColumn="0" w:noHBand="0" w:noVBand="1"/>
      </w:tblPr>
      <w:tblGrid>
        <w:gridCol w:w="3678"/>
        <w:gridCol w:w="3678"/>
      </w:tblGrid>
      <w:tr w:rsidR="00E36DCD" w14:paraId="4B7502C6" w14:textId="77777777" w:rsidTr="005A0FE4">
        <w:trPr>
          <w:trHeight w:val="423"/>
          <w:jc w:val="center"/>
        </w:trPr>
        <w:tc>
          <w:tcPr>
            <w:tcW w:w="3678" w:type="dxa"/>
          </w:tcPr>
          <w:p w14:paraId="3962B6D3" w14:textId="77777777" w:rsidR="00E36DCD" w:rsidRPr="005A0FE4" w:rsidRDefault="00E36DCD" w:rsidP="00E36DCD">
            <w:pPr>
              <w:jc w:val="center"/>
              <w:rPr>
                <w:rFonts w:ascii="Times New Roman" w:eastAsia="Calibri" w:hAnsi="Times New Roman" w:cs="Times New Roman"/>
                <w:b/>
                <w:bCs/>
                <w:sz w:val="24"/>
                <w:szCs w:val="28"/>
                <w:lang w:val="en-GB"/>
              </w:rPr>
            </w:pPr>
            <w:r w:rsidRPr="005A0FE4">
              <w:rPr>
                <w:rFonts w:ascii="Times New Roman" w:eastAsia="Calibri" w:hAnsi="Times New Roman" w:cs="Times New Roman"/>
                <w:b/>
                <w:bCs/>
                <w:sz w:val="24"/>
                <w:szCs w:val="28"/>
                <w:lang w:val="en-GB"/>
              </w:rPr>
              <w:t>Input parameters</w:t>
            </w:r>
          </w:p>
        </w:tc>
        <w:tc>
          <w:tcPr>
            <w:tcW w:w="3678" w:type="dxa"/>
          </w:tcPr>
          <w:p w14:paraId="1B0C8C74" w14:textId="77777777" w:rsidR="00E36DCD" w:rsidRPr="005A0FE4" w:rsidRDefault="00E36DCD" w:rsidP="00E36DCD">
            <w:pPr>
              <w:jc w:val="center"/>
              <w:rPr>
                <w:rFonts w:ascii="Times New Roman" w:eastAsia="Calibri" w:hAnsi="Times New Roman" w:cs="Times New Roman"/>
                <w:b/>
                <w:bCs/>
                <w:sz w:val="24"/>
                <w:szCs w:val="28"/>
                <w:lang w:val="en-GB"/>
              </w:rPr>
            </w:pPr>
            <w:r w:rsidRPr="005A0FE4">
              <w:rPr>
                <w:rFonts w:ascii="Times New Roman" w:eastAsia="Calibri" w:hAnsi="Times New Roman" w:cs="Times New Roman"/>
                <w:b/>
                <w:bCs/>
                <w:sz w:val="24"/>
                <w:szCs w:val="28"/>
                <w:lang w:val="en-GB"/>
              </w:rPr>
              <w:t>Values</w:t>
            </w:r>
          </w:p>
        </w:tc>
      </w:tr>
      <w:tr w:rsidR="00E36DCD" w14:paraId="2CB7221F" w14:textId="77777777" w:rsidTr="005A0FE4">
        <w:trPr>
          <w:trHeight w:val="423"/>
          <w:jc w:val="center"/>
        </w:trPr>
        <w:tc>
          <w:tcPr>
            <w:tcW w:w="3678" w:type="dxa"/>
          </w:tcPr>
          <w:p w14:paraId="62F84E74" w14:textId="77777777" w:rsidR="00E36DCD" w:rsidRDefault="00E36DCD" w:rsidP="00E36DCD">
            <w:pPr>
              <w:jc w:val="center"/>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Temperature (</w:t>
            </w:r>
            <w:r w:rsidRPr="00E36DCD">
              <w:rPr>
                <w:rFonts w:ascii="Times New Roman" w:eastAsia="Calibri" w:hAnsi="Times New Roman" w:cs="Times New Roman"/>
                <w:sz w:val="24"/>
                <w:szCs w:val="28"/>
                <w:vertAlign w:val="superscript"/>
                <w:lang w:val="en-GB"/>
              </w:rPr>
              <w:t>o</w:t>
            </w:r>
            <w:r>
              <w:rPr>
                <w:rFonts w:ascii="Times New Roman" w:eastAsia="Calibri" w:hAnsi="Times New Roman" w:cs="Times New Roman"/>
                <w:sz w:val="24"/>
                <w:szCs w:val="28"/>
                <w:lang w:val="en-GB"/>
              </w:rPr>
              <w:t>F)</w:t>
            </w:r>
          </w:p>
        </w:tc>
        <w:tc>
          <w:tcPr>
            <w:tcW w:w="3678" w:type="dxa"/>
          </w:tcPr>
          <w:p w14:paraId="6AE6A0E3" w14:textId="77777777" w:rsidR="00E36DCD" w:rsidRDefault="005A0FE4" w:rsidP="00E36DCD">
            <w:pPr>
              <w:jc w:val="center"/>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 xml:space="preserve">120 +/- 5 </w:t>
            </w:r>
          </w:p>
        </w:tc>
      </w:tr>
      <w:tr w:rsidR="00E36DCD" w14:paraId="057B4DF1" w14:textId="77777777" w:rsidTr="005A0FE4">
        <w:trPr>
          <w:trHeight w:val="423"/>
          <w:jc w:val="center"/>
        </w:trPr>
        <w:tc>
          <w:tcPr>
            <w:tcW w:w="3678" w:type="dxa"/>
          </w:tcPr>
          <w:p w14:paraId="08A4CA45" w14:textId="77777777" w:rsidR="00E36DCD" w:rsidRDefault="005A0FE4" w:rsidP="00E36DCD">
            <w:pPr>
              <w:jc w:val="center"/>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Rotary speed (RPM)</w:t>
            </w:r>
          </w:p>
        </w:tc>
        <w:tc>
          <w:tcPr>
            <w:tcW w:w="3678" w:type="dxa"/>
          </w:tcPr>
          <w:p w14:paraId="34F065BA" w14:textId="77777777" w:rsidR="00E36DCD" w:rsidRDefault="005A0FE4" w:rsidP="00E36DCD">
            <w:pPr>
              <w:jc w:val="center"/>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75</w:t>
            </w:r>
          </w:p>
        </w:tc>
      </w:tr>
      <w:tr w:rsidR="00E36DCD" w14:paraId="17FC4A9A" w14:textId="77777777" w:rsidTr="005A0FE4">
        <w:trPr>
          <w:trHeight w:val="423"/>
          <w:jc w:val="center"/>
        </w:trPr>
        <w:tc>
          <w:tcPr>
            <w:tcW w:w="3678" w:type="dxa"/>
          </w:tcPr>
          <w:p w14:paraId="6669C0F5" w14:textId="77777777" w:rsidR="00E36DCD" w:rsidRDefault="005A0FE4" w:rsidP="00E36DCD">
            <w:pPr>
              <w:jc w:val="center"/>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Back pressure (psi)</w:t>
            </w:r>
          </w:p>
        </w:tc>
        <w:tc>
          <w:tcPr>
            <w:tcW w:w="3678" w:type="dxa"/>
          </w:tcPr>
          <w:p w14:paraId="021C6FDE" w14:textId="77777777" w:rsidR="00E36DCD" w:rsidRDefault="005A0FE4" w:rsidP="00E36DCD">
            <w:pPr>
              <w:jc w:val="center"/>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100</w:t>
            </w:r>
          </w:p>
        </w:tc>
      </w:tr>
      <w:tr w:rsidR="00E36DCD" w14:paraId="4087FA1A" w14:textId="77777777" w:rsidTr="005A0FE4">
        <w:trPr>
          <w:trHeight w:val="423"/>
          <w:jc w:val="center"/>
        </w:trPr>
        <w:tc>
          <w:tcPr>
            <w:tcW w:w="3678" w:type="dxa"/>
          </w:tcPr>
          <w:p w14:paraId="44C6BD34" w14:textId="77777777" w:rsidR="00E36DCD" w:rsidRDefault="005A0FE4" w:rsidP="00E36DCD">
            <w:pPr>
              <w:jc w:val="center"/>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Cell pressure (psi)</w:t>
            </w:r>
          </w:p>
        </w:tc>
        <w:tc>
          <w:tcPr>
            <w:tcW w:w="3678" w:type="dxa"/>
          </w:tcPr>
          <w:p w14:paraId="17555AC5" w14:textId="77777777" w:rsidR="00E36DCD" w:rsidRDefault="005A0FE4" w:rsidP="00E36DCD">
            <w:pPr>
              <w:jc w:val="center"/>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200</w:t>
            </w:r>
          </w:p>
        </w:tc>
      </w:tr>
      <w:tr w:rsidR="00E36DCD" w14:paraId="1D716393" w14:textId="77777777" w:rsidTr="005A0FE4">
        <w:trPr>
          <w:trHeight w:val="423"/>
          <w:jc w:val="center"/>
        </w:trPr>
        <w:tc>
          <w:tcPr>
            <w:tcW w:w="3678" w:type="dxa"/>
          </w:tcPr>
          <w:p w14:paraId="3B929CAD" w14:textId="77777777" w:rsidR="00E36DCD" w:rsidRDefault="005A0FE4" w:rsidP="00E36DCD">
            <w:pPr>
              <w:jc w:val="center"/>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Drilling fluid volume (mL)</w:t>
            </w:r>
          </w:p>
        </w:tc>
        <w:tc>
          <w:tcPr>
            <w:tcW w:w="3678" w:type="dxa"/>
          </w:tcPr>
          <w:p w14:paraId="02915B8A" w14:textId="77777777" w:rsidR="00E36DCD" w:rsidRDefault="005A0FE4" w:rsidP="00E36DCD">
            <w:pPr>
              <w:jc w:val="center"/>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350</w:t>
            </w:r>
          </w:p>
        </w:tc>
      </w:tr>
    </w:tbl>
    <w:p w14:paraId="2205B8DA" w14:textId="77777777" w:rsidR="00E36DCD" w:rsidRDefault="00296FA0" w:rsidP="0025438C">
      <w:pPr>
        <w:spacing w:line="480" w:lineRule="auto"/>
        <w:rPr>
          <w:rFonts w:ascii="Times New Roman" w:eastAsia="Calibri" w:hAnsi="Times New Roman" w:cs="Times New Roman"/>
          <w:sz w:val="24"/>
          <w:szCs w:val="28"/>
          <w:lang w:val="en-GB"/>
        </w:rPr>
      </w:pPr>
      <w:r>
        <w:rPr>
          <w:rFonts w:ascii="Times New Roman" w:eastAsia="Calibri" w:hAnsi="Times New Roman" w:cs="Times New Roman"/>
          <w:sz w:val="24"/>
          <w:szCs w:val="28"/>
          <w:lang w:val="en-GB"/>
        </w:rPr>
        <w:t xml:space="preserve">The testing procedure is divided into three main stages. The initial stage consists of heating up the system to the desired temperature. During this stage the drilling depth is set to zero (0), and </w:t>
      </w:r>
      <w:r>
        <w:rPr>
          <w:rFonts w:ascii="Times New Roman" w:eastAsia="Calibri" w:hAnsi="Times New Roman" w:cs="Times New Roman"/>
          <w:sz w:val="24"/>
          <w:szCs w:val="28"/>
          <w:lang w:val="en-GB"/>
        </w:rPr>
        <w:lastRenderedPageBreak/>
        <w:t>the same cell and back pressure is applied using the regulators creating a differential pressure of zero (0). This is to prevent the drilling fluid from boiling in case its boiling temperature is reached.</w:t>
      </w:r>
      <w:r w:rsidR="00317630">
        <w:rPr>
          <w:rFonts w:ascii="Times New Roman" w:eastAsia="Calibri" w:hAnsi="Times New Roman" w:cs="Times New Roman"/>
          <w:sz w:val="24"/>
          <w:szCs w:val="28"/>
          <w:lang w:val="en-GB"/>
        </w:rPr>
        <w:t xml:space="preserve"> The second stage represent the drilling stage. In this stage, different weights on bit (WOB) are applied and cell and back pressure are set to their required values.</w:t>
      </w:r>
      <w:r w:rsidR="007C76D9">
        <w:rPr>
          <w:rFonts w:ascii="Times New Roman" w:eastAsia="Calibri" w:hAnsi="Times New Roman" w:cs="Times New Roman"/>
          <w:sz w:val="24"/>
          <w:szCs w:val="28"/>
          <w:lang w:val="en-GB"/>
        </w:rPr>
        <w:t xml:space="preserve"> In this research, the WOBs selected are 0, 50, and 100 lbs due to the limitation on the simulator.</w:t>
      </w:r>
      <w:r w:rsidR="00B44FC8">
        <w:rPr>
          <w:rFonts w:ascii="Times New Roman" w:eastAsia="Calibri" w:hAnsi="Times New Roman" w:cs="Times New Roman"/>
          <w:sz w:val="24"/>
          <w:szCs w:val="28"/>
          <w:lang w:val="en-GB"/>
        </w:rPr>
        <w:t xml:space="preserve"> </w:t>
      </w:r>
      <w:r w:rsidR="002B6E3D">
        <w:rPr>
          <w:rFonts w:ascii="Times New Roman" w:eastAsia="Calibri" w:hAnsi="Times New Roman" w:cs="Times New Roman"/>
          <w:sz w:val="24"/>
          <w:szCs w:val="28"/>
          <w:lang w:val="en-GB"/>
        </w:rPr>
        <w:t xml:space="preserve">The normal loading system is equipped with a moving piston which applied the different WOBs during the drilling operations. The final stage consists of </w:t>
      </w:r>
      <w:r w:rsidR="00D80AF0">
        <w:rPr>
          <w:rFonts w:ascii="Times New Roman" w:eastAsia="Calibri" w:hAnsi="Times New Roman" w:cs="Times New Roman"/>
          <w:sz w:val="24"/>
          <w:szCs w:val="28"/>
          <w:lang w:val="en-GB"/>
        </w:rPr>
        <w:t xml:space="preserve">stopping and </w:t>
      </w:r>
      <w:r w:rsidR="002B6E3D">
        <w:rPr>
          <w:rFonts w:ascii="Times New Roman" w:eastAsia="Calibri" w:hAnsi="Times New Roman" w:cs="Times New Roman"/>
          <w:sz w:val="24"/>
          <w:szCs w:val="28"/>
          <w:lang w:val="en-GB"/>
        </w:rPr>
        <w:t>cooling down the syst</w:t>
      </w:r>
      <w:r w:rsidR="00D80AF0">
        <w:rPr>
          <w:rFonts w:ascii="Times New Roman" w:eastAsia="Calibri" w:hAnsi="Times New Roman" w:cs="Times New Roman"/>
          <w:sz w:val="24"/>
          <w:szCs w:val="28"/>
          <w:lang w:val="en-GB"/>
        </w:rPr>
        <w:t>em to room temperature.</w:t>
      </w:r>
      <w:r w:rsidR="004D7BFE">
        <w:rPr>
          <w:rFonts w:ascii="Times New Roman" w:eastAsia="Calibri" w:hAnsi="Times New Roman" w:cs="Times New Roman"/>
          <w:sz w:val="24"/>
          <w:szCs w:val="28"/>
          <w:lang w:val="en-GB"/>
        </w:rPr>
        <w:t xml:space="preserve"> The dynamic drilling simulator has a maximum operating temperature and pressure of 500 </w:t>
      </w:r>
      <w:r w:rsidR="00CF4E08" w:rsidRPr="00CF4E08">
        <w:rPr>
          <w:rFonts w:ascii="Times New Roman" w:eastAsia="Calibri" w:hAnsi="Times New Roman" w:cs="Times New Roman"/>
          <w:sz w:val="24"/>
          <w:szCs w:val="28"/>
          <w:vertAlign w:val="superscript"/>
          <w:lang w:val="en-GB"/>
        </w:rPr>
        <w:t>o</w:t>
      </w:r>
      <w:r w:rsidR="004D7BFE">
        <w:rPr>
          <w:rFonts w:ascii="Times New Roman" w:eastAsia="Calibri" w:hAnsi="Times New Roman" w:cs="Times New Roman"/>
          <w:sz w:val="24"/>
          <w:szCs w:val="28"/>
          <w:lang w:val="en-GB"/>
        </w:rPr>
        <w:t xml:space="preserve">F and 2000 </w:t>
      </w:r>
      <w:r w:rsidR="00CF4E08">
        <w:rPr>
          <w:rFonts w:ascii="Times New Roman" w:eastAsia="Calibri" w:hAnsi="Times New Roman" w:cs="Times New Roman"/>
          <w:sz w:val="24"/>
          <w:szCs w:val="28"/>
          <w:lang w:val="en-GB"/>
        </w:rPr>
        <w:t>psi respectively</w:t>
      </w:r>
      <w:r w:rsidR="004D7BFE">
        <w:rPr>
          <w:rFonts w:ascii="Times New Roman" w:eastAsia="Calibri" w:hAnsi="Times New Roman" w:cs="Times New Roman"/>
          <w:sz w:val="24"/>
          <w:szCs w:val="28"/>
          <w:lang w:val="en-GB"/>
        </w:rPr>
        <w:t>.</w:t>
      </w:r>
      <w:r w:rsidR="00AD4800">
        <w:rPr>
          <w:rFonts w:ascii="Times New Roman" w:eastAsia="Calibri" w:hAnsi="Times New Roman" w:cs="Times New Roman"/>
          <w:sz w:val="24"/>
          <w:szCs w:val="28"/>
          <w:lang w:val="en-GB"/>
        </w:rPr>
        <w:t xml:space="preserve"> </w:t>
      </w:r>
      <w:r w:rsidR="00AD4800" w:rsidRPr="00AD4800">
        <w:rPr>
          <w:rFonts w:ascii="Times New Roman" w:eastAsia="Calibri" w:hAnsi="Times New Roman" w:cs="Times New Roman"/>
          <w:b/>
          <w:bCs/>
          <w:sz w:val="24"/>
          <w:szCs w:val="28"/>
          <w:lang w:val="en-GB"/>
        </w:rPr>
        <w:t xml:space="preserve">Figure </w:t>
      </w:r>
      <w:r w:rsidR="007B40FA">
        <w:rPr>
          <w:rFonts w:ascii="Times New Roman" w:eastAsia="Calibri" w:hAnsi="Times New Roman" w:cs="Times New Roman"/>
          <w:b/>
          <w:bCs/>
          <w:sz w:val="24"/>
          <w:szCs w:val="28"/>
          <w:lang w:val="en-GB"/>
        </w:rPr>
        <w:t>18</w:t>
      </w:r>
      <w:r w:rsidR="00AD4800">
        <w:rPr>
          <w:rFonts w:ascii="Times New Roman" w:eastAsia="Calibri" w:hAnsi="Times New Roman" w:cs="Times New Roman"/>
          <w:sz w:val="24"/>
          <w:szCs w:val="28"/>
          <w:lang w:val="en-GB"/>
        </w:rPr>
        <w:t xml:space="preserve"> shows a schematic of the drilling simulation setup and </w:t>
      </w:r>
      <w:r w:rsidR="00AD4800" w:rsidRPr="00AD4800">
        <w:rPr>
          <w:rFonts w:ascii="Times New Roman" w:eastAsia="Calibri" w:hAnsi="Times New Roman" w:cs="Times New Roman"/>
          <w:b/>
          <w:bCs/>
          <w:sz w:val="24"/>
          <w:szCs w:val="28"/>
          <w:lang w:val="en-GB"/>
        </w:rPr>
        <w:t xml:space="preserve">Figure </w:t>
      </w:r>
      <w:r w:rsidR="007B40FA">
        <w:rPr>
          <w:rFonts w:ascii="Times New Roman" w:eastAsia="Calibri" w:hAnsi="Times New Roman" w:cs="Times New Roman"/>
          <w:b/>
          <w:bCs/>
          <w:sz w:val="24"/>
          <w:szCs w:val="28"/>
          <w:lang w:val="en-GB"/>
        </w:rPr>
        <w:t>19</w:t>
      </w:r>
      <w:r w:rsidR="00AD4800">
        <w:rPr>
          <w:rFonts w:ascii="Times New Roman" w:eastAsia="Calibri" w:hAnsi="Times New Roman" w:cs="Times New Roman"/>
          <w:sz w:val="24"/>
          <w:szCs w:val="28"/>
          <w:lang w:val="en-GB"/>
        </w:rPr>
        <w:t xml:space="preserve"> shows the workflow of the drilling simulation setup.</w:t>
      </w:r>
    </w:p>
    <w:p w14:paraId="50914163" w14:textId="77777777" w:rsidR="009716DD" w:rsidRDefault="009716DD" w:rsidP="009716DD">
      <w:pPr>
        <w:jc w:val="center"/>
        <w:rPr>
          <w:rFonts w:ascii="Times New Roman" w:eastAsia="Calibri" w:hAnsi="Times New Roman" w:cs="Times New Roman"/>
          <w:sz w:val="24"/>
          <w:szCs w:val="28"/>
          <w:lang w:val="en-GB"/>
        </w:rPr>
      </w:pPr>
      <w:r w:rsidRPr="0019454B">
        <w:rPr>
          <w:rFonts w:ascii="Calibri" w:eastAsia="Calibri" w:hAnsi="Calibri"/>
          <w:noProof/>
        </w:rPr>
        <w:drawing>
          <wp:inline distT="0" distB="0" distL="0" distR="0" wp14:anchorId="08EC1387" wp14:editId="63B5C52F">
            <wp:extent cx="4686300" cy="3086100"/>
            <wp:effectExtent l="19050" t="19050" r="19050"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86300" cy="3086100"/>
                    </a:xfrm>
                    <a:prstGeom prst="rect">
                      <a:avLst/>
                    </a:prstGeom>
                    <a:ln>
                      <a:solidFill>
                        <a:sysClr val="windowText" lastClr="000000"/>
                      </a:solidFill>
                    </a:ln>
                  </pic:spPr>
                </pic:pic>
              </a:graphicData>
            </a:graphic>
          </wp:inline>
        </w:drawing>
      </w:r>
    </w:p>
    <w:p w14:paraId="6F8643A9" w14:textId="4BD638FD" w:rsidR="004A7383" w:rsidRDefault="00455B4B" w:rsidP="00455B4B">
      <w:pPr>
        <w:pStyle w:val="Caption"/>
        <w:rPr>
          <w:rFonts w:eastAsia="Calibri"/>
          <w:szCs w:val="28"/>
          <w:lang w:val="en-GB"/>
        </w:rPr>
      </w:pPr>
      <w:bookmarkStart w:id="76" w:name="_Toc37087761"/>
      <w:r>
        <w:t xml:space="preserve">Figure </w:t>
      </w:r>
      <w:fldSimple w:instr=" SEQ Figure \* ARABIC ">
        <w:r w:rsidR="0092747F">
          <w:rPr>
            <w:noProof/>
          </w:rPr>
          <w:t>18</w:t>
        </w:r>
      </w:fldSimple>
      <w:r>
        <w:rPr>
          <w:rFonts w:eastAsia="Calibri"/>
          <w:b w:val="0"/>
          <w:bCs/>
          <w:szCs w:val="28"/>
          <w:lang w:val="en-GB"/>
        </w:rPr>
        <w:t>-</w:t>
      </w:r>
      <w:r w:rsidR="004A7383">
        <w:rPr>
          <w:rFonts w:eastAsia="Calibri"/>
          <w:szCs w:val="28"/>
          <w:lang w:val="en-GB"/>
        </w:rPr>
        <w:t xml:space="preserve"> Schematic of the dynamic drilling simulation setup</w:t>
      </w:r>
      <w:bookmarkEnd w:id="76"/>
    </w:p>
    <w:p w14:paraId="0CDE9C4A" w14:textId="77777777" w:rsidR="00DB178D" w:rsidRDefault="009716DD" w:rsidP="00DB178D">
      <w:pPr>
        <w:jc w:val="center"/>
      </w:pPr>
      <w:r>
        <w:rPr>
          <w:noProof/>
        </w:rPr>
        <w:lastRenderedPageBreak/>
        <w:drawing>
          <wp:inline distT="0" distB="0" distL="0" distR="0" wp14:anchorId="4F5A7D2E" wp14:editId="5D813722">
            <wp:extent cx="5629275" cy="338137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629275" cy="3381375"/>
                    </a:xfrm>
                    <a:prstGeom prst="rect">
                      <a:avLst/>
                    </a:prstGeom>
                  </pic:spPr>
                </pic:pic>
              </a:graphicData>
            </a:graphic>
          </wp:inline>
        </w:drawing>
      </w:r>
    </w:p>
    <w:p w14:paraId="531E79F4" w14:textId="46C70D5D" w:rsidR="003208AC" w:rsidRDefault="00455B4B" w:rsidP="00455B4B">
      <w:pPr>
        <w:pStyle w:val="Caption"/>
        <w:rPr>
          <w:szCs w:val="24"/>
        </w:rPr>
      </w:pPr>
      <w:bookmarkStart w:id="77" w:name="_Toc37087762"/>
      <w:r>
        <w:t xml:space="preserve">Figure </w:t>
      </w:r>
      <w:fldSimple w:instr=" SEQ Figure \* ARABIC ">
        <w:r w:rsidR="0092747F">
          <w:rPr>
            <w:noProof/>
          </w:rPr>
          <w:t>19</w:t>
        </w:r>
      </w:fldSimple>
      <w:r>
        <w:rPr>
          <w:b w:val="0"/>
          <w:bCs/>
          <w:szCs w:val="24"/>
        </w:rPr>
        <w:t>-</w:t>
      </w:r>
      <w:r w:rsidR="00DB178D">
        <w:rPr>
          <w:szCs w:val="24"/>
        </w:rPr>
        <w:t xml:space="preserve"> Workflow of the dynamic drilling simulation setup</w:t>
      </w:r>
      <w:bookmarkEnd w:id="77"/>
    </w:p>
    <w:p w14:paraId="533972E3" w14:textId="77777777" w:rsidR="00751E8B" w:rsidRDefault="00751E8B" w:rsidP="0025438C">
      <w:pPr>
        <w:spacing w:line="480" w:lineRule="auto"/>
        <w:rPr>
          <w:rFonts w:ascii="Times New Roman" w:hAnsi="Times New Roman" w:cs="Times New Roman"/>
          <w:sz w:val="24"/>
          <w:szCs w:val="24"/>
        </w:rPr>
      </w:pPr>
      <w:r>
        <w:rPr>
          <w:rFonts w:ascii="Times New Roman" w:hAnsi="Times New Roman" w:cs="Times New Roman"/>
          <w:sz w:val="24"/>
          <w:szCs w:val="24"/>
        </w:rPr>
        <w:t>The output drilling parameters are recorded using the DAQ system. The parameters include torque, friction factor, drilling rate, lubricity coefficient, drilling depth, fluid loss</w:t>
      </w:r>
    </w:p>
    <w:p w14:paraId="5DF941DC" w14:textId="77777777" w:rsidR="00081D17" w:rsidRDefault="00081D17" w:rsidP="0025438C">
      <w:pPr>
        <w:pStyle w:val="Heading2"/>
        <w:numPr>
          <w:ilvl w:val="1"/>
          <w:numId w:val="15"/>
        </w:numPr>
      </w:pPr>
      <w:bookmarkStart w:id="78" w:name="_Toc39751609"/>
      <w:r>
        <w:t>Dynamic Fracture Sealing Testing</w:t>
      </w:r>
      <w:bookmarkEnd w:id="78"/>
    </w:p>
    <w:p w14:paraId="3E607521" w14:textId="77777777" w:rsidR="00751E8B" w:rsidRDefault="003B0A51" w:rsidP="0025438C">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major wellbore stability issue in </w:t>
      </w:r>
      <w:r w:rsidR="00834012">
        <w:rPr>
          <w:rFonts w:ascii="Times New Roman" w:hAnsi="Times New Roman" w:cs="Times New Roman"/>
          <w:sz w:val="24"/>
          <w:szCs w:val="24"/>
        </w:rPr>
        <w:t>well A</w:t>
      </w:r>
      <w:r>
        <w:rPr>
          <w:rFonts w:ascii="Times New Roman" w:hAnsi="Times New Roman" w:cs="Times New Roman"/>
          <w:sz w:val="24"/>
          <w:szCs w:val="24"/>
        </w:rPr>
        <w:t xml:space="preserve"> is the excessive losses encountered in different sections.</w:t>
      </w:r>
      <w:r w:rsidR="00906652">
        <w:rPr>
          <w:rFonts w:ascii="Times New Roman" w:hAnsi="Times New Roman" w:cs="Times New Roman"/>
          <w:sz w:val="24"/>
          <w:szCs w:val="24"/>
        </w:rPr>
        <w:t xml:space="preserve"> This section focuses on the testing procedure for evaluating the effectiveness of some designed lost circulation materials (LCMs) in minimizing losses during drilling.</w:t>
      </w:r>
      <w:r w:rsidR="00D8179D">
        <w:rPr>
          <w:rFonts w:ascii="Times New Roman" w:hAnsi="Times New Roman" w:cs="Times New Roman"/>
          <w:sz w:val="24"/>
          <w:szCs w:val="24"/>
        </w:rPr>
        <w:t xml:space="preserve"> Three set of LCMs are designed using cedar fiber.</w:t>
      </w:r>
      <w:r w:rsidR="00607E44">
        <w:rPr>
          <w:rFonts w:ascii="Times New Roman" w:hAnsi="Times New Roman" w:cs="Times New Roman"/>
          <w:sz w:val="24"/>
          <w:szCs w:val="24"/>
        </w:rPr>
        <w:t xml:space="preserve"> Cedar fiber is used as LCMs for</w:t>
      </w:r>
      <w:r w:rsidR="001E2412">
        <w:rPr>
          <w:rFonts w:ascii="Times New Roman" w:hAnsi="Times New Roman" w:cs="Times New Roman"/>
          <w:sz w:val="24"/>
          <w:szCs w:val="24"/>
        </w:rPr>
        <w:t xml:space="preserve"> the formation</w:t>
      </w:r>
      <w:r w:rsidR="00607E44">
        <w:rPr>
          <w:rFonts w:ascii="Times New Roman" w:hAnsi="Times New Roman" w:cs="Times New Roman"/>
          <w:sz w:val="24"/>
          <w:szCs w:val="24"/>
        </w:rPr>
        <w:t xml:space="preserve"> because its previous success in the </w:t>
      </w:r>
      <w:r w:rsidR="001E2412">
        <w:rPr>
          <w:rFonts w:ascii="Times New Roman" w:hAnsi="Times New Roman" w:cs="Times New Roman"/>
          <w:sz w:val="24"/>
          <w:szCs w:val="24"/>
        </w:rPr>
        <w:t xml:space="preserve">neighborhood </w:t>
      </w:r>
      <w:r w:rsidR="00607E44">
        <w:rPr>
          <w:rFonts w:ascii="Times New Roman" w:hAnsi="Times New Roman" w:cs="Times New Roman"/>
          <w:sz w:val="24"/>
          <w:szCs w:val="24"/>
        </w:rPr>
        <w:t>formation.</w:t>
      </w:r>
      <w:r w:rsidR="0013465E">
        <w:rPr>
          <w:rFonts w:ascii="Times New Roman" w:hAnsi="Times New Roman" w:cs="Times New Roman"/>
          <w:sz w:val="24"/>
          <w:szCs w:val="24"/>
        </w:rPr>
        <w:t xml:space="preserve"> The concentrations include 5 lb/</w:t>
      </w:r>
      <w:r w:rsidR="00981280">
        <w:rPr>
          <w:rFonts w:ascii="Times New Roman" w:hAnsi="Times New Roman" w:cs="Times New Roman"/>
          <w:sz w:val="24"/>
          <w:szCs w:val="24"/>
        </w:rPr>
        <w:t>bbl</w:t>
      </w:r>
      <w:r w:rsidR="0013465E">
        <w:rPr>
          <w:rFonts w:ascii="Times New Roman" w:hAnsi="Times New Roman" w:cs="Times New Roman"/>
          <w:sz w:val="24"/>
          <w:szCs w:val="24"/>
        </w:rPr>
        <w:t>, 10 lb/</w:t>
      </w:r>
      <w:r w:rsidR="00981280">
        <w:rPr>
          <w:rFonts w:ascii="Times New Roman" w:hAnsi="Times New Roman" w:cs="Times New Roman"/>
          <w:sz w:val="24"/>
          <w:szCs w:val="24"/>
        </w:rPr>
        <w:t>bbl</w:t>
      </w:r>
      <w:r w:rsidR="0013465E">
        <w:rPr>
          <w:rFonts w:ascii="Times New Roman" w:hAnsi="Times New Roman" w:cs="Times New Roman"/>
          <w:sz w:val="24"/>
          <w:szCs w:val="24"/>
        </w:rPr>
        <w:t xml:space="preserve">, and </w:t>
      </w:r>
      <w:r w:rsidR="00981280">
        <w:rPr>
          <w:rFonts w:ascii="Times New Roman" w:hAnsi="Times New Roman" w:cs="Times New Roman"/>
          <w:sz w:val="24"/>
          <w:szCs w:val="24"/>
        </w:rPr>
        <w:t>20</w:t>
      </w:r>
      <w:r w:rsidR="0013465E">
        <w:rPr>
          <w:rFonts w:ascii="Times New Roman" w:hAnsi="Times New Roman" w:cs="Times New Roman"/>
          <w:sz w:val="24"/>
          <w:szCs w:val="24"/>
        </w:rPr>
        <w:t xml:space="preserve"> lb/</w:t>
      </w:r>
      <w:r w:rsidR="00981280">
        <w:rPr>
          <w:rFonts w:ascii="Times New Roman" w:hAnsi="Times New Roman" w:cs="Times New Roman"/>
          <w:sz w:val="24"/>
          <w:szCs w:val="24"/>
        </w:rPr>
        <w:t>bbl</w:t>
      </w:r>
      <w:r w:rsidR="0013465E">
        <w:rPr>
          <w:rFonts w:ascii="Times New Roman" w:hAnsi="Times New Roman" w:cs="Times New Roman"/>
          <w:sz w:val="24"/>
          <w:szCs w:val="24"/>
        </w:rPr>
        <w:t>.</w:t>
      </w:r>
      <w:r w:rsidR="005730EB">
        <w:rPr>
          <w:rFonts w:ascii="Times New Roman" w:hAnsi="Times New Roman" w:cs="Times New Roman"/>
          <w:sz w:val="24"/>
          <w:szCs w:val="24"/>
        </w:rPr>
        <w:t xml:space="preserve"> Three set of fracture slots </w:t>
      </w:r>
      <w:r w:rsidR="00FE4B05">
        <w:rPr>
          <w:rFonts w:ascii="Times New Roman" w:hAnsi="Times New Roman" w:cs="Times New Roman"/>
          <w:sz w:val="24"/>
          <w:szCs w:val="24"/>
        </w:rPr>
        <w:t xml:space="preserve">of vertical </w:t>
      </w:r>
      <w:r w:rsidR="005730EB">
        <w:rPr>
          <w:rFonts w:ascii="Times New Roman" w:hAnsi="Times New Roman" w:cs="Times New Roman"/>
          <w:sz w:val="24"/>
          <w:szCs w:val="24"/>
        </w:rPr>
        <w:t>openings</w:t>
      </w:r>
      <w:r w:rsidR="00FE4B05">
        <w:rPr>
          <w:rFonts w:ascii="Times New Roman" w:hAnsi="Times New Roman" w:cs="Times New Roman"/>
          <w:sz w:val="24"/>
          <w:szCs w:val="24"/>
        </w:rPr>
        <w:t xml:space="preserve"> are used in this study. The openings include 1000 µm, 2000 µm, and two 500 µm </w:t>
      </w:r>
      <w:r w:rsidR="00981280">
        <w:rPr>
          <w:rFonts w:ascii="Times New Roman" w:hAnsi="Times New Roman" w:cs="Times New Roman"/>
          <w:sz w:val="24"/>
          <w:szCs w:val="24"/>
        </w:rPr>
        <w:t xml:space="preserve">vertical fracture </w:t>
      </w:r>
      <w:r w:rsidR="00FE4B05">
        <w:rPr>
          <w:rFonts w:ascii="Times New Roman" w:hAnsi="Times New Roman" w:cs="Times New Roman"/>
          <w:sz w:val="24"/>
          <w:szCs w:val="24"/>
        </w:rPr>
        <w:t>openings</w:t>
      </w:r>
      <w:r w:rsidR="00981280">
        <w:rPr>
          <w:rFonts w:ascii="Times New Roman" w:hAnsi="Times New Roman" w:cs="Times New Roman"/>
          <w:sz w:val="24"/>
          <w:szCs w:val="24"/>
        </w:rPr>
        <w:t xml:space="preserve"> and a 1000 µm horizontal fracture opening</w:t>
      </w:r>
      <w:r w:rsidR="00FE4B05">
        <w:rPr>
          <w:rFonts w:ascii="Times New Roman" w:hAnsi="Times New Roman" w:cs="Times New Roman"/>
          <w:sz w:val="24"/>
          <w:szCs w:val="24"/>
        </w:rPr>
        <w:t>.</w:t>
      </w:r>
      <w:r w:rsidR="008B365B">
        <w:rPr>
          <w:rFonts w:ascii="Times New Roman" w:hAnsi="Times New Roman" w:cs="Times New Roman"/>
          <w:sz w:val="24"/>
          <w:szCs w:val="24"/>
        </w:rPr>
        <w:t xml:space="preserve"> The fracture slots used in this study are custom-made from stainless steel in two parts. The primary top part has no opening</w:t>
      </w:r>
      <w:r w:rsidR="00B65E8E">
        <w:rPr>
          <w:rFonts w:ascii="Times New Roman" w:hAnsi="Times New Roman" w:cs="Times New Roman"/>
          <w:sz w:val="24"/>
          <w:szCs w:val="24"/>
        </w:rPr>
        <w:t xml:space="preserve"> while the bottom part has a fracture opening of </w:t>
      </w:r>
      <w:r w:rsidR="00B65E8E">
        <w:rPr>
          <w:rFonts w:ascii="Times New Roman" w:hAnsi="Times New Roman" w:cs="Times New Roman"/>
          <w:sz w:val="24"/>
          <w:szCs w:val="24"/>
        </w:rPr>
        <w:lastRenderedPageBreak/>
        <w:t>with outer diameter of 1.5 inches, inner diameter of 1.0 inch, and a height of 1.1 inches</w:t>
      </w:r>
      <w:r w:rsidR="00492EC4">
        <w:rPr>
          <w:rFonts w:ascii="Times New Roman" w:hAnsi="Times New Roman" w:cs="Times New Roman"/>
          <w:sz w:val="24"/>
          <w:szCs w:val="24"/>
        </w:rPr>
        <w:t xml:space="preserve"> as reported by Ezeakacha et al. </w:t>
      </w:r>
      <w:r w:rsidR="00165094">
        <w:rPr>
          <w:rFonts w:ascii="Times New Roman" w:hAnsi="Times New Roman" w:cs="Times New Roman"/>
          <w:sz w:val="24"/>
          <w:szCs w:val="24"/>
        </w:rPr>
        <w:t>(</w:t>
      </w:r>
      <w:r w:rsidR="00492EC4">
        <w:rPr>
          <w:rFonts w:ascii="Times New Roman" w:hAnsi="Times New Roman" w:cs="Times New Roman"/>
          <w:sz w:val="24"/>
          <w:szCs w:val="24"/>
        </w:rPr>
        <w:t>2019</w:t>
      </w:r>
      <w:r w:rsidR="00165094">
        <w:rPr>
          <w:rFonts w:ascii="Times New Roman" w:hAnsi="Times New Roman" w:cs="Times New Roman"/>
          <w:sz w:val="24"/>
          <w:szCs w:val="24"/>
        </w:rPr>
        <w:t>)</w:t>
      </w:r>
      <w:r w:rsidR="00492EC4">
        <w:rPr>
          <w:rFonts w:ascii="Times New Roman" w:hAnsi="Times New Roman" w:cs="Times New Roman"/>
          <w:sz w:val="24"/>
          <w:szCs w:val="24"/>
        </w:rPr>
        <w:t>.</w:t>
      </w:r>
      <w:r w:rsidR="00B96275">
        <w:rPr>
          <w:rFonts w:ascii="Times New Roman" w:hAnsi="Times New Roman" w:cs="Times New Roman"/>
          <w:sz w:val="24"/>
          <w:szCs w:val="24"/>
        </w:rPr>
        <w:t xml:space="preserve"> The fracture sealing tests are conducted using the HPHT drilling simulator.</w:t>
      </w:r>
      <w:r w:rsidR="007C1BDF">
        <w:rPr>
          <w:rFonts w:ascii="Times New Roman" w:hAnsi="Times New Roman" w:cs="Times New Roman"/>
          <w:sz w:val="24"/>
          <w:szCs w:val="24"/>
        </w:rPr>
        <w:t xml:space="preserve"> The tests are all conducted at temperature of 120 </w:t>
      </w:r>
      <w:r w:rsidR="007C1BDF" w:rsidRPr="007C1BDF">
        <w:rPr>
          <w:rFonts w:ascii="Times New Roman" w:hAnsi="Times New Roman" w:cs="Times New Roman"/>
          <w:sz w:val="24"/>
          <w:szCs w:val="24"/>
          <w:vertAlign w:val="superscript"/>
        </w:rPr>
        <w:t>o</w:t>
      </w:r>
      <w:r w:rsidR="007C1BDF">
        <w:rPr>
          <w:rFonts w:ascii="Times New Roman" w:hAnsi="Times New Roman" w:cs="Times New Roman"/>
          <w:sz w:val="24"/>
          <w:szCs w:val="24"/>
        </w:rPr>
        <w:t>F.</w:t>
      </w:r>
      <w:r w:rsidR="00246154">
        <w:rPr>
          <w:rFonts w:ascii="Times New Roman" w:hAnsi="Times New Roman" w:cs="Times New Roman"/>
          <w:sz w:val="24"/>
          <w:szCs w:val="24"/>
        </w:rPr>
        <w:t xml:space="preserve"> </w:t>
      </w:r>
      <w:r w:rsidR="008A65D8" w:rsidRPr="005F59F8">
        <w:rPr>
          <w:rFonts w:ascii="Times New Roman" w:hAnsi="Times New Roman" w:cs="Times New Roman"/>
          <w:b/>
          <w:bCs/>
          <w:sz w:val="24"/>
          <w:szCs w:val="24"/>
        </w:rPr>
        <w:t>Figure 20</w:t>
      </w:r>
      <w:r w:rsidR="008A65D8">
        <w:rPr>
          <w:rFonts w:ascii="Times New Roman" w:hAnsi="Times New Roman" w:cs="Times New Roman"/>
          <w:sz w:val="24"/>
          <w:szCs w:val="24"/>
        </w:rPr>
        <w:t xml:space="preserve"> shows the </w:t>
      </w:r>
      <w:r w:rsidR="005F59F8">
        <w:rPr>
          <w:rFonts w:ascii="Times New Roman" w:hAnsi="Times New Roman" w:cs="Times New Roman"/>
          <w:sz w:val="24"/>
          <w:szCs w:val="24"/>
        </w:rPr>
        <w:t>steel-based</w:t>
      </w:r>
      <w:r w:rsidR="008A65D8">
        <w:rPr>
          <w:rFonts w:ascii="Times New Roman" w:hAnsi="Times New Roman" w:cs="Times New Roman"/>
          <w:sz w:val="24"/>
          <w:szCs w:val="24"/>
        </w:rPr>
        <w:t xml:space="preserve"> fracture slot used for the fracture sealing test.</w:t>
      </w:r>
    </w:p>
    <w:p w14:paraId="157A5586" w14:textId="77777777" w:rsidR="005F59F8" w:rsidRDefault="005F59F8" w:rsidP="005F59F8">
      <w:pPr>
        <w:spacing w:line="480" w:lineRule="auto"/>
        <w:jc w:val="center"/>
        <w:rPr>
          <w:rFonts w:ascii="Times New Roman" w:hAnsi="Times New Roman" w:cs="Times New Roman"/>
          <w:sz w:val="24"/>
          <w:szCs w:val="24"/>
        </w:rPr>
      </w:pPr>
      <w:r>
        <w:rPr>
          <w:noProof/>
        </w:rPr>
        <w:drawing>
          <wp:inline distT="0" distB="0" distL="0" distR="0" wp14:anchorId="412D02FF" wp14:editId="76D8BCD6">
            <wp:extent cx="3838575" cy="1327639"/>
            <wp:effectExtent l="0" t="0" r="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90221" cy="1345502"/>
                    </a:xfrm>
                    <a:prstGeom prst="rect">
                      <a:avLst/>
                    </a:prstGeom>
                    <a:noFill/>
                  </pic:spPr>
                </pic:pic>
              </a:graphicData>
            </a:graphic>
          </wp:inline>
        </w:drawing>
      </w:r>
    </w:p>
    <w:p w14:paraId="294DA9C1" w14:textId="2BDE88FD" w:rsidR="00791241" w:rsidRPr="00261E56" w:rsidRDefault="005F59F8" w:rsidP="00261E56">
      <w:pPr>
        <w:pStyle w:val="Caption"/>
        <w:rPr>
          <w:szCs w:val="24"/>
        </w:rPr>
      </w:pPr>
      <w:bookmarkStart w:id="79" w:name="_Toc37087763"/>
      <w:r>
        <w:t xml:space="preserve">Figure </w:t>
      </w:r>
      <w:fldSimple w:instr=" SEQ Figure \* ARABIC ">
        <w:r w:rsidR="0092747F">
          <w:rPr>
            <w:noProof/>
          </w:rPr>
          <w:t>20</w:t>
        </w:r>
      </w:fldSimple>
      <w:r>
        <w:rPr>
          <w:szCs w:val="24"/>
        </w:rPr>
        <w:t xml:space="preserve">- </w:t>
      </w:r>
      <w:r w:rsidRPr="005F59F8">
        <w:rPr>
          <w:rFonts w:eastAsia="DengXian" w:cs="Arial"/>
          <w:lang w:eastAsia="zh-CN"/>
        </w:rPr>
        <w:t xml:space="preserve">Fracture samples: from left to right is 1x1000 </w:t>
      </w:r>
      <w:r w:rsidRPr="005F59F8">
        <w:rPr>
          <w:rFonts w:ascii="Symbol" w:eastAsia="DengXian" w:hAnsi="Symbol" w:cs="Arial"/>
          <w:lang w:eastAsia="zh-CN"/>
        </w:rPr>
        <w:t></w:t>
      </w:r>
      <w:r w:rsidRPr="005F59F8">
        <w:rPr>
          <w:rFonts w:eastAsia="DengXian"/>
          <w:lang w:eastAsia="zh-CN"/>
        </w:rPr>
        <w:t xml:space="preserve">m </w:t>
      </w:r>
      <w:r w:rsidRPr="005F59F8">
        <w:rPr>
          <w:rFonts w:eastAsia="DengXian" w:cs="Arial"/>
          <w:lang w:eastAsia="zh-CN"/>
        </w:rPr>
        <w:t>vertical</w:t>
      </w:r>
      <w:r w:rsidRPr="005F59F8">
        <w:rPr>
          <w:rFonts w:eastAsia="DengXian"/>
          <w:lang w:eastAsia="zh-CN"/>
        </w:rPr>
        <w:t xml:space="preserve">, 1x horizontal 1000 </w:t>
      </w:r>
      <w:r w:rsidRPr="005F59F8">
        <w:rPr>
          <w:rFonts w:ascii="Symbol" w:eastAsia="DengXian" w:hAnsi="Symbol" w:cs="Arial"/>
          <w:lang w:eastAsia="zh-CN"/>
        </w:rPr>
        <w:t></w:t>
      </w:r>
      <w:r w:rsidRPr="005F59F8">
        <w:rPr>
          <w:rFonts w:eastAsia="DengXian"/>
          <w:lang w:eastAsia="zh-CN"/>
        </w:rPr>
        <w:t xml:space="preserve">m, and 2x500 </w:t>
      </w:r>
      <w:r w:rsidRPr="005F59F8">
        <w:rPr>
          <w:rFonts w:ascii="Symbol" w:eastAsia="DengXian" w:hAnsi="Symbol" w:cs="Arial"/>
          <w:lang w:eastAsia="zh-CN"/>
        </w:rPr>
        <w:t></w:t>
      </w:r>
      <w:r w:rsidRPr="005F59F8">
        <w:rPr>
          <w:rFonts w:eastAsia="DengXian"/>
          <w:lang w:eastAsia="zh-CN"/>
        </w:rPr>
        <w:t>m vertical fracture samples.</w:t>
      </w:r>
      <w:bookmarkEnd w:id="79"/>
    </w:p>
    <w:p w14:paraId="5D3DDE0D" w14:textId="5B1DD239" w:rsidR="00791241" w:rsidRDefault="00791241" w:rsidP="003208AC"/>
    <w:p w14:paraId="4876E43A" w14:textId="7FB5D8EB" w:rsidR="00791241" w:rsidRDefault="00791241" w:rsidP="003208AC"/>
    <w:p w14:paraId="7E4FA814" w14:textId="50EFF915" w:rsidR="003276DE" w:rsidRDefault="003276DE" w:rsidP="003208AC"/>
    <w:p w14:paraId="2133712C" w14:textId="4D8976F5" w:rsidR="003276DE" w:rsidRDefault="003276DE" w:rsidP="003208AC"/>
    <w:p w14:paraId="2DA563E8" w14:textId="3CF67906" w:rsidR="003276DE" w:rsidRDefault="003276DE" w:rsidP="003208AC"/>
    <w:p w14:paraId="568DA86E" w14:textId="13836838" w:rsidR="003276DE" w:rsidRDefault="003276DE" w:rsidP="003208AC"/>
    <w:p w14:paraId="3341E12B" w14:textId="01680AA3" w:rsidR="003276DE" w:rsidRDefault="003276DE" w:rsidP="003208AC"/>
    <w:p w14:paraId="0F6CC4CB" w14:textId="5AC64E5A" w:rsidR="003276DE" w:rsidRDefault="003276DE" w:rsidP="003208AC"/>
    <w:p w14:paraId="04B8B74A" w14:textId="3D5C52EC" w:rsidR="003276DE" w:rsidRDefault="003276DE" w:rsidP="003208AC"/>
    <w:p w14:paraId="19E5F4B0" w14:textId="77777777" w:rsidR="003276DE" w:rsidRDefault="003276DE" w:rsidP="003208AC"/>
    <w:p w14:paraId="71567B7A" w14:textId="77777777" w:rsidR="00791241" w:rsidRPr="003208AC" w:rsidRDefault="00791241" w:rsidP="003208AC"/>
    <w:p w14:paraId="4377EA94" w14:textId="77777777" w:rsidR="008F7061" w:rsidRDefault="0088016E" w:rsidP="0088016E">
      <w:pPr>
        <w:pStyle w:val="Heading1"/>
        <w:numPr>
          <w:ilvl w:val="0"/>
          <w:numId w:val="15"/>
        </w:numPr>
      </w:pPr>
      <w:bookmarkStart w:id="80" w:name="_Toc39751610"/>
      <w:r>
        <w:lastRenderedPageBreak/>
        <w:t>Experimental Results and Discussions</w:t>
      </w:r>
      <w:bookmarkEnd w:id="80"/>
      <w:r>
        <w:t xml:space="preserve"> </w:t>
      </w:r>
    </w:p>
    <w:p w14:paraId="6A6F166A" w14:textId="77777777" w:rsidR="0088016E" w:rsidRDefault="00616D91" w:rsidP="00616D91">
      <w:pPr>
        <w:pStyle w:val="Heading2"/>
        <w:numPr>
          <w:ilvl w:val="1"/>
          <w:numId w:val="15"/>
        </w:numPr>
      </w:pPr>
      <w:bookmarkStart w:id="81" w:name="_Toc39751611"/>
      <w:r>
        <w:t>Overview</w:t>
      </w:r>
      <w:bookmarkEnd w:id="81"/>
      <w:r>
        <w:t xml:space="preserve"> </w:t>
      </w:r>
    </w:p>
    <w:p w14:paraId="42BBDADE" w14:textId="77777777" w:rsidR="00350700" w:rsidRPr="000214C2" w:rsidRDefault="00350700" w:rsidP="0025438C">
      <w:pPr>
        <w:spacing w:line="480" w:lineRule="auto"/>
        <w:rPr>
          <w:rFonts w:ascii="Times New Roman" w:hAnsi="Times New Roman" w:cs="Times New Roman"/>
          <w:sz w:val="24"/>
          <w:szCs w:val="24"/>
        </w:rPr>
      </w:pPr>
      <w:r w:rsidRPr="000214C2">
        <w:rPr>
          <w:rFonts w:ascii="Times New Roman" w:hAnsi="Times New Roman" w:cs="Times New Roman"/>
          <w:sz w:val="24"/>
          <w:szCs w:val="24"/>
        </w:rPr>
        <w:t>This section discusses the important findings of this research</w:t>
      </w:r>
      <w:r w:rsidR="000214C2">
        <w:rPr>
          <w:rFonts w:ascii="Times New Roman" w:hAnsi="Times New Roman" w:cs="Times New Roman"/>
          <w:sz w:val="24"/>
          <w:szCs w:val="24"/>
        </w:rPr>
        <w:t>. The section provides an insight into the mineralogy of well</w:t>
      </w:r>
      <w:r w:rsidR="003B67B3">
        <w:rPr>
          <w:rFonts w:ascii="Times New Roman" w:hAnsi="Times New Roman" w:cs="Times New Roman"/>
          <w:sz w:val="24"/>
          <w:szCs w:val="24"/>
        </w:rPr>
        <w:t xml:space="preserve"> A</w:t>
      </w:r>
      <w:r w:rsidR="000214C2">
        <w:rPr>
          <w:rFonts w:ascii="Times New Roman" w:hAnsi="Times New Roman" w:cs="Times New Roman"/>
          <w:sz w:val="24"/>
          <w:szCs w:val="24"/>
        </w:rPr>
        <w:t>, the rheological characterization of the designed drilling fluids.</w:t>
      </w:r>
      <w:r w:rsidR="00B34A2B">
        <w:rPr>
          <w:rFonts w:ascii="Times New Roman" w:hAnsi="Times New Roman" w:cs="Times New Roman"/>
          <w:sz w:val="24"/>
          <w:szCs w:val="24"/>
        </w:rPr>
        <w:t xml:space="preserve"> The compatibility between drilling fluid and formation is evaluated in term of swelling and cutting recovery rate. The effect of some designed drilling fluids on drilling performance in the formation is also evaluated.</w:t>
      </w:r>
      <w:r w:rsidR="00C37A76">
        <w:rPr>
          <w:rFonts w:ascii="Times New Roman" w:hAnsi="Times New Roman" w:cs="Times New Roman"/>
          <w:sz w:val="24"/>
          <w:szCs w:val="24"/>
        </w:rPr>
        <w:t xml:space="preserve"> The outcomes from this section provide an insight into the shale formation-drilling fluid interaction. </w:t>
      </w:r>
    </w:p>
    <w:p w14:paraId="3BC841E1" w14:textId="77777777" w:rsidR="00DA537E" w:rsidRDefault="00DA537E" w:rsidP="00026037">
      <w:pPr>
        <w:pStyle w:val="Heading2"/>
        <w:numPr>
          <w:ilvl w:val="1"/>
          <w:numId w:val="15"/>
        </w:numPr>
      </w:pPr>
      <w:bookmarkStart w:id="82" w:name="_Toc39751612"/>
      <w:r>
        <w:t>Mineralogy Characterization</w:t>
      </w:r>
      <w:bookmarkEnd w:id="82"/>
    </w:p>
    <w:p w14:paraId="0C94164E" w14:textId="77777777" w:rsidR="00026037" w:rsidRPr="00026037" w:rsidRDefault="00026037" w:rsidP="0025438C">
      <w:pPr>
        <w:spacing w:line="480" w:lineRule="auto"/>
        <w:rPr>
          <w:rFonts w:ascii="Times New Roman" w:hAnsi="Times New Roman" w:cs="Times New Roman"/>
          <w:sz w:val="24"/>
          <w:szCs w:val="24"/>
        </w:rPr>
      </w:pPr>
      <w:r w:rsidRPr="00026037">
        <w:rPr>
          <w:rFonts w:ascii="Times New Roman" w:hAnsi="Times New Roman" w:cs="Times New Roman"/>
          <w:sz w:val="24"/>
          <w:szCs w:val="24"/>
        </w:rPr>
        <w:t>The mineralogy in the Tuscaloosa Marine Shale (TMS) is highly dominated by clay, phyllosilicate mineral, quartz, and calcite. The formation is reported to be highly heterogeneous in term of mineralogy as function of depth. Mineralogy plays a major role in shale drilling fluid design and selection.  Clay is one the most important mineral to consider when designing and selecting the appropriate drilling fluid systems for shale operation.</w:t>
      </w:r>
    </w:p>
    <w:p w14:paraId="28285F57" w14:textId="77777777" w:rsidR="00026037" w:rsidRPr="00026037" w:rsidRDefault="00026037" w:rsidP="0025438C">
      <w:pPr>
        <w:spacing w:line="480" w:lineRule="auto"/>
        <w:rPr>
          <w:rFonts w:ascii="Times New Roman" w:hAnsi="Times New Roman" w:cs="Times New Roman"/>
          <w:sz w:val="24"/>
          <w:szCs w:val="24"/>
        </w:rPr>
      </w:pPr>
      <w:r w:rsidRPr="00026037">
        <w:rPr>
          <w:rFonts w:ascii="Times New Roman" w:hAnsi="Times New Roman" w:cs="Times New Roman"/>
          <w:sz w:val="24"/>
          <w:szCs w:val="24"/>
        </w:rPr>
        <w:t xml:space="preserve">The Tuscaloosa Marine Shale (TMS) is characterized by its high concentration in clays. The </w:t>
      </w:r>
      <w:r w:rsidR="008B365B">
        <w:rPr>
          <w:rFonts w:ascii="Times New Roman" w:hAnsi="Times New Roman" w:cs="Times New Roman"/>
          <w:sz w:val="24"/>
          <w:szCs w:val="24"/>
        </w:rPr>
        <w:t>FITR</w:t>
      </w:r>
      <w:r w:rsidRPr="00026037">
        <w:rPr>
          <w:rFonts w:ascii="Times New Roman" w:hAnsi="Times New Roman" w:cs="Times New Roman"/>
          <w:sz w:val="24"/>
          <w:szCs w:val="24"/>
        </w:rPr>
        <w:t xml:space="preserve"> analysis revealed a clay content as high as 51 % in </w:t>
      </w:r>
      <w:r w:rsidR="00D11010">
        <w:rPr>
          <w:rFonts w:ascii="Times New Roman" w:hAnsi="Times New Roman" w:cs="Times New Roman"/>
          <w:sz w:val="24"/>
          <w:szCs w:val="24"/>
        </w:rPr>
        <w:t>well A</w:t>
      </w:r>
      <w:r w:rsidRPr="00026037">
        <w:rPr>
          <w:rFonts w:ascii="Times New Roman" w:hAnsi="Times New Roman" w:cs="Times New Roman"/>
          <w:sz w:val="24"/>
          <w:szCs w:val="24"/>
        </w:rPr>
        <w:t xml:space="preserve">. The most common clays type include kaolinite, illite, and chlorite. These clays are highly detrimental to drilling due to their sensitivity to water. TMS formation is highly heterogeneous, which is reflected by the variation in mineralogy across the formation and at different depth. Borrok et al. (2019) in their study of mineralogy heterogeneity in Tuscaloosa Marine Shale, reported that concentration of most mineral tends to variate from the base TMS to higher elevation. Their study revealed that the transition from the lower Tuscaloosa to the TMS is defined by a decrease in quartz content, an </w:t>
      </w:r>
      <w:r w:rsidRPr="00026037">
        <w:rPr>
          <w:rFonts w:ascii="Times New Roman" w:hAnsi="Times New Roman" w:cs="Times New Roman"/>
          <w:sz w:val="24"/>
          <w:szCs w:val="24"/>
        </w:rPr>
        <w:lastRenderedPageBreak/>
        <w:t>increase in calcite, and finally a slight increase in total clay content. This trend was also experienced with the wells analyzed as quartz, calcite, and total clay content show both decreasing and increasing concentration as elevation increases. Their study showed an average clay content of more than 40 w</w:t>
      </w:r>
      <w:r w:rsidR="00BA0ABE">
        <w:rPr>
          <w:rFonts w:ascii="Times New Roman" w:hAnsi="Times New Roman" w:cs="Times New Roman"/>
          <w:sz w:val="24"/>
          <w:szCs w:val="24"/>
        </w:rPr>
        <w:t>t</w:t>
      </w:r>
      <w:r w:rsidRPr="00026037">
        <w:rPr>
          <w:rFonts w:ascii="Times New Roman" w:hAnsi="Times New Roman" w:cs="Times New Roman"/>
          <w:sz w:val="24"/>
          <w:szCs w:val="24"/>
        </w:rPr>
        <w:t xml:space="preserve">% from all the wells analyzed and the most dominant clays consisted of illite, kaolinite, chlorite, and smectite. These different concentrations were confirmed by the </w:t>
      </w:r>
      <w:r w:rsidR="00044572">
        <w:rPr>
          <w:rFonts w:ascii="Times New Roman" w:hAnsi="Times New Roman" w:cs="Times New Roman"/>
          <w:sz w:val="24"/>
          <w:szCs w:val="24"/>
        </w:rPr>
        <w:t>FTIR</w:t>
      </w:r>
      <w:r w:rsidRPr="00026037">
        <w:rPr>
          <w:rFonts w:ascii="Times New Roman" w:hAnsi="Times New Roman" w:cs="Times New Roman"/>
          <w:sz w:val="24"/>
          <w:szCs w:val="24"/>
        </w:rPr>
        <w:t xml:space="preserve"> analysis in this study. </w:t>
      </w:r>
      <w:r w:rsidRPr="008B365B">
        <w:rPr>
          <w:rFonts w:ascii="Times New Roman" w:hAnsi="Times New Roman" w:cs="Times New Roman"/>
          <w:b/>
          <w:bCs/>
          <w:sz w:val="24"/>
          <w:szCs w:val="24"/>
        </w:rPr>
        <w:t xml:space="preserve">Figure </w:t>
      </w:r>
      <w:r w:rsidR="009F44F4">
        <w:rPr>
          <w:rFonts w:ascii="Times New Roman" w:hAnsi="Times New Roman" w:cs="Times New Roman"/>
          <w:b/>
          <w:bCs/>
          <w:sz w:val="24"/>
          <w:szCs w:val="24"/>
        </w:rPr>
        <w:t>2</w:t>
      </w:r>
      <w:r w:rsidR="005F59F8">
        <w:rPr>
          <w:rFonts w:ascii="Times New Roman" w:hAnsi="Times New Roman" w:cs="Times New Roman"/>
          <w:b/>
          <w:bCs/>
          <w:sz w:val="24"/>
          <w:szCs w:val="24"/>
        </w:rPr>
        <w:t>1</w:t>
      </w:r>
      <w:r w:rsidRPr="00026037">
        <w:rPr>
          <w:rFonts w:ascii="Times New Roman" w:hAnsi="Times New Roman" w:cs="Times New Roman"/>
          <w:sz w:val="24"/>
          <w:szCs w:val="24"/>
        </w:rPr>
        <w:t xml:space="preserve"> shows the </w:t>
      </w:r>
      <w:r w:rsidR="008B365B">
        <w:rPr>
          <w:rFonts w:ascii="Times New Roman" w:hAnsi="Times New Roman" w:cs="Times New Roman"/>
          <w:sz w:val="24"/>
          <w:szCs w:val="24"/>
        </w:rPr>
        <w:t>FTIR</w:t>
      </w:r>
      <w:r w:rsidRPr="00026037">
        <w:rPr>
          <w:rFonts w:ascii="Times New Roman" w:hAnsi="Times New Roman" w:cs="Times New Roman"/>
          <w:sz w:val="24"/>
          <w:szCs w:val="24"/>
        </w:rPr>
        <w:t xml:space="preserve"> analysis of a </w:t>
      </w:r>
      <w:r w:rsidR="00BA0ABE" w:rsidRPr="00026037">
        <w:rPr>
          <w:rFonts w:ascii="Times New Roman" w:hAnsi="Times New Roman" w:cs="Times New Roman"/>
          <w:sz w:val="24"/>
          <w:szCs w:val="24"/>
        </w:rPr>
        <w:t xml:space="preserve">core </w:t>
      </w:r>
      <w:r w:rsidR="00E0128D" w:rsidRPr="00026037">
        <w:rPr>
          <w:rFonts w:ascii="Times New Roman" w:hAnsi="Times New Roman" w:cs="Times New Roman"/>
          <w:sz w:val="24"/>
          <w:szCs w:val="24"/>
        </w:rPr>
        <w:t>sample</w:t>
      </w:r>
      <w:r w:rsidR="006D61DF">
        <w:rPr>
          <w:rFonts w:ascii="Times New Roman" w:hAnsi="Times New Roman" w:cs="Times New Roman"/>
          <w:sz w:val="24"/>
          <w:szCs w:val="24"/>
        </w:rPr>
        <w:t>s</w:t>
      </w:r>
      <w:r w:rsidR="00E0128D">
        <w:rPr>
          <w:rFonts w:ascii="Times New Roman" w:hAnsi="Times New Roman" w:cs="Times New Roman"/>
          <w:sz w:val="24"/>
          <w:szCs w:val="24"/>
        </w:rPr>
        <w:t xml:space="preserve"> obtained</w:t>
      </w:r>
      <w:r w:rsidR="00BA0ABE">
        <w:rPr>
          <w:rFonts w:ascii="Times New Roman" w:hAnsi="Times New Roman" w:cs="Times New Roman"/>
          <w:sz w:val="24"/>
          <w:szCs w:val="24"/>
        </w:rPr>
        <w:t xml:space="preserve"> from </w:t>
      </w:r>
      <w:r w:rsidR="00CB65B9">
        <w:rPr>
          <w:rFonts w:ascii="Times New Roman" w:hAnsi="Times New Roman" w:cs="Times New Roman"/>
          <w:sz w:val="24"/>
          <w:szCs w:val="24"/>
        </w:rPr>
        <w:t>Well A</w:t>
      </w:r>
      <w:r w:rsidRPr="00026037">
        <w:rPr>
          <w:rFonts w:ascii="Times New Roman" w:hAnsi="Times New Roman" w:cs="Times New Roman"/>
          <w:sz w:val="24"/>
          <w:szCs w:val="24"/>
        </w:rPr>
        <w:t xml:space="preserve">. </w:t>
      </w:r>
    </w:p>
    <w:p w14:paraId="2FDE5E81" w14:textId="77777777" w:rsidR="00CB6CD2" w:rsidRDefault="00026037" w:rsidP="007A6D1E">
      <w:pPr>
        <w:pStyle w:val="Caption"/>
        <w:jc w:val="left"/>
        <w:rPr>
          <w:noProof/>
          <w:szCs w:val="24"/>
        </w:rPr>
      </w:pPr>
      <w:r w:rsidRPr="00026037">
        <w:rPr>
          <w:noProof/>
          <w:szCs w:val="24"/>
        </w:rPr>
        <mc:AlternateContent>
          <mc:Choice Requires="wps">
            <w:drawing>
              <wp:anchor distT="0" distB="0" distL="114300" distR="114300" simplePos="0" relativeHeight="251718656" behindDoc="0" locked="0" layoutInCell="1" allowOverlap="1" wp14:anchorId="73D15387" wp14:editId="407E5090">
                <wp:simplePos x="0" y="0"/>
                <wp:positionH relativeFrom="column">
                  <wp:posOffset>2219325</wp:posOffset>
                </wp:positionH>
                <wp:positionV relativeFrom="paragraph">
                  <wp:posOffset>1943099</wp:posOffset>
                </wp:positionV>
                <wp:extent cx="1400175" cy="504825"/>
                <wp:effectExtent l="0" t="19050" r="28575" b="28575"/>
                <wp:wrapNone/>
                <wp:docPr id="202" name="Arrow: Curved Up 202"/>
                <wp:cNvGraphicFramePr/>
                <a:graphic xmlns:a="http://schemas.openxmlformats.org/drawingml/2006/main">
                  <a:graphicData uri="http://schemas.microsoft.com/office/word/2010/wordprocessingShape">
                    <wps:wsp>
                      <wps:cNvSpPr/>
                      <wps:spPr>
                        <a:xfrm>
                          <a:off x="0" y="0"/>
                          <a:ext cx="1400175" cy="504825"/>
                        </a:xfrm>
                        <a:prstGeom prst="curved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8688AB"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rrow: Curved Up 202" o:spid="_x0000_s1026" type="#_x0000_t104" style="position:absolute;margin-left:174.75pt;margin-top:153pt;width:110.25pt;height:39.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" adj="17706,20626,5400" fillcolor="#4472c4 [3204]" strokecolor="#1f3763 [1604]" strokeweight="1pt"/>
            </w:pict>
          </mc:Fallback>
        </mc:AlternateContent>
      </w:r>
      <w:r w:rsidRPr="00026037">
        <w:rPr>
          <w:noProof/>
          <w:szCs w:val="24"/>
        </w:rPr>
        <w:t xml:space="preserve"> </w:t>
      </w:r>
      <w:r w:rsidR="00CB6CD2">
        <w:rPr>
          <w:noProof/>
        </w:rPr>
        <w:drawing>
          <wp:inline distT="0" distB="0" distL="0" distR="0" wp14:anchorId="48E57B27" wp14:editId="26B27504">
            <wp:extent cx="5943600" cy="3157855"/>
            <wp:effectExtent l="0" t="0" r="0" b="444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3157855"/>
                    </a:xfrm>
                    <a:prstGeom prst="rect">
                      <a:avLst/>
                    </a:prstGeom>
                  </pic:spPr>
                </pic:pic>
              </a:graphicData>
            </a:graphic>
          </wp:inline>
        </w:drawing>
      </w:r>
      <w:r w:rsidRPr="00026037">
        <w:rPr>
          <w:noProof/>
          <w:szCs w:val="24"/>
        </w:rPr>
        <w:t xml:space="preserve"> </w:t>
      </w:r>
    </w:p>
    <w:p w14:paraId="00DC42CC" w14:textId="5BC439DA" w:rsidR="00026037" w:rsidRPr="00026037" w:rsidRDefault="00EB4B86" w:rsidP="00EB4B86">
      <w:pPr>
        <w:pStyle w:val="Caption"/>
        <w:rPr>
          <w:b w:val="0"/>
          <w:szCs w:val="24"/>
        </w:rPr>
      </w:pPr>
      <w:bookmarkStart w:id="83" w:name="_Toc37087764"/>
      <w:r>
        <w:t xml:space="preserve">Figure </w:t>
      </w:r>
      <w:fldSimple w:instr=" SEQ Figure \* ARABIC ">
        <w:r w:rsidR="0092747F">
          <w:rPr>
            <w:noProof/>
          </w:rPr>
          <w:t>21</w:t>
        </w:r>
      </w:fldSimple>
      <w:r>
        <w:t>-</w:t>
      </w:r>
      <w:r w:rsidR="00026037" w:rsidRPr="00026037">
        <w:rPr>
          <w:szCs w:val="24"/>
        </w:rPr>
        <w:t xml:space="preserve">Mineralogy composition of the TMS obtained using </w:t>
      </w:r>
      <w:r w:rsidR="00026037">
        <w:rPr>
          <w:szCs w:val="24"/>
        </w:rPr>
        <w:t>FTIR</w:t>
      </w:r>
      <w:r w:rsidR="00026037" w:rsidRPr="00026037">
        <w:rPr>
          <w:szCs w:val="24"/>
        </w:rPr>
        <w:t xml:space="preserve"> analysis.</w:t>
      </w:r>
      <w:bookmarkEnd w:id="83"/>
    </w:p>
    <w:p w14:paraId="1CFB4DF9" w14:textId="77777777" w:rsidR="00026037" w:rsidRPr="0025438C" w:rsidRDefault="00026037" w:rsidP="0025438C">
      <w:pPr>
        <w:spacing w:line="480" w:lineRule="auto"/>
        <w:rPr>
          <w:rFonts w:ascii="Times New Roman" w:hAnsi="Times New Roman" w:cs="Times New Roman"/>
          <w:sz w:val="24"/>
          <w:szCs w:val="24"/>
        </w:rPr>
      </w:pPr>
      <w:r w:rsidRPr="00026037">
        <w:rPr>
          <w:rFonts w:ascii="Times New Roman" w:hAnsi="Times New Roman" w:cs="Times New Roman"/>
          <w:sz w:val="24"/>
          <w:szCs w:val="24"/>
        </w:rPr>
        <w:t xml:space="preserve">These clays exhibit a common characteristic of hydration swelling or dispersion when exposed to water depending on their </w:t>
      </w:r>
      <w:r w:rsidR="00D43DB6">
        <w:rPr>
          <w:rFonts w:ascii="Times New Roman" w:hAnsi="Times New Roman" w:cs="Times New Roman"/>
          <w:sz w:val="24"/>
          <w:szCs w:val="24"/>
        </w:rPr>
        <w:t>sensitivities</w:t>
      </w:r>
      <w:r w:rsidRPr="00026037">
        <w:rPr>
          <w:rFonts w:ascii="Times New Roman" w:hAnsi="Times New Roman" w:cs="Times New Roman"/>
          <w:sz w:val="24"/>
          <w:szCs w:val="24"/>
        </w:rPr>
        <w:t xml:space="preserve">. Smectite exhibits colloidal expansion potential due to its high surface area, which could cause wellbore and mud control problems. Kaolinite and illite on the other end are highly dispersive and could cause hole cleaning problems and bit-balling issues. Uncontrolled disintegration of illite and kaolinite during drilling operation leads to </w:t>
      </w:r>
      <w:r w:rsidRPr="00026037">
        <w:rPr>
          <w:rFonts w:ascii="Times New Roman" w:hAnsi="Times New Roman" w:cs="Times New Roman"/>
          <w:sz w:val="24"/>
          <w:szCs w:val="24"/>
        </w:rPr>
        <w:lastRenderedPageBreak/>
        <w:t>excessive cuttings and improper hole cleaning. The compatibility issue between drilling fluid and the TMS formation limit the drilling activities in the plays</w:t>
      </w:r>
    </w:p>
    <w:p w14:paraId="6FEB1655" w14:textId="77777777" w:rsidR="00616D91" w:rsidRDefault="00616D91" w:rsidP="00616D91">
      <w:pPr>
        <w:pStyle w:val="Heading2"/>
        <w:numPr>
          <w:ilvl w:val="1"/>
          <w:numId w:val="15"/>
        </w:numPr>
      </w:pPr>
      <w:bookmarkStart w:id="84" w:name="_Toc39751613"/>
      <w:r>
        <w:t>Drilling Fluid Characterization and Rheology</w:t>
      </w:r>
      <w:bookmarkEnd w:id="84"/>
    </w:p>
    <w:p w14:paraId="28C4AE28" w14:textId="55E55AAE" w:rsidR="003208AC" w:rsidRPr="003208AC" w:rsidRDefault="003208AC" w:rsidP="0025438C">
      <w:pPr>
        <w:spacing w:line="480" w:lineRule="auto"/>
        <w:jc w:val="both"/>
        <w:rPr>
          <w:rFonts w:ascii="Times New Roman" w:eastAsia="Calibri" w:hAnsi="Times New Roman" w:cs="Times New Roman"/>
          <w:sz w:val="24"/>
          <w:szCs w:val="24"/>
        </w:rPr>
      </w:pPr>
      <w:r w:rsidRPr="003208AC">
        <w:rPr>
          <w:rFonts w:ascii="Times New Roman" w:eastAsia="Calibri" w:hAnsi="Times New Roman" w:cs="Times New Roman"/>
          <w:sz w:val="24"/>
          <w:szCs w:val="24"/>
        </w:rPr>
        <w:t xml:space="preserve">Drilling fluid is a major component of all drilling operations. The main functions of drilling fluid include providing stable wellbore, improving hydraulic, and controlling solid removal. The importance of selecting appropriate drilling fluid systems is much more crucial when dealing with clay dominated shale formations such TMS due incompatibility issues between the fluid and the formation. The rheological profiles of the tested fluids are shown in </w:t>
      </w:r>
      <w:r w:rsidR="00044572">
        <w:rPr>
          <w:rFonts w:ascii="Times New Roman" w:eastAsia="Calibri" w:hAnsi="Times New Roman" w:cs="Times New Roman"/>
          <w:b/>
          <w:sz w:val="24"/>
          <w:szCs w:val="24"/>
        </w:rPr>
        <w:t>F</w:t>
      </w:r>
      <w:r w:rsidRPr="003208AC">
        <w:rPr>
          <w:rFonts w:ascii="Times New Roman" w:eastAsia="Calibri" w:hAnsi="Times New Roman" w:cs="Times New Roman"/>
          <w:b/>
          <w:sz w:val="24"/>
          <w:szCs w:val="24"/>
        </w:rPr>
        <w:t xml:space="preserve">igure </w:t>
      </w:r>
      <w:r w:rsidR="00C868A7">
        <w:rPr>
          <w:rFonts w:ascii="Times New Roman" w:eastAsia="Calibri" w:hAnsi="Times New Roman" w:cs="Times New Roman"/>
          <w:b/>
          <w:sz w:val="24"/>
          <w:szCs w:val="24"/>
        </w:rPr>
        <w:t>2</w:t>
      </w:r>
      <w:r w:rsidR="005F59F8">
        <w:rPr>
          <w:rFonts w:ascii="Times New Roman" w:eastAsia="Calibri" w:hAnsi="Times New Roman" w:cs="Times New Roman"/>
          <w:b/>
          <w:sz w:val="24"/>
          <w:szCs w:val="24"/>
        </w:rPr>
        <w:t>2</w:t>
      </w:r>
      <w:r w:rsidRPr="003208AC">
        <w:rPr>
          <w:rFonts w:ascii="Times New Roman" w:eastAsia="Calibri" w:hAnsi="Times New Roman" w:cs="Times New Roman"/>
          <w:sz w:val="24"/>
          <w:szCs w:val="24"/>
        </w:rPr>
        <w:t xml:space="preserve"> and </w:t>
      </w:r>
      <w:r w:rsidR="00044572">
        <w:rPr>
          <w:rFonts w:ascii="Times New Roman" w:eastAsia="Calibri" w:hAnsi="Times New Roman" w:cs="Times New Roman"/>
          <w:b/>
          <w:sz w:val="24"/>
          <w:szCs w:val="24"/>
        </w:rPr>
        <w:t>F</w:t>
      </w:r>
      <w:r w:rsidRPr="003208AC">
        <w:rPr>
          <w:rFonts w:ascii="Times New Roman" w:eastAsia="Calibri" w:hAnsi="Times New Roman" w:cs="Times New Roman"/>
          <w:b/>
          <w:sz w:val="24"/>
          <w:szCs w:val="24"/>
        </w:rPr>
        <w:t xml:space="preserve">igure </w:t>
      </w:r>
      <w:r w:rsidR="00C868A7">
        <w:rPr>
          <w:rFonts w:ascii="Times New Roman" w:eastAsia="Calibri" w:hAnsi="Times New Roman" w:cs="Times New Roman"/>
          <w:b/>
          <w:sz w:val="24"/>
          <w:szCs w:val="24"/>
        </w:rPr>
        <w:t>2</w:t>
      </w:r>
      <w:r w:rsidR="005F59F8">
        <w:rPr>
          <w:rFonts w:ascii="Times New Roman" w:eastAsia="Calibri" w:hAnsi="Times New Roman" w:cs="Times New Roman"/>
          <w:b/>
          <w:sz w:val="24"/>
          <w:szCs w:val="24"/>
        </w:rPr>
        <w:t>3</w:t>
      </w:r>
      <w:r w:rsidR="00044572">
        <w:rPr>
          <w:rFonts w:ascii="Times New Roman" w:eastAsia="Calibri" w:hAnsi="Times New Roman" w:cs="Times New Roman"/>
          <w:b/>
          <w:sz w:val="24"/>
          <w:szCs w:val="24"/>
        </w:rPr>
        <w:t>.</w:t>
      </w:r>
      <w:r w:rsidRPr="003208AC">
        <w:rPr>
          <w:rFonts w:ascii="Times New Roman" w:eastAsia="Calibri" w:hAnsi="Times New Roman" w:cs="Times New Roman"/>
          <w:sz w:val="24"/>
          <w:szCs w:val="24"/>
        </w:rPr>
        <w:t xml:space="preserve"> </w:t>
      </w:r>
      <w:r w:rsidRPr="003208AC">
        <w:rPr>
          <w:rFonts w:ascii="Times New Roman" w:eastAsia="Calibri" w:hAnsi="Times New Roman" w:cs="Times New Roman"/>
          <w:b/>
          <w:sz w:val="24"/>
          <w:szCs w:val="24"/>
        </w:rPr>
        <w:t xml:space="preserve">Figure </w:t>
      </w:r>
      <w:r w:rsidR="00C868A7">
        <w:rPr>
          <w:rFonts w:ascii="Times New Roman" w:eastAsia="Calibri" w:hAnsi="Times New Roman" w:cs="Times New Roman"/>
          <w:b/>
          <w:sz w:val="24"/>
          <w:szCs w:val="24"/>
        </w:rPr>
        <w:t>2</w:t>
      </w:r>
      <w:r w:rsidR="005F59F8">
        <w:rPr>
          <w:rFonts w:ascii="Times New Roman" w:eastAsia="Calibri" w:hAnsi="Times New Roman" w:cs="Times New Roman"/>
          <w:b/>
          <w:sz w:val="24"/>
          <w:szCs w:val="24"/>
        </w:rPr>
        <w:t>2</w:t>
      </w:r>
      <w:r w:rsidRPr="003208AC">
        <w:rPr>
          <w:rFonts w:ascii="Times New Roman" w:eastAsia="Calibri" w:hAnsi="Times New Roman" w:cs="Times New Roman"/>
          <w:sz w:val="24"/>
          <w:szCs w:val="24"/>
        </w:rPr>
        <w:t xml:space="preserve"> shows the shear stress vs. shear rate plot of the tested drilling fluid systems at temperature of 120 </w:t>
      </w:r>
      <w:r w:rsidRPr="003208AC">
        <w:rPr>
          <w:rFonts w:ascii="Times New Roman" w:eastAsia="Calibri" w:hAnsi="Times New Roman" w:cs="Times New Roman"/>
          <w:sz w:val="24"/>
          <w:szCs w:val="24"/>
          <w:vertAlign w:val="superscript"/>
        </w:rPr>
        <w:t>o</w:t>
      </w:r>
      <w:r w:rsidRPr="003208AC">
        <w:rPr>
          <w:rFonts w:ascii="Times New Roman" w:eastAsia="Calibri" w:hAnsi="Times New Roman" w:cs="Times New Roman"/>
          <w:sz w:val="24"/>
          <w:szCs w:val="24"/>
        </w:rPr>
        <w:t>F. All the plots were fitted with a power law equation where the consistency indices and flow behavior indices were reported. The rheological profile for all tested fluid systems showed an increase in shear stress as shear rate increases. This suggested a shear thinning process for all drilling fluid tested. A decrease of more than 60 % is realized in the shear stress when the inhibitive drilling fluid systems (1 wt% &amp; 2 wt% KCl, cesium formate) are used instead of the conventional WBM.</w:t>
      </w:r>
      <w:r w:rsidR="000717C8">
        <w:rPr>
          <w:rFonts w:ascii="Times New Roman" w:eastAsia="Calibri" w:hAnsi="Times New Roman" w:cs="Times New Roman"/>
          <w:sz w:val="24"/>
          <w:szCs w:val="24"/>
        </w:rPr>
        <w:t xml:space="preserve"> The rheological properties can be correlated to the interaction between the fluid system and the formation.</w:t>
      </w:r>
      <w:r w:rsidRPr="003208AC">
        <w:rPr>
          <w:rFonts w:ascii="Times New Roman" w:eastAsia="Calibri" w:hAnsi="Times New Roman" w:cs="Times New Roman"/>
          <w:sz w:val="24"/>
          <w:szCs w:val="24"/>
        </w:rPr>
        <w:t xml:space="preserve"> </w:t>
      </w:r>
      <w:r w:rsidR="008C4180">
        <w:rPr>
          <w:rFonts w:ascii="Times New Roman" w:eastAsia="Calibri" w:hAnsi="Times New Roman" w:cs="Times New Roman"/>
          <w:sz w:val="24"/>
          <w:szCs w:val="24"/>
        </w:rPr>
        <w:t xml:space="preserve">The fluid rheological properties such as shear stress can give an indication of the fluid ability to control cutting erosion and </w:t>
      </w:r>
      <w:r w:rsidR="00CF00F8">
        <w:rPr>
          <w:rFonts w:ascii="Times New Roman" w:eastAsia="Calibri" w:hAnsi="Times New Roman" w:cs="Times New Roman"/>
          <w:sz w:val="24"/>
          <w:szCs w:val="24"/>
        </w:rPr>
        <w:t>integrity</w:t>
      </w:r>
      <w:r w:rsidR="004E1EB9">
        <w:rPr>
          <w:rFonts w:ascii="Times New Roman" w:eastAsia="Calibri" w:hAnsi="Times New Roman" w:cs="Times New Roman"/>
          <w:sz w:val="24"/>
          <w:szCs w:val="24"/>
        </w:rPr>
        <w:t>.</w:t>
      </w:r>
    </w:p>
    <w:p w14:paraId="1C5A0CB9" w14:textId="77777777" w:rsidR="003208AC" w:rsidRPr="003208AC" w:rsidRDefault="003208AC" w:rsidP="003208AC">
      <w:pPr>
        <w:jc w:val="center"/>
        <w:rPr>
          <w:rFonts w:ascii="Times New Roman" w:eastAsia="Calibri" w:hAnsi="Times New Roman" w:cs="Times New Roman"/>
          <w:sz w:val="24"/>
          <w:szCs w:val="24"/>
        </w:rPr>
      </w:pPr>
      <w:r w:rsidRPr="003208AC">
        <w:rPr>
          <w:rFonts w:ascii="Times New Roman" w:eastAsia="Calibri" w:hAnsi="Times New Roman" w:cs="Times New Roman"/>
          <w:noProof/>
          <w:sz w:val="24"/>
          <w:szCs w:val="24"/>
        </w:rPr>
        <w:lastRenderedPageBreak/>
        <w:drawing>
          <wp:inline distT="0" distB="0" distL="0" distR="0" wp14:anchorId="273FD8DF" wp14:editId="576FA240">
            <wp:extent cx="4762500" cy="3371850"/>
            <wp:effectExtent l="0" t="0" r="0" b="0"/>
            <wp:docPr id="199" name="Chart 199">
              <a:extLst xmlns:a="http://schemas.openxmlformats.org/drawingml/2006/main">
                <a:ext uri="{FF2B5EF4-FFF2-40B4-BE49-F238E27FC236}">
                  <a16:creationId xmlns:a16="http://schemas.microsoft.com/office/drawing/2014/main" id="{5C811D5D-134C-4CCC-BE53-FDEA818673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5A6E707" w14:textId="622B38F0" w:rsidR="003208AC" w:rsidRPr="003208AC" w:rsidRDefault="00C868A7" w:rsidP="00C868A7">
      <w:pPr>
        <w:pStyle w:val="Caption"/>
      </w:pPr>
      <w:bookmarkStart w:id="85" w:name="_Toc37087765"/>
      <w:r>
        <w:t xml:space="preserve">Figure </w:t>
      </w:r>
      <w:fldSimple w:instr=" SEQ Figure \* ARABIC ">
        <w:r w:rsidR="0092747F">
          <w:rPr>
            <w:noProof/>
          </w:rPr>
          <w:t>22</w:t>
        </w:r>
      </w:fldSimple>
      <w:r>
        <w:t>-</w:t>
      </w:r>
      <w:r w:rsidR="003208AC" w:rsidRPr="003208AC">
        <w:t xml:space="preserve"> Rheological profile of the tested drilling fluid systems</w:t>
      </w:r>
      <w:bookmarkEnd w:id="85"/>
      <w:r w:rsidR="003208AC" w:rsidRPr="003208AC">
        <w:t xml:space="preserve"> </w:t>
      </w:r>
    </w:p>
    <w:p w14:paraId="2EF9DEDF" w14:textId="23AB1228" w:rsidR="003208AC" w:rsidRPr="003208AC" w:rsidRDefault="003208AC" w:rsidP="0025438C">
      <w:pPr>
        <w:spacing w:line="480" w:lineRule="auto"/>
        <w:rPr>
          <w:rFonts w:ascii="Times New Roman" w:eastAsia="Calibri" w:hAnsi="Times New Roman" w:cs="Times New Roman"/>
          <w:sz w:val="24"/>
          <w:szCs w:val="24"/>
        </w:rPr>
      </w:pPr>
      <w:r w:rsidRPr="003208AC">
        <w:rPr>
          <w:rFonts w:ascii="Times New Roman" w:eastAsia="Calibri" w:hAnsi="Times New Roman" w:cs="Times New Roman"/>
          <w:sz w:val="24"/>
          <w:szCs w:val="24"/>
        </w:rPr>
        <w:t xml:space="preserve">Another important rheological property of drilling fluid that affect its performance is the apparent viscosity. The apparent viscosity characterized the viscosity at a given shear rate. </w:t>
      </w:r>
      <w:r w:rsidRPr="003208AC">
        <w:rPr>
          <w:rFonts w:ascii="Times New Roman" w:eastAsia="Calibri" w:hAnsi="Times New Roman" w:cs="Times New Roman"/>
          <w:b/>
          <w:sz w:val="24"/>
          <w:szCs w:val="24"/>
        </w:rPr>
        <w:t xml:space="preserve">Figure </w:t>
      </w:r>
      <w:r w:rsidR="00C868A7">
        <w:rPr>
          <w:rFonts w:ascii="Times New Roman" w:eastAsia="Calibri" w:hAnsi="Times New Roman" w:cs="Times New Roman"/>
          <w:b/>
          <w:sz w:val="24"/>
          <w:szCs w:val="24"/>
        </w:rPr>
        <w:t>2</w:t>
      </w:r>
      <w:r w:rsidR="005F59F8">
        <w:rPr>
          <w:rFonts w:ascii="Times New Roman" w:eastAsia="Calibri" w:hAnsi="Times New Roman" w:cs="Times New Roman"/>
          <w:b/>
          <w:sz w:val="24"/>
          <w:szCs w:val="24"/>
        </w:rPr>
        <w:t>3</w:t>
      </w:r>
      <w:r w:rsidRPr="003208AC">
        <w:rPr>
          <w:rFonts w:ascii="Times New Roman" w:eastAsia="Calibri" w:hAnsi="Times New Roman" w:cs="Times New Roman"/>
          <w:sz w:val="24"/>
          <w:szCs w:val="24"/>
        </w:rPr>
        <w:t xml:space="preserve"> shows the apparent viscosity profiles for the drilling fluid systems tested in this study. The plots show a decreasing correlation between the apparent viscosity and the shear rate. The decrease in the apparent viscosity can be explained by the molecule tendency of aligning with each other at high shear rate to allow easier flow (Peter et al. 2017). The conventional WBM displayed higher apparent viscosity, more than 50 % compared to the inhibitive mud systems (1 wt% &amp; 2 wt% KCl, cesium formate). The low apparent viscosity realized with the inhibitive mud systems indicated easier flow compared to the conventional WBM. </w:t>
      </w:r>
      <w:r w:rsidR="00B20287">
        <w:rPr>
          <w:rFonts w:ascii="Times New Roman" w:eastAsia="Calibri" w:hAnsi="Times New Roman" w:cs="Times New Roman"/>
          <w:sz w:val="24"/>
          <w:szCs w:val="24"/>
        </w:rPr>
        <w:t>The shear thinning process (i.e. apparent viscosity decreases as the shear rate decreases)</w:t>
      </w:r>
      <w:r w:rsidR="00CA1672">
        <w:rPr>
          <w:rFonts w:ascii="Times New Roman" w:eastAsia="Calibri" w:hAnsi="Times New Roman" w:cs="Times New Roman"/>
          <w:sz w:val="24"/>
          <w:szCs w:val="24"/>
        </w:rPr>
        <w:t xml:space="preserve"> reported to be desirable in drilling fluids</w:t>
      </w:r>
      <w:r w:rsidR="00A25709">
        <w:rPr>
          <w:rFonts w:ascii="Times New Roman" w:eastAsia="Calibri" w:hAnsi="Times New Roman" w:cs="Times New Roman"/>
          <w:sz w:val="24"/>
          <w:szCs w:val="24"/>
        </w:rPr>
        <w:t>.</w:t>
      </w:r>
      <w:r w:rsidR="00416606">
        <w:rPr>
          <w:rFonts w:ascii="Times New Roman" w:eastAsia="Calibri" w:hAnsi="Times New Roman" w:cs="Times New Roman"/>
          <w:sz w:val="24"/>
          <w:szCs w:val="24"/>
        </w:rPr>
        <w:t xml:space="preserve"> According to Guven et al. 1988, </w:t>
      </w:r>
      <w:r w:rsidR="00E5775C">
        <w:rPr>
          <w:rFonts w:ascii="Times New Roman" w:eastAsia="Calibri" w:hAnsi="Times New Roman" w:cs="Times New Roman"/>
          <w:sz w:val="24"/>
          <w:szCs w:val="24"/>
        </w:rPr>
        <w:t>The presence potassium ion (K</w:t>
      </w:r>
      <w:r w:rsidR="00E5775C" w:rsidRPr="00E5775C">
        <w:rPr>
          <w:rFonts w:ascii="Times New Roman" w:eastAsia="Calibri" w:hAnsi="Times New Roman" w:cs="Times New Roman"/>
          <w:sz w:val="24"/>
          <w:szCs w:val="24"/>
          <w:vertAlign w:val="superscript"/>
        </w:rPr>
        <w:t>+</w:t>
      </w:r>
      <w:r w:rsidR="00E5775C">
        <w:rPr>
          <w:rFonts w:ascii="Times New Roman" w:eastAsia="Calibri" w:hAnsi="Times New Roman" w:cs="Times New Roman"/>
          <w:sz w:val="24"/>
          <w:szCs w:val="24"/>
        </w:rPr>
        <w:t>) and cesium ion (Cs</w:t>
      </w:r>
      <w:r w:rsidR="00E5775C" w:rsidRPr="00E5775C">
        <w:rPr>
          <w:rFonts w:ascii="Times New Roman" w:eastAsia="Calibri" w:hAnsi="Times New Roman" w:cs="Times New Roman"/>
          <w:sz w:val="24"/>
          <w:szCs w:val="24"/>
          <w:vertAlign w:val="superscript"/>
        </w:rPr>
        <w:t>+</w:t>
      </w:r>
      <w:r w:rsidR="00E5775C">
        <w:rPr>
          <w:rFonts w:ascii="Times New Roman" w:eastAsia="Calibri" w:hAnsi="Times New Roman" w:cs="Times New Roman"/>
          <w:sz w:val="24"/>
          <w:szCs w:val="24"/>
        </w:rPr>
        <w:t>)</w:t>
      </w:r>
      <w:r w:rsidR="00CA1672">
        <w:rPr>
          <w:rFonts w:ascii="Times New Roman" w:eastAsia="Calibri" w:hAnsi="Times New Roman" w:cs="Times New Roman"/>
          <w:sz w:val="24"/>
          <w:szCs w:val="24"/>
        </w:rPr>
        <w:t xml:space="preserve"> </w:t>
      </w:r>
      <w:r w:rsidR="00CD434A">
        <w:rPr>
          <w:rFonts w:ascii="Times New Roman" w:eastAsia="Calibri" w:hAnsi="Times New Roman" w:cs="Times New Roman"/>
          <w:sz w:val="24"/>
          <w:szCs w:val="24"/>
        </w:rPr>
        <w:t xml:space="preserve">forms strong bond between the smectite layers which leads to clay aggregate and therefore </w:t>
      </w:r>
      <w:r w:rsidR="00CD434A">
        <w:rPr>
          <w:rFonts w:ascii="Times New Roman" w:eastAsia="Calibri" w:hAnsi="Times New Roman" w:cs="Times New Roman"/>
          <w:sz w:val="24"/>
          <w:szCs w:val="24"/>
        </w:rPr>
        <w:lastRenderedPageBreak/>
        <w:t>reduction in viscosity.</w:t>
      </w:r>
      <w:r w:rsidR="00740FCF">
        <w:rPr>
          <w:rFonts w:ascii="Times New Roman" w:eastAsia="Calibri" w:hAnsi="Times New Roman" w:cs="Times New Roman"/>
          <w:sz w:val="24"/>
          <w:szCs w:val="24"/>
        </w:rPr>
        <w:t xml:space="preserve"> </w:t>
      </w:r>
      <w:r w:rsidR="00A6637B">
        <w:rPr>
          <w:rFonts w:ascii="Times New Roman" w:eastAsia="Calibri" w:hAnsi="Times New Roman" w:cs="Times New Roman"/>
          <w:sz w:val="24"/>
          <w:szCs w:val="24"/>
        </w:rPr>
        <w:t>This provides supporting ground to the low apparent viscosity obtained with the KCl based fluid systems and the cesium formate.</w:t>
      </w:r>
    </w:p>
    <w:p w14:paraId="42E7D6FF" w14:textId="77777777" w:rsidR="003208AC" w:rsidRPr="003208AC" w:rsidRDefault="003208AC" w:rsidP="003208AC">
      <w:pPr>
        <w:jc w:val="center"/>
        <w:rPr>
          <w:rFonts w:ascii="Times New Roman" w:eastAsia="Calibri" w:hAnsi="Times New Roman" w:cs="Times New Roman"/>
          <w:sz w:val="24"/>
          <w:szCs w:val="24"/>
        </w:rPr>
      </w:pPr>
      <w:r w:rsidRPr="003208AC">
        <w:rPr>
          <w:rFonts w:ascii="Times New Roman" w:eastAsia="Calibri" w:hAnsi="Times New Roman" w:cs="Times New Roman"/>
          <w:noProof/>
          <w:sz w:val="24"/>
          <w:szCs w:val="24"/>
        </w:rPr>
        <w:drawing>
          <wp:inline distT="0" distB="0" distL="0" distR="0" wp14:anchorId="70B056C6" wp14:editId="2A630AFE">
            <wp:extent cx="4476750" cy="3533775"/>
            <wp:effectExtent l="0" t="0" r="0" b="0"/>
            <wp:docPr id="200" name="Chart 200">
              <a:extLst xmlns:a="http://schemas.openxmlformats.org/drawingml/2006/main">
                <a:ext uri="{FF2B5EF4-FFF2-40B4-BE49-F238E27FC236}">
                  <a16:creationId xmlns:a16="http://schemas.microsoft.com/office/drawing/2014/main" id="{C726C8AB-D144-411F-B89B-466FC998FF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Pr="003208AC">
        <w:rPr>
          <w:rFonts w:ascii="Times New Roman" w:eastAsia="Calibri" w:hAnsi="Times New Roman" w:cs="Times New Roman"/>
          <w:noProof/>
          <w:sz w:val="24"/>
          <w:szCs w:val="24"/>
        </w:rPr>
        <w:t xml:space="preserve"> </w:t>
      </w:r>
    </w:p>
    <w:p w14:paraId="532FC123" w14:textId="2D424737" w:rsidR="003208AC" w:rsidRPr="003208AC" w:rsidRDefault="00C868A7" w:rsidP="00C868A7">
      <w:pPr>
        <w:pStyle w:val="Caption"/>
        <w:rPr>
          <w:rFonts w:eastAsia="Calibri"/>
          <w:b w:val="0"/>
          <w:szCs w:val="24"/>
        </w:rPr>
      </w:pPr>
      <w:bookmarkStart w:id="86" w:name="_Toc37087766"/>
      <w:r>
        <w:t xml:space="preserve">Figure </w:t>
      </w:r>
      <w:fldSimple w:instr=" SEQ Figure \* ARABIC ">
        <w:r w:rsidR="0092747F">
          <w:rPr>
            <w:noProof/>
          </w:rPr>
          <w:t>23</w:t>
        </w:r>
      </w:fldSimple>
      <w:r>
        <w:rPr>
          <w:rFonts w:eastAsia="Calibri"/>
          <w:b w:val="0"/>
          <w:szCs w:val="24"/>
        </w:rPr>
        <w:t>-</w:t>
      </w:r>
      <w:r w:rsidR="003208AC" w:rsidRPr="003208AC">
        <w:rPr>
          <w:rFonts w:eastAsia="Calibri"/>
          <w:b w:val="0"/>
          <w:szCs w:val="24"/>
        </w:rPr>
        <w:t xml:space="preserve"> </w:t>
      </w:r>
      <w:r w:rsidR="003208AC" w:rsidRPr="00C868A7">
        <w:rPr>
          <w:rFonts w:eastAsia="Calibri"/>
          <w:bCs/>
          <w:szCs w:val="24"/>
        </w:rPr>
        <w:t>Apparent viscosity profile of the drilling fluid systems tested in this study</w:t>
      </w:r>
      <w:bookmarkEnd w:id="86"/>
    </w:p>
    <w:p w14:paraId="6A114703" w14:textId="77777777" w:rsidR="003208AC" w:rsidRPr="003208AC" w:rsidRDefault="003208AC" w:rsidP="003208AC"/>
    <w:p w14:paraId="33DE1C20" w14:textId="77777777" w:rsidR="00616D91" w:rsidRDefault="00682D08" w:rsidP="00616D91">
      <w:pPr>
        <w:pStyle w:val="Heading2"/>
        <w:numPr>
          <w:ilvl w:val="1"/>
          <w:numId w:val="15"/>
        </w:numPr>
      </w:pPr>
      <w:bookmarkStart w:id="87" w:name="_Toc39751614"/>
      <w:r>
        <w:t>Wellbore Stability Analysis</w:t>
      </w:r>
      <w:bookmarkEnd w:id="87"/>
    </w:p>
    <w:p w14:paraId="6AE9CFE3" w14:textId="77777777" w:rsidR="00D607DC" w:rsidRPr="00D607DC" w:rsidRDefault="009865C7" w:rsidP="00D71331">
      <w:pPr>
        <w:spacing w:line="480" w:lineRule="auto"/>
        <w:rPr>
          <w:rFonts w:ascii="Times New Roman" w:hAnsi="Times New Roman" w:cs="Times New Roman"/>
          <w:sz w:val="24"/>
          <w:szCs w:val="24"/>
        </w:rPr>
      </w:pPr>
      <w:r>
        <w:rPr>
          <w:rFonts w:ascii="Times New Roman" w:hAnsi="Times New Roman" w:cs="Times New Roman"/>
          <w:sz w:val="24"/>
          <w:szCs w:val="24"/>
        </w:rPr>
        <w:t>Wellbore stability issues represent some of the major concerns associated with shale drilling. One of most important contributor of shale wellbore instability is the shale-fluid interaction.</w:t>
      </w:r>
      <w:r w:rsidR="00A21E75">
        <w:rPr>
          <w:rFonts w:ascii="Times New Roman" w:hAnsi="Times New Roman" w:cs="Times New Roman"/>
          <w:sz w:val="24"/>
          <w:szCs w:val="24"/>
        </w:rPr>
        <w:t xml:space="preserve"> This section focuses on the impact of the designed drilling fluid systems on shale-fluid interaction</w:t>
      </w:r>
      <w:r w:rsidR="00C25677">
        <w:rPr>
          <w:rFonts w:ascii="Times New Roman" w:hAnsi="Times New Roman" w:cs="Times New Roman"/>
          <w:sz w:val="24"/>
          <w:szCs w:val="24"/>
        </w:rPr>
        <w:t xml:space="preserve">. </w:t>
      </w:r>
      <w:r w:rsidR="005D10E9">
        <w:rPr>
          <w:rFonts w:ascii="Times New Roman" w:hAnsi="Times New Roman" w:cs="Times New Roman"/>
          <w:sz w:val="24"/>
          <w:szCs w:val="24"/>
        </w:rPr>
        <w:t xml:space="preserve">The results mainly </w:t>
      </w:r>
      <w:r w:rsidR="003032BA">
        <w:rPr>
          <w:rFonts w:ascii="Times New Roman" w:hAnsi="Times New Roman" w:cs="Times New Roman"/>
          <w:sz w:val="24"/>
          <w:szCs w:val="24"/>
        </w:rPr>
        <w:t>focus</w:t>
      </w:r>
      <w:r w:rsidR="005D10E9">
        <w:rPr>
          <w:rFonts w:ascii="Times New Roman" w:hAnsi="Times New Roman" w:cs="Times New Roman"/>
          <w:sz w:val="24"/>
          <w:szCs w:val="24"/>
        </w:rPr>
        <w:t xml:space="preserve"> on the impact of the drilling fluid systems on linear swelling index and cutting dispersion rate. </w:t>
      </w:r>
      <w:r w:rsidR="00134E92">
        <w:rPr>
          <w:rFonts w:ascii="Times New Roman" w:hAnsi="Times New Roman" w:cs="Times New Roman"/>
          <w:sz w:val="24"/>
          <w:szCs w:val="24"/>
        </w:rPr>
        <w:t>The section also evaluates the effectiveness of LCMs in treating losses during drilling.</w:t>
      </w:r>
    </w:p>
    <w:p w14:paraId="26D9369F" w14:textId="77777777" w:rsidR="00682D08" w:rsidRPr="00682D08" w:rsidRDefault="00682D08" w:rsidP="00682D08">
      <w:pPr>
        <w:pStyle w:val="ListParagraph"/>
        <w:keepNext/>
        <w:keepLines/>
        <w:numPr>
          <w:ilvl w:val="0"/>
          <w:numId w:val="29"/>
        </w:numPr>
        <w:spacing w:before="40" w:after="0" w:line="480" w:lineRule="auto"/>
        <w:contextualSpacing w:val="0"/>
        <w:outlineLvl w:val="2"/>
        <w:rPr>
          <w:rFonts w:ascii="Times New Roman" w:eastAsiaTheme="majorEastAsia" w:hAnsi="Times New Roman" w:cstheme="majorBidi"/>
          <w:b/>
          <w:vanish/>
          <w:color w:val="000000" w:themeColor="text1"/>
          <w:sz w:val="24"/>
          <w:szCs w:val="24"/>
        </w:rPr>
      </w:pPr>
      <w:bookmarkStart w:id="88" w:name="_Toc35563368"/>
      <w:bookmarkStart w:id="89" w:name="_Toc35563431"/>
      <w:bookmarkStart w:id="90" w:name="_Toc37771899"/>
      <w:bookmarkStart w:id="91" w:name="_Toc39751615"/>
      <w:bookmarkEnd w:id="88"/>
      <w:bookmarkEnd w:id="89"/>
      <w:bookmarkEnd w:id="90"/>
      <w:bookmarkEnd w:id="91"/>
    </w:p>
    <w:p w14:paraId="76112EAD" w14:textId="77777777" w:rsidR="00682D08" w:rsidRPr="00682D08" w:rsidRDefault="00682D08" w:rsidP="00682D08">
      <w:pPr>
        <w:pStyle w:val="ListParagraph"/>
        <w:keepNext/>
        <w:keepLines/>
        <w:numPr>
          <w:ilvl w:val="0"/>
          <w:numId w:val="29"/>
        </w:numPr>
        <w:spacing w:before="40" w:after="0" w:line="480" w:lineRule="auto"/>
        <w:contextualSpacing w:val="0"/>
        <w:outlineLvl w:val="2"/>
        <w:rPr>
          <w:rFonts w:ascii="Times New Roman" w:eastAsiaTheme="majorEastAsia" w:hAnsi="Times New Roman" w:cstheme="majorBidi"/>
          <w:b/>
          <w:vanish/>
          <w:color w:val="000000" w:themeColor="text1"/>
          <w:sz w:val="24"/>
          <w:szCs w:val="24"/>
        </w:rPr>
      </w:pPr>
      <w:bookmarkStart w:id="92" w:name="_Toc35563369"/>
      <w:bookmarkStart w:id="93" w:name="_Toc35563432"/>
      <w:bookmarkStart w:id="94" w:name="_Toc37771900"/>
      <w:bookmarkStart w:id="95" w:name="_Toc39751616"/>
      <w:bookmarkEnd w:id="92"/>
      <w:bookmarkEnd w:id="93"/>
      <w:bookmarkEnd w:id="94"/>
      <w:bookmarkEnd w:id="95"/>
    </w:p>
    <w:p w14:paraId="0C38968A" w14:textId="77777777" w:rsidR="00682D08" w:rsidRPr="00682D08" w:rsidRDefault="00682D08" w:rsidP="00682D08">
      <w:pPr>
        <w:pStyle w:val="ListParagraph"/>
        <w:keepNext/>
        <w:keepLines/>
        <w:numPr>
          <w:ilvl w:val="0"/>
          <w:numId w:val="29"/>
        </w:numPr>
        <w:spacing w:before="40" w:after="0" w:line="480" w:lineRule="auto"/>
        <w:contextualSpacing w:val="0"/>
        <w:outlineLvl w:val="2"/>
        <w:rPr>
          <w:rFonts w:ascii="Times New Roman" w:eastAsiaTheme="majorEastAsia" w:hAnsi="Times New Roman" w:cstheme="majorBidi"/>
          <w:b/>
          <w:vanish/>
          <w:color w:val="000000" w:themeColor="text1"/>
          <w:sz w:val="24"/>
          <w:szCs w:val="24"/>
        </w:rPr>
      </w:pPr>
      <w:bookmarkStart w:id="96" w:name="_Toc35563370"/>
      <w:bookmarkStart w:id="97" w:name="_Toc35563433"/>
      <w:bookmarkStart w:id="98" w:name="_Toc37771901"/>
      <w:bookmarkStart w:id="99" w:name="_Toc39751617"/>
      <w:bookmarkEnd w:id="96"/>
      <w:bookmarkEnd w:id="97"/>
      <w:bookmarkEnd w:id="98"/>
      <w:bookmarkEnd w:id="99"/>
    </w:p>
    <w:p w14:paraId="71F3F0FD" w14:textId="77777777" w:rsidR="00682D08" w:rsidRPr="00682D08" w:rsidRDefault="00682D08" w:rsidP="00682D08">
      <w:pPr>
        <w:pStyle w:val="ListParagraph"/>
        <w:keepNext/>
        <w:keepLines/>
        <w:numPr>
          <w:ilvl w:val="0"/>
          <w:numId w:val="29"/>
        </w:numPr>
        <w:spacing w:before="40" w:after="0" w:line="480" w:lineRule="auto"/>
        <w:contextualSpacing w:val="0"/>
        <w:outlineLvl w:val="2"/>
        <w:rPr>
          <w:rFonts w:ascii="Times New Roman" w:eastAsiaTheme="majorEastAsia" w:hAnsi="Times New Roman" w:cstheme="majorBidi"/>
          <w:b/>
          <w:vanish/>
          <w:color w:val="000000" w:themeColor="text1"/>
          <w:sz w:val="24"/>
          <w:szCs w:val="24"/>
        </w:rPr>
      </w:pPr>
      <w:bookmarkStart w:id="100" w:name="_Toc35563371"/>
      <w:bookmarkStart w:id="101" w:name="_Toc35563434"/>
      <w:bookmarkStart w:id="102" w:name="_Toc37771902"/>
      <w:bookmarkStart w:id="103" w:name="_Toc39751618"/>
      <w:bookmarkEnd w:id="100"/>
      <w:bookmarkEnd w:id="101"/>
      <w:bookmarkEnd w:id="102"/>
      <w:bookmarkEnd w:id="103"/>
    </w:p>
    <w:p w14:paraId="36711757" w14:textId="77777777" w:rsidR="00682D08" w:rsidRPr="00682D08" w:rsidRDefault="00682D08" w:rsidP="00682D08">
      <w:pPr>
        <w:pStyle w:val="ListParagraph"/>
        <w:keepNext/>
        <w:keepLines/>
        <w:numPr>
          <w:ilvl w:val="1"/>
          <w:numId w:val="29"/>
        </w:numPr>
        <w:spacing w:before="40" w:after="0" w:line="480" w:lineRule="auto"/>
        <w:contextualSpacing w:val="0"/>
        <w:outlineLvl w:val="2"/>
        <w:rPr>
          <w:rFonts w:ascii="Times New Roman" w:eastAsiaTheme="majorEastAsia" w:hAnsi="Times New Roman" w:cstheme="majorBidi"/>
          <w:b/>
          <w:vanish/>
          <w:color w:val="000000" w:themeColor="text1"/>
          <w:sz w:val="24"/>
          <w:szCs w:val="24"/>
        </w:rPr>
      </w:pPr>
      <w:bookmarkStart w:id="104" w:name="_Toc35563372"/>
      <w:bookmarkStart w:id="105" w:name="_Toc35563435"/>
      <w:bookmarkStart w:id="106" w:name="_Toc37771903"/>
      <w:bookmarkStart w:id="107" w:name="_Toc39751619"/>
      <w:bookmarkEnd w:id="104"/>
      <w:bookmarkEnd w:id="105"/>
      <w:bookmarkEnd w:id="106"/>
      <w:bookmarkEnd w:id="107"/>
    </w:p>
    <w:p w14:paraId="2B994125" w14:textId="77777777" w:rsidR="00682D08" w:rsidRPr="00682D08" w:rsidRDefault="00682D08" w:rsidP="00682D08">
      <w:pPr>
        <w:pStyle w:val="ListParagraph"/>
        <w:keepNext/>
        <w:keepLines/>
        <w:numPr>
          <w:ilvl w:val="1"/>
          <w:numId w:val="29"/>
        </w:numPr>
        <w:spacing w:before="40" w:after="0" w:line="480" w:lineRule="auto"/>
        <w:contextualSpacing w:val="0"/>
        <w:outlineLvl w:val="2"/>
        <w:rPr>
          <w:rFonts w:ascii="Times New Roman" w:eastAsiaTheme="majorEastAsia" w:hAnsi="Times New Roman" w:cstheme="majorBidi"/>
          <w:b/>
          <w:vanish/>
          <w:color w:val="000000" w:themeColor="text1"/>
          <w:sz w:val="24"/>
          <w:szCs w:val="24"/>
        </w:rPr>
      </w:pPr>
      <w:bookmarkStart w:id="108" w:name="_Toc35563373"/>
      <w:bookmarkStart w:id="109" w:name="_Toc35563436"/>
      <w:bookmarkStart w:id="110" w:name="_Toc37771904"/>
      <w:bookmarkStart w:id="111" w:name="_Toc39751620"/>
      <w:bookmarkEnd w:id="108"/>
      <w:bookmarkEnd w:id="109"/>
      <w:bookmarkEnd w:id="110"/>
      <w:bookmarkEnd w:id="111"/>
    </w:p>
    <w:p w14:paraId="3164E86E" w14:textId="77777777" w:rsidR="00682D08" w:rsidRPr="00682D08" w:rsidRDefault="00682D08" w:rsidP="00682D08">
      <w:pPr>
        <w:pStyle w:val="ListParagraph"/>
        <w:keepNext/>
        <w:keepLines/>
        <w:numPr>
          <w:ilvl w:val="1"/>
          <w:numId w:val="29"/>
        </w:numPr>
        <w:spacing w:before="40" w:after="0" w:line="480" w:lineRule="auto"/>
        <w:contextualSpacing w:val="0"/>
        <w:outlineLvl w:val="2"/>
        <w:rPr>
          <w:rFonts w:ascii="Times New Roman" w:eastAsiaTheme="majorEastAsia" w:hAnsi="Times New Roman" w:cstheme="majorBidi"/>
          <w:b/>
          <w:vanish/>
          <w:color w:val="000000" w:themeColor="text1"/>
          <w:sz w:val="24"/>
          <w:szCs w:val="24"/>
        </w:rPr>
      </w:pPr>
      <w:bookmarkStart w:id="112" w:name="_Toc35563374"/>
      <w:bookmarkStart w:id="113" w:name="_Toc35563437"/>
      <w:bookmarkStart w:id="114" w:name="_Toc37771905"/>
      <w:bookmarkStart w:id="115" w:name="_Toc39751621"/>
      <w:bookmarkEnd w:id="112"/>
      <w:bookmarkEnd w:id="113"/>
      <w:bookmarkEnd w:id="114"/>
      <w:bookmarkEnd w:id="115"/>
    </w:p>
    <w:p w14:paraId="0735A273" w14:textId="77777777" w:rsidR="00682D08" w:rsidRPr="00682D08" w:rsidRDefault="00682D08" w:rsidP="00682D08">
      <w:pPr>
        <w:pStyle w:val="ListParagraph"/>
        <w:keepNext/>
        <w:keepLines/>
        <w:numPr>
          <w:ilvl w:val="1"/>
          <w:numId w:val="29"/>
        </w:numPr>
        <w:spacing w:before="40" w:after="0" w:line="480" w:lineRule="auto"/>
        <w:contextualSpacing w:val="0"/>
        <w:outlineLvl w:val="2"/>
        <w:rPr>
          <w:rFonts w:ascii="Times New Roman" w:eastAsiaTheme="majorEastAsia" w:hAnsi="Times New Roman" w:cstheme="majorBidi"/>
          <w:b/>
          <w:vanish/>
          <w:color w:val="000000" w:themeColor="text1"/>
          <w:sz w:val="24"/>
          <w:szCs w:val="24"/>
        </w:rPr>
      </w:pPr>
      <w:bookmarkStart w:id="116" w:name="_Toc35563375"/>
      <w:bookmarkStart w:id="117" w:name="_Toc35563438"/>
      <w:bookmarkStart w:id="118" w:name="_Toc37771906"/>
      <w:bookmarkStart w:id="119" w:name="_Toc39751622"/>
      <w:bookmarkEnd w:id="116"/>
      <w:bookmarkEnd w:id="117"/>
      <w:bookmarkEnd w:id="118"/>
      <w:bookmarkEnd w:id="119"/>
    </w:p>
    <w:p w14:paraId="2FA5CB21" w14:textId="77777777" w:rsidR="00682D08" w:rsidRPr="00682D08" w:rsidRDefault="00682D08" w:rsidP="00682D08">
      <w:pPr>
        <w:pStyle w:val="Heading3"/>
      </w:pPr>
      <w:bookmarkStart w:id="120" w:name="_Toc39751623"/>
      <w:r>
        <w:t>Linear Swelling Characterization</w:t>
      </w:r>
      <w:bookmarkEnd w:id="120"/>
      <w:r>
        <w:t xml:space="preserve"> </w:t>
      </w:r>
    </w:p>
    <w:p w14:paraId="066E710E" w14:textId="77777777" w:rsidR="003208AC" w:rsidRPr="003208AC" w:rsidRDefault="003208AC" w:rsidP="00D71331">
      <w:pPr>
        <w:spacing w:line="480" w:lineRule="auto"/>
        <w:rPr>
          <w:rFonts w:ascii="Times New Roman" w:eastAsia="Calibri" w:hAnsi="Times New Roman" w:cs="Times New Roman"/>
          <w:sz w:val="24"/>
          <w:szCs w:val="24"/>
        </w:rPr>
      </w:pPr>
      <w:r w:rsidRPr="003208AC">
        <w:rPr>
          <w:rFonts w:ascii="Times New Roman" w:eastAsia="Calibri" w:hAnsi="Times New Roman" w:cs="Times New Roman"/>
          <w:sz w:val="24"/>
          <w:szCs w:val="24"/>
        </w:rPr>
        <w:t xml:space="preserve">Clay dominated shale formations such as TMS are characterized by high concentration of detrimental clays including smectite, illite, and kaolinite that present both hydration and dispersion potential. Both hydrational swelling and dispersion constitute major concern for drilling operators. Shale swelling is an important parameter to evaluate when characterizing the shale-fluid interaction. The linear swelling is used to quantify the linear expansion of clay when exposed to drilling fluid systems. Shale swelling is very common in clay dominated formations such TMS and Eagle Ford. Shale swelling is very detrimental for drilling operations due all the concerns it engenders. Some related consequences of shale swelling include collapse, hole caving, and hole cleaning. The level of swelling is both influenced by the shale formation and the </w:t>
      </w:r>
      <w:r w:rsidR="00A953EC">
        <w:rPr>
          <w:rFonts w:ascii="Times New Roman" w:eastAsia="Calibri" w:hAnsi="Times New Roman" w:cs="Times New Roman"/>
          <w:sz w:val="24"/>
          <w:szCs w:val="24"/>
        </w:rPr>
        <w:t xml:space="preserve">used </w:t>
      </w:r>
      <w:r w:rsidRPr="003208AC">
        <w:rPr>
          <w:rFonts w:ascii="Times New Roman" w:eastAsia="Calibri" w:hAnsi="Times New Roman" w:cs="Times New Roman"/>
          <w:sz w:val="24"/>
          <w:szCs w:val="24"/>
        </w:rPr>
        <w:t>drilling fluid system. The swelling index</w:t>
      </w:r>
      <w:r w:rsidR="00A953EC">
        <w:rPr>
          <w:rFonts w:ascii="Times New Roman" w:eastAsia="Calibri" w:hAnsi="Times New Roman" w:cs="Times New Roman"/>
          <w:sz w:val="24"/>
          <w:szCs w:val="24"/>
        </w:rPr>
        <w:t xml:space="preserve"> profile</w:t>
      </w:r>
      <w:r w:rsidRPr="003208AC">
        <w:rPr>
          <w:rFonts w:ascii="Times New Roman" w:eastAsia="Calibri" w:hAnsi="Times New Roman" w:cs="Times New Roman"/>
          <w:sz w:val="24"/>
          <w:szCs w:val="24"/>
        </w:rPr>
        <w:t xml:space="preserve"> shows the effect of different drilling fluid systems on clay expansion during drilling operations. In this study, the swelling index was computed based on the change in volume after a certain period of time. It was obtained from the </w:t>
      </w:r>
      <w:bookmarkStart w:id="121" w:name="_Hlk37713782"/>
      <w:r w:rsidRPr="003208AC">
        <w:rPr>
          <w:rFonts w:ascii="Times New Roman" w:eastAsia="Calibri" w:hAnsi="Times New Roman" w:cs="Times New Roman"/>
          <w:sz w:val="24"/>
          <w:szCs w:val="24"/>
        </w:rPr>
        <w:t>equation below.</w:t>
      </w:r>
    </w:p>
    <w:p w14:paraId="55F3E52D" w14:textId="77777777" w:rsidR="003208AC" w:rsidRPr="003208AC" w:rsidRDefault="003208AC" w:rsidP="00D71331">
      <w:pPr>
        <w:spacing w:line="480" w:lineRule="auto"/>
        <w:rPr>
          <w:rFonts w:ascii="Times New Roman" w:hAnsi="Times New Roman" w:cs="Times New Roman"/>
          <w:sz w:val="24"/>
          <w:szCs w:val="24"/>
        </w:rPr>
      </w:pPr>
      <m:oMath>
        <m:r>
          <w:rPr>
            <w:rFonts w:ascii="Cambria Math" w:eastAsia="Calibri" w:hAnsi="Cambria Math" w:cs="Times New Roman"/>
            <w:sz w:val="24"/>
            <w:szCs w:val="24"/>
          </w:rPr>
          <m:t>σ=</m:t>
        </m:r>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1</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0</m:t>
                </m:r>
              </m:sub>
            </m:sSub>
          </m:num>
          <m:den>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0</m:t>
                </m:r>
              </m:sub>
            </m:sSub>
          </m:den>
        </m:f>
        <m:r>
          <w:rPr>
            <w:rFonts w:ascii="Cambria Math" w:eastAsia="Calibri" w:hAnsi="Cambria Math" w:cs="Times New Roman"/>
            <w:sz w:val="24"/>
            <w:szCs w:val="24"/>
          </w:rPr>
          <m:t>*100</m:t>
        </m:r>
      </m:oMath>
      <w:r w:rsidRPr="003208AC">
        <w:rPr>
          <w:rFonts w:ascii="Times New Roman" w:hAnsi="Times New Roman" w:cs="Times New Roman"/>
          <w:sz w:val="24"/>
          <w:szCs w:val="24"/>
        </w:rPr>
        <w:t>………………………………………………………………….……… (1)</w:t>
      </w:r>
    </w:p>
    <w:p w14:paraId="08ABC6F1" w14:textId="77777777" w:rsidR="003208AC" w:rsidRPr="003208AC" w:rsidRDefault="003208AC" w:rsidP="00D71331">
      <w:pPr>
        <w:spacing w:line="480" w:lineRule="auto"/>
        <w:rPr>
          <w:rFonts w:ascii="Times New Roman" w:hAnsi="Times New Roman" w:cs="Times New Roman"/>
          <w:sz w:val="24"/>
          <w:szCs w:val="24"/>
        </w:rPr>
      </w:pPr>
      <w:r w:rsidRPr="003208AC">
        <w:rPr>
          <w:rFonts w:ascii="Times New Roman" w:hAnsi="Times New Roman" w:cs="Times New Roman"/>
          <w:sz w:val="24"/>
          <w:szCs w:val="24"/>
        </w:rPr>
        <w:t xml:space="preserve">Where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0</m:t>
            </m:r>
          </m:sub>
        </m:sSub>
        <m:r>
          <w:rPr>
            <w:rFonts w:ascii="Cambria Math" w:eastAsia="Calibri" w:hAnsi="Cambria Math" w:cs="Times New Roman"/>
            <w:sz w:val="24"/>
            <w:szCs w:val="24"/>
          </w:rPr>
          <m:t xml:space="preserve"> represents the initial volume, </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H</m:t>
            </m:r>
          </m:e>
          <m:sub>
            <m:r>
              <w:rPr>
                <w:rFonts w:ascii="Cambria Math" w:eastAsia="Calibri" w:hAnsi="Cambria Math" w:cs="Times New Roman"/>
                <w:sz w:val="24"/>
                <w:szCs w:val="24"/>
              </w:rPr>
              <m:t>1</m:t>
            </m:r>
          </m:sub>
        </m:sSub>
        <m:r>
          <w:rPr>
            <w:rFonts w:ascii="Cambria Math" w:eastAsia="Calibri" w:hAnsi="Cambria Math" w:cs="Times New Roman"/>
            <w:sz w:val="24"/>
            <w:szCs w:val="24"/>
          </w:rPr>
          <m:t xml:space="preserve"> the final volume, and σ the shale swelling index</m:t>
        </m:r>
      </m:oMath>
    </w:p>
    <w:bookmarkEnd w:id="121"/>
    <w:p w14:paraId="40FBCBFD" w14:textId="469A5B9F" w:rsidR="003208AC" w:rsidRPr="003208AC" w:rsidRDefault="003208AC" w:rsidP="00D71331">
      <w:pPr>
        <w:spacing w:line="480" w:lineRule="auto"/>
        <w:rPr>
          <w:rFonts w:ascii="Times New Roman" w:hAnsi="Times New Roman" w:cs="Times New Roman"/>
          <w:sz w:val="24"/>
          <w:szCs w:val="24"/>
        </w:rPr>
      </w:pPr>
      <w:r w:rsidRPr="003208AC">
        <w:rPr>
          <w:rFonts w:ascii="Times New Roman" w:hAnsi="Times New Roman" w:cs="Times New Roman"/>
          <w:sz w:val="24"/>
          <w:szCs w:val="24"/>
        </w:rPr>
        <w:t xml:space="preserve">The swelling index was obtained for all four (4) drilling fluid systems tested in this study for TMS while using freshwater as reference fluid. </w:t>
      </w:r>
      <w:r w:rsidRPr="003208AC">
        <w:rPr>
          <w:rFonts w:ascii="Times New Roman" w:hAnsi="Times New Roman" w:cs="Times New Roman"/>
          <w:b/>
          <w:sz w:val="24"/>
          <w:szCs w:val="24"/>
        </w:rPr>
        <w:t xml:space="preserve">Figure </w:t>
      </w:r>
      <w:r w:rsidR="00CE49F5">
        <w:rPr>
          <w:rFonts w:ascii="Times New Roman" w:hAnsi="Times New Roman" w:cs="Times New Roman"/>
          <w:b/>
          <w:sz w:val="24"/>
          <w:szCs w:val="24"/>
        </w:rPr>
        <w:t>2</w:t>
      </w:r>
      <w:r w:rsidR="005F59F8">
        <w:rPr>
          <w:rFonts w:ascii="Times New Roman" w:hAnsi="Times New Roman" w:cs="Times New Roman"/>
          <w:b/>
          <w:sz w:val="24"/>
          <w:szCs w:val="24"/>
        </w:rPr>
        <w:t>4</w:t>
      </w:r>
      <w:r w:rsidRPr="003208AC">
        <w:rPr>
          <w:rFonts w:ascii="Times New Roman" w:hAnsi="Times New Roman" w:cs="Times New Roman"/>
          <w:sz w:val="24"/>
          <w:szCs w:val="24"/>
        </w:rPr>
        <w:t xml:space="preserve"> displays the different swelling indices obtained</w:t>
      </w:r>
      <w:r w:rsidR="003032BA">
        <w:rPr>
          <w:rFonts w:ascii="Times New Roman" w:hAnsi="Times New Roman" w:cs="Times New Roman"/>
          <w:sz w:val="24"/>
          <w:szCs w:val="24"/>
        </w:rPr>
        <w:t xml:space="preserve"> for twenty-f</w:t>
      </w:r>
      <w:r w:rsidR="00A410D3">
        <w:rPr>
          <w:rFonts w:ascii="Times New Roman" w:hAnsi="Times New Roman" w:cs="Times New Roman"/>
          <w:sz w:val="24"/>
          <w:szCs w:val="24"/>
        </w:rPr>
        <w:t>o</w:t>
      </w:r>
      <w:r w:rsidR="003032BA">
        <w:rPr>
          <w:rFonts w:ascii="Times New Roman" w:hAnsi="Times New Roman" w:cs="Times New Roman"/>
          <w:sz w:val="24"/>
          <w:szCs w:val="24"/>
        </w:rPr>
        <w:t>ur (24) hours</w:t>
      </w:r>
      <w:r w:rsidRPr="003208AC">
        <w:rPr>
          <w:rFonts w:ascii="Times New Roman" w:hAnsi="Times New Roman" w:cs="Times New Roman"/>
          <w:sz w:val="24"/>
          <w:szCs w:val="24"/>
        </w:rPr>
        <w:t xml:space="preserve">. The profile revealed that freshwater displayed the highest swelling index in </w:t>
      </w:r>
      <w:r w:rsidR="00A953EC">
        <w:rPr>
          <w:rFonts w:ascii="Times New Roman" w:hAnsi="Times New Roman" w:cs="Times New Roman"/>
          <w:sz w:val="24"/>
          <w:szCs w:val="24"/>
        </w:rPr>
        <w:t xml:space="preserve">TMS </w:t>
      </w:r>
      <w:r w:rsidRPr="003208AC">
        <w:rPr>
          <w:rFonts w:ascii="Times New Roman" w:hAnsi="Times New Roman" w:cs="Times New Roman"/>
          <w:sz w:val="24"/>
          <w:szCs w:val="24"/>
        </w:rPr>
        <w:t>while cesium formate showed the lowest</w:t>
      </w:r>
      <w:r w:rsidR="005D22C2">
        <w:rPr>
          <w:rFonts w:ascii="Times New Roman" w:hAnsi="Times New Roman" w:cs="Times New Roman"/>
          <w:sz w:val="24"/>
          <w:szCs w:val="24"/>
        </w:rPr>
        <w:t>, which was more than 80% lower than conventional WBM</w:t>
      </w:r>
      <w:r w:rsidRPr="003208AC">
        <w:rPr>
          <w:rFonts w:ascii="Times New Roman" w:hAnsi="Times New Roman" w:cs="Times New Roman"/>
          <w:sz w:val="24"/>
          <w:szCs w:val="24"/>
        </w:rPr>
        <w:t xml:space="preserve">. Freshwater showed higher swelling index due to presence of </w:t>
      </w:r>
      <w:r w:rsidRPr="003208AC">
        <w:rPr>
          <w:rFonts w:ascii="Times New Roman" w:hAnsi="Times New Roman" w:cs="Times New Roman"/>
          <w:sz w:val="24"/>
          <w:szCs w:val="24"/>
        </w:rPr>
        <w:lastRenderedPageBreak/>
        <w:t xml:space="preserve">water sensitive clay (illite, kaolinite, and smectite) in the formation. Among the drilling fluid, the conventional WBM showed the highest swelling index followed by the 1 wt% KCl, the 2 wt% KCl, and then the cesium formate. These results showed the impact that inhibitive mud systems have in controlling swelling of shale during drilling. The inhibitive mud systems showed the ability to minimize shale swelling therefore providing </w:t>
      </w:r>
      <w:r w:rsidR="00933F3A">
        <w:rPr>
          <w:rFonts w:ascii="Times New Roman" w:hAnsi="Times New Roman" w:cs="Times New Roman"/>
          <w:sz w:val="24"/>
          <w:szCs w:val="24"/>
        </w:rPr>
        <w:t xml:space="preserve">improved shale-fluid interaction as a result ensure better </w:t>
      </w:r>
      <w:r w:rsidRPr="003208AC">
        <w:rPr>
          <w:rFonts w:ascii="Times New Roman" w:hAnsi="Times New Roman" w:cs="Times New Roman"/>
          <w:sz w:val="24"/>
          <w:szCs w:val="24"/>
        </w:rPr>
        <w:t>drilling performance by minimizing the drilling concerns such as hole cleaning, stuck pipe, borehole collapse</w:t>
      </w:r>
      <w:r w:rsidR="00DA5FF0">
        <w:rPr>
          <w:rFonts w:ascii="Times New Roman" w:hAnsi="Times New Roman" w:cs="Times New Roman"/>
          <w:sz w:val="24"/>
          <w:szCs w:val="24"/>
        </w:rPr>
        <w:t>,</w:t>
      </w:r>
      <w:r w:rsidRPr="003208AC">
        <w:rPr>
          <w:rFonts w:ascii="Times New Roman" w:hAnsi="Times New Roman" w:cs="Times New Roman"/>
          <w:sz w:val="24"/>
          <w:szCs w:val="24"/>
        </w:rPr>
        <w:t xml:space="preserve"> and </w:t>
      </w:r>
      <w:r w:rsidR="00DA5FF0">
        <w:rPr>
          <w:rFonts w:ascii="Times New Roman" w:hAnsi="Times New Roman" w:cs="Times New Roman"/>
          <w:sz w:val="24"/>
          <w:szCs w:val="24"/>
        </w:rPr>
        <w:t xml:space="preserve">therefore </w:t>
      </w:r>
      <w:r w:rsidRPr="003208AC">
        <w:rPr>
          <w:rFonts w:ascii="Times New Roman" w:hAnsi="Times New Roman" w:cs="Times New Roman"/>
          <w:sz w:val="24"/>
          <w:szCs w:val="24"/>
        </w:rPr>
        <w:t>reducing the non-drilling time (NDT).</w:t>
      </w:r>
    </w:p>
    <w:p w14:paraId="16CD8AD8" w14:textId="77777777" w:rsidR="003208AC" w:rsidRPr="003208AC" w:rsidRDefault="00056F85" w:rsidP="008140B1">
      <w:pPr>
        <w:jc w:val="center"/>
        <w:rPr>
          <w:rFonts w:ascii="Times New Roman" w:eastAsia="Calibri" w:hAnsi="Times New Roman" w:cs="Times New Roman"/>
          <w:sz w:val="24"/>
          <w:szCs w:val="24"/>
        </w:rPr>
      </w:pPr>
      <w:r>
        <w:rPr>
          <w:noProof/>
        </w:rPr>
        <w:drawing>
          <wp:inline distT="0" distB="0" distL="0" distR="0" wp14:anchorId="23C10407" wp14:editId="3EC44A6C">
            <wp:extent cx="5534026" cy="3686176"/>
            <wp:effectExtent l="0" t="0" r="9525" b="9525"/>
            <wp:docPr id="36" name="Chart 36">
              <a:extLst xmlns:a="http://schemas.openxmlformats.org/drawingml/2006/main">
                <a:ext uri="{FF2B5EF4-FFF2-40B4-BE49-F238E27FC236}">
                  <a16:creationId xmlns:a16="http://schemas.microsoft.com/office/drawing/2014/main" id="{B6AD7CA4-62B8-4876-95A2-F4FD6E70EE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6544374" w14:textId="659A8B79" w:rsidR="003208AC" w:rsidRPr="00CE49F5" w:rsidRDefault="00CE49F5" w:rsidP="00CE49F5">
      <w:pPr>
        <w:pStyle w:val="Caption"/>
        <w:rPr>
          <w:rFonts w:eastAsia="Calibri"/>
          <w:bCs/>
          <w:szCs w:val="24"/>
        </w:rPr>
      </w:pPr>
      <w:bookmarkStart w:id="122" w:name="_Toc37087767"/>
      <w:r>
        <w:t xml:space="preserve">Figure </w:t>
      </w:r>
      <w:fldSimple w:instr=" SEQ Figure \* ARABIC ">
        <w:r w:rsidR="0092747F">
          <w:rPr>
            <w:noProof/>
          </w:rPr>
          <w:t>24</w:t>
        </w:r>
      </w:fldSimple>
      <w:r>
        <w:rPr>
          <w:rFonts w:eastAsia="Calibri"/>
          <w:b w:val="0"/>
          <w:szCs w:val="24"/>
        </w:rPr>
        <w:t>-</w:t>
      </w:r>
      <w:r w:rsidR="003208AC" w:rsidRPr="003208AC">
        <w:rPr>
          <w:rFonts w:eastAsia="Calibri"/>
          <w:b w:val="0"/>
          <w:szCs w:val="24"/>
        </w:rPr>
        <w:t xml:space="preserve"> </w:t>
      </w:r>
      <w:r w:rsidR="003208AC" w:rsidRPr="00CE49F5">
        <w:rPr>
          <w:rFonts w:eastAsia="Calibri"/>
          <w:bCs/>
          <w:szCs w:val="24"/>
        </w:rPr>
        <w:t>Swelling index profile of the drilling fluid systems tested in this study with freshwater as reference fluid.</w:t>
      </w:r>
      <w:bookmarkEnd w:id="122"/>
    </w:p>
    <w:p w14:paraId="49ACA1D1" w14:textId="77777777" w:rsidR="00BE66CD" w:rsidRPr="00374E8A" w:rsidRDefault="00BE66CD" w:rsidP="00D71331">
      <w:pPr>
        <w:spacing w:line="480" w:lineRule="auto"/>
      </w:pPr>
      <w:r>
        <w:rPr>
          <w:rFonts w:ascii="Times New Roman" w:eastAsia="Calibri" w:hAnsi="Times New Roman" w:cs="Times New Roman"/>
          <w:bCs/>
          <w:sz w:val="24"/>
          <w:szCs w:val="24"/>
        </w:rPr>
        <w:t>Shale swelling is highly impacted by the time of exposure to the drilling fluid systems</w:t>
      </w:r>
      <w:r w:rsidRPr="00E30366">
        <w:rPr>
          <w:rFonts w:ascii="Times New Roman" w:eastAsia="Calibri" w:hAnsi="Times New Roman" w:cs="Times New Roman"/>
          <w:b/>
          <w:sz w:val="24"/>
          <w:szCs w:val="24"/>
        </w:rPr>
        <w:t xml:space="preserve">. Figure </w:t>
      </w:r>
      <w:r w:rsidR="00CE49F5">
        <w:rPr>
          <w:rFonts w:ascii="Times New Roman" w:eastAsia="Calibri" w:hAnsi="Times New Roman" w:cs="Times New Roman"/>
          <w:b/>
          <w:sz w:val="24"/>
          <w:szCs w:val="24"/>
        </w:rPr>
        <w:t>2</w:t>
      </w:r>
      <w:r w:rsidR="005F59F8">
        <w:rPr>
          <w:rFonts w:ascii="Times New Roman" w:eastAsia="Calibri" w:hAnsi="Times New Roman" w:cs="Times New Roman"/>
          <w:b/>
          <w:sz w:val="24"/>
          <w:szCs w:val="24"/>
        </w:rPr>
        <w:t>5</w:t>
      </w:r>
      <w:r>
        <w:rPr>
          <w:rFonts w:ascii="Times New Roman" w:eastAsia="Calibri" w:hAnsi="Times New Roman" w:cs="Times New Roman"/>
          <w:bCs/>
          <w:sz w:val="24"/>
          <w:szCs w:val="24"/>
        </w:rPr>
        <w:t xml:space="preserve"> shows the impact of exposure time on swelling indices for the tested drilling fluid systems. The profile shows an increase in swelling index as time increases for all fluid systems. </w:t>
      </w:r>
      <w:r w:rsidR="00623925">
        <w:rPr>
          <w:rFonts w:ascii="Times New Roman" w:eastAsia="Calibri" w:hAnsi="Times New Roman" w:cs="Times New Roman"/>
          <w:bCs/>
          <w:sz w:val="24"/>
          <w:szCs w:val="24"/>
        </w:rPr>
        <w:t xml:space="preserve">This trend was confirmed by Al-Awad and Smart (1996) as their study also revealed an increasing trend </w:t>
      </w:r>
      <w:r w:rsidR="00623925">
        <w:rPr>
          <w:rFonts w:ascii="Times New Roman" w:eastAsia="Calibri" w:hAnsi="Times New Roman" w:cs="Times New Roman"/>
          <w:bCs/>
          <w:sz w:val="24"/>
          <w:szCs w:val="24"/>
        </w:rPr>
        <w:lastRenderedPageBreak/>
        <w:t xml:space="preserve">between the linear swelling index and the exposure time. </w:t>
      </w:r>
      <w:r w:rsidR="006A02AD">
        <w:rPr>
          <w:rFonts w:ascii="Times New Roman" w:eastAsia="Calibri" w:hAnsi="Times New Roman" w:cs="Times New Roman"/>
          <w:bCs/>
          <w:sz w:val="24"/>
          <w:szCs w:val="24"/>
        </w:rPr>
        <w:t xml:space="preserve">The cesium formate and 2% KCl show the lowest increase in linear swelling index from 1 day to seven </w:t>
      </w:r>
      <w:r w:rsidR="00DE240F">
        <w:rPr>
          <w:rFonts w:ascii="Times New Roman" w:eastAsia="Calibri" w:hAnsi="Times New Roman" w:cs="Times New Roman"/>
          <w:bCs/>
          <w:sz w:val="24"/>
          <w:szCs w:val="24"/>
        </w:rPr>
        <w:t>(7)</w:t>
      </w:r>
      <w:r w:rsidR="006A02AD">
        <w:rPr>
          <w:rFonts w:ascii="Times New Roman" w:eastAsia="Calibri" w:hAnsi="Times New Roman" w:cs="Times New Roman"/>
          <w:bCs/>
          <w:sz w:val="24"/>
          <w:szCs w:val="24"/>
        </w:rPr>
        <w:t xml:space="preserve"> days.</w:t>
      </w:r>
    </w:p>
    <w:p w14:paraId="7EC89F3F" w14:textId="77777777" w:rsidR="00BE66CD" w:rsidRPr="00BE66CD" w:rsidRDefault="00BE66CD" w:rsidP="00BE66CD">
      <w:pPr>
        <w:rPr>
          <w:rFonts w:ascii="Times New Roman" w:eastAsia="Calibri" w:hAnsi="Times New Roman" w:cs="Times New Roman"/>
          <w:bCs/>
          <w:sz w:val="24"/>
          <w:szCs w:val="24"/>
        </w:rPr>
      </w:pPr>
    </w:p>
    <w:p w14:paraId="7192294C" w14:textId="77777777" w:rsidR="00FB2E99" w:rsidRDefault="00C16FE8" w:rsidP="003208AC">
      <w:pPr>
        <w:jc w:val="center"/>
        <w:rPr>
          <w:rFonts w:ascii="Times New Roman" w:eastAsia="Calibri" w:hAnsi="Times New Roman" w:cs="Times New Roman"/>
          <w:b/>
          <w:sz w:val="24"/>
          <w:szCs w:val="24"/>
        </w:rPr>
      </w:pPr>
      <w:r>
        <w:rPr>
          <w:noProof/>
        </w:rPr>
        <w:drawing>
          <wp:inline distT="0" distB="0" distL="0" distR="0" wp14:anchorId="0B67EED3" wp14:editId="2D41C31C">
            <wp:extent cx="5534026" cy="3686176"/>
            <wp:effectExtent l="0" t="0" r="9525" b="9525"/>
            <wp:docPr id="37" name="Chart 37">
              <a:extLst xmlns:a="http://schemas.openxmlformats.org/drawingml/2006/main">
                <a:ext uri="{FF2B5EF4-FFF2-40B4-BE49-F238E27FC236}">
                  <a16:creationId xmlns:a16="http://schemas.microsoft.com/office/drawing/2014/main" id="{ECA26689-AC53-40B0-A038-797378D116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F473ABA" w14:textId="72C91354" w:rsidR="00044572" w:rsidRPr="00CE49F5" w:rsidRDefault="00CE49F5" w:rsidP="00CE49F5">
      <w:pPr>
        <w:pStyle w:val="Caption"/>
        <w:rPr>
          <w:rFonts w:eastAsia="Calibri"/>
          <w:bCs/>
          <w:szCs w:val="24"/>
        </w:rPr>
      </w:pPr>
      <w:bookmarkStart w:id="123" w:name="_Toc37087768"/>
      <w:r>
        <w:t xml:space="preserve">Figure </w:t>
      </w:r>
      <w:fldSimple w:instr=" SEQ Figure \* ARABIC ">
        <w:r w:rsidR="0092747F">
          <w:rPr>
            <w:noProof/>
          </w:rPr>
          <w:t>25</w:t>
        </w:r>
      </w:fldSimple>
      <w:r>
        <w:rPr>
          <w:rFonts w:eastAsia="Calibri"/>
          <w:bCs/>
          <w:szCs w:val="24"/>
        </w:rPr>
        <w:t>-</w:t>
      </w:r>
      <w:r w:rsidR="00044572" w:rsidRPr="00CE49F5">
        <w:rPr>
          <w:rFonts w:eastAsia="Calibri"/>
          <w:bCs/>
          <w:szCs w:val="24"/>
        </w:rPr>
        <w:t xml:space="preserve"> Swelling index profile of the drilling fluid systems tested in this study with freshwater as reference fluid for different </w:t>
      </w:r>
      <w:r w:rsidR="0060107F" w:rsidRPr="00CE49F5">
        <w:rPr>
          <w:rFonts w:eastAsia="Calibri"/>
          <w:bCs/>
          <w:szCs w:val="24"/>
        </w:rPr>
        <w:t xml:space="preserve">exposure </w:t>
      </w:r>
      <w:r w:rsidR="00044572" w:rsidRPr="00CE49F5">
        <w:rPr>
          <w:rFonts w:eastAsia="Calibri"/>
          <w:bCs/>
          <w:szCs w:val="24"/>
        </w:rPr>
        <w:t>times</w:t>
      </w:r>
      <w:bookmarkEnd w:id="123"/>
    </w:p>
    <w:p w14:paraId="3AA4BDA0" w14:textId="77777777" w:rsidR="00214701" w:rsidRPr="00214701" w:rsidRDefault="00214701" w:rsidP="00D71331">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The swelling index results show that better shale-fluid interaction is obtained using the inhibitive mud systems especially the cesium formate and the 2% KCl. The low shale swelling obtained with these drilling fluids implies a decrease in capillary pressure, an increase in pore pressure, and a frictional reduction.</w:t>
      </w:r>
      <w:r w:rsidR="00023611">
        <w:rPr>
          <w:rFonts w:ascii="Times New Roman" w:eastAsia="Calibri" w:hAnsi="Times New Roman" w:cs="Times New Roman"/>
          <w:bCs/>
          <w:sz w:val="24"/>
          <w:szCs w:val="24"/>
        </w:rPr>
        <w:t xml:space="preserve"> These results are based on crushed shale sample. Therefore, swelling rate may be different if an i</w:t>
      </w:r>
      <w:r w:rsidR="00F34E5F">
        <w:rPr>
          <w:rFonts w:ascii="Times New Roman" w:eastAsia="Calibri" w:hAnsi="Times New Roman" w:cs="Times New Roman"/>
          <w:bCs/>
          <w:sz w:val="24"/>
          <w:szCs w:val="24"/>
        </w:rPr>
        <w:t>nt</w:t>
      </w:r>
      <w:r w:rsidR="00023611">
        <w:rPr>
          <w:rFonts w:ascii="Times New Roman" w:eastAsia="Calibri" w:hAnsi="Times New Roman" w:cs="Times New Roman"/>
          <w:bCs/>
          <w:sz w:val="24"/>
          <w:szCs w:val="24"/>
        </w:rPr>
        <w:t>act shale sample is used.</w:t>
      </w:r>
      <w:r w:rsidR="00F34E5F">
        <w:rPr>
          <w:rFonts w:ascii="Times New Roman" w:eastAsia="Calibri" w:hAnsi="Times New Roman" w:cs="Times New Roman"/>
          <w:bCs/>
          <w:sz w:val="24"/>
          <w:szCs w:val="24"/>
        </w:rPr>
        <w:t xml:space="preserve"> According to a study performed by Al-Awad and Smart (1996), intact shales have low swelling </w:t>
      </w:r>
      <w:r w:rsidR="00355963">
        <w:rPr>
          <w:rFonts w:ascii="Times New Roman" w:eastAsia="Calibri" w:hAnsi="Times New Roman" w:cs="Times New Roman"/>
          <w:bCs/>
          <w:sz w:val="24"/>
          <w:szCs w:val="24"/>
        </w:rPr>
        <w:t>ability compared to crushed samples due to the destruction of bonds between clay platelets during the crushing process.</w:t>
      </w:r>
    </w:p>
    <w:p w14:paraId="5D0B649C" w14:textId="77777777" w:rsidR="00682D08" w:rsidRDefault="00682D08" w:rsidP="00682D08">
      <w:pPr>
        <w:pStyle w:val="Heading3"/>
        <w:rPr>
          <w:rFonts w:eastAsia="Calibri"/>
        </w:rPr>
      </w:pPr>
      <w:bookmarkStart w:id="124" w:name="_Toc39751624"/>
      <w:r>
        <w:rPr>
          <w:rFonts w:eastAsia="Calibri"/>
        </w:rPr>
        <w:lastRenderedPageBreak/>
        <w:t>Cutting Dispersion Analysis</w:t>
      </w:r>
      <w:bookmarkEnd w:id="124"/>
      <w:r>
        <w:rPr>
          <w:rFonts w:eastAsia="Calibri"/>
        </w:rPr>
        <w:t xml:space="preserve"> </w:t>
      </w:r>
    </w:p>
    <w:p w14:paraId="191FAB70" w14:textId="35E5B5E1" w:rsidR="00A478EC" w:rsidRDefault="00847BA9" w:rsidP="00D71331">
      <w:pPr>
        <w:spacing w:line="480" w:lineRule="auto"/>
        <w:rPr>
          <w:rFonts w:ascii="Times New Roman" w:hAnsi="Times New Roman" w:cs="Times New Roman"/>
          <w:sz w:val="24"/>
          <w:szCs w:val="24"/>
        </w:rPr>
      </w:pPr>
      <w:r>
        <w:rPr>
          <w:rFonts w:ascii="Times New Roman" w:hAnsi="Times New Roman" w:cs="Times New Roman"/>
          <w:sz w:val="24"/>
          <w:szCs w:val="24"/>
        </w:rPr>
        <w:t xml:space="preserve">Cuttings and cavings play a major role in understanding wellbore instability. Cutting volume, shape, and size are major indicators of wellbore instability in shale. </w:t>
      </w:r>
      <w:r w:rsidR="0088121F">
        <w:rPr>
          <w:rFonts w:ascii="Times New Roman" w:hAnsi="Times New Roman" w:cs="Times New Roman"/>
          <w:sz w:val="24"/>
          <w:szCs w:val="24"/>
        </w:rPr>
        <w:t>C</w:t>
      </w:r>
      <w:r>
        <w:rPr>
          <w:rFonts w:ascii="Times New Roman" w:hAnsi="Times New Roman" w:cs="Times New Roman"/>
          <w:sz w:val="24"/>
          <w:szCs w:val="24"/>
        </w:rPr>
        <w:t xml:space="preserve">uttings greatly influence hole cleaning and bit-balling behavior. </w:t>
      </w:r>
      <w:r w:rsidR="00E97A33">
        <w:rPr>
          <w:rFonts w:ascii="Times New Roman" w:hAnsi="Times New Roman" w:cs="Times New Roman"/>
          <w:sz w:val="24"/>
          <w:szCs w:val="24"/>
        </w:rPr>
        <w:t>Hole cleaning and bit-balling are major consequences of wellbore instability and greatly influence drilling performance.</w:t>
      </w:r>
      <w:r w:rsidR="000E3D9D">
        <w:rPr>
          <w:rFonts w:ascii="Times New Roman" w:hAnsi="Times New Roman" w:cs="Times New Roman"/>
          <w:sz w:val="24"/>
          <w:szCs w:val="24"/>
        </w:rPr>
        <w:t xml:space="preserve"> Cuttings dispersion test is important for investigating cutting stability and bit-balling behavior. </w:t>
      </w:r>
      <w:r w:rsidR="00D4751E">
        <w:rPr>
          <w:rFonts w:ascii="Times New Roman" w:hAnsi="Times New Roman" w:cs="Times New Roman"/>
          <w:sz w:val="24"/>
          <w:szCs w:val="24"/>
        </w:rPr>
        <w:t xml:space="preserve">Shale dispersibility into drilling fluid systems is greatly influenced by factors such as shale particle size </w:t>
      </w:r>
      <w:r w:rsidR="00922EC0">
        <w:rPr>
          <w:rFonts w:ascii="Times New Roman" w:hAnsi="Times New Roman" w:cs="Times New Roman"/>
          <w:sz w:val="24"/>
          <w:szCs w:val="24"/>
        </w:rPr>
        <w:t>(exposed</w:t>
      </w:r>
      <w:r w:rsidR="00D4751E">
        <w:rPr>
          <w:rFonts w:ascii="Times New Roman" w:hAnsi="Times New Roman" w:cs="Times New Roman"/>
          <w:sz w:val="24"/>
          <w:szCs w:val="24"/>
        </w:rPr>
        <w:t xml:space="preserve"> surface area), rheological properties such as viscosity, shale compaction, and temperature.</w:t>
      </w:r>
      <w:r w:rsidR="00922EC0">
        <w:rPr>
          <w:rFonts w:ascii="Times New Roman" w:hAnsi="Times New Roman" w:cs="Times New Roman"/>
          <w:sz w:val="24"/>
          <w:szCs w:val="24"/>
        </w:rPr>
        <w:t xml:space="preserve"> Cutting recovery is based on the following equation:</w:t>
      </w:r>
    </w:p>
    <w:p w14:paraId="6F009757" w14:textId="77777777" w:rsidR="00E16F60" w:rsidRPr="003208AC" w:rsidRDefault="00E16F60" w:rsidP="00D71331">
      <w:pPr>
        <w:spacing w:line="480" w:lineRule="auto"/>
        <w:jc w:val="both"/>
        <w:rPr>
          <w:rFonts w:ascii="Times New Roman" w:hAnsi="Times New Roman" w:cs="Times New Roman"/>
          <w:sz w:val="24"/>
          <w:szCs w:val="24"/>
        </w:rPr>
      </w:pPr>
      <m:oMath>
        <m:r>
          <w:rPr>
            <w:rFonts w:ascii="Cambria Math" w:eastAsia="Calibri" w:hAnsi="Cambria Math" w:cs="Times New Roman"/>
            <w:sz w:val="24"/>
            <w:szCs w:val="24"/>
          </w:rPr>
          <m:t>CR=</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Wf</m:t>
            </m:r>
          </m:num>
          <m:den>
            <m:r>
              <w:rPr>
                <w:rFonts w:ascii="Cambria Math" w:eastAsia="Calibri" w:hAnsi="Cambria Math" w:cs="Times New Roman"/>
                <w:sz w:val="24"/>
                <w:szCs w:val="24"/>
              </w:rPr>
              <m:t>Wi</m:t>
            </m:r>
          </m:den>
        </m:f>
        <m:r>
          <w:rPr>
            <w:rFonts w:ascii="Cambria Math" w:eastAsia="Calibri" w:hAnsi="Cambria Math" w:cs="Times New Roman"/>
            <w:sz w:val="24"/>
            <w:szCs w:val="24"/>
          </w:rPr>
          <m:t>*100</m:t>
        </m:r>
      </m:oMath>
      <w:r w:rsidRPr="003208AC">
        <w:rPr>
          <w:rFonts w:ascii="Times New Roman" w:hAnsi="Times New Roman" w:cs="Times New Roman"/>
          <w:sz w:val="24"/>
          <w:szCs w:val="24"/>
        </w:rPr>
        <w:t>………………………………………………………………….……… (</w:t>
      </w:r>
      <w:r>
        <w:rPr>
          <w:rFonts w:ascii="Times New Roman" w:hAnsi="Times New Roman" w:cs="Times New Roman"/>
          <w:sz w:val="24"/>
          <w:szCs w:val="24"/>
        </w:rPr>
        <w:t>2</w:t>
      </w:r>
      <w:r w:rsidRPr="003208AC">
        <w:rPr>
          <w:rFonts w:ascii="Times New Roman" w:hAnsi="Times New Roman" w:cs="Times New Roman"/>
          <w:sz w:val="24"/>
          <w:szCs w:val="24"/>
        </w:rPr>
        <w:t>)</w:t>
      </w:r>
    </w:p>
    <w:p w14:paraId="04BAD287" w14:textId="77777777" w:rsidR="00922EC0" w:rsidRDefault="00E16F60" w:rsidP="00D71331">
      <w:pPr>
        <w:spacing w:line="480" w:lineRule="auto"/>
        <w:jc w:val="both"/>
        <w:rPr>
          <w:rFonts w:ascii="Times New Roman" w:hAnsi="Times New Roman" w:cs="Times New Roman"/>
          <w:sz w:val="24"/>
          <w:szCs w:val="24"/>
        </w:rPr>
      </w:pPr>
      <w:r w:rsidRPr="003208AC">
        <w:rPr>
          <w:rFonts w:ascii="Times New Roman" w:hAnsi="Times New Roman" w:cs="Times New Roman"/>
          <w:sz w:val="24"/>
          <w:szCs w:val="24"/>
        </w:rPr>
        <w:t xml:space="preserve">Where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W</m:t>
            </m:r>
          </m:e>
          <m:sub>
            <m:r>
              <w:rPr>
                <w:rFonts w:ascii="Cambria Math" w:eastAsia="Calibri" w:hAnsi="Cambria Math" w:cs="Times New Roman"/>
                <w:sz w:val="24"/>
                <w:szCs w:val="24"/>
              </w:rPr>
              <m:t>i</m:t>
            </m:r>
          </m:sub>
        </m:sSub>
        <m:r>
          <w:rPr>
            <w:rFonts w:ascii="Cambria Math" w:eastAsia="Calibri" w:hAnsi="Cambria Math" w:cs="Times New Roman"/>
            <w:sz w:val="24"/>
            <w:szCs w:val="24"/>
          </w:rPr>
          <m:t xml:space="preserve"> represents the initial cutting weight, </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W</m:t>
            </m:r>
          </m:e>
          <m:sub>
            <m:r>
              <w:rPr>
                <w:rFonts w:ascii="Cambria Math" w:eastAsia="Calibri" w:hAnsi="Cambria Math" w:cs="Times New Roman"/>
                <w:sz w:val="24"/>
                <w:szCs w:val="24"/>
              </w:rPr>
              <m:t>f</m:t>
            </m:r>
          </m:sub>
        </m:sSub>
        <m:r>
          <w:rPr>
            <w:rFonts w:ascii="Cambria Math" w:eastAsia="Calibri" w:hAnsi="Cambria Math" w:cs="Times New Roman"/>
            <w:sz w:val="24"/>
            <w:szCs w:val="24"/>
          </w:rPr>
          <m:t xml:space="preserve"> the final weight, and CR the shale swelling index</m:t>
        </m:r>
      </m:oMath>
    </w:p>
    <w:p w14:paraId="0E2B4A81" w14:textId="77777777" w:rsidR="00677BA3" w:rsidRDefault="00677BA3" w:rsidP="00D71331">
      <w:pPr>
        <w:spacing w:line="480" w:lineRule="auto"/>
        <w:jc w:val="both"/>
        <w:rPr>
          <w:rFonts w:ascii="Times New Roman" w:hAnsi="Times New Roman" w:cs="Times New Roman"/>
          <w:sz w:val="24"/>
          <w:szCs w:val="24"/>
        </w:rPr>
      </w:pPr>
      <w:r w:rsidRPr="00677BA3">
        <w:rPr>
          <w:rFonts w:ascii="Times New Roman" w:hAnsi="Times New Roman" w:cs="Times New Roman"/>
          <w:b/>
          <w:bCs/>
          <w:sz w:val="24"/>
          <w:szCs w:val="24"/>
        </w:rPr>
        <w:t xml:space="preserve">Table </w:t>
      </w:r>
      <w:r w:rsidR="00883D4A">
        <w:rPr>
          <w:rFonts w:ascii="Times New Roman" w:hAnsi="Times New Roman" w:cs="Times New Roman"/>
          <w:b/>
          <w:bCs/>
          <w:sz w:val="24"/>
          <w:szCs w:val="24"/>
        </w:rPr>
        <w:t>9</w:t>
      </w:r>
      <w:r>
        <w:rPr>
          <w:rFonts w:ascii="Times New Roman" w:hAnsi="Times New Roman" w:cs="Times New Roman"/>
          <w:sz w:val="24"/>
          <w:szCs w:val="24"/>
        </w:rPr>
        <w:t xml:space="preserve"> shows the data collected from the dispersibility test including the calculated cutting recovery based on </w:t>
      </w:r>
      <w:r w:rsidRPr="00677BA3">
        <w:rPr>
          <w:rFonts w:ascii="Times New Roman" w:hAnsi="Times New Roman" w:cs="Times New Roman"/>
          <w:b/>
          <w:bCs/>
          <w:sz w:val="24"/>
          <w:szCs w:val="24"/>
        </w:rPr>
        <w:t>equation 2</w:t>
      </w:r>
      <w:r>
        <w:rPr>
          <w:rFonts w:ascii="Times New Roman" w:hAnsi="Times New Roman" w:cs="Times New Roman"/>
          <w:sz w:val="24"/>
          <w:szCs w:val="24"/>
        </w:rPr>
        <w:t>.</w:t>
      </w:r>
    </w:p>
    <w:p w14:paraId="2DD5F8F4" w14:textId="36244814" w:rsidR="00677BA3" w:rsidRPr="00E41E71" w:rsidRDefault="00C724F7" w:rsidP="004F5994">
      <w:pPr>
        <w:pStyle w:val="Caption"/>
        <w:rPr>
          <w:b w:val="0"/>
          <w:bCs/>
          <w:szCs w:val="24"/>
        </w:rPr>
      </w:pPr>
      <w:hyperlink w:anchor="_Table_of_contents" w:history="1">
        <w:bookmarkStart w:id="125" w:name="_Toc37087886"/>
        <w:r w:rsidR="004F5994">
          <w:t xml:space="preserve">Table </w:t>
        </w:r>
        <w:fldSimple w:instr=" SEQ Table \* ARABIC ">
          <w:r w:rsidR="0092747F">
            <w:rPr>
              <w:noProof/>
            </w:rPr>
            <w:t>9</w:t>
          </w:r>
        </w:fldSimple>
        <w:r w:rsidR="00EB4548" w:rsidRPr="00E41E71">
          <w:rPr>
            <w:rStyle w:val="Hyperlink"/>
            <w:color w:val="0D0D0D" w:themeColor="text1" w:themeTint="F2"/>
            <w:szCs w:val="24"/>
            <w:u w:val="none"/>
          </w:rPr>
          <w:t>-</w:t>
        </w:r>
        <w:r w:rsidR="009F1630" w:rsidRPr="00E41E71">
          <w:rPr>
            <w:rStyle w:val="Hyperlink"/>
            <w:color w:val="0D0D0D" w:themeColor="text1" w:themeTint="F2"/>
            <w:szCs w:val="24"/>
            <w:u w:val="none"/>
          </w:rPr>
          <w:t xml:space="preserve"> </w:t>
        </w:r>
        <w:r w:rsidR="00EB4548" w:rsidRPr="00E41E71">
          <w:rPr>
            <w:rStyle w:val="Hyperlink"/>
            <w:bCs/>
            <w:color w:val="0D0D0D" w:themeColor="text1" w:themeTint="F2"/>
            <w:szCs w:val="24"/>
            <w:u w:val="none"/>
          </w:rPr>
          <w:t>C</w:t>
        </w:r>
        <w:r w:rsidR="009F1630" w:rsidRPr="00E41E71">
          <w:rPr>
            <w:rStyle w:val="Hyperlink"/>
            <w:bCs/>
            <w:color w:val="0D0D0D" w:themeColor="text1" w:themeTint="F2"/>
            <w:szCs w:val="24"/>
            <w:u w:val="none"/>
          </w:rPr>
          <w:t xml:space="preserve">utting recovery </w:t>
        </w:r>
        <w:r w:rsidR="003C6CC0" w:rsidRPr="00E41E71">
          <w:rPr>
            <w:rStyle w:val="Hyperlink"/>
            <w:bCs/>
            <w:color w:val="0D0D0D" w:themeColor="text1" w:themeTint="F2"/>
            <w:szCs w:val="24"/>
            <w:u w:val="none"/>
          </w:rPr>
          <w:t xml:space="preserve">percent </w:t>
        </w:r>
        <w:r w:rsidR="009F1630" w:rsidRPr="00E41E71">
          <w:rPr>
            <w:rStyle w:val="Hyperlink"/>
            <w:bCs/>
            <w:color w:val="0D0D0D" w:themeColor="text1" w:themeTint="F2"/>
            <w:szCs w:val="24"/>
            <w:u w:val="none"/>
          </w:rPr>
          <w:t>for the tested drilling fluid</w:t>
        </w:r>
        <w:r w:rsidR="003C6CC0" w:rsidRPr="00E41E71">
          <w:rPr>
            <w:rStyle w:val="Hyperlink"/>
            <w:bCs/>
            <w:color w:val="0D0D0D" w:themeColor="text1" w:themeTint="F2"/>
            <w:szCs w:val="24"/>
            <w:u w:val="none"/>
          </w:rPr>
          <w:t xml:space="preserve"> systems</w:t>
        </w:r>
        <w:bookmarkEnd w:id="125"/>
      </w:hyperlink>
    </w:p>
    <w:tbl>
      <w:tblPr>
        <w:tblStyle w:val="TableGrid"/>
        <w:tblW w:w="7540" w:type="dxa"/>
        <w:jc w:val="center"/>
        <w:tblLook w:val="04A0" w:firstRow="1" w:lastRow="0" w:firstColumn="1" w:lastColumn="0" w:noHBand="0" w:noVBand="1"/>
      </w:tblPr>
      <w:tblGrid>
        <w:gridCol w:w="1940"/>
        <w:gridCol w:w="1940"/>
        <w:gridCol w:w="1940"/>
        <w:gridCol w:w="1720"/>
      </w:tblGrid>
      <w:tr w:rsidR="00A02414" w:rsidRPr="00A02414" w14:paraId="6884C24D" w14:textId="77777777" w:rsidTr="00A02414">
        <w:trPr>
          <w:trHeight w:val="750"/>
          <w:jc w:val="center"/>
        </w:trPr>
        <w:tc>
          <w:tcPr>
            <w:tcW w:w="1940" w:type="dxa"/>
            <w:noWrap/>
            <w:hideMark/>
          </w:tcPr>
          <w:p w14:paraId="04BC6410" w14:textId="77777777" w:rsidR="00A02414" w:rsidRPr="00F76032" w:rsidRDefault="00A02414" w:rsidP="00A02414">
            <w:pPr>
              <w:jc w:val="center"/>
              <w:rPr>
                <w:rFonts w:ascii="Times New Roman" w:eastAsia="Times New Roman" w:hAnsi="Times New Roman" w:cs="Times New Roman"/>
                <w:b/>
                <w:bCs/>
                <w:color w:val="000000"/>
                <w:sz w:val="24"/>
                <w:szCs w:val="24"/>
              </w:rPr>
            </w:pPr>
            <w:r w:rsidRPr="00F76032">
              <w:rPr>
                <w:rFonts w:ascii="Times New Roman" w:eastAsia="Times New Roman" w:hAnsi="Times New Roman" w:cs="Times New Roman"/>
                <w:b/>
                <w:bCs/>
                <w:color w:val="000000"/>
                <w:sz w:val="24"/>
                <w:szCs w:val="24"/>
              </w:rPr>
              <w:t>Drilling Fluids</w:t>
            </w:r>
          </w:p>
        </w:tc>
        <w:tc>
          <w:tcPr>
            <w:tcW w:w="1940" w:type="dxa"/>
            <w:noWrap/>
            <w:hideMark/>
          </w:tcPr>
          <w:p w14:paraId="4A576EDD" w14:textId="77777777" w:rsidR="00A02414" w:rsidRPr="00F76032" w:rsidRDefault="00A02414" w:rsidP="00A02414">
            <w:pPr>
              <w:jc w:val="center"/>
              <w:rPr>
                <w:rFonts w:ascii="Times New Roman" w:eastAsia="Times New Roman" w:hAnsi="Times New Roman" w:cs="Times New Roman"/>
                <w:b/>
                <w:bCs/>
                <w:color w:val="000000"/>
                <w:sz w:val="24"/>
                <w:szCs w:val="24"/>
              </w:rPr>
            </w:pPr>
            <w:r w:rsidRPr="00F76032">
              <w:rPr>
                <w:rFonts w:ascii="Times New Roman" w:eastAsia="Times New Roman" w:hAnsi="Times New Roman" w:cs="Times New Roman"/>
                <w:b/>
                <w:bCs/>
                <w:color w:val="000000"/>
                <w:sz w:val="24"/>
                <w:szCs w:val="24"/>
              </w:rPr>
              <w:t>Initial Weight(g)</w:t>
            </w:r>
          </w:p>
        </w:tc>
        <w:tc>
          <w:tcPr>
            <w:tcW w:w="1940" w:type="dxa"/>
            <w:hideMark/>
          </w:tcPr>
          <w:p w14:paraId="1744DED7" w14:textId="77777777" w:rsidR="00A02414" w:rsidRPr="00F76032" w:rsidRDefault="00A02414" w:rsidP="00A02414">
            <w:pPr>
              <w:jc w:val="center"/>
              <w:rPr>
                <w:rFonts w:ascii="Times New Roman" w:eastAsia="Times New Roman" w:hAnsi="Times New Roman" w:cs="Times New Roman"/>
                <w:b/>
                <w:bCs/>
                <w:color w:val="000000"/>
                <w:sz w:val="24"/>
                <w:szCs w:val="24"/>
              </w:rPr>
            </w:pPr>
            <w:r w:rsidRPr="00F76032">
              <w:rPr>
                <w:rFonts w:ascii="Times New Roman" w:eastAsia="Times New Roman" w:hAnsi="Times New Roman" w:cs="Times New Roman"/>
                <w:b/>
                <w:bCs/>
                <w:color w:val="000000"/>
                <w:sz w:val="24"/>
                <w:szCs w:val="24"/>
              </w:rPr>
              <w:t>Recovered weight(g)</w:t>
            </w:r>
          </w:p>
        </w:tc>
        <w:tc>
          <w:tcPr>
            <w:tcW w:w="1720" w:type="dxa"/>
            <w:noWrap/>
            <w:hideMark/>
          </w:tcPr>
          <w:p w14:paraId="4825ADAE" w14:textId="77777777" w:rsidR="00A02414" w:rsidRPr="00F76032" w:rsidRDefault="00A02414" w:rsidP="00A02414">
            <w:pPr>
              <w:jc w:val="center"/>
              <w:rPr>
                <w:rFonts w:ascii="Times New Roman" w:eastAsia="Times New Roman" w:hAnsi="Times New Roman" w:cs="Times New Roman"/>
                <w:b/>
                <w:bCs/>
                <w:color w:val="000000"/>
                <w:sz w:val="24"/>
                <w:szCs w:val="24"/>
              </w:rPr>
            </w:pPr>
            <w:r w:rsidRPr="00F76032">
              <w:rPr>
                <w:rFonts w:ascii="Times New Roman" w:eastAsia="Times New Roman" w:hAnsi="Times New Roman" w:cs="Times New Roman"/>
                <w:b/>
                <w:bCs/>
                <w:color w:val="000000"/>
                <w:sz w:val="24"/>
                <w:szCs w:val="24"/>
              </w:rPr>
              <w:t>Recovery (%)</w:t>
            </w:r>
          </w:p>
        </w:tc>
      </w:tr>
      <w:tr w:rsidR="00A02414" w:rsidRPr="00A02414" w14:paraId="6795C9B7" w14:textId="77777777" w:rsidTr="00A02414">
        <w:trPr>
          <w:trHeight w:val="375"/>
          <w:jc w:val="center"/>
        </w:trPr>
        <w:tc>
          <w:tcPr>
            <w:tcW w:w="1940" w:type="dxa"/>
            <w:noWrap/>
            <w:hideMark/>
          </w:tcPr>
          <w:p w14:paraId="481EF8DC" w14:textId="77777777" w:rsidR="00A02414" w:rsidRPr="00F76032" w:rsidRDefault="00A02414" w:rsidP="00A02414">
            <w:pPr>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Freshwater</w:t>
            </w:r>
          </w:p>
        </w:tc>
        <w:tc>
          <w:tcPr>
            <w:tcW w:w="1940" w:type="dxa"/>
            <w:noWrap/>
            <w:hideMark/>
          </w:tcPr>
          <w:p w14:paraId="673DF78C"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12</w:t>
            </w:r>
          </w:p>
        </w:tc>
        <w:tc>
          <w:tcPr>
            <w:tcW w:w="1940" w:type="dxa"/>
            <w:noWrap/>
            <w:hideMark/>
          </w:tcPr>
          <w:p w14:paraId="4F4E97B7"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7.8</w:t>
            </w:r>
          </w:p>
        </w:tc>
        <w:tc>
          <w:tcPr>
            <w:tcW w:w="1720" w:type="dxa"/>
            <w:noWrap/>
            <w:hideMark/>
          </w:tcPr>
          <w:p w14:paraId="151F29DD"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65</w:t>
            </w:r>
          </w:p>
        </w:tc>
      </w:tr>
      <w:tr w:rsidR="00A02414" w:rsidRPr="00A02414" w14:paraId="5A544EA4" w14:textId="77777777" w:rsidTr="00A02414">
        <w:trPr>
          <w:trHeight w:val="375"/>
          <w:jc w:val="center"/>
        </w:trPr>
        <w:tc>
          <w:tcPr>
            <w:tcW w:w="1940" w:type="dxa"/>
            <w:noWrap/>
            <w:hideMark/>
          </w:tcPr>
          <w:p w14:paraId="786867CA" w14:textId="77777777" w:rsidR="00A02414" w:rsidRPr="00F76032" w:rsidRDefault="00A02414" w:rsidP="00A02414">
            <w:pPr>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WBM</w:t>
            </w:r>
          </w:p>
        </w:tc>
        <w:tc>
          <w:tcPr>
            <w:tcW w:w="1940" w:type="dxa"/>
            <w:noWrap/>
            <w:hideMark/>
          </w:tcPr>
          <w:p w14:paraId="5862A951"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12</w:t>
            </w:r>
          </w:p>
        </w:tc>
        <w:tc>
          <w:tcPr>
            <w:tcW w:w="1940" w:type="dxa"/>
            <w:noWrap/>
            <w:hideMark/>
          </w:tcPr>
          <w:p w14:paraId="5C0668DB"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9</w:t>
            </w:r>
          </w:p>
        </w:tc>
        <w:tc>
          <w:tcPr>
            <w:tcW w:w="1720" w:type="dxa"/>
            <w:noWrap/>
            <w:hideMark/>
          </w:tcPr>
          <w:p w14:paraId="7CF190FE"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75</w:t>
            </w:r>
          </w:p>
        </w:tc>
      </w:tr>
      <w:tr w:rsidR="00A02414" w:rsidRPr="00A02414" w14:paraId="38CD8196" w14:textId="77777777" w:rsidTr="00A02414">
        <w:trPr>
          <w:trHeight w:val="375"/>
          <w:jc w:val="center"/>
        </w:trPr>
        <w:tc>
          <w:tcPr>
            <w:tcW w:w="1940" w:type="dxa"/>
            <w:noWrap/>
            <w:hideMark/>
          </w:tcPr>
          <w:p w14:paraId="6F59D8D8" w14:textId="77777777" w:rsidR="00A02414" w:rsidRPr="00F76032" w:rsidRDefault="00A02414" w:rsidP="00A02414">
            <w:pPr>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 xml:space="preserve">1% KCl </w:t>
            </w:r>
          </w:p>
        </w:tc>
        <w:tc>
          <w:tcPr>
            <w:tcW w:w="1940" w:type="dxa"/>
            <w:noWrap/>
            <w:hideMark/>
          </w:tcPr>
          <w:p w14:paraId="64E0CC8E"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12</w:t>
            </w:r>
          </w:p>
        </w:tc>
        <w:tc>
          <w:tcPr>
            <w:tcW w:w="1940" w:type="dxa"/>
            <w:noWrap/>
            <w:hideMark/>
          </w:tcPr>
          <w:p w14:paraId="1F14479E"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9.8</w:t>
            </w:r>
          </w:p>
        </w:tc>
        <w:tc>
          <w:tcPr>
            <w:tcW w:w="1720" w:type="dxa"/>
            <w:noWrap/>
            <w:hideMark/>
          </w:tcPr>
          <w:p w14:paraId="680C3EAE"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82</w:t>
            </w:r>
          </w:p>
        </w:tc>
      </w:tr>
      <w:tr w:rsidR="00A02414" w:rsidRPr="00A02414" w14:paraId="3161B7E4" w14:textId="77777777" w:rsidTr="00A02414">
        <w:trPr>
          <w:trHeight w:val="375"/>
          <w:jc w:val="center"/>
        </w:trPr>
        <w:tc>
          <w:tcPr>
            <w:tcW w:w="1940" w:type="dxa"/>
            <w:noWrap/>
            <w:hideMark/>
          </w:tcPr>
          <w:p w14:paraId="3EF1324E" w14:textId="77777777" w:rsidR="00A02414" w:rsidRPr="00F76032" w:rsidRDefault="00A02414" w:rsidP="00A02414">
            <w:pPr>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2% KCl</w:t>
            </w:r>
          </w:p>
        </w:tc>
        <w:tc>
          <w:tcPr>
            <w:tcW w:w="1940" w:type="dxa"/>
            <w:noWrap/>
            <w:hideMark/>
          </w:tcPr>
          <w:p w14:paraId="4623B9DF"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12</w:t>
            </w:r>
          </w:p>
        </w:tc>
        <w:tc>
          <w:tcPr>
            <w:tcW w:w="1940" w:type="dxa"/>
            <w:noWrap/>
            <w:hideMark/>
          </w:tcPr>
          <w:p w14:paraId="639E6A30"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10.1</w:t>
            </w:r>
          </w:p>
        </w:tc>
        <w:tc>
          <w:tcPr>
            <w:tcW w:w="1720" w:type="dxa"/>
            <w:noWrap/>
            <w:hideMark/>
          </w:tcPr>
          <w:p w14:paraId="4F5CACE5"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84.5</w:t>
            </w:r>
          </w:p>
        </w:tc>
      </w:tr>
      <w:tr w:rsidR="00A02414" w:rsidRPr="00A02414" w14:paraId="7CBE455B" w14:textId="77777777" w:rsidTr="00A02414">
        <w:trPr>
          <w:trHeight w:val="375"/>
          <w:jc w:val="center"/>
        </w:trPr>
        <w:tc>
          <w:tcPr>
            <w:tcW w:w="1940" w:type="dxa"/>
            <w:noWrap/>
            <w:hideMark/>
          </w:tcPr>
          <w:p w14:paraId="0CD8727C" w14:textId="77777777" w:rsidR="00A02414" w:rsidRPr="00F76032" w:rsidRDefault="00A02414" w:rsidP="00A02414">
            <w:pPr>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Cesium formate</w:t>
            </w:r>
          </w:p>
        </w:tc>
        <w:tc>
          <w:tcPr>
            <w:tcW w:w="1940" w:type="dxa"/>
            <w:noWrap/>
            <w:hideMark/>
          </w:tcPr>
          <w:p w14:paraId="66ACAB8D"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12</w:t>
            </w:r>
          </w:p>
        </w:tc>
        <w:tc>
          <w:tcPr>
            <w:tcW w:w="1940" w:type="dxa"/>
            <w:noWrap/>
            <w:hideMark/>
          </w:tcPr>
          <w:p w14:paraId="093E3C62"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10.3</w:t>
            </w:r>
          </w:p>
        </w:tc>
        <w:tc>
          <w:tcPr>
            <w:tcW w:w="1720" w:type="dxa"/>
            <w:noWrap/>
            <w:hideMark/>
          </w:tcPr>
          <w:p w14:paraId="339F2E41" w14:textId="77777777" w:rsidR="00A02414" w:rsidRPr="00F76032" w:rsidRDefault="00A02414" w:rsidP="00A02414">
            <w:pPr>
              <w:jc w:val="right"/>
              <w:rPr>
                <w:rFonts w:ascii="Times New Roman" w:eastAsia="Times New Roman" w:hAnsi="Times New Roman" w:cs="Times New Roman"/>
                <w:color w:val="000000"/>
                <w:sz w:val="24"/>
                <w:szCs w:val="24"/>
              </w:rPr>
            </w:pPr>
            <w:r w:rsidRPr="00F76032">
              <w:rPr>
                <w:rFonts w:ascii="Times New Roman" w:eastAsia="Times New Roman" w:hAnsi="Times New Roman" w:cs="Times New Roman"/>
                <w:color w:val="000000"/>
                <w:sz w:val="24"/>
                <w:szCs w:val="24"/>
              </w:rPr>
              <w:t>85.7</w:t>
            </w:r>
          </w:p>
        </w:tc>
      </w:tr>
    </w:tbl>
    <w:p w14:paraId="2A77BAC8" w14:textId="77777777" w:rsidR="003C6CC0" w:rsidRDefault="003C6CC0" w:rsidP="003C6CC0"/>
    <w:p w14:paraId="4E4554E9" w14:textId="77777777" w:rsidR="003C6CC0" w:rsidRPr="003C6CC0" w:rsidRDefault="003C6CC0" w:rsidP="00D7133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cutting recovery profile (</w:t>
      </w:r>
      <w:r w:rsidRPr="005719A5">
        <w:rPr>
          <w:rFonts w:ascii="Times New Roman" w:hAnsi="Times New Roman" w:cs="Times New Roman"/>
          <w:b/>
          <w:bCs/>
          <w:sz w:val="24"/>
          <w:szCs w:val="24"/>
        </w:rPr>
        <w:t xml:space="preserve">Figure </w:t>
      </w:r>
      <w:r w:rsidR="002A3AF6">
        <w:rPr>
          <w:rFonts w:ascii="Times New Roman" w:hAnsi="Times New Roman" w:cs="Times New Roman"/>
          <w:b/>
          <w:bCs/>
          <w:sz w:val="24"/>
          <w:szCs w:val="24"/>
        </w:rPr>
        <w:t>2</w:t>
      </w:r>
      <w:r w:rsidR="005F59F8">
        <w:rPr>
          <w:rFonts w:ascii="Times New Roman" w:hAnsi="Times New Roman" w:cs="Times New Roman"/>
          <w:b/>
          <w:bCs/>
          <w:sz w:val="24"/>
          <w:szCs w:val="24"/>
        </w:rPr>
        <w:t>6</w:t>
      </w:r>
      <w:r>
        <w:rPr>
          <w:rFonts w:ascii="Times New Roman" w:hAnsi="Times New Roman" w:cs="Times New Roman"/>
          <w:sz w:val="24"/>
          <w:szCs w:val="24"/>
        </w:rPr>
        <w:t>) shows that the highest recovery rate is obtained using the cesium formate and 2% KCl with a recovery of 85.7% and 84.5% respectively.</w:t>
      </w:r>
      <w:r w:rsidR="00A01665">
        <w:rPr>
          <w:rFonts w:ascii="Times New Roman" w:hAnsi="Times New Roman" w:cs="Times New Roman"/>
          <w:sz w:val="24"/>
          <w:szCs w:val="24"/>
        </w:rPr>
        <w:t xml:space="preserve"> On the other hand, freshwater and </w:t>
      </w:r>
      <w:r w:rsidR="00380F19">
        <w:rPr>
          <w:rFonts w:ascii="Times New Roman" w:hAnsi="Times New Roman" w:cs="Times New Roman"/>
          <w:sz w:val="24"/>
          <w:szCs w:val="24"/>
        </w:rPr>
        <w:t>WBM show the lowest cutting recovery with 65% and 75% respectively.</w:t>
      </w:r>
      <w:r w:rsidR="003D2C64">
        <w:rPr>
          <w:rFonts w:ascii="Times New Roman" w:hAnsi="Times New Roman" w:cs="Times New Roman"/>
          <w:sz w:val="24"/>
          <w:szCs w:val="24"/>
        </w:rPr>
        <w:t xml:space="preserve"> These results </w:t>
      </w:r>
      <w:r w:rsidR="00D33F01">
        <w:rPr>
          <w:rFonts w:ascii="Times New Roman" w:hAnsi="Times New Roman" w:cs="Times New Roman"/>
          <w:sz w:val="24"/>
          <w:szCs w:val="24"/>
        </w:rPr>
        <w:t>imply</w:t>
      </w:r>
      <w:r w:rsidR="003D2C64">
        <w:rPr>
          <w:rFonts w:ascii="Times New Roman" w:hAnsi="Times New Roman" w:cs="Times New Roman"/>
          <w:sz w:val="24"/>
          <w:szCs w:val="24"/>
        </w:rPr>
        <w:t xml:space="preserve"> better cutting stability with the inhibitive muds as opposed to the conventional WBM.</w:t>
      </w:r>
      <w:r w:rsidR="00764D97">
        <w:rPr>
          <w:rFonts w:ascii="Times New Roman" w:hAnsi="Times New Roman" w:cs="Times New Roman"/>
          <w:sz w:val="24"/>
          <w:szCs w:val="24"/>
        </w:rPr>
        <w:t xml:space="preserve"> The low dispersibility realized with the </w:t>
      </w:r>
      <w:r w:rsidR="00B97473">
        <w:rPr>
          <w:rFonts w:ascii="Times New Roman" w:hAnsi="Times New Roman" w:cs="Times New Roman"/>
          <w:sz w:val="24"/>
          <w:szCs w:val="24"/>
        </w:rPr>
        <w:t xml:space="preserve">inhibitive mud systems show beter cuttings integrity. </w:t>
      </w:r>
      <w:r w:rsidR="00D33F01">
        <w:rPr>
          <w:rFonts w:ascii="Times New Roman" w:hAnsi="Times New Roman" w:cs="Times New Roman"/>
          <w:sz w:val="24"/>
          <w:szCs w:val="24"/>
        </w:rPr>
        <w:t>The cutting recovery profile indicates that lowe</w:t>
      </w:r>
      <w:r w:rsidR="00764D97">
        <w:rPr>
          <w:rFonts w:ascii="Times New Roman" w:hAnsi="Times New Roman" w:cs="Times New Roman"/>
          <w:sz w:val="24"/>
          <w:szCs w:val="24"/>
        </w:rPr>
        <w:t>r</w:t>
      </w:r>
      <w:r w:rsidR="00D33F01">
        <w:rPr>
          <w:rFonts w:ascii="Times New Roman" w:hAnsi="Times New Roman" w:cs="Times New Roman"/>
          <w:sz w:val="24"/>
          <w:szCs w:val="24"/>
        </w:rPr>
        <w:t xml:space="preserve"> bit-balling is more likely to be achieved with the inhibitive mud systems as opposed to the conventional WBM. This is due to the low dispersibility </w:t>
      </w:r>
      <w:r w:rsidR="00764D97">
        <w:rPr>
          <w:rFonts w:ascii="Times New Roman" w:hAnsi="Times New Roman" w:cs="Times New Roman"/>
          <w:sz w:val="24"/>
          <w:szCs w:val="24"/>
        </w:rPr>
        <w:t xml:space="preserve">and </w:t>
      </w:r>
      <w:r w:rsidR="00D33F01">
        <w:rPr>
          <w:rFonts w:ascii="Times New Roman" w:hAnsi="Times New Roman" w:cs="Times New Roman"/>
          <w:sz w:val="24"/>
          <w:szCs w:val="24"/>
        </w:rPr>
        <w:t>improved cutting integrity when exposed to the inhibitive drilling fluid systems.</w:t>
      </w:r>
      <w:r w:rsidR="0088760E">
        <w:rPr>
          <w:rFonts w:ascii="Times New Roman" w:hAnsi="Times New Roman" w:cs="Times New Roman"/>
          <w:sz w:val="24"/>
          <w:szCs w:val="24"/>
        </w:rPr>
        <w:t xml:space="preserve"> A combination of low cutting dispersibility and improved cutting integrity</w:t>
      </w:r>
      <w:r w:rsidR="00AB539F">
        <w:rPr>
          <w:rFonts w:ascii="Times New Roman" w:hAnsi="Times New Roman" w:cs="Times New Roman"/>
          <w:sz w:val="24"/>
          <w:szCs w:val="24"/>
        </w:rPr>
        <w:t xml:space="preserve"> correlated to low bit-balling as the reduce the cuttings tendency to stick to the bit as the</w:t>
      </w:r>
      <w:r w:rsidR="004639A1">
        <w:rPr>
          <w:rFonts w:ascii="Times New Roman" w:hAnsi="Times New Roman" w:cs="Times New Roman"/>
          <w:sz w:val="24"/>
          <w:szCs w:val="24"/>
        </w:rPr>
        <w:t>ir</w:t>
      </w:r>
      <w:r w:rsidR="00AB539F">
        <w:rPr>
          <w:rFonts w:ascii="Times New Roman" w:hAnsi="Times New Roman" w:cs="Times New Roman"/>
          <w:sz w:val="24"/>
          <w:szCs w:val="24"/>
        </w:rPr>
        <w:t xml:space="preserve"> removal is much easier.</w:t>
      </w:r>
      <w:r w:rsidR="0088760E">
        <w:rPr>
          <w:rFonts w:ascii="Times New Roman" w:hAnsi="Times New Roman" w:cs="Times New Roman"/>
          <w:sz w:val="24"/>
          <w:szCs w:val="24"/>
        </w:rPr>
        <w:t xml:space="preserve"> </w:t>
      </w:r>
      <w:r w:rsidR="00D33F01">
        <w:rPr>
          <w:rFonts w:ascii="Times New Roman" w:hAnsi="Times New Roman" w:cs="Times New Roman"/>
          <w:sz w:val="24"/>
          <w:szCs w:val="24"/>
        </w:rPr>
        <w:t xml:space="preserve"> </w:t>
      </w:r>
    </w:p>
    <w:p w14:paraId="54D748B5" w14:textId="77777777" w:rsidR="003208AC" w:rsidRDefault="00B67962" w:rsidP="00A02414">
      <w:pPr>
        <w:jc w:val="center"/>
      </w:pPr>
      <w:r>
        <w:rPr>
          <w:noProof/>
        </w:rPr>
        <w:drawing>
          <wp:inline distT="0" distB="0" distL="0" distR="0" wp14:anchorId="711BD014" wp14:editId="530A722C">
            <wp:extent cx="5695951" cy="3671888"/>
            <wp:effectExtent l="0" t="0" r="0" b="5080"/>
            <wp:docPr id="40" name="Chart 40">
              <a:extLst xmlns:a="http://schemas.openxmlformats.org/drawingml/2006/main">
                <a:ext uri="{FF2B5EF4-FFF2-40B4-BE49-F238E27FC236}">
                  <a16:creationId xmlns:a16="http://schemas.microsoft.com/office/drawing/2014/main" id="{3E45825F-B3EB-4065-9274-A99B638C0F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20D2E54" w14:textId="334B1913" w:rsidR="003431C4" w:rsidRPr="00476FA8" w:rsidRDefault="00476FA8" w:rsidP="00913951">
      <w:pPr>
        <w:pStyle w:val="Caption"/>
        <w:jc w:val="left"/>
        <w:rPr>
          <w:rFonts w:eastAsia="Calibri"/>
          <w:bCs/>
          <w:szCs w:val="24"/>
        </w:rPr>
      </w:pPr>
      <w:bookmarkStart w:id="126" w:name="_Toc37087769"/>
      <w:r>
        <w:t xml:space="preserve">Figure </w:t>
      </w:r>
      <w:fldSimple w:instr=" SEQ Figure \* ARABIC ">
        <w:r w:rsidR="0092747F">
          <w:rPr>
            <w:noProof/>
          </w:rPr>
          <w:t>26</w:t>
        </w:r>
      </w:fldSimple>
      <w:r>
        <w:rPr>
          <w:rFonts w:eastAsia="Calibri"/>
          <w:bCs/>
          <w:szCs w:val="24"/>
        </w:rPr>
        <w:t>-</w:t>
      </w:r>
      <w:r w:rsidR="003431C4" w:rsidRPr="00476FA8">
        <w:rPr>
          <w:rFonts w:eastAsia="Calibri"/>
          <w:bCs/>
          <w:szCs w:val="24"/>
        </w:rPr>
        <w:t xml:space="preserve"> Cutting </w:t>
      </w:r>
      <w:r w:rsidR="0047119A" w:rsidRPr="00476FA8">
        <w:rPr>
          <w:rFonts w:eastAsia="Calibri"/>
          <w:bCs/>
          <w:szCs w:val="24"/>
        </w:rPr>
        <w:t>recovery rate of different drilling fluid systems used in this study.</w:t>
      </w:r>
      <w:bookmarkEnd w:id="126"/>
    </w:p>
    <w:p w14:paraId="2EB73FE8" w14:textId="77777777" w:rsidR="00FC1703" w:rsidRDefault="00FC1703" w:rsidP="00FC1703">
      <w:pPr>
        <w:pStyle w:val="Heading3"/>
        <w:rPr>
          <w:rFonts w:eastAsia="Calibri"/>
        </w:rPr>
      </w:pPr>
      <w:bookmarkStart w:id="127" w:name="_Toc39751625"/>
      <w:r>
        <w:rPr>
          <w:rFonts w:eastAsia="Calibri"/>
        </w:rPr>
        <w:lastRenderedPageBreak/>
        <w:t xml:space="preserve">Wellbore </w:t>
      </w:r>
      <w:r w:rsidR="00042180">
        <w:rPr>
          <w:rFonts w:eastAsia="Calibri"/>
        </w:rPr>
        <w:t>Strengthening</w:t>
      </w:r>
      <w:bookmarkEnd w:id="127"/>
    </w:p>
    <w:p w14:paraId="471B76A1" w14:textId="77777777" w:rsidR="003A3D9F" w:rsidRPr="00AF20C3" w:rsidRDefault="00AF20C3" w:rsidP="00D71331">
      <w:pPr>
        <w:spacing w:line="480" w:lineRule="auto"/>
        <w:rPr>
          <w:rFonts w:ascii="Times New Roman" w:hAnsi="Times New Roman" w:cs="Times New Roman"/>
          <w:sz w:val="24"/>
          <w:szCs w:val="24"/>
        </w:rPr>
      </w:pPr>
      <w:r>
        <w:rPr>
          <w:rFonts w:ascii="Times New Roman" w:hAnsi="Times New Roman" w:cs="Times New Roman"/>
          <w:sz w:val="24"/>
          <w:szCs w:val="24"/>
        </w:rPr>
        <w:t xml:space="preserve">Lost circulation during drilling is one of the major consequences of wellbore instability in shale. </w:t>
      </w:r>
      <w:r w:rsidR="00656400">
        <w:rPr>
          <w:rFonts w:ascii="Times New Roman" w:hAnsi="Times New Roman" w:cs="Times New Roman"/>
          <w:sz w:val="24"/>
          <w:szCs w:val="24"/>
        </w:rPr>
        <w:t>Previous drilling reports suggested that excessive lost circulation accounts for more than 40% of the total NPT in well</w:t>
      </w:r>
      <w:r w:rsidR="00BD3969">
        <w:rPr>
          <w:rFonts w:ascii="Times New Roman" w:hAnsi="Times New Roman" w:cs="Times New Roman"/>
          <w:sz w:val="24"/>
          <w:szCs w:val="24"/>
        </w:rPr>
        <w:t xml:space="preserve"> A</w:t>
      </w:r>
      <w:r w:rsidR="00656400">
        <w:rPr>
          <w:rFonts w:ascii="Times New Roman" w:hAnsi="Times New Roman" w:cs="Times New Roman"/>
          <w:sz w:val="24"/>
          <w:szCs w:val="24"/>
        </w:rPr>
        <w:t>.</w:t>
      </w:r>
      <w:r w:rsidR="004262EB">
        <w:rPr>
          <w:rFonts w:ascii="Times New Roman" w:hAnsi="Times New Roman" w:cs="Times New Roman"/>
          <w:sz w:val="24"/>
          <w:szCs w:val="24"/>
        </w:rPr>
        <w:t xml:space="preserve"> The losses in the well are mostly due to the presence of both natural and induced fractures.</w:t>
      </w:r>
      <w:r w:rsidR="005B170E">
        <w:rPr>
          <w:rFonts w:ascii="Times New Roman" w:hAnsi="Times New Roman" w:cs="Times New Roman"/>
          <w:sz w:val="24"/>
          <w:szCs w:val="24"/>
        </w:rPr>
        <w:t xml:space="preserve"> The fractures have both vertical and horizontal orientation.</w:t>
      </w:r>
      <w:r w:rsidR="00772EB6">
        <w:rPr>
          <w:rFonts w:ascii="Times New Roman" w:hAnsi="Times New Roman" w:cs="Times New Roman"/>
          <w:sz w:val="24"/>
          <w:szCs w:val="24"/>
        </w:rPr>
        <w:t xml:space="preserve"> Strengthening the wellbore by sealing existing fractures helps improve drilling efficiency and save on drilling cost.</w:t>
      </w:r>
      <w:r w:rsidR="006B6A4E">
        <w:rPr>
          <w:rFonts w:ascii="Times New Roman" w:hAnsi="Times New Roman" w:cs="Times New Roman"/>
          <w:sz w:val="24"/>
          <w:szCs w:val="24"/>
        </w:rPr>
        <w:t xml:space="preserve"> According to Ezeakacha et al. (2019), Lost circulation is mostly influenced by fracture width and orientation.</w:t>
      </w:r>
      <w:r w:rsidR="00133F5F">
        <w:rPr>
          <w:rFonts w:ascii="Times New Roman" w:hAnsi="Times New Roman" w:cs="Times New Roman"/>
          <w:sz w:val="24"/>
          <w:szCs w:val="24"/>
        </w:rPr>
        <w:t xml:space="preserve"> </w:t>
      </w:r>
      <w:r w:rsidR="00133F5F" w:rsidRPr="008D2AC1">
        <w:rPr>
          <w:rFonts w:ascii="Times New Roman" w:hAnsi="Times New Roman" w:cs="Times New Roman"/>
          <w:b/>
          <w:bCs/>
          <w:sz w:val="24"/>
          <w:szCs w:val="24"/>
        </w:rPr>
        <w:t xml:space="preserve">Figure </w:t>
      </w:r>
      <w:r w:rsidR="00AC7C0F">
        <w:rPr>
          <w:rFonts w:ascii="Times New Roman" w:hAnsi="Times New Roman" w:cs="Times New Roman"/>
          <w:b/>
          <w:bCs/>
          <w:sz w:val="24"/>
          <w:szCs w:val="24"/>
        </w:rPr>
        <w:t>2</w:t>
      </w:r>
      <w:r w:rsidR="005F59F8">
        <w:rPr>
          <w:rFonts w:ascii="Times New Roman" w:hAnsi="Times New Roman" w:cs="Times New Roman"/>
          <w:b/>
          <w:bCs/>
          <w:sz w:val="24"/>
          <w:szCs w:val="24"/>
        </w:rPr>
        <w:t>7</w:t>
      </w:r>
      <w:r w:rsidR="00133F5F">
        <w:rPr>
          <w:rFonts w:ascii="Times New Roman" w:hAnsi="Times New Roman" w:cs="Times New Roman"/>
          <w:sz w:val="24"/>
          <w:szCs w:val="24"/>
        </w:rPr>
        <w:t xml:space="preserve"> shows the effect of fracture </w:t>
      </w:r>
      <w:r w:rsidR="003C0FF0">
        <w:rPr>
          <w:rFonts w:ascii="Times New Roman" w:hAnsi="Times New Roman" w:cs="Times New Roman"/>
          <w:sz w:val="24"/>
          <w:szCs w:val="24"/>
        </w:rPr>
        <w:t>width</w:t>
      </w:r>
      <w:r w:rsidR="00133F5F">
        <w:rPr>
          <w:rFonts w:ascii="Times New Roman" w:hAnsi="Times New Roman" w:cs="Times New Roman"/>
          <w:sz w:val="24"/>
          <w:szCs w:val="24"/>
        </w:rPr>
        <w:t xml:space="preserve"> on cumulative dynamic fluid loss for different cedar fiber concentrations. Cedar fiber is used in this study due to its previous success in the formation.</w:t>
      </w:r>
    </w:p>
    <w:p w14:paraId="03A2E60B" w14:textId="77777777" w:rsidR="00850559" w:rsidRDefault="003C0FF0" w:rsidP="003C0FF0">
      <w:pPr>
        <w:jc w:val="center"/>
      </w:pPr>
      <w:r>
        <w:rPr>
          <w:noProof/>
        </w:rPr>
        <w:drawing>
          <wp:inline distT="0" distB="0" distL="0" distR="0" wp14:anchorId="52CAD2D5" wp14:editId="4A070ED8">
            <wp:extent cx="5143500" cy="3486150"/>
            <wp:effectExtent l="0" t="0" r="0" b="0"/>
            <wp:docPr id="16" name="Chart 16">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B5FE886" w14:textId="0722F2F1" w:rsidR="003C0FF0" w:rsidRPr="004212BB" w:rsidRDefault="004212BB" w:rsidP="004212BB">
      <w:pPr>
        <w:pStyle w:val="Caption"/>
        <w:rPr>
          <w:rFonts w:eastAsia="Calibri"/>
          <w:bCs/>
          <w:szCs w:val="24"/>
        </w:rPr>
      </w:pPr>
      <w:bookmarkStart w:id="128" w:name="_Toc37087770"/>
      <w:r>
        <w:t xml:space="preserve">Figure </w:t>
      </w:r>
      <w:fldSimple w:instr=" SEQ Figure \* ARABIC ">
        <w:r w:rsidR="0092747F">
          <w:rPr>
            <w:noProof/>
          </w:rPr>
          <w:t>27</w:t>
        </w:r>
      </w:fldSimple>
      <w:r>
        <w:rPr>
          <w:rFonts w:eastAsia="Calibri"/>
          <w:bCs/>
          <w:szCs w:val="24"/>
        </w:rPr>
        <w:t>-</w:t>
      </w:r>
      <w:r w:rsidR="003C0FF0" w:rsidRPr="004212BB">
        <w:rPr>
          <w:rFonts w:eastAsia="Calibri"/>
          <w:bCs/>
          <w:szCs w:val="24"/>
        </w:rPr>
        <w:t xml:space="preserve"> </w:t>
      </w:r>
      <w:r w:rsidR="00E52519" w:rsidRPr="004212BB">
        <w:rPr>
          <w:rFonts w:eastAsia="Calibri"/>
          <w:bCs/>
          <w:szCs w:val="24"/>
        </w:rPr>
        <w:t>Cumulative dynamic fluid loss for different fracture widths as function of cedar concentration.</w:t>
      </w:r>
      <w:bookmarkEnd w:id="128"/>
    </w:p>
    <w:p w14:paraId="49681CD1" w14:textId="77777777" w:rsidR="00006B6F" w:rsidRDefault="00006B6F" w:rsidP="00D71331">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The results show an increase </w:t>
      </w:r>
      <w:r w:rsidR="00DD23A6">
        <w:rPr>
          <w:rFonts w:ascii="Times New Roman" w:eastAsia="Calibri" w:hAnsi="Times New Roman" w:cs="Times New Roman"/>
          <w:bCs/>
          <w:sz w:val="24"/>
          <w:szCs w:val="24"/>
        </w:rPr>
        <w:t>in the</w:t>
      </w:r>
      <w:r>
        <w:rPr>
          <w:rFonts w:ascii="Times New Roman" w:eastAsia="Calibri" w:hAnsi="Times New Roman" w:cs="Times New Roman"/>
          <w:bCs/>
          <w:sz w:val="24"/>
          <w:szCs w:val="24"/>
        </w:rPr>
        <w:t xml:space="preserve"> cumulative dynamic fluid loss as the fracture width increases.</w:t>
      </w:r>
      <w:r w:rsidR="00A876B6">
        <w:rPr>
          <w:rFonts w:ascii="Times New Roman" w:eastAsia="Calibri" w:hAnsi="Times New Roman" w:cs="Times New Roman"/>
          <w:bCs/>
          <w:sz w:val="24"/>
          <w:szCs w:val="24"/>
        </w:rPr>
        <w:t xml:space="preserve"> This implies that </w:t>
      </w:r>
      <w:r w:rsidR="00DD23A6">
        <w:rPr>
          <w:rFonts w:ascii="Times New Roman" w:eastAsia="Calibri" w:hAnsi="Times New Roman" w:cs="Times New Roman"/>
          <w:bCs/>
          <w:sz w:val="24"/>
          <w:szCs w:val="24"/>
        </w:rPr>
        <w:t>lost circulation is more pronounced for wellbore with larger fracture openings.</w:t>
      </w:r>
      <w:r w:rsidR="00F12950">
        <w:rPr>
          <w:rFonts w:ascii="Times New Roman" w:eastAsia="Calibri" w:hAnsi="Times New Roman" w:cs="Times New Roman"/>
          <w:bCs/>
          <w:sz w:val="24"/>
          <w:szCs w:val="24"/>
        </w:rPr>
        <w:t xml:space="preserve"> </w:t>
      </w:r>
      <w:r w:rsidR="00F12950">
        <w:rPr>
          <w:rFonts w:ascii="Times New Roman" w:eastAsia="Calibri" w:hAnsi="Times New Roman" w:cs="Times New Roman"/>
          <w:bCs/>
          <w:sz w:val="24"/>
          <w:szCs w:val="24"/>
        </w:rPr>
        <w:lastRenderedPageBreak/>
        <w:t xml:space="preserve">This supported by a similar study performed by Ezeakacha et al. (2019). </w:t>
      </w:r>
      <w:r w:rsidR="00D15948">
        <w:rPr>
          <w:rFonts w:ascii="Times New Roman" w:eastAsia="Calibri" w:hAnsi="Times New Roman" w:cs="Times New Roman"/>
          <w:bCs/>
          <w:sz w:val="24"/>
          <w:szCs w:val="24"/>
        </w:rPr>
        <w:t>Additionally,</w:t>
      </w:r>
      <w:r w:rsidR="00F12950">
        <w:rPr>
          <w:rFonts w:ascii="Times New Roman" w:eastAsia="Calibri" w:hAnsi="Times New Roman" w:cs="Times New Roman"/>
          <w:bCs/>
          <w:sz w:val="24"/>
          <w:szCs w:val="24"/>
        </w:rPr>
        <w:t xml:space="preserve"> the cumulative fluid loss profile indicates that the lowest losses are obtained using the concentration of 20 lb/bbl cedar Fiber. </w:t>
      </w:r>
      <w:r w:rsidR="00DD23A6">
        <w:rPr>
          <w:rFonts w:ascii="Times New Roman" w:eastAsia="Calibri" w:hAnsi="Times New Roman" w:cs="Times New Roman"/>
          <w:bCs/>
          <w:sz w:val="24"/>
          <w:szCs w:val="24"/>
        </w:rPr>
        <w:t xml:space="preserve"> </w:t>
      </w:r>
      <w:r w:rsidR="00E46F06">
        <w:rPr>
          <w:rFonts w:ascii="Times New Roman" w:eastAsia="Calibri" w:hAnsi="Times New Roman" w:cs="Times New Roman"/>
          <w:bCs/>
          <w:sz w:val="24"/>
          <w:szCs w:val="24"/>
        </w:rPr>
        <w:t xml:space="preserve">This implies that this concentration will be effective in strengthening the wellbore and minimizing lost circulation. </w:t>
      </w:r>
      <w:r w:rsidR="009875E1">
        <w:rPr>
          <w:rFonts w:ascii="Times New Roman" w:eastAsia="Calibri" w:hAnsi="Times New Roman" w:cs="Times New Roman"/>
          <w:bCs/>
          <w:sz w:val="24"/>
          <w:szCs w:val="24"/>
        </w:rPr>
        <w:t>Higher concentration of cedar fiber (&gt;20 lb/bbl) was not used in this study because of pumpability issues.</w:t>
      </w:r>
      <w:r w:rsidR="00321B19">
        <w:rPr>
          <w:rFonts w:ascii="Times New Roman" w:eastAsia="Calibri" w:hAnsi="Times New Roman" w:cs="Times New Roman"/>
          <w:bCs/>
          <w:sz w:val="24"/>
          <w:szCs w:val="24"/>
        </w:rPr>
        <w:t xml:space="preserve"> A mud engineer from Goodrich (a major operator in the TMS) confirmed that most of the wells drilled by his company used a 20 lb/bbl concentration, which was effective in treating losses.</w:t>
      </w:r>
    </w:p>
    <w:p w14:paraId="3A266A59" w14:textId="77777777" w:rsidR="003C0FF0" w:rsidRPr="00D71331" w:rsidRDefault="009B6144" w:rsidP="00D71331">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Additionally, </w:t>
      </w:r>
      <w:r w:rsidR="009E746E">
        <w:rPr>
          <w:rFonts w:ascii="Times New Roman" w:eastAsia="Calibri" w:hAnsi="Times New Roman" w:cs="Times New Roman"/>
          <w:bCs/>
          <w:sz w:val="24"/>
          <w:szCs w:val="24"/>
        </w:rPr>
        <w:t xml:space="preserve">lost circulation is </w:t>
      </w:r>
      <w:r w:rsidR="00F46DC4">
        <w:rPr>
          <w:rFonts w:ascii="Times New Roman" w:eastAsia="Calibri" w:hAnsi="Times New Roman" w:cs="Times New Roman"/>
          <w:bCs/>
          <w:sz w:val="24"/>
          <w:szCs w:val="24"/>
        </w:rPr>
        <w:t>greatly influenced by fracture orientation and number of fractures.</w:t>
      </w:r>
      <w:r w:rsidR="004B51E3">
        <w:rPr>
          <w:rFonts w:ascii="Times New Roman" w:eastAsia="Calibri" w:hAnsi="Times New Roman" w:cs="Times New Roman"/>
          <w:bCs/>
          <w:sz w:val="24"/>
          <w:szCs w:val="24"/>
        </w:rPr>
        <w:t xml:space="preserve"> </w:t>
      </w:r>
      <w:r w:rsidR="004B51E3" w:rsidRPr="00133346">
        <w:rPr>
          <w:rFonts w:ascii="Times New Roman" w:eastAsia="Calibri" w:hAnsi="Times New Roman" w:cs="Times New Roman"/>
          <w:b/>
          <w:sz w:val="24"/>
          <w:szCs w:val="24"/>
        </w:rPr>
        <w:t xml:space="preserve">Figure </w:t>
      </w:r>
      <w:r w:rsidR="004212BB">
        <w:rPr>
          <w:rFonts w:ascii="Times New Roman" w:eastAsia="Calibri" w:hAnsi="Times New Roman" w:cs="Times New Roman"/>
          <w:b/>
          <w:sz w:val="24"/>
          <w:szCs w:val="24"/>
        </w:rPr>
        <w:t>2</w:t>
      </w:r>
      <w:r w:rsidR="005F59F8">
        <w:rPr>
          <w:rFonts w:ascii="Times New Roman" w:eastAsia="Calibri" w:hAnsi="Times New Roman" w:cs="Times New Roman"/>
          <w:b/>
          <w:sz w:val="24"/>
          <w:szCs w:val="24"/>
        </w:rPr>
        <w:t>8</w:t>
      </w:r>
      <w:r w:rsidR="00A05110">
        <w:rPr>
          <w:rFonts w:ascii="Times New Roman" w:eastAsia="Calibri" w:hAnsi="Times New Roman" w:cs="Times New Roman"/>
          <w:b/>
          <w:sz w:val="24"/>
          <w:szCs w:val="24"/>
        </w:rPr>
        <w:t xml:space="preserve"> </w:t>
      </w:r>
      <w:r w:rsidR="00E9388B">
        <w:rPr>
          <w:rFonts w:ascii="Times New Roman" w:eastAsia="Calibri" w:hAnsi="Times New Roman" w:cs="Times New Roman"/>
          <w:bCs/>
          <w:sz w:val="24"/>
          <w:szCs w:val="24"/>
        </w:rPr>
        <w:t>shows the impact of fracture orientation and number of fractures on dynamic fluid loss</w:t>
      </w:r>
      <w:r w:rsidR="0048485E">
        <w:rPr>
          <w:rFonts w:ascii="Times New Roman" w:eastAsia="Calibri" w:hAnsi="Times New Roman" w:cs="Times New Roman"/>
          <w:bCs/>
          <w:sz w:val="24"/>
          <w:szCs w:val="24"/>
        </w:rPr>
        <w:t>. All the fracture slots have the same total fracture width</w:t>
      </w:r>
      <w:r w:rsidR="00A33B86">
        <w:rPr>
          <w:rFonts w:ascii="Times New Roman" w:eastAsia="Calibri" w:hAnsi="Times New Roman" w:cs="Times New Roman"/>
          <w:bCs/>
          <w:sz w:val="24"/>
          <w:szCs w:val="24"/>
        </w:rPr>
        <w:t xml:space="preserve"> of 1000 µm.</w:t>
      </w:r>
    </w:p>
    <w:p w14:paraId="6ECAABCD" w14:textId="77777777" w:rsidR="003C0FF0" w:rsidRPr="00850559" w:rsidRDefault="003C0FF0" w:rsidP="00850559"/>
    <w:p w14:paraId="702DBEA5" w14:textId="77777777" w:rsidR="00FC1703" w:rsidRDefault="00850559" w:rsidP="00006B6F">
      <w:pPr>
        <w:jc w:val="center"/>
      </w:pPr>
      <w:r>
        <w:rPr>
          <w:noProof/>
        </w:rPr>
        <w:drawing>
          <wp:inline distT="0" distB="0" distL="0" distR="0" wp14:anchorId="0BD149AA" wp14:editId="7703C663">
            <wp:extent cx="5210175" cy="3409950"/>
            <wp:effectExtent l="0" t="0" r="9525" b="0"/>
            <wp:docPr id="17" name="Chart 17">
              <a:extLst xmlns:a="http://schemas.openxmlformats.org/drawingml/2006/main">
                <a:ext uri="{FF2B5EF4-FFF2-40B4-BE49-F238E27FC236}">
                  <a16:creationId xmlns:a16="http://schemas.microsoft.com/office/drawing/2014/main" id="{C76430AB-09CB-4161-BED5-4BFB480817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25F7C4CB" w14:textId="7DB8B76A" w:rsidR="00E9666A" w:rsidRPr="00A05110" w:rsidRDefault="00A05110" w:rsidP="00A05110">
      <w:pPr>
        <w:pStyle w:val="Caption"/>
        <w:rPr>
          <w:rFonts w:eastAsia="Calibri"/>
          <w:bCs/>
          <w:szCs w:val="24"/>
        </w:rPr>
      </w:pPr>
      <w:bookmarkStart w:id="129" w:name="_Toc37087771"/>
      <w:r>
        <w:t xml:space="preserve">Figure </w:t>
      </w:r>
      <w:fldSimple w:instr=" SEQ Figure \* ARABIC ">
        <w:r w:rsidR="0092747F">
          <w:rPr>
            <w:noProof/>
          </w:rPr>
          <w:t>28</w:t>
        </w:r>
      </w:fldSimple>
      <w:r>
        <w:rPr>
          <w:rFonts w:eastAsia="Calibri"/>
          <w:bCs/>
          <w:szCs w:val="24"/>
        </w:rPr>
        <w:t>-</w:t>
      </w:r>
      <w:r w:rsidR="00E9666A" w:rsidRPr="00A05110">
        <w:rPr>
          <w:rFonts w:eastAsia="Calibri"/>
          <w:bCs/>
          <w:szCs w:val="24"/>
        </w:rPr>
        <w:t xml:space="preserve"> Cumulative dynamic fluid loss </w:t>
      </w:r>
      <w:r w:rsidR="00961367" w:rsidRPr="00A05110">
        <w:rPr>
          <w:rFonts w:eastAsia="Calibri"/>
          <w:bCs/>
          <w:szCs w:val="24"/>
        </w:rPr>
        <w:t>as function of fracture orientation for one fracture width of 1000 µm.</w:t>
      </w:r>
      <w:bookmarkEnd w:id="129"/>
    </w:p>
    <w:p w14:paraId="2D45552C" w14:textId="77777777" w:rsidR="00E9666A" w:rsidRPr="003208AC" w:rsidRDefault="00752490" w:rsidP="00D71331">
      <w:pPr>
        <w:spacing w:line="480" w:lineRule="auto"/>
      </w:pPr>
      <w:r>
        <w:rPr>
          <w:rFonts w:ascii="Times New Roman" w:eastAsia="Calibri" w:hAnsi="Times New Roman" w:cs="Times New Roman"/>
          <w:bCs/>
          <w:sz w:val="24"/>
          <w:szCs w:val="24"/>
        </w:rPr>
        <w:lastRenderedPageBreak/>
        <w:t xml:space="preserve">The results show that the </w:t>
      </w:r>
      <w:r w:rsidR="004C1511">
        <w:rPr>
          <w:rFonts w:ascii="Times New Roman" w:eastAsia="Calibri" w:hAnsi="Times New Roman" w:cs="Times New Roman"/>
          <w:bCs/>
          <w:sz w:val="24"/>
          <w:szCs w:val="24"/>
        </w:rPr>
        <w:t>fracture slot with two 500 µm openings had lower dynamic loss compared to one fracture opening of 1000 µm.</w:t>
      </w:r>
      <w:r w:rsidR="009D657D">
        <w:rPr>
          <w:rFonts w:ascii="Times New Roman" w:eastAsia="Calibri" w:hAnsi="Times New Roman" w:cs="Times New Roman"/>
          <w:bCs/>
          <w:sz w:val="24"/>
          <w:szCs w:val="24"/>
        </w:rPr>
        <w:t xml:space="preserve"> Since both fracture slots have the same fracture width, they are expected to yield similar dynamic losses</w:t>
      </w:r>
      <w:r w:rsidR="00DA54D2">
        <w:rPr>
          <w:rFonts w:ascii="Times New Roman" w:eastAsia="Calibri" w:hAnsi="Times New Roman" w:cs="Times New Roman"/>
          <w:bCs/>
          <w:sz w:val="24"/>
          <w:szCs w:val="24"/>
        </w:rPr>
        <w:t xml:space="preserve">. </w:t>
      </w:r>
      <w:r w:rsidR="004D42C9">
        <w:rPr>
          <w:rFonts w:ascii="Times New Roman" w:eastAsia="Calibri" w:hAnsi="Times New Roman" w:cs="Times New Roman"/>
          <w:bCs/>
          <w:sz w:val="24"/>
          <w:szCs w:val="24"/>
        </w:rPr>
        <w:t>However, two openings of 500 µm are much easier to sealed as opposed to a 1000 µm opening</w:t>
      </w:r>
      <w:r w:rsidR="00FC42D1">
        <w:rPr>
          <w:rFonts w:ascii="Times New Roman" w:eastAsia="Calibri" w:hAnsi="Times New Roman" w:cs="Times New Roman"/>
          <w:bCs/>
          <w:sz w:val="24"/>
          <w:szCs w:val="24"/>
        </w:rPr>
        <w:t xml:space="preserve"> resulting in lower dynamic loss.</w:t>
      </w:r>
      <w:r w:rsidR="00B85F60">
        <w:rPr>
          <w:rFonts w:ascii="Times New Roman" w:eastAsia="Calibri" w:hAnsi="Times New Roman" w:cs="Times New Roman"/>
          <w:bCs/>
          <w:sz w:val="24"/>
          <w:szCs w:val="24"/>
        </w:rPr>
        <w:t xml:space="preserve"> Furthermore, the results show low dynamic losses with the horizontal fracture opening compared to vertical fracture.</w:t>
      </w:r>
      <w:r w:rsidR="004953EA">
        <w:rPr>
          <w:rFonts w:ascii="Times New Roman" w:eastAsia="Calibri" w:hAnsi="Times New Roman" w:cs="Times New Roman"/>
          <w:bCs/>
          <w:sz w:val="24"/>
          <w:szCs w:val="24"/>
        </w:rPr>
        <w:t xml:space="preserve"> </w:t>
      </w:r>
      <w:r w:rsidR="006A7FD1">
        <w:rPr>
          <w:rFonts w:ascii="Times New Roman" w:eastAsia="Calibri" w:hAnsi="Times New Roman" w:cs="Times New Roman"/>
          <w:bCs/>
          <w:sz w:val="24"/>
          <w:szCs w:val="24"/>
        </w:rPr>
        <w:t xml:space="preserve">Similar conclusion was reached </w:t>
      </w:r>
      <w:r w:rsidR="004953EA">
        <w:rPr>
          <w:rFonts w:ascii="Times New Roman" w:eastAsia="Calibri" w:hAnsi="Times New Roman" w:cs="Times New Roman"/>
          <w:bCs/>
          <w:sz w:val="24"/>
          <w:szCs w:val="24"/>
        </w:rPr>
        <w:t>by Ezeakacha et al. (2019)</w:t>
      </w:r>
      <w:r w:rsidR="006A7FD1">
        <w:rPr>
          <w:rFonts w:ascii="Times New Roman" w:eastAsia="Calibri" w:hAnsi="Times New Roman" w:cs="Times New Roman"/>
          <w:bCs/>
          <w:sz w:val="24"/>
          <w:szCs w:val="24"/>
        </w:rPr>
        <w:t>.</w:t>
      </w:r>
      <w:r w:rsidR="002E58B8">
        <w:rPr>
          <w:rFonts w:ascii="Times New Roman" w:eastAsia="Calibri" w:hAnsi="Times New Roman" w:cs="Times New Roman"/>
          <w:bCs/>
          <w:sz w:val="24"/>
          <w:szCs w:val="24"/>
        </w:rPr>
        <w:t xml:space="preserve"> The low dynamic losses with the horizontal fracture can be attributed to two main factors</w:t>
      </w:r>
      <w:r w:rsidR="00CF592A">
        <w:rPr>
          <w:rFonts w:ascii="Times New Roman" w:eastAsia="Calibri" w:hAnsi="Times New Roman" w:cs="Times New Roman"/>
          <w:bCs/>
          <w:sz w:val="24"/>
          <w:szCs w:val="24"/>
        </w:rPr>
        <w:t>: the variation in volume and the wellbore orientation.</w:t>
      </w:r>
      <w:r w:rsidR="00C224BC">
        <w:rPr>
          <w:rFonts w:ascii="Times New Roman" w:eastAsia="Calibri" w:hAnsi="Times New Roman" w:cs="Times New Roman"/>
          <w:bCs/>
          <w:sz w:val="24"/>
          <w:szCs w:val="24"/>
        </w:rPr>
        <w:t xml:space="preserve"> Despite having similar total fracture widths, the horizontal fracture has lower height compared to vertical fracture resulting in lower overall </w:t>
      </w:r>
      <w:r w:rsidR="001D44FA">
        <w:rPr>
          <w:rFonts w:ascii="Times New Roman" w:eastAsia="Calibri" w:hAnsi="Times New Roman" w:cs="Times New Roman"/>
          <w:bCs/>
          <w:sz w:val="24"/>
          <w:szCs w:val="24"/>
        </w:rPr>
        <w:t xml:space="preserve">fracture </w:t>
      </w:r>
      <w:r w:rsidR="00C224BC">
        <w:rPr>
          <w:rFonts w:ascii="Times New Roman" w:eastAsia="Calibri" w:hAnsi="Times New Roman" w:cs="Times New Roman"/>
          <w:bCs/>
          <w:sz w:val="24"/>
          <w:szCs w:val="24"/>
        </w:rPr>
        <w:t>volume</w:t>
      </w:r>
      <w:r w:rsidR="001D44FA">
        <w:rPr>
          <w:rFonts w:ascii="Times New Roman" w:eastAsia="Calibri" w:hAnsi="Times New Roman" w:cs="Times New Roman"/>
          <w:bCs/>
          <w:sz w:val="24"/>
          <w:szCs w:val="24"/>
        </w:rPr>
        <w:t>.</w:t>
      </w:r>
      <w:r w:rsidR="007664DF">
        <w:rPr>
          <w:rFonts w:ascii="Times New Roman" w:eastAsia="Calibri" w:hAnsi="Times New Roman" w:cs="Times New Roman"/>
          <w:bCs/>
          <w:sz w:val="24"/>
          <w:szCs w:val="24"/>
        </w:rPr>
        <w:t xml:space="preserve"> A vertical wellbore is used in study, so the LCM mud flows vertically which results in faster sealing time for horizontal fractures.</w:t>
      </w:r>
      <w:r w:rsidR="00086B83">
        <w:rPr>
          <w:rFonts w:ascii="Times New Roman" w:eastAsia="Calibri" w:hAnsi="Times New Roman" w:cs="Times New Roman"/>
          <w:bCs/>
          <w:sz w:val="24"/>
          <w:szCs w:val="24"/>
        </w:rPr>
        <w:t xml:space="preserve"> This study indicates that fracture positioning and orientation greatly impact dynamic fluid loss during drilling. </w:t>
      </w:r>
      <w:r w:rsidR="006A0C00">
        <w:rPr>
          <w:rFonts w:ascii="Times New Roman" w:eastAsia="Calibri" w:hAnsi="Times New Roman" w:cs="Times New Roman"/>
          <w:bCs/>
          <w:sz w:val="24"/>
          <w:szCs w:val="24"/>
        </w:rPr>
        <w:t>Overall, treatment of loss circulation in this formation is highly dependent the type and concentration of LCM, the temperature, and fracture width</w:t>
      </w:r>
      <w:r w:rsidR="00FA2550">
        <w:rPr>
          <w:rFonts w:ascii="Times New Roman" w:eastAsia="Calibri" w:hAnsi="Times New Roman" w:cs="Times New Roman"/>
          <w:bCs/>
          <w:sz w:val="24"/>
          <w:szCs w:val="24"/>
        </w:rPr>
        <w:t>. This is also supported by studies performed by Ezeakacha et al. (2017</w:t>
      </w:r>
      <w:r w:rsidR="00A61795">
        <w:rPr>
          <w:rFonts w:ascii="Times New Roman" w:eastAsia="Calibri" w:hAnsi="Times New Roman" w:cs="Times New Roman"/>
          <w:bCs/>
          <w:sz w:val="24"/>
          <w:szCs w:val="24"/>
        </w:rPr>
        <w:t>) and</w:t>
      </w:r>
      <w:r w:rsidR="00FA2550">
        <w:rPr>
          <w:rFonts w:ascii="Times New Roman" w:eastAsia="Calibri" w:hAnsi="Times New Roman" w:cs="Times New Roman"/>
          <w:bCs/>
          <w:sz w:val="24"/>
          <w:szCs w:val="24"/>
        </w:rPr>
        <w:t xml:space="preserve"> </w:t>
      </w:r>
      <w:r w:rsidR="00A61795">
        <w:rPr>
          <w:rFonts w:ascii="Times New Roman" w:eastAsia="Calibri" w:hAnsi="Times New Roman" w:cs="Times New Roman"/>
          <w:bCs/>
          <w:sz w:val="24"/>
          <w:szCs w:val="24"/>
        </w:rPr>
        <w:t>Ezeakacha et al. (</w:t>
      </w:r>
      <w:r w:rsidR="00FA2550">
        <w:rPr>
          <w:rFonts w:ascii="Times New Roman" w:eastAsia="Calibri" w:hAnsi="Times New Roman" w:cs="Times New Roman"/>
          <w:bCs/>
          <w:sz w:val="24"/>
          <w:szCs w:val="24"/>
        </w:rPr>
        <w:t>2019) which suggested that factors such as LCM type, temperature, and lithology impact the rate of dynamic loss.</w:t>
      </w:r>
    </w:p>
    <w:p w14:paraId="57E14004" w14:textId="77777777" w:rsidR="00616D91" w:rsidRDefault="00616D91" w:rsidP="00616D91">
      <w:pPr>
        <w:pStyle w:val="Heading2"/>
        <w:numPr>
          <w:ilvl w:val="1"/>
          <w:numId w:val="15"/>
        </w:numPr>
      </w:pPr>
      <w:bookmarkStart w:id="130" w:name="_Toc39751626"/>
      <w:r>
        <w:t xml:space="preserve">Drilling </w:t>
      </w:r>
      <w:r w:rsidR="00F57BAF">
        <w:t>Performance</w:t>
      </w:r>
      <w:bookmarkEnd w:id="130"/>
      <w:r>
        <w:t xml:space="preserve"> </w:t>
      </w:r>
    </w:p>
    <w:p w14:paraId="7761BAC8" w14:textId="77777777" w:rsidR="00600FE0" w:rsidRPr="0093581C" w:rsidRDefault="00600FE0" w:rsidP="00D71331">
      <w:pPr>
        <w:spacing w:line="480" w:lineRule="auto"/>
        <w:rPr>
          <w:rFonts w:ascii="Times New Roman" w:eastAsia="Calibri" w:hAnsi="Times New Roman" w:cs="Times New Roman"/>
          <w:sz w:val="24"/>
          <w:szCs w:val="24"/>
        </w:rPr>
      </w:pPr>
      <w:r w:rsidRPr="0093581C">
        <w:rPr>
          <w:rFonts w:ascii="Times New Roman" w:eastAsia="Calibri" w:hAnsi="Times New Roman" w:cs="Times New Roman"/>
          <w:sz w:val="24"/>
          <w:szCs w:val="24"/>
        </w:rPr>
        <w:t xml:space="preserve">In order to effectively evaluate the performance of drilling fluid systems, it is crucial to analyze their impact on drilling parameters such as torque, friction factor, rate of penetration (ROP), and the mechanical specific energy (MSE). </w:t>
      </w:r>
    </w:p>
    <w:p w14:paraId="7B4788FB" w14:textId="77777777" w:rsidR="00616D91" w:rsidRDefault="00616D91" w:rsidP="0003629F">
      <w:pPr>
        <w:pStyle w:val="Heading3"/>
        <w:numPr>
          <w:ilvl w:val="2"/>
          <w:numId w:val="15"/>
        </w:numPr>
      </w:pPr>
      <w:bookmarkStart w:id="131" w:name="_Toc39751627"/>
      <w:r>
        <w:t>Torque and Friction Factor During Drilling</w:t>
      </w:r>
      <w:bookmarkEnd w:id="131"/>
    </w:p>
    <w:p w14:paraId="025F0EFB" w14:textId="77777777" w:rsidR="0093581C" w:rsidRPr="0093581C" w:rsidRDefault="0093581C" w:rsidP="00D71331">
      <w:pPr>
        <w:spacing w:line="480" w:lineRule="auto"/>
        <w:rPr>
          <w:rFonts w:ascii="Times New Roman" w:eastAsia="Calibri" w:hAnsi="Times New Roman" w:cs="Times New Roman"/>
          <w:sz w:val="24"/>
          <w:szCs w:val="24"/>
        </w:rPr>
      </w:pPr>
      <w:r w:rsidRPr="0093581C">
        <w:rPr>
          <w:rFonts w:ascii="Times New Roman" w:eastAsia="Calibri" w:hAnsi="Times New Roman" w:cs="Times New Roman"/>
          <w:sz w:val="24"/>
          <w:szCs w:val="24"/>
        </w:rPr>
        <w:t xml:space="preserve">Excessive torque and friction factor during drilling constitute a major concern for all drilling operators. Excessive torque and friction factor during drilling could be an indication of possible </w:t>
      </w:r>
      <w:r w:rsidRPr="0093581C">
        <w:rPr>
          <w:rFonts w:ascii="Times New Roman" w:eastAsia="Calibri" w:hAnsi="Times New Roman" w:cs="Times New Roman"/>
          <w:sz w:val="24"/>
          <w:szCs w:val="24"/>
        </w:rPr>
        <w:lastRenderedPageBreak/>
        <w:t xml:space="preserve">pipe sticking, which is one cause of wellbore instability. High torque and drag forces, and friction factor constitute major limitations in extended reach, direction wells, and deep wells as they prevent operators from reaching target or increase the total drilling time. Drilling performance can be improved by minimizing both torque and friction factor during drilling. In this </w:t>
      </w:r>
      <w:r w:rsidR="002216A8">
        <w:rPr>
          <w:rFonts w:ascii="Times New Roman" w:eastAsia="Calibri" w:hAnsi="Times New Roman" w:cs="Times New Roman"/>
          <w:sz w:val="24"/>
          <w:szCs w:val="24"/>
        </w:rPr>
        <w:t>work</w:t>
      </w:r>
      <w:r w:rsidRPr="0093581C">
        <w:rPr>
          <w:rFonts w:ascii="Times New Roman" w:eastAsia="Calibri" w:hAnsi="Times New Roman" w:cs="Times New Roman"/>
          <w:sz w:val="24"/>
          <w:szCs w:val="24"/>
        </w:rPr>
        <w:t xml:space="preserve">, the effect of inhibitive mud systems on torque and friction factor during </w:t>
      </w:r>
      <w:r w:rsidR="002216A8">
        <w:rPr>
          <w:rFonts w:ascii="Times New Roman" w:eastAsia="Calibri" w:hAnsi="Times New Roman" w:cs="Times New Roman"/>
          <w:sz w:val="24"/>
          <w:szCs w:val="24"/>
        </w:rPr>
        <w:t xml:space="preserve">shale </w:t>
      </w:r>
      <w:r w:rsidRPr="0093581C">
        <w:rPr>
          <w:rFonts w:ascii="Times New Roman" w:eastAsia="Calibri" w:hAnsi="Times New Roman" w:cs="Times New Roman"/>
          <w:sz w:val="24"/>
          <w:szCs w:val="24"/>
        </w:rPr>
        <w:t xml:space="preserve">drilling was evaluated in the TMS. </w:t>
      </w:r>
      <w:r w:rsidRPr="0093581C">
        <w:rPr>
          <w:rFonts w:ascii="Times New Roman" w:eastAsia="Calibri" w:hAnsi="Times New Roman" w:cs="Times New Roman"/>
          <w:b/>
          <w:sz w:val="24"/>
          <w:szCs w:val="24"/>
        </w:rPr>
        <w:t xml:space="preserve">Figure </w:t>
      </w:r>
      <w:r w:rsidR="0044305B">
        <w:rPr>
          <w:rFonts w:ascii="Times New Roman" w:eastAsia="Calibri" w:hAnsi="Times New Roman" w:cs="Times New Roman"/>
          <w:b/>
          <w:sz w:val="24"/>
          <w:szCs w:val="24"/>
        </w:rPr>
        <w:t>2</w:t>
      </w:r>
      <w:r w:rsidR="005F59F8">
        <w:rPr>
          <w:rFonts w:ascii="Times New Roman" w:eastAsia="Calibri" w:hAnsi="Times New Roman" w:cs="Times New Roman"/>
          <w:b/>
          <w:sz w:val="24"/>
          <w:szCs w:val="24"/>
        </w:rPr>
        <w:t>9</w:t>
      </w:r>
      <w:r w:rsidRPr="0093581C">
        <w:rPr>
          <w:rFonts w:ascii="Times New Roman" w:eastAsia="Calibri" w:hAnsi="Times New Roman" w:cs="Times New Roman"/>
          <w:sz w:val="24"/>
          <w:szCs w:val="24"/>
        </w:rPr>
        <w:t xml:space="preserve"> and </w:t>
      </w:r>
      <w:r w:rsidR="00684977">
        <w:rPr>
          <w:rFonts w:ascii="Times New Roman" w:eastAsia="Calibri" w:hAnsi="Times New Roman" w:cs="Times New Roman"/>
          <w:b/>
          <w:sz w:val="24"/>
          <w:szCs w:val="24"/>
        </w:rPr>
        <w:t>F</w:t>
      </w:r>
      <w:r w:rsidRPr="0093581C">
        <w:rPr>
          <w:rFonts w:ascii="Times New Roman" w:eastAsia="Calibri" w:hAnsi="Times New Roman" w:cs="Times New Roman"/>
          <w:b/>
          <w:sz w:val="24"/>
          <w:szCs w:val="24"/>
        </w:rPr>
        <w:t xml:space="preserve">igure </w:t>
      </w:r>
      <w:r w:rsidR="005F59F8">
        <w:rPr>
          <w:rFonts w:ascii="Times New Roman" w:eastAsia="Calibri" w:hAnsi="Times New Roman" w:cs="Times New Roman"/>
          <w:b/>
          <w:sz w:val="24"/>
          <w:szCs w:val="24"/>
        </w:rPr>
        <w:t>30</w:t>
      </w:r>
      <w:r w:rsidRPr="0093581C">
        <w:rPr>
          <w:rFonts w:ascii="Times New Roman" w:eastAsia="Calibri" w:hAnsi="Times New Roman" w:cs="Times New Roman"/>
          <w:sz w:val="24"/>
          <w:szCs w:val="24"/>
        </w:rPr>
        <w:t xml:space="preserve"> show the torque and friction factor profiles respectively. The profiles revealed an increasing relationship between both the torque and the friction factor and the weight on bit (WOB). Among the drilling fluid systems tested, the conventional WBM showed the highest torque and friction factor while the cesium formate showed the minimum. The inhibitive mud systems showed a reduction of more than 50%</w:t>
      </w:r>
      <w:r w:rsidR="002216A8">
        <w:rPr>
          <w:rFonts w:ascii="Times New Roman" w:eastAsia="Calibri" w:hAnsi="Times New Roman" w:cs="Times New Roman"/>
          <w:sz w:val="24"/>
          <w:szCs w:val="24"/>
        </w:rPr>
        <w:t xml:space="preserve"> in both torque and friction factor at higher WOB</w:t>
      </w:r>
      <w:r w:rsidRPr="0093581C">
        <w:rPr>
          <w:rFonts w:ascii="Times New Roman" w:eastAsia="Calibri" w:hAnsi="Times New Roman" w:cs="Times New Roman"/>
          <w:sz w:val="24"/>
          <w:szCs w:val="24"/>
        </w:rPr>
        <w:t xml:space="preserve">. This indicates that all three inhibitive mud systems tested in this study provide better drilling performance as opposed to conventional WBM. The comparative analysis of the performance of all four drilling fluid systems was performed on samples from </w:t>
      </w:r>
      <w:r w:rsidR="00913951">
        <w:rPr>
          <w:rFonts w:ascii="Times New Roman" w:eastAsia="Calibri" w:hAnsi="Times New Roman" w:cs="Times New Roman"/>
          <w:sz w:val="24"/>
          <w:szCs w:val="24"/>
        </w:rPr>
        <w:t>Well drilled into the TMS</w:t>
      </w:r>
      <w:r w:rsidRPr="0093581C">
        <w:rPr>
          <w:rFonts w:ascii="Times New Roman" w:eastAsia="Calibri" w:hAnsi="Times New Roman" w:cs="Times New Roman"/>
          <w:sz w:val="24"/>
          <w:szCs w:val="24"/>
        </w:rPr>
        <w:t xml:space="preserve">. The low torque and friction factor realized with the inhibitive mud systems show the positive impact they have on shale drilling performance. Among the inhibitive mud systems, the cesium formate brine provided the lowest friction factor and torque, which indicated better drilling performance compared to the KCl based systems. </w:t>
      </w:r>
    </w:p>
    <w:p w14:paraId="13CE6829" w14:textId="77777777" w:rsidR="0093581C" w:rsidRPr="0093581C" w:rsidRDefault="00A5724D" w:rsidP="0093581C">
      <w:pPr>
        <w:jc w:val="center"/>
        <w:rPr>
          <w:rFonts w:ascii="Times New Roman" w:eastAsia="Calibri" w:hAnsi="Times New Roman" w:cs="Times New Roman"/>
          <w:sz w:val="24"/>
          <w:szCs w:val="24"/>
        </w:rPr>
      </w:pPr>
      <w:r>
        <w:rPr>
          <w:noProof/>
        </w:rPr>
        <w:lastRenderedPageBreak/>
        <w:drawing>
          <wp:inline distT="0" distB="0" distL="0" distR="0" wp14:anchorId="66DEB6AE" wp14:editId="09130EA6">
            <wp:extent cx="4572000" cy="3519488"/>
            <wp:effectExtent l="0" t="0" r="0" b="5080"/>
            <wp:docPr id="19" name="Chart 19">
              <a:extLst xmlns:a="http://schemas.openxmlformats.org/drawingml/2006/main">
                <a:ext uri="{FF2B5EF4-FFF2-40B4-BE49-F238E27FC236}">
                  <a16:creationId xmlns:a16="http://schemas.microsoft.com/office/drawing/2014/main" id="{FC79BA25-91F6-4BCC-940F-2DFE47A48E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07EB07B" w14:textId="6DC94460" w:rsidR="0093581C" w:rsidRPr="0055674A" w:rsidRDefault="0055674A" w:rsidP="0055674A">
      <w:pPr>
        <w:pStyle w:val="Caption"/>
        <w:rPr>
          <w:rFonts w:eastAsia="Calibri"/>
          <w:bCs/>
          <w:szCs w:val="24"/>
        </w:rPr>
      </w:pPr>
      <w:bookmarkStart w:id="132" w:name="_Toc37087772"/>
      <w:r>
        <w:t xml:space="preserve">Figure </w:t>
      </w:r>
      <w:fldSimple w:instr=" SEQ Figure \* ARABIC ">
        <w:r w:rsidR="0092747F">
          <w:rPr>
            <w:noProof/>
          </w:rPr>
          <w:t>29</w:t>
        </w:r>
      </w:fldSimple>
      <w:r>
        <w:rPr>
          <w:rFonts w:eastAsia="Calibri"/>
          <w:bCs/>
          <w:szCs w:val="24"/>
        </w:rPr>
        <w:t>-</w:t>
      </w:r>
      <w:r w:rsidR="0093581C" w:rsidRPr="0055674A">
        <w:rPr>
          <w:rFonts w:eastAsia="Calibri"/>
          <w:bCs/>
          <w:szCs w:val="24"/>
        </w:rPr>
        <w:t xml:space="preserve"> Effect of the tested drilling fluid systems on torque during drilling.</w:t>
      </w:r>
      <w:bookmarkEnd w:id="132"/>
    </w:p>
    <w:p w14:paraId="47454962" w14:textId="77777777" w:rsidR="0093581C" w:rsidRPr="00610458" w:rsidRDefault="00A5724D" w:rsidP="00610458">
      <w:pPr>
        <w:jc w:val="center"/>
        <w:rPr>
          <w:rFonts w:ascii="Times New Roman" w:eastAsia="Calibri" w:hAnsi="Times New Roman" w:cs="Times New Roman"/>
          <w:b/>
          <w:sz w:val="24"/>
          <w:szCs w:val="24"/>
        </w:rPr>
      </w:pPr>
      <w:r>
        <w:rPr>
          <w:noProof/>
        </w:rPr>
        <w:drawing>
          <wp:inline distT="0" distB="0" distL="0" distR="0" wp14:anchorId="3B25BD30" wp14:editId="31D7ADD5">
            <wp:extent cx="4972050" cy="3548064"/>
            <wp:effectExtent l="0" t="0" r="0" b="14605"/>
            <wp:docPr id="18" name="Chart 18">
              <a:extLst xmlns:a="http://schemas.openxmlformats.org/drawingml/2006/main">
                <a:ext uri="{FF2B5EF4-FFF2-40B4-BE49-F238E27FC236}">
                  <a16:creationId xmlns:a16="http://schemas.microsoft.com/office/drawing/2014/main" id="{2808EA4D-F199-450C-9E93-B22D0787C4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0093581C" w:rsidRPr="0093581C">
        <w:rPr>
          <w:rFonts w:ascii="Times New Roman" w:eastAsia="Calibri" w:hAnsi="Times New Roman" w:cs="Times New Roman"/>
          <w:noProof/>
          <w:sz w:val="24"/>
          <w:szCs w:val="24"/>
        </w:rPr>
        <w:t xml:space="preserve"> </w:t>
      </w:r>
    </w:p>
    <w:p w14:paraId="481D0141" w14:textId="0AEB3E4E" w:rsidR="00FB1C59" w:rsidRPr="000E4ECC" w:rsidRDefault="000E4ECC" w:rsidP="000E4ECC">
      <w:pPr>
        <w:pStyle w:val="Caption"/>
        <w:rPr>
          <w:rFonts w:eastAsia="Calibri"/>
          <w:bCs/>
          <w:szCs w:val="24"/>
        </w:rPr>
      </w:pPr>
      <w:bookmarkStart w:id="133" w:name="_Toc37087773"/>
      <w:r>
        <w:t xml:space="preserve">Figure </w:t>
      </w:r>
      <w:fldSimple w:instr=" SEQ Figure \* ARABIC ">
        <w:r w:rsidR="0092747F">
          <w:rPr>
            <w:noProof/>
          </w:rPr>
          <w:t>30</w:t>
        </w:r>
      </w:fldSimple>
      <w:r>
        <w:rPr>
          <w:rFonts w:eastAsia="Calibri"/>
          <w:bCs/>
          <w:szCs w:val="24"/>
        </w:rPr>
        <w:t>-</w:t>
      </w:r>
      <w:r w:rsidR="0093581C" w:rsidRPr="000E4ECC">
        <w:rPr>
          <w:rFonts w:eastAsia="Calibri"/>
          <w:bCs/>
          <w:szCs w:val="24"/>
        </w:rPr>
        <w:t xml:space="preserve"> Effect of the tested drilling fluid systems on friction factor during drilling</w:t>
      </w:r>
      <w:bookmarkEnd w:id="133"/>
    </w:p>
    <w:p w14:paraId="1BC5ED7D" w14:textId="77777777" w:rsidR="00616D91" w:rsidRDefault="00616D91" w:rsidP="0003629F">
      <w:pPr>
        <w:pStyle w:val="Heading3"/>
        <w:numPr>
          <w:ilvl w:val="2"/>
          <w:numId w:val="15"/>
        </w:numPr>
      </w:pPr>
      <w:bookmarkStart w:id="134" w:name="_Toc39751628"/>
      <w:r>
        <w:lastRenderedPageBreak/>
        <w:t>Rate of Penetration (ROP) Optimization</w:t>
      </w:r>
      <w:bookmarkEnd w:id="134"/>
    </w:p>
    <w:p w14:paraId="133483D8" w14:textId="77777777" w:rsidR="000109C1" w:rsidRDefault="00FC1703" w:rsidP="00D71331">
      <w:pPr>
        <w:spacing w:line="480" w:lineRule="auto"/>
        <w:rPr>
          <w:rFonts w:ascii="Times New Roman" w:eastAsia="Calibri" w:hAnsi="Times New Roman" w:cs="Times New Roman"/>
          <w:sz w:val="24"/>
          <w:szCs w:val="24"/>
        </w:rPr>
      </w:pPr>
      <w:r w:rsidRPr="00FC1703">
        <w:rPr>
          <w:rFonts w:ascii="Times New Roman" w:eastAsia="Calibri" w:hAnsi="Times New Roman" w:cs="Times New Roman"/>
          <w:sz w:val="24"/>
          <w:szCs w:val="24"/>
        </w:rPr>
        <w:t xml:space="preserve">The rate of penetration (ROP) constitutes one of the most important parameters to evaluate when analyzing drilling performance. The ROP refers to how fast we can drill. Most shale formations such as the TMS and the Eagle Ford are characterized by low drilling rate. This issue is mostly due to factors such as bit-balling, pipe hole sloughing that are caused by the incompatibility between the inappropriate fluid system and the formation. In this study, the effect of inhibitive mud systems (1 wt% &amp; 2 wt% KCl, cesium formate), and the conventional WBM on the drilling rate was evaluated in the TMS. The rate of penetration is characterized as a dependent parameter that can be predicted using independent parameters such as weight on bit (WOB), and rotary speed. The drilling conditions were consistent and all the same for drilling tests in order to fully evaluated the effect of drilling fluid systems. </w:t>
      </w:r>
      <w:r w:rsidRPr="00FC1703">
        <w:rPr>
          <w:rFonts w:ascii="Times New Roman" w:eastAsia="Calibri" w:hAnsi="Times New Roman" w:cs="Times New Roman"/>
          <w:b/>
          <w:sz w:val="24"/>
          <w:szCs w:val="24"/>
        </w:rPr>
        <w:t xml:space="preserve">Figure </w:t>
      </w:r>
      <w:r w:rsidR="000E4ECC">
        <w:rPr>
          <w:rFonts w:ascii="Times New Roman" w:eastAsia="Calibri" w:hAnsi="Times New Roman" w:cs="Times New Roman"/>
          <w:b/>
          <w:sz w:val="24"/>
          <w:szCs w:val="24"/>
        </w:rPr>
        <w:t>3</w:t>
      </w:r>
      <w:r w:rsidR="005F59F8">
        <w:rPr>
          <w:rFonts w:ascii="Times New Roman" w:eastAsia="Calibri" w:hAnsi="Times New Roman" w:cs="Times New Roman"/>
          <w:b/>
          <w:sz w:val="24"/>
          <w:szCs w:val="24"/>
        </w:rPr>
        <w:t>1</w:t>
      </w:r>
      <w:r w:rsidRPr="00FC1703">
        <w:rPr>
          <w:rFonts w:ascii="Times New Roman" w:eastAsia="Calibri" w:hAnsi="Times New Roman" w:cs="Times New Roman"/>
          <w:sz w:val="24"/>
          <w:szCs w:val="24"/>
        </w:rPr>
        <w:t xml:space="preserve"> shows the ROP profile of the drilling fluid systems tested on TMS core samples. </w:t>
      </w:r>
    </w:p>
    <w:p w14:paraId="60B2A81E" w14:textId="77777777" w:rsidR="000109C1" w:rsidRDefault="000109C1" w:rsidP="000109C1">
      <w:pPr>
        <w:spacing w:line="276" w:lineRule="auto"/>
        <w:jc w:val="center"/>
        <w:rPr>
          <w:rFonts w:ascii="Times New Roman" w:eastAsia="Calibri" w:hAnsi="Times New Roman" w:cs="Times New Roman"/>
          <w:sz w:val="24"/>
          <w:szCs w:val="24"/>
        </w:rPr>
      </w:pPr>
      <w:r>
        <w:rPr>
          <w:noProof/>
        </w:rPr>
        <w:drawing>
          <wp:inline distT="0" distB="0" distL="0" distR="0" wp14:anchorId="3A34A496" wp14:editId="109AF107">
            <wp:extent cx="4962525" cy="3890964"/>
            <wp:effectExtent l="0" t="0" r="9525" b="14605"/>
            <wp:docPr id="21" name="Chart 21">
              <a:extLst xmlns:a="http://schemas.openxmlformats.org/drawingml/2006/main">
                <a:ext uri="{FF2B5EF4-FFF2-40B4-BE49-F238E27FC236}">
                  <a16:creationId xmlns:a16="http://schemas.microsoft.com/office/drawing/2014/main" id="{FA386B98-86B5-4CD7-BBF2-79F749A809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0E87F02" w14:textId="12CEE017" w:rsidR="000109C1" w:rsidRPr="00B51568" w:rsidRDefault="00B51568" w:rsidP="00B51568">
      <w:pPr>
        <w:pStyle w:val="Caption"/>
        <w:rPr>
          <w:rFonts w:eastAsia="Calibri"/>
          <w:bCs/>
          <w:szCs w:val="24"/>
        </w:rPr>
      </w:pPr>
      <w:bookmarkStart w:id="135" w:name="_Toc37087774"/>
      <w:r>
        <w:lastRenderedPageBreak/>
        <w:t xml:space="preserve">Figure </w:t>
      </w:r>
      <w:fldSimple w:instr=" SEQ Figure \* ARABIC ">
        <w:r w:rsidR="0092747F">
          <w:rPr>
            <w:noProof/>
          </w:rPr>
          <w:t>31</w:t>
        </w:r>
      </w:fldSimple>
      <w:r>
        <w:rPr>
          <w:rFonts w:eastAsia="Calibri"/>
          <w:bCs/>
          <w:szCs w:val="24"/>
        </w:rPr>
        <w:t>-</w:t>
      </w:r>
      <w:r w:rsidR="000109C1" w:rsidRPr="00B51568">
        <w:rPr>
          <w:rFonts w:eastAsia="Calibri"/>
          <w:bCs/>
          <w:szCs w:val="24"/>
        </w:rPr>
        <w:t xml:space="preserve"> ROP profile of the tested drilling fluid systems</w:t>
      </w:r>
      <w:bookmarkEnd w:id="135"/>
      <w:r w:rsidR="000109C1" w:rsidRPr="00B51568">
        <w:rPr>
          <w:rFonts w:eastAsia="Calibri"/>
          <w:bCs/>
          <w:szCs w:val="24"/>
        </w:rPr>
        <w:t xml:space="preserve"> </w:t>
      </w:r>
    </w:p>
    <w:p w14:paraId="325D5016" w14:textId="77777777" w:rsidR="0093581C" w:rsidRPr="000109C1" w:rsidRDefault="00FC1703" w:rsidP="00D71331">
      <w:pPr>
        <w:spacing w:line="480" w:lineRule="auto"/>
        <w:rPr>
          <w:rFonts w:ascii="Times New Roman" w:eastAsia="Calibri" w:hAnsi="Times New Roman" w:cs="Times New Roman"/>
          <w:sz w:val="24"/>
          <w:szCs w:val="24"/>
        </w:rPr>
      </w:pPr>
      <w:r w:rsidRPr="00FC1703">
        <w:rPr>
          <w:rFonts w:ascii="Times New Roman" w:eastAsia="Calibri" w:hAnsi="Times New Roman" w:cs="Times New Roman"/>
          <w:sz w:val="24"/>
          <w:szCs w:val="24"/>
        </w:rPr>
        <w:t>The results show an increasing correlation between the ROP and the WOB for all drilling fluid systems. Based on the ROP profile, conventional WBM showed the lowest ROP at various weight on bit (WOB) among the drilling fluid systems tested. This result was an indication of the incompatibility issues associated with WBM. Among the inhibitive mud systems tested, the cesium formate showed the highest rates followed by the 2 wt% KCl, and finally the 1 wt% KCl. This analysis indicates that cesium formate could constitute the most appropriate drilling fluid systems for reactive shale formations due to its elevated rate of penetration.</w:t>
      </w:r>
      <w:r w:rsidRPr="00FC1703">
        <w:rPr>
          <w:rFonts w:ascii="Times New Roman" w:eastAsia="Calibri" w:hAnsi="Times New Roman" w:cs="Times New Roman"/>
          <w:sz w:val="36"/>
          <w:szCs w:val="24"/>
        </w:rPr>
        <w:t xml:space="preserve"> </w:t>
      </w:r>
      <w:r w:rsidRPr="00FC1703">
        <w:rPr>
          <w:rFonts w:ascii="Times New Roman" w:eastAsia="Calibri" w:hAnsi="Times New Roman" w:cs="Times New Roman"/>
          <w:sz w:val="24"/>
          <w:szCs w:val="24"/>
        </w:rPr>
        <w:t>However, due to the high cost of cesium formate and the closeness in drilling performance between the cesium formate and the 2% KCl fluid system, the use of KCl fluid systems will be more suitable as it will be cost effective and simultaneously solve the issue of low drilling rate in reactive shales These results were also supported by the swelling indices obtained in both formations for the tested drilling fluid systems.</w:t>
      </w:r>
      <w:r w:rsidR="00B238F5">
        <w:rPr>
          <w:rFonts w:ascii="Times New Roman" w:eastAsia="Calibri" w:hAnsi="Times New Roman" w:cs="Times New Roman"/>
          <w:sz w:val="24"/>
          <w:szCs w:val="24"/>
        </w:rPr>
        <w:t xml:space="preserve"> These ROP results can </w:t>
      </w:r>
      <w:r w:rsidR="00145631">
        <w:rPr>
          <w:rFonts w:ascii="Times New Roman" w:eastAsia="Calibri" w:hAnsi="Times New Roman" w:cs="Times New Roman"/>
          <w:sz w:val="24"/>
          <w:szCs w:val="24"/>
        </w:rPr>
        <w:t>change</w:t>
      </w:r>
      <w:r w:rsidR="00794144">
        <w:rPr>
          <w:rFonts w:ascii="Times New Roman" w:eastAsia="Calibri" w:hAnsi="Times New Roman" w:cs="Times New Roman"/>
          <w:sz w:val="24"/>
          <w:szCs w:val="24"/>
        </w:rPr>
        <w:t xml:space="preserve"> </w:t>
      </w:r>
      <w:r w:rsidR="00145631">
        <w:rPr>
          <w:rFonts w:ascii="Times New Roman" w:eastAsia="Calibri" w:hAnsi="Times New Roman" w:cs="Times New Roman"/>
          <w:sz w:val="24"/>
          <w:szCs w:val="24"/>
        </w:rPr>
        <w:t>as the temperature changes across the formation.</w:t>
      </w:r>
      <w:r w:rsidR="008B384F">
        <w:rPr>
          <w:rFonts w:ascii="Times New Roman" w:eastAsia="Calibri" w:hAnsi="Times New Roman" w:cs="Times New Roman"/>
          <w:sz w:val="24"/>
          <w:szCs w:val="24"/>
        </w:rPr>
        <w:t xml:space="preserve"> Zhang et al. (2014) suggested that temperature differential at the rock surface reduces the rock’s resistance to drill. This suggests an increase in ROP as the temperature differential increases.</w:t>
      </w:r>
      <w:r w:rsidR="00145631">
        <w:rPr>
          <w:rFonts w:ascii="Times New Roman" w:eastAsia="Calibri" w:hAnsi="Times New Roman" w:cs="Times New Roman"/>
          <w:sz w:val="24"/>
          <w:szCs w:val="24"/>
        </w:rPr>
        <w:t xml:space="preserve"> </w:t>
      </w:r>
    </w:p>
    <w:p w14:paraId="40D62619" w14:textId="77777777" w:rsidR="00616D91" w:rsidRDefault="00616D91" w:rsidP="0003629F">
      <w:pPr>
        <w:pStyle w:val="Heading3"/>
        <w:numPr>
          <w:ilvl w:val="2"/>
          <w:numId w:val="15"/>
        </w:numPr>
      </w:pPr>
      <w:bookmarkStart w:id="136" w:name="_Toc39751629"/>
      <w:r>
        <w:t>Mechanical Energy (MSE) Optimization</w:t>
      </w:r>
      <w:bookmarkEnd w:id="136"/>
      <w:r>
        <w:t xml:space="preserve"> </w:t>
      </w:r>
    </w:p>
    <w:p w14:paraId="72805935" w14:textId="1CC5F8B8" w:rsidR="00FC1703" w:rsidRPr="00FC1703" w:rsidRDefault="00FC1703" w:rsidP="00D71331">
      <w:pPr>
        <w:spacing w:line="480" w:lineRule="auto"/>
        <w:jc w:val="both"/>
        <w:rPr>
          <w:rFonts w:ascii="Times New Roman" w:eastAsia="Calibri" w:hAnsi="Times New Roman" w:cs="Times New Roman"/>
          <w:sz w:val="24"/>
          <w:szCs w:val="24"/>
        </w:rPr>
      </w:pPr>
      <w:r w:rsidRPr="00FC1703">
        <w:rPr>
          <w:rFonts w:ascii="Times New Roman" w:eastAsia="Calibri" w:hAnsi="Times New Roman" w:cs="Times New Roman"/>
          <w:sz w:val="24"/>
          <w:szCs w:val="24"/>
        </w:rPr>
        <w:t xml:space="preserve">Another major parameter for measuring drilling efficiency is the mechanical specific energy (MSE). The MSE is defined as the amount of energy required for removing a unit of volume rock. The MSE is highly dependent on factors such as torque, weight on bit (WOB), rate of penetration (ROP), and rotary speed (RPM). </w:t>
      </w:r>
      <w:r w:rsidR="00FD3521">
        <w:rPr>
          <w:rFonts w:ascii="Times New Roman" w:eastAsia="Calibri" w:hAnsi="Times New Roman" w:cs="Times New Roman"/>
          <w:sz w:val="24"/>
          <w:szCs w:val="24"/>
        </w:rPr>
        <w:t xml:space="preserve">Pessier et al. </w:t>
      </w:r>
      <w:r w:rsidR="00B83B0C">
        <w:rPr>
          <w:rFonts w:ascii="Times New Roman" w:eastAsia="Calibri" w:hAnsi="Times New Roman" w:cs="Times New Roman"/>
          <w:sz w:val="24"/>
          <w:szCs w:val="24"/>
        </w:rPr>
        <w:t>(</w:t>
      </w:r>
      <w:r w:rsidR="00FD3521">
        <w:rPr>
          <w:rFonts w:ascii="Times New Roman" w:eastAsia="Calibri" w:hAnsi="Times New Roman" w:cs="Times New Roman"/>
          <w:sz w:val="24"/>
          <w:szCs w:val="24"/>
        </w:rPr>
        <w:t>1992</w:t>
      </w:r>
      <w:r w:rsidR="00B83B0C">
        <w:rPr>
          <w:rFonts w:ascii="Times New Roman" w:eastAsia="Calibri" w:hAnsi="Times New Roman" w:cs="Times New Roman"/>
          <w:sz w:val="24"/>
          <w:szCs w:val="24"/>
        </w:rPr>
        <w:t>)</w:t>
      </w:r>
      <w:r w:rsidR="00FD3521">
        <w:rPr>
          <w:rFonts w:ascii="Times New Roman" w:eastAsia="Calibri" w:hAnsi="Times New Roman" w:cs="Times New Roman"/>
          <w:sz w:val="24"/>
          <w:szCs w:val="24"/>
        </w:rPr>
        <w:t xml:space="preserve"> reported</w:t>
      </w:r>
      <w:r w:rsidRPr="00FC1703">
        <w:rPr>
          <w:rFonts w:ascii="Times New Roman" w:eastAsia="Calibri" w:hAnsi="Times New Roman" w:cs="Times New Roman"/>
          <w:sz w:val="24"/>
          <w:szCs w:val="24"/>
        </w:rPr>
        <w:t xml:space="preserve"> that drilling efficiency can be improved by optimizing the controllable factors that will eventually lead to minimum MSE. In this study, the MSE was computed using the controllable factors including torque, rate of penetration, </w:t>
      </w:r>
      <w:r w:rsidRPr="00FC1703">
        <w:rPr>
          <w:rFonts w:ascii="Times New Roman" w:eastAsia="Calibri" w:hAnsi="Times New Roman" w:cs="Times New Roman"/>
          <w:sz w:val="24"/>
          <w:szCs w:val="24"/>
        </w:rPr>
        <w:lastRenderedPageBreak/>
        <w:t xml:space="preserve">rotary speed, and WOB obtained during drilling operations. The calculation of the MSE was done using the equation below with a </w:t>
      </w:r>
      <w:r w:rsidR="00F41E30">
        <w:rPr>
          <w:rFonts w:ascii="Times New Roman" w:eastAsia="Calibri" w:hAnsi="Times New Roman" w:cs="Times New Roman"/>
          <w:sz w:val="24"/>
          <w:szCs w:val="24"/>
        </w:rPr>
        <w:t>mechanical</w:t>
      </w:r>
      <w:r w:rsidRPr="00FC1703">
        <w:rPr>
          <w:rFonts w:ascii="Times New Roman" w:eastAsia="Calibri" w:hAnsi="Times New Roman" w:cs="Times New Roman"/>
          <w:sz w:val="24"/>
          <w:szCs w:val="24"/>
        </w:rPr>
        <w:t xml:space="preserve"> efficiency of 0.125.</w:t>
      </w:r>
      <w:r w:rsidR="00F41E30">
        <w:rPr>
          <w:rFonts w:ascii="Times New Roman" w:eastAsia="Calibri" w:hAnsi="Times New Roman" w:cs="Times New Roman"/>
          <w:sz w:val="24"/>
          <w:szCs w:val="24"/>
        </w:rPr>
        <w:t xml:space="preserve"> The mechanical efficiency is both bit and formation specific. It varies greatly from bit to bit and from formation to formation</w:t>
      </w:r>
      <w:r w:rsidR="002F387A">
        <w:rPr>
          <w:rFonts w:ascii="Times New Roman" w:eastAsia="Calibri" w:hAnsi="Times New Roman" w:cs="Times New Roman"/>
          <w:sz w:val="24"/>
          <w:szCs w:val="24"/>
        </w:rPr>
        <w:t>.</w:t>
      </w:r>
      <w:r w:rsidR="002E3AE6">
        <w:rPr>
          <w:rFonts w:ascii="Times New Roman" w:eastAsia="Calibri" w:hAnsi="Times New Roman" w:cs="Times New Roman"/>
          <w:sz w:val="24"/>
          <w:szCs w:val="24"/>
        </w:rPr>
        <w:t xml:space="preserve"> Amadi reported that the mechanical efficiency for directional and horizontal drilling is assumed to be 12.5%</w:t>
      </w:r>
      <w:r w:rsidR="00B0576C">
        <w:rPr>
          <w:rFonts w:ascii="Times New Roman" w:eastAsia="Calibri" w:hAnsi="Times New Roman" w:cs="Times New Roman"/>
          <w:sz w:val="24"/>
          <w:szCs w:val="24"/>
        </w:rPr>
        <w:t>.</w:t>
      </w:r>
      <w:r w:rsidR="002E3AE6">
        <w:rPr>
          <w:rFonts w:ascii="Times New Roman" w:eastAsia="Calibri" w:hAnsi="Times New Roman" w:cs="Times New Roman"/>
          <w:sz w:val="24"/>
          <w:szCs w:val="24"/>
        </w:rPr>
        <w:t xml:space="preserve"> </w:t>
      </w:r>
    </w:p>
    <w:p w14:paraId="40EB3513" w14:textId="2375A855" w:rsidR="00E44C52" w:rsidRDefault="00FC1703" w:rsidP="00D71331">
      <w:pPr>
        <w:spacing w:line="480" w:lineRule="auto"/>
        <w:jc w:val="both"/>
        <w:rPr>
          <w:rFonts w:ascii="Times New Roman" w:hAnsi="Times New Roman" w:cs="Times New Roman"/>
          <w:sz w:val="24"/>
          <w:szCs w:val="24"/>
        </w:rPr>
      </w:pPr>
      <m:oMath>
        <m:r>
          <w:rPr>
            <w:rFonts w:ascii="Cambria Math" w:eastAsia="Calibri" w:hAnsi="Cambria Math" w:cs="Times New Roman"/>
            <w:sz w:val="24"/>
            <w:szCs w:val="24"/>
          </w:rPr>
          <m:t>MSE=</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E</m:t>
            </m:r>
          </m:e>
          <m:sub>
            <m:r>
              <w:rPr>
                <w:rFonts w:ascii="Cambria Math" w:eastAsia="Calibri" w:hAnsi="Cambria Math" w:cs="Times New Roman"/>
                <w:sz w:val="24"/>
                <w:szCs w:val="24"/>
              </w:rPr>
              <m:t>f</m:t>
            </m:r>
          </m:sub>
        </m:sSub>
        <m:r>
          <w:rPr>
            <w:rFonts w:ascii="Cambria Math" w:eastAsia="Calibri" w:hAnsi="Cambria Math" w:cs="Times New Roman"/>
            <w:sz w:val="24"/>
            <w:szCs w:val="24"/>
          </w:rPr>
          <m:t>*</m:t>
        </m:r>
        <m:d>
          <m:dPr>
            <m:ctrlPr>
              <w:rPr>
                <w:rFonts w:ascii="Cambria Math" w:eastAsia="Calibri" w:hAnsi="Cambria Math" w:cs="Times New Roman"/>
                <w:i/>
                <w:sz w:val="24"/>
                <w:szCs w:val="24"/>
              </w:rPr>
            </m:ctrlPr>
          </m:dPr>
          <m:e>
            <m:f>
              <m:fPr>
                <m:ctrlPr>
                  <w:rPr>
                    <w:rFonts w:ascii="Cambria Math" w:eastAsia="Calibri" w:hAnsi="Cambria Math" w:cs="Times New Roman"/>
                    <w:i/>
                    <w:sz w:val="24"/>
                    <w:szCs w:val="24"/>
                  </w:rPr>
                </m:ctrlPr>
              </m:fPr>
              <m:num>
                <m:r>
                  <w:rPr>
                    <w:rFonts w:ascii="Cambria Math" w:eastAsia="Calibri" w:hAnsi="Cambria Math" w:cs="Times New Roman"/>
                    <w:sz w:val="24"/>
                    <w:szCs w:val="24"/>
                  </w:rPr>
                  <m:t>WOB</m:t>
                </m:r>
              </m:num>
              <m:den>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A</m:t>
                    </m:r>
                  </m:e>
                  <m:sub>
                    <m:r>
                      <w:rPr>
                        <w:rFonts w:ascii="Cambria Math" w:eastAsia="Calibri" w:hAnsi="Cambria Math" w:cs="Times New Roman"/>
                        <w:sz w:val="24"/>
                        <w:szCs w:val="24"/>
                      </w:rPr>
                      <m:t>B</m:t>
                    </m:r>
                  </m:sub>
                </m:sSub>
              </m:den>
            </m:f>
            <m:r>
              <w:rPr>
                <w:rFonts w:ascii="Cambria Math" w:eastAsia="Calibri" w:hAnsi="Cambria Math" w:cs="Times New Roman"/>
                <w:sz w:val="24"/>
                <w:szCs w:val="24"/>
              </w:rPr>
              <m:t>+</m:t>
            </m:r>
            <m:f>
              <m:fPr>
                <m:ctrlPr>
                  <w:rPr>
                    <w:rFonts w:ascii="Cambria Math" w:eastAsia="Calibri" w:hAnsi="Cambria Math" w:cs="Times New Roman"/>
                    <w:i/>
                    <w:sz w:val="24"/>
                    <w:szCs w:val="24"/>
                  </w:rPr>
                </m:ctrlPr>
              </m:fPr>
              <m:num>
                <m:r>
                  <w:rPr>
                    <w:rFonts w:ascii="Cambria Math" w:eastAsia="Calibri" w:hAnsi="Cambria Math" w:cs="Times New Roman"/>
                    <w:sz w:val="24"/>
                    <w:szCs w:val="24"/>
                  </w:rPr>
                  <m:t>120*π*RPM*T</m:t>
                </m:r>
              </m:num>
              <m:den>
                <m:r>
                  <w:rPr>
                    <w:rFonts w:ascii="Cambria Math" w:eastAsia="Calibri" w:hAnsi="Cambria Math" w:cs="Times New Roman"/>
                    <w:sz w:val="24"/>
                    <w:szCs w:val="24"/>
                  </w:rPr>
                  <m:t>ROP*</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A</m:t>
                    </m:r>
                  </m:e>
                  <m:sub>
                    <m:r>
                      <w:rPr>
                        <w:rFonts w:ascii="Cambria Math" w:eastAsia="Calibri" w:hAnsi="Cambria Math" w:cs="Times New Roman"/>
                        <w:sz w:val="24"/>
                        <w:szCs w:val="24"/>
                      </w:rPr>
                      <m:t>B</m:t>
                    </m:r>
                  </m:sub>
                </m:sSub>
              </m:den>
            </m:f>
          </m:e>
        </m:d>
        <m:r>
          <w:rPr>
            <w:rFonts w:ascii="Cambria Math" w:eastAsia="Calibri" w:hAnsi="Cambria Math" w:cs="Times New Roman"/>
            <w:sz w:val="24"/>
            <w:szCs w:val="24"/>
          </w:rPr>
          <m:t>…………………………………………………………(3)</m:t>
        </m:r>
      </m:oMath>
      <w:r w:rsidRPr="00FC1703">
        <w:rPr>
          <w:rFonts w:ascii="Times New Roman" w:hAnsi="Times New Roman" w:cs="Times New Roman"/>
          <w:sz w:val="24"/>
          <w:szCs w:val="24"/>
        </w:rPr>
        <w:t xml:space="preserve">                                                                                                  The effect of the four (4) drilling fluid systems (conventional WBM, and 3 inhibitive mud systems) was evaluated </w:t>
      </w:r>
      <w:r w:rsidR="00E030EE">
        <w:rPr>
          <w:rFonts w:ascii="Times New Roman" w:hAnsi="Times New Roman" w:cs="Times New Roman"/>
          <w:sz w:val="24"/>
          <w:szCs w:val="24"/>
        </w:rPr>
        <w:t>for</w:t>
      </w:r>
      <w:r w:rsidRPr="00FC1703">
        <w:rPr>
          <w:rFonts w:ascii="Times New Roman" w:hAnsi="Times New Roman" w:cs="Times New Roman"/>
          <w:sz w:val="24"/>
          <w:szCs w:val="24"/>
        </w:rPr>
        <w:t xml:space="preserve"> TMS core samples. </w:t>
      </w:r>
      <w:r w:rsidRPr="00FC1703">
        <w:rPr>
          <w:rFonts w:ascii="Times New Roman" w:hAnsi="Times New Roman" w:cs="Times New Roman"/>
          <w:b/>
          <w:sz w:val="24"/>
          <w:szCs w:val="24"/>
        </w:rPr>
        <w:t xml:space="preserve">Figure </w:t>
      </w:r>
      <w:r w:rsidR="00C91944">
        <w:rPr>
          <w:rFonts w:ascii="Times New Roman" w:hAnsi="Times New Roman" w:cs="Times New Roman"/>
          <w:b/>
          <w:sz w:val="24"/>
          <w:szCs w:val="24"/>
        </w:rPr>
        <w:t>3</w:t>
      </w:r>
      <w:r w:rsidR="005F59F8">
        <w:rPr>
          <w:rFonts w:ascii="Times New Roman" w:hAnsi="Times New Roman" w:cs="Times New Roman"/>
          <w:b/>
          <w:sz w:val="24"/>
          <w:szCs w:val="24"/>
        </w:rPr>
        <w:t>2</w:t>
      </w:r>
      <w:r w:rsidR="00C91944">
        <w:rPr>
          <w:rFonts w:ascii="Times New Roman" w:hAnsi="Times New Roman" w:cs="Times New Roman"/>
          <w:b/>
          <w:sz w:val="24"/>
          <w:szCs w:val="24"/>
        </w:rPr>
        <w:t xml:space="preserve"> </w:t>
      </w:r>
      <w:r w:rsidRPr="00FC1703">
        <w:rPr>
          <w:rFonts w:ascii="Times New Roman" w:hAnsi="Times New Roman" w:cs="Times New Roman"/>
          <w:sz w:val="24"/>
          <w:szCs w:val="24"/>
        </w:rPr>
        <w:t>shows the MSE profile at various WOB for the tested drilling fluid systems in TMS.</w:t>
      </w:r>
    </w:p>
    <w:p w14:paraId="1A5FE642" w14:textId="77777777" w:rsidR="00E44C52" w:rsidRDefault="00E44C52" w:rsidP="00E44C52">
      <w:pPr>
        <w:jc w:val="center"/>
        <w:rPr>
          <w:rFonts w:ascii="Times New Roman" w:hAnsi="Times New Roman" w:cs="Times New Roman"/>
          <w:sz w:val="24"/>
          <w:szCs w:val="24"/>
        </w:rPr>
      </w:pPr>
      <w:r>
        <w:rPr>
          <w:noProof/>
        </w:rPr>
        <w:drawing>
          <wp:inline distT="0" distB="0" distL="0" distR="0" wp14:anchorId="231D478D" wp14:editId="23158275">
            <wp:extent cx="4638675" cy="3890645"/>
            <wp:effectExtent l="0" t="0" r="9525" b="14605"/>
            <wp:docPr id="22" name="Chart 22">
              <a:extLst xmlns:a="http://schemas.openxmlformats.org/drawingml/2006/main">
                <a:ext uri="{FF2B5EF4-FFF2-40B4-BE49-F238E27FC236}">
                  <a16:creationId xmlns:a16="http://schemas.microsoft.com/office/drawing/2014/main" id="{6C4D27D0-5B6E-4D06-AC64-FD2C421E8E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C1128F9" w14:textId="5ED34D8D" w:rsidR="00E44C52" w:rsidRPr="000E4F70" w:rsidRDefault="000E4F70" w:rsidP="000E4F70">
      <w:pPr>
        <w:pStyle w:val="Caption"/>
        <w:rPr>
          <w:bCs/>
          <w:szCs w:val="28"/>
        </w:rPr>
      </w:pPr>
      <w:bookmarkStart w:id="137" w:name="_Toc37087775"/>
      <w:r>
        <w:t xml:space="preserve">Figure </w:t>
      </w:r>
      <w:fldSimple w:instr=" SEQ Figure \* ARABIC ">
        <w:r w:rsidR="0092747F">
          <w:rPr>
            <w:noProof/>
          </w:rPr>
          <w:t>32</w:t>
        </w:r>
      </w:fldSimple>
      <w:r>
        <w:rPr>
          <w:bCs/>
          <w:szCs w:val="28"/>
        </w:rPr>
        <w:t>-</w:t>
      </w:r>
      <w:r w:rsidR="00E44C52" w:rsidRPr="000E4F70">
        <w:rPr>
          <w:bCs/>
          <w:szCs w:val="28"/>
        </w:rPr>
        <w:t xml:space="preserve"> The mechanical specific energy profile for the tested drilling fluid systems</w:t>
      </w:r>
      <w:r w:rsidR="009A4E5E" w:rsidRPr="000E4F70">
        <w:rPr>
          <w:bCs/>
          <w:szCs w:val="28"/>
        </w:rPr>
        <w:t>.</w:t>
      </w:r>
      <w:bookmarkEnd w:id="137"/>
    </w:p>
    <w:p w14:paraId="14937A25" w14:textId="4BCE5FAF" w:rsidR="00334727" w:rsidRDefault="00FC1703" w:rsidP="00FA2FB0">
      <w:pPr>
        <w:spacing w:line="480" w:lineRule="auto"/>
        <w:rPr>
          <w:rFonts w:ascii="Times New Roman" w:hAnsi="Times New Roman" w:cs="Times New Roman"/>
          <w:sz w:val="24"/>
          <w:szCs w:val="24"/>
        </w:rPr>
      </w:pPr>
      <w:r w:rsidRPr="00FC1703">
        <w:rPr>
          <w:rFonts w:ascii="Times New Roman" w:hAnsi="Times New Roman" w:cs="Times New Roman"/>
          <w:sz w:val="24"/>
          <w:szCs w:val="24"/>
        </w:rPr>
        <w:lastRenderedPageBreak/>
        <w:t xml:space="preserve">The profile revealed that the highest MSE was realized with the conventional WBM, followed by the 1 wt% KCl, then the 2 wt% KCl, and finally the cesium formate. </w:t>
      </w:r>
      <w:r w:rsidRPr="00FC1703">
        <w:rPr>
          <w:rFonts w:ascii="Times New Roman" w:eastAsia="Calibri" w:hAnsi="Times New Roman" w:cs="Times New Roman"/>
          <w:sz w:val="24"/>
          <w:szCs w:val="24"/>
        </w:rPr>
        <w:t>The MSE realized with conventional WBM was 80% higher than that of the inhibitive mud systems (1 wt%, 2 wt% KCl, cesium formate)</w:t>
      </w:r>
      <w:r w:rsidRPr="00FC1703">
        <w:rPr>
          <w:rFonts w:ascii="Times New Roman" w:hAnsi="Times New Roman" w:cs="Times New Roman"/>
          <w:sz w:val="24"/>
          <w:szCs w:val="24"/>
        </w:rPr>
        <w:t xml:space="preserve">. This implies that the inhibitive mud systems will be highly efficient for drilling clay-concentrated shale formations than the WBM. </w:t>
      </w:r>
      <w:r w:rsidR="00AF372A">
        <w:rPr>
          <w:rFonts w:ascii="Times New Roman" w:hAnsi="Times New Roman" w:cs="Times New Roman"/>
          <w:sz w:val="24"/>
          <w:szCs w:val="24"/>
        </w:rPr>
        <w:t xml:space="preserve"> This is supported by study conducted by Xuyue et al. (2018) which revealed that the drilling efficiency is indirectly proportional to the MSE. This implies that as the MSE decreases, the drilling efficiency increases.</w:t>
      </w:r>
      <w:r w:rsidRPr="00FC1703">
        <w:rPr>
          <w:rFonts w:ascii="Times New Roman" w:hAnsi="Times New Roman" w:cs="Times New Roman"/>
          <w:sz w:val="24"/>
          <w:szCs w:val="24"/>
        </w:rPr>
        <w:t xml:space="preserve"> Among the inhibitive mud systems, the cesium formate provided the highest performance as it required less energy to drill a volume of rock.</w:t>
      </w:r>
    </w:p>
    <w:p w14:paraId="34575F40" w14:textId="77777777" w:rsidR="00334727" w:rsidRPr="00FA2FB0" w:rsidRDefault="00334727" w:rsidP="00FA2FB0">
      <w:pPr>
        <w:spacing w:line="480" w:lineRule="auto"/>
        <w:rPr>
          <w:rFonts w:ascii="Times New Roman" w:hAnsi="Times New Roman" w:cs="Times New Roman"/>
          <w:sz w:val="24"/>
          <w:szCs w:val="24"/>
        </w:rPr>
      </w:pPr>
    </w:p>
    <w:p w14:paraId="4C6B09E3" w14:textId="3047B234" w:rsidR="001F7B20" w:rsidRDefault="001F7B20" w:rsidP="00FC1703"/>
    <w:p w14:paraId="498C3F4B" w14:textId="24650840" w:rsidR="002578C7" w:rsidRDefault="002578C7" w:rsidP="00FC1703"/>
    <w:p w14:paraId="52FA3738" w14:textId="39E25566" w:rsidR="002578C7" w:rsidRDefault="002578C7" w:rsidP="00FC1703"/>
    <w:p w14:paraId="3AF308B1" w14:textId="1CCA440D" w:rsidR="002578C7" w:rsidRDefault="002578C7" w:rsidP="00FC1703"/>
    <w:p w14:paraId="16A17746" w14:textId="117E6546" w:rsidR="002578C7" w:rsidRDefault="002578C7" w:rsidP="00FC1703"/>
    <w:p w14:paraId="38FFE281" w14:textId="084466C2" w:rsidR="002578C7" w:rsidRDefault="002578C7" w:rsidP="00FC1703"/>
    <w:p w14:paraId="4326D00E" w14:textId="7221B4D2" w:rsidR="002578C7" w:rsidRDefault="002578C7" w:rsidP="00FC1703"/>
    <w:p w14:paraId="1222C5B7" w14:textId="149F2650" w:rsidR="002578C7" w:rsidRDefault="002578C7" w:rsidP="00FC1703"/>
    <w:p w14:paraId="388D9398" w14:textId="5E4E8D45" w:rsidR="002578C7" w:rsidRDefault="002578C7" w:rsidP="00FC1703"/>
    <w:p w14:paraId="068E8A0E" w14:textId="6ACCF41E" w:rsidR="002578C7" w:rsidRDefault="002578C7" w:rsidP="00FC1703"/>
    <w:p w14:paraId="53BE067A" w14:textId="2D24F78B" w:rsidR="002578C7" w:rsidRDefault="002578C7" w:rsidP="00FC1703"/>
    <w:p w14:paraId="7E395E2B" w14:textId="1611AC04" w:rsidR="002578C7" w:rsidRDefault="002578C7" w:rsidP="00FC1703"/>
    <w:p w14:paraId="5F55D6B1" w14:textId="77777777" w:rsidR="002578C7" w:rsidRPr="00FC1703" w:rsidRDefault="002578C7" w:rsidP="00FC1703"/>
    <w:p w14:paraId="41673044" w14:textId="77777777" w:rsidR="0077251A" w:rsidRDefault="000E50D1" w:rsidP="000E50D1">
      <w:pPr>
        <w:pStyle w:val="Heading1"/>
        <w:numPr>
          <w:ilvl w:val="0"/>
          <w:numId w:val="15"/>
        </w:numPr>
      </w:pPr>
      <w:bookmarkStart w:id="138" w:name="_Toc39751630"/>
      <w:r>
        <w:lastRenderedPageBreak/>
        <w:t>Summary</w:t>
      </w:r>
      <w:r w:rsidR="00AD0052">
        <w:t xml:space="preserve"> and Conclusions</w:t>
      </w:r>
      <w:bookmarkEnd w:id="138"/>
    </w:p>
    <w:p w14:paraId="2EB382A3" w14:textId="77777777" w:rsidR="00D675E0" w:rsidRDefault="00D675E0" w:rsidP="00D71331">
      <w:pPr>
        <w:spacing w:line="480" w:lineRule="auto"/>
        <w:rPr>
          <w:rFonts w:ascii="Times New Roman" w:hAnsi="Times New Roman" w:cs="Times New Roman"/>
          <w:sz w:val="24"/>
          <w:szCs w:val="24"/>
        </w:rPr>
      </w:pPr>
      <w:r>
        <w:rPr>
          <w:rFonts w:ascii="Times New Roman" w:hAnsi="Times New Roman" w:cs="Times New Roman"/>
          <w:sz w:val="24"/>
          <w:szCs w:val="24"/>
        </w:rPr>
        <w:t>This research addresses the wellbore stability issue in shale drilling by evaluating the compatibility between shale and drilling fluid systems. It provides an insight into shale-drilling fluid interaction in term of hydration (swelling) and cutting dispersion.</w:t>
      </w:r>
      <w:r w:rsidR="00B63699">
        <w:rPr>
          <w:rFonts w:ascii="Times New Roman" w:hAnsi="Times New Roman" w:cs="Times New Roman"/>
          <w:sz w:val="24"/>
          <w:szCs w:val="24"/>
        </w:rPr>
        <w:t xml:space="preserve"> It also evaluates the impact of inhibitive fluid systems on shale drilling performance.</w:t>
      </w:r>
      <w:r w:rsidR="002E2A84">
        <w:rPr>
          <w:rFonts w:ascii="Times New Roman" w:hAnsi="Times New Roman" w:cs="Times New Roman"/>
          <w:sz w:val="24"/>
          <w:szCs w:val="24"/>
        </w:rPr>
        <w:t xml:space="preserve"> A combination of three inhibitive mud systems (cesium formate, 1 wt%, 2wt % KCl based fluids) and a convention WBM are used in this study.</w:t>
      </w:r>
      <w:r w:rsidR="00CD4F62">
        <w:rPr>
          <w:rFonts w:ascii="Times New Roman" w:hAnsi="Times New Roman" w:cs="Times New Roman"/>
          <w:sz w:val="24"/>
          <w:szCs w:val="24"/>
        </w:rPr>
        <w:t xml:space="preserve"> The following conclusions were drawn based on the results and findings of this work:</w:t>
      </w:r>
    </w:p>
    <w:p w14:paraId="37A76A34" w14:textId="77777777" w:rsidR="00CD4F62" w:rsidRDefault="00E1379E" w:rsidP="00D71331">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Well A of TMS</w:t>
      </w:r>
      <w:r w:rsidR="002D548F">
        <w:rPr>
          <w:rFonts w:ascii="Times New Roman" w:hAnsi="Times New Roman" w:cs="Times New Roman"/>
          <w:sz w:val="24"/>
          <w:szCs w:val="24"/>
        </w:rPr>
        <w:t xml:space="preserve"> is clay dominated with a clay content of 51%. The primary clay</w:t>
      </w:r>
      <w:r w:rsidR="006E7318">
        <w:rPr>
          <w:rFonts w:ascii="Times New Roman" w:hAnsi="Times New Roman" w:cs="Times New Roman"/>
          <w:sz w:val="24"/>
          <w:szCs w:val="24"/>
        </w:rPr>
        <w:t>s</w:t>
      </w:r>
      <w:r w:rsidR="002D548F">
        <w:rPr>
          <w:rFonts w:ascii="Times New Roman" w:hAnsi="Times New Roman" w:cs="Times New Roman"/>
          <w:sz w:val="24"/>
          <w:szCs w:val="24"/>
        </w:rPr>
        <w:t xml:space="preserve"> include illite, chlorite, kaolinite, and smectite.</w:t>
      </w:r>
      <w:r w:rsidR="006E7318">
        <w:rPr>
          <w:rFonts w:ascii="Times New Roman" w:hAnsi="Times New Roman" w:cs="Times New Roman"/>
          <w:sz w:val="24"/>
          <w:szCs w:val="24"/>
        </w:rPr>
        <w:t xml:space="preserve"> These reactive clays need to be considered when selecting compatible drilling fluid systems for the formation</w:t>
      </w:r>
    </w:p>
    <w:p w14:paraId="2CA20F34" w14:textId="292A6B59" w:rsidR="006E7318" w:rsidRDefault="00550EA7" w:rsidP="00D71331">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Rock-fluid interaction is greatly impacted by the rock properties such as mineralogy and fluid composition and formulation.</w:t>
      </w:r>
    </w:p>
    <w:p w14:paraId="602E0E36" w14:textId="77777777" w:rsidR="00BF3059" w:rsidRDefault="00BF3059" w:rsidP="00D71331">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Cesium formate and KCl based fluid systems showed the lowest linear swelling index</w:t>
      </w:r>
      <w:r w:rsidR="002C656A">
        <w:rPr>
          <w:rFonts w:ascii="Times New Roman" w:hAnsi="Times New Roman" w:cs="Times New Roman"/>
          <w:sz w:val="24"/>
          <w:szCs w:val="24"/>
        </w:rPr>
        <w:t xml:space="preserve"> showing compatibility with the formation.</w:t>
      </w:r>
    </w:p>
    <w:p w14:paraId="61E42307" w14:textId="77777777" w:rsidR="00EE1C9B" w:rsidRDefault="00EE1C9B" w:rsidP="00D71331">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Cesium formate and KCl based fluid systems lowest increase in linear swelling as time increases</w:t>
      </w:r>
      <w:r w:rsidR="002D51D0">
        <w:rPr>
          <w:rFonts w:ascii="Times New Roman" w:hAnsi="Times New Roman" w:cs="Times New Roman"/>
          <w:sz w:val="24"/>
          <w:szCs w:val="24"/>
        </w:rPr>
        <w:t>. These fluid systems can be use</w:t>
      </w:r>
      <w:r w:rsidR="00857FE0">
        <w:rPr>
          <w:rFonts w:ascii="Times New Roman" w:hAnsi="Times New Roman" w:cs="Times New Roman"/>
          <w:sz w:val="24"/>
          <w:szCs w:val="24"/>
        </w:rPr>
        <w:t xml:space="preserve">d </w:t>
      </w:r>
      <w:r w:rsidR="007A23F2">
        <w:rPr>
          <w:rFonts w:ascii="Times New Roman" w:hAnsi="Times New Roman" w:cs="Times New Roman"/>
          <w:sz w:val="24"/>
          <w:szCs w:val="24"/>
        </w:rPr>
        <w:t>for extending period of time with minimum compatibility issues.</w:t>
      </w:r>
    </w:p>
    <w:p w14:paraId="0820B596" w14:textId="77777777" w:rsidR="0039186F" w:rsidRDefault="0039186F" w:rsidP="00D71331">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inhibitive mud systems </w:t>
      </w:r>
      <w:r w:rsidR="003671F0">
        <w:rPr>
          <w:rFonts w:ascii="Times New Roman" w:hAnsi="Times New Roman" w:cs="Times New Roman"/>
          <w:sz w:val="24"/>
          <w:szCs w:val="24"/>
        </w:rPr>
        <w:t xml:space="preserve">show </w:t>
      </w:r>
      <w:r>
        <w:rPr>
          <w:rFonts w:ascii="Times New Roman" w:hAnsi="Times New Roman" w:cs="Times New Roman"/>
          <w:sz w:val="24"/>
          <w:szCs w:val="24"/>
        </w:rPr>
        <w:t>minimum dispersibility with a cutting recovery of more than 80%.</w:t>
      </w:r>
    </w:p>
    <w:p w14:paraId="69E30080" w14:textId="77777777" w:rsidR="007016D9" w:rsidRDefault="007016D9" w:rsidP="00D71331">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Cesium formate and KCl based fluid systems are effective in maintaining a stable wellbore due to their low hydration (swelling) and dispersion.</w:t>
      </w:r>
    </w:p>
    <w:p w14:paraId="44971381" w14:textId="77777777" w:rsidR="00405E7F" w:rsidRDefault="00405E7F" w:rsidP="00D71331">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Cesium formate and KCl based fluid systems maintain the cutting integrity during drilling. </w:t>
      </w:r>
      <w:r w:rsidR="00AD0052">
        <w:rPr>
          <w:rFonts w:ascii="Times New Roman" w:hAnsi="Times New Roman" w:cs="Times New Roman"/>
          <w:sz w:val="24"/>
          <w:szCs w:val="24"/>
        </w:rPr>
        <w:t>Therefore,</w:t>
      </w:r>
      <w:r>
        <w:rPr>
          <w:rFonts w:ascii="Times New Roman" w:hAnsi="Times New Roman" w:cs="Times New Roman"/>
          <w:sz w:val="24"/>
          <w:szCs w:val="24"/>
        </w:rPr>
        <w:t xml:space="preserve"> facilitating their removal and minimize bit-balling during drilling.</w:t>
      </w:r>
    </w:p>
    <w:p w14:paraId="72D41001" w14:textId="77777777" w:rsidR="00AD0052" w:rsidRDefault="00731C3B" w:rsidP="00D71331">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Lost circulation is greatly impacted by the fracture width, positioning, and orientation.</w:t>
      </w:r>
      <w:r w:rsidR="00C77271">
        <w:rPr>
          <w:rFonts w:ascii="Times New Roman" w:hAnsi="Times New Roman" w:cs="Times New Roman"/>
          <w:sz w:val="24"/>
          <w:szCs w:val="24"/>
        </w:rPr>
        <w:t xml:space="preserve"> Horizontal fracture has lower dynamic losses compared to vertical fracture for all concentrations of cedar fiber.</w:t>
      </w:r>
    </w:p>
    <w:p w14:paraId="4C76F5E4" w14:textId="77777777" w:rsidR="00C77271" w:rsidRDefault="004939C8" w:rsidP="00D71331">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 xml:space="preserve">A concentration of 20 lb/bbl of cedar fiber is effective in treating lost circulation in </w:t>
      </w:r>
      <w:r w:rsidR="00F10DCF">
        <w:rPr>
          <w:rFonts w:ascii="Times New Roman" w:hAnsi="Times New Roman" w:cs="Times New Roman"/>
          <w:sz w:val="24"/>
          <w:szCs w:val="24"/>
        </w:rPr>
        <w:t>Well A drilled into TMS</w:t>
      </w:r>
      <w:r w:rsidR="00E1379E">
        <w:rPr>
          <w:rFonts w:ascii="Times New Roman" w:hAnsi="Times New Roman" w:cs="Times New Roman"/>
          <w:sz w:val="24"/>
          <w:szCs w:val="24"/>
        </w:rPr>
        <w:t>.</w:t>
      </w:r>
    </w:p>
    <w:p w14:paraId="0AC40BAA" w14:textId="77777777" w:rsidR="007016D9" w:rsidRDefault="00A23EA3" w:rsidP="00D71331">
      <w:pPr>
        <w:pStyle w:val="ListParagraph"/>
        <w:numPr>
          <w:ilvl w:val="0"/>
          <w:numId w:val="33"/>
        </w:numPr>
        <w:spacing w:line="480" w:lineRule="auto"/>
        <w:rPr>
          <w:rFonts w:ascii="Times New Roman" w:hAnsi="Times New Roman" w:cs="Times New Roman"/>
          <w:sz w:val="24"/>
          <w:szCs w:val="24"/>
        </w:rPr>
      </w:pPr>
      <w:r>
        <w:rPr>
          <w:rFonts w:ascii="Times New Roman" w:hAnsi="Times New Roman" w:cs="Times New Roman"/>
          <w:sz w:val="24"/>
          <w:szCs w:val="24"/>
        </w:rPr>
        <w:t>The inhibitive mud systems show the lowest torque and friction factor during drilling indicating better drilling performance.</w:t>
      </w:r>
    </w:p>
    <w:p w14:paraId="1E003873" w14:textId="77777777" w:rsidR="00A23EA3" w:rsidRPr="00A23EA3" w:rsidRDefault="00A23EA3" w:rsidP="00D71331">
      <w:pPr>
        <w:numPr>
          <w:ilvl w:val="0"/>
          <w:numId w:val="33"/>
        </w:numPr>
        <w:spacing w:line="480" w:lineRule="auto"/>
        <w:contextualSpacing/>
        <w:jc w:val="both"/>
        <w:rPr>
          <w:rFonts w:ascii="Times New Roman" w:eastAsia="Calibri" w:hAnsi="Times New Roman" w:cs="Times New Roman"/>
          <w:sz w:val="24"/>
          <w:szCs w:val="20"/>
        </w:rPr>
      </w:pPr>
      <w:r w:rsidRPr="00A23EA3">
        <w:rPr>
          <w:rFonts w:ascii="Times New Roman" w:eastAsia="Calibri" w:hAnsi="Times New Roman" w:cs="Times New Roman"/>
          <w:sz w:val="24"/>
          <w:szCs w:val="20"/>
        </w:rPr>
        <w:t>The highest rate of penetration during drilling was realized with cesium formate, followed by the 2% KCl mud, while the lowest was associated with the conventional WBM. No major difference in ROP was realized between the cesium formate and the KCl systems. The KCl mud systems can be an alternative to cesium formate to save cost.</w:t>
      </w:r>
    </w:p>
    <w:p w14:paraId="09825664" w14:textId="77777777" w:rsidR="00AD0052" w:rsidRPr="00A23EA3" w:rsidRDefault="00A23EA3" w:rsidP="00D71331">
      <w:pPr>
        <w:numPr>
          <w:ilvl w:val="0"/>
          <w:numId w:val="33"/>
        </w:numPr>
        <w:spacing w:line="480" w:lineRule="auto"/>
        <w:contextualSpacing/>
        <w:jc w:val="both"/>
        <w:rPr>
          <w:rFonts w:ascii="Times New Roman" w:eastAsia="Calibri" w:hAnsi="Times New Roman" w:cs="Times New Roman"/>
          <w:sz w:val="24"/>
          <w:szCs w:val="20"/>
        </w:rPr>
      </w:pPr>
      <w:r w:rsidRPr="00A23EA3">
        <w:rPr>
          <w:rFonts w:ascii="Times New Roman" w:eastAsia="Calibri" w:hAnsi="Times New Roman" w:cs="Times New Roman"/>
          <w:sz w:val="24"/>
          <w:szCs w:val="20"/>
        </w:rPr>
        <w:t>A minimum mechanical specific energy was realized with the cesium formate and the 2% KCl mud system, while the conventional WBM showed the maximum MSE which was 80% higher than that of the inhibitive mud systems (1% and 2% KCl, and cesium formate).</w:t>
      </w:r>
    </w:p>
    <w:p w14:paraId="68390029" w14:textId="77777777" w:rsidR="00D71331" w:rsidRDefault="00D71331" w:rsidP="00D71331">
      <w:pPr>
        <w:spacing w:line="480" w:lineRule="auto"/>
      </w:pPr>
    </w:p>
    <w:p w14:paraId="6DC809D2" w14:textId="77777777" w:rsidR="00273605" w:rsidRDefault="00273605" w:rsidP="00D71331">
      <w:pPr>
        <w:spacing w:line="480" w:lineRule="auto"/>
      </w:pPr>
    </w:p>
    <w:p w14:paraId="2E2DB0D4" w14:textId="77777777" w:rsidR="00273605" w:rsidRDefault="00273605" w:rsidP="00D71331">
      <w:pPr>
        <w:spacing w:line="480" w:lineRule="auto"/>
      </w:pPr>
    </w:p>
    <w:p w14:paraId="29E59274" w14:textId="77777777" w:rsidR="00273605" w:rsidRPr="00BF6C2C" w:rsidRDefault="00273605" w:rsidP="00D71331">
      <w:pPr>
        <w:spacing w:line="480" w:lineRule="auto"/>
      </w:pPr>
    </w:p>
    <w:p w14:paraId="67303305" w14:textId="77777777" w:rsidR="00A23EA3" w:rsidRDefault="00574FEB" w:rsidP="00A23EA3">
      <w:pPr>
        <w:pStyle w:val="Heading1"/>
        <w:numPr>
          <w:ilvl w:val="0"/>
          <w:numId w:val="35"/>
        </w:numPr>
      </w:pPr>
      <w:bookmarkStart w:id="139" w:name="_Toc39751631"/>
      <w:r>
        <w:lastRenderedPageBreak/>
        <w:t>Recommendations</w:t>
      </w:r>
      <w:r w:rsidR="00C32935">
        <w:t xml:space="preserve"> and Future Work</w:t>
      </w:r>
      <w:bookmarkEnd w:id="139"/>
      <w:r w:rsidR="00320D7D">
        <w:t xml:space="preserve"> </w:t>
      </w:r>
    </w:p>
    <w:p w14:paraId="3F224093" w14:textId="77777777" w:rsidR="001F27D1" w:rsidRDefault="001F27D1" w:rsidP="00D71331">
      <w:pPr>
        <w:spacing w:line="480" w:lineRule="auto"/>
        <w:rPr>
          <w:rFonts w:ascii="Times New Roman" w:hAnsi="Times New Roman" w:cs="Times New Roman"/>
          <w:sz w:val="24"/>
          <w:szCs w:val="24"/>
        </w:rPr>
      </w:pPr>
      <w:r>
        <w:rPr>
          <w:rFonts w:ascii="Times New Roman" w:hAnsi="Times New Roman" w:cs="Times New Roman"/>
          <w:sz w:val="24"/>
          <w:szCs w:val="24"/>
        </w:rPr>
        <w:t>Despite the in-depth work done in this study, improvements can still be made.</w:t>
      </w:r>
      <w:r w:rsidR="0001216B">
        <w:rPr>
          <w:rFonts w:ascii="Times New Roman" w:hAnsi="Times New Roman" w:cs="Times New Roman"/>
          <w:sz w:val="24"/>
          <w:szCs w:val="24"/>
        </w:rPr>
        <w:t xml:space="preserve"> Following are the recommendations to further investigate the impact of inhibitive mud systems on shale stability and drilling performance.</w:t>
      </w:r>
    </w:p>
    <w:p w14:paraId="2014279D" w14:textId="77777777" w:rsidR="00F32928" w:rsidRDefault="00F32928" w:rsidP="00D71331">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ASTM standard section D 5890 for swelling testing is still valid and effective for characterizing swelling index. However, the innovative linear swell meter should be used to account for </w:t>
      </w:r>
      <w:r w:rsidR="004E31D9">
        <w:rPr>
          <w:rFonts w:ascii="Times New Roman" w:hAnsi="Times New Roman" w:cs="Times New Roman"/>
          <w:sz w:val="24"/>
          <w:szCs w:val="24"/>
        </w:rPr>
        <w:t>confining pressure and temperature.</w:t>
      </w:r>
    </w:p>
    <w:p w14:paraId="40406E34" w14:textId="77777777" w:rsidR="006819A8" w:rsidRDefault="006819A8" w:rsidP="00D71331">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This work focuses only on formate brine and KCl based fluids</w:t>
      </w:r>
      <w:r w:rsidR="00901116">
        <w:rPr>
          <w:rFonts w:ascii="Times New Roman" w:hAnsi="Times New Roman" w:cs="Times New Roman"/>
          <w:sz w:val="24"/>
          <w:szCs w:val="24"/>
        </w:rPr>
        <w:t xml:space="preserve"> as inhibitive fluids</w:t>
      </w:r>
      <w:r>
        <w:rPr>
          <w:rFonts w:ascii="Times New Roman" w:hAnsi="Times New Roman" w:cs="Times New Roman"/>
          <w:sz w:val="24"/>
          <w:szCs w:val="24"/>
        </w:rPr>
        <w:t>. However, the effectiveness of other inhibitive systems such as silicate and glycol based inhibitive mud systems should be evaluated.</w:t>
      </w:r>
    </w:p>
    <w:p w14:paraId="02D09544" w14:textId="77777777" w:rsidR="006819A8" w:rsidRDefault="007A3C3F" w:rsidP="00D71331">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Enhanced nano-drilling fluid systems should be investigated for shale applications</w:t>
      </w:r>
    </w:p>
    <w:p w14:paraId="16FAF30D" w14:textId="77777777" w:rsidR="007A3C3F" w:rsidRDefault="00901116" w:rsidP="00D71331">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Future work could involve</w:t>
      </w:r>
      <w:r w:rsidR="00DF7D30">
        <w:rPr>
          <w:rFonts w:ascii="Times New Roman" w:hAnsi="Times New Roman" w:cs="Times New Roman"/>
          <w:sz w:val="24"/>
          <w:szCs w:val="24"/>
        </w:rPr>
        <w:t xml:space="preserve"> conduct</w:t>
      </w:r>
      <w:r>
        <w:rPr>
          <w:rFonts w:ascii="Times New Roman" w:hAnsi="Times New Roman" w:cs="Times New Roman"/>
          <w:sz w:val="24"/>
          <w:szCs w:val="24"/>
        </w:rPr>
        <w:t>ing</w:t>
      </w:r>
      <w:r w:rsidR="00DF7D30">
        <w:rPr>
          <w:rFonts w:ascii="Times New Roman" w:hAnsi="Times New Roman" w:cs="Times New Roman"/>
          <w:sz w:val="24"/>
          <w:szCs w:val="24"/>
        </w:rPr>
        <w:t xml:space="preserve"> additional shale- fluid compatibility test</w:t>
      </w:r>
      <w:r>
        <w:rPr>
          <w:rFonts w:ascii="Times New Roman" w:hAnsi="Times New Roman" w:cs="Times New Roman"/>
          <w:sz w:val="24"/>
          <w:szCs w:val="24"/>
        </w:rPr>
        <w:t>s</w:t>
      </w:r>
      <w:r w:rsidR="00DF7D30">
        <w:rPr>
          <w:rFonts w:ascii="Times New Roman" w:hAnsi="Times New Roman" w:cs="Times New Roman"/>
          <w:sz w:val="24"/>
          <w:szCs w:val="24"/>
        </w:rPr>
        <w:t xml:space="preserve"> such as cation suction test (CST), cation exchange capacity (CEC), and shale water activity determination to firmly confirmed the compatibility between the fluids systems used and TMS formation.</w:t>
      </w:r>
    </w:p>
    <w:p w14:paraId="344AE6AF" w14:textId="77777777" w:rsidR="00DF7D30" w:rsidRDefault="00DF7D30" w:rsidP="00D71331">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A cost-effective analysis should be conducted before selection of appropriate drilling fluid systems for shale operations.</w:t>
      </w:r>
    </w:p>
    <w:p w14:paraId="38809174" w14:textId="77777777" w:rsidR="00FC7798" w:rsidRDefault="00F50398" w:rsidP="00D71331">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30239">
        <w:rPr>
          <w:rFonts w:ascii="Times New Roman" w:hAnsi="Times New Roman" w:cs="Times New Roman"/>
          <w:sz w:val="24"/>
          <w:szCs w:val="24"/>
        </w:rPr>
        <w:t>W</w:t>
      </w:r>
      <w:r>
        <w:rPr>
          <w:rFonts w:ascii="Times New Roman" w:hAnsi="Times New Roman" w:cs="Times New Roman"/>
          <w:sz w:val="24"/>
          <w:szCs w:val="24"/>
        </w:rPr>
        <w:t xml:space="preserve">ork </w:t>
      </w:r>
      <w:r w:rsidR="00330239">
        <w:rPr>
          <w:rFonts w:ascii="Times New Roman" w:hAnsi="Times New Roman" w:cs="Times New Roman"/>
          <w:sz w:val="24"/>
          <w:szCs w:val="24"/>
        </w:rPr>
        <w:t xml:space="preserve">in future can focus on testing the fluid systems at </w:t>
      </w:r>
      <w:r>
        <w:rPr>
          <w:rFonts w:ascii="Times New Roman" w:hAnsi="Times New Roman" w:cs="Times New Roman"/>
          <w:sz w:val="24"/>
          <w:szCs w:val="24"/>
        </w:rPr>
        <w:t xml:space="preserve">higher temperature in the range of 300 </w:t>
      </w:r>
      <w:r w:rsidRPr="008C6DB3">
        <w:rPr>
          <w:rFonts w:ascii="Times New Roman" w:hAnsi="Times New Roman" w:cs="Times New Roman"/>
          <w:sz w:val="24"/>
          <w:szCs w:val="24"/>
          <w:vertAlign w:val="superscript"/>
        </w:rPr>
        <w:t>o</w:t>
      </w:r>
      <w:r>
        <w:rPr>
          <w:rFonts w:ascii="Times New Roman" w:hAnsi="Times New Roman" w:cs="Times New Roman"/>
          <w:sz w:val="24"/>
          <w:szCs w:val="24"/>
        </w:rPr>
        <w:t xml:space="preserve">F to 400 </w:t>
      </w:r>
      <w:r w:rsidRPr="008C6DB3">
        <w:rPr>
          <w:rFonts w:ascii="Times New Roman" w:hAnsi="Times New Roman" w:cs="Times New Roman"/>
          <w:sz w:val="24"/>
          <w:szCs w:val="24"/>
          <w:vertAlign w:val="superscript"/>
        </w:rPr>
        <w:t>o</w:t>
      </w:r>
      <w:r>
        <w:rPr>
          <w:rFonts w:ascii="Times New Roman" w:hAnsi="Times New Roman" w:cs="Times New Roman"/>
          <w:sz w:val="24"/>
          <w:szCs w:val="24"/>
        </w:rPr>
        <w:t xml:space="preserve">F to </w:t>
      </w:r>
      <w:r w:rsidR="00330239">
        <w:rPr>
          <w:rFonts w:ascii="Times New Roman" w:hAnsi="Times New Roman" w:cs="Times New Roman"/>
          <w:sz w:val="24"/>
          <w:szCs w:val="24"/>
        </w:rPr>
        <w:t>evaluate application for deep wells and geothermal wells.</w:t>
      </w:r>
    </w:p>
    <w:p w14:paraId="3758ECBA" w14:textId="77777777" w:rsidR="00F50398" w:rsidRPr="006819A8" w:rsidRDefault="00FC7798" w:rsidP="00D71331">
      <w:pPr>
        <w:pStyle w:val="ListParagraph"/>
        <w:numPr>
          <w:ilvl w:val="0"/>
          <w:numId w:val="37"/>
        </w:numPr>
        <w:spacing w:line="480" w:lineRule="auto"/>
        <w:rPr>
          <w:rFonts w:ascii="Times New Roman" w:hAnsi="Times New Roman" w:cs="Times New Roman"/>
          <w:sz w:val="24"/>
          <w:szCs w:val="24"/>
        </w:rPr>
      </w:pPr>
      <w:r>
        <w:rPr>
          <w:rFonts w:ascii="Times New Roman" w:hAnsi="Times New Roman" w:cs="Times New Roman"/>
          <w:sz w:val="24"/>
          <w:szCs w:val="24"/>
        </w:rPr>
        <w:t>The work can also be extended to the neighborhood shale formation</w:t>
      </w:r>
      <w:r w:rsidR="00B312C2">
        <w:rPr>
          <w:rFonts w:ascii="Times New Roman" w:hAnsi="Times New Roman" w:cs="Times New Roman"/>
          <w:sz w:val="24"/>
          <w:szCs w:val="24"/>
        </w:rPr>
        <w:t>s</w:t>
      </w:r>
      <w:r>
        <w:rPr>
          <w:rFonts w:ascii="Times New Roman" w:hAnsi="Times New Roman" w:cs="Times New Roman"/>
          <w:sz w:val="24"/>
          <w:szCs w:val="24"/>
        </w:rPr>
        <w:t xml:space="preserve"> such as Eagle ford shale</w:t>
      </w:r>
      <w:r w:rsidR="006436AB">
        <w:rPr>
          <w:rFonts w:ascii="Times New Roman" w:hAnsi="Times New Roman" w:cs="Times New Roman"/>
          <w:sz w:val="24"/>
          <w:szCs w:val="24"/>
        </w:rPr>
        <w:t>.</w:t>
      </w:r>
      <w:r w:rsidR="00F50398">
        <w:rPr>
          <w:rFonts w:ascii="Times New Roman" w:hAnsi="Times New Roman" w:cs="Times New Roman"/>
          <w:sz w:val="24"/>
          <w:szCs w:val="24"/>
        </w:rPr>
        <w:t xml:space="preserve"> </w:t>
      </w:r>
    </w:p>
    <w:p w14:paraId="697E7063" w14:textId="77777777" w:rsidR="007024EC" w:rsidRDefault="007024EC" w:rsidP="00A23EA3"/>
    <w:p w14:paraId="32AA777B" w14:textId="77777777" w:rsidR="007024EC" w:rsidRDefault="007024EC" w:rsidP="00A23EA3"/>
    <w:p w14:paraId="50B68AA4" w14:textId="77777777" w:rsidR="007024EC" w:rsidRPr="00A23EA3" w:rsidRDefault="007024EC" w:rsidP="00A23EA3"/>
    <w:p w14:paraId="05F19112" w14:textId="77777777" w:rsidR="00CB6CD2" w:rsidRDefault="00D223E9" w:rsidP="007024EC">
      <w:pPr>
        <w:pStyle w:val="Heading1"/>
        <w:numPr>
          <w:ilvl w:val="0"/>
          <w:numId w:val="35"/>
        </w:numPr>
      </w:pPr>
      <w:bookmarkStart w:id="140" w:name="_Toc39751632"/>
      <w:r>
        <w:t>Nomenclature</w:t>
      </w:r>
      <w:r w:rsidR="00AE5C03">
        <w:t xml:space="preserve"> and Acronyms</w:t>
      </w:r>
      <w:bookmarkEnd w:id="140"/>
    </w:p>
    <w:p w14:paraId="1F570AB3"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A</w:t>
      </w:r>
      <w:r w:rsidRPr="007024EC">
        <w:rPr>
          <w:rFonts w:ascii="Times New Roman" w:eastAsia="Calibri" w:hAnsi="Times New Roman" w:cs="Times New Roman"/>
          <w:sz w:val="24"/>
          <w:szCs w:val="24"/>
          <w:vertAlign w:val="subscript"/>
        </w:rPr>
        <w:t>B</w:t>
      </w:r>
      <w:r w:rsidRPr="007024E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Cross-sectional area</w:t>
      </w:r>
    </w:p>
    <w:p w14:paraId="6942407A"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DAQ: </w:t>
      </w:r>
      <w:r>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Data Acquisition System</w:t>
      </w:r>
    </w:p>
    <w:p w14:paraId="2DB08527"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Ef: </w:t>
      </w:r>
      <w:r>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Mechanical efficiency</w:t>
      </w:r>
    </w:p>
    <w:p w14:paraId="67F0F42B"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HPHT: </w:t>
      </w:r>
      <w:r>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High-Pressure High-Temperature</w:t>
      </w:r>
    </w:p>
    <w:p w14:paraId="21D40F02"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Lb/bbl: </w:t>
      </w:r>
      <w:r>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Pounds per Barrel</w:t>
      </w:r>
    </w:p>
    <w:p w14:paraId="5F507D17"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MSE: </w:t>
      </w:r>
      <w:r>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Mechanical specific energy</w:t>
      </w:r>
    </w:p>
    <w:p w14:paraId="2DDBD27E"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NDT: </w:t>
      </w:r>
      <w:r>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Non-Drilling Time</w:t>
      </w:r>
    </w:p>
    <w:p w14:paraId="6526FE44"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NPT: </w:t>
      </w:r>
      <w:r>
        <w:rPr>
          <w:rFonts w:ascii="Times New Roman" w:eastAsia="Calibri" w:hAnsi="Times New Roman" w:cs="Times New Roman"/>
          <w:sz w:val="24"/>
          <w:szCs w:val="24"/>
        </w:rPr>
        <w:t xml:space="preserve">               </w:t>
      </w:r>
      <w:r w:rsidR="009B72EE">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Non-Productive Time</w:t>
      </w:r>
    </w:p>
    <w:p w14:paraId="23F57662"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OBM: </w:t>
      </w:r>
      <w:r>
        <w:rPr>
          <w:rFonts w:ascii="Times New Roman" w:eastAsia="Calibri" w:hAnsi="Times New Roman" w:cs="Times New Roman"/>
          <w:sz w:val="24"/>
          <w:szCs w:val="24"/>
        </w:rPr>
        <w:t xml:space="preserve">            </w:t>
      </w:r>
      <w:r w:rsidR="009B72EE">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Oil-Based Mud</w:t>
      </w:r>
    </w:p>
    <w:p w14:paraId="1ACB54DC"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ROP: </w:t>
      </w:r>
      <w:r>
        <w:rPr>
          <w:rFonts w:ascii="Times New Roman" w:eastAsia="Calibri" w:hAnsi="Times New Roman" w:cs="Times New Roman"/>
          <w:sz w:val="24"/>
          <w:szCs w:val="24"/>
        </w:rPr>
        <w:t xml:space="preserve">             </w:t>
      </w:r>
      <w:r w:rsidR="009B72EE">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Rate of penetration</w:t>
      </w:r>
    </w:p>
    <w:p w14:paraId="05834BCD"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RPM: </w:t>
      </w:r>
      <w:r>
        <w:rPr>
          <w:rFonts w:ascii="Times New Roman" w:eastAsia="Calibri" w:hAnsi="Times New Roman" w:cs="Times New Roman"/>
          <w:sz w:val="24"/>
          <w:szCs w:val="24"/>
        </w:rPr>
        <w:t xml:space="preserve">            </w:t>
      </w:r>
      <w:r w:rsidR="009B72EE">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Rotary speed</w:t>
      </w:r>
    </w:p>
    <w:p w14:paraId="18FF9CB7"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T: </w:t>
      </w:r>
      <w:r>
        <w:rPr>
          <w:rFonts w:ascii="Times New Roman" w:eastAsia="Calibri" w:hAnsi="Times New Roman" w:cs="Times New Roman"/>
          <w:sz w:val="24"/>
          <w:szCs w:val="24"/>
        </w:rPr>
        <w:t xml:space="preserve">                 </w:t>
      </w:r>
      <w:r w:rsidR="009B72EE">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Torque</w:t>
      </w:r>
    </w:p>
    <w:p w14:paraId="212BD686"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TMS: </w:t>
      </w:r>
      <w:r>
        <w:rPr>
          <w:rFonts w:ascii="Times New Roman" w:eastAsia="Calibri" w:hAnsi="Times New Roman" w:cs="Times New Roman"/>
          <w:sz w:val="24"/>
          <w:szCs w:val="24"/>
        </w:rPr>
        <w:t xml:space="preserve">          </w:t>
      </w:r>
      <w:r w:rsidR="009B72EE">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Tuscaloosa Marine Shale</w:t>
      </w:r>
    </w:p>
    <w:p w14:paraId="29D19571" w14:textId="77777777" w:rsidR="007024EC" w:rsidRP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WBM: </w:t>
      </w:r>
      <w:r>
        <w:rPr>
          <w:rFonts w:ascii="Times New Roman" w:eastAsia="Calibri" w:hAnsi="Times New Roman" w:cs="Times New Roman"/>
          <w:sz w:val="24"/>
          <w:szCs w:val="24"/>
        </w:rPr>
        <w:t xml:space="preserve">       </w:t>
      </w:r>
      <w:r w:rsidR="009B72EE">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Water-Based Mud</w:t>
      </w:r>
    </w:p>
    <w:p w14:paraId="685EE3D2" w14:textId="77777777" w:rsidR="007024EC" w:rsidRDefault="007024EC" w:rsidP="00AD1ECD">
      <w:pPr>
        <w:spacing w:line="480" w:lineRule="auto"/>
        <w:contextualSpacing/>
        <w:rPr>
          <w:rFonts w:ascii="Times New Roman" w:eastAsia="Calibri" w:hAnsi="Times New Roman" w:cs="Times New Roman"/>
          <w:sz w:val="24"/>
          <w:szCs w:val="24"/>
        </w:rPr>
      </w:pPr>
      <w:r w:rsidRPr="007024EC">
        <w:rPr>
          <w:rFonts w:ascii="Times New Roman" w:eastAsia="Calibri" w:hAnsi="Times New Roman" w:cs="Times New Roman"/>
          <w:sz w:val="24"/>
          <w:szCs w:val="24"/>
        </w:rPr>
        <w:t xml:space="preserve">WOB: </w:t>
      </w:r>
      <w:r>
        <w:rPr>
          <w:rFonts w:ascii="Times New Roman" w:eastAsia="Calibri" w:hAnsi="Times New Roman" w:cs="Times New Roman"/>
          <w:sz w:val="24"/>
          <w:szCs w:val="24"/>
        </w:rPr>
        <w:t xml:space="preserve">       </w:t>
      </w:r>
      <w:r w:rsidR="009B72EE">
        <w:rPr>
          <w:rFonts w:ascii="Times New Roman" w:eastAsia="Calibri" w:hAnsi="Times New Roman" w:cs="Times New Roman"/>
          <w:sz w:val="24"/>
          <w:szCs w:val="24"/>
        </w:rPr>
        <w:t xml:space="preserve">        </w:t>
      </w:r>
      <w:r w:rsidRPr="007024EC">
        <w:rPr>
          <w:rFonts w:ascii="Times New Roman" w:eastAsia="Calibri" w:hAnsi="Times New Roman" w:cs="Times New Roman"/>
          <w:sz w:val="24"/>
          <w:szCs w:val="24"/>
        </w:rPr>
        <w:t xml:space="preserve">Weight on bit </w:t>
      </w:r>
    </w:p>
    <w:p w14:paraId="1B56CBFA" w14:textId="77777777" w:rsidR="007024EC" w:rsidRDefault="009B72EE" w:rsidP="00AD1ECD">
      <w:p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LCM:                 Lost circulation materials </w:t>
      </w:r>
    </w:p>
    <w:p w14:paraId="6BDC03BE" w14:textId="77777777" w:rsidR="009B72EE" w:rsidRDefault="00404B0F" w:rsidP="00AD1ECD">
      <w:p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PDC:                 Polycrystalline diamond compact </w:t>
      </w:r>
    </w:p>
    <w:p w14:paraId="72888CA0" w14:textId="77777777" w:rsidR="00404B0F" w:rsidRDefault="00404B0F" w:rsidP="00AD1ECD">
      <w:p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EIA:                  Energy information administration</w:t>
      </w:r>
    </w:p>
    <w:p w14:paraId="7B87D905" w14:textId="77777777" w:rsidR="00404B0F" w:rsidRDefault="00404B0F" w:rsidP="00AD1ECD">
      <w:p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HPWBM:         High-performance water-based mud</w:t>
      </w:r>
    </w:p>
    <w:p w14:paraId="259DA19C" w14:textId="77777777" w:rsidR="00404B0F" w:rsidRDefault="00404B0F" w:rsidP="00AD1ECD">
      <w:p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WOC:               Wait on cement</w:t>
      </w:r>
    </w:p>
    <w:p w14:paraId="2B4D9CD7" w14:textId="77777777" w:rsidR="00404B0F" w:rsidRDefault="00AE5C03" w:rsidP="00AD1ECD">
      <w:p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Al:                    Aluminum </w:t>
      </w:r>
    </w:p>
    <w:p w14:paraId="5B869C4D" w14:textId="77777777" w:rsidR="00AE5C03" w:rsidRDefault="00AE5C03" w:rsidP="00AD1ECD">
      <w:p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lastRenderedPageBreak/>
        <w:t>O:                     Oxygen</w:t>
      </w:r>
    </w:p>
    <w:p w14:paraId="562718A7" w14:textId="77777777" w:rsidR="00AE5C03" w:rsidRDefault="00AE5C03" w:rsidP="00AD1ECD">
      <w:p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OH:                 Hydroxyl</w:t>
      </w:r>
    </w:p>
    <w:p w14:paraId="34E9A0FA" w14:textId="77777777" w:rsidR="00AE5C03" w:rsidRPr="007024EC" w:rsidRDefault="00AE5C03" w:rsidP="00AD1ECD">
      <w:pPr>
        <w:spacing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Mg:                 Magnesium </w:t>
      </w:r>
    </w:p>
    <w:p w14:paraId="01D1564A" w14:textId="77777777" w:rsidR="007024EC" w:rsidRDefault="00AE5C03" w:rsidP="00AD1ECD">
      <w:pPr>
        <w:spacing w:line="480" w:lineRule="auto"/>
        <w:rPr>
          <w:rFonts w:ascii="Times New Roman" w:hAnsi="Times New Roman" w:cs="Times New Roman"/>
          <w:sz w:val="24"/>
          <w:szCs w:val="24"/>
        </w:rPr>
      </w:pPr>
      <w:r>
        <w:rPr>
          <w:rFonts w:ascii="Times New Roman" w:hAnsi="Times New Roman" w:cs="Times New Roman"/>
          <w:sz w:val="24"/>
          <w:szCs w:val="24"/>
        </w:rPr>
        <w:t>Fe:                  Iron</w:t>
      </w:r>
    </w:p>
    <w:p w14:paraId="56E80297" w14:textId="77777777" w:rsidR="00AE5C03" w:rsidRDefault="00AE5C03" w:rsidP="00AD1ECD">
      <w:pPr>
        <w:spacing w:line="480" w:lineRule="auto"/>
        <w:rPr>
          <w:rFonts w:ascii="Times New Roman" w:hAnsi="Times New Roman" w:cs="Times New Roman"/>
          <w:sz w:val="24"/>
          <w:szCs w:val="24"/>
        </w:rPr>
      </w:pPr>
      <w:r>
        <w:rPr>
          <w:rFonts w:ascii="Times New Roman" w:hAnsi="Times New Roman" w:cs="Times New Roman"/>
          <w:sz w:val="24"/>
          <w:szCs w:val="24"/>
        </w:rPr>
        <w:t>Si:                  Silicate</w:t>
      </w:r>
    </w:p>
    <w:p w14:paraId="1DB82D0E" w14:textId="77777777" w:rsidR="00AE5C03" w:rsidRDefault="00AE5C03" w:rsidP="00AD1ECD">
      <w:pPr>
        <w:spacing w:line="480" w:lineRule="auto"/>
        <w:rPr>
          <w:rFonts w:ascii="Times New Roman" w:hAnsi="Times New Roman" w:cs="Times New Roman"/>
          <w:sz w:val="24"/>
          <w:szCs w:val="24"/>
        </w:rPr>
      </w:pPr>
      <w:r>
        <w:rPr>
          <w:rFonts w:ascii="Times New Roman" w:hAnsi="Times New Roman" w:cs="Times New Roman"/>
          <w:sz w:val="24"/>
          <w:szCs w:val="24"/>
        </w:rPr>
        <w:t>BHA:            Bottom hole assembly</w:t>
      </w:r>
    </w:p>
    <w:p w14:paraId="3DA54688" w14:textId="77777777" w:rsidR="00AE5C03" w:rsidRDefault="00AE5C03" w:rsidP="00AD1ECD">
      <w:pPr>
        <w:spacing w:line="480" w:lineRule="auto"/>
        <w:rPr>
          <w:rFonts w:ascii="Times New Roman" w:hAnsi="Times New Roman" w:cs="Times New Roman"/>
          <w:sz w:val="24"/>
          <w:szCs w:val="24"/>
        </w:rPr>
      </w:pPr>
      <w:r>
        <w:rPr>
          <w:rFonts w:ascii="Times New Roman" w:hAnsi="Times New Roman" w:cs="Times New Roman"/>
          <w:sz w:val="24"/>
          <w:szCs w:val="24"/>
        </w:rPr>
        <w:t>ECD:            Equivalent circulating density</w:t>
      </w:r>
    </w:p>
    <w:p w14:paraId="088F9E16" w14:textId="77777777" w:rsidR="00AE5C03" w:rsidRDefault="00AE5C03" w:rsidP="00AD1ECD">
      <w:pPr>
        <w:spacing w:line="480" w:lineRule="auto"/>
        <w:rPr>
          <w:rFonts w:ascii="Times New Roman" w:hAnsi="Times New Roman" w:cs="Times New Roman"/>
          <w:sz w:val="24"/>
          <w:szCs w:val="24"/>
        </w:rPr>
      </w:pPr>
      <w:r>
        <w:rPr>
          <w:rFonts w:ascii="Times New Roman" w:hAnsi="Times New Roman" w:cs="Times New Roman"/>
          <w:sz w:val="24"/>
          <w:szCs w:val="24"/>
        </w:rPr>
        <w:t>FTIR:          Fourier-transform infrared spectroscopy</w:t>
      </w:r>
    </w:p>
    <w:p w14:paraId="08B05AD5" w14:textId="77777777" w:rsidR="00AE5C03" w:rsidRPr="007024EC" w:rsidRDefault="00AE5C03" w:rsidP="00AD1ECD">
      <w:pPr>
        <w:spacing w:line="480" w:lineRule="auto"/>
        <w:rPr>
          <w:rFonts w:ascii="Times New Roman" w:hAnsi="Times New Roman" w:cs="Times New Roman"/>
          <w:sz w:val="24"/>
          <w:szCs w:val="24"/>
        </w:rPr>
      </w:pPr>
      <w:r>
        <w:rPr>
          <w:rFonts w:ascii="Times New Roman" w:hAnsi="Times New Roman" w:cs="Times New Roman"/>
          <w:sz w:val="24"/>
          <w:szCs w:val="24"/>
        </w:rPr>
        <w:t xml:space="preserve">ASTM:       American society of testing material </w:t>
      </w:r>
    </w:p>
    <w:p w14:paraId="709950A1" w14:textId="77777777" w:rsidR="007024EC" w:rsidRDefault="007024EC" w:rsidP="007024EC"/>
    <w:p w14:paraId="44B7139E" w14:textId="77777777" w:rsidR="00AD1ECD" w:rsidRDefault="00AD1ECD" w:rsidP="007024EC"/>
    <w:p w14:paraId="7DA84AE3" w14:textId="0F70D7E9" w:rsidR="00CB6CD2" w:rsidRDefault="00CB6CD2" w:rsidP="00CB6CD2"/>
    <w:p w14:paraId="7717B093" w14:textId="62DDFAAD" w:rsidR="00CC5625" w:rsidRDefault="00CC5625" w:rsidP="00CB6CD2"/>
    <w:p w14:paraId="78E6A1AD" w14:textId="7ED30F1C" w:rsidR="00CC5625" w:rsidRDefault="00CC5625" w:rsidP="00CB6CD2"/>
    <w:p w14:paraId="01F78E73" w14:textId="24651953" w:rsidR="00CC5625" w:rsidRDefault="00CC5625" w:rsidP="00CB6CD2"/>
    <w:p w14:paraId="55894BA9" w14:textId="3483B240" w:rsidR="00CC5625" w:rsidRDefault="00CC5625" w:rsidP="00CB6CD2"/>
    <w:p w14:paraId="3B5A00DD" w14:textId="49B91415" w:rsidR="00CC5625" w:rsidRDefault="00CC5625" w:rsidP="00CB6CD2"/>
    <w:p w14:paraId="5C443A53" w14:textId="21C21435" w:rsidR="00CC5625" w:rsidRDefault="00CC5625" w:rsidP="00CB6CD2"/>
    <w:p w14:paraId="2D8E08A7" w14:textId="2AE355A2" w:rsidR="00CC5625" w:rsidRDefault="00CC5625" w:rsidP="00CB6CD2"/>
    <w:p w14:paraId="6E58EF8E" w14:textId="19FBBAFE" w:rsidR="00CC5625" w:rsidRDefault="00CC5625" w:rsidP="00CB6CD2"/>
    <w:p w14:paraId="69414FE7" w14:textId="1B717889" w:rsidR="00CC5625" w:rsidRDefault="00CC5625" w:rsidP="00CB6CD2"/>
    <w:p w14:paraId="6B29F1AA" w14:textId="77777777" w:rsidR="00CC5625" w:rsidRPr="00CB6CD2" w:rsidRDefault="00CC5625" w:rsidP="00CB6CD2"/>
    <w:p w14:paraId="3C4DD5BC" w14:textId="77777777" w:rsidR="000F5DCF" w:rsidRPr="000F5DCF" w:rsidRDefault="001B57E9" w:rsidP="000F5DCF">
      <w:pPr>
        <w:pStyle w:val="Heading1"/>
      </w:pPr>
      <w:bookmarkStart w:id="141" w:name="_Toc39751633"/>
      <w:r>
        <w:lastRenderedPageBreak/>
        <w:t>References</w:t>
      </w:r>
      <w:bookmarkEnd w:id="141"/>
    </w:p>
    <w:p w14:paraId="110D5D19" w14:textId="77777777" w:rsidR="000F5DCF" w:rsidRPr="00304373"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 xml:space="preserve">Abrams, A. 1997. Mud Design to Minimize Rock Impairment Due to Particle Invasion. Journal of Petroleum Technology. SPE-5713-PA. </w:t>
      </w:r>
      <w:hyperlink r:id="rId46" w:history="1">
        <w:r w:rsidRPr="00304373">
          <w:rPr>
            <w:rFonts w:ascii="Times New Roman" w:eastAsia="Calibri" w:hAnsi="Times New Roman" w:cs="Times New Roman"/>
            <w:color w:val="0563C1"/>
            <w:sz w:val="24"/>
            <w:szCs w:val="24"/>
            <w:u w:val="single"/>
          </w:rPr>
          <w:t>http://dx.doi.org/10.2118/5713-PA</w:t>
        </w:r>
      </w:hyperlink>
    </w:p>
    <w:p w14:paraId="48B94CB7" w14:textId="77777777" w:rsidR="000F5DCF" w:rsidRDefault="000F5DCF" w:rsidP="00304373">
      <w:pPr>
        <w:contextualSpacing/>
        <w:jc w:val="both"/>
        <w:rPr>
          <w:rFonts w:ascii="Times New Roman" w:eastAsia="Calibri" w:hAnsi="Times New Roman" w:cs="Times New Roman"/>
          <w:sz w:val="24"/>
          <w:szCs w:val="24"/>
        </w:rPr>
      </w:pPr>
    </w:p>
    <w:p w14:paraId="07C0F102" w14:textId="77777777" w:rsidR="000F5DCF"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Ahmed A. E., Mohammed S. F., Eric W. T., Mohammed K., 2016. A Study of Friction Factor Model for Directional Wells. Egyptian of Journal of Petroleum. Suez, Egypt, July 4. assigned to Halliburton Co.; 1989</w:t>
      </w:r>
      <w:r w:rsidR="005A68C3">
        <w:rPr>
          <w:rFonts w:ascii="Times New Roman" w:eastAsia="Calibri" w:hAnsi="Times New Roman" w:cs="Times New Roman"/>
          <w:sz w:val="24"/>
          <w:szCs w:val="24"/>
        </w:rPr>
        <w:t>.</w:t>
      </w:r>
    </w:p>
    <w:p w14:paraId="59FA5000" w14:textId="77777777" w:rsidR="004B4BA6" w:rsidRDefault="004B4BA6" w:rsidP="00304373">
      <w:pPr>
        <w:contextualSpacing/>
        <w:jc w:val="both"/>
        <w:rPr>
          <w:rFonts w:ascii="Helvetica" w:hAnsi="Helvetica"/>
          <w:color w:val="333333"/>
          <w:sz w:val="21"/>
          <w:szCs w:val="21"/>
          <w:shd w:val="clear" w:color="auto" w:fill="FFFFFF"/>
        </w:rPr>
      </w:pPr>
    </w:p>
    <w:p w14:paraId="10A2BF7E" w14:textId="1AAC2B00" w:rsidR="005537A9" w:rsidRPr="004B4BA6" w:rsidRDefault="004B4BA6" w:rsidP="00304373">
      <w:pPr>
        <w:contextualSpacing/>
        <w:jc w:val="both"/>
        <w:rPr>
          <w:rFonts w:ascii="Times New Roman" w:hAnsi="Times New Roman" w:cs="Times New Roman"/>
          <w:color w:val="000000" w:themeColor="text1"/>
          <w:sz w:val="24"/>
          <w:szCs w:val="24"/>
        </w:rPr>
      </w:pPr>
      <w:r w:rsidRPr="004B4BA6">
        <w:rPr>
          <w:rFonts w:ascii="Times New Roman" w:hAnsi="Times New Roman" w:cs="Times New Roman"/>
          <w:color w:val="000000" w:themeColor="text1"/>
          <w:sz w:val="24"/>
          <w:szCs w:val="24"/>
          <w:shd w:val="clear" w:color="auto" w:fill="FFFFFF"/>
        </w:rPr>
        <w:t xml:space="preserve">Arambulo, V. H. S., Colque, J. N. P., Alban, E. D. A., &amp; Ahmed, R. M. (2015, September 28). Case Studies Validate the Effectiveness of Aluminum-based HPWBM in Stabilizing Micro-Fractured Shale Formations: Field Experience in the Peruvian Amazon. Society of Petroleum Engineers. </w:t>
      </w:r>
      <w:r w:rsidRPr="004B4BA6">
        <w:rPr>
          <w:rFonts w:ascii="Times New Roman" w:hAnsi="Times New Roman" w:cs="Times New Roman"/>
          <w:color w:val="0070C0"/>
          <w:sz w:val="24"/>
          <w:szCs w:val="24"/>
          <w:u w:val="single"/>
          <w:shd w:val="clear" w:color="auto" w:fill="FFFFFF"/>
        </w:rPr>
        <w:t>doi:10.2118/174854-MS</w:t>
      </w:r>
    </w:p>
    <w:p w14:paraId="0FEA9C1E" w14:textId="535C2275" w:rsidR="005A68C3" w:rsidRPr="005537A9" w:rsidRDefault="005537A9" w:rsidP="00304373">
      <w:pPr>
        <w:contextualSpacing/>
        <w:jc w:val="both"/>
        <w:rPr>
          <w:rFonts w:ascii="Times New Roman" w:eastAsia="Calibri" w:hAnsi="Times New Roman" w:cs="Times New Roman"/>
          <w:sz w:val="28"/>
          <w:szCs w:val="28"/>
        </w:rPr>
      </w:pPr>
      <w:r w:rsidRPr="005537A9">
        <w:rPr>
          <w:rFonts w:ascii="Times New Roman" w:hAnsi="Times New Roman" w:cs="Times New Roman"/>
          <w:sz w:val="24"/>
          <w:szCs w:val="24"/>
        </w:rPr>
        <w:t>Aston, M. S., &amp; Elliott, G. P. (1994). Water-based glycol drilling muds: Shale inhibition mechanisms. European Petroleum Conference, (1/-), 107–113.</w:t>
      </w:r>
    </w:p>
    <w:p w14:paraId="5FDCC560" w14:textId="77777777" w:rsidR="005537A9" w:rsidRDefault="005537A9" w:rsidP="00304373">
      <w:pPr>
        <w:contextualSpacing/>
        <w:jc w:val="both"/>
        <w:rPr>
          <w:rFonts w:ascii="Times New Roman" w:hAnsi="Times New Roman" w:cs="Times New Roman"/>
          <w:color w:val="0D0D0D" w:themeColor="text1" w:themeTint="F2"/>
          <w:sz w:val="24"/>
          <w:szCs w:val="24"/>
          <w:shd w:val="clear" w:color="auto" w:fill="FFFFFF"/>
        </w:rPr>
      </w:pPr>
    </w:p>
    <w:p w14:paraId="3673DBD4" w14:textId="4E990835" w:rsidR="000F5DCF" w:rsidRDefault="005A68C3" w:rsidP="00304373">
      <w:pPr>
        <w:contextualSpacing/>
        <w:jc w:val="both"/>
        <w:rPr>
          <w:rFonts w:ascii="Times New Roman" w:hAnsi="Times New Roman" w:cs="Times New Roman"/>
          <w:color w:val="0D0D0D" w:themeColor="text1" w:themeTint="F2"/>
          <w:sz w:val="24"/>
          <w:szCs w:val="24"/>
          <w:shd w:val="clear" w:color="auto" w:fill="FFFFFF"/>
        </w:rPr>
      </w:pPr>
      <w:r w:rsidRPr="005A68C3">
        <w:rPr>
          <w:rFonts w:ascii="Times New Roman" w:hAnsi="Times New Roman" w:cs="Times New Roman"/>
          <w:color w:val="0D0D0D" w:themeColor="text1" w:themeTint="F2"/>
          <w:sz w:val="24"/>
          <w:szCs w:val="24"/>
          <w:shd w:val="clear" w:color="auto" w:fill="FFFFFF"/>
        </w:rPr>
        <w:t>Awal, M. R., Khan, M. S., Mohiuddin, M. A., Abdulraheem, A., &amp; Azeemuddin, M. 2001. A New Approach to Borehole Trajectory Optimi</w:t>
      </w:r>
      <w:r w:rsidR="000E508A">
        <w:rPr>
          <w:rFonts w:ascii="Times New Roman" w:hAnsi="Times New Roman" w:cs="Times New Roman"/>
          <w:color w:val="0D0D0D" w:themeColor="text1" w:themeTint="F2"/>
          <w:sz w:val="24"/>
          <w:szCs w:val="24"/>
          <w:shd w:val="clear" w:color="auto" w:fill="FFFFFF"/>
        </w:rPr>
        <w:t>z</w:t>
      </w:r>
      <w:r w:rsidRPr="005A68C3">
        <w:rPr>
          <w:rFonts w:ascii="Times New Roman" w:hAnsi="Times New Roman" w:cs="Times New Roman"/>
          <w:color w:val="0D0D0D" w:themeColor="text1" w:themeTint="F2"/>
          <w:sz w:val="24"/>
          <w:szCs w:val="24"/>
          <w:shd w:val="clear" w:color="auto" w:fill="FFFFFF"/>
        </w:rPr>
        <w:t>ation for Increased Hole Stability. Society of Petroleum Engineers.</w:t>
      </w:r>
      <w:r w:rsidR="00C714F2">
        <w:rPr>
          <w:rFonts w:ascii="Times New Roman" w:hAnsi="Times New Roman" w:cs="Times New Roman"/>
          <w:color w:val="0D0D0D" w:themeColor="text1" w:themeTint="F2"/>
          <w:sz w:val="24"/>
          <w:szCs w:val="24"/>
          <w:shd w:val="clear" w:color="auto" w:fill="FFFFFF"/>
        </w:rPr>
        <w:t xml:space="preserve"> </w:t>
      </w:r>
      <w:hyperlink r:id="rId47" w:history="1">
        <w:r w:rsidR="00C714F2" w:rsidRPr="003B5395">
          <w:rPr>
            <w:rStyle w:val="Hyperlink"/>
            <w:rFonts w:ascii="Times New Roman" w:eastAsia="Calibri" w:hAnsi="Times New Roman" w:cs="Times New Roman"/>
            <w:sz w:val="24"/>
            <w:szCs w:val="24"/>
          </w:rPr>
          <w:t>http://dx.doi.org/10.2118/68092-MS</w:t>
        </w:r>
      </w:hyperlink>
      <w:r w:rsidR="00C714F2">
        <w:rPr>
          <w:rFonts w:ascii="Times New Roman" w:eastAsia="Calibri" w:hAnsi="Times New Roman" w:cs="Times New Roman"/>
          <w:color w:val="0563C1"/>
          <w:sz w:val="24"/>
          <w:szCs w:val="24"/>
          <w:u w:val="single"/>
        </w:rPr>
        <w:t>.</w:t>
      </w:r>
    </w:p>
    <w:p w14:paraId="4DDD205D" w14:textId="77777777" w:rsidR="009E3777" w:rsidRDefault="009E3777" w:rsidP="00304373">
      <w:pPr>
        <w:contextualSpacing/>
        <w:jc w:val="both"/>
        <w:rPr>
          <w:rFonts w:ascii="Times New Roman" w:hAnsi="Times New Roman" w:cs="Times New Roman"/>
          <w:sz w:val="24"/>
          <w:szCs w:val="24"/>
        </w:rPr>
      </w:pPr>
    </w:p>
    <w:p w14:paraId="260ECD2F" w14:textId="072FBFC8" w:rsidR="0020776C" w:rsidRPr="009E3777" w:rsidRDefault="009E3777" w:rsidP="00304373">
      <w:pPr>
        <w:contextualSpacing/>
        <w:jc w:val="both"/>
        <w:rPr>
          <w:rFonts w:ascii="Times New Roman" w:hAnsi="Times New Roman" w:cs="Times New Roman"/>
          <w:sz w:val="28"/>
          <w:szCs w:val="28"/>
        </w:rPr>
      </w:pPr>
      <w:r w:rsidRPr="009E3777">
        <w:rPr>
          <w:rFonts w:ascii="Times New Roman" w:hAnsi="Times New Roman" w:cs="Times New Roman"/>
          <w:sz w:val="24"/>
          <w:szCs w:val="24"/>
        </w:rPr>
        <w:t>Beihoffer. (1990). The Development of an Inhibitive Cationic Drilling Fluid for Slimhole Coring Applications.</w:t>
      </w:r>
    </w:p>
    <w:p w14:paraId="3432AB6C" w14:textId="77777777" w:rsidR="009E3777" w:rsidRDefault="009E3777" w:rsidP="00304373">
      <w:pPr>
        <w:contextualSpacing/>
        <w:jc w:val="both"/>
        <w:rPr>
          <w:rFonts w:ascii="Times New Roman" w:hAnsi="Times New Roman" w:cs="Times New Roman"/>
          <w:sz w:val="24"/>
          <w:szCs w:val="24"/>
        </w:rPr>
      </w:pPr>
    </w:p>
    <w:p w14:paraId="15C51EF2" w14:textId="372F7F48" w:rsidR="005A68C3" w:rsidRPr="0020776C" w:rsidRDefault="0020776C" w:rsidP="00304373">
      <w:pPr>
        <w:contextualSpacing/>
        <w:jc w:val="both"/>
        <w:rPr>
          <w:rFonts w:ascii="Times New Roman" w:eastAsia="Calibri" w:hAnsi="Times New Roman" w:cs="Times New Roman"/>
          <w:color w:val="0D0D0D" w:themeColor="text1" w:themeTint="F2"/>
          <w:sz w:val="28"/>
          <w:szCs w:val="28"/>
        </w:rPr>
      </w:pPr>
      <w:r w:rsidRPr="0020776C">
        <w:rPr>
          <w:rFonts w:ascii="Times New Roman" w:hAnsi="Times New Roman" w:cs="Times New Roman"/>
          <w:sz w:val="24"/>
          <w:szCs w:val="24"/>
        </w:rPr>
        <w:t>Benaissa, S. (1997). Oil Field Applications of Aluminum Chemistry and Experience with Aluminum-Based Drilling Fluid Additive.</w:t>
      </w:r>
    </w:p>
    <w:p w14:paraId="23A1D511" w14:textId="77777777" w:rsidR="0020776C" w:rsidRDefault="0020776C" w:rsidP="00304373">
      <w:pPr>
        <w:contextualSpacing/>
        <w:jc w:val="both"/>
        <w:rPr>
          <w:rFonts w:ascii="Times New Roman" w:eastAsia="Calibri" w:hAnsi="Times New Roman" w:cs="Times New Roman"/>
          <w:sz w:val="24"/>
          <w:szCs w:val="24"/>
        </w:rPr>
      </w:pPr>
    </w:p>
    <w:p w14:paraId="4640F5F7" w14:textId="20E245F0" w:rsidR="000F5DCF" w:rsidRPr="00304373" w:rsidRDefault="000F5DCF" w:rsidP="00304373">
      <w:pPr>
        <w:contextualSpacing/>
        <w:jc w:val="both"/>
        <w:rPr>
          <w:rFonts w:ascii="Times New Roman" w:eastAsia="Calibri" w:hAnsi="Times New Roman" w:cs="Times New Roman"/>
          <w:color w:val="0070C0"/>
          <w:sz w:val="24"/>
          <w:szCs w:val="24"/>
          <w:u w:val="single"/>
        </w:rPr>
      </w:pPr>
      <w:r w:rsidRPr="00304373">
        <w:rPr>
          <w:rFonts w:ascii="Times New Roman" w:eastAsia="Calibri" w:hAnsi="Times New Roman" w:cs="Times New Roman"/>
          <w:sz w:val="24"/>
          <w:szCs w:val="24"/>
        </w:rPr>
        <w:t>Borrok, D. M., Wan, Y., Wei, M., Mokhtari, M., 2019. Heterogeneity of the Mineralogy and Organic Content of the Tuscaloosa Marine Shale. Marine and Petroleum Geology 109 (2019) 717-731.</w:t>
      </w:r>
    </w:p>
    <w:p w14:paraId="4528EC95" w14:textId="77777777" w:rsidR="00C858D1" w:rsidRDefault="00C858D1" w:rsidP="00C858D1">
      <w:pPr>
        <w:spacing w:after="0" w:line="240" w:lineRule="auto"/>
        <w:rPr>
          <w:rFonts w:ascii="Times New Roman" w:eastAsia="Times New Roman" w:hAnsi="Times New Roman" w:cs="Times New Roman"/>
          <w:color w:val="0D0D0D" w:themeColor="text1" w:themeTint="F2"/>
          <w:sz w:val="24"/>
          <w:szCs w:val="24"/>
        </w:rPr>
      </w:pPr>
    </w:p>
    <w:p w14:paraId="4E08E087" w14:textId="77777777" w:rsidR="00C858D1" w:rsidRDefault="00C858D1" w:rsidP="00C858D1">
      <w:pPr>
        <w:spacing w:after="0" w:line="240" w:lineRule="auto"/>
        <w:rPr>
          <w:rFonts w:ascii="Times New Roman" w:eastAsia="Times New Roman" w:hAnsi="Times New Roman" w:cs="Times New Roman"/>
          <w:color w:val="0D0D0D" w:themeColor="text1" w:themeTint="F2"/>
          <w:sz w:val="24"/>
          <w:szCs w:val="24"/>
        </w:rPr>
      </w:pPr>
      <w:r w:rsidRPr="00BD2F2A">
        <w:rPr>
          <w:rFonts w:ascii="Times New Roman" w:eastAsia="Times New Roman" w:hAnsi="Times New Roman" w:cs="Times New Roman"/>
          <w:color w:val="0D0D0D" w:themeColor="text1" w:themeTint="F2"/>
          <w:sz w:val="24"/>
          <w:szCs w:val="24"/>
        </w:rPr>
        <w:t>C.P. Ezeakacha, S. Salehi. 2018. Experimental and statistical investigation of drilling fluids loss in porous media-Part 1. J. Nat. Gas Sci. Eng., 51 (2018), pp. 104-115</w:t>
      </w:r>
    </w:p>
    <w:p w14:paraId="459A7110" w14:textId="77777777" w:rsidR="005F2047" w:rsidRDefault="005F2047" w:rsidP="005F2047">
      <w:pPr>
        <w:rPr>
          <w:rFonts w:ascii="Times New Roman" w:hAnsi="Times New Roman" w:cs="Times New Roman"/>
          <w:color w:val="0D0D0D" w:themeColor="text1" w:themeTint="F2"/>
          <w:sz w:val="24"/>
          <w:szCs w:val="24"/>
        </w:rPr>
      </w:pPr>
    </w:p>
    <w:p w14:paraId="50F03A5E" w14:textId="77777777" w:rsidR="000F5DCF" w:rsidRPr="005F2047" w:rsidRDefault="005F2047" w:rsidP="005F2047">
      <w:pPr>
        <w:rPr>
          <w:rFonts w:ascii="Times New Roman" w:hAnsi="Times New Roman" w:cs="Times New Roman"/>
          <w:color w:val="0D0D0D" w:themeColor="text1" w:themeTint="F2"/>
          <w:sz w:val="24"/>
          <w:szCs w:val="24"/>
        </w:rPr>
      </w:pPr>
      <w:r w:rsidRPr="00EE77DE">
        <w:rPr>
          <w:rFonts w:ascii="Times New Roman" w:hAnsi="Times New Roman" w:cs="Times New Roman"/>
          <w:color w:val="0D0D0D" w:themeColor="text1" w:themeTint="F2"/>
          <w:sz w:val="24"/>
          <w:szCs w:val="24"/>
        </w:rPr>
        <w:t xml:space="preserve">C. Peter Ezeakacha, S. Salehi. 2019. </w:t>
      </w:r>
      <w:r w:rsidRPr="00EE77DE">
        <w:rPr>
          <w:rStyle w:val="Strong"/>
          <w:rFonts w:ascii="Times New Roman" w:hAnsi="Times New Roman" w:cs="Times New Roman"/>
          <w:b w:val="0"/>
          <w:bCs w:val="0"/>
          <w:color w:val="0D0D0D" w:themeColor="text1" w:themeTint="F2"/>
          <w:sz w:val="24"/>
          <w:szCs w:val="24"/>
        </w:rPr>
        <w:t>Experimental and statistical investigation of drilling fluid loss in porous media: Part 2 (Fractures)</w:t>
      </w:r>
      <w:r w:rsidRPr="00EE77DE">
        <w:rPr>
          <w:rFonts w:ascii="Times New Roman" w:hAnsi="Times New Roman" w:cs="Times New Roman"/>
          <w:b/>
          <w:bCs/>
          <w:color w:val="0D0D0D" w:themeColor="text1" w:themeTint="F2"/>
          <w:sz w:val="24"/>
          <w:szCs w:val="24"/>
        </w:rPr>
        <w:t>.</w:t>
      </w:r>
      <w:r w:rsidRPr="00EE77DE">
        <w:rPr>
          <w:rFonts w:ascii="Times New Roman" w:hAnsi="Times New Roman" w:cs="Times New Roman"/>
          <w:color w:val="0D0D0D" w:themeColor="text1" w:themeTint="F2"/>
          <w:sz w:val="24"/>
          <w:szCs w:val="24"/>
        </w:rPr>
        <w:t xml:space="preserve"> J. Nat. Gas Sci. Eng., 65 (2019), pp. 257 266, </w:t>
      </w:r>
      <w:hyperlink r:id="rId48" w:tgtFrame="_blank" w:history="1">
        <w:r w:rsidRPr="00EE77DE">
          <w:rPr>
            <w:rStyle w:val="Hyperlink"/>
            <w:rFonts w:ascii="Times New Roman" w:hAnsi="Times New Roman" w:cs="Times New Roman"/>
            <w:color w:val="0D0D0D" w:themeColor="text1" w:themeTint="F2"/>
            <w:sz w:val="24"/>
            <w:szCs w:val="24"/>
          </w:rPr>
          <w:t>10.1016/j.jngse.2019.03.007</w:t>
        </w:r>
      </w:hyperlink>
    </w:p>
    <w:p w14:paraId="2AFC13E6" w14:textId="77777777" w:rsidR="000F5DCF" w:rsidRPr="008E3238" w:rsidRDefault="000F5DCF" w:rsidP="00304373">
      <w:pPr>
        <w:jc w:val="both"/>
        <w:rPr>
          <w:rFonts w:ascii="Times New Roman" w:eastAsia="Calibri" w:hAnsi="Times New Roman" w:cs="Times New Roman"/>
          <w:sz w:val="28"/>
          <w:szCs w:val="32"/>
        </w:rPr>
      </w:pPr>
      <w:r w:rsidRPr="008E3238">
        <w:rPr>
          <w:rFonts w:ascii="Times New Roman" w:hAnsi="Times New Roman" w:cs="Times New Roman"/>
          <w:sz w:val="24"/>
          <w:szCs w:val="24"/>
        </w:rPr>
        <w:t>Chenevert, M. E. 1970. Shale Control with Balanced-Activity Oil-Continuous Muds. Society of Petroleum Engineers.</w:t>
      </w:r>
      <w:r>
        <w:rPr>
          <w:rFonts w:ascii="Times New Roman" w:hAnsi="Times New Roman" w:cs="Times New Roman"/>
          <w:sz w:val="24"/>
          <w:szCs w:val="24"/>
        </w:rPr>
        <w:t xml:space="preserve"> </w:t>
      </w:r>
      <w:r w:rsidRPr="008E3238">
        <w:rPr>
          <w:rFonts w:ascii="Times New Roman" w:eastAsia="Calibri" w:hAnsi="Times New Roman" w:cs="Times New Roman"/>
          <w:color w:val="0563C1"/>
          <w:sz w:val="24"/>
          <w:szCs w:val="24"/>
          <w:u w:val="single"/>
        </w:rPr>
        <w:t>http://dx.doi.org/10.2118/</w:t>
      </w:r>
      <w:r>
        <w:rPr>
          <w:rFonts w:ascii="Times New Roman" w:eastAsia="Calibri" w:hAnsi="Times New Roman" w:cs="Times New Roman"/>
          <w:color w:val="0563C1"/>
          <w:sz w:val="24"/>
          <w:szCs w:val="24"/>
          <w:u w:val="single"/>
        </w:rPr>
        <w:t>2559</w:t>
      </w:r>
      <w:r w:rsidRPr="008E3238">
        <w:rPr>
          <w:rFonts w:ascii="Times New Roman" w:eastAsia="Calibri" w:hAnsi="Times New Roman" w:cs="Times New Roman"/>
          <w:color w:val="0563C1"/>
          <w:sz w:val="24"/>
          <w:szCs w:val="24"/>
          <w:u w:val="single"/>
        </w:rPr>
        <w:t>-</w:t>
      </w:r>
      <w:r>
        <w:rPr>
          <w:rFonts w:ascii="Times New Roman" w:eastAsia="Calibri" w:hAnsi="Times New Roman" w:cs="Times New Roman"/>
          <w:color w:val="0563C1"/>
          <w:sz w:val="24"/>
          <w:szCs w:val="24"/>
          <w:u w:val="single"/>
        </w:rPr>
        <w:t>PA.</w:t>
      </w:r>
    </w:p>
    <w:p w14:paraId="239419AD" w14:textId="532D29A6" w:rsidR="000F5DCF"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Chenevert, M. E., 1970. Shale Control with Balanced Activity Oil-Continuous Muds. J. Pet. Tech. 1309-1319.</w:t>
      </w:r>
    </w:p>
    <w:p w14:paraId="06A39FF9" w14:textId="4E3CBEB1" w:rsidR="00E75969" w:rsidRDefault="00E75969" w:rsidP="00304373">
      <w:pPr>
        <w:contextualSpacing/>
        <w:jc w:val="both"/>
        <w:rPr>
          <w:rFonts w:ascii="Times New Roman" w:eastAsia="Calibri" w:hAnsi="Times New Roman" w:cs="Times New Roman"/>
          <w:sz w:val="24"/>
          <w:szCs w:val="24"/>
        </w:rPr>
      </w:pPr>
    </w:p>
    <w:p w14:paraId="0B6C5EBA" w14:textId="0E08B717" w:rsidR="00E75969" w:rsidRPr="00E75969" w:rsidRDefault="00E75969" w:rsidP="00304373">
      <w:pPr>
        <w:contextualSpacing/>
        <w:jc w:val="both"/>
        <w:rPr>
          <w:rFonts w:ascii="Times New Roman" w:eastAsia="Calibri" w:hAnsi="Times New Roman" w:cs="Times New Roman"/>
          <w:sz w:val="28"/>
          <w:szCs w:val="28"/>
        </w:rPr>
      </w:pPr>
      <w:r w:rsidRPr="00E75969">
        <w:rPr>
          <w:rFonts w:ascii="Times New Roman" w:hAnsi="Times New Roman" w:cs="Times New Roman"/>
          <w:sz w:val="24"/>
          <w:szCs w:val="24"/>
        </w:rPr>
        <w:lastRenderedPageBreak/>
        <w:t xml:space="preserve">Cai, J., Chenevert, M. E., Sharma, M. M., &amp; Friedheim, J. E. (2012). Decreasing Water Invasion </w:t>
      </w:r>
      <w:r>
        <w:rPr>
          <w:rFonts w:ascii="Times New Roman" w:hAnsi="Times New Roman" w:cs="Times New Roman"/>
          <w:sz w:val="24"/>
          <w:szCs w:val="24"/>
        </w:rPr>
        <w:t>i</w:t>
      </w:r>
      <w:r w:rsidRPr="00E75969">
        <w:rPr>
          <w:rFonts w:ascii="Times New Roman" w:hAnsi="Times New Roman" w:cs="Times New Roman"/>
          <w:sz w:val="24"/>
          <w:szCs w:val="24"/>
        </w:rPr>
        <w:t xml:space="preserve">nto Atoka Shale Using Nonmodified Silica Nanoparticles. SPE Drilling &amp; Completion, 27(1), 103–112. </w:t>
      </w:r>
      <w:r w:rsidRPr="006A602A">
        <w:rPr>
          <w:rFonts w:ascii="Times New Roman" w:hAnsi="Times New Roman" w:cs="Times New Roman"/>
          <w:color w:val="0070C0"/>
          <w:sz w:val="24"/>
          <w:szCs w:val="24"/>
          <w:u w:val="single"/>
        </w:rPr>
        <w:t>https://doi.org/10.2118/146979-PA.</w:t>
      </w:r>
    </w:p>
    <w:p w14:paraId="03A9C164" w14:textId="77777777" w:rsidR="000F5DCF" w:rsidRDefault="000F5DCF" w:rsidP="0057054F">
      <w:pPr>
        <w:autoSpaceDE w:val="0"/>
        <w:autoSpaceDN w:val="0"/>
        <w:adjustRightInd w:val="0"/>
        <w:spacing w:after="0" w:line="240" w:lineRule="auto"/>
        <w:rPr>
          <w:rFonts w:ascii="TimesNewRomanPSMT" w:hAnsi="TimesNewRomanPSMT" w:cs="TimesNewRomanPSMT"/>
          <w:sz w:val="24"/>
          <w:szCs w:val="24"/>
        </w:rPr>
      </w:pPr>
    </w:p>
    <w:p w14:paraId="226CCE01" w14:textId="77777777" w:rsidR="000F5DCF" w:rsidRPr="00304373" w:rsidRDefault="000F5DCF" w:rsidP="0057054F">
      <w:pPr>
        <w:autoSpaceDE w:val="0"/>
        <w:autoSpaceDN w:val="0"/>
        <w:adjustRightInd w:val="0"/>
        <w:spacing w:after="0" w:line="240" w:lineRule="auto"/>
        <w:rPr>
          <w:rFonts w:ascii="TimesNewRomanPSMT" w:hAnsi="TimesNewRomanPSMT" w:cs="TimesNewRomanPSMT"/>
          <w:sz w:val="24"/>
          <w:szCs w:val="24"/>
        </w:rPr>
      </w:pPr>
      <w:bookmarkStart w:id="142" w:name="_Hlk37878647"/>
      <w:r w:rsidRPr="00304373">
        <w:rPr>
          <w:rFonts w:ascii="TimesNewRomanPSMT" w:hAnsi="TimesNewRomanPSMT" w:cs="TimesNewRomanPSMT"/>
          <w:sz w:val="24"/>
          <w:szCs w:val="24"/>
        </w:rPr>
        <w:t>Civan, Faruk; Mechanism of Clay Swelling from Reservoir Formation Damage - Fundamentals,</w:t>
      </w:r>
    </w:p>
    <w:bookmarkEnd w:id="142"/>
    <w:p w14:paraId="4327CA70" w14:textId="77777777" w:rsidR="000F5DCF" w:rsidRDefault="000F5DCF" w:rsidP="00304373">
      <w:pPr>
        <w:contextualSpacing/>
        <w:jc w:val="both"/>
        <w:rPr>
          <w:rFonts w:ascii="Times New Roman" w:eastAsia="Calibri" w:hAnsi="Times New Roman" w:cs="Times New Roman"/>
          <w:color w:val="000000"/>
          <w:sz w:val="24"/>
          <w:szCs w:val="24"/>
        </w:rPr>
      </w:pPr>
    </w:p>
    <w:p w14:paraId="688E0EDD" w14:textId="77777777" w:rsidR="000F5DCF" w:rsidRPr="00304373" w:rsidRDefault="000F5DCF" w:rsidP="00304373">
      <w:pPr>
        <w:contextualSpacing/>
        <w:jc w:val="both"/>
        <w:rPr>
          <w:rFonts w:ascii="Times New Roman" w:eastAsia="Calibri" w:hAnsi="Times New Roman" w:cs="Times New Roman"/>
          <w:color w:val="0070C0"/>
          <w:sz w:val="24"/>
          <w:szCs w:val="24"/>
          <w:u w:val="single"/>
        </w:rPr>
      </w:pPr>
      <w:r w:rsidRPr="00304373">
        <w:rPr>
          <w:rFonts w:ascii="Times New Roman" w:eastAsia="Calibri" w:hAnsi="Times New Roman" w:cs="Times New Roman"/>
          <w:color w:val="000000"/>
          <w:sz w:val="24"/>
          <w:szCs w:val="24"/>
        </w:rPr>
        <w:t>Denney, C., 2018, Drilling Overview of Tuscaloosa Marine Shale. Presented at the Tuscaloosa Marine Shale Consortium, Lafayette, Louisiana, 6-7 September.</w:t>
      </w:r>
    </w:p>
    <w:p w14:paraId="2CDD2EDF" w14:textId="77777777" w:rsidR="000F5DCF" w:rsidRDefault="000F5DCF" w:rsidP="00304373">
      <w:pPr>
        <w:contextualSpacing/>
        <w:jc w:val="both"/>
        <w:rPr>
          <w:rFonts w:ascii="Times New Roman" w:eastAsia="Calibri" w:hAnsi="Times New Roman" w:cs="Times New Roman"/>
          <w:sz w:val="24"/>
          <w:szCs w:val="24"/>
        </w:rPr>
      </w:pPr>
    </w:p>
    <w:p w14:paraId="3C5BDAC8" w14:textId="77777777" w:rsidR="000F5DCF" w:rsidRPr="00304373" w:rsidRDefault="000F5DCF" w:rsidP="00304373">
      <w:pPr>
        <w:contextualSpacing/>
        <w:jc w:val="both"/>
        <w:rPr>
          <w:rFonts w:ascii="Times New Roman" w:eastAsia="Calibri" w:hAnsi="Times New Roman" w:cs="Times New Roman"/>
          <w:color w:val="0563C1"/>
          <w:sz w:val="24"/>
          <w:szCs w:val="24"/>
          <w:u w:val="single"/>
        </w:rPr>
      </w:pPr>
      <w:r w:rsidRPr="00304373">
        <w:rPr>
          <w:rFonts w:ascii="Times New Roman" w:eastAsia="Calibri" w:hAnsi="Times New Roman" w:cs="Times New Roman"/>
          <w:sz w:val="24"/>
          <w:szCs w:val="24"/>
        </w:rPr>
        <w:t xml:space="preserve">Dennis, E. O., Chenevert, M. E.,1973. Stabilizing Sensitive Shales with Inhibited, Potassium-Based Drilling Fluids. Journal of Petroleum Technology. September. SPE- 4232-PA. </w:t>
      </w:r>
      <w:hyperlink r:id="rId49" w:history="1">
        <w:r w:rsidRPr="00304373">
          <w:rPr>
            <w:rFonts w:ascii="Times New Roman" w:eastAsia="Calibri" w:hAnsi="Times New Roman" w:cs="Times New Roman"/>
            <w:color w:val="0563C1"/>
            <w:sz w:val="24"/>
            <w:szCs w:val="24"/>
            <w:u w:val="single"/>
          </w:rPr>
          <w:t>http://dx.doi.org/10.2118/4232-PA</w:t>
        </w:r>
      </w:hyperlink>
    </w:p>
    <w:p w14:paraId="2AE50638" w14:textId="77777777" w:rsidR="000F5DCF" w:rsidRDefault="000F5DCF" w:rsidP="00304373">
      <w:pPr>
        <w:contextualSpacing/>
        <w:jc w:val="both"/>
        <w:rPr>
          <w:rFonts w:ascii="Times New Roman" w:eastAsia="Calibri" w:hAnsi="Times New Roman" w:cs="Times New Roman"/>
          <w:color w:val="000000"/>
          <w:sz w:val="24"/>
          <w:szCs w:val="24"/>
        </w:rPr>
      </w:pPr>
    </w:p>
    <w:p w14:paraId="2F2C6AD6" w14:textId="77777777" w:rsidR="000F5DCF" w:rsidRPr="00304373" w:rsidRDefault="000F5DCF" w:rsidP="00304373">
      <w:pPr>
        <w:contextualSpacing/>
        <w:jc w:val="both"/>
        <w:rPr>
          <w:rFonts w:ascii="Times New Roman" w:eastAsia="Calibri" w:hAnsi="Times New Roman" w:cs="Times New Roman"/>
          <w:color w:val="0070C0"/>
          <w:sz w:val="24"/>
          <w:szCs w:val="24"/>
          <w:u w:val="single"/>
        </w:rPr>
      </w:pPr>
      <w:r w:rsidRPr="00304373">
        <w:rPr>
          <w:rFonts w:ascii="Times New Roman" w:eastAsia="Calibri" w:hAnsi="Times New Roman" w:cs="Times New Roman"/>
          <w:color w:val="000000"/>
          <w:sz w:val="24"/>
          <w:szCs w:val="24"/>
        </w:rPr>
        <w:t>Deville, J.P., Fritz,B., Jarrett, M., 2011. Development of Water-Based Drilling Fluids Customized for Shale Reservoirs. SPE International Symposium on Oilfield Chemistry, 11-13 April, The Woodlands, Texas.</w:t>
      </w:r>
      <w:r w:rsidRPr="00304373">
        <w:rPr>
          <w:rFonts w:ascii="Times New Roman" w:eastAsia="Calibri" w:hAnsi="Times New Roman" w:cs="Times New Roman"/>
          <w:sz w:val="24"/>
          <w:szCs w:val="24"/>
        </w:rPr>
        <w:t xml:space="preserve"> SPE-140868-MS </w:t>
      </w:r>
      <w:hyperlink r:id="rId50" w:history="1">
        <w:r w:rsidRPr="00304373">
          <w:rPr>
            <w:rFonts w:ascii="Times New Roman" w:eastAsia="Calibri" w:hAnsi="Times New Roman" w:cs="Times New Roman"/>
            <w:color w:val="0563C1"/>
            <w:sz w:val="24"/>
            <w:szCs w:val="24"/>
            <w:u w:val="single"/>
          </w:rPr>
          <w:t>https://doi-org.ezproxy.lib.ou.edu/10.2118/140868-MS</w:t>
        </w:r>
      </w:hyperlink>
      <w:r w:rsidRPr="00304373">
        <w:rPr>
          <w:rFonts w:ascii="Times New Roman" w:eastAsia="Calibri" w:hAnsi="Times New Roman" w:cs="Times New Roman"/>
          <w:color w:val="0070C0"/>
          <w:sz w:val="24"/>
          <w:szCs w:val="24"/>
          <w:u w:val="single"/>
        </w:rPr>
        <w:t xml:space="preserve"> </w:t>
      </w:r>
    </w:p>
    <w:p w14:paraId="560B5B13" w14:textId="77777777" w:rsidR="000F5DCF" w:rsidRDefault="000F5DCF" w:rsidP="00304373">
      <w:pPr>
        <w:jc w:val="both"/>
        <w:rPr>
          <w:rFonts w:ascii="Times New Roman" w:hAnsi="Times New Roman" w:cs="Times New Roman"/>
          <w:sz w:val="24"/>
          <w:szCs w:val="24"/>
        </w:rPr>
      </w:pPr>
    </w:p>
    <w:p w14:paraId="0CB1BEBF" w14:textId="77777777" w:rsidR="000F5DCF" w:rsidRPr="008E3238" w:rsidRDefault="000F5DCF" w:rsidP="00304373">
      <w:pPr>
        <w:jc w:val="both"/>
        <w:rPr>
          <w:rFonts w:ascii="Times New Roman" w:eastAsia="Calibri" w:hAnsi="Times New Roman" w:cs="Times New Roman"/>
          <w:color w:val="0563C1"/>
          <w:sz w:val="32"/>
          <w:szCs w:val="32"/>
          <w:u w:val="single"/>
        </w:rPr>
      </w:pPr>
      <w:r w:rsidRPr="008E3238">
        <w:rPr>
          <w:rFonts w:ascii="Times New Roman" w:hAnsi="Times New Roman" w:cs="Times New Roman"/>
          <w:sz w:val="24"/>
          <w:szCs w:val="24"/>
        </w:rPr>
        <w:t xml:space="preserve">Downs, J. D. (2006). Drilling and Completing Difficult HPHT Wells with the Aid of Cesium Formate Brines – A Performance Review. Society of Petroleum Engineers. </w:t>
      </w:r>
      <w:hyperlink r:id="rId51" w:history="1">
        <w:r w:rsidRPr="003B5395">
          <w:rPr>
            <w:rStyle w:val="Hyperlink"/>
            <w:rFonts w:ascii="Times New Roman" w:eastAsia="Calibri" w:hAnsi="Times New Roman" w:cs="Times New Roman"/>
            <w:sz w:val="24"/>
            <w:szCs w:val="24"/>
          </w:rPr>
          <w:t>http://dx.doi.org/10.2118/99068-MS</w:t>
        </w:r>
      </w:hyperlink>
      <w:r>
        <w:rPr>
          <w:rFonts w:ascii="Times New Roman" w:eastAsia="Calibri" w:hAnsi="Times New Roman" w:cs="Times New Roman"/>
          <w:color w:val="0563C1"/>
          <w:sz w:val="24"/>
          <w:szCs w:val="24"/>
          <w:u w:val="single"/>
        </w:rPr>
        <w:t>.</w:t>
      </w:r>
    </w:p>
    <w:p w14:paraId="19EF6CDF" w14:textId="77777777" w:rsidR="000F5DCF" w:rsidRDefault="000F5DCF" w:rsidP="00783B4E">
      <w:pPr>
        <w:rPr>
          <w:rFonts w:ascii="Times New Roman" w:eastAsia="Calibri" w:hAnsi="Times New Roman" w:cs="Times New Roman"/>
          <w:color w:val="0563C1"/>
          <w:sz w:val="24"/>
          <w:szCs w:val="24"/>
          <w:u w:val="single"/>
        </w:rPr>
      </w:pPr>
      <w:bookmarkStart w:id="143" w:name="_Hlk37951913"/>
      <w:r w:rsidRPr="00783B4E">
        <w:rPr>
          <w:rFonts w:ascii="Times New Roman" w:hAnsi="Times New Roman" w:cs="Times New Roman"/>
          <w:sz w:val="24"/>
          <w:szCs w:val="24"/>
        </w:rPr>
        <w:t>Downs, J. D. (2010). A Review of the Impact of the Use of Formate Brines on the Economics of Deep Gas Field Development Projects. Society of Petroleum Engineers.</w:t>
      </w:r>
      <w:r>
        <w:rPr>
          <w:rFonts w:ascii="Times New Roman" w:eastAsia="Calibri" w:hAnsi="Times New Roman" w:cs="Times New Roman"/>
          <w:color w:val="0563C1"/>
          <w:sz w:val="24"/>
          <w:szCs w:val="24"/>
          <w:u w:val="single"/>
        </w:rPr>
        <w:t xml:space="preserve"> </w:t>
      </w:r>
      <w:hyperlink r:id="rId52" w:history="1">
        <w:r w:rsidRPr="003B5395">
          <w:rPr>
            <w:rStyle w:val="Hyperlink"/>
            <w:rFonts w:ascii="Times New Roman" w:eastAsia="Calibri" w:hAnsi="Times New Roman" w:cs="Times New Roman"/>
            <w:sz w:val="24"/>
            <w:szCs w:val="24"/>
          </w:rPr>
          <w:t>http://dx.doi.org/10.2118/130376-MS</w:t>
        </w:r>
      </w:hyperlink>
      <w:r>
        <w:rPr>
          <w:rFonts w:ascii="Times New Roman" w:eastAsia="Calibri" w:hAnsi="Times New Roman" w:cs="Times New Roman"/>
          <w:color w:val="0563C1"/>
          <w:sz w:val="24"/>
          <w:szCs w:val="24"/>
          <w:u w:val="single"/>
        </w:rPr>
        <w:t>.</w:t>
      </w:r>
    </w:p>
    <w:bookmarkEnd w:id="143"/>
    <w:p w14:paraId="1130656E" w14:textId="0B2E8501" w:rsidR="008543A4" w:rsidRDefault="008543A4" w:rsidP="008543A4">
      <w:pPr>
        <w:jc w:val="both"/>
        <w:rPr>
          <w:rFonts w:ascii="Times New Roman" w:eastAsia="Calibri" w:hAnsi="Times New Roman" w:cs="Times New Roman"/>
          <w:color w:val="0563C1"/>
          <w:sz w:val="24"/>
          <w:szCs w:val="24"/>
          <w:u w:val="single"/>
        </w:rPr>
      </w:pPr>
      <w:r w:rsidRPr="005C6C15">
        <w:rPr>
          <w:rFonts w:ascii="Times New Roman" w:hAnsi="Times New Roman" w:cs="Times New Roman"/>
          <w:color w:val="0D0D0D" w:themeColor="text1" w:themeTint="F2"/>
          <w:sz w:val="24"/>
          <w:szCs w:val="24"/>
        </w:rPr>
        <w:t xml:space="preserve">Dupriest, F. E., and Koederitz, W. L. 2005. Maximizing Drill Rates with Real-Time Surveillance of Mechanical Specific Energy. Society of Petroleum Engineers. </w:t>
      </w:r>
      <w:hyperlink r:id="rId53" w:history="1">
        <w:r w:rsidRPr="003B5395">
          <w:rPr>
            <w:rStyle w:val="Hyperlink"/>
            <w:rFonts w:ascii="Times New Roman" w:eastAsia="Calibri" w:hAnsi="Times New Roman" w:cs="Times New Roman"/>
            <w:sz w:val="24"/>
            <w:szCs w:val="24"/>
          </w:rPr>
          <w:t>http://dx.doi.org/10.2118/92194-MS</w:t>
        </w:r>
      </w:hyperlink>
      <w:r>
        <w:rPr>
          <w:rFonts w:ascii="Times New Roman" w:eastAsia="Calibri" w:hAnsi="Times New Roman" w:cs="Times New Roman"/>
          <w:color w:val="0563C1"/>
          <w:sz w:val="24"/>
          <w:szCs w:val="24"/>
          <w:u w:val="single"/>
        </w:rPr>
        <w:t>.</w:t>
      </w:r>
    </w:p>
    <w:p w14:paraId="08AFEC34" w14:textId="360977D2" w:rsidR="000F5DCF" w:rsidRDefault="000F5DCF" w:rsidP="0057054F">
      <w:pPr>
        <w:rPr>
          <w:rStyle w:val="Hyperlink"/>
          <w:rFonts w:ascii="Times New Roman" w:hAnsi="Times New Roman" w:cs="Times New Roman"/>
          <w:sz w:val="24"/>
          <w:szCs w:val="24"/>
          <w:shd w:val="clear" w:color="auto" w:fill="FFFFFF"/>
        </w:rPr>
      </w:pPr>
      <w:r w:rsidRPr="0003629F">
        <w:rPr>
          <w:rStyle w:val="Hyperlink"/>
          <w:rFonts w:ascii="Times New Roman" w:hAnsi="Times New Roman" w:cs="Times New Roman"/>
          <w:color w:val="auto"/>
          <w:sz w:val="24"/>
          <w:szCs w:val="24"/>
          <w:u w:val="none"/>
        </w:rPr>
        <w:t xml:space="preserve">Ezeakacha C. P. 2018. Dynamic Drilling Fluid Loss and Filtration: Impact of Dynamic Wellbore Conditions and Wellbore Strengthening Implications PhD Dissertation, The University of Oklahoma, Norman, Oklahoma (December 2018). </w:t>
      </w:r>
      <w:hyperlink r:id="rId54" w:history="1">
        <w:r w:rsidRPr="00E62B27">
          <w:rPr>
            <w:rStyle w:val="Hyperlink"/>
            <w:rFonts w:ascii="Times New Roman" w:hAnsi="Times New Roman" w:cs="Times New Roman"/>
            <w:sz w:val="24"/>
            <w:szCs w:val="24"/>
            <w:shd w:val="clear" w:color="auto" w:fill="FFFFFF"/>
          </w:rPr>
          <w:t>https://hdl.handle.net/11244/316304</w:t>
        </w:r>
      </w:hyperlink>
    </w:p>
    <w:p w14:paraId="24468770" w14:textId="0C13C60F" w:rsidR="00E62B27" w:rsidRPr="00E62B27" w:rsidRDefault="00E62B27" w:rsidP="0057054F">
      <w:pPr>
        <w:rPr>
          <w:rStyle w:val="Hyperlink"/>
          <w:rFonts w:ascii="Times New Roman" w:hAnsi="Times New Roman" w:cs="Times New Roman"/>
          <w:sz w:val="28"/>
          <w:szCs w:val="28"/>
          <w:u w:val="none"/>
          <w:shd w:val="clear" w:color="auto" w:fill="FFFFFF"/>
        </w:rPr>
      </w:pPr>
      <w:r w:rsidRPr="00E62B27">
        <w:rPr>
          <w:rFonts w:ascii="Times New Roman" w:hAnsi="Times New Roman" w:cs="Times New Roman"/>
          <w:sz w:val="24"/>
          <w:szCs w:val="24"/>
        </w:rPr>
        <w:t>Guven N, Panfl DJ, Carney LL (1988) Comparative rheology of water</w:t>
      </w:r>
      <w:r>
        <w:rPr>
          <w:rFonts w:ascii="Times New Roman" w:hAnsi="Times New Roman" w:cs="Times New Roman"/>
          <w:sz w:val="24"/>
          <w:szCs w:val="24"/>
        </w:rPr>
        <w:t>-</w:t>
      </w:r>
      <w:r w:rsidRPr="00E62B27">
        <w:rPr>
          <w:rFonts w:ascii="Times New Roman" w:hAnsi="Times New Roman" w:cs="Times New Roman"/>
          <w:sz w:val="24"/>
          <w:szCs w:val="24"/>
        </w:rPr>
        <w:t>based drilling f</w:t>
      </w:r>
      <w:r>
        <w:rPr>
          <w:rFonts w:ascii="Times New Roman" w:hAnsi="Times New Roman" w:cs="Times New Roman"/>
          <w:sz w:val="24"/>
          <w:szCs w:val="24"/>
        </w:rPr>
        <w:t>l</w:t>
      </w:r>
      <w:r w:rsidRPr="00E62B27">
        <w:rPr>
          <w:rFonts w:ascii="Times New Roman" w:hAnsi="Times New Roman" w:cs="Times New Roman"/>
          <w:sz w:val="24"/>
          <w:szCs w:val="24"/>
        </w:rPr>
        <w:t>uids with various clays. Paper presented at the international meeting on petroleum engineering</w:t>
      </w:r>
    </w:p>
    <w:p w14:paraId="6005460E" w14:textId="77777777" w:rsidR="00073184" w:rsidRDefault="00073184" w:rsidP="00073184">
      <w:pPr>
        <w:spacing w:after="0" w:line="240" w:lineRule="auto"/>
        <w:rPr>
          <w:rFonts w:ascii="Times New Roman" w:eastAsia="Times New Roman" w:hAnsi="Times New Roman" w:cs="Times New Roman"/>
          <w:color w:val="0D0D0D" w:themeColor="text1" w:themeTint="F2"/>
          <w:sz w:val="24"/>
          <w:szCs w:val="24"/>
        </w:rPr>
      </w:pPr>
      <w:r w:rsidRPr="00BD2F2A">
        <w:rPr>
          <w:rFonts w:ascii="Times New Roman" w:eastAsia="Times New Roman" w:hAnsi="Times New Roman" w:cs="Times New Roman"/>
          <w:color w:val="0D0D0D" w:themeColor="text1" w:themeTint="F2"/>
          <w:sz w:val="24"/>
          <w:szCs w:val="24"/>
        </w:rPr>
        <w:t>H. Zhang, D. Gao, S. Salehi, B. Guo. 2014. Effect of fluid temperature on rock failure in borehole drilling. ASCE J. Eng. Mech., 140 (1), pp. 82-90</w:t>
      </w:r>
    </w:p>
    <w:p w14:paraId="455D65A5" w14:textId="77777777" w:rsidR="00073184" w:rsidRPr="00073184" w:rsidRDefault="00073184" w:rsidP="00073184">
      <w:pPr>
        <w:spacing w:after="0" w:line="240" w:lineRule="auto"/>
        <w:rPr>
          <w:rStyle w:val="Hyperlink"/>
          <w:rFonts w:ascii="Times New Roman" w:eastAsia="Times New Roman" w:hAnsi="Times New Roman" w:cs="Times New Roman"/>
          <w:color w:val="0D0D0D" w:themeColor="text1" w:themeTint="F2"/>
          <w:sz w:val="24"/>
          <w:szCs w:val="24"/>
          <w:u w:val="none"/>
        </w:rPr>
      </w:pPr>
    </w:p>
    <w:p w14:paraId="2B114DA0" w14:textId="77777777" w:rsidR="000F5DCF" w:rsidRPr="00304373" w:rsidRDefault="000F5DCF" w:rsidP="00304373">
      <w:pPr>
        <w:contextualSpacing/>
        <w:jc w:val="both"/>
        <w:rPr>
          <w:rFonts w:ascii="Times New Roman" w:eastAsia="Calibri" w:hAnsi="Times New Roman" w:cs="Times New Roman"/>
          <w:color w:val="000000"/>
          <w:sz w:val="24"/>
          <w:szCs w:val="24"/>
        </w:rPr>
      </w:pPr>
      <w:r w:rsidRPr="00304373">
        <w:rPr>
          <w:rFonts w:ascii="Times New Roman" w:eastAsia="Calibri" w:hAnsi="Times New Roman" w:cs="Times New Roman"/>
          <w:color w:val="000000"/>
          <w:sz w:val="24"/>
          <w:szCs w:val="24"/>
        </w:rPr>
        <w:t xml:space="preserve">Hackley, P., Celeste, D.L., Brett, J.V., Frank, T.D., 2017. Preliminary Regional Characterization Update of the Tuscaloosa Marine Shale in Southern Mississippi: Implications for CO2 Sequestration. Geological Society of America Conference, Richmond, Virginia. </w:t>
      </w:r>
      <w:hyperlink r:id="rId55" w:history="1">
        <w:r w:rsidRPr="00304373">
          <w:rPr>
            <w:rFonts w:ascii="Times New Roman" w:eastAsia="Calibri" w:hAnsi="Times New Roman" w:cs="Times New Roman"/>
            <w:color w:val="0563C1"/>
            <w:sz w:val="24"/>
            <w:szCs w:val="24"/>
            <w:u w:val="single"/>
          </w:rPr>
          <w:t>http://dx.doi.org/10.1130/abs/2017SE-291206</w:t>
        </w:r>
      </w:hyperlink>
    </w:p>
    <w:p w14:paraId="51DBAF11" w14:textId="77777777" w:rsidR="000F5DCF" w:rsidRDefault="000F5DCF" w:rsidP="00304373">
      <w:pPr>
        <w:contextualSpacing/>
        <w:jc w:val="both"/>
        <w:rPr>
          <w:rFonts w:ascii="Times New Roman" w:eastAsia="Calibri" w:hAnsi="Times New Roman" w:cs="Times New Roman"/>
          <w:sz w:val="24"/>
          <w:szCs w:val="24"/>
        </w:rPr>
      </w:pPr>
    </w:p>
    <w:p w14:paraId="73D80500" w14:textId="77777777" w:rsidR="000F5DCF" w:rsidRPr="00304373"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lastRenderedPageBreak/>
        <w:t xml:space="preserve">Himes, R, E., Vinson, E, F. Stabilizing clay-containing formations. EP patent 308 138, </w:t>
      </w:r>
      <w:r w:rsidRPr="00304373">
        <w:rPr>
          <w:rFonts w:ascii="Times New Roman" w:eastAsia="Calibri" w:hAnsi="Times New Roman" w:cs="Times New Roman"/>
          <w:color w:val="4472C4"/>
          <w:sz w:val="24"/>
          <w:szCs w:val="24"/>
          <w:u w:val="single"/>
        </w:rPr>
        <w:t>http://dx.doi.org/ 10.2118/59181-MS</w:t>
      </w:r>
      <w:r w:rsidRPr="00304373">
        <w:rPr>
          <w:rFonts w:ascii="Times New Roman" w:eastAsia="Calibri" w:hAnsi="Times New Roman" w:cs="Times New Roman"/>
          <w:sz w:val="24"/>
          <w:szCs w:val="24"/>
        </w:rPr>
        <w:t>.</w:t>
      </w:r>
    </w:p>
    <w:p w14:paraId="4144CB6F" w14:textId="77777777" w:rsidR="000F5DCF" w:rsidRDefault="000F5DCF" w:rsidP="00304373">
      <w:pPr>
        <w:contextualSpacing/>
        <w:jc w:val="both"/>
        <w:rPr>
          <w:rFonts w:ascii="Times New Roman" w:eastAsia="Calibri" w:hAnsi="Times New Roman" w:cs="Times New Roman"/>
          <w:sz w:val="24"/>
          <w:szCs w:val="24"/>
        </w:rPr>
      </w:pPr>
    </w:p>
    <w:p w14:paraId="073D33AD" w14:textId="77777777" w:rsidR="000F5DCF" w:rsidRPr="00304373" w:rsidRDefault="000F5DCF" w:rsidP="00304373">
      <w:pPr>
        <w:contextualSpacing/>
        <w:jc w:val="both"/>
        <w:rPr>
          <w:rFonts w:ascii="Times New Roman" w:eastAsia="Calibri" w:hAnsi="Times New Roman" w:cs="Times New Roman"/>
          <w:color w:val="0070C0"/>
          <w:sz w:val="24"/>
          <w:szCs w:val="24"/>
          <w:u w:val="single"/>
        </w:rPr>
      </w:pPr>
      <w:r w:rsidRPr="00304373">
        <w:rPr>
          <w:rFonts w:ascii="Times New Roman" w:eastAsia="Calibri" w:hAnsi="Times New Roman" w:cs="Times New Roman"/>
          <w:sz w:val="24"/>
          <w:szCs w:val="24"/>
        </w:rPr>
        <w:t xml:space="preserve">Irawan, S., Kinif, B. I., Bayuaji, R., 2017. Maximizing Drilling Performance Through Enhanced Solid Control. Material Science and Engineering 267 (2017) 012038. </w:t>
      </w:r>
      <w:r w:rsidRPr="00304373">
        <w:rPr>
          <w:rFonts w:ascii="Times New Roman" w:eastAsia="Calibri" w:hAnsi="Times New Roman" w:cs="Times New Roman"/>
          <w:color w:val="0070C0"/>
          <w:sz w:val="24"/>
          <w:szCs w:val="24"/>
          <w:u w:val="single"/>
        </w:rPr>
        <w:t>doi:10.1088/1757-899X/267/1/012038</w:t>
      </w:r>
    </w:p>
    <w:p w14:paraId="51F418DD" w14:textId="77777777" w:rsidR="000F5DCF" w:rsidRDefault="000F5DCF" w:rsidP="00304373">
      <w:pPr>
        <w:contextualSpacing/>
        <w:jc w:val="both"/>
        <w:rPr>
          <w:rFonts w:ascii="Times New Roman" w:eastAsia="Calibri" w:hAnsi="Times New Roman" w:cs="Times New Roman"/>
          <w:sz w:val="24"/>
          <w:szCs w:val="24"/>
        </w:rPr>
      </w:pPr>
    </w:p>
    <w:p w14:paraId="1C6AA5C9" w14:textId="77777777" w:rsidR="000F5DCF" w:rsidRPr="00304373"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John, C.J., Moncrief, J.E., Jones, B.L., Harder, B.J., Bourgeois. 1997. Regional Extent and Hydrocarbon Potential of the Tuscaloosa Marine Shale, United States Gulf Coast. Gulf Coast Association of Geological Societies. V. 47, pp. 395-402</w:t>
      </w:r>
    </w:p>
    <w:p w14:paraId="4266DF25" w14:textId="77777777" w:rsidR="000F5DCF" w:rsidRDefault="000F5DCF" w:rsidP="00304373">
      <w:pPr>
        <w:contextualSpacing/>
        <w:jc w:val="both"/>
        <w:rPr>
          <w:rFonts w:ascii="Times New Roman" w:eastAsia="Calibri" w:hAnsi="Times New Roman" w:cs="Times New Roman"/>
          <w:sz w:val="24"/>
          <w:szCs w:val="24"/>
        </w:rPr>
      </w:pPr>
    </w:p>
    <w:p w14:paraId="7F8B6115" w14:textId="77777777" w:rsidR="000F5DCF" w:rsidRPr="00304373"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 xml:space="preserve">Junhao, Z., and Shawn, L. 2017. Evaluation of Measurement Techniques for Fluid Lubricity in the Laboratory. 2017 AADE National Technical Conference and Exhibition, Houston, Texas, 11-12 April. AADE-17-NTCE-100. </w:t>
      </w:r>
    </w:p>
    <w:p w14:paraId="2118703F" w14:textId="77777777" w:rsidR="000F5DCF" w:rsidRDefault="000F5DCF" w:rsidP="00304373">
      <w:pPr>
        <w:contextualSpacing/>
        <w:jc w:val="both"/>
        <w:rPr>
          <w:rFonts w:ascii="Times New Roman" w:eastAsia="Calibri" w:hAnsi="Times New Roman" w:cs="Times New Roman"/>
          <w:sz w:val="24"/>
          <w:szCs w:val="24"/>
        </w:rPr>
      </w:pPr>
    </w:p>
    <w:p w14:paraId="4196E00D" w14:textId="77777777" w:rsidR="000F5DCF" w:rsidRPr="00304373" w:rsidRDefault="000F5DCF" w:rsidP="00304373">
      <w:pPr>
        <w:contextualSpacing/>
        <w:jc w:val="both"/>
        <w:rPr>
          <w:rFonts w:ascii="Times New Roman" w:eastAsia="Calibri" w:hAnsi="Times New Roman" w:cs="Times New Roman"/>
          <w:sz w:val="24"/>
          <w:szCs w:val="24"/>
        </w:rPr>
      </w:pPr>
      <w:bookmarkStart w:id="144" w:name="_Hlk37951941"/>
      <w:r w:rsidRPr="00304373">
        <w:rPr>
          <w:rFonts w:ascii="Times New Roman" w:eastAsia="Calibri" w:hAnsi="Times New Roman" w:cs="Times New Roman"/>
          <w:sz w:val="24"/>
          <w:szCs w:val="24"/>
        </w:rPr>
        <w:t>Konate, N., Ezeakacha, C, P., Salehi, S., and Mokhtari, M. 2019. Application of an Innovative Drilling Simulator Set Up to Test Inhibitive Mud Systems for Drilling Shales. Presented at SPE Oklahoma City Oil and Gas Symposium, Oklahoma City, Oklahoma, 9-10 April, SPE-195189-MS.</w:t>
      </w:r>
      <w:r>
        <w:rPr>
          <w:rFonts w:ascii="Times New Roman" w:eastAsia="Calibri" w:hAnsi="Times New Roman" w:cs="Times New Roman"/>
          <w:sz w:val="24"/>
          <w:szCs w:val="24"/>
        </w:rPr>
        <w:t xml:space="preserve"> </w:t>
      </w:r>
      <w:hyperlink r:id="rId56" w:history="1">
        <w:r w:rsidRPr="003B5395">
          <w:rPr>
            <w:rStyle w:val="Hyperlink"/>
            <w:rFonts w:ascii="Times New Roman" w:eastAsia="Calibri" w:hAnsi="Times New Roman" w:cs="Times New Roman"/>
            <w:sz w:val="24"/>
            <w:szCs w:val="24"/>
          </w:rPr>
          <w:t>http://dx.doi.org/10.2118/195189-MS</w:t>
        </w:r>
      </w:hyperlink>
    </w:p>
    <w:bookmarkEnd w:id="144"/>
    <w:p w14:paraId="541E3148" w14:textId="77777777" w:rsidR="000F5DCF" w:rsidRDefault="000F5DCF" w:rsidP="00764D97">
      <w:pPr>
        <w:autoSpaceDE w:val="0"/>
        <w:autoSpaceDN w:val="0"/>
        <w:adjustRightInd w:val="0"/>
        <w:spacing w:after="0" w:line="240" w:lineRule="auto"/>
        <w:rPr>
          <w:rFonts w:ascii="Times New Roman" w:hAnsi="Times New Roman" w:cs="Times New Roman"/>
          <w:color w:val="000000" w:themeColor="text1"/>
          <w:sz w:val="24"/>
          <w:szCs w:val="24"/>
          <w:shd w:val="clear" w:color="auto" w:fill="FFFFFF"/>
        </w:rPr>
      </w:pPr>
    </w:p>
    <w:p w14:paraId="255579D7" w14:textId="77777777" w:rsidR="000F5DCF" w:rsidRDefault="000F5DCF" w:rsidP="00764D97">
      <w:pPr>
        <w:autoSpaceDE w:val="0"/>
        <w:autoSpaceDN w:val="0"/>
        <w:adjustRightInd w:val="0"/>
        <w:spacing w:after="0" w:line="240" w:lineRule="auto"/>
        <w:rPr>
          <w:rFonts w:ascii="Times New Roman" w:hAnsi="Times New Roman" w:cs="Times New Roman"/>
          <w:color w:val="0070C0"/>
          <w:sz w:val="24"/>
          <w:szCs w:val="24"/>
        </w:rPr>
      </w:pPr>
      <w:bookmarkStart w:id="145" w:name="_Hlk37878477"/>
      <w:r w:rsidRPr="00434DA8">
        <w:rPr>
          <w:rFonts w:ascii="Times New Roman" w:hAnsi="Times New Roman" w:cs="Times New Roman"/>
          <w:color w:val="000000" w:themeColor="text1"/>
          <w:sz w:val="24"/>
          <w:szCs w:val="24"/>
          <w:shd w:val="clear" w:color="auto" w:fill="FFFFFF"/>
        </w:rPr>
        <w:t xml:space="preserve">Konate, N., Magzoub, M., Salehi, S., Ghalambor, A., &amp; Mokhtari, M. 2020. Laboratory Evaluation of Mud Systems for Drilling High Clay Shales in Dynamic Conditions: Comparison of Inhibitive Systems. Society of Petroleum Engineers. </w:t>
      </w:r>
      <w:hyperlink r:id="rId57" w:history="1">
        <w:r w:rsidRPr="00434DA8">
          <w:rPr>
            <w:rStyle w:val="Hyperlink"/>
            <w:rFonts w:ascii="Times New Roman" w:hAnsi="Times New Roman" w:cs="Times New Roman"/>
            <w:color w:val="0070C0"/>
            <w:sz w:val="24"/>
            <w:szCs w:val="24"/>
          </w:rPr>
          <w:t>https://doi.org/10.2118/199316-MS</w:t>
        </w:r>
      </w:hyperlink>
      <w:r w:rsidRPr="00434DA8">
        <w:rPr>
          <w:rFonts w:ascii="Times New Roman" w:hAnsi="Times New Roman" w:cs="Times New Roman"/>
          <w:color w:val="0070C0"/>
          <w:sz w:val="24"/>
          <w:szCs w:val="24"/>
        </w:rPr>
        <w:t>.</w:t>
      </w:r>
    </w:p>
    <w:p w14:paraId="5B2FE90C" w14:textId="77777777" w:rsidR="000F5DCF" w:rsidRDefault="000F5DCF" w:rsidP="00304373">
      <w:pPr>
        <w:contextualSpacing/>
        <w:jc w:val="both"/>
        <w:rPr>
          <w:rFonts w:ascii="Times New Roman" w:eastAsia="Calibri" w:hAnsi="Times New Roman" w:cs="Times New Roman"/>
          <w:sz w:val="24"/>
          <w:szCs w:val="24"/>
        </w:rPr>
      </w:pPr>
    </w:p>
    <w:bookmarkEnd w:id="145"/>
    <w:p w14:paraId="580C5730" w14:textId="77777777" w:rsidR="000F5DCF" w:rsidRPr="00304373"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 xml:space="preserve">Lijun, Y., Yili, K., Zhangxin, C., Qiang, C., and Bin, Y. 2014. Wellbore Instability in Shale Gas Wells Drilled by Oil-Based Fluids. International Journal of Rock Mechanics &amp; Mining Sciences (72) 294-299. </w:t>
      </w:r>
      <w:hyperlink r:id="rId58" w:history="1">
        <w:r w:rsidRPr="00304373">
          <w:rPr>
            <w:rFonts w:ascii="Times New Roman" w:eastAsia="Calibri" w:hAnsi="Times New Roman" w:cs="Times New Roman"/>
            <w:color w:val="0563C1"/>
            <w:sz w:val="24"/>
            <w:szCs w:val="24"/>
            <w:u w:val="single"/>
          </w:rPr>
          <w:t>https://doi.org/10.1016/j.ijrmms.2014.08.017</w:t>
        </w:r>
      </w:hyperlink>
    </w:p>
    <w:p w14:paraId="6CE6AC50" w14:textId="77777777" w:rsidR="00C928F5" w:rsidRDefault="00C928F5" w:rsidP="00C928F5">
      <w:pPr>
        <w:jc w:val="both"/>
        <w:rPr>
          <w:rFonts w:ascii="Times New Roman" w:hAnsi="Times New Roman" w:cs="Times New Roman"/>
          <w:sz w:val="24"/>
          <w:szCs w:val="24"/>
          <w:shd w:val="clear" w:color="auto" w:fill="FFFFFF"/>
        </w:rPr>
      </w:pPr>
    </w:p>
    <w:p w14:paraId="30F8E718" w14:textId="57C648E0" w:rsidR="00C928F5" w:rsidRPr="007711EC" w:rsidRDefault="00C928F5" w:rsidP="00C928F5">
      <w:pPr>
        <w:jc w:val="both"/>
        <w:rPr>
          <w:rFonts w:ascii="Times New Roman" w:eastAsia="Calibri" w:hAnsi="Times New Roman" w:cs="Times New Roman"/>
          <w:sz w:val="24"/>
          <w:szCs w:val="24"/>
        </w:rPr>
      </w:pPr>
      <w:r w:rsidRPr="007711EC">
        <w:rPr>
          <w:rFonts w:ascii="Times New Roman" w:hAnsi="Times New Roman" w:cs="Times New Roman"/>
          <w:sz w:val="24"/>
          <w:szCs w:val="24"/>
          <w:shd w:val="clear" w:color="auto" w:fill="FFFFFF"/>
        </w:rPr>
        <w:t xml:space="preserve">Omojuwa, E. O., Osisanya, S. O., &amp; Ahmed, R. (2011, January 1). Properties of Salt Formations Essential for Modeling Instabilities While Drilling. Society of Petroleum Engineers. </w:t>
      </w:r>
      <w:r w:rsidRPr="007711EC">
        <w:rPr>
          <w:rFonts w:ascii="Times New Roman" w:hAnsi="Times New Roman" w:cs="Times New Roman"/>
          <w:color w:val="0070C0"/>
          <w:sz w:val="24"/>
          <w:szCs w:val="24"/>
          <w:u w:val="single"/>
          <w:shd w:val="clear" w:color="auto" w:fill="FFFFFF"/>
        </w:rPr>
        <w:t>doi:10.2118/150801-MS</w:t>
      </w:r>
    </w:p>
    <w:p w14:paraId="6C79A081" w14:textId="77777777" w:rsidR="000F5DCF" w:rsidRDefault="000F5DCF" w:rsidP="0057054F">
      <w:pPr>
        <w:rPr>
          <w:rFonts w:ascii="Times New Roman" w:hAnsi="Times New Roman" w:cs="Times New Roman"/>
          <w:color w:val="000000" w:themeColor="text1"/>
          <w:sz w:val="24"/>
          <w:szCs w:val="24"/>
        </w:rPr>
      </w:pPr>
    </w:p>
    <w:p w14:paraId="110F6D6D" w14:textId="77777777" w:rsidR="000F5DCF" w:rsidRDefault="000F5DCF" w:rsidP="0057054F">
      <w:pPr>
        <w:rPr>
          <w:rFonts w:ascii="Times New Roman" w:hAnsi="Times New Roman" w:cs="Times New Roman"/>
          <w:color w:val="000000" w:themeColor="text1"/>
          <w:sz w:val="24"/>
          <w:szCs w:val="24"/>
        </w:rPr>
      </w:pPr>
      <w:bookmarkStart w:id="146" w:name="_Hlk37878404"/>
      <w:r w:rsidRPr="00020194">
        <w:rPr>
          <w:rFonts w:ascii="Times New Roman" w:hAnsi="Times New Roman" w:cs="Times New Roman"/>
          <w:color w:val="000000" w:themeColor="text1"/>
          <w:sz w:val="24"/>
          <w:szCs w:val="24"/>
        </w:rPr>
        <w:t xml:space="preserve">M.E. Chenevert, V. Pernot, </w:t>
      </w:r>
      <w:r>
        <w:rPr>
          <w:rFonts w:ascii="Times New Roman" w:hAnsi="Times New Roman" w:cs="Times New Roman"/>
          <w:color w:val="000000" w:themeColor="text1"/>
          <w:sz w:val="24"/>
          <w:szCs w:val="24"/>
        </w:rPr>
        <w:t xml:space="preserve">1998. </w:t>
      </w:r>
      <w:r w:rsidRPr="00020194">
        <w:rPr>
          <w:rFonts w:ascii="Times New Roman" w:hAnsi="Times New Roman" w:cs="Times New Roman"/>
          <w:color w:val="000000" w:themeColor="text1"/>
          <w:sz w:val="24"/>
          <w:szCs w:val="24"/>
        </w:rPr>
        <w:t>Control of Shale Swelling Pressures Using Inhibitive Water Based Muds, SPE 49263 presented at the SPE Annual Technical Conference and Exhibition, New Orleans, September 27–30</w:t>
      </w:r>
      <w:r>
        <w:rPr>
          <w:rFonts w:ascii="Times New Roman" w:hAnsi="Times New Roman" w:cs="Times New Roman"/>
          <w:color w:val="000000" w:themeColor="text1"/>
          <w:sz w:val="24"/>
          <w:szCs w:val="24"/>
        </w:rPr>
        <w:t>.</w:t>
      </w:r>
    </w:p>
    <w:bookmarkEnd w:id="146"/>
    <w:p w14:paraId="17E5AC1E" w14:textId="77777777" w:rsidR="00312D67" w:rsidRPr="00A674FC" w:rsidRDefault="00312D67" w:rsidP="00312D67">
      <w:pPr>
        <w:jc w:val="both"/>
        <w:rPr>
          <w:rFonts w:ascii="Times New Roman" w:eastAsia="Calibri" w:hAnsi="Times New Roman" w:cs="Times New Roman"/>
          <w:sz w:val="24"/>
          <w:szCs w:val="28"/>
        </w:rPr>
      </w:pPr>
      <w:r w:rsidRPr="00A674FC">
        <w:rPr>
          <w:rFonts w:ascii="Times New Roman" w:hAnsi="Times New Roman" w:cs="Times New Roman"/>
          <w:sz w:val="24"/>
          <w:szCs w:val="24"/>
        </w:rPr>
        <w:t>Magzoub, M. I., Salehi, S., Hussein, I.A., and Nasser, M. 2019. Loss circulation in drilling and well construction: The significance of applications of crosslinked polymers in wellbore strengthening: A review. Journal of Petroleum Science and Engineering.</w:t>
      </w:r>
    </w:p>
    <w:p w14:paraId="6108B33E" w14:textId="77777777" w:rsidR="000F5DCF" w:rsidRPr="00304373"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 xml:space="preserve">Mancini, E.A. and Puckett, T.M. 2002. Transgressive-Regressive Cycles: Application to Petroleum Exploration for Hydrocarbons Associated with Cretaceous Shelf Carbonates and </w:t>
      </w:r>
      <w:r w:rsidRPr="00304373">
        <w:rPr>
          <w:rFonts w:ascii="Times New Roman" w:eastAsia="Calibri" w:hAnsi="Times New Roman" w:cs="Times New Roman"/>
          <w:sz w:val="24"/>
          <w:szCs w:val="24"/>
        </w:rPr>
        <w:lastRenderedPageBreak/>
        <w:t>Coastal and Fluvial-Deltaic Siliciclastics, Northeastern Gulf of Mexico. SEPM Foundation, pp. 173-199.</w:t>
      </w:r>
    </w:p>
    <w:p w14:paraId="25D14225" w14:textId="77777777" w:rsidR="000F5DCF" w:rsidRPr="00304373" w:rsidRDefault="000F5DCF" w:rsidP="0057054F">
      <w:pPr>
        <w:rPr>
          <w:sz w:val="24"/>
          <w:szCs w:val="24"/>
        </w:rPr>
      </w:pPr>
      <w:r w:rsidRPr="00304373">
        <w:rPr>
          <w:rFonts w:ascii="TimesNewRomanPSMT" w:hAnsi="TimesNewRomanPSMT" w:cs="TimesNewRomanPSMT"/>
          <w:sz w:val="24"/>
          <w:szCs w:val="24"/>
        </w:rPr>
        <w:t>Mario Z., Mike S., 2017. Drilling Fluids. Halliburton PWC_Book. Last visited February 24, 2020.</w:t>
      </w:r>
      <w:r>
        <w:rPr>
          <w:rFonts w:ascii="TimesNewRomanPSMT" w:hAnsi="TimesNewRomanPSMT" w:cs="TimesNewRomanPSMT"/>
          <w:sz w:val="24"/>
          <w:szCs w:val="24"/>
        </w:rPr>
        <w:t xml:space="preserve"> </w:t>
      </w:r>
      <w:hyperlink r:id="rId59" w:history="1">
        <w:r w:rsidRPr="003B5395">
          <w:rPr>
            <w:rStyle w:val="Hyperlink"/>
            <w:sz w:val="24"/>
            <w:szCs w:val="24"/>
          </w:rPr>
          <w:t>https://www.halliburton.com/content/dam/ps/premium/common/PWC_Book/PWC05.PDF</w:t>
        </w:r>
      </w:hyperlink>
    </w:p>
    <w:p w14:paraId="67E33924" w14:textId="77777777" w:rsidR="000F5DCF" w:rsidRDefault="000F5DCF" w:rsidP="002312AB">
      <w:pPr>
        <w:contextualSpacing/>
        <w:jc w:val="both"/>
        <w:rPr>
          <w:rFonts w:ascii="TimesNewRomanPSMT" w:hAnsi="TimesNewRomanPSMT" w:cs="TimesNewRomanPSMT"/>
          <w:sz w:val="24"/>
          <w:szCs w:val="24"/>
        </w:rPr>
      </w:pPr>
      <w:r w:rsidRPr="00304373">
        <w:rPr>
          <w:rFonts w:ascii="Times New Roman" w:eastAsia="Calibri" w:hAnsi="Times New Roman" w:cs="Times New Roman"/>
          <w:sz w:val="24"/>
          <w:szCs w:val="24"/>
        </w:rPr>
        <w:t xml:space="preserve">Ming, L., Hongjuan, O., Zaoyuan, L., Tao, G., Honghua, L., and Xiaoyang, G. 2015. Contamination of Cement Slurries with Diesel-based Drilling Fluids in Shale Gas Wells. Journal of Natural Gas Science and Engineering 27, 1312-1320. </w:t>
      </w:r>
      <w:r w:rsidRPr="00304373">
        <w:rPr>
          <w:rFonts w:ascii="TimesNewRomanPSMT" w:hAnsi="TimesNewRomanPSMT" w:cs="TimesNewRomanPSMT"/>
          <w:sz w:val="24"/>
          <w:szCs w:val="24"/>
        </w:rPr>
        <w:t>Modeling, Assessment, and Mitigation; Elsevier; 2000.</w:t>
      </w:r>
    </w:p>
    <w:p w14:paraId="131400A8" w14:textId="77777777" w:rsidR="002312AB" w:rsidRDefault="002312AB" w:rsidP="002312AB">
      <w:pPr>
        <w:contextualSpacing/>
        <w:jc w:val="both"/>
        <w:rPr>
          <w:rFonts w:ascii="TimesNewRomanPSMT" w:hAnsi="TimesNewRomanPSMT" w:cs="TimesNewRomanPSMT"/>
          <w:sz w:val="24"/>
          <w:szCs w:val="24"/>
        </w:rPr>
      </w:pPr>
    </w:p>
    <w:p w14:paraId="0169FA10" w14:textId="77777777" w:rsidR="00C05308" w:rsidRPr="00304373" w:rsidRDefault="002312AB" w:rsidP="00C05308">
      <w:pPr>
        <w:contextualSpacing/>
        <w:jc w:val="both"/>
        <w:rPr>
          <w:rFonts w:ascii="Times New Roman" w:eastAsia="Calibri" w:hAnsi="Times New Roman" w:cs="Times New Roman"/>
          <w:color w:val="0070C0"/>
          <w:sz w:val="24"/>
          <w:szCs w:val="24"/>
          <w:u w:val="single"/>
        </w:rPr>
      </w:pPr>
      <w:bookmarkStart w:id="147" w:name="_Hlk37682289"/>
      <w:bookmarkStart w:id="148" w:name="_Hlk37951996"/>
      <w:r w:rsidRPr="002312AB">
        <w:rPr>
          <w:rFonts w:ascii="Times New Roman" w:hAnsi="Times New Roman" w:cs="Times New Roman"/>
          <w:color w:val="0D0D0D" w:themeColor="text1" w:themeTint="F2"/>
          <w:sz w:val="24"/>
          <w:szCs w:val="24"/>
          <w:shd w:val="clear" w:color="auto" w:fill="FFFFFF"/>
        </w:rPr>
        <w:t>Mohiuddin, M. A., Awal, M. R., Abdulraheem, A., &amp; Khan, K. (2001, January 1). A New Diagnostic Approach to Identify the Causes of Borehole Instability Problems in an Offshore Arabian Field. Society of Petroleum Engineers.</w:t>
      </w:r>
      <w:r w:rsidR="00C05308">
        <w:rPr>
          <w:rFonts w:ascii="Times New Roman" w:hAnsi="Times New Roman" w:cs="Times New Roman"/>
          <w:color w:val="0D0D0D" w:themeColor="text1" w:themeTint="F2"/>
          <w:sz w:val="24"/>
          <w:szCs w:val="24"/>
          <w:shd w:val="clear" w:color="auto" w:fill="FFFFFF"/>
        </w:rPr>
        <w:t xml:space="preserve"> </w:t>
      </w:r>
      <w:hyperlink r:id="rId60" w:history="1">
        <w:r w:rsidR="00531750" w:rsidRPr="003B5395">
          <w:rPr>
            <w:rStyle w:val="Hyperlink"/>
            <w:rFonts w:ascii="Times New Roman" w:eastAsia="Calibri" w:hAnsi="Times New Roman" w:cs="Times New Roman"/>
            <w:sz w:val="24"/>
            <w:szCs w:val="24"/>
            <w:shd w:val="clear" w:color="auto" w:fill="FFFFFF"/>
          </w:rPr>
          <w:t>http://dx.doi.org/10.2118/68095-MS</w:t>
        </w:r>
      </w:hyperlink>
      <w:r w:rsidR="00C05308" w:rsidRPr="00304373">
        <w:rPr>
          <w:rFonts w:ascii="Times New Roman" w:eastAsia="Calibri" w:hAnsi="Times New Roman" w:cs="Times New Roman"/>
          <w:color w:val="0070C0"/>
          <w:sz w:val="24"/>
          <w:szCs w:val="24"/>
          <w:u w:val="single"/>
          <w:shd w:val="clear" w:color="auto" w:fill="FFFFFF"/>
        </w:rPr>
        <w:t>.</w:t>
      </w:r>
    </w:p>
    <w:bookmarkEnd w:id="147"/>
    <w:p w14:paraId="59AAE0CC" w14:textId="77777777" w:rsidR="002312AB" w:rsidRPr="002312AB" w:rsidRDefault="002312AB" w:rsidP="002312AB">
      <w:pPr>
        <w:contextualSpacing/>
        <w:jc w:val="both"/>
        <w:rPr>
          <w:rFonts w:ascii="Times New Roman" w:eastAsia="Calibri" w:hAnsi="Times New Roman" w:cs="Times New Roman"/>
          <w:sz w:val="24"/>
          <w:szCs w:val="24"/>
        </w:rPr>
      </w:pPr>
    </w:p>
    <w:bookmarkEnd w:id="148"/>
    <w:p w14:paraId="0B7ED9AA" w14:textId="77777777" w:rsidR="000F5DCF" w:rsidRPr="00304373" w:rsidRDefault="000F5DCF" w:rsidP="00304373">
      <w:pPr>
        <w:contextualSpacing/>
        <w:jc w:val="both"/>
        <w:rPr>
          <w:rFonts w:ascii="Times New Roman" w:eastAsia="Calibri" w:hAnsi="Times New Roman" w:cs="Times New Roman"/>
          <w:color w:val="0070C0"/>
          <w:sz w:val="24"/>
          <w:szCs w:val="24"/>
          <w:u w:val="single"/>
        </w:rPr>
      </w:pPr>
      <w:r w:rsidRPr="00304373">
        <w:rPr>
          <w:rFonts w:ascii="Times New Roman" w:eastAsia="Calibri" w:hAnsi="Times New Roman" w:cs="Times New Roman"/>
          <w:sz w:val="24"/>
          <w:szCs w:val="24"/>
        </w:rPr>
        <w:t>Mullen, J., 2010. Petrophysical Characterization of the Eagle Ford Shale in South Texas. Presented at the Canadian Unconventional Resources and International Petroleum Conference, Calgary, Alberta, CSUG/SPE-13814-MS.</w:t>
      </w:r>
      <w:r w:rsidRPr="00304373">
        <w:rPr>
          <w:rFonts w:ascii="Times New Roman" w:eastAsia="Calibri" w:hAnsi="Times New Roman" w:cs="Times New Roman"/>
          <w:color w:val="333333"/>
          <w:sz w:val="24"/>
          <w:szCs w:val="24"/>
          <w:shd w:val="clear" w:color="auto" w:fill="FFFFFF"/>
        </w:rPr>
        <w:t xml:space="preserve"> </w:t>
      </w:r>
      <w:hyperlink r:id="rId61" w:history="1">
        <w:r w:rsidRPr="00304373">
          <w:rPr>
            <w:rFonts w:ascii="Times New Roman" w:eastAsia="Calibri" w:hAnsi="Times New Roman" w:cs="Times New Roman"/>
            <w:color w:val="0563C1"/>
            <w:sz w:val="24"/>
            <w:szCs w:val="24"/>
            <w:u w:val="single"/>
            <w:shd w:val="clear" w:color="auto" w:fill="FFFFFF"/>
          </w:rPr>
          <w:t>http://dx.doi.org/10.2118/138145-MS</w:t>
        </w:r>
      </w:hyperlink>
      <w:r w:rsidRPr="00304373">
        <w:rPr>
          <w:rFonts w:ascii="Times New Roman" w:eastAsia="Calibri" w:hAnsi="Times New Roman" w:cs="Times New Roman"/>
          <w:color w:val="0070C0"/>
          <w:sz w:val="24"/>
          <w:szCs w:val="24"/>
          <w:u w:val="single"/>
          <w:shd w:val="clear" w:color="auto" w:fill="FFFFFF"/>
        </w:rPr>
        <w:t>.</w:t>
      </w:r>
    </w:p>
    <w:p w14:paraId="1C710EC0" w14:textId="77777777" w:rsidR="000F5DCF" w:rsidRDefault="000F5DCF" w:rsidP="00140798">
      <w:pPr>
        <w:rPr>
          <w:rFonts w:ascii="TimesNewRomanPSMT" w:hAnsi="TimesNewRomanPSMT" w:cs="TimesNewRomanPSMT"/>
          <w:sz w:val="24"/>
          <w:szCs w:val="24"/>
        </w:rPr>
      </w:pPr>
    </w:p>
    <w:p w14:paraId="384F93DF" w14:textId="77777777" w:rsidR="000F5DCF" w:rsidRDefault="000F5DCF" w:rsidP="00140798">
      <w:pPr>
        <w:rPr>
          <w:rFonts w:ascii="TimesNewRomanPSMT" w:hAnsi="TimesNewRomanPSMT" w:cs="TimesNewRomanPSMT"/>
          <w:sz w:val="24"/>
          <w:szCs w:val="24"/>
        </w:rPr>
      </w:pPr>
      <w:bookmarkStart w:id="149" w:name="_Hlk37878365"/>
      <w:r w:rsidRPr="00304373">
        <w:rPr>
          <w:rFonts w:ascii="TimesNewRomanPSMT" w:hAnsi="TimesNewRomanPSMT" w:cs="TimesNewRomanPSMT"/>
          <w:sz w:val="24"/>
          <w:szCs w:val="24"/>
        </w:rPr>
        <w:t xml:space="preserve">Murray, H. H., 2007. Applied Clay Mineralogy: </w:t>
      </w:r>
      <w:r w:rsidR="00EB281D" w:rsidRPr="00304373">
        <w:rPr>
          <w:rFonts w:ascii="TimesNewRomanPSMT" w:hAnsi="TimesNewRomanPSMT" w:cs="TimesNewRomanPSMT"/>
          <w:sz w:val="24"/>
          <w:szCs w:val="24"/>
        </w:rPr>
        <w:t>Occurrences</w:t>
      </w:r>
      <w:r w:rsidRPr="00304373">
        <w:rPr>
          <w:rFonts w:ascii="TimesNewRomanPSMT" w:hAnsi="TimesNewRomanPSMT" w:cs="TimesNewRomanPSMT"/>
          <w:sz w:val="24"/>
          <w:szCs w:val="24"/>
        </w:rPr>
        <w:t>, Processing, and Application of Kaolins, Bentonites, Palygorskite-Seniolite, and Common Clays, Vol 2. Elsevier, Amsterdam.</w:t>
      </w:r>
    </w:p>
    <w:p w14:paraId="5FE8ADB9" w14:textId="77777777" w:rsidR="00673487" w:rsidRDefault="00673487" w:rsidP="00673487">
      <w:pPr>
        <w:autoSpaceDE w:val="0"/>
        <w:autoSpaceDN w:val="0"/>
        <w:adjustRightInd w:val="0"/>
        <w:spacing w:after="0" w:line="240" w:lineRule="auto"/>
        <w:rPr>
          <w:rFonts w:ascii="Times New Roman" w:hAnsi="Times New Roman" w:cs="Times New Roman"/>
          <w:sz w:val="24"/>
          <w:szCs w:val="24"/>
        </w:rPr>
      </w:pPr>
      <w:bookmarkStart w:id="150" w:name="_Hlk37952058"/>
      <w:bookmarkEnd w:id="149"/>
      <w:r w:rsidRPr="00434DA8">
        <w:rPr>
          <w:rFonts w:ascii="Times New Roman" w:hAnsi="Times New Roman" w:cs="Times New Roman"/>
          <w:sz w:val="24"/>
          <w:szCs w:val="24"/>
        </w:rPr>
        <w:t xml:space="preserve">Pasic B, Gaurina-Meðimurec N, Matanovic D. 2007. Wellbore instability: causes and consequences. Rudarsko-geolosko-naftni zbornik </w:t>
      </w:r>
      <w:r>
        <w:rPr>
          <w:rFonts w:ascii="Times New Roman" w:hAnsi="Times New Roman" w:cs="Times New Roman"/>
          <w:sz w:val="24"/>
          <w:szCs w:val="24"/>
        </w:rPr>
        <w:t>Volume 19. Issue 1. PP 87-98.</w:t>
      </w:r>
    </w:p>
    <w:bookmarkEnd w:id="150"/>
    <w:p w14:paraId="43200AAF" w14:textId="77777777" w:rsidR="00690890" w:rsidRDefault="00690890" w:rsidP="00673487">
      <w:pPr>
        <w:autoSpaceDE w:val="0"/>
        <w:autoSpaceDN w:val="0"/>
        <w:adjustRightInd w:val="0"/>
        <w:spacing w:after="0" w:line="240" w:lineRule="auto"/>
        <w:rPr>
          <w:rFonts w:ascii="Times New Roman" w:hAnsi="Times New Roman" w:cs="Times New Roman"/>
          <w:sz w:val="24"/>
          <w:szCs w:val="24"/>
        </w:rPr>
      </w:pPr>
    </w:p>
    <w:p w14:paraId="7C5D78A1" w14:textId="51BC629D" w:rsidR="00673487" w:rsidRPr="00690890" w:rsidRDefault="00690890" w:rsidP="00673487">
      <w:pPr>
        <w:autoSpaceDE w:val="0"/>
        <w:autoSpaceDN w:val="0"/>
        <w:adjustRightInd w:val="0"/>
        <w:spacing w:after="0" w:line="240" w:lineRule="auto"/>
        <w:rPr>
          <w:rFonts w:ascii="Times New Roman" w:hAnsi="Times New Roman" w:cs="Times New Roman"/>
          <w:sz w:val="28"/>
          <w:szCs w:val="28"/>
        </w:rPr>
      </w:pPr>
      <w:r w:rsidRPr="00690890">
        <w:rPr>
          <w:rFonts w:ascii="Times New Roman" w:hAnsi="Times New Roman" w:cs="Times New Roman"/>
          <w:sz w:val="24"/>
          <w:szCs w:val="24"/>
        </w:rPr>
        <w:t>Patel, A., Stamatakis, S., Young, S., &amp; Friedheim, J. (2007). Advances in Inhibitive Water-Based Drilling Fluids—Can They Replace Oil-Based Muds? International Symposium on Oilfield Chemistry. https://doi.org/10.2118/106476-MS.</w:t>
      </w:r>
    </w:p>
    <w:p w14:paraId="17512DAE" w14:textId="0F75ACEB" w:rsidR="00690890" w:rsidRPr="00DF0DA1" w:rsidRDefault="00690890" w:rsidP="00832B21">
      <w:pPr>
        <w:jc w:val="both"/>
        <w:rPr>
          <w:rFonts w:ascii="Times New Roman" w:hAnsi="Times New Roman" w:cs="Times New Roman"/>
          <w:sz w:val="32"/>
          <w:szCs w:val="32"/>
        </w:rPr>
      </w:pPr>
    </w:p>
    <w:p w14:paraId="30775D08" w14:textId="328606BE" w:rsidR="00DF0DA1" w:rsidRPr="00DF0DA1" w:rsidRDefault="00DF0DA1" w:rsidP="00832B21">
      <w:pPr>
        <w:jc w:val="both"/>
        <w:rPr>
          <w:rFonts w:ascii="Times New Roman" w:hAnsi="Times New Roman" w:cs="Times New Roman"/>
          <w:color w:val="0070C0"/>
          <w:sz w:val="32"/>
          <w:szCs w:val="32"/>
          <w:u w:val="single"/>
        </w:rPr>
      </w:pPr>
      <w:r w:rsidRPr="00DF0DA1">
        <w:rPr>
          <w:rFonts w:ascii="Times New Roman" w:hAnsi="Times New Roman" w:cs="Times New Roman"/>
          <w:sz w:val="24"/>
          <w:szCs w:val="24"/>
          <w:shd w:val="clear" w:color="auto" w:fill="FFFFFF"/>
        </w:rPr>
        <w:t xml:space="preserve">Ramirez, M. A., Sanchez, G., Preciado Sarmiento, O. E., Santamaria, J., &amp; Luna, E. 2005. Aluminum-Based HPWBM Successfully Replaces Oil-Based Mud To Drill Exploratory Wells in an Environmentally Sensitive Area. Society of Petroleum Engineers. </w:t>
      </w:r>
      <w:r w:rsidRPr="00DF0DA1">
        <w:rPr>
          <w:rFonts w:ascii="Times New Roman" w:hAnsi="Times New Roman" w:cs="Times New Roman"/>
          <w:color w:val="0070C0"/>
          <w:sz w:val="24"/>
          <w:szCs w:val="24"/>
          <w:u w:val="single"/>
          <w:shd w:val="clear" w:color="auto" w:fill="FFFFFF"/>
        </w:rPr>
        <w:t>doi:10.2118/94437-MS</w:t>
      </w:r>
    </w:p>
    <w:p w14:paraId="28E9C44E" w14:textId="3F46B9C2" w:rsidR="00C56021" w:rsidRPr="00C56021" w:rsidRDefault="00832B21" w:rsidP="00832B21">
      <w:pPr>
        <w:jc w:val="both"/>
        <w:rPr>
          <w:rFonts w:ascii="Times New Roman" w:eastAsia="Calibri" w:hAnsi="Times New Roman" w:cs="Times New Roman"/>
          <w:color w:val="0563C1"/>
          <w:sz w:val="24"/>
          <w:szCs w:val="24"/>
          <w:u w:val="single"/>
        </w:rPr>
      </w:pPr>
      <w:r w:rsidRPr="005C6C15">
        <w:rPr>
          <w:rFonts w:ascii="Times New Roman" w:hAnsi="Times New Roman" w:cs="Times New Roman"/>
          <w:color w:val="0D0D0D" w:themeColor="text1" w:themeTint="F2"/>
          <w:sz w:val="24"/>
          <w:szCs w:val="24"/>
        </w:rPr>
        <w:t xml:space="preserve">Remmert, S. M., Witt, J. W., and Dupriest, F. E. 2007. Implementation of ROP Management Process in Qatar North Field. Society of Petroleum Engineers. </w:t>
      </w:r>
      <w:hyperlink r:id="rId62" w:history="1">
        <w:r w:rsidRPr="003B5395">
          <w:rPr>
            <w:rStyle w:val="Hyperlink"/>
            <w:rFonts w:ascii="Times New Roman" w:eastAsia="Calibri" w:hAnsi="Times New Roman" w:cs="Times New Roman"/>
            <w:sz w:val="24"/>
            <w:szCs w:val="24"/>
          </w:rPr>
          <w:t>http://dx.doi.org/10.2118/105521-MS</w:t>
        </w:r>
      </w:hyperlink>
      <w:r>
        <w:rPr>
          <w:rFonts w:ascii="Times New Roman" w:eastAsia="Calibri" w:hAnsi="Times New Roman" w:cs="Times New Roman"/>
          <w:color w:val="0563C1"/>
          <w:sz w:val="24"/>
          <w:szCs w:val="24"/>
          <w:u w:val="single"/>
        </w:rPr>
        <w:t>.</w:t>
      </w:r>
    </w:p>
    <w:p w14:paraId="2B1CBC14" w14:textId="77777777" w:rsidR="000F5DCF" w:rsidRPr="00304373"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Salehi, S., and Kiran, R. 2016. Integrated Experimental and Analytical Wellbore Strengthening Solutions by Mud Plastering Effects. ASME. J. Energy Resour</w:t>
      </w:r>
      <w:r w:rsidR="00EB281D">
        <w:rPr>
          <w:rFonts w:ascii="Times New Roman" w:eastAsia="Calibri" w:hAnsi="Times New Roman" w:cs="Times New Roman"/>
          <w:sz w:val="24"/>
          <w:szCs w:val="24"/>
        </w:rPr>
        <w:t>ces</w:t>
      </w:r>
      <w:r w:rsidRPr="00304373">
        <w:rPr>
          <w:rFonts w:ascii="Times New Roman" w:eastAsia="Calibri" w:hAnsi="Times New Roman" w:cs="Times New Roman"/>
          <w:sz w:val="24"/>
          <w:szCs w:val="24"/>
        </w:rPr>
        <w:t xml:space="preserve">. Technol.138(3):032904-032904-7. </w:t>
      </w:r>
      <w:hyperlink r:id="rId63" w:history="1">
        <w:r w:rsidRPr="00304373">
          <w:rPr>
            <w:rFonts w:ascii="Times New Roman" w:eastAsia="Calibri" w:hAnsi="Times New Roman" w:cs="Times New Roman"/>
            <w:color w:val="0563C1"/>
            <w:sz w:val="24"/>
            <w:szCs w:val="24"/>
            <w:u w:val="single"/>
          </w:rPr>
          <w:t>http://dx.doi.org/10.1115/1.4032236</w:t>
        </w:r>
      </w:hyperlink>
    </w:p>
    <w:p w14:paraId="086819A5" w14:textId="77777777" w:rsidR="00246CC6" w:rsidRDefault="00246CC6" w:rsidP="00304373">
      <w:pPr>
        <w:contextualSpacing/>
        <w:jc w:val="both"/>
        <w:rPr>
          <w:rFonts w:ascii="Times New Roman" w:eastAsia="Calibri" w:hAnsi="Times New Roman" w:cs="Times New Roman"/>
          <w:sz w:val="24"/>
          <w:szCs w:val="24"/>
        </w:rPr>
      </w:pPr>
    </w:p>
    <w:p w14:paraId="1CAC8245" w14:textId="77777777" w:rsidR="000F5DCF"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 xml:space="preserve">Salehi, S., Ghalambor, A., Saleh, F., K. et al. 2015. Study of Filtrate and Mud Cake Characterization in HPHT: Implications for Formation Damage Control. SPE European Formation </w:t>
      </w:r>
      <w:r w:rsidRPr="00304373">
        <w:rPr>
          <w:rFonts w:ascii="Times New Roman" w:eastAsia="Calibri" w:hAnsi="Times New Roman" w:cs="Times New Roman"/>
          <w:sz w:val="24"/>
          <w:szCs w:val="24"/>
        </w:rPr>
        <w:lastRenderedPageBreak/>
        <w:t xml:space="preserve">Damage Conference and Exhibition, Budapest, Hungary, 3-5 June. SPE 174273-MS. </w:t>
      </w:r>
      <w:hyperlink r:id="rId64" w:history="1">
        <w:r w:rsidRPr="00304373">
          <w:rPr>
            <w:rFonts w:ascii="Times New Roman" w:eastAsia="Calibri" w:hAnsi="Times New Roman" w:cs="Times New Roman"/>
            <w:color w:val="0563C1"/>
            <w:sz w:val="24"/>
            <w:szCs w:val="24"/>
            <w:u w:val="single"/>
          </w:rPr>
          <w:t>http://dx.doi.org/10.2118/174273-MS</w:t>
        </w:r>
      </w:hyperlink>
      <w:r w:rsidRPr="00304373">
        <w:rPr>
          <w:rFonts w:ascii="Times New Roman" w:eastAsia="Calibri" w:hAnsi="Times New Roman" w:cs="Times New Roman"/>
          <w:sz w:val="24"/>
          <w:szCs w:val="24"/>
        </w:rPr>
        <w:t>.</w:t>
      </w:r>
    </w:p>
    <w:p w14:paraId="210E54CE" w14:textId="77777777" w:rsidR="00E20455" w:rsidRDefault="00E20455" w:rsidP="00246CC6">
      <w:pPr>
        <w:spacing w:after="0" w:line="240" w:lineRule="auto"/>
        <w:rPr>
          <w:rFonts w:ascii="Times New Roman" w:eastAsia="Times New Roman" w:hAnsi="Times New Roman" w:cs="Times New Roman"/>
          <w:color w:val="0D0D0D" w:themeColor="text1" w:themeTint="F2"/>
          <w:sz w:val="24"/>
          <w:szCs w:val="24"/>
        </w:rPr>
      </w:pPr>
    </w:p>
    <w:p w14:paraId="3DD81E1B" w14:textId="77777777" w:rsidR="00246CC6" w:rsidRPr="00BD2F2A" w:rsidRDefault="00246CC6" w:rsidP="00246CC6">
      <w:pPr>
        <w:spacing w:after="0" w:line="240" w:lineRule="auto"/>
        <w:rPr>
          <w:rFonts w:ascii="Times New Roman" w:eastAsia="Times New Roman" w:hAnsi="Times New Roman" w:cs="Times New Roman"/>
          <w:color w:val="0D0D0D" w:themeColor="text1" w:themeTint="F2"/>
          <w:sz w:val="24"/>
          <w:szCs w:val="24"/>
        </w:rPr>
      </w:pPr>
      <w:r w:rsidRPr="00BD2F2A">
        <w:rPr>
          <w:rFonts w:ascii="Times New Roman" w:eastAsia="Times New Roman" w:hAnsi="Times New Roman" w:cs="Times New Roman"/>
          <w:color w:val="0D0D0D" w:themeColor="text1" w:themeTint="F2"/>
          <w:sz w:val="24"/>
          <w:szCs w:val="24"/>
        </w:rPr>
        <w:t>Salehi</w:t>
      </w:r>
      <w:r>
        <w:rPr>
          <w:rFonts w:ascii="Times New Roman" w:eastAsia="Times New Roman" w:hAnsi="Times New Roman" w:cs="Times New Roman"/>
          <w:color w:val="0D0D0D" w:themeColor="text1" w:themeTint="F2"/>
          <w:sz w:val="24"/>
          <w:szCs w:val="24"/>
        </w:rPr>
        <w:t xml:space="preserve">, </w:t>
      </w:r>
      <w:r w:rsidR="002541A8">
        <w:rPr>
          <w:rFonts w:ascii="Times New Roman" w:eastAsia="Times New Roman" w:hAnsi="Times New Roman" w:cs="Times New Roman"/>
          <w:color w:val="0D0D0D" w:themeColor="text1" w:themeTint="F2"/>
          <w:sz w:val="24"/>
          <w:szCs w:val="24"/>
        </w:rPr>
        <w:t>S</w:t>
      </w:r>
      <w:r w:rsidRPr="00BD2F2A">
        <w:rPr>
          <w:rFonts w:ascii="Times New Roman" w:eastAsia="Times New Roman" w:hAnsi="Times New Roman" w:cs="Times New Roman"/>
          <w:color w:val="0D0D0D" w:themeColor="text1" w:themeTint="F2"/>
          <w:sz w:val="24"/>
          <w:szCs w:val="24"/>
        </w:rPr>
        <w:t>. 2012. Numerical simulations of Fracture Propagation and Sealing: Implications for Wellbore Strengthening. PhD Dissertation</w:t>
      </w:r>
      <w:r>
        <w:rPr>
          <w:rFonts w:ascii="Times New Roman" w:eastAsia="Times New Roman" w:hAnsi="Times New Roman" w:cs="Times New Roman"/>
          <w:color w:val="0D0D0D" w:themeColor="text1" w:themeTint="F2"/>
          <w:sz w:val="24"/>
          <w:szCs w:val="24"/>
        </w:rPr>
        <w:t xml:space="preserve">. </w:t>
      </w:r>
      <w:r w:rsidRPr="00BD2F2A">
        <w:rPr>
          <w:rFonts w:ascii="Times New Roman" w:eastAsia="Times New Roman" w:hAnsi="Times New Roman" w:cs="Times New Roman"/>
          <w:color w:val="0D0D0D" w:themeColor="text1" w:themeTint="F2"/>
          <w:sz w:val="24"/>
          <w:szCs w:val="24"/>
        </w:rPr>
        <w:t>Missouri University of Science and</w:t>
      </w:r>
      <w:r>
        <w:rPr>
          <w:rFonts w:ascii="Times New Roman" w:eastAsia="Times New Roman" w:hAnsi="Times New Roman" w:cs="Times New Roman"/>
          <w:color w:val="0D0D0D" w:themeColor="text1" w:themeTint="F2"/>
          <w:sz w:val="24"/>
          <w:szCs w:val="24"/>
        </w:rPr>
        <w:t xml:space="preserve"> </w:t>
      </w:r>
      <w:r w:rsidRPr="00BD2F2A">
        <w:rPr>
          <w:rFonts w:ascii="Times New Roman" w:eastAsia="Times New Roman" w:hAnsi="Times New Roman" w:cs="Times New Roman"/>
          <w:color w:val="0D0D0D" w:themeColor="text1" w:themeTint="F2"/>
          <w:sz w:val="24"/>
          <w:szCs w:val="24"/>
        </w:rPr>
        <w:t>Technology, Rolla, Missouri USA</w:t>
      </w:r>
    </w:p>
    <w:p w14:paraId="2707BF49" w14:textId="77777777" w:rsidR="00117A9C" w:rsidRDefault="00117A9C" w:rsidP="001720DB">
      <w:pPr>
        <w:spacing w:after="0" w:line="240" w:lineRule="auto"/>
        <w:rPr>
          <w:rFonts w:ascii="Times New Roman" w:eastAsia="Times New Roman" w:hAnsi="Times New Roman" w:cs="Times New Roman"/>
          <w:color w:val="0D0D0D" w:themeColor="text1" w:themeTint="F2"/>
          <w:sz w:val="24"/>
          <w:szCs w:val="24"/>
        </w:rPr>
      </w:pPr>
    </w:p>
    <w:p w14:paraId="6F422650" w14:textId="77777777" w:rsidR="001720DB" w:rsidRPr="00BD2F2A" w:rsidRDefault="001720DB" w:rsidP="001720DB">
      <w:pPr>
        <w:spacing w:after="0" w:line="240" w:lineRule="auto"/>
        <w:rPr>
          <w:rFonts w:ascii="Times New Roman" w:eastAsia="Times New Roman" w:hAnsi="Times New Roman" w:cs="Times New Roman"/>
          <w:color w:val="0D0D0D" w:themeColor="text1" w:themeTint="F2"/>
          <w:sz w:val="24"/>
          <w:szCs w:val="24"/>
        </w:rPr>
      </w:pPr>
      <w:r w:rsidRPr="00BD2F2A">
        <w:rPr>
          <w:rFonts w:ascii="Times New Roman" w:eastAsia="Times New Roman" w:hAnsi="Times New Roman" w:cs="Times New Roman"/>
          <w:color w:val="0D0D0D" w:themeColor="text1" w:themeTint="F2"/>
          <w:sz w:val="24"/>
          <w:szCs w:val="24"/>
        </w:rPr>
        <w:t>Salehi, </w:t>
      </w:r>
      <w:r>
        <w:rPr>
          <w:rFonts w:ascii="Times New Roman" w:eastAsia="Times New Roman" w:hAnsi="Times New Roman" w:cs="Times New Roman"/>
          <w:color w:val="0D0D0D" w:themeColor="text1" w:themeTint="F2"/>
          <w:sz w:val="24"/>
          <w:szCs w:val="24"/>
        </w:rPr>
        <w:t xml:space="preserve">S., </w:t>
      </w:r>
      <w:r w:rsidRPr="00BD2F2A">
        <w:rPr>
          <w:rFonts w:ascii="Times New Roman" w:eastAsia="Times New Roman" w:hAnsi="Times New Roman" w:cs="Times New Roman"/>
          <w:color w:val="0D0D0D" w:themeColor="text1" w:themeTint="F2"/>
          <w:sz w:val="24"/>
          <w:szCs w:val="24"/>
        </w:rPr>
        <w:t>R. Nygaard</w:t>
      </w:r>
      <w:r>
        <w:rPr>
          <w:rFonts w:ascii="Times New Roman" w:eastAsia="Times New Roman" w:hAnsi="Times New Roman" w:cs="Times New Roman"/>
          <w:color w:val="0D0D0D" w:themeColor="text1" w:themeTint="F2"/>
          <w:sz w:val="24"/>
          <w:szCs w:val="24"/>
        </w:rPr>
        <w:t xml:space="preserve">. 2011. </w:t>
      </w:r>
      <w:r w:rsidRPr="00BD2F2A">
        <w:rPr>
          <w:rFonts w:ascii="Times New Roman" w:eastAsia="Times New Roman" w:hAnsi="Times New Roman" w:cs="Times New Roman"/>
          <w:color w:val="0D0D0D" w:themeColor="text1" w:themeTint="F2"/>
          <w:sz w:val="24"/>
          <w:szCs w:val="24"/>
        </w:rPr>
        <w:t>Numerical study of fracture initiation, propagation, sealing to enhance wellbore fracture gradient</w:t>
      </w:r>
      <w:r>
        <w:rPr>
          <w:rFonts w:ascii="Times New Roman" w:eastAsia="Times New Roman" w:hAnsi="Times New Roman" w:cs="Times New Roman"/>
          <w:color w:val="0D0D0D" w:themeColor="text1" w:themeTint="F2"/>
          <w:sz w:val="24"/>
          <w:szCs w:val="24"/>
        </w:rPr>
        <w:t xml:space="preserve">. </w:t>
      </w:r>
      <w:r w:rsidRPr="00BD2F2A">
        <w:rPr>
          <w:rFonts w:ascii="Times New Roman" w:eastAsia="Times New Roman" w:hAnsi="Times New Roman" w:cs="Times New Roman"/>
          <w:color w:val="0D0D0D" w:themeColor="text1" w:themeTint="F2"/>
          <w:sz w:val="24"/>
          <w:szCs w:val="24"/>
        </w:rPr>
        <w:t>45th US Rock Mechanics/Geomechanics Symposium, San Francisco California</w:t>
      </w:r>
      <w:r>
        <w:rPr>
          <w:rFonts w:ascii="Times New Roman" w:eastAsia="Times New Roman" w:hAnsi="Times New Roman" w:cs="Times New Roman"/>
          <w:color w:val="0D0D0D" w:themeColor="text1" w:themeTint="F2"/>
          <w:sz w:val="24"/>
          <w:szCs w:val="24"/>
        </w:rPr>
        <w:t xml:space="preserve">. </w:t>
      </w:r>
      <w:r w:rsidRPr="00BD2F2A">
        <w:rPr>
          <w:rFonts w:ascii="Times New Roman" w:eastAsia="Times New Roman" w:hAnsi="Times New Roman" w:cs="Times New Roman"/>
          <w:color w:val="0D0D0D" w:themeColor="text1" w:themeTint="F2"/>
          <w:sz w:val="24"/>
          <w:szCs w:val="24"/>
        </w:rPr>
        <w:t>26-29 June. ARMA 11–186</w:t>
      </w:r>
    </w:p>
    <w:p w14:paraId="57C4C040" w14:textId="77777777" w:rsidR="00246CC6" w:rsidRPr="00304373" w:rsidRDefault="00246CC6" w:rsidP="00304373">
      <w:pPr>
        <w:contextualSpacing/>
        <w:jc w:val="both"/>
        <w:rPr>
          <w:rFonts w:ascii="Times New Roman" w:eastAsia="Calibri" w:hAnsi="Times New Roman" w:cs="Times New Roman"/>
          <w:sz w:val="24"/>
          <w:szCs w:val="24"/>
        </w:rPr>
      </w:pPr>
    </w:p>
    <w:p w14:paraId="32103463" w14:textId="77777777" w:rsidR="000F5DCF" w:rsidRDefault="000F5DCF" w:rsidP="00304373">
      <w:pPr>
        <w:contextualSpacing/>
        <w:jc w:val="both"/>
        <w:rPr>
          <w:rFonts w:ascii="Times New Roman" w:eastAsia="Calibri" w:hAnsi="Times New Roman" w:cs="Times New Roman"/>
          <w:sz w:val="24"/>
          <w:szCs w:val="24"/>
        </w:rPr>
      </w:pPr>
    </w:p>
    <w:p w14:paraId="32B68B57" w14:textId="77777777" w:rsidR="000F5DCF" w:rsidRPr="00304373" w:rsidRDefault="000F5DCF" w:rsidP="00304373">
      <w:pPr>
        <w:contextualSpacing/>
        <w:jc w:val="both"/>
        <w:rPr>
          <w:rFonts w:ascii="Times New Roman" w:eastAsia="Calibri" w:hAnsi="Times New Roman" w:cs="Times New Roman"/>
          <w:color w:val="0070C0"/>
          <w:sz w:val="24"/>
          <w:szCs w:val="24"/>
          <w:u w:val="single"/>
        </w:rPr>
      </w:pPr>
      <w:bookmarkStart w:id="151" w:name="_Hlk37878975"/>
      <w:r w:rsidRPr="00304373">
        <w:rPr>
          <w:rFonts w:ascii="Times New Roman" w:eastAsia="Calibri" w:hAnsi="Times New Roman" w:cs="Times New Roman"/>
          <w:sz w:val="24"/>
          <w:szCs w:val="24"/>
        </w:rPr>
        <w:t xml:space="preserve">Samuel, O, O., 2011. Practical Approach to Solving Wellbore Instability Problems. Presented at the Distinguished Lecture Program, Norman, Oklahoma. </w:t>
      </w:r>
      <w:hyperlink r:id="rId65" w:history="1">
        <w:r w:rsidRPr="00304373">
          <w:rPr>
            <w:rFonts w:ascii="Times New Roman" w:eastAsia="Calibri" w:hAnsi="Times New Roman" w:cs="Times New Roman"/>
            <w:color w:val="0563C1"/>
            <w:sz w:val="24"/>
            <w:szCs w:val="24"/>
            <w:u w:val="single"/>
          </w:rPr>
          <w:t>www.spe.org/dl</w:t>
        </w:r>
      </w:hyperlink>
      <w:r w:rsidRPr="00304373">
        <w:rPr>
          <w:rFonts w:ascii="Times New Roman" w:eastAsia="Calibri" w:hAnsi="Times New Roman" w:cs="Times New Roman"/>
          <w:sz w:val="24"/>
          <w:szCs w:val="24"/>
        </w:rPr>
        <w:t>.</w:t>
      </w:r>
    </w:p>
    <w:bookmarkEnd w:id="151"/>
    <w:p w14:paraId="200C4620" w14:textId="77777777" w:rsidR="000F5DCF" w:rsidRDefault="000F5DCF" w:rsidP="00304373">
      <w:pPr>
        <w:contextualSpacing/>
        <w:jc w:val="both"/>
        <w:rPr>
          <w:rFonts w:ascii="Times New Roman" w:eastAsia="Calibri" w:hAnsi="Times New Roman" w:cs="Times New Roman"/>
          <w:color w:val="000000"/>
          <w:sz w:val="24"/>
          <w:szCs w:val="24"/>
          <w:shd w:val="clear" w:color="auto" w:fill="FFFFFF"/>
        </w:rPr>
      </w:pPr>
    </w:p>
    <w:p w14:paraId="11EAF1F9" w14:textId="77777777" w:rsidR="000F5DCF" w:rsidRPr="00304373" w:rsidRDefault="000F5DCF" w:rsidP="00304373">
      <w:pPr>
        <w:contextualSpacing/>
        <w:jc w:val="both"/>
        <w:rPr>
          <w:rFonts w:ascii="Times New Roman" w:eastAsia="Calibri" w:hAnsi="Times New Roman" w:cs="Times New Roman"/>
          <w:color w:val="000000"/>
          <w:sz w:val="24"/>
          <w:szCs w:val="24"/>
        </w:rPr>
      </w:pPr>
      <w:bookmarkStart w:id="152" w:name="_Hlk37878327"/>
      <w:r w:rsidRPr="00304373">
        <w:rPr>
          <w:rFonts w:ascii="Times New Roman" w:eastAsia="Calibri" w:hAnsi="Times New Roman" w:cs="Times New Roman"/>
          <w:color w:val="000000"/>
          <w:sz w:val="24"/>
          <w:szCs w:val="24"/>
          <w:shd w:val="clear" w:color="auto" w:fill="FFFFFF"/>
        </w:rPr>
        <w:t xml:space="preserve">Santarelli, F. J., Chenevert, M. E., &amp; Osisanya, S. O. 1992. On the Stability of Shales and Its Consequences in Terms of Swelling and Wellbore Stability. SPE/IADC drilling Conference, </w:t>
      </w:r>
      <w:r w:rsidRPr="00304373">
        <w:rPr>
          <w:rFonts w:ascii="Times New Roman" w:eastAsia="Calibri" w:hAnsi="Times New Roman" w:cs="Times New Roman"/>
          <w:sz w:val="24"/>
          <w:szCs w:val="24"/>
        </w:rPr>
        <w:t>Louisiana, New Orleans</w:t>
      </w:r>
      <w:r w:rsidRPr="00304373">
        <w:rPr>
          <w:rFonts w:ascii="Times New Roman" w:eastAsia="Calibri" w:hAnsi="Times New Roman" w:cs="Times New Roman"/>
          <w:color w:val="000000"/>
          <w:sz w:val="24"/>
          <w:szCs w:val="24"/>
          <w:shd w:val="clear" w:color="auto" w:fill="FFFFFF"/>
        </w:rPr>
        <w:t xml:space="preserve">, 18-21 February. SPE-23886-MS </w:t>
      </w:r>
      <w:hyperlink r:id="rId66" w:history="1">
        <w:r w:rsidRPr="00304373">
          <w:rPr>
            <w:rFonts w:ascii="Times New Roman" w:eastAsia="Calibri" w:hAnsi="Times New Roman" w:cs="Times New Roman"/>
            <w:color w:val="0563C1"/>
            <w:sz w:val="24"/>
            <w:szCs w:val="24"/>
            <w:u w:val="single"/>
          </w:rPr>
          <w:t>http://dx.doi.org/</w:t>
        </w:r>
        <w:r w:rsidRPr="00304373">
          <w:rPr>
            <w:rFonts w:ascii="Times New Roman" w:eastAsia="Calibri" w:hAnsi="Times New Roman" w:cs="Times New Roman"/>
            <w:color w:val="0563C1"/>
            <w:sz w:val="24"/>
            <w:szCs w:val="24"/>
            <w:u w:val="single"/>
            <w:shd w:val="clear" w:color="auto" w:fill="FFFFFF"/>
          </w:rPr>
          <w:t>10.2118/23886-MS</w:t>
        </w:r>
      </w:hyperlink>
    </w:p>
    <w:bookmarkEnd w:id="152"/>
    <w:p w14:paraId="7D51A7B5" w14:textId="77777777" w:rsidR="000F5DCF" w:rsidRDefault="000F5DCF" w:rsidP="00304373">
      <w:pPr>
        <w:contextualSpacing/>
        <w:jc w:val="both"/>
        <w:rPr>
          <w:rFonts w:ascii="Times New Roman" w:eastAsia="Calibri" w:hAnsi="Times New Roman" w:cs="Times New Roman"/>
          <w:sz w:val="24"/>
          <w:szCs w:val="24"/>
        </w:rPr>
      </w:pPr>
    </w:p>
    <w:p w14:paraId="409BCB2E" w14:textId="77777777" w:rsidR="000F5DCF" w:rsidRPr="00304373"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Sawhney, B., L., 1970. Potassium and Cesium Ion Selectivity in Relation to Clay Mineral Structure. Clay and Clay Minerals 18, 47-52.</w:t>
      </w:r>
    </w:p>
    <w:p w14:paraId="33CE8A70" w14:textId="2C1E0590" w:rsidR="000F5DCF" w:rsidRDefault="000F5DCF" w:rsidP="00304373">
      <w:pPr>
        <w:spacing w:line="276" w:lineRule="auto"/>
        <w:contextualSpacing/>
        <w:jc w:val="both"/>
        <w:rPr>
          <w:rFonts w:ascii="Times New Roman" w:eastAsia="Calibri" w:hAnsi="Times New Roman" w:cs="Times New Roman"/>
          <w:sz w:val="24"/>
          <w:szCs w:val="24"/>
        </w:rPr>
      </w:pPr>
    </w:p>
    <w:p w14:paraId="16C83544" w14:textId="49D08762" w:rsidR="00CD6801" w:rsidRDefault="00CD6801" w:rsidP="00304373">
      <w:pPr>
        <w:spacing w:line="276"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Shah, S.N., Shanker, N.H., Ogugbue, C.C., 2010. Future Challenges of Drilling Fluids and Their Rheological Measurements. AADE Fluids Conference and Exhibition, Houston, TX.</w:t>
      </w:r>
    </w:p>
    <w:p w14:paraId="5FE697E3" w14:textId="77777777" w:rsidR="00036D7B" w:rsidRDefault="00036D7B" w:rsidP="00304373">
      <w:pPr>
        <w:spacing w:line="276" w:lineRule="auto"/>
        <w:contextualSpacing/>
        <w:jc w:val="both"/>
        <w:rPr>
          <w:rFonts w:ascii="Times New Roman" w:eastAsia="Calibri" w:hAnsi="Times New Roman" w:cs="Times New Roman"/>
          <w:sz w:val="24"/>
          <w:szCs w:val="24"/>
        </w:rPr>
      </w:pPr>
    </w:p>
    <w:p w14:paraId="15A1C5A7" w14:textId="77777777" w:rsidR="000F5DCF" w:rsidRPr="00304373" w:rsidRDefault="000F5DCF" w:rsidP="00304373">
      <w:pPr>
        <w:spacing w:line="276" w:lineRule="auto"/>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 xml:space="preserve">Shaughnessy, M. and Locke, A. 2000. 20-plus years of Tuscaloosa drilling: Continuously optimizing deep HTHP wells. Presented at SPE Drilling Conference, Louisiana, New Orleans, 23-25 February. SPE -59181-MS. </w:t>
      </w:r>
    </w:p>
    <w:p w14:paraId="7A285EC6" w14:textId="77777777" w:rsidR="000F5DCF" w:rsidRDefault="000F5DCF" w:rsidP="00304373">
      <w:pPr>
        <w:jc w:val="both"/>
        <w:rPr>
          <w:rFonts w:ascii="Times New Roman" w:hAnsi="Times New Roman" w:cs="Times New Roman"/>
          <w:sz w:val="24"/>
          <w:szCs w:val="24"/>
        </w:rPr>
      </w:pPr>
    </w:p>
    <w:p w14:paraId="79C8BA3A" w14:textId="77777777" w:rsidR="000F5DCF" w:rsidRDefault="000F5DCF" w:rsidP="00304373">
      <w:pPr>
        <w:jc w:val="both"/>
        <w:rPr>
          <w:rFonts w:ascii="Times New Roman" w:eastAsia="Calibri" w:hAnsi="Times New Roman" w:cs="Times New Roman"/>
          <w:color w:val="0563C1"/>
          <w:sz w:val="24"/>
          <w:szCs w:val="24"/>
          <w:u w:val="single"/>
        </w:rPr>
      </w:pPr>
      <w:r w:rsidRPr="00FF7C0B">
        <w:rPr>
          <w:rFonts w:ascii="Times New Roman" w:hAnsi="Times New Roman" w:cs="Times New Roman"/>
          <w:sz w:val="24"/>
          <w:szCs w:val="24"/>
        </w:rPr>
        <w:t>Smith, R. H., Lund, J. B., Anderson, M., &amp; Baxter, R. (1995). Drilling Plastic Formations Using Highly Polished PDC Cutters. Society of Petroleum Engineers.</w:t>
      </w:r>
      <w:r>
        <w:rPr>
          <w:rFonts w:ascii="Times New Roman" w:eastAsia="Calibri" w:hAnsi="Times New Roman" w:cs="Times New Roman"/>
          <w:color w:val="0563C1"/>
          <w:sz w:val="24"/>
          <w:szCs w:val="24"/>
          <w:u w:val="single"/>
        </w:rPr>
        <w:t xml:space="preserve"> </w:t>
      </w:r>
      <w:hyperlink r:id="rId67" w:history="1">
        <w:r w:rsidRPr="003B5395">
          <w:rPr>
            <w:rStyle w:val="Hyperlink"/>
            <w:rFonts w:ascii="Times New Roman" w:eastAsia="Calibri" w:hAnsi="Times New Roman" w:cs="Times New Roman"/>
            <w:sz w:val="24"/>
            <w:szCs w:val="24"/>
          </w:rPr>
          <w:t>http://dx.doi.org/10.2118/30476-MS</w:t>
        </w:r>
      </w:hyperlink>
      <w:r>
        <w:rPr>
          <w:rFonts w:ascii="Times New Roman" w:eastAsia="Calibri" w:hAnsi="Times New Roman" w:cs="Times New Roman"/>
          <w:color w:val="0563C1"/>
          <w:sz w:val="24"/>
          <w:szCs w:val="24"/>
          <w:u w:val="single"/>
        </w:rPr>
        <w:t>.</w:t>
      </w:r>
    </w:p>
    <w:p w14:paraId="249D3D48" w14:textId="77777777" w:rsidR="000F5DCF" w:rsidRPr="00304373" w:rsidRDefault="000F5DCF" w:rsidP="00140798">
      <w:pPr>
        <w:autoSpaceDE w:val="0"/>
        <w:autoSpaceDN w:val="0"/>
        <w:adjustRightInd w:val="0"/>
        <w:spacing w:after="0" w:line="240" w:lineRule="auto"/>
        <w:rPr>
          <w:rFonts w:ascii="TimesNewRomanPSMT" w:hAnsi="TimesNewRomanPSMT" w:cs="TimesNewRomanPSMT"/>
          <w:sz w:val="24"/>
          <w:szCs w:val="24"/>
        </w:rPr>
      </w:pPr>
      <w:bookmarkStart w:id="153" w:name="_Hlk37878524"/>
      <w:r w:rsidRPr="00304373">
        <w:rPr>
          <w:rFonts w:ascii="TimesNewRomanPSMT" w:hAnsi="TimesNewRomanPSMT" w:cs="TimesNewRomanPSMT"/>
          <w:sz w:val="24"/>
          <w:szCs w:val="24"/>
        </w:rPr>
        <w:t>Tovey, N.K. A selection of scanning electron micrographs of clays, University of Cambridge,</w:t>
      </w:r>
    </w:p>
    <w:p w14:paraId="3F44B086" w14:textId="77777777" w:rsidR="000F5DCF" w:rsidRDefault="000F5DCF" w:rsidP="00304373">
      <w:pPr>
        <w:jc w:val="both"/>
        <w:rPr>
          <w:rFonts w:ascii="Times New Roman" w:hAnsi="Times New Roman" w:cs="Times New Roman"/>
          <w:sz w:val="24"/>
          <w:szCs w:val="24"/>
        </w:rPr>
      </w:pPr>
      <w:r>
        <w:rPr>
          <w:rFonts w:ascii="Times New Roman" w:hAnsi="Times New Roman" w:cs="Times New Roman"/>
          <w:sz w:val="24"/>
          <w:szCs w:val="24"/>
        </w:rPr>
        <w:t>V</w:t>
      </w:r>
      <w:r w:rsidRPr="00E92A44">
        <w:rPr>
          <w:rFonts w:ascii="Times New Roman" w:hAnsi="Times New Roman" w:cs="Times New Roman"/>
          <w:sz w:val="24"/>
          <w:szCs w:val="24"/>
        </w:rPr>
        <w:t>an Oort, E. (2003). On the physical and chemical stability of shales. Journal of Petroleum Science and Engineering, 38(3-4), 213-235</w:t>
      </w:r>
    </w:p>
    <w:bookmarkEnd w:id="153"/>
    <w:p w14:paraId="4934D574" w14:textId="77777777" w:rsidR="004D3817" w:rsidRDefault="004D3817" w:rsidP="004D3817">
      <w:pPr>
        <w:contextualSpacing/>
        <w:jc w:val="both"/>
        <w:rPr>
          <w:rFonts w:ascii="Times New Roman" w:hAnsi="Times New Roman" w:cs="Times New Roman"/>
          <w:sz w:val="24"/>
          <w:szCs w:val="24"/>
        </w:rPr>
      </w:pPr>
      <w:r>
        <w:rPr>
          <w:rFonts w:ascii="Times New Roman" w:hAnsi="Times New Roman" w:cs="Times New Roman"/>
          <w:sz w:val="24"/>
          <w:szCs w:val="24"/>
        </w:rPr>
        <w:t>U.S. Energy Information Administration (EIA). Visited February 20, 2020.</w:t>
      </w:r>
    </w:p>
    <w:p w14:paraId="0AED95A4" w14:textId="77777777" w:rsidR="004D3817" w:rsidRDefault="00C724F7" w:rsidP="004D3817">
      <w:pPr>
        <w:contextualSpacing/>
        <w:jc w:val="both"/>
      </w:pPr>
      <w:hyperlink r:id="rId68" w:history="1">
        <w:r w:rsidR="004D3817">
          <w:rPr>
            <w:rStyle w:val="Hyperlink"/>
          </w:rPr>
          <w:t>https://www.eia.gov/todayinenergy/detail.php?id=38372</w:t>
        </w:r>
      </w:hyperlink>
    </w:p>
    <w:p w14:paraId="57926787" w14:textId="77777777" w:rsidR="004D3817" w:rsidRPr="00E92A44" w:rsidRDefault="004D3817" w:rsidP="004D3817">
      <w:pPr>
        <w:contextualSpacing/>
        <w:jc w:val="both"/>
        <w:rPr>
          <w:rFonts w:ascii="Times New Roman" w:eastAsia="Calibri" w:hAnsi="Times New Roman" w:cs="Times New Roman"/>
          <w:sz w:val="28"/>
          <w:szCs w:val="28"/>
        </w:rPr>
      </w:pPr>
    </w:p>
    <w:p w14:paraId="269A93AA" w14:textId="77777777" w:rsidR="000F5DCF" w:rsidRDefault="000F5DCF" w:rsidP="00304373">
      <w:pPr>
        <w:contextualSpacing/>
        <w:jc w:val="both"/>
        <w:rPr>
          <w:rFonts w:ascii="Times New Roman" w:eastAsia="Calibri" w:hAnsi="Times New Roman" w:cs="Times New Roman"/>
          <w:sz w:val="24"/>
          <w:szCs w:val="24"/>
        </w:rPr>
      </w:pPr>
      <w:r w:rsidRPr="00304373">
        <w:rPr>
          <w:rFonts w:ascii="Times New Roman" w:eastAsia="Calibri" w:hAnsi="Times New Roman" w:cs="Times New Roman"/>
          <w:sz w:val="24"/>
          <w:szCs w:val="24"/>
        </w:rPr>
        <w:t xml:space="preserve">Van Oort, E. 1997. Physio-Chemical Stabilization of Shales. SPE Oilfield Chem. International Symposium, Houston, Texas, SPE-37263-MS. </w:t>
      </w:r>
      <w:hyperlink r:id="rId69" w:history="1">
        <w:r w:rsidRPr="00304373">
          <w:rPr>
            <w:rFonts w:ascii="Times New Roman" w:eastAsia="Calibri" w:hAnsi="Times New Roman" w:cs="Times New Roman"/>
            <w:color w:val="0563C1"/>
            <w:sz w:val="24"/>
            <w:szCs w:val="24"/>
            <w:u w:val="single"/>
          </w:rPr>
          <w:t>http://dx.doi.org/10.2118/37263-MS</w:t>
        </w:r>
      </w:hyperlink>
      <w:r w:rsidRPr="00304373">
        <w:rPr>
          <w:rFonts w:ascii="Times New Roman" w:eastAsia="Calibri" w:hAnsi="Times New Roman" w:cs="Times New Roman"/>
          <w:sz w:val="24"/>
          <w:szCs w:val="24"/>
        </w:rPr>
        <w:t>.</w:t>
      </w:r>
    </w:p>
    <w:p w14:paraId="131FB0A2" w14:textId="77777777" w:rsidR="000F5DCF" w:rsidRDefault="000F5DCF" w:rsidP="00175FFD">
      <w:pPr>
        <w:rPr>
          <w:rFonts w:ascii="Times New Roman" w:hAnsi="Times New Roman" w:cs="Times New Roman"/>
          <w:sz w:val="24"/>
          <w:szCs w:val="24"/>
        </w:rPr>
      </w:pPr>
    </w:p>
    <w:p w14:paraId="41C80274" w14:textId="77777777" w:rsidR="000F5DCF" w:rsidRPr="00175FFD" w:rsidRDefault="000F5DCF" w:rsidP="00175FFD">
      <w:pPr>
        <w:rPr>
          <w:rFonts w:ascii="Times New Roman" w:eastAsia="Calibri" w:hAnsi="Times New Roman" w:cs="Times New Roman"/>
          <w:sz w:val="28"/>
          <w:szCs w:val="32"/>
        </w:rPr>
      </w:pPr>
      <w:r>
        <w:rPr>
          <w:rFonts w:ascii="Times New Roman" w:hAnsi="Times New Roman" w:cs="Times New Roman"/>
          <w:sz w:val="24"/>
          <w:szCs w:val="24"/>
        </w:rPr>
        <w:lastRenderedPageBreak/>
        <w:t>V</w:t>
      </w:r>
      <w:r w:rsidRPr="00175FFD">
        <w:rPr>
          <w:rFonts w:ascii="Times New Roman" w:hAnsi="Times New Roman" w:cs="Times New Roman"/>
          <w:sz w:val="24"/>
          <w:szCs w:val="24"/>
        </w:rPr>
        <w:t>an Oort, E., Bland, R., &amp; Pessier, R. (2000). Drilling More Stable Wells Faster and Cheaper with PDC Bits and Water Based Muds. Society of Petroleum Engineers.</w:t>
      </w:r>
      <w:r>
        <w:rPr>
          <w:rFonts w:ascii="Times New Roman" w:eastAsia="Calibri" w:hAnsi="Times New Roman" w:cs="Times New Roman"/>
          <w:color w:val="0563C1"/>
          <w:sz w:val="24"/>
          <w:szCs w:val="24"/>
          <w:u w:val="single"/>
        </w:rPr>
        <w:t xml:space="preserve"> </w:t>
      </w:r>
      <w:hyperlink r:id="rId70" w:history="1">
        <w:r w:rsidRPr="003B5395">
          <w:rPr>
            <w:rStyle w:val="Hyperlink"/>
            <w:rFonts w:ascii="Times New Roman" w:eastAsia="Calibri" w:hAnsi="Times New Roman" w:cs="Times New Roman"/>
            <w:sz w:val="24"/>
            <w:szCs w:val="24"/>
          </w:rPr>
          <w:t>http://dx.doi.org/10.2118/59192-MS</w:t>
        </w:r>
      </w:hyperlink>
      <w:r>
        <w:rPr>
          <w:rFonts w:ascii="Times New Roman" w:eastAsia="Calibri" w:hAnsi="Times New Roman" w:cs="Times New Roman"/>
          <w:color w:val="0563C1"/>
          <w:sz w:val="24"/>
          <w:szCs w:val="24"/>
          <w:u w:val="single"/>
        </w:rPr>
        <w:t>.</w:t>
      </w:r>
    </w:p>
    <w:p w14:paraId="3113008C" w14:textId="7AC898E0" w:rsidR="000F5DCF" w:rsidRDefault="000F5DCF" w:rsidP="00304373">
      <w:pPr>
        <w:jc w:val="both"/>
        <w:rPr>
          <w:rFonts w:ascii="Times New Roman" w:eastAsia="Calibri" w:hAnsi="Times New Roman" w:cs="Times New Roman"/>
          <w:color w:val="0563C1"/>
          <w:sz w:val="24"/>
          <w:szCs w:val="24"/>
          <w:u w:val="single"/>
        </w:rPr>
      </w:pPr>
      <w:r>
        <w:rPr>
          <w:rFonts w:ascii="Times New Roman" w:hAnsi="Times New Roman" w:cs="Times New Roman"/>
          <w:sz w:val="24"/>
          <w:szCs w:val="24"/>
        </w:rPr>
        <w:t>V</w:t>
      </w:r>
      <w:r w:rsidRPr="00175FFD">
        <w:rPr>
          <w:rFonts w:ascii="Times New Roman" w:hAnsi="Times New Roman" w:cs="Times New Roman"/>
          <w:sz w:val="24"/>
          <w:szCs w:val="24"/>
        </w:rPr>
        <w:t>an Oort, E., Hale, A. H., and Mody, F. K. (1995). Manipulation of Coupled Osmotic Flows for Stabilization of Shales Exposed to Water-Based Drilling Fluids. Society of Petroleum Engineers.</w:t>
      </w:r>
      <w:r>
        <w:rPr>
          <w:rFonts w:ascii="Times New Roman" w:hAnsi="Times New Roman" w:cs="Times New Roman"/>
          <w:sz w:val="24"/>
          <w:szCs w:val="24"/>
        </w:rPr>
        <w:t xml:space="preserve"> </w:t>
      </w:r>
      <w:hyperlink r:id="rId71" w:history="1">
        <w:r w:rsidRPr="003B5395">
          <w:rPr>
            <w:rStyle w:val="Hyperlink"/>
            <w:rFonts w:ascii="Times New Roman" w:eastAsia="Calibri" w:hAnsi="Times New Roman" w:cs="Times New Roman"/>
            <w:sz w:val="24"/>
            <w:szCs w:val="24"/>
          </w:rPr>
          <w:t>http://dx.doi.org/10.2118/30499-MS</w:t>
        </w:r>
      </w:hyperlink>
      <w:r>
        <w:rPr>
          <w:rFonts w:ascii="Times New Roman" w:eastAsia="Calibri" w:hAnsi="Times New Roman" w:cs="Times New Roman"/>
          <w:color w:val="0563C1"/>
          <w:sz w:val="24"/>
          <w:szCs w:val="24"/>
          <w:u w:val="single"/>
        </w:rPr>
        <w:t>.</w:t>
      </w:r>
    </w:p>
    <w:p w14:paraId="7C9DC12F" w14:textId="2EB5BE39" w:rsidR="003D6EE4" w:rsidRPr="003D6EE4" w:rsidRDefault="003D6EE4" w:rsidP="00304373">
      <w:pPr>
        <w:jc w:val="both"/>
        <w:rPr>
          <w:rFonts w:ascii="Times New Roman" w:eastAsia="Calibri" w:hAnsi="Times New Roman" w:cs="Times New Roman"/>
          <w:color w:val="0563C1"/>
          <w:sz w:val="28"/>
          <w:szCs w:val="28"/>
          <w:u w:val="single"/>
        </w:rPr>
      </w:pPr>
      <w:r w:rsidRPr="003D6EE4">
        <w:rPr>
          <w:rFonts w:ascii="Times New Roman" w:hAnsi="Times New Roman" w:cs="Times New Roman"/>
          <w:sz w:val="24"/>
          <w:szCs w:val="24"/>
        </w:rPr>
        <w:t xml:space="preserve">Van Oort, E., Ripley, D., Ward, I., Chapman, J. W., Williamson, R., &amp; Aston, M. (1996). Silicate-Based Drilling Fluids: Competent, Cost-effective and Benign Solutions to Wellbore Stability Problems. SPE/IADC Drilling Conference. </w:t>
      </w:r>
      <w:r w:rsidRPr="003D42E6">
        <w:rPr>
          <w:rFonts w:ascii="Times New Roman" w:hAnsi="Times New Roman" w:cs="Times New Roman"/>
          <w:color w:val="0070C0"/>
          <w:sz w:val="24"/>
          <w:szCs w:val="24"/>
          <w:u w:val="single"/>
        </w:rPr>
        <w:t>https://doi.org/10.2118/35059-MS.</w:t>
      </w:r>
    </w:p>
    <w:p w14:paraId="4351DA6E" w14:textId="7C31694C" w:rsidR="00BF2B79" w:rsidRPr="00BF2B79" w:rsidRDefault="00BF2B79" w:rsidP="00304373">
      <w:pPr>
        <w:jc w:val="both"/>
        <w:rPr>
          <w:rFonts w:ascii="Times New Roman" w:eastAsia="Calibri" w:hAnsi="Times New Roman" w:cs="Times New Roman"/>
          <w:color w:val="0563C1"/>
          <w:sz w:val="28"/>
          <w:szCs w:val="28"/>
          <w:u w:val="single"/>
        </w:rPr>
      </w:pPr>
      <w:r w:rsidRPr="00BF2B79">
        <w:rPr>
          <w:rFonts w:ascii="Times New Roman" w:hAnsi="Times New Roman" w:cs="Times New Roman"/>
          <w:sz w:val="24"/>
          <w:szCs w:val="24"/>
        </w:rPr>
        <w:t xml:space="preserve">Ward, I., Chapman, J. W., &amp; Williamson, R. (1999). Silicate Based Muds: Chemical Optimization Based on Field Experience. SPE Drilling &amp; Completion, 14(1), 57–63. </w:t>
      </w:r>
      <w:r w:rsidRPr="00BF2B79">
        <w:rPr>
          <w:rFonts w:ascii="Times New Roman" w:hAnsi="Times New Roman" w:cs="Times New Roman"/>
          <w:color w:val="0070C0"/>
          <w:sz w:val="24"/>
          <w:szCs w:val="24"/>
          <w:u w:val="single"/>
        </w:rPr>
        <w:t>https://doi.org/10.2118/55054-PA</w:t>
      </w:r>
      <w:r w:rsidRPr="00BF2B79">
        <w:rPr>
          <w:rFonts w:ascii="Times New Roman" w:hAnsi="Times New Roman" w:cs="Times New Roman"/>
          <w:sz w:val="24"/>
          <w:szCs w:val="24"/>
        </w:rPr>
        <w:t>.</w:t>
      </w:r>
    </w:p>
    <w:p w14:paraId="4108BD9F" w14:textId="77777777" w:rsidR="000F5DCF" w:rsidRPr="005B69A6" w:rsidRDefault="000F5DCF" w:rsidP="005B69A6">
      <w:pPr>
        <w:contextualSpacing/>
        <w:jc w:val="both"/>
        <w:rPr>
          <w:rFonts w:ascii="Times New Roman" w:eastAsia="Calibri" w:hAnsi="Times New Roman" w:cs="Times New Roman"/>
          <w:sz w:val="28"/>
          <w:szCs w:val="28"/>
        </w:rPr>
      </w:pPr>
      <w:r w:rsidRPr="005B69A6">
        <w:rPr>
          <w:rFonts w:ascii="Times New Roman" w:hAnsi="Times New Roman" w:cs="Times New Roman"/>
          <w:sz w:val="24"/>
          <w:szCs w:val="24"/>
        </w:rPr>
        <w:t>Zijsling, D. H., and Illerhaus, R. (1993). Eggbeater PDC Drillbit Design Eliminates Balling in Water-Based Drilling Fluids. Society of Petroleum Engineers.</w:t>
      </w:r>
      <w:r>
        <w:rPr>
          <w:rFonts w:ascii="Times New Roman" w:hAnsi="Times New Roman" w:cs="Times New Roman"/>
          <w:sz w:val="24"/>
          <w:szCs w:val="24"/>
        </w:rPr>
        <w:t xml:space="preserve"> </w:t>
      </w:r>
      <w:hyperlink r:id="rId72" w:history="1">
        <w:r w:rsidRPr="003B5395">
          <w:rPr>
            <w:rStyle w:val="Hyperlink"/>
            <w:rFonts w:ascii="Times New Roman" w:eastAsia="Calibri" w:hAnsi="Times New Roman" w:cs="Times New Roman"/>
            <w:sz w:val="24"/>
            <w:szCs w:val="24"/>
          </w:rPr>
          <w:t>http://dx.doi.org/10.2118/21933-PA</w:t>
        </w:r>
      </w:hyperlink>
      <w:r w:rsidRPr="00304373">
        <w:rPr>
          <w:rFonts w:ascii="Times New Roman" w:eastAsia="Calibri" w:hAnsi="Times New Roman" w:cs="Times New Roman"/>
          <w:sz w:val="24"/>
          <w:szCs w:val="24"/>
        </w:rPr>
        <w:t>.</w:t>
      </w:r>
    </w:p>
    <w:p w14:paraId="075F5089" w14:textId="245E8149" w:rsidR="000F5DCF" w:rsidRPr="00691930" w:rsidRDefault="000F5DCF" w:rsidP="00691930">
      <w:pPr>
        <w:pStyle w:val="Default"/>
      </w:pPr>
      <w:r w:rsidRPr="005B69A6">
        <w:t xml:space="preserve">Zuvo, M., Bjornbom, E., Ellingsen, B., Downs, J. C., Kelley, A., and Trannum, H. C. (2005). High-Resolution Environmental Survey Around an Exploration Well Drilled 106 </w:t>
      </w:r>
      <w:r w:rsidR="00AB4B36">
        <w:t xml:space="preserve">                                                                                      </w:t>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r w:rsidR="00AB4B36">
        <w:tab/>
      </w:r>
    </w:p>
    <w:p w14:paraId="6EA14E17" w14:textId="77777777" w:rsidR="000F5DCF" w:rsidRDefault="000F5DCF" w:rsidP="00304373">
      <w:pPr>
        <w:jc w:val="both"/>
        <w:rPr>
          <w:rFonts w:eastAsia="Calibri"/>
          <w:szCs w:val="24"/>
        </w:rPr>
      </w:pPr>
    </w:p>
    <w:p w14:paraId="3D3DBCA5" w14:textId="77777777" w:rsidR="00D71331" w:rsidRDefault="00D71331" w:rsidP="00304373">
      <w:pPr>
        <w:jc w:val="both"/>
        <w:rPr>
          <w:rFonts w:eastAsia="Calibri"/>
          <w:szCs w:val="24"/>
        </w:rPr>
      </w:pPr>
    </w:p>
    <w:p w14:paraId="7224E886" w14:textId="77777777" w:rsidR="00CC3027" w:rsidRDefault="00CC3027" w:rsidP="007514CF">
      <w:pPr>
        <w:pStyle w:val="Heading1"/>
        <w:jc w:val="left"/>
        <w:rPr>
          <w:rFonts w:eastAsia="Calibri"/>
        </w:rPr>
      </w:pPr>
    </w:p>
    <w:p w14:paraId="1F110D58" w14:textId="08AFD778" w:rsidR="00AB4B36" w:rsidRDefault="00AB4B36" w:rsidP="007514CF">
      <w:pPr>
        <w:pStyle w:val="Heading1"/>
        <w:jc w:val="left"/>
        <w:rPr>
          <w:rFonts w:eastAsia="Calibri"/>
        </w:rPr>
      </w:pPr>
      <w:r>
        <w:rPr>
          <w:rFonts w:eastAsia="Calibri"/>
        </w:rPr>
        <w:tab/>
        <w:t xml:space="preserve">                                                                                                                                                                                                                                   </w:t>
      </w:r>
    </w:p>
    <w:p w14:paraId="0D8A2247" w14:textId="77777777" w:rsidR="00AB4B36" w:rsidRDefault="00AB4B36" w:rsidP="007514CF">
      <w:pPr>
        <w:pStyle w:val="Heading1"/>
        <w:jc w:val="left"/>
        <w:rPr>
          <w:rFonts w:eastAsia="Calibri"/>
        </w:rPr>
      </w:pPr>
    </w:p>
    <w:p w14:paraId="047ADC30" w14:textId="5CE9B9CF" w:rsidR="007514CF" w:rsidRDefault="00F13C73" w:rsidP="007514CF">
      <w:pPr>
        <w:pStyle w:val="Heading1"/>
        <w:jc w:val="left"/>
        <w:rPr>
          <w:rFonts w:eastAsia="Calibri"/>
        </w:rPr>
      </w:pPr>
      <w:bookmarkStart w:id="154" w:name="_Toc39751634"/>
      <w:r>
        <w:rPr>
          <w:rFonts w:eastAsia="Calibri"/>
        </w:rPr>
        <w:t>Appendix</w:t>
      </w:r>
      <w:r w:rsidR="007514CF">
        <w:rPr>
          <w:rFonts w:eastAsia="Calibri"/>
        </w:rPr>
        <w:t xml:space="preserve"> A: </w:t>
      </w:r>
      <w:r w:rsidR="00B81778">
        <w:rPr>
          <w:rFonts w:eastAsia="Calibri"/>
        </w:rPr>
        <w:t>Additional</w:t>
      </w:r>
      <w:r w:rsidR="007514CF">
        <w:rPr>
          <w:rFonts w:eastAsia="Calibri"/>
        </w:rPr>
        <w:t xml:space="preserve"> Procedure</w:t>
      </w:r>
      <w:r w:rsidR="00B81778">
        <w:rPr>
          <w:rFonts w:eastAsia="Calibri"/>
        </w:rPr>
        <w:t>s</w:t>
      </w:r>
      <w:bookmarkEnd w:id="154"/>
      <w:r w:rsidR="007514CF">
        <w:rPr>
          <w:rFonts w:eastAsia="Calibri"/>
        </w:rPr>
        <w:t xml:space="preserve"> </w:t>
      </w:r>
    </w:p>
    <w:p w14:paraId="785DD388" w14:textId="77777777" w:rsidR="00F13C73" w:rsidRDefault="007514CF" w:rsidP="007514CF">
      <w:pPr>
        <w:pStyle w:val="Heading2"/>
        <w:rPr>
          <w:rFonts w:eastAsia="Calibri"/>
        </w:rPr>
      </w:pPr>
      <w:r>
        <w:t xml:space="preserve"> </w:t>
      </w:r>
      <w:bookmarkStart w:id="155" w:name="_Toc39751635"/>
      <w:r>
        <w:t>Core samples preparation</w:t>
      </w:r>
      <w:bookmarkEnd w:id="155"/>
      <w:r w:rsidR="00F13C73">
        <w:rPr>
          <w:rFonts w:eastAsia="Calibri"/>
        </w:rPr>
        <w:t xml:space="preserve"> </w:t>
      </w:r>
    </w:p>
    <w:p w14:paraId="42890E27" w14:textId="77777777" w:rsidR="00AC1D21" w:rsidRDefault="00E477CD" w:rsidP="00342DF9">
      <w:pPr>
        <w:spacing w:line="480" w:lineRule="auto"/>
        <w:rPr>
          <w:rFonts w:ascii="Times New Roman" w:hAnsi="Times New Roman" w:cs="Times New Roman"/>
          <w:noProof/>
          <w:sz w:val="24"/>
          <w:szCs w:val="24"/>
        </w:rPr>
      </w:pPr>
      <w:r>
        <w:rPr>
          <w:rFonts w:ascii="Times New Roman" w:hAnsi="Times New Roman" w:cs="Times New Roman"/>
          <w:sz w:val="24"/>
          <w:szCs w:val="24"/>
        </w:rPr>
        <w:t>The innovative drilling simulator uses cylindrical core samples.</w:t>
      </w:r>
      <w:r w:rsidR="00BD6448">
        <w:rPr>
          <w:rFonts w:ascii="Times New Roman" w:hAnsi="Times New Roman" w:cs="Times New Roman"/>
          <w:sz w:val="24"/>
          <w:szCs w:val="24"/>
        </w:rPr>
        <w:t xml:space="preserve"> The core samples have dimensions of </w:t>
      </w:r>
      <w:r w:rsidR="00BD6448" w:rsidRPr="00BD6448">
        <w:rPr>
          <w:rFonts w:ascii="Times New Roman" w:hAnsi="Times New Roman" w:cs="Times New Roman"/>
          <w:noProof/>
          <w:sz w:val="24"/>
          <w:szCs w:val="24"/>
        </w:rPr>
        <w:t xml:space="preserve">1.1 inch in </w:t>
      </w:r>
      <w:r w:rsidR="00BD6448">
        <w:rPr>
          <w:rFonts w:ascii="Times New Roman" w:hAnsi="Times New Roman" w:cs="Times New Roman"/>
          <w:noProof/>
          <w:sz w:val="24"/>
          <w:szCs w:val="24"/>
        </w:rPr>
        <w:t>height and 1.5 inch in diameter.</w:t>
      </w:r>
      <w:r w:rsidR="004E411B">
        <w:rPr>
          <w:rFonts w:ascii="Times New Roman" w:hAnsi="Times New Roman" w:cs="Times New Roman"/>
          <w:noProof/>
          <w:sz w:val="24"/>
          <w:szCs w:val="24"/>
        </w:rPr>
        <w:t xml:space="preserve"> The core samples are prepared using </w:t>
      </w:r>
      <w:r w:rsidR="00FB2060">
        <w:rPr>
          <w:rFonts w:ascii="Times New Roman" w:hAnsi="Times New Roman" w:cs="Times New Roman"/>
          <w:noProof/>
          <w:sz w:val="24"/>
          <w:szCs w:val="24"/>
        </w:rPr>
        <w:t>a coring machine</w:t>
      </w:r>
      <w:r w:rsidR="002925E3">
        <w:rPr>
          <w:rFonts w:ascii="Times New Roman" w:hAnsi="Times New Roman" w:cs="Times New Roman"/>
          <w:noProof/>
          <w:sz w:val="24"/>
          <w:szCs w:val="24"/>
        </w:rPr>
        <w:t xml:space="preserve"> (</w:t>
      </w:r>
      <w:r w:rsidR="00556163">
        <w:rPr>
          <w:rFonts w:ascii="Times New Roman" w:hAnsi="Times New Roman" w:cs="Times New Roman"/>
          <w:b/>
          <w:bCs/>
          <w:noProof/>
          <w:sz w:val="24"/>
          <w:szCs w:val="24"/>
        </w:rPr>
        <w:t>F</w:t>
      </w:r>
      <w:r w:rsidR="002925E3" w:rsidRPr="00556163">
        <w:rPr>
          <w:rFonts w:ascii="Times New Roman" w:hAnsi="Times New Roman" w:cs="Times New Roman"/>
          <w:b/>
          <w:bCs/>
          <w:noProof/>
          <w:sz w:val="24"/>
          <w:szCs w:val="24"/>
        </w:rPr>
        <w:t>igure A1</w:t>
      </w:r>
      <w:r w:rsidR="002925E3">
        <w:rPr>
          <w:rFonts w:ascii="Times New Roman" w:hAnsi="Times New Roman" w:cs="Times New Roman"/>
          <w:noProof/>
          <w:sz w:val="24"/>
          <w:szCs w:val="24"/>
        </w:rPr>
        <w:t>)</w:t>
      </w:r>
      <w:r w:rsidR="00FB2060">
        <w:rPr>
          <w:rFonts w:ascii="Times New Roman" w:hAnsi="Times New Roman" w:cs="Times New Roman"/>
          <w:noProof/>
          <w:sz w:val="24"/>
          <w:szCs w:val="24"/>
        </w:rPr>
        <w:t>.</w:t>
      </w:r>
      <w:r w:rsidR="002925E3">
        <w:rPr>
          <w:rFonts w:ascii="Times New Roman" w:hAnsi="Times New Roman" w:cs="Times New Roman"/>
          <w:noProof/>
          <w:sz w:val="24"/>
          <w:szCs w:val="24"/>
        </w:rPr>
        <w:t xml:space="preserve"> </w:t>
      </w:r>
    </w:p>
    <w:p w14:paraId="1EF0D0DA" w14:textId="77777777" w:rsidR="00AC1D21" w:rsidRDefault="00AC1D21" w:rsidP="00AC1D21">
      <w:pPr>
        <w:jc w:val="center"/>
        <w:rPr>
          <w:rFonts w:ascii="Times New Roman" w:hAnsi="Times New Roman" w:cs="Times New Roman"/>
          <w:noProof/>
          <w:sz w:val="24"/>
          <w:szCs w:val="24"/>
        </w:rPr>
      </w:pPr>
      <w:r>
        <w:rPr>
          <w:noProof/>
        </w:rPr>
        <w:drawing>
          <wp:inline distT="0" distB="0" distL="0" distR="0" wp14:anchorId="7D82CDE8" wp14:editId="1E224654">
            <wp:extent cx="4429125" cy="36385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429125" cy="3638550"/>
                    </a:xfrm>
                    <a:prstGeom prst="rect">
                      <a:avLst/>
                    </a:prstGeom>
                  </pic:spPr>
                </pic:pic>
              </a:graphicData>
            </a:graphic>
          </wp:inline>
        </w:drawing>
      </w:r>
    </w:p>
    <w:p w14:paraId="1788F724" w14:textId="77777777" w:rsidR="00AC1D21" w:rsidRPr="007953FD" w:rsidRDefault="00AC1D21" w:rsidP="00AC1D21">
      <w:pPr>
        <w:jc w:val="center"/>
        <w:rPr>
          <w:rFonts w:ascii="Times New Roman" w:hAnsi="Times New Roman" w:cs="Times New Roman"/>
          <w:b/>
          <w:bCs/>
          <w:sz w:val="24"/>
          <w:szCs w:val="24"/>
        </w:rPr>
      </w:pPr>
      <w:r w:rsidRPr="007953FD">
        <w:rPr>
          <w:rFonts w:ascii="Times New Roman" w:hAnsi="Times New Roman" w:cs="Times New Roman"/>
          <w:b/>
          <w:bCs/>
          <w:sz w:val="24"/>
          <w:szCs w:val="24"/>
        </w:rPr>
        <w:t>Figure A1: Coring machine</w:t>
      </w:r>
    </w:p>
    <w:p w14:paraId="7C7DDF8A" w14:textId="77777777" w:rsidR="007514CF" w:rsidRDefault="0030712A" w:rsidP="00342DF9">
      <w:pPr>
        <w:spacing w:line="480" w:lineRule="auto"/>
        <w:rPr>
          <w:rFonts w:ascii="Times New Roman" w:hAnsi="Times New Roman" w:cs="Times New Roman"/>
          <w:noProof/>
          <w:sz w:val="24"/>
          <w:szCs w:val="24"/>
        </w:rPr>
      </w:pPr>
      <w:r>
        <w:rPr>
          <w:rFonts w:ascii="Times New Roman" w:hAnsi="Times New Roman" w:cs="Times New Roman"/>
          <w:noProof/>
          <w:sz w:val="24"/>
          <w:szCs w:val="24"/>
        </w:rPr>
        <w:lastRenderedPageBreak/>
        <w:t>A coring bit with an inner diameter of 1.5 in is used for coring the smaples.</w:t>
      </w:r>
      <w:r w:rsidR="00877D44">
        <w:rPr>
          <w:rFonts w:ascii="Times New Roman" w:hAnsi="Times New Roman" w:cs="Times New Roman"/>
          <w:noProof/>
          <w:sz w:val="24"/>
          <w:szCs w:val="24"/>
        </w:rPr>
        <w:t xml:space="preserve"> The coring bit is </w:t>
      </w:r>
      <w:r w:rsidR="00E23FAE">
        <w:rPr>
          <w:rFonts w:ascii="Times New Roman" w:hAnsi="Times New Roman" w:cs="Times New Roman"/>
          <w:noProof/>
          <w:sz w:val="24"/>
          <w:szCs w:val="24"/>
        </w:rPr>
        <w:t xml:space="preserve">securely </w:t>
      </w:r>
      <w:r w:rsidR="00877D44">
        <w:rPr>
          <w:rFonts w:ascii="Times New Roman" w:hAnsi="Times New Roman" w:cs="Times New Roman"/>
          <w:noProof/>
          <w:sz w:val="24"/>
          <w:szCs w:val="24"/>
        </w:rPr>
        <w:t>attached to the coring machine</w:t>
      </w:r>
      <w:r w:rsidR="00AC1D21">
        <w:rPr>
          <w:rFonts w:ascii="Times New Roman" w:hAnsi="Times New Roman" w:cs="Times New Roman"/>
          <w:noProof/>
          <w:sz w:val="24"/>
          <w:szCs w:val="24"/>
        </w:rPr>
        <w:t>. The machine is equipped with a water line to to lubricate the coring bit and facilitate the coring process.</w:t>
      </w:r>
      <w:r w:rsidR="0032394B">
        <w:rPr>
          <w:rFonts w:ascii="Times New Roman" w:hAnsi="Times New Roman" w:cs="Times New Roman"/>
          <w:noProof/>
          <w:sz w:val="24"/>
          <w:szCs w:val="24"/>
        </w:rPr>
        <w:t xml:space="preserve"> The secured coring bit is slowly lowered to make to fully drilled the core block.</w:t>
      </w:r>
      <w:r w:rsidR="000B0021">
        <w:rPr>
          <w:rFonts w:ascii="Times New Roman" w:hAnsi="Times New Roman" w:cs="Times New Roman"/>
          <w:noProof/>
          <w:sz w:val="24"/>
          <w:szCs w:val="24"/>
        </w:rPr>
        <w:t xml:space="preserve"> </w:t>
      </w:r>
      <w:r w:rsidR="009540BB">
        <w:rPr>
          <w:rFonts w:ascii="Times New Roman" w:hAnsi="Times New Roman" w:cs="Times New Roman"/>
          <w:noProof/>
          <w:sz w:val="24"/>
          <w:szCs w:val="24"/>
        </w:rPr>
        <w:t xml:space="preserve">After coring, the samples are </w:t>
      </w:r>
      <w:r w:rsidR="004908C3">
        <w:rPr>
          <w:rFonts w:ascii="Times New Roman" w:hAnsi="Times New Roman" w:cs="Times New Roman"/>
          <w:noProof/>
          <w:sz w:val="24"/>
          <w:szCs w:val="24"/>
        </w:rPr>
        <w:t>cut to the required height and the surfaces are fully polished for a flat surface.</w:t>
      </w:r>
    </w:p>
    <w:p w14:paraId="03F5AB92" w14:textId="77777777" w:rsidR="00304373" w:rsidRDefault="005F047C" w:rsidP="00342DF9">
      <w:pPr>
        <w:pStyle w:val="Heading2"/>
      </w:pPr>
      <w:bookmarkStart w:id="156" w:name="_Toc39751636"/>
      <w:r w:rsidRPr="005F047C">
        <w:t>Linear swell meter</w:t>
      </w:r>
      <w:bookmarkEnd w:id="156"/>
    </w:p>
    <w:p w14:paraId="02C3AC07" w14:textId="77777777" w:rsidR="00C63E7D" w:rsidRPr="00802D43" w:rsidRDefault="00802D43" w:rsidP="00342DF9">
      <w:pPr>
        <w:spacing w:line="480" w:lineRule="auto"/>
        <w:rPr>
          <w:rFonts w:ascii="Times New Roman" w:hAnsi="Times New Roman" w:cs="Times New Roman"/>
          <w:sz w:val="24"/>
          <w:szCs w:val="24"/>
        </w:rPr>
      </w:pPr>
      <w:r w:rsidRPr="00802D43">
        <w:rPr>
          <w:rFonts w:ascii="Times New Roman" w:hAnsi="Times New Roman" w:cs="Times New Roman"/>
          <w:sz w:val="24"/>
          <w:szCs w:val="24"/>
        </w:rPr>
        <w:t>In th</w:t>
      </w:r>
      <w:r w:rsidR="00446D37">
        <w:rPr>
          <w:rFonts w:ascii="Times New Roman" w:hAnsi="Times New Roman" w:cs="Times New Roman"/>
          <w:sz w:val="24"/>
          <w:szCs w:val="24"/>
        </w:rPr>
        <w:t>is</w:t>
      </w:r>
      <w:r w:rsidRPr="00802D43">
        <w:rPr>
          <w:rFonts w:ascii="Times New Roman" w:hAnsi="Times New Roman" w:cs="Times New Roman"/>
          <w:sz w:val="24"/>
          <w:szCs w:val="24"/>
        </w:rPr>
        <w:t xml:space="preserve"> research, the swelling index is quantified using the ASTM standard D 5890</w:t>
      </w:r>
      <w:r>
        <w:rPr>
          <w:rFonts w:ascii="Times New Roman" w:hAnsi="Times New Roman" w:cs="Times New Roman"/>
          <w:sz w:val="24"/>
          <w:szCs w:val="24"/>
        </w:rPr>
        <w:t xml:space="preserve"> which relies on the used of graduated cylinder</w:t>
      </w:r>
      <w:r w:rsidR="00446D37">
        <w:rPr>
          <w:rFonts w:ascii="Times New Roman" w:hAnsi="Times New Roman" w:cs="Times New Roman"/>
          <w:sz w:val="24"/>
          <w:szCs w:val="24"/>
        </w:rPr>
        <w:t>. Despite the effectiveness of this test, it still presents some major limitations regarding temperature, and confining pressure.</w:t>
      </w:r>
      <w:r w:rsidR="006F48E3">
        <w:rPr>
          <w:rFonts w:ascii="Times New Roman" w:hAnsi="Times New Roman" w:cs="Times New Roman"/>
          <w:sz w:val="24"/>
          <w:szCs w:val="24"/>
        </w:rPr>
        <w:t xml:space="preserve"> The linear swell meter</w:t>
      </w:r>
      <w:r w:rsidR="00CB2A41">
        <w:rPr>
          <w:rFonts w:ascii="Times New Roman" w:hAnsi="Times New Roman" w:cs="Times New Roman"/>
          <w:sz w:val="24"/>
          <w:szCs w:val="24"/>
        </w:rPr>
        <w:t xml:space="preserve"> (</w:t>
      </w:r>
      <w:r w:rsidR="00CB2A41" w:rsidRPr="00CB2A41">
        <w:rPr>
          <w:rFonts w:ascii="Times New Roman" w:hAnsi="Times New Roman" w:cs="Times New Roman"/>
          <w:b/>
          <w:bCs/>
          <w:sz w:val="24"/>
          <w:szCs w:val="24"/>
        </w:rPr>
        <w:t>Figure A2</w:t>
      </w:r>
      <w:r w:rsidR="00CB2A41">
        <w:rPr>
          <w:rFonts w:ascii="Times New Roman" w:hAnsi="Times New Roman" w:cs="Times New Roman"/>
          <w:sz w:val="24"/>
          <w:szCs w:val="24"/>
        </w:rPr>
        <w:t>)</w:t>
      </w:r>
      <w:r w:rsidR="006F48E3">
        <w:rPr>
          <w:rFonts w:ascii="Times New Roman" w:hAnsi="Times New Roman" w:cs="Times New Roman"/>
          <w:sz w:val="24"/>
          <w:szCs w:val="24"/>
        </w:rPr>
        <w:t xml:space="preserve"> is one of the most effective swelling testing equipment that overcome the limitations of our testing procedure.</w:t>
      </w:r>
    </w:p>
    <w:p w14:paraId="27AB2D8F" w14:textId="77777777" w:rsidR="00802D43" w:rsidRDefault="00802D43" w:rsidP="00802D43">
      <w:pPr>
        <w:jc w:val="center"/>
      </w:pPr>
      <w:r>
        <w:rPr>
          <w:noProof/>
        </w:rPr>
        <w:drawing>
          <wp:inline distT="0" distB="0" distL="0" distR="0" wp14:anchorId="30466B89" wp14:editId="18983AC4">
            <wp:extent cx="4962525" cy="192405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962525" cy="1924050"/>
                    </a:xfrm>
                    <a:prstGeom prst="rect">
                      <a:avLst/>
                    </a:prstGeom>
                  </pic:spPr>
                </pic:pic>
              </a:graphicData>
            </a:graphic>
          </wp:inline>
        </w:drawing>
      </w:r>
    </w:p>
    <w:p w14:paraId="6CFF9673" w14:textId="77777777" w:rsidR="00CB2A41" w:rsidRDefault="00CB2A41" w:rsidP="00802D43">
      <w:pPr>
        <w:jc w:val="center"/>
        <w:rPr>
          <w:rFonts w:ascii="Times New Roman" w:hAnsi="Times New Roman" w:cs="Times New Roman"/>
          <w:b/>
          <w:bCs/>
          <w:sz w:val="24"/>
          <w:szCs w:val="24"/>
        </w:rPr>
      </w:pPr>
      <w:r w:rsidRPr="00CB2A41">
        <w:rPr>
          <w:rFonts w:ascii="Times New Roman" w:hAnsi="Times New Roman" w:cs="Times New Roman"/>
          <w:b/>
          <w:bCs/>
          <w:sz w:val="24"/>
          <w:szCs w:val="24"/>
        </w:rPr>
        <w:t>Figure A2: Linear swell meter attached to a data acquisition system</w:t>
      </w:r>
    </w:p>
    <w:p w14:paraId="243B9FE8" w14:textId="77777777" w:rsidR="00CB2A41" w:rsidRDefault="00CB2A41" w:rsidP="00342DF9">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equipment has an operating temperature of 120 </w:t>
      </w:r>
      <w:r w:rsidRPr="00CB2A41">
        <w:rPr>
          <w:rFonts w:ascii="Times New Roman" w:hAnsi="Times New Roman" w:cs="Times New Roman"/>
          <w:sz w:val="24"/>
          <w:szCs w:val="24"/>
          <w:vertAlign w:val="superscript"/>
        </w:rPr>
        <w:t>o</w:t>
      </w:r>
      <w:r>
        <w:rPr>
          <w:rFonts w:ascii="Times New Roman" w:hAnsi="Times New Roman" w:cs="Times New Roman"/>
          <w:sz w:val="24"/>
          <w:szCs w:val="24"/>
        </w:rPr>
        <w:t xml:space="preserve">F (49 </w:t>
      </w:r>
      <w:r w:rsidRPr="00CB2A41">
        <w:rPr>
          <w:rFonts w:ascii="Times New Roman" w:hAnsi="Times New Roman" w:cs="Times New Roman"/>
          <w:sz w:val="24"/>
          <w:szCs w:val="24"/>
          <w:vertAlign w:val="superscript"/>
        </w:rPr>
        <w:t>o</w:t>
      </w:r>
      <w:r>
        <w:rPr>
          <w:rFonts w:ascii="Times New Roman" w:hAnsi="Times New Roman" w:cs="Times New Roman"/>
          <w:sz w:val="24"/>
          <w:szCs w:val="24"/>
        </w:rPr>
        <w:t>C)</w:t>
      </w:r>
      <w:r w:rsidR="00052547">
        <w:rPr>
          <w:rFonts w:ascii="Times New Roman" w:hAnsi="Times New Roman" w:cs="Times New Roman"/>
          <w:sz w:val="24"/>
          <w:szCs w:val="24"/>
        </w:rPr>
        <w:t xml:space="preserve"> and allow testing at different confining pressure.</w:t>
      </w:r>
      <w:r w:rsidR="005D228D">
        <w:rPr>
          <w:rFonts w:ascii="Times New Roman" w:hAnsi="Times New Roman" w:cs="Times New Roman"/>
          <w:sz w:val="24"/>
          <w:szCs w:val="24"/>
        </w:rPr>
        <w:t xml:space="preserve"> The swell tester measures the swelling on both reconstituted and intact shale core samples.</w:t>
      </w:r>
    </w:p>
    <w:p w14:paraId="1E7250F0" w14:textId="77777777" w:rsidR="00CA5646" w:rsidRDefault="00CA5646" w:rsidP="00CA5646">
      <w:pPr>
        <w:pStyle w:val="Heading1"/>
        <w:jc w:val="left"/>
      </w:pPr>
      <w:bookmarkStart w:id="157" w:name="_Toc39751637"/>
      <w:r>
        <w:lastRenderedPageBreak/>
        <w:t>Appendix B: Additional Results</w:t>
      </w:r>
      <w:bookmarkEnd w:id="157"/>
    </w:p>
    <w:p w14:paraId="2297CFDF" w14:textId="77777777" w:rsidR="00CA5646" w:rsidRDefault="00CA5646" w:rsidP="00CA5646">
      <w:pPr>
        <w:pStyle w:val="Heading2"/>
      </w:pPr>
      <w:bookmarkStart w:id="158" w:name="_Toc39751638"/>
      <w:r>
        <w:t>Cation suction time (CST)</w:t>
      </w:r>
      <w:bookmarkEnd w:id="158"/>
    </w:p>
    <w:p w14:paraId="350E58D5" w14:textId="77777777" w:rsidR="00560380" w:rsidRDefault="007C292D" w:rsidP="00342DF9">
      <w:pPr>
        <w:spacing w:line="480" w:lineRule="auto"/>
        <w:rPr>
          <w:rFonts w:ascii="Times New Roman" w:hAnsi="Times New Roman" w:cs="Times New Roman"/>
          <w:sz w:val="24"/>
          <w:szCs w:val="24"/>
        </w:rPr>
      </w:pPr>
      <w:r>
        <w:rPr>
          <w:rFonts w:ascii="Times New Roman" w:hAnsi="Times New Roman" w:cs="Times New Roman"/>
          <w:sz w:val="24"/>
          <w:szCs w:val="24"/>
        </w:rPr>
        <w:t xml:space="preserve">Cation suction time (CST) is another important method for evaluating the compatibility between drilling fluid systems and shale formation. This method mainly measures the time required for a mud filtrate to travel a distance through </w:t>
      </w:r>
      <w:r w:rsidR="00D07C3E">
        <w:rPr>
          <w:rFonts w:ascii="Times New Roman" w:hAnsi="Times New Roman" w:cs="Times New Roman"/>
          <w:sz w:val="24"/>
          <w:szCs w:val="24"/>
        </w:rPr>
        <w:t>a porous media.</w:t>
      </w:r>
      <w:r w:rsidR="00B35D55">
        <w:rPr>
          <w:rFonts w:ascii="Times New Roman" w:hAnsi="Times New Roman" w:cs="Times New Roman"/>
          <w:sz w:val="24"/>
          <w:szCs w:val="24"/>
        </w:rPr>
        <w:t xml:space="preserve"> It simulates the manner in </w:t>
      </w:r>
      <w:r w:rsidR="00613A27">
        <w:rPr>
          <w:rFonts w:ascii="Times New Roman" w:hAnsi="Times New Roman" w:cs="Times New Roman"/>
          <w:sz w:val="24"/>
          <w:szCs w:val="24"/>
        </w:rPr>
        <w:t xml:space="preserve">which free water from drilling fluid systems penetrates into the formation under the capillary suction pressure. This test </w:t>
      </w:r>
      <w:r w:rsidR="00EA3620">
        <w:rPr>
          <w:rFonts w:ascii="Times New Roman" w:hAnsi="Times New Roman" w:cs="Times New Roman"/>
          <w:sz w:val="24"/>
          <w:szCs w:val="24"/>
        </w:rPr>
        <w:t xml:space="preserve">characterizes </w:t>
      </w:r>
      <w:r w:rsidR="00604FE9">
        <w:rPr>
          <w:rFonts w:ascii="Times New Roman" w:hAnsi="Times New Roman" w:cs="Times New Roman"/>
          <w:sz w:val="24"/>
          <w:szCs w:val="24"/>
        </w:rPr>
        <w:t>the inhibition abilities of different drilling fluid systems.</w:t>
      </w:r>
      <w:r w:rsidR="00DE463F">
        <w:rPr>
          <w:rFonts w:ascii="Times New Roman" w:hAnsi="Times New Roman" w:cs="Times New Roman"/>
          <w:sz w:val="24"/>
          <w:szCs w:val="24"/>
        </w:rPr>
        <w:t xml:space="preserve"> </w:t>
      </w:r>
      <w:r w:rsidR="00DE463F" w:rsidRPr="007117C8">
        <w:rPr>
          <w:rFonts w:ascii="Times New Roman" w:hAnsi="Times New Roman" w:cs="Times New Roman"/>
          <w:b/>
          <w:bCs/>
          <w:sz w:val="24"/>
          <w:szCs w:val="24"/>
        </w:rPr>
        <w:t>Figure B1</w:t>
      </w:r>
      <w:r w:rsidR="00DE463F">
        <w:rPr>
          <w:rFonts w:ascii="Times New Roman" w:hAnsi="Times New Roman" w:cs="Times New Roman"/>
          <w:sz w:val="24"/>
          <w:szCs w:val="24"/>
        </w:rPr>
        <w:t xml:space="preserve"> shows the cation suction time of some fluid systems tested by Goodrich Petroleum Inc.</w:t>
      </w:r>
      <w:r w:rsidR="007117C8">
        <w:rPr>
          <w:rFonts w:ascii="Times New Roman" w:hAnsi="Times New Roman" w:cs="Times New Roman"/>
          <w:sz w:val="24"/>
          <w:szCs w:val="24"/>
        </w:rPr>
        <w:t xml:space="preserve"> </w:t>
      </w:r>
    </w:p>
    <w:p w14:paraId="0272AD6A" w14:textId="77777777" w:rsidR="007117C8" w:rsidRDefault="007117C8" w:rsidP="007117C8">
      <w:pPr>
        <w:jc w:val="center"/>
        <w:rPr>
          <w:rFonts w:ascii="Times New Roman" w:hAnsi="Times New Roman" w:cs="Times New Roman"/>
          <w:sz w:val="24"/>
          <w:szCs w:val="24"/>
        </w:rPr>
      </w:pPr>
      <w:r>
        <w:rPr>
          <w:noProof/>
        </w:rPr>
        <w:drawing>
          <wp:inline distT="0" distB="0" distL="0" distR="0" wp14:anchorId="1D88B0D7" wp14:editId="1FF4FAAE">
            <wp:extent cx="5943600" cy="4426585"/>
            <wp:effectExtent l="0" t="0" r="0" b="0"/>
            <wp:docPr id="32" name="Picture 1">
              <a:extLst xmlns:a="http://schemas.openxmlformats.org/drawingml/2006/main">
                <a:ext uri="{FF2B5EF4-FFF2-40B4-BE49-F238E27FC236}">
                  <a16:creationId xmlns:a16="http://schemas.microsoft.com/office/drawing/2014/main" id="{493BD4CD-A63B-40D1-9901-E3E88B8360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493BD4CD-A63B-40D1-9901-E3E88B83604A}"/>
                        </a:ext>
                      </a:extLst>
                    </pic:cNvPr>
                    <pic:cNvPicPr>
                      <a:picLocks noChangeAspect="1"/>
                    </pic:cNvPicPr>
                  </pic:nvPicPr>
                  <pic:blipFill>
                    <a:blip r:embed="rId75"/>
                    <a:stretch>
                      <a:fillRect/>
                    </a:stretch>
                  </pic:blipFill>
                  <pic:spPr>
                    <a:xfrm>
                      <a:off x="0" y="0"/>
                      <a:ext cx="5943600" cy="4426585"/>
                    </a:xfrm>
                    <a:prstGeom prst="rect">
                      <a:avLst/>
                    </a:prstGeom>
                  </pic:spPr>
                </pic:pic>
              </a:graphicData>
            </a:graphic>
          </wp:inline>
        </w:drawing>
      </w:r>
    </w:p>
    <w:p w14:paraId="04735A4F" w14:textId="77777777" w:rsidR="007117C8" w:rsidRDefault="007117C8" w:rsidP="00342DF9">
      <w:pPr>
        <w:spacing w:line="480" w:lineRule="auto"/>
        <w:jc w:val="center"/>
        <w:rPr>
          <w:rFonts w:ascii="Times New Roman" w:hAnsi="Times New Roman" w:cs="Times New Roman"/>
          <w:b/>
          <w:bCs/>
          <w:sz w:val="24"/>
          <w:szCs w:val="24"/>
        </w:rPr>
      </w:pPr>
      <w:r w:rsidRPr="007117C8">
        <w:rPr>
          <w:rFonts w:ascii="Times New Roman" w:hAnsi="Times New Roman" w:cs="Times New Roman"/>
          <w:b/>
          <w:bCs/>
          <w:sz w:val="24"/>
          <w:szCs w:val="24"/>
        </w:rPr>
        <w:lastRenderedPageBreak/>
        <w:t xml:space="preserve">Figure B1: Cation suction time of different drilling fluid systems </w:t>
      </w:r>
      <w:r w:rsidR="00680498">
        <w:rPr>
          <w:rFonts w:ascii="Times New Roman" w:hAnsi="Times New Roman" w:cs="Times New Roman"/>
          <w:b/>
          <w:bCs/>
          <w:sz w:val="24"/>
          <w:szCs w:val="24"/>
        </w:rPr>
        <w:t>well A</w:t>
      </w:r>
      <w:r w:rsidRPr="007117C8">
        <w:rPr>
          <w:rFonts w:ascii="Times New Roman" w:hAnsi="Times New Roman" w:cs="Times New Roman"/>
          <w:b/>
          <w:bCs/>
          <w:sz w:val="24"/>
          <w:szCs w:val="24"/>
        </w:rPr>
        <w:t>. (Goodrich Petroleum, 2017)</w:t>
      </w:r>
    </w:p>
    <w:p w14:paraId="585C2EEA" w14:textId="77777777" w:rsidR="007117C8" w:rsidRDefault="007117C8" w:rsidP="00342DF9">
      <w:pPr>
        <w:spacing w:line="480" w:lineRule="auto"/>
        <w:rPr>
          <w:rFonts w:ascii="Times New Roman" w:hAnsi="Times New Roman" w:cs="Times New Roman"/>
          <w:sz w:val="24"/>
          <w:szCs w:val="24"/>
        </w:rPr>
      </w:pPr>
      <w:r>
        <w:rPr>
          <w:rFonts w:ascii="Times New Roman" w:hAnsi="Times New Roman" w:cs="Times New Roman"/>
          <w:sz w:val="24"/>
          <w:szCs w:val="24"/>
        </w:rPr>
        <w:t>The study revealed that KCl based fluids show some of the lowest cation suction times.</w:t>
      </w:r>
      <w:r w:rsidR="001E4419">
        <w:rPr>
          <w:rFonts w:ascii="Times New Roman" w:hAnsi="Times New Roman" w:cs="Times New Roman"/>
          <w:sz w:val="24"/>
          <w:szCs w:val="24"/>
        </w:rPr>
        <w:t xml:space="preserve"> All KCl based fluid systems displayed a CST ratio less than </w:t>
      </w:r>
      <w:r w:rsidR="00DF4BA4">
        <w:rPr>
          <w:rFonts w:ascii="Times New Roman" w:hAnsi="Times New Roman" w:cs="Times New Roman"/>
          <w:sz w:val="24"/>
          <w:szCs w:val="24"/>
        </w:rPr>
        <w:t>2, indicating better inhibition abilities</w:t>
      </w:r>
      <w:r w:rsidR="000B3ED5">
        <w:rPr>
          <w:rFonts w:ascii="Times New Roman" w:hAnsi="Times New Roman" w:cs="Times New Roman"/>
          <w:sz w:val="24"/>
          <w:szCs w:val="24"/>
        </w:rPr>
        <w:t>. This support the results presented in this work which suggests a better compatibi</w:t>
      </w:r>
      <w:r w:rsidR="005B7E35">
        <w:rPr>
          <w:rFonts w:ascii="Times New Roman" w:hAnsi="Times New Roman" w:cs="Times New Roman"/>
          <w:sz w:val="24"/>
          <w:szCs w:val="24"/>
        </w:rPr>
        <w:t>li</w:t>
      </w:r>
      <w:r w:rsidR="000B3ED5">
        <w:rPr>
          <w:rFonts w:ascii="Times New Roman" w:hAnsi="Times New Roman" w:cs="Times New Roman"/>
          <w:sz w:val="24"/>
          <w:szCs w:val="24"/>
        </w:rPr>
        <w:t>ty between KCl based fluid systems and the TMS.</w:t>
      </w:r>
    </w:p>
    <w:p w14:paraId="6380A9E7" w14:textId="77777777" w:rsidR="00932444" w:rsidRDefault="00287098" w:rsidP="00932444">
      <w:pPr>
        <w:pStyle w:val="Heading2"/>
      </w:pPr>
      <w:bookmarkStart w:id="159" w:name="_Toc39751639"/>
      <w:r>
        <w:t>Temperature effect on torque</w:t>
      </w:r>
      <w:bookmarkEnd w:id="159"/>
    </w:p>
    <w:p w14:paraId="5A02EAD8" w14:textId="77777777" w:rsidR="00BB0823" w:rsidRPr="00BB0823" w:rsidRDefault="00BB0823" w:rsidP="00342DF9">
      <w:pPr>
        <w:spacing w:line="480" w:lineRule="auto"/>
        <w:jc w:val="both"/>
        <w:rPr>
          <w:rFonts w:ascii="Times New Roman" w:hAnsi="Times New Roman" w:cs="Times New Roman"/>
          <w:sz w:val="24"/>
          <w:szCs w:val="24"/>
        </w:rPr>
      </w:pPr>
      <w:r>
        <w:rPr>
          <w:rFonts w:ascii="Times New Roman" w:hAnsi="Times New Roman" w:cs="Times New Roman"/>
          <w:sz w:val="24"/>
          <w:szCs w:val="24"/>
        </w:rPr>
        <w:t>Temperature greatly impact the rheological properties of all drilling fluid systems.</w:t>
      </w:r>
      <w:r w:rsidR="00BA7E27">
        <w:rPr>
          <w:rFonts w:ascii="Times New Roman" w:hAnsi="Times New Roman" w:cs="Times New Roman"/>
          <w:sz w:val="24"/>
          <w:szCs w:val="24"/>
        </w:rPr>
        <w:t xml:space="preserve"> The TMS formation is characterized to have high temperature</w:t>
      </w:r>
      <w:r w:rsidR="003F632E">
        <w:rPr>
          <w:rFonts w:ascii="Times New Roman" w:hAnsi="Times New Roman" w:cs="Times New Roman"/>
          <w:sz w:val="24"/>
          <w:szCs w:val="24"/>
        </w:rPr>
        <w:t>.</w:t>
      </w:r>
      <w:r w:rsidR="003A4E06">
        <w:rPr>
          <w:rFonts w:ascii="Times New Roman" w:hAnsi="Times New Roman" w:cs="Times New Roman"/>
          <w:sz w:val="24"/>
          <w:szCs w:val="24"/>
        </w:rPr>
        <w:t xml:space="preserve"> The impact of temperature on drilling parameters such as torque during drilling is evaluated.</w:t>
      </w:r>
      <w:r w:rsidR="00455A9E">
        <w:rPr>
          <w:rFonts w:ascii="Times New Roman" w:hAnsi="Times New Roman" w:cs="Times New Roman"/>
          <w:sz w:val="24"/>
          <w:szCs w:val="24"/>
        </w:rPr>
        <w:t xml:space="preserve"> </w:t>
      </w:r>
      <w:r w:rsidR="00455A9E" w:rsidRPr="009C78F7">
        <w:rPr>
          <w:rFonts w:ascii="Times New Roman" w:hAnsi="Times New Roman" w:cs="Times New Roman"/>
          <w:b/>
          <w:bCs/>
          <w:sz w:val="24"/>
          <w:szCs w:val="24"/>
        </w:rPr>
        <w:t>F</w:t>
      </w:r>
      <w:r w:rsidR="009C78F7" w:rsidRPr="009C78F7">
        <w:rPr>
          <w:rFonts w:ascii="Times New Roman" w:hAnsi="Times New Roman" w:cs="Times New Roman"/>
          <w:b/>
          <w:bCs/>
          <w:sz w:val="24"/>
          <w:szCs w:val="24"/>
        </w:rPr>
        <w:t>i</w:t>
      </w:r>
      <w:r w:rsidR="00455A9E" w:rsidRPr="009C78F7">
        <w:rPr>
          <w:rFonts w:ascii="Times New Roman" w:hAnsi="Times New Roman" w:cs="Times New Roman"/>
          <w:b/>
          <w:bCs/>
          <w:sz w:val="24"/>
          <w:szCs w:val="24"/>
        </w:rPr>
        <w:t>gure B2</w:t>
      </w:r>
      <w:r w:rsidR="00455A9E">
        <w:rPr>
          <w:rFonts w:ascii="Times New Roman" w:hAnsi="Times New Roman" w:cs="Times New Roman"/>
          <w:sz w:val="24"/>
          <w:szCs w:val="24"/>
        </w:rPr>
        <w:t xml:space="preserve"> shows the effect that an increase in temperature has on torque for cesium formate (a) and 2% KCl (b).</w:t>
      </w:r>
    </w:p>
    <w:p w14:paraId="3CF837D6" w14:textId="77777777" w:rsidR="00932444" w:rsidRDefault="00287098" w:rsidP="00932444">
      <w:r>
        <w:rPr>
          <w:noProof/>
        </w:rPr>
        <w:drawing>
          <wp:inline distT="0" distB="0" distL="0" distR="0" wp14:anchorId="14419F22" wp14:editId="34829E7D">
            <wp:extent cx="5943600" cy="235839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43600" cy="2358390"/>
                    </a:xfrm>
                    <a:prstGeom prst="rect">
                      <a:avLst/>
                    </a:prstGeom>
                  </pic:spPr>
                </pic:pic>
              </a:graphicData>
            </a:graphic>
          </wp:inline>
        </w:drawing>
      </w:r>
    </w:p>
    <w:p w14:paraId="1982DEA4" w14:textId="77777777" w:rsidR="00531899" w:rsidRDefault="00531899" w:rsidP="00531899">
      <w:pPr>
        <w:jc w:val="center"/>
        <w:rPr>
          <w:rFonts w:ascii="Times New Roman" w:hAnsi="Times New Roman" w:cs="Times New Roman"/>
          <w:b/>
          <w:bCs/>
          <w:sz w:val="24"/>
          <w:szCs w:val="24"/>
        </w:rPr>
      </w:pPr>
      <w:r w:rsidRPr="00531899">
        <w:rPr>
          <w:rFonts w:ascii="Times New Roman" w:hAnsi="Times New Roman" w:cs="Times New Roman"/>
          <w:b/>
          <w:bCs/>
          <w:sz w:val="24"/>
          <w:szCs w:val="24"/>
        </w:rPr>
        <w:t>Figure B2: Effect of temperature on torque during drilling using cesium formate (a) and 2% KCl (b).</w:t>
      </w:r>
    </w:p>
    <w:p w14:paraId="4CA40182" w14:textId="77777777" w:rsidR="00CA5646" w:rsidRPr="00CB2A41" w:rsidRDefault="0045098F" w:rsidP="00342DF9">
      <w:pPr>
        <w:spacing w:line="480" w:lineRule="auto"/>
        <w:rPr>
          <w:rFonts w:ascii="Times New Roman" w:hAnsi="Times New Roman" w:cs="Times New Roman"/>
        </w:rPr>
      </w:pPr>
      <w:r>
        <w:rPr>
          <w:rFonts w:ascii="Times New Roman" w:hAnsi="Times New Roman" w:cs="Times New Roman"/>
          <w:sz w:val="24"/>
          <w:szCs w:val="24"/>
        </w:rPr>
        <w:t xml:space="preserve">The results show that as temperature increases from 120 </w:t>
      </w:r>
      <w:r w:rsidRPr="00FA2826">
        <w:rPr>
          <w:rFonts w:ascii="Times New Roman" w:hAnsi="Times New Roman" w:cs="Times New Roman"/>
          <w:sz w:val="24"/>
          <w:szCs w:val="24"/>
          <w:vertAlign w:val="superscript"/>
        </w:rPr>
        <w:t>o</w:t>
      </w:r>
      <w:r>
        <w:rPr>
          <w:rFonts w:ascii="Times New Roman" w:hAnsi="Times New Roman" w:cs="Times New Roman"/>
          <w:sz w:val="24"/>
          <w:szCs w:val="24"/>
        </w:rPr>
        <w:t xml:space="preserve">F to 350 </w:t>
      </w:r>
      <w:r w:rsidRPr="00FA2826">
        <w:rPr>
          <w:rFonts w:ascii="Times New Roman" w:hAnsi="Times New Roman" w:cs="Times New Roman"/>
          <w:sz w:val="24"/>
          <w:szCs w:val="24"/>
          <w:vertAlign w:val="superscript"/>
        </w:rPr>
        <w:t>o</w:t>
      </w:r>
      <w:r>
        <w:rPr>
          <w:rFonts w:ascii="Times New Roman" w:hAnsi="Times New Roman" w:cs="Times New Roman"/>
          <w:sz w:val="24"/>
          <w:szCs w:val="24"/>
        </w:rPr>
        <w:t>F, the torque during drilling decreases.</w:t>
      </w:r>
      <w:r w:rsidR="00DD19D1">
        <w:rPr>
          <w:rFonts w:ascii="Times New Roman" w:hAnsi="Times New Roman" w:cs="Times New Roman"/>
          <w:sz w:val="24"/>
          <w:szCs w:val="24"/>
        </w:rPr>
        <w:t xml:space="preserve"> </w:t>
      </w:r>
      <w:r w:rsidR="00475B50">
        <w:rPr>
          <w:rFonts w:ascii="Times New Roman" w:hAnsi="Times New Roman" w:cs="Times New Roman"/>
          <w:sz w:val="24"/>
          <w:szCs w:val="24"/>
        </w:rPr>
        <w:t xml:space="preserve">The trend is similar for both drilling fluid systems. </w:t>
      </w:r>
      <w:r w:rsidR="00D56B1B">
        <w:rPr>
          <w:rFonts w:ascii="Times New Roman" w:hAnsi="Times New Roman" w:cs="Times New Roman"/>
          <w:sz w:val="24"/>
          <w:szCs w:val="24"/>
        </w:rPr>
        <w:t>The decrease in the torque as the temperature increases can be correlated to the effect of temperature of rheological properties.</w:t>
      </w:r>
      <w:r w:rsidR="00C34C79">
        <w:rPr>
          <w:rFonts w:ascii="Times New Roman" w:hAnsi="Times New Roman" w:cs="Times New Roman"/>
          <w:sz w:val="24"/>
          <w:szCs w:val="24"/>
        </w:rPr>
        <w:t xml:space="preserve"> As </w:t>
      </w:r>
      <w:r w:rsidR="00C34C79">
        <w:rPr>
          <w:rFonts w:ascii="Times New Roman" w:hAnsi="Times New Roman" w:cs="Times New Roman"/>
          <w:sz w:val="24"/>
          <w:szCs w:val="24"/>
        </w:rPr>
        <w:lastRenderedPageBreak/>
        <w:t>temperature increases, the viscosity of most drilling fluid systems tends to decrease. This results in generation of thinner filter cake, therefore lower torque during drilling.</w:t>
      </w:r>
    </w:p>
    <w:p w14:paraId="4ADAC074" w14:textId="77777777" w:rsidR="00DB0709" w:rsidRDefault="00DB0709" w:rsidP="00DB0709">
      <w:pPr>
        <w:pStyle w:val="Heading2"/>
      </w:pPr>
      <w:bookmarkStart w:id="160" w:name="_Toc39751640"/>
      <w:r>
        <w:t>Drilling fluid compatibility in Eagle Ford shale formation</w:t>
      </w:r>
      <w:bookmarkEnd w:id="160"/>
    </w:p>
    <w:p w14:paraId="4515EF04" w14:textId="77777777" w:rsidR="006F7D1E" w:rsidRDefault="005569D2" w:rsidP="00342DF9">
      <w:pPr>
        <w:spacing w:line="480" w:lineRule="auto"/>
        <w:rPr>
          <w:rFonts w:ascii="Times New Roman" w:hAnsi="Times New Roman" w:cs="Times New Roman"/>
          <w:sz w:val="24"/>
          <w:szCs w:val="24"/>
        </w:rPr>
      </w:pPr>
      <w:r>
        <w:rPr>
          <w:rFonts w:ascii="Times New Roman" w:hAnsi="Times New Roman" w:cs="Times New Roman"/>
          <w:sz w:val="24"/>
          <w:szCs w:val="24"/>
        </w:rPr>
        <w:t>The Eagle ford shale formation is one of the neighborhood shale formation to the TMS. Due to the success of the inhibitive mud systems in TMS</w:t>
      </w:r>
      <w:r w:rsidR="00593C8C">
        <w:rPr>
          <w:rFonts w:ascii="Times New Roman" w:hAnsi="Times New Roman" w:cs="Times New Roman"/>
          <w:sz w:val="24"/>
          <w:szCs w:val="24"/>
        </w:rPr>
        <w:t>, they were tested in Eagle ford shale.</w:t>
      </w:r>
      <w:r w:rsidR="000B3F13">
        <w:rPr>
          <w:rFonts w:ascii="Times New Roman" w:hAnsi="Times New Roman" w:cs="Times New Roman"/>
          <w:sz w:val="24"/>
          <w:szCs w:val="24"/>
        </w:rPr>
        <w:t xml:space="preserve"> Unlike the TMS where clay account for 51% of the mineralogy, Eagle ford shale only has 20% of clay.</w:t>
      </w:r>
      <w:r w:rsidR="00F91019">
        <w:rPr>
          <w:rFonts w:ascii="Times New Roman" w:hAnsi="Times New Roman" w:cs="Times New Roman"/>
          <w:sz w:val="24"/>
          <w:szCs w:val="24"/>
        </w:rPr>
        <w:t xml:space="preserve"> This implies that drilling fluid compatibility issues in less pronounced in Eagle ford unlike TMS.</w:t>
      </w:r>
      <w:r w:rsidR="006628D2">
        <w:rPr>
          <w:rFonts w:ascii="Times New Roman" w:hAnsi="Times New Roman" w:cs="Times New Roman"/>
          <w:sz w:val="24"/>
          <w:szCs w:val="24"/>
        </w:rPr>
        <w:t xml:space="preserve"> </w:t>
      </w:r>
      <w:r w:rsidR="006628D2" w:rsidRPr="00E33AD3">
        <w:rPr>
          <w:rFonts w:ascii="Times New Roman" w:hAnsi="Times New Roman" w:cs="Times New Roman"/>
          <w:b/>
          <w:bCs/>
          <w:sz w:val="24"/>
          <w:szCs w:val="24"/>
        </w:rPr>
        <w:t>Figure B3</w:t>
      </w:r>
      <w:r w:rsidR="006628D2">
        <w:rPr>
          <w:rFonts w:ascii="Times New Roman" w:hAnsi="Times New Roman" w:cs="Times New Roman"/>
          <w:sz w:val="24"/>
          <w:szCs w:val="24"/>
        </w:rPr>
        <w:t xml:space="preserve"> shows the swelling index </w:t>
      </w:r>
      <w:r w:rsidR="000B1B78">
        <w:rPr>
          <w:rFonts w:ascii="Times New Roman" w:hAnsi="Times New Roman" w:cs="Times New Roman"/>
          <w:sz w:val="24"/>
          <w:szCs w:val="24"/>
        </w:rPr>
        <w:t>in both TMS and Eagle ford shale.</w:t>
      </w:r>
    </w:p>
    <w:p w14:paraId="757F543A" w14:textId="77777777" w:rsidR="00E33AD3" w:rsidRDefault="00AD142B" w:rsidP="00AD142B">
      <w:pPr>
        <w:jc w:val="center"/>
      </w:pPr>
      <w:r>
        <w:rPr>
          <w:noProof/>
        </w:rPr>
        <w:drawing>
          <wp:inline distT="0" distB="0" distL="0" distR="0" wp14:anchorId="1206F1A9" wp14:editId="2F71A87A">
            <wp:extent cx="5010150" cy="3543300"/>
            <wp:effectExtent l="0" t="0" r="0" b="0"/>
            <wp:docPr id="34" name="Chart 34">
              <a:extLst xmlns:a="http://schemas.openxmlformats.org/drawingml/2006/main">
                <a:ext uri="{FF2B5EF4-FFF2-40B4-BE49-F238E27FC236}">
                  <a16:creationId xmlns:a16="http://schemas.microsoft.com/office/drawing/2014/main" id="{8CC557BF-FD67-4FD0-99FD-F914282DF9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30CF24DD" w14:textId="77777777" w:rsidR="00AD142B" w:rsidRDefault="00AD142B" w:rsidP="00AD142B">
      <w:pPr>
        <w:jc w:val="center"/>
        <w:rPr>
          <w:rFonts w:ascii="Times New Roman" w:hAnsi="Times New Roman" w:cs="Times New Roman"/>
          <w:b/>
          <w:bCs/>
          <w:sz w:val="24"/>
          <w:szCs w:val="24"/>
        </w:rPr>
      </w:pPr>
      <w:r w:rsidRPr="00AD142B">
        <w:rPr>
          <w:rFonts w:ascii="Times New Roman" w:hAnsi="Times New Roman" w:cs="Times New Roman"/>
          <w:b/>
          <w:bCs/>
          <w:sz w:val="24"/>
          <w:szCs w:val="24"/>
        </w:rPr>
        <w:t>Figure B3: Swelling index in TMS and Eagle ford shale formations for different drilling fluid systems</w:t>
      </w:r>
    </w:p>
    <w:p w14:paraId="15C60C6D" w14:textId="77777777" w:rsidR="00F01B63" w:rsidRPr="00F01B63" w:rsidRDefault="0075010D" w:rsidP="00342DF9">
      <w:pPr>
        <w:spacing w:line="480" w:lineRule="auto"/>
        <w:rPr>
          <w:rFonts w:ascii="Times New Roman" w:eastAsiaTheme="minorEastAsia" w:hAnsi="Times New Roman" w:cs="Times New Roman"/>
          <w:sz w:val="24"/>
          <w:szCs w:val="32"/>
        </w:rPr>
      </w:pPr>
      <w:r>
        <w:rPr>
          <w:rFonts w:ascii="Times New Roman" w:hAnsi="Times New Roman" w:cs="Times New Roman"/>
          <w:sz w:val="24"/>
          <w:szCs w:val="24"/>
        </w:rPr>
        <w:t xml:space="preserve">The profile </w:t>
      </w:r>
      <w:r w:rsidR="00F01B63">
        <w:rPr>
          <w:rFonts w:ascii="Times New Roman" w:hAnsi="Times New Roman" w:cs="Times New Roman"/>
          <w:sz w:val="24"/>
          <w:szCs w:val="24"/>
        </w:rPr>
        <w:t>shows lower</w:t>
      </w:r>
      <w:r>
        <w:rPr>
          <w:rFonts w:ascii="Times New Roman" w:hAnsi="Times New Roman" w:cs="Times New Roman"/>
          <w:sz w:val="24"/>
          <w:szCs w:val="24"/>
        </w:rPr>
        <w:t xml:space="preserve"> swelling rate in the Eagle ford as opposed to the TMS for all tested drilling fluid systems.</w:t>
      </w:r>
      <w:r w:rsidR="00F01B63">
        <w:rPr>
          <w:rFonts w:ascii="Times New Roman" w:hAnsi="Times New Roman" w:cs="Times New Roman"/>
          <w:sz w:val="24"/>
          <w:szCs w:val="24"/>
        </w:rPr>
        <w:t xml:space="preserve"> </w:t>
      </w:r>
      <w:r w:rsidR="00F01B63" w:rsidRPr="00F01B63">
        <w:rPr>
          <w:rFonts w:ascii="Times New Roman" w:eastAsiaTheme="minorEastAsia" w:hAnsi="Times New Roman" w:cs="Times New Roman"/>
          <w:sz w:val="24"/>
          <w:szCs w:val="32"/>
        </w:rPr>
        <w:t xml:space="preserve">This indicates that the use of inhibitive mud systems should more critical in TMS as compared to Eagle </w:t>
      </w:r>
      <w:r w:rsidR="00F01B63">
        <w:rPr>
          <w:rFonts w:ascii="Times New Roman" w:eastAsiaTheme="minorEastAsia" w:hAnsi="Times New Roman" w:cs="Times New Roman"/>
          <w:sz w:val="24"/>
          <w:szCs w:val="32"/>
        </w:rPr>
        <w:t>f</w:t>
      </w:r>
      <w:r w:rsidR="00F01B63" w:rsidRPr="00F01B63">
        <w:rPr>
          <w:rFonts w:ascii="Times New Roman" w:eastAsiaTheme="minorEastAsia" w:hAnsi="Times New Roman" w:cs="Times New Roman"/>
          <w:sz w:val="24"/>
          <w:szCs w:val="32"/>
        </w:rPr>
        <w:t>ord.</w:t>
      </w:r>
      <w:r w:rsidR="00F01B63" w:rsidRPr="00F01B63">
        <w:rPr>
          <w:rFonts w:ascii="Palatino Linotype" w:eastAsiaTheme="minorEastAsia" w:hAnsi="Palatino Linotype" w:cs="Times New Roman"/>
          <w:sz w:val="24"/>
          <w:szCs w:val="32"/>
        </w:rPr>
        <w:t xml:space="preserve"> </w:t>
      </w:r>
      <w:r w:rsidR="00F01B63" w:rsidRPr="00F01B63">
        <w:rPr>
          <w:rFonts w:ascii="Times New Roman" w:eastAsiaTheme="minorEastAsia" w:hAnsi="Times New Roman" w:cs="Times New Roman"/>
          <w:sz w:val="24"/>
          <w:szCs w:val="32"/>
        </w:rPr>
        <w:t xml:space="preserve">In both formations, the study revealed the impact of the </w:t>
      </w:r>
      <w:r w:rsidR="00F01B63" w:rsidRPr="00F01B63">
        <w:rPr>
          <w:rFonts w:ascii="Times New Roman" w:eastAsiaTheme="minorEastAsia" w:hAnsi="Times New Roman" w:cs="Times New Roman"/>
          <w:sz w:val="24"/>
          <w:szCs w:val="32"/>
        </w:rPr>
        <w:lastRenderedPageBreak/>
        <w:t>inhibitive mud systems in minimizing swelling during drilling. Thus, providing better drilling performance by minimizing the drilling concerns such as hole cleaning, stuck pipe, borehole collapse etc. and reducing the non-drilling time (NDT).</w:t>
      </w:r>
    </w:p>
    <w:p w14:paraId="69D778C7" w14:textId="77777777" w:rsidR="00AD142B" w:rsidRPr="00AD142B" w:rsidRDefault="00AD142B" w:rsidP="00342DF9">
      <w:pPr>
        <w:spacing w:line="480" w:lineRule="auto"/>
        <w:rPr>
          <w:rFonts w:ascii="Times New Roman" w:hAnsi="Times New Roman" w:cs="Times New Roman"/>
          <w:sz w:val="24"/>
          <w:szCs w:val="24"/>
        </w:rPr>
      </w:pPr>
    </w:p>
    <w:p w14:paraId="0A415991" w14:textId="77777777" w:rsidR="004C6D13" w:rsidRPr="004C6D13" w:rsidRDefault="004C6D13" w:rsidP="004C6D13"/>
    <w:p w14:paraId="0815B90A" w14:textId="77777777" w:rsidR="007B7173" w:rsidRPr="007B7173" w:rsidRDefault="007B7173" w:rsidP="007B7173">
      <w:pPr>
        <w:pStyle w:val="ListParagraph"/>
        <w:ind w:left="360"/>
      </w:pPr>
    </w:p>
    <w:p w14:paraId="4468724D" w14:textId="77777777" w:rsidR="00C56FC6" w:rsidRPr="00C56FC6" w:rsidRDefault="00C56FC6" w:rsidP="002528CA">
      <w:pPr>
        <w:pStyle w:val="Heading2"/>
      </w:pPr>
    </w:p>
    <w:p w14:paraId="75F5BA41" w14:textId="77777777" w:rsidR="002528CA" w:rsidRPr="00C56FC6" w:rsidRDefault="002528CA">
      <w:pPr>
        <w:pStyle w:val="Heading2"/>
      </w:pPr>
    </w:p>
    <w:sectPr w:rsidR="002528CA" w:rsidRPr="00C56FC6" w:rsidSect="00763255">
      <w:footerReference w:type="default" r:id="rId7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10DA5" w14:textId="77777777" w:rsidR="00C24503" w:rsidRDefault="00C24503">
      <w:pPr>
        <w:spacing w:after="0" w:line="240" w:lineRule="auto"/>
      </w:pPr>
      <w:r>
        <w:separator/>
      </w:r>
    </w:p>
  </w:endnote>
  <w:endnote w:type="continuationSeparator" w:id="0">
    <w:p w14:paraId="62BB2C46" w14:textId="77777777" w:rsidR="00C24503" w:rsidRDefault="00C24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46EB3" w14:textId="77777777" w:rsidR="00C724F7" w:rsidRPr="00B51D66" w:rsidRDefault="00C724F7">
    <w:pPr>
      <w:pStyle w:val="Footer"/>
      <w:jc w:val="center"/>
      <w:rPr>
        <w:rFonts w:ascii="Times New Roman" w:hAnsi="Times New Roman" w:cs="Times New Roman"/>
        <w:sz w:val="24"/>
        <w:szCs w:val="24"/>
      </w:rPr>
    </w:pPr>
  </w:p>
  <w:p w14:paraId="3157AA96" w14:textId="77777777" w:rsidR="00C724F7" w:rsidRDefault="00C72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7023466"/>
      <w:docPartObj>
        <w:docPartGallery w:val="Page Numbers (Bottom of Page)"/>
        <w:docPartUnique/>
      </w:docPartObj>
    </w:sdtPr>
    <w:sdtEndPr>
      <w:rPr>
        <w:noProof/>
      </w:rPr>
    </w:sdtEndPr>
    <w:sdtContent>
      <w:p w14:paraId="7ED7EDEA" w14:textId="77777777" w:rsidR="00C724F7" w:rsidRDefault="00C724F7">
        <w:pPr>
          <w:pStyle w:val="Footer"/>
          <w:jc w:val="center"/>
        </w:pPr>
      </w:p>
    </w:sdtContent>
  </w:sdt>
  <w:p w14:paraId="3CCF1ED2" w14:textId="77777777" w:rsidR="00C724F7" w:rsidRDefault="00C724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7444227"/>
      <w:docPartObj>
        <w:docPartGallery w:val="Page Numbers (Bottom of Page)"/>
        <w:docPartUnique/>
      </w:docPartObj>
    </w:sdtPr>
    <w:sdtEndPr>
      <w:rPr>
        <w:rFonts w:ascii="Times New Roman" w:hAnsi="Times New Roman" w:cs="Times New Roman"/>
        <w:noProof/>
        <w:sz w:val="24"/>
        <w:szCs w:val="24"/>
      </w:rPr>
    </w:sdtEndPr>
    <w:sdtContent>
      <w:p w14:paraId="19248FC4" w14:textId="77777777" w:rsidR="00C724F7" w:rsidRPr="00B51D66" w:rsidRDefault="00C724F7">
        <w:pPr>
          <w:pStyle w:val="Footer"/>
          <w:jc w:val="center"/>
          <w:rPr>
            <w:rFonts w:ascii="Times New Roman" w:hAnsi="Times New Roman" w:cs="Times New Roman"/>
            <w:sz w:val="24"/>
            <w:szCs w:val="24"/>
          </w:rPr>
        </w:pPr>
        <w:r w:rsidRPr="00B51D66">
          <w:rPr>
            <w:rFonts w:ascii="Times New Roman" w:hAnsi="Times New Roman" w:cs="Times New Roman"/>
            <w:sz w:val="24"/>
            <w:szCs w:val="24"/>
          </w:rPr>
          <w:fldChar w:fldCharType="begin"/>
        </w:r>
        <w:r w:rsidRPr="00B51D66">
          <w:rPr>
            <w:rFonts w:ascii="Times New Roman" w:hAnsi="Times New Roman" w:cs="Times New Roman"/>
            <w:sz w:val="24"/>
            <w:szCs w:val="24"/>
          </w:rPr>
          <w:instrText xml:space="preserve"> PAGE   \* MERGEFORMAT </w:instrText>
        </w:r>
        <w:r w:rsidRPr="00B51D66">
          <w:rPr>
            <w:rFonts w:ascii="Times New Roman" w:hAnsi="Times New Roman" w:cs="Times New Roman"/>
            <w:sz w:val="24"/>
            <w:szCs w:val="24"/>
          </w:rPr>
          <w:fldChar w:fldCharType="separate"/>
        </w:r>
        <w:r>
          <w:rPr>
            <w:rFonts w:ascii="Times New Roman" w:hAnsi="Times New Roman" w:cs="Times New Roman"/>
            <w:noProof/>
            <w:sz w:val="24"/>
            <w:szCs w:val="24"/>
          </w:rPr>
          <w:t>viii</w:t>
        </w:r>
        <w:r w:rsidRPr="00B51D66">
          <w:rPr>
            <w:rFonts w:ascii="Times New Roman" w:hAnsi="Times New Roman" w:cs="Times New Roman"/>
            <w:noProof/>
            <w:sz w:val="24"/>
            <w:szCs w:val="24"/>
          </w:rPr>
          <w:fldChar w:fldCharType="end"/>
        </w:r>
      </w:p>
    </w:sdtContent>
  </w:sdt>
  <w:p w14:paraId="2AAC09E0" w14:textId="77777777" w:rsidR="00C724F7" w:rsidRDefault="00C724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5105268"/>
      <w:docPartObj>
        <w:docPartGallery w:val="Page Numbers (Bottom of Page)"/>
        <w:docPartUnique/>
      </w:docPartObj>
    </w:sdtPr>
    <w:sdtEndPr>
      <w:rPr>
        <w:noProof/>
      </w:rPr>
    </w:sdtEndPr>
    <w:sdtContent>
      <w:p w14:paraId="194FA25F" w14:textId="77777777" w:rsidR="00C724F7" w:rsidRDefault="00C724F7">
        <w:pPr>
          <w:pStyle w:val="Footer"/>
          <w:jc w:val="center"/>
        </w:pPr>
        <w:r w:rsidRPr="00AE0749">
          <w:rPr>
            <w:rFonts w:ascii="Times New Roman" w:hAnsi="Times New Roman" w:cs="Times New Roman"/>
            <w:sz w:val="24"/>
            <w:szCs w:val="24"/>
          </w:rPr>
          <w:fldChar w:fldCharType="begin"/>
        </w:r>
        <w:r w:rsidRPr="00AE0749">
          <w:rPr>
            <w:rFonts w:ascii="Times New Roman" w:hAnsi="Times New Roman" w:cs="Times New Roman"/>
            <w:sz w:val="24"/>
            <w:szCs w:val="24"/>
          </w:rPr>
          <w:instrText xml:space="preserve"> PAGE   \* MERGEFORMAT </w:instrText>
        </w:r>
        <w:r w:rsidRPr="00AE0749">
          <w:rPr>
            <w:rFonts w:ascii="Times New Roman" w:hAnsi="Times New Roman" w:cs="Times New Roman"/>
            <w:sz w:val="24"/>
            <w:szCs w:val="24"/>
          </w:rPr>
          <w:fldChar w:fldCharType="separate"/>
        </w:r>
        <w:r>
          <w:rPr>
            <w:rFonts w:ascii="Times New Roman" w:hAnsi="Times New Roman" w:cs="Times New Roman"/>
            <w:noProof/>
            <w:sz w:val="24"/>
            <w:szCs w:val="24"/>
          </w:rPr>
          <w:t>iv</w:t>
        </w:r>
        <w:r w:rsidRPr="00AE0749">
          <w:rPr>
            <w:rFonts w:ascii="Times New Roman" w:hAnsi="Times New Roman" w:cs="Times New Roman"/>
            <w:noProof/>
            <w:sz w:val="24"/>
            <w:szCs w:val="24"/>
          </w:rPr>
          <w:fldChar w:fldCharType="end"/>
        </w:r>
      </w:p>
    </w:sdtContent>
  </w:sdt>
  <w:p w14:paraId="1F14D35B" w14:textId="77777777" w:rsidR="00C724F7" w:rsidRDefault="00C72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7768196"/>
      <w:docPartObj>
        <w:docPartGallery w:val="Page Numbers (Bottom of Page)"/>
        <w:docPartUnique/>
      </w:docPartObj>
    </w:sdtPr>
    <w:sdtEndPr>
      <w:rPr>
        <w:noProof/>
      </w:rPr>
    </w:sdtEndPr>
    <w:sdtContent>
      <w:p w14:paraId="136BA1DB" w14:textId="77777777" w:rsidR="00C724F7" w:rsidRDefault="00C724F7">
        <w:pPr>
          <w:pStyle w:val="Footer"/>
          <w:jc w:val="center"/>
        </w:pPr>
        <w:r w:rsidRPr="004D30D3">
          <w:rPr>
            <w:rFonts w:ascii="Times New Roman" w:hAnsi="Times New Roman" w:cs="Times New Roman"/>
            <w:sz w:val="24"/>
            <w:szCs w:val="24"/>
          </w:rPr>
          <w:fldChar w:fldCharType="begin"/>
        </w:r>
        <w:r w:rsidRPr="004D30D3">
          <w:rPr>
            <w:rFonts w:ascii="Times New Roman" w:hAnsi="Times New Roman" w:cs="Times New Roman"/>
            <w:sz w:val="24"/>
            <w:szCs w:val="24"/>
          </w:rPr>
          <w:instrText xml:space="preserve"> PAGE   \* MERGEFORMAT </w:instrText>
        </w:r>
        <w:r w:rsidRPr="004D30D3">
          <w:rPr>
            <w:rFonts w:ascii="Times New Roman" w:hAnsi="Times New Roman" w:cs="Times New Roman"/>
            <w:sz w:val="24"/>
            <w:szCs w:val="24"/>
          </w:rPr>
          <w:fldChar w:fldCharType="separate"/>
        </w:r>
        <w:r>
          <w:rPr>
            <w:rFonts w:ascii="Times New Roman" w:hAnsi="Times New Roman" w:cs="Times New Roman"/>
            <w:noProof/>
            <w:sz w:val="24"/>
            <w:szCs w:val="24"/>
          </w:rPr>
          <w:t>11</w:t>
        </w:r>
        <w:r w:rsidRPr="004D30D3">
          <w:rPr>
            <w:rFonts w:ascii="Times New Roman" w:hAnsi="Times New Roman" w:cs="Times New Roman"/>
            <w:noProof/>
            <w:sz w:val="24"/>
            <w:szCs w:val="24"/>
          </w:rPr>
          <w:fldChar w:fldCharType="end"/>
        </w:r>
      </w:p>
    </w:sdtContent>
  </w:sdt>
  <w:p w14:paraId="232CFF0A" w14:textId="77777777" w:rsidR="00C724F7" w:rsidRDefault="00C724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C784DD" w14:textId="77777777" w:rsidR="00C24503" w:rsidRDefault="00C24503">
      <w:pPr>
        <w:spacing w:after="0" w:line="240" w:lineRule="auto"/>
      </w:pPr>
      <w:r>
        <w:separator/>
      </w:r>
    </w:p>
  </w:footnote>
  <w:footnote w:type="continuationSeparator" w:id="0">
    <w:p w14:paraId="1553B475" w14:textId="77777777" w:rsidR="00C24503" w:rsidRDefault="00C24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BB705F" w14:textId="77777777" w:rsidR="00C724F7" w:rsidRDefault="00C724F7">
    <w:pPr>
      <w:pStyle w:val="Header"/>
      <w:jc w:val="center"/>
    </w:pPr>
  </w:p>
  <w:p w14:paraId="4CD2D1E4" w14:textId="77777777" w:rsidR="00C724F7" w:rsidRDefault="00C724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3227"/>
    <w:multiLevelType w:val="multilevel"/>
    <w:tmpl w:val="51DA9E06"/>
    <w:lvl w:ilvl="0">
      <w:start w:val="1"/>
      <w:numFmt w:val="bullet"/>
      <w:lvlText w:val=""/>
      <w:lvlJc w:val="left"/>
      <w:pPr>
        <w:ind w:left="720" w:hanging="360"/>
      </w:pPr>
      <w:rPr>
        <w:rFonts w:ascii="Symbol" w:hAnsi="Symbol"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 w15:restartNumberingAfterBreak="0">
    <w:nsid w:val="071D08C8"/>
    <w:multiLevelType w:val="multilevel"/>
    <w:tmpl w:val="0F00D6F0"/>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9B45DCF"/>
    <w:multiLevelType w:val="hybridMultilevel"/>
    <w:tmpl w:val="DF6A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D56C8"/>
    <w:multiLevelType w:val="hybridMultilevel"/>
    <w:tmpl w:val="0F5A5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F6188D"/>
    <w:multiLevelType w:val="hybridMultilevel"/>
    <w:tmpl w:val="0B84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90199"/>
    <w:multiLevelType w:val="hybridMultilevel"/>
    <w:tmpl w:val="0198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972E1F"/>
    <w:multiLevelType w:val="hybridMultilevel"/>
    <w:tmpl w:val="2B744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7E5100"/>
    <w:multiLevelType w:val="hybridMultilevel"/>
    <w:tmpl w:val="F7425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434A9F"/>
    <w:multiLevelType w:val="hybridMultilevel"/>
    <w:tmpl w:val="12A6E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726E89"/>
    <w:multiLevelType w:val="multilevel"/>
    <w:tmpl w:val="6B785870"/>
    <w:lvl w:ilvl="0">
      <w:start w:val="1"/>
      <w:numFmt w:val="decimal"/>
      <w:lvlText w:val="%1."/>
      <w:lvlJc w:val="left"/>
      <w:pPr>
        <w:ind w:left="360" w:hanging="360"/>
      </w:pPr>
      <w:rPr>
        <w:rFonts w:ascii="Times New Roman" w:eastAsiaTheme="minorHAnsi" w:hAnsi="Times New Roman"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357D9A"/>
    <w:multiLevelType w:val="hybridMultilevel"/>
    <w:tmpl w:val="92DEE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EB052F"/>
    <w:multiLevelType w:val="multilevel"/>
    <w:tmpl w:val="769E059A"/>
    <w:lvl w:ilvl="0">
      <w:start w:val="1"/>
      <w:numFmt w:val="decimal"/>
      <w:lvlText w:val="%1."/>
      <w:lvlJc w:val="left"/>
      <w:pPr>
        <w:ind w:left="360" w:hanging="360"/>
      </w:pPr>
      <w:rPr>
        <w:rFonts w:ascii="Times New Roman" w:eastAsiaTheme="minorHAnsi" w:hAnsi="Times New Roman" w:cs="Times New Roman"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592685"/>
    <w:multiLevelType w:val="hybridMultilevel"/>
    <w:tmpl w:val="09A0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FA5A47"/>
    <w:multiLevelType w:val="multilevel"/>
    <w:tmpl w:val="51DA9E06"/>
    <w:lvl w:ilvl="0">
      <w:start w:val="1"/>
      <w:numFmt w:val="bullet"/>
      <w:lvlText w:val=""/>
      <w:lvlJc w:val="left"/>
      <w:pPr>
        <w:ind w:left="720" w:hanging="360"/>
      </w:pPr>
      <w:rPr>
        <w:rFonts w:ascii="Symbol" w:hAnsi="Symbol" w:hint="default"/>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4" w15:restartNumberingAfterBreak="0">
    <w:nsid w:val="30597F87"/>
    <w:multiLevelType w:val="hybridMultilevel"/>
    <w:tmpl w:val="74B24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625DF0"/>
    <w:multiLevelType w:val="multilevel"/>
    <w:tmpl w:val="8D3A89EA"/>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3D94E44"/>
    <w:multiLevelType w:val="multilevel"/>
    <w:tmpl w:val="998AF3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Heading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AF50D2"/>
    <w:multiLevelType w:val="hybridMultilevel"/>
    <w:tmpl w:val="A360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5D3950"/>
    <w:multiLevelType w:val="hybridMultilevel"/>
    <w:tmpl w:val="54D4D1A8"/>
    <w:lvl w:ilvl="0" w:tplc="94309C08">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5976E7"/>
    <w:multiLevelType w:val="hybridMultilevel"/>
    <w:tmpl w:val="0EFAD924"/>
    <w:lvl w:ilvl="0" w:tplc="1040D61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45D11365"/>
    <w:multiLevelType w:val="hybridMultilevel"/>
    <w:tmpl w:val="9A402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675C1"/>
    <w:multiLevelType w:val="hybridMultilevel"/>
    <w:tmpl w:val="8C1EE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A72B8C"/>
    <w:multiLevelType w:val="hybridMultilevel"/>
    <w:tmpl w:val="CFEC4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B11A52"/>
    <w:multiLevelType w:val="hybridMultilevel"/>
    <w:tmpl w:val="E1143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B80708"/>
    <w:multiLevelType w:val="hybridMultilevel"/>
    <w:tmpl w:val="9F2AB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F87CB5"/>
    <w:multiLevelType w:val="hybridMultilevel"/>
    <w:tmpl w:val="212E627A"/>
    <w:lvl w:ilvl="0" w:tplc="FEE8A290">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61767E"/>
    <w:multiLevelType w:val="hybridMultilevel"/>
    <w:tmpl w:val="3370B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763098"/>
    <w:multiLevelType w:val="hybridMultilevel"/>
    <w:tmpl w:val="AA8C5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497F2B"/>
    <w:multiLevelType w:val="hybridMultilevel"/>
    <w:tmpl w:val="7C3EF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514156"/>
    <w:multiLevelType w:val="multilevel"/>
    <w:tmpl w:val="32042F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6C850AA"/>
    <w:multiLevelType w:val="multilevel"/>
    <w:tmpl w:val="9F42298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7BB1894"/>
    <w:multiLevelType w:val="hybridMultilevel"/>
    <w:tmpl w:val="779E8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7F00CC"/>
    <w:multiLevelType w:val="hybridMultilevel"/>
    <w:tmpl w:val="8A5668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CFE7087"/>
    <w:multiLevelType w:val="multilevel"/>
    <w:tmpl w:val="624423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F7B5EA7"/>
    <w:multiLevelType w:val="hybridMultilevel"/>
    <w:tmpl w:val="DB82A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33"/>
  </w:num>
  <w:num w:numId="4">
    <w:abstractNumId w:val="30"/>
  </w:num>
  <w:num w:numId="5">
    <w:abstractNumId w:val="6"/>
  </w:num>
  <w:num w:numId="6">
    <w:abstractNumId w:val="10"/>
  </w:num>
  <w:num w:numId="7">
    <w:abstractNumId w:val="31"/>
  </w:num>
  <w:num w:numId="8">
    <w:abstractNumId w:val="25"/>
  </w:num>
  <w:num w:numId="9">
    <w:abstractNumId w:val="19"/>
  </w:num>
  <w:num w:numId="10">
    <w:abstractNumId w:val="3"/>
  </w:num>
  <w:num w:numId="11">
    <w:abstractNumId w:val="17"/>
  </w:num>
  <w:num w:numId="12">
    <w:abstractNumId w:val="12"/>
  </w:num>
  <w:num w:numId="13">
    <w:abstractNumId w:val="4"/>
  </w:num>
  <w:num w:numId="14">
    <w:abstractNumId w:val="28"/>
  </w:num>
  <w:num w:numId="15">
    <w:abstractNumId w:val="16"/>
  </w:num>
  <w:num w:numId="16">
    <w:abstractNumId w:val="9"/>
  </w:num>
  <w:num w:numId="17">
    <w:abstractNumId w:val="11"/>
  </w:num>
  <w:num w:numId="18">
    <w:abstractNumId w:val="23"/>
  </w:num>
  <w:num w:numId="19">
    <w:abstractNumId w:val="7"/>
  </w:num>
  <w:num w:numId="20">
    <w:abstractNumId w:val="5"/>
  </w:num>
  <w:num w:numId="21">
    <w:abstractNumId w:val="21"/>
  </w:num>
  <w:num w:numId="22">
    <w:abstractNumId w:val="22"/>
  </w:num>
  <w:num w:numId="23">
    <w:abstractNumId w:val="34"/>
  </w:num>
  <w:num w:numId="24">
    <w:abstractNumId w:val="24"/>
  </w:num>
  <w:num w:numId="25">
    <w:abstractNumId w:val="26"/>
  </w:num>
  <w:num w:numId="26">
    <w:abstractNumId w:val="2"/>
  </w:num>
  <w:num w:numId="27">
    <w:abstractNumId w:val="16"/>
  </w:num>
  <w:num w:numId="28">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13"/>
  </w:num>
  <w:num w:numId="31">
    <w:abstractNumId w:val="32"/>
  </w:num>
  <w:num w:numId="32">
    <w:abstractNumId w:val="0"/>
  </w:num>
  <w:num w:numId="33">
    <w:abstractNumId w:val="8"/>
  </w:num>
  <w:num w:numId="34">
    <w:abstractNumId w:val="20"/>
  </w:num>
  <w:num w:numId="35">
    <w:abstractNumId w:val="18"/>
  </w:num>
  <w:num w:numId="36">
    <w:abstractNumId w:val="27"/>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9D6"/>
    <w:rsid w:val="000063B0"/>
    <w:rsid w:val="00006AAC"/>
    <w:rsid w:val="00006B6F"/>
    <w:rsid w:val="000109C1"/>
    <w:rsid w:val="0001216B"/>
    <w:rsid w:val="00012920"/>
    <w:rsid w:val="00016469"/>
    <w:rsid w:val="00020167"/>
    <w:rsid w:val="00020194"/>
    <w:rsid w:val="00020892"/>
    <w:rsid w:val="000214C2"/>
    <w:rsid w:val="00022D64"/>
    <w:rsid w:val="00023611"/>
    <w:rsid w:val="00026037"/>
    <w:rsid w:val="0003387D"/>
    <w:rsid w:val="0003629F"/>
    <w:rsid w:val="00036B35"/>
    <w:rsid w:val="00036D7B"/>
    <w:rsid w:val="00037A17"/>
    <w:rsid w:val="00040058"/>
    <w:rsid w:val="00042180"/>
    <w:rsid w:val="00043B87"/>
    <w:rsid w:val="00044572"/>
    <w:rsid w:val="00044CB5"/>
    <w:rsid w:val="00047ABA"/>
    <w:rsid w:val="00050701"/>
    <w:rsid w:val="000512D8"/>
    <w:rsid w:val="00052547"/>
    <w:rsid w:val="00054BC1"/>
    <w:rsid w:val="000565BF"/>
    <w:rsid w:val="00056F85"/>
    <w:rsid w:val="000572DC"/>
    <w:rsid w:val="00060E65"/>
    <w:rsid w:val="0006290A"/>
    <w:rsid w:val="000659D6"/>
    <w:rsid w:val="00070843"/>
    <w:rsid w:val="0007138C"/>
    <w:rsid w:val="000717C8"/>
    <w:rsid w:val="00072191"/>
    <w:rsid w:val="00073184"/>
    <w:rsid w:val="00075EAD"/>
    <w:rsid w:val="0007603A"/>
    <w:rsid w:val="000809A8"/>
    <w:rsid w:val="00081D17"/>
    <w:rsid w:val="000821CA"/>
    <w:rsid w:val="000832AD"/>
    <w:rsid w:val="00086B83"/>
    <w:rsid w:val="00091D21"/>
    <w:rsid w:val="0009261B"/>
    <w:rsid w:val="00092DF2"/>
    <w:rsid w:val="00094DA3"/>
    <w:rsid w:val="0009563F"/>
    <w:rsid w:val="000966B8"/>
    <w:rsid w:val="000A2512"/>
    <w:rsid w:val="000A3788"/>
    <w:rsid w:val="000A3DBD"/>
    <w:rsid w:val="000B0021"/>
    <w:rsid w:val="000B17BE"/>
    <w:rsid w:val="000B1B78"/>
    <w:rsid w:val="000B3307"/>
    <w:rsid w:val="000B3ED5"/>
    <w:rsid w:val="000B3F13"/>
    <w:rsid w:val="000B4ECA"/>
    <w:rsid w:val="000C01BE"/>
    <w:rsid w:val="000C01C4"/>
    <w:rsid w:val="000C0CE0"/>
    <w:rsid w:val="000C14E6"/>
    <w:rsid w:val="000C6C02"/>
    <w:rsid w:val="000D0AF9"/>
    <w:rsid w:val="000D1075"/>
    <w:rsid w:val="000D581C"/>
    <w:rsid w:val="000D73CD"/>
    <w:rsid w:val="000D77BD"/>
    <w:rsid w:val="000E1561"/>
    <w:rsid w:val="000E1C6B"/>
    <w:rsid w:val="000E26F9"/>
    <w:rsid w:val="000E2C4D"/>
    <w:rsid w:val="000E3D9D"/>
    <w:rsid w:val="000E4ECC"/>
    <w:rsid w:val="000E4F70"/>
    <w:rsid w:val="000E508A"/>
    <w:rsid w:val="000E50D1"/>
    <w:rsid w:val="000E5282"/>
    <w:rsid w:val="000E60E0"/>
    <w:rsid w:val="000F1185"/>
    <w:rsid w:val="000F18BC"/>
    <w:rsid w:val="000F2D49"/>
    <w:rsid w:val="000F4CB7"/>
    <w:rsid w:val="000F5DCF"/>
    <w:rsid w:val="0010039D"/>
    <w:rsid w:val="001004C6"/>
    <w:rsid w:val="00101D86"/>
    <w:rsid w:val="0010590E"/>
    <w:rsid w:val="001141D1"/>
    <w:rsid w:val="00117A9C"/>
    <w:rsid w:val="00122C08"/>
    <w:rsid w:val="00133346"/>
    <w:rsid w:val="00133F5F"/>
    <w:rsid w:val="001343BE"/>
    <w:rsid w:val="00134415"/>
    <w:rsid w:val="0013465E"/>
    <w:rsid w:val="00134AEB"/>
    <w:rsid w:val="00134E92"/>
    <w:rsid w:val="001351DB"/>
    <w:rsid w:val="00135655"/>
    <w:rsid w:val="00136D70"/>
    <w:rsid w:val="00140798"/>
    <w:rsid w:val="001409BB"/>
    <w:rsid w:val="00142ECA"/>
    <w:rsid w:val="00143AC0"/>
    <w:rsid w:val="00145458"/>
    <w:rsid w:val="00145631"/>
    <w:rsid w:val="00145B04"/>
    <w:rsid w:val="00146DB3"/>
    <w:rsid w:val="00150B24"/>
    <w:rsid w:val="001516A0"/>
    <w:rsid w:val="00151E5F"/>
    <w:rsid w:val="00157009"/>
    <w:rsid w:val="00160689"/>
    <w:rsid w:val="0016238C"/>
    <w:rsid w:val="00162754"/>
    <w:rsid w:val="00163377"/>
    <w:rsid w:val="001636D9"/>
    <w:rsid w:val="00163F3D"/>
    <w:rsid w:val="00165094"/>
    <w:rsid w:val="001666BC"/>
    <w:rsid w:val="001668C5"/>
    <w:rsid w:val="001720DB"/>
    <w:rsid w:val="001749B2"/>
    <w:rsid w:val="00174EF0"/>
    <w:rsid w:val="00175798"/>
    <w:rsid w:val="00175FFD"/>
    <w:rsid w:val="00176628"/>
    <w:rsid w:val="00180C4F"/>
    <w:rsid w:val="00183777"/>
    <w:rsid w:val="001839E6"/>
    <w:rsid w:val="001853AB"/>
    <w:rsid w:val="00185B00"/>
    <w:rsid w:val="00190704"/>
    <w:rsid w:val="00191BE4"/>
    <w:rsid w:val="00192985"/>
    <w:rsid w:val="00197D02"/>
    <w:rsid w:val="001A0154"/>
    <w:rsid w:val="001A1A8B"/>
    <w:rsid w:val="001A1DE5"/>
    <w:rsid w:val="001A3BE2"/>
    <w:rsid w:val="001A4A7B"/>
    <w:rsid w:val="001B3C12"/>
    <w:rsid w:val="001B4E37"/>
    <w:rsid w:val="001B5558"/>
    <w:rsid w:val="001B57E9"/>
    <w:rsid w:val="001C0121"/>
    <w:rsid w:val="001C1BAB"/>
    <w:rsid w:val="001C39FF"/>
    <w:rsid w:val="001C3F0A"/>
    <w:rsid w:val="001C6135"/>
    <w:rsid w:val="001C7CA4"/>
    <w:rsid w:val="001D12A6"/>
    <w:rsid w:val="001D44FA"/>
    <w:rsid w:val="001D7793"/>
    <w:rsid w:val="001E180A"/>
    <w:rsid w:val="001E1993"/>
    <w:rsid w:val="001E2412"/>
    <w:rsid w:val="001E3FF3"/>
    <w:rsid w:val="001E4419"/>
    <w:rsid w:val="001E4614"/>
    <w:rsid w:val="001F1237"/>
    <w:rsid w:val="001F1DEB"/>
    <w:rsid w:val="001F27D1"/>
    <w:rsid w:val="001F41CA"/>
    <w:rsid w:val="001F5408"/>
    <w:rsid w:val="001F5895"/>
    <w:rsid w:val="001F6D6F"/>
    <w:rsid w:val="001F7B20"/>
    <w:rsid w:val="001F7B3D"/>
    <w:rsid w:val="00202DB7"/>
    <w:rsid w:val="002058F8"/>
    <w:rsid w:val="0020776C"/>
    <w:rsid w:val="00212756"/>
    <w:rsid w:val="00212770"/>
    <w:rsid w:val="00214701"/>
    <w:rsid w:val="00217898"/>
    <w:rsid w:val="0022089D"/>
    <w:rsid w:val="00220C0C"/>
    <w:rsid w:val="002216A8"/>
    <w:rsid w:val="00230620"/>
    <w:rsid w:val="002312AB"/>
    <w:rsid w:val="00233521"/>
    <w:rsid w:val="002347E0"/>
    <w:rsid w:val="00236CB3"/>
    <w:rsid w:val="00237E03"/>
    <w:rsid w:val="002414D1"/>
    <w:rsid w:val="002414E8"/>
    <w:rsid w:val="00241BEB"/>
    <w:rsid w:val="00242A0C"/>
    <w:rsid w:val="00246154"/>
    <w:rsid w:val="00246CC6"/>
    <w:rsid w:val="002471A7"/>
    <w:rsid w:val="00247DC6"/>
    <w:rsid w:val="002528CA"/>
    <w:rsid w:val="00252E6C"/>
    <w:rsid w:val="002541A8"/>
    <w:rsid w:val="0025438C"/>
    <w:rsid w:val="002578C7"/>
    <w:rsid w:val="00261E56"/>
    <w:rsid w:val="00264DCC"/>
    <w:rsid w:val="00265F1F"/>
    <w:rsid w:val="00273605"/>
    <w:rsid w:val="00276B18"/>
    <w:rsid w:val="002772A2"/>
    <w:rsid w:val="00277DC9"/>
    <w:rsid w:val="00282A87"/>
    <w:rsid w:val="00287098"/>
    <w:rsid w:val="00287099"/>
    <w:rsid w:val="00287F45"/>
    <w:rsid w:val="002904BC"/>
    <w:rsid w:val="00290717"/>
    <w:rsid w:val="002925E3"/>
    <w:rsid w:val="00295EEC"/>
    <w:rsid w:val="00296FA0"/>
    <w:rsid w:val="002A2955"/>
    <w:rsid w:val="002A354B"/>
    <w:rsid w:val="002A3AF6"/>
    <w:rsid w:val="002A4485"/>
    <w:rsid w:val="002A50FA"/>
    <w:rsid w:val="002A5D00"/>
    <w:rsid w:val="002A760C"/>
    <w:rsid w:val="002B1F10"/>
    <w:rsid w:val="002B2139"/>
    <w:rsid w:val="002B5552"/>
    <w:rsid w:val="002B65F9"/>
    <w:rsid w:val="002B6E3D"/>
    <w:rsid w:val="002C0CFD"/>
    <w:rsid w:val="002C656A"/>
    <w:rsid w:val="002C6C1F"/>
    <w:rsid w:val="002D06DC"/>
    <w:rsid w:val="002D0C64"/>
    <w:rsid w:val="002D0D0B"/>
    <w:rsid w:val="002D51D0"/>
    <w:rsid w:val="002D548F"/>
    <w:rsid w:val="002D61AC"/>
    <w:rsid w:val="002E0821"/>
    <w:rsid w:val="002E2A84"/>
    <w:rsid w:val="002E31C8"/>
    <w:rsid w:val="002E3AE6"/>
    <w:rsid w:val="002E58B8"/>
    <w:rsid w:val="002E6C4C"/>
    <w:rsid w:val="002E6FDC"/>
    <w:rsid w:val="002F387A"/>
    <w:rsid w:val="002F54B9"/>
    <w:rsid w:val="002F6043"/>
    <w:rsid w:val="002F6E6F"/>
    <w:rsid w:val="003021EE"/>
    <w:rsid w:val="00302B86"/>
    <w:rsid w:val="003032BA"/>
    <w:rsid w:val="00304316"/>
    <w:rsid w:val="00304373"/>
    <w:rsid w:val="003056D8"/>
    <w:rsid w:val="0030712A"/>
    <w:rsid w:val="0031067E"/>
    <w:rsid w:val="00310932"/>
    <w:rsid w:val="00311F3D"/>
    <w:rsid w:val="0031207B"/>
    <w:rsid w:val="003129E2"/>
    <w:rsid w:val="00312D67"/>
    <w:rsid w:val="00314A33"/>
    <w:rsid w:val="00317630"/>
    <w:rsid w:val="003208AC"/>
    <w:rsid w:val="00320D7D"/>
    <w:rsid w:val="0032121A"/>
    <w:rsid w:val="00321B19"/>
    <w:rsid w:val="0032394B"/>
    <w:rsid w:val="003268BA"/>
    <w:rsid w:val="003276DE"/>
    <w:rsid w:val="00330239"/>
    <w:rsid w:val="00331DBD"/>
    <w:rsid w:val="0033220B"/>
    <w:rsid w:val="00333799"/>
    <w:rsid w:val="00334727"/>
    <w:rsid w:val="00336F93"/>
    <w:rsid w:val="00340A46"/>
    <w:rsid w:val="00341452"/>
    <w:rsid w:val="00341C03"/>
    <w:rsid w:val="00342579"/>
    <w:rsid w:val="00342DF9"/>
    <w:rsid w:val="00342EAF"/>
    <w:rsid w:val="003431C4"/>
    <w:rsid w:val="0034391D"/>
    <w:rsid w:val="00343EDF"/>
    <w:rsid w:val="0034609D"/>
    <w:rsid w:val="003461E3"/>
    <w:rsid w:val="0035039F"/>
    <w:rsid w:val="00350700"/>
    <w:rsid w:val="003507B1"/>
    <w:rsid w:val="0035133B"/>
    <w:rsid w:val="00351A06"/>
    <w:rsid w:val="00354B1E"/>
    <w:rsid w:val="00355963"/>
    <w:rsid w:val="003608C4"/>
    <w:rsid w:val="0036171F"/>
    <w:rsid w:val="0036178A"/>
    <w:rsid w:val="0036403D"/>
    <w:rsid w:val="00364923"/>
    <w:rsid w:val="00365C81"/>
    <w:rsid w:val="003671F0"/>
    <w:rsid w:val="0037215E"/>
    <w:rsid w:val="00374822"/>
    <w:rsid w:val="00374E8A"/>
    <w:rsid w:val="003756A5"/>
    <w:rsid w:val="00376587"/>
    <w:rsid w:val="00377B90"/>
    <w:rsid w:val="00380A2C"/>
    <w:rsid w:val="00380F19"/>
    <w:rsid w:val="00381170"/>
    <w:rsid w:val="00382840"/>
    <w:rsid w:val="00383654"/>
    <w:rsid w:val="0039186F"/>
    <w:rsid w:val="0039257D"/>
    <w:rsid w:val="00397632"/>
    <w:rsid w:val="003A0DB7"/>
    <w:rsid w:val="003A122C"/>
    <w:rsid w:val="003A301B"/>
    <w:rsid w:val="003A3020"/>
    <w:rsid w:val="003A3A0D"/>
    <w:rsid w:val="003A3D9F"/>
    <w:rsid w:val="003A4563"/>
    <w:rsid w:val="003A4E06"/>
    <w:rsid w:val="003A6410"/>
    <w:rsid w:val="003A7FD8"/>
    <w:rsid w:val="003B0A51"/>
    <w:rsid w:val="003B0FA3"/>
    <w:rsid w:val="003B21C2"/>
    <w:rsid w:val="003B3388"/>
    <w:rsid w:val="003B3F25"/>
    <w:rsid w:val="003B67B3"/>
    <w:rsid w:val="003B72D3"/>
    <w:rsid w:val="003B74B3"/>
    <w:rsid w:val="003B7EFD"/>
    <w:rsid w:val="003C0FF0"/>
    <w:rsid w:val="003C1D6D"/>
    <w:rsid w:val="003C3D40"/>
    <w:rsid w:val="003C6CC0"/>
    <w:rsid w:val="003C6DFF"/>
    <w:rsid w:val="003C71A7"/>
    <w:rsid w:val="003C7250"/>
    <w:rsid w:val="003D036F"/>
    <w:rsid w:val="003D1B59"/>
    <w:rsid w:val="003D1DCD"/>
    <w:rsid w:val="003D2C64"/>
    <w:rsid w:val="003D42E6"/>
    <w:rsid w:val="003D65E6"/>
    <w:rsid w:val="003D6DEB"/>
    <w:rsid w:val="003D6EE4"/>
    <w:rsid w:val="003E1E96"/>
    <w:rsid w:val="003E6CEA"/>
    <w:rsid w:val="003F03D4"/>
    <w:rsid w:val="003F4328"/>
    <w:rsid w:val="003F55A9"/>
    <w:rsid w:val="003F5B26"/>
    <w:rsid w:val="003F6119"/>
    <w:rsid w:val="003F632E"/>
    <w:rsid w:val="00400CE1"/>
    <w:rsid w:val="00402D96"/>
    <w:rsid w:val="00404B0F"/>
    <w:rsid w:val="00405E7F"/>
    <w:rsid w:val="00407585"/>
    <w:rsid w:val="0041062D"/>
    <w:rsid w:val="00410FEE"/>
    <w:rsid w:val="00413CB4"/>
    <w:rsid w:val="00416606"/>
    <w:rsid w:val="004212BB"/>
    <w:rsid w:val="004229FF"/>
    <w:rsid w:val="004235AD"/>
    <w:rsid w:val="00423ADB"/>
    <w:rsid w:val="00424328"/>
    <w:rsid w:val="004262EB"/>
    <w:rsid w:val="00433099"/>
    <w:rsid w:val="0043563D"/>
    <w:rsid w:val="004410BE"/>
    <w:rsid w:val="00442705"/>
    <w:rsid w:val="0044305B"/>
    <w:rsid w:val="00446D37"/>
    <w:rsid w:val="00447E8A"/>
    <w:rsid w:val="0045098F"/>
    <w:rsid w:val="00452651"/>
    <w:rsid w:val="00454CE2"/>
    <w:rsid w:val="00455A9E"/>
    <w:rsid w:val="00455B4B"/>
    <w:rsid w:val="004625C0"/>
    <w:rsid w:val="004627B2"/>
    <w:rsid w:val="004639A1"/>
    <w:rsid w:val="00464033"/>
    <w:rsid w:val="00464B3A"/>
    <w:rsid w:val="00465E1F"/>
    <w:rsid w:val="00467C04"/>
    <w:rsid w:val="0047119A"/>
    <w:rsid w:val="00473DDA"/>
    <w:rsid w:val="00475B50"/>
    <w:rsid w:val="00476FA8"/>
    <w:rsid w:val="00477F43"/>
    <w:rsid w:val="00481305"/>
    <w:rsid w:val="00482F07"/>
    <w:rsid w:val="0048396C"/>
    <w:rsid w:val="00483D2B"/>
    <w:rsid w:val="00483EF5"/>
    <w:rsid w:val="0048485E"/>
    <w:rsid w:val="00486DAB"/>
    <w:rsid w:val="004908C3"/>
    <w:rsid w:val="00491CD1"/>
    <w:rsid w:val="00492EC4"/>
    <w:rsid w:val="004939C8"/>
    <w:rsid w:val="00494D4E"/>
    <w:rsid w:val="004953EA"/>
    <w:rsid w:val="004A07D0"/>
    <w:rsid w:val="004A21B3"/>
    <w:rsid w:val="004A33A4"/>
    <w:rsid w:val="004A6BD5"/>
    <w:rsid w:val="004A7383"/>
    <w:rsid w:val="004B0DC2"/>
    <w:rsid w:val="004B1177"/>
    <w:rsid w:val="004B12EA"/>
    <w:rsid w:val="004B20E0"/>
    <w:rsid w:val="004B466A"/>
    <w:rsid w:val="004B4BA6"/>
    <w:rsid w:val="004B4D40"/>
    <w:rsid w:val="004B51E3"/>
    <w:rsid w:val="004B62EB"/>
    <w:rsid w:val="004B734B"/>
    <w:rsid w:val="004C1511"/>
    <w:rsid w:val="004C3312"/>
    <w:rsid w:val="004C456E"/>
    <w:rsid w:val="004C6D13"/>
    <w:rsid w:val="004C70A4"/>
    <w:rsid w:val="004D3817"/>
    <w:rsid w:val="004D41A2"/>
    <w:rsid w:val="004D42C9"/>
    <w:rsid w:val="004D53AE"/>
    <w:rsid w:val="004D6B63"/>
    <w:rsid w:val="004D6E4A"/>
    <w:rsid w:val="004D7BFE"/>
    <w:rsid w:val="004E1EB9"/>
    <w:rsid w:val="004E20AC"/>
    <w:rsid w:val="004E31D9"/>
    <w:rsid w:val="004E38D5"/>
    <w:rsid w:val="004E411B"/>
    <w:rsid w:val="004E7CEC"/>
    <w:rsid w:val="004F0AF4"/>
    <w:rsid w:val="004F1D77"/>
    <w:rsid w:val="004F3A09"/>
    <w:rsid w:val="004F5994"/>
    <w:rsid w:val="004F7BE0"/>
    <w:rsid w:val="0050269A"/>
    <w:rsid w:val="0050394B"/>
    <w:rsid w:val="0050485C"/>
    <w:rsid w:val="00510886"/>
    <w:rsid w:val="005117C7"/>
    <w:rsid w:val="005117FC"/>
    <w:rsid w:val="00511CCB"/>
    <w:rsid w:val="005144E2"/>
    <w:rsid w:val="005157BD"/>
    <w:rsid w:val="00525066"/>
    <w:rsid w:val="00525525"/>
    <w:rsid w:val="00531113"/>
    <w:rsid w:val="00531750"/>
    <w:rsid w:val="00531899"/>
    <w:rsid w:val="00533D48"/>
    <w:rsid w:val="00536874"/>
    <w:rsid w:val="00541743"/>
    <w:rsid w:val="00541C90"/>
    <w:rsid w:val="00550167"/>
    <w:rsid w:val="00550EA7"/>
    <w:rsid w:val="005527C2"/>
    <w:rsid w:val="005527E8"/>
    <w:rsid w:val="00552C0F"/>
    <w:rsid w:val="00552E83"/>
    <w:rsid w:val="005537A9"/>
    <w:rsid w:val="00554576"/>
    <w:rsid w:val="00554740"/>
    <w:rsid w:val="00554A01"/>
    <w:rsid w:val="00554D5A"/>
    <w:rsid w:val="00555C6D"/>
    <w:rsid w:val="00556163"/>
    <w:rsid w:val="0055674A"/>
    <w:rsid w:val="005569D2"/>
    <w:rsid w:val="00560380"/>
    <w:rsid w:val="00563E46"/>
    <w:rsid w:val="005652F3"/>
    <w:rsid w:val="00565877"/>
    <w:rsid w:val="0057054F"/>
    <w:rsid w:val="005719A5"/>
    <w:rsid w:val="005730EB"/>
    <w:rsid w:val="00573D94"/>
    <w:rsid w:val="0057446D"/>
    <w:rsid w:val="00574FEB"/>
    <w:rsid w:val="00576E51"/>
    <w:rsid w:val="0057722C"/>
    <w:rsid w:val="0057778D"/>
    <w:rsid w:val="00580C4E"/>
    <w:rsid w:val="0058120C"/>
    <w:rsid w:val="00581F62"/>
    <w:rsid w:val="005835E8"/>
    <w:rsid w:val="00592210"/>
    <w:rsid w:val="00593C8C"/>
    <w:rsid w:val="00596628"/>
    <w:rsid w:val="00596B5B"/>
    <w:rsid w:val="005A0FE4"/>
    <w:rsid w:val="005A1A0C"/>
    <w:rsid w:val="005A32CD"/>
    <w:rsid w:val="005A63C3"/>
    <w:rsid w:val="005A678B"/>
    <w:rsid w:val="005A68C3"/>
    <w:rsid w:val="005A7B05"/>
    <w:rsid w:val="005B01F0"/>
    <w:rsid w:val="005B026A"/>
    <w:rsid w:val="005B170E"/>
    <w:rsid w:val="005B1FBC"/>
    <w:rsid w:val="005B3ED3"/>
    <w:rsid w:val="005B69A6"/>
    <w:rsid w:val="005B7E35"/>
    <w:rsid w:val="005C00ED"/>
    <w:rsid w:val="005C7932"/>
    <w:rsid w:val="005D10E9"/>
    <w:rsid w:val="005D1B8D"/>
    <w:rsid w:val="005D228D"/>
    <w:rsid w:val="005D22C2"/>
    <w:rsid w:val="005D3925"/>
    <w:rsid w:val="005D3E09"/>
    <w:rsid w:val="005D4A12"/>
    <w:rsid w:val="005D50E2"/>
    <w:rsid w:val="005D563C"/>
    <w:rsid w:val="005D58C6"/>
    <w:rsid w:val="005E1363"/>
    <w:rsid w:val="005E2469"/>
    <w:rsid w:val="005E32C5"/>
    <w:rsid w:val="005E4EC5"/>
    <w:rsid w:val="005E60CE"/>
    <w:rsid w:val="005E7F3C"/>
    <w:rsid w:val="005F0032"/>
    <w:rsid w:val="005F047C"/>
    <w:rsid w:val="005F09C0"/>
    <w:rsid w:val="005F127C"/>
    <w:rsid w:val="005F2047"/>
    <w:rsid w:val="005F300F"/>
    <w:rsid w:val="005F4313"/>
    <w:rsid w:val="005F59F8"/>
    <w:rsid w:val="005F5C6F"/>
    <w:rsid w:val="005F5DDE"/>
    <w:rsid w:val="00600026"/>
    <w:rsid w:val="00600B4E"/>
    <w:rsid w:val="00600FE0"/>
    <w:rsid w:val="0060107F"/>
    <w:rsid w:val="006013D5"/>
    <w:rsid w:val="006017D8"/>
    <w:rsid w:val="00601F78"/>
    <w:rsid w:val="006030C5"/>
    <w:rsid w:val="006043E4"/>
    <w:rsid w:val="00604FE9"/>
    <w:rsid w:val="006059BE"/>
    <w:rsid w:val="00605EE3"/>
    <w:rsid w:val="006070E4"/>
    <w:rsid w:val="00607E44"/>
    <w:rsid w:val="006103DA"/>
    <w:rsid w:val="00610458"/>
    <w:rsid w:val="00612253"/>
    <w:rsid w:val="0061254B"/>
    <w:rsid w:val="0061277A"/>
    <w:rsid w:val="00613A27"/>
    <w:rsid w:val="00614459"/>
    <w:rsid w:val="00615D5D"/>
    <w:rsid w:val="00616D91"/>
    <w:rsid w:val="006201D9"/>
    <w:rsid w:val="00623925"/>
    <w:rsid w:val="00623D23"/>
    <w:rsid w:val="006317EE"/>
    <w:rsid w:val="00632401"/>
    <w:rsid w:val="00634979"/>
    <w:rsid w:val="00635925"/>
    <w:rsid w:val="00637E72"/>
    <w:rsid w:val="0064141F"/>
    <w:rsid w:val="006436AB"/>
    <w:rsid w:val="00651115"/>
    <w:rsid w:val="00651F59"/>
    <w:rsid w:val="00656400"/>
    <w:rsid w:val="00656DD7"/>
    <w:rsid w:val="00657792"/>
    <w:rsid w:val="00660850"/>
    <w:rsid w:val="006618FE"/>
    <w:rsid w:val="006628D2"/>
    <w:rsid w:val="0066421A"/>
    <w:rsid w:val="0066519A"/>
    <w:rsid w:val="00665993"/>
    <w:rsid w:val="00667894"/>
    <w:rsid w:val="00667C93"/>
    <w:rsid w:val="00673487"/>
    <w:rsid w:val="00675D36"/>
    <w:rsid w:val="00677BA3"/>
    <w:rsid w:val="00680498"/>
    <w:rsid w:val="006819A8"/>
    <w:rsid w:val="00682D08"/>
    <w:rsid w:val="00684977"/>
    <w:rsid w:val="00687A8C"/>
    <w:rsid w:val="00690890"/>
    <w:rsid w:val="00691930"/>
    <w:rsid w:val="00691931"/>
    <w:rsid w:val="00691D0A"/>
    <w:rsid w:val="00695A4C"/>
    <w:rsid w:val="006A02AD"/>
    <w:rsid w:val="006A0C00"/>
    <w:rsid w:val="006A0CED"/>
    <w:rsid w:val="006A420F"/>
    <w:rsid w:val="006A4A32"/>
    <w:rsid w:val="006A602A"/>
    <w:rsid w:val="006A7FD1"/>
    <w:rsid w:val="006B276F"/>
    <w:rsid w:val="006B4383"/>
    <w:rsid w:val="006B4687"/>
    <w:rsid w:val="006B6A4E"/>
    <w:rsid w:val="006B7A28"/>
    <w:rsid w:val="006B7BEB"/>
    <w:rsid w:val="006C0A38"/>
    <w:rsid w:val="006C0BA8"/>
    <w:rsid w:val="006C1082"/>
    <w:rsid w:val="006C203B"/>
    <w:rsid w:val="006C2668"/>
    <w:rsid w:val="006C5352"/>
    <w:rsid w:val="006C6D91"/>
    <w:rsid w:val="006C73E4"/>
    <w:rsid w:val="006C7FAE"/>
    <w:rsid w:val="006D1438"/>
    <w:rsid w:val="006D4103"/>
    <w:rsid w:val="006D428E"/>
    <w:rsid w:val="006D5662"/>
    <w:rsid w:val="006D61DF"/>
    <w:rsid w:val="006E4128"/>
    <w:rsid w:val="006E659C"/>
    <w:rsid w:val="006E7318"/>
    <w:rsid w:val="006F229C"/>
    <w:rsid w:val="006F3983"/>
    <w:rsid w:val="006F3C3D"/>
    <w:rsid w:val="006F44E2"/>
    <w:rsid w:val="006F48E3"/>
    <w:rsid w:val="006F5AE9"/>
    <w:rsid w:val="006F7AB4"/>
    <w:rsid w:val="006F7D1E"/>
    <w:rsid w:val="0070012E"/>
    <w:rsid w:val="00700E42"/>
    <w:rsid w:val="007016D9"/>
    <w:rsid w:val="007024EC"/>
    <w:rsid w:val="0070351A"/>
    <w:rsid w:val="007038C1"/>
    <w:rsid w:val="00707BA0"/>
    <w:rsid w:val="00707BAF"/>
    <w:rsid w:val="00710FCD"/>
    <w:rsid w:val="007117C8"/>
    <w:rsid w:val="00711A34"/>
    <w:rsid w:val="0071538B"/>
    <w:rsid w:val="00721D04"/>
    <w:rsid w:val="00731819"/>
    <w:rsid w:val="00731C3B"/>
    <w:rsid w:val="00733734"/>
    <w:rsid w:val="00733A92"/>
    <w:rsid w:val="0073688A"/>
    <w:rsid w:val="00737D35"/>
    <w:rsid w:val="00740FCF"/>
    <w:rsid w:val="00741763"/>
    <w:rsid w:val="00743E4F"/>
    <w:rsid w:val="00744A87"/>
    <w:rsid w:val="00744AAD"/>
    <w:rsid w:val="0075010D"/>
    <w:rsid w:val="0075018C"/>
    <w:rsid w:val="007504A4"/>
    <w:rsid w:val="007514CF"/>
    <w:rsid w:val="00751BE0"/>
    <w:rsid w:val="00751E8B"/>
    <w:rsid w:val="00752490"/>
    <w:rsid w:val="00752A22"/>
    <w:rsid w:val="00753E6E"/>
    <w:rsid w:val="0075462B"/>
    <w:rsid w:val="00757749"/>
    <w:rsid w:val="007609B1"/>
    <w:rsid w:val="00762E89"/>
    <w:rsid w:val="00763255"/>
    <w:rsid w:val="00764D97"/>
    <w:rsid w:val="007664DF"/>
    <w:rsid w:val="007711EC"/>
    <w:rsid w:val="0077251A"/>
    <w:rsid w:val="00772EB6"/>
    <w:rsid w:val="00773505"/>
    <w:rsid w:val="0077780C"/>
    <w:rsid w:val="007813A6"/>
    <w:rsid w:val="007825C9"/>
    <w:rsid w:val="00783B4E"/>
    <w:rsid w:val="00790BA4"/>
    <w:rsid w:val="00791039"/>
    <w:rsid w:val="00791241"/>
    <w:rsid w:val="007913BD"/>
    <w:rsid w:val="0079285B"/>
    <w:rsid w:val="00794144"/>
    <w:rsid w:val="00794AB5"/>
    <w:rsid w:val="007953FD"/>
    <w:rsid w:val="00795933"/>
    <w:rsid w:val="00795B7B"/>
    <w:rsid w:val="007A23F2"/>
    <w:rsid w:val="007A2DA0"/>
    <w:rsid w:val="007A32B6"/>
    <w:rsid w:val="007A3C3F"/>
    <w:rsid w:val="007A3DD8"/>
    <w:rsid w:val="007A6D1E"/>
    <w:rsid w:val="007B170D"/>
    <w:rsid w:val="007B2A80"/>
    <w:rsid w:val="007B40FA"/>
    <w:rsid w:val="007B48FD"/>
    <w:rsid w:val="007B4E4F"/>
    <w:rsid w:val="007B4EB6"/>
    <w:rsid w:val="007B7173"/>
    <w:rsid w:val="007B776E"/>
    <w:rsid w:val="007C1BDF"/>
    <w:rsid w:val="007C2385"/>
    <w:rsid w:val="007C292D"/>
    <w:rsid w:val="007C5916"/>
    <w:rsid w:val="007C6211"/>
    <w:rsid w:val="007C65F7"/>
    <w:rsid w:val="007C76D9"/>
    <w:rsid w:val="007D1AFC"/>
    <w:rsid w:val="007D5EB7"/>
    <w:rsid w:val="007E0519"/>
    <w:rsid w:val="007E1992"/>
    <w:rsid w:val="007E2986"/>
    <w:rsid w:val="007E3490"/>
    <w:rsid w:val="007E5F1D"/>
    <w:rsid w:val="007E7902"/>
    <w:rsid w:val="007E7D49"/>
    <w:rsid w:val="007E7E44"/>
    <w:rsid w:val="007F23FD"/>
    <w:rsid w:val="007F59E0"/>
    <w:rsid w:val="007F6A03"/>
    <w:rsid w:val="007F76D1"/>
    <w:rsid w:val="00802D43"/>
    <w:rsid w:val="00805F71"/>
    <w:rsid w:val="00807619"/>
    <w:rsid w:val="008112C0"/>
    <w:rsid w:val="0081215C"/>
    <w:rsid w:val="00812B23"/>
    <w:rsid w:val="00812BD8"/>
    <w:rsid w:val="00812C8D"/>
    <w:rsid w:val="0081339A"/>
    <w:rsid w:val="00814023"/>
    <w:rsid w:val="008140B1"/>
    <w:rsid w:val="00814242"/>
    <w:rsid w:val="00815117"/>
    <w:rsid w:val="008163B1"/>
    <w:rsid w:val="00821DC0"/>
    <w:rsid w:val="00832B21"/>
    <w:rsid w:val="00834012"/>
    <w:rsid w:val="00834C18"/>
    <w:rsid w:val="0083544F"/>
    <w:rsid w:val="008361AC"/>
    <w:rsid w:val="00836A6A"/>
    <w:rsid w:val="00842916"/>
    <w:rsid w:val="00843AE4"/>
    <w:rsid w:val="008476CD"/>
    <w:rsid w:val="00847BA9"/>
    <w:rsid w:val="00850559"/>
    <w:rsid w:val="00851B55"/>
    <w:rsid w:val="0085219F"/>
    <w:rsid w:val="00852752"/>
    <w:rsid w:val="008527C0"/>
    <w:rsid w:val="00853A85"/>
    <w:rsid w:val="008543A4"/>
    <w:rsid w:val="0085660C"/>
    <w:rsid w:val="00857463"/>
    <w:rsid w:val="00857FE0"/>
    <w:rsid w:val="00864E6F"/>
    <w:rsid w:val="00871532"/>
    <w:rsid w:val="008739ED"/>
    <w:rsid w:val="008751C9"/>
    <w:rsid w:val="00875312"/>
    <w:rsid w:val="00876FD2"/>
    <w:rsid w:val="00877B2C"/>
    <w:rsid w:val="00877D44"/>
    <w:rsid w:val="0088016E"/>
    <w:rsid w:val="0088121F"/>
    <w:rsid w:val="00883D4A"/>
    <w:rsid w:val="00884CFC"/>
    <w:rsid w:val="00886126"/>
    <w:rsid w:val="0088760E"/>
    <w:rsid w:val="00887A5C"/>
    <w:rsid w:val="0089096C"/>
    <w:rsid w:val="0089686E"/>
    <w:rsid w:val="00896940"/>
    <w:rsid w:val="008A0EC6"/>
    <w:rsid w:val="008A1B65"/>
    <w:rsid w:val="008A65D8"/>
    <w:rsid w:val="008B2409"/>
    <w:rsid w:val="008B27C3"/>
    <w:rsid w:val="008B2BA2"/>
    <w:rsid w:val="008B365B"/>
    <w:rsid w:val="008B384F"/>
    <w:rsid w:val="008B3D03"/>
    <w:rsid w:val="008B5148"/>
    <w:rsid w:val="008B6CB9"/>
    <w:rsid w:val="008B7FA5"/>
    <w:rsid w:val="008C099E"/>
    <w:rsid w:val="008C4180"/>
    <w:rsid w:val="008C449D"/>
    <w:rsid w:val="008C509E"/>
    <w:rsid w:val="008C6DB3"/>
    <w:rsid w:val="008D2AC1"/>
    <w:rsid w:val="008D3F5B"/>
    <w:rsid w:val="008D502F"/>
    <w:rsid w:val="008E12F1"/>
    <w:rsid w:val="008E16FA"/>
    <w:rsid w:val="008E3238"/>
    <w:rsid w:val="008E3BE9"/>
    <w:rsid w:val="008E6382"/>
    <w:rsid w:val="008F1360"/>
    <w:rsid w:val="008F2F2F"/>
    <w:rsid w:val="008F4444"/>
    <w:rsid w:val="008F44C7"/>
    <w:rsid w:val="008F4E84"/>
    <w:rsid w:val="008F5C38"/>
    <w:rsid w:val="008F6A58"/>
    <w:rsid w:val="008F6C18"/>
    <w:rsid w:val="008F7061"/>
    <w:rsid w:val="008F7D2B"/>
    <w:rsid w:val="00901116"/>
    <w:rsid w:val="00906652"/>
    <w:rsid w:val="00911B6F"/>
    <w:rsid w:val="00913951"/>
    <w:rsid w:val="00914F05"/>
    <w:rsid w:val="00922BD4"/>
    <w:rsid w:val="00922EC0"/>
    <w:rsid w:val="0092747F"/>
    <w:rsid w:val="00930725"/>
    <w:rsid w:val="00931B96"/>
    <w:rsid w:val="00932444"/>
    <w:rsid w:val="00933F3A"/>
    <w:rsid w:val="0093440B"/>
    <w:rsid w:val="009344DD"/>
    <w:rsid w:val="0093581C"/>
    <w:rsid w:val="00936049"/>
    <w:rsid w:val="009366FD"/>
    <w:rsid w:val="00936B8B"/>
    <w:rsid w:val="00936BDE"/>
    <w:rsid w:val="00937E9B"/>
    <w:rsid w:val="009514B3"/>
    <w:rsid w:val="009540BB"/>
    <w:rsid w:val="009549C3"/>
    <w:rsid w:val="00960008"/>
    <w:rsid w:val="00961367"/>
    <w:rsid w:val="00963326"/>
    <w:rsid w:val="0096354A"/>
    <w:rsid w:val="00963EB2"/>
    <w:rsid w:val="00964723"/>
    <w:rsid w:val="0096702F"/>
    <w:rsid w:val="009716DD"/>
    <w:rsid w:val="009763E0"/>
    <w:rsid w:val="00976D96"/>
    <w:rsid w:val="00980F81"/>
    <w:rsid w:val="00981280"/>
    <w:rsid w:val="00981B1E"/>
    <w:rsid w:val="00982852"/>
    <w:rsid w:val="009828DB"/>
    <w:rsid w:val="00984802"/>
    <w:rsid w:val="00984AD4"/>
    <w:rsid w:val="009865C7"/>
    <w:rsid w:val="00986A8D"/>
    <w:rsid w:val="009875E1"/>
    <w:rsid w:val="00987742"/>
    <w:rsid w:val="0099180D"/>
    <w:rsid w:val="00995230"/>
    <w:rsid w:val="00995B2A"/>
    <w:rsid w:val="009A4E5E"/>
    <w:rsid w:val="009A66FB"/>
    <w:rsid w:val="009B082E"/>
    <w:rsid w:val="009B1594"/>
    <w:rsid w:val="009B2F61"/>
    <w:rsid w:val="009B55AE"/>
    <w:rsid w:val="009B6144"/>
    <w:rsid w:val="009B72EE"/>
    <w:rsid w:val="009B7A5E"/>
    <w:rsid w:val="009C0541"/>
    <w:rsid w:val="009C2E7C"/>
    <w:rsid w:val="009C50B2"/>
    <w:rsid w:val="009C6DDA"/>
    <w:rsid w:val="009C6F64"/>
    <w:rsid w:val="009C7193"/>
    <w:rsid w:val="009C78F7"/>
    <w:rsid w:val="009D0D1B"/>
    <w:rsid w:val="009D1861"/>
    <w:rsid w:val="009D4C51"/>
    <w:rsid w:val="009D657D"/>
    <w:rsid w:val="009E2815"/>
    <w:rsid w:val="009E3777"/>
    <w:rsid w:val="009E6903"/>
    <w:rsid w:val="009E746E"/>
    <w:rsid w:val="009E7481"/>
    <w:rsid w:val="009F0B88"/>
    <w:rsid w:val="009F11CC"/>
    <w:rsid w:val="009F1630"/>
    <w:rsid w:val="009F44F4"/>
    <w:rsid w:val="009F5644"/>
    <w:rsid w:val="009F65E4"/>
    <w:rsid w:val="009F71E8"/>
    <w:rsid w:val="009F7780"/>
    <w:rsid w:val="00A01665"/>
    <w:rsid w:val="00A02414"/>
    <w:rsid w:val="00A02FA8"/>
    <w:rsid w:val="00A03651"/>
    <w:rsid w:val="00A044B8"/>
    <w:rsid w:val="00A05110"/>
    <w:rsid w:val="00A1037C"/>
    <w:rsid w:val="00A106EF"/>
    <w:rsid w:val="00A10A75"/>
    <w:rsid w:val="00A1163B"/>
    <w:rsid w:val="00A21E75"/>
    <w:rsid w:val="00A21F0A"/>
    <w:rsid w:val="00A2205B"/>
    <w:rsid w:val="00A23EA3"/>
    <w:rsid w:val="00A25709"/>
    <w:rsid w:val="00A274DA"/>
    <w:rsid w:val="00A33B86"/>
    <w:rsid w:val="00A41011"/>
    <w:rsid w:val="00A410D3"/>
    <w:rsid w:val="00A41D13"/>
    <w:rsid w:val="00A4689B"/>
    <w:rsid w:val="00A478EC"/>
    <w:rsid w:val="00A50F40"/>
    <w:rsid w:val="00A516ED"/>
    <w:rsid w:val="00A528DB"/>
    <w:rsid w:val="00A562F6"/>
    <w:rsid w:val="00A5724D"/>
    <w:rsid w:val="00A60C54"/>
    <w:rsid w:val="00A61795"/>
    <w:rsid w:val="00A6503D"/>
    <w:rsid w:val="00A65884"/>
    <w:rsid w:val="00A6637B"/>
    <w:rsid w:val="00A70F62"/>
    <w:rsid w:val="00A71130"/>
    <w:rsid w:val="00A71B7F"/>
    <w:rsid w:val="00A71E8A"/>
    <w:rsid w:val="00A762BC"/>
    <w:rsid w:val="00A779C6"/>
    <w:rsid w:val="00A83628"/>
    <w:rsid w:val="00A876B6"/>
    <w:rsid w:val="00A945F1"/>
    <w:rsid w:val="00A953EC"/>
    <w:rsid w:val="00AA0273"/>
    <w:rsid w:val="00AA37B9"/>
    <w:rsid w:val="00AA425F"/>
    <w:rsid w:val="00AA48DE"/>
    <w:rsid w:val="00AB3850"/>
    <w:rsid w:val="00AB4B36"/>
    <w:rsid w:val="00AB539F"/>
    <w:rsid w:val="00AC1D21"/>
    <w:rsid w:val="00AC5939"/>
    <w:rsid w:val="00AC605B"/>
    <w:rsid w:val="00AC6CAC"/>
    <w:rsid w:val="00AC7C0F"/>
    <w:rsid w:val="00AD0052"/>
    <w:rsid w:val="00AD142B"/>
    <w:rsid w:val="00AD1ECD"/>
    <w:rsid w:val="00AD2303"/>
    <w:rsid w:val="00AD4800"/>
    <w:rsid w:val="00AD795D"/>
    <w:rsid w:val="00AE0014"/>
    <w:rsid w:val="00AE1045"/>
    <w:rsid w:val="00AE1335"/>
    <w:rsid w:val="00AE17E8"/>
    <w:rsid w:val="00AE220B"/>
    <w:rsid w:val="00AE3B84"/>
    <w:rsid w:val="00AE4AB7"/>
    <w:rsid w:val="00AE4DEE"/>
    <w:rsid w:val="00AE5B74"/>
    <w:rsid w:val="00AE5C03"/>
    <w:rsid w:val="00AF18C7"/>
    <w:rsid w:val="00AF20C3"/>
    <w:rsid w:val="00AF2241"/>
    <w:rsid w:val="00AF320B"/>
    <w:rsid w:val="00AF372A"/>
    <w:rsid w:val="00AF4B40"/>
    <w:rsid w:val="00AF7AA1"/>
    <w:rsid w:val="00B02835"/>
    <w:rsid w:val="00B028B4"/>
    <w:rsid w:val="00B03FDB"/>
    <w:rsid w:val="00B04CA6"/>
    <w:rsid w:val="00B0576C"/>
    <w:rsid w:val="00B14332"/>
    <w:rsid w:val="00B17FDF"/>
    <w:rsid w:val="00B20287"/>
    <w:rsid w:val="00B20407"/>
    <w:rsid w:val="00B238F5"/>
    <w:rsid w:val="00B274CB"/>
    <w:rsid w:val="00B30893"/>
    <w:rsid w:val="00B312C2"/>
    <w:rsid w:val="00B324EE"/>
    <w:rsid w:val="00B34A2B"/>
    <w:rsid w:val="00B35D55"/>
    <w:rsid w:val="00B36AF5"/>
    <w:rsid w:val="00B4287D"/>
    <w:rsid w:val="00B43571"/>
    <w:rsid w:val="00B44478"/>
    <w:rsid w:val="00B44FC8"/>
    <w:rsid w:val="00B45225"/>
    <w:rsid w:val="00B452E7"/>
    <w:rsid w:val="00B513AB"/>
    <w:rsid w:val="00B51568"/>
    <w:rsid w:val="00B51AD0"/>
    <w:rsid w:val="00B52D5B"/>
    <w:rsid w:val="00B52FC3"/>
    <w:rsid w:val="00B55B78"/>
    <w:rsid w:val="00B56962"/>
    <w:rsid w:val="00B5732C"/>
    <w:rsid w:val="00B57A79"/>
    <w:rsid w:val="00B6193E"/>
    <w:rsid w:val="00B63699"/>
    <w:rsid w:val="00B65E8E"/>
    <w:rsid w:val="00B660D5"/>
    <w:rsid w:val="00B67309"/>
    <w:rsid w:val="00B67962"/>
    <w:rsid w:val="00B718A1"/>
    <w:rsid w:val="00B73A75"/>
    <w:rsid w:val="00B73C8E"/>
    <w:rsid w:val="00B75666"/>
    <w:rsid w:val="00B76637"/>
    <w:rsid w:val="00B779FE"/>
    <w:rsid w:val="00B81778"/>
    <w:rsid w:val="00B82B5F"/>
    <w:rsid w:val="00B83B0C"/>
    <w:rsid w:val="00B85F60"/>
    <w:rsid w:val="00B90A09"/>
    <w:rsid w:val="00B91FC1"/>
    <w:rsid w:val="00B92D25"/>
    <w:rsid w:val="00B93B9F"/>
    <w:rsid w:val="00B959DA"/>
    <w:rsid w:val="00B96275"/>
    <w:rsid w:val="00B97473"/>
    <w:rsid w:val="00BA0ABE"/>
    <w:rsid w:val="00BA6E10"/>
    <w:rsid w:val="00BA6ED0"/>
    <w:rsid w:val="00BA7E27"/>
    <w:rsid w:val="00BB0823"/>
    <w:rsid w:val="00BB2B57"/>
    <w:rsid w:val="00BB3323"/>
    <w:rsid w:val="00BB5533"/>
    <w:rsid w:val="00BB7662"/>
    <w:rsid w:val="00BC0C9C"/>
    <w:rsid w:val="00BC0E74"/>
    <w:rsid w:val="00BC230C"/>
    <w:rsid w:val="00BC3622"/>
    <w:rsid w:val="00BC47EA"/>
    <w:rsid w:val="00BC5164"/>
    <w:rsid w:val="00BC59CC"/>
    <w:rsid w:val="00BC5E50"/>
    <w:rsid w:val="00BC7FA8"/>
    <w:rsid w:val="00BD2715"/>
    <w:rsid w:val="00BD37C2"/>
    <w:rsid w:val="00BD3969"/>
    <w:rsid w:val="00BD43EC"/>
    <w:rsid w:val="00BD4D97"/>
    <w:rsid w:val="00BD6448"/>
    <w:rsid w:val="00BD6937"/>
    <w:rsid w:val="00BE0441"/>
    <w:rsid w:val="00BE2559"/>
    <w:rsid w:val="00BE2D63"/>
    <w:rsid w:val="00BE3576"/>
    <w:rsid w:val="00BE40DB"/>
    <w:rsid w:val="00BE4901"/>
    <w:rsid w:val="00BE5D1C"/>
    <w:rsid w:val="00BE624F"/>
    <w:rsid w:val="00BE66CD"/>
    <w:rsid w:val="00BE6F55"/>
    <w:rsid w:val="00BE7506"/>
    <w:rsid w:val="00BE7AF5"/>
    <w:rsid w:val="00BF2B79"/>
    <w:rsid w:val="00BF3059"/>
    <w:rsid w:val="00BF68F3"/>
    <w:rsid w:val="00BF6C2C"/>
    <w:rsid w:val="00BF6CA1"/>
    <w:rsid w:val="00BF6DF3"/>
    <w:rsid w:val="00C01B79"/>
    <w:rsid w:val="00C04BEF"/>
    <w:rsid w:val="00C05308"/>
    <w:rsid w:val="00C06E80"/>
    <w:rsid w:val="00C074CF"/>
    <w:rsid w:val="00C109A9"/>
    <w:rsid w:val="00C10B5D"/>
    <w:rsid w:val="00C157C1"/>
    <w:rsid w:val="00C16FE8"/>
    <w:rsid w:val="00C224BC"/>
    <w:rsid w:val="00C22915"/>
    <w:rsid w:val="00C22E77"/>
    <w:rsid w:val="00C22F99"/>
    <w:rsid w:val="00C24503"/>
    <w:rsid w:val="00C24997"/>
    <w:rsid w:val="00C25677"/>
    <w:rsid w:val="00C32935"/>
    <w:rsid w:val="00C33BEB"/>
    <w:rsid w:val="00C34C79"/>
    <w:rsid w:val="00C371F8"/>
    <w:rsid w:val="00C37A76"/>
    <w:rsid w:val="00C42329"/>
    <w:rsid w:val="00C44185"/>
    <w:rsid w:val="00C44780"/>
    <w:rsid w:val="00C4751C"/>
    <w:rsid w:val="00C513B7"/>
    <w:rsid w:val="00C51822"/>
    <w:rsid w:val="00C520A2"/>
    <w:rsid w:val="00C531D5"/>
    <w:rsid w:val="00C54B3B"/>
    <w:rsid w:val="00C56021"/>
    <w:rsid w:val="00C5643F"/>
    <w:rsid w:val="00C56FC6"/>
    <w:rsid w:val="00C570BF"/>
    <w:rsid w:val="00C57643"/>
    <w:rsid w:val="00C57AAB"/>
    <w:rsid w:val="00C6119D"/>
    <w:rsid w:val="00C63E7D"/>
    <w:rsid w:val="00C67253"/>
    <w:rsid w:val="00C709EA"/>
    <w:rsid w:val="00C70A41"/>
    <w:rsid w:val="00C714F2"/>
    <w:rsid w:val="00C7157E"/>
    <w:rsid w:val="00C716BA"/>
    <w:rsid w:val="00C71897"/>
    <w:rsid w:val="00C724F7"/>
    <w:rsid w:val="00C77271"/>
    <w:rsid w:val="00C843DE"/>
    <w:rsid w:val="00C858D1"/>
    <w:rsid w:val="00C85996"/>
    <w:rsid w:val="00C868A7"/>
    <w:rsid w:val="00C91944"/>
    <w:rsid w:val="00C919E5"/>
    <w:rsid w:val="00C92365"/>
    <w:rsid w:val="00C928F5"/>
    <w:rsid w:val="00CA0107"/>
    <w:rsid w:val="00CA11E8"/>
    <w:rsid w:val="00CA1672"/>
    <w:rsid w:val="00CA31C4"/>
    <w:rsid w:val="00CA35BB"/>
    <w:rsid w:val="00CA5646"/>
    <w:rsid w:val="00CA62F1"/>
    <w:rsid w:val="00CA67BD"/>
    <w:rsid w:val="00CB0617"/>
    <w:rsid w:val="00CB064E"/>
    <w:rsid w:val="00CB1F8C"/>
    <w:rsid w:val="00CB2A41"/>
    <w:rsid w:val="00CB37C1"/>
    <w:rsid w:val="00CB5821"/>
    <w:rsid w:val="00CB65B9"/>
    <w:rsid w:val="00CB6CD2"/>
    <w:rsid w:val="00CB77D9"/>
    <w:rsid w:val="00CC3027"/>
    <w:rsid w:val="00CC4E24"/>
    <w:rsid w:val="00CC50F4"/>
    <w:rsid w:val="00CC5625"/>
    <w:rsid w:val="00CC579F"/>
    <w:rsid w:val="00CC6B94"/>
    <w:rsid w:val="00CC769D"/>
    <w:rsid w:val="00CD06A2"/>
    <w:rsid w:val="00CD22BF"/>
    <w:rsid w:val="00CD434A"/>
    <w:rsid w:val="00CD4F62"/>
    <w:rsid w:val="00CD6801"/>
    <w:rsid w:val="00CE15EC"/>
    <w:rsid w:val="00CE1CD5"/>
    <w:rsid w:val="00CE2A5B"/>
    <w:rsid w:val="00CE45BB"/>
    <w:rsid w:val="00CE49F5"/>
    <w:rsid w:val="00CE5A1D"/>
    <w:rsid w:val="00CF00F8"/>
    <w:rsid w:val="00CF2AC7"/>
    <w:rsid w:val="00CF43E2"/>
    <w:rsid w:val="00CF4E08"/>
    <w:rsid w:val="00CF592A"/>
    <w:rsid w:val="00D0070E"/>
    <w:rsid w:val="00D0146B"/>
    <w:rsid w:val="00D02B67"/>
    <w:rsid w:val="00D07C3E"/>
    <w:rsid w:val="00D11010"/>
    <w:rsid w:val="00D1206E"/>
    <w:rsid w:val="00D14F59"/>
    <w:rsid w:val="00D15948"/>
    <w:rsid w:val="00D223E9"/>
    <w:rsid w:val="00D237B4"/>
    <w:rsid w:val="00D26835"/>
    <w:rsid w:val="00D31AE2"/>
    <w:rsid w:val="00D33F01"/>
    <w:rsid w:val="00D34365"/>
    <w:rsid w:val="00D34694"/>
    <w:rsid w:val="00D353E9"/>
    <w:rsid w:val="00D433A3"/>
    <w:rsid w:val="00D43DB6"/>
    <w:rsid w:val="00D46CCE"/>
    <w:rsid w:val="00D4751E"/>
    <w:rsid w:val="00D505BC"/>
    <w:rsid w:val="00D51E8D"/>
    <w:rsid w:val="00D529EE"/>
    <w:rsid w:val="00D53DDB"/>
    <w:rsid w:val="00D56B1B"/>
    <w:rsid w:val="00D57F16"/>
    <w:rsid w:val="00D60713"/>
    <w:rsid w:val="00D607DC"/>
    <w:rsid w:val="00D60EDF"/>
    <w:rsid w:val="00D611E3"/>
    <w:rsid w:val="00D63C6A"/>
    <w:rsid w:val="00D63E3A"/>
    <w:rsid w:val="00D640CF"/>
    <w:rsid w:val="00D6463B"/>
    <w:rsid w:val="00D675E0"/>
    <w:rsid w:val="00D71331"/>
    <w:rsid w:val="00D8067F"/>
    <w:rsid w:val="00D80AF0"/>
    <w:rsid w:val="00D8179D"/>
    <w:rsid w:val="00D84F28"/>
    <w:rsid w:val="00D91B1F"/>
    <w:rsid w:val="00D94F32"/>
    <w:rsid w:val="00DA1D28"/>
    <w:rsid w:val="00DA2FCE"/>
    <w:rsid w:val="00DA537E"/>
    <w:rsid w:val="00DA54D2"/>
    <w:rsid w:val="00DA5BC9"/>
    <w:rsid w:val="00DA5FF0"/>
    <w:rsid w:val="00DB0709"/>
    <w:rsid w:val="00DB13CA"/>
    <w:rsid w:val="00DB178D"/>
    <w:rsid w:val="00DB217B"/>
    <w:rsid w:val="00DB4C8A"/>
    <w:rsid w:val="00DB622B"/>
    <w:rsid w:val="00DB66B0"/>
    <w:rsid w:val="00DB73FC"/>
    <w:rsid w:val="00DC1335"/>
    <w:rsid w:val="00DC3875"/>
    <w:rsid w:val="00DC4DE8"/>
    <w:rsid w:val="00DC6486"/>
    <w:rsid w:val="00DD19D1"/>
    <w:rsid w:val="00DD219B"/>
    <w:rsid w:val="00DD23A6"/>
    <w:rsid w:val="00DD265B"/>
    <w:rsid w:val="00DD29F7"/>
    <w:rsid w:val="00DD41C6"/>
    <w:rsid w:val="00DD6B97"/>
    <w:rsid w:val="00DD73F0"/>
    <w:rsid w:val="00DD7D4C"/>
    <w:rsid w:val="00DE240F"/>
    <w:rsid w:val="00DE31BC"/>
    <w:rsid w:val="00DE401F"/>
    <w:rsid w:val="00DE463F"/>
    <w:rsid w:val="00DF0295"/>
    <w:rsid w:val="00DF0A27"/>
    <w:rsid w:val="00DF0DA1"/>
    <w:rsid w:val="00DF4A2A"/>
    <w:rsid w:val="00DF4BA4"/>
    <w:rsid w:val="00DF73D3"/>
    <w:rsid w:val="00DF7D30"/>
    <w:rsid w:val="00E01136"/>
    <w:rsid w:val="00E0128D"/>
    <w:rsid w:val="00E030EE"/>
    <w:rsid w:val="00E071DE"/>
    <w:rsid w:val="00E13637"/>
    <w:rsid w:val="00E1379E"/>
    <w:rsid w:val="00E14369"/>
    <w:rsid w:val="00E14A4A"/>
    <w:rsid w:val="00E15616"/>
    <w:rsid w:val="00E159F4"/>
    <w:rsid w:val="00E16F60"/>
    <w:rsid w:val="00E20455"/>
    <w:rsid w:val="00E20A56"/>
    <w:rsid w:val="00E2385D"/>
    <w:rsid w:val="00E23FAE"/>
    <w:rsid w:val="00E2627C"/>
    <w:rsid w:val="00E26B17"/>
    <w:rsid w:val="00E26F4A"/>
    <w:rsid w:val="00E274EF"/>
    <w:rsid w:val="00E30366"/>
    <w:rsid w:val="00E30BA0"/>
    <w:rsid w:val="00E33AD3"/>
    <w:rsid w:val="00E3480F"/>
    <w:rsid w:val="00E36DCD"/>
    <w:rsid w:val="00E41C0B"/>
    <w:rsid w:val="00E41CED"/>
    <w:rsid w:val="00E41E71"/>
    <w:rsid w:val="00E44C52"/>
    <w:rsid w:val="00E452BB"/>
    <w:rsid w:val="00E469CA"/>
    <w:rsid w:val="00E46F06"/>
    <w:rsid w:val="00E477CD"/>
    <w:rsid w:val="00E47933"/>
    <w:rsid w:val="00E52519"/>
    <w:rsid w:val="00E53E8E"/>
    <w:rsid w:val="00E56201"/>
    <w:rsid w:val="00E56F5E"/>
    <w:rsid w:val="00E5775C"/>
    <w:rsid w:val="00E61166"/>
    <w:rsid w:val="00E62B27"/>
    <w:rsid w:val="00E6336E"/>
    <w:rsid w:val="00E659D8"/>
    <w:rsid w:val="00E67295"/>
    <w:rsid w:val="00E73BF2"/>
    <w:rsid w:val="00E75969"/>
    <w:rsid w:val="00E75F47"/>
    <w:rsid w:val="00E7757F"/>
    <w:rsid w:val="00E84543"/>
    <w:rsid w:val="00E84BA6"/>
    <w:rsid w:val="00E85194"/>
    <w:rsid w:val="00E855F6"/>
    <w:rsid w:val="00E86C62"/>
    <w:rsid w:val="00E90FA2"/>
    <w:rsid w:val="00E92A44"/>
    <w:rsid w:val="00E9388B"/>
    <w:rsid w:val="00E956BC"/>
    <w:rsid w:val="00E9666A"/>
    <w:rsid w:val="00E96DEA"/>
    <w:rsid w:val="00E96E88"/>
    <w:rsid w:val="00E97A33"/>
    <w:rsid w:val="00EA14FF"/>
    <w:rsid w:val="00EA1B66"/>
    <w:rsid w:val="00EA30BA"/>
    <w:rsid w:val="00EA3620"/>
    <w:rsid w:val="00EA5AAC"/>
    <w:rsid w:val="00EA63D5"/>
    <w:rsid w:val="00EB281D"/>
    <w:rsid w:val="00EB362C"/>
    <w:rsid w:val="00EB42A1"/>
    <w:rsid w:val="00EB4548"/>
    <w:rsid w:val="00EB4B86"/>
    <w:rsid w:val="00EB4FDC"/>
    <w:rsid w:val="00EC0027"/>
    <w:rsid w:val="00EC1425"/>
    <w:rsid w:val="00EC4631"/>
    <w:rsid w:val="00EC5538"/>
    <w:rsid w:val="00EC607C"/>
    <w:rsid w:val="00ED43AE"/>
    <w:rsid w:val="00ED5139"/>
    <w:rsid w:val="00EE0792"/>
    <w:rsid w:val="00EE1C9B"/>
    <w:rsid w:val="00EE226A"/>
    <w:rsid w:val="00EE26F6"/>
    <w:rsid w:val="00EE3A0E"/>
    <w:rsid w:val="00EE49FD"/>
    <w:rsid w:val="00EF3E9F"/>
    <w:rsid w:val="00EF741C"/>
    <w:rsid w:val="00F01B63"/>
    <w:rsid w:val="00F10DCF"/>
    <w:rsid w:val="00F11864"/>
    <w:rsid w:val="00F12950"/>
    <w:rsid w:val="00F12B02"/>
    <w:rsid w:val="00F13A5B"/>
    <w:rsid w:val="00F13C73"/>
    <w:rsid w:val="00F15E35"/>
    <w:rsid w:val="00F16089"/>
    <w:rsid w:val="00F168A6"/>
    <w:rsid w:val="00F16E87"/>
    <w:rsid w:val="00F21315"/>
    <w:rsid w:val="00F214A6"/>
    <w:rsid w:val="00F23E52"/>
    <w:rsid w:val="00F24D46"/>
    <w:rsid w:val="00F250CF"/>
    <w:rsid w:val="00F32928"/>
    <w:rsid w:val="00F32B4E"/>
    <w:rsid w:val="00F34696"/>
    <w:rsid w:val="00F34E5F"/>
    <w:rsid w:val="00F35A2A"/>
    <w:rsid w:val="00F36B76"/>
    <w:rsid w:val="00F37687"/>
    <w:rsid w:val="00F41E30"/>
    <w:rsid w:val="00F4273C"/>
    <w:rsid w:val="00F4355D"/>
    <w:rsid w:val="00F43FD5"/>
    <w:rsid w:val="00F4535E"/>
    <w:rsid w:val="00F4626B"/>
    <w:rsid w:val="00F468BA"/>
    <w:rsid w:val="00F46DC4"/>
    <w:rsid w:val="00F50398"/>
    <w:rsid w:val="00F53548"/>
    <w:rsid w:val="00F55CC7"/>
    <w:rsid w:val="00F55FE8"/>
    <w:rsid w:val="00F56320"/>
    <w:rsid w:val="00F57BAF"/>
    <w:rsid w:val="00F61780"/>
    <w:rsid w:val="00F627C6"/>
    <w:rsid w:val="00F62F23"/>
    <w:rsid w:val="00F66F23"/>
    <w:rsid w:val="00F7042D"/>
    <w:rsid w:val="00F72C1D"/>
    <w:rsid w:val="00F74131"/>
    <w:rsid w:val="00F75BAC"/>
    <w:rsid w:val="00F76032"/>
    <w:rsid w:val="00F812E4"/>
    <w:rsid w:val="00F85D25"/>
    <w:rsid w:val="00F864D3"/>
    <w:rsid w:val="00F91019"/>
    <w:rsid w:val="00F92A8D"/>
    <w:rsid w:val="00F93653"/>
    <w:rsid w:val="00F942C8"/>
    <w:rsid w:val="00F95BD3"/>
    <w:rsid w:val="00F961AF"/>
    <w:rsid w:val="00FA2550"/>
    <w:rsid w:val="00FA2826"/>
    <w:rsid w:val="00FA2FB0"/>
    <w:rsid w:val="00FA2FE2"/>
    <w:rsid w:val="00FA4658"/>
    <w:rsid w:val="00FB1C59"/>
    <w:rsid w:val="00FB2060"/>
    <w:rsid w:val="00FB2949"/>
    <w:rsid w:val="00FB2E99"/>
    <w:rsid w:val="00FB3167"/>
    <w:rsid w:val="00FB31C6"/>
    <w:rsid w:val="00FB571C"/>
    <w:rsid w:val="00FC00AA"/>
    <w:rsid w:val="00FC0C46"/>
    <w:rsid w:val="00FC1703"/>
    <w:rsid w:val="00FC42D1"/>
    <w:rsid w:val="00FC6474"/>
    <w:rsid w:val="00FC66ED"/>
    <w:rsid w:val="00FC776A"/>
    <w:rsid w:val="00FC7798"/>
    <w:rsid w:val="00FD2CDE"/>
    <w:rsid w:val="00FD3521"/>
    <w:rsid w:val="00FD3859"/>
    <w:rsid w:val="00FD532E"/>
    <w:rsid w:val="00FD6066"/>
    <w:rsid w:val="00FD74B5"/>
    <w:rsid w:val="00FD7917"/>
    <w:rsid w:val="00FE4B05"/>
    <w:rsid w:val="00FE51AD"/>
    <w:rsid w:val="00FE54E0"/>
    <w:rsid w:val="00FF1201"/>
    <w:rsid w:val="00FF1767"/>
    <w:rsid w:val="00FF5BF6"/>
    <w:rsid w:val="00FF6FA2"/>
    <w:rsid w:val="00FF7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2BCB2"/>
  <w15:chartTrackingRefBased/>
  <w15:docId w15:val="{C965557A-E2DC-4134-8CCC-DDE694E7F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659D6"/>
  </w:style>
  <w:style w:type="paragraph" w:styleId="Heading1">
    <w:name w:val="heading 1"/>
    <w:basedOn w:val="Normal"/>
    <w:next w:val="Normal"/>
    <w:link w:val="Heading1Char"/>
    <w:uiPriority w:val="9"/>
    <w:qFormat/>
    <w:rsid w:val="000659D6"/>
    <w:pPr>
      <w:keepNext/>
      <w:keepLines/>
      <w:spacing w:before="240" w:after="0" w:line="480" w:lineRule="auto"/>
      <w:jc w:val="center"/>
      <w:outlineLvl w:val="0"/>
    </w:pPr>
    <w:rPr>
      <w:rFonts w:ascii="Times New Roman" w:eastAsiaTheme="majorEastAsia" w:hAnsi="Times New Roman" w:cstheme="majorBidi"/>
      <w:b/>
      <w:color w:val="000000" w:themeColor="text1"/>
      <w:sz w:val="28"/>
      <w:szCs w:val="32"/>
    </w:rPr>
  </w:style>
  <w:style w:type="paragraph" w:styleId="Heading2">
    <w:name w:val="heading 2"/>
    <w:basedOn w:val="Normal"/>
    <w:next w:val="Normal"/>
    <w:link w:val="Heading2Char"/>
    <w:uiPriority w:val="9"/>
    <w:unhideWhenUsed/>
    <w:qFormat/>
    <w:rsid w:val="00744AAD"/>
    <w:pPr>
      <w:keepNext/>
      <w:keepLines/>
      <w:spacing w:before="160" w:after="120" w:line="480" w:lineRule="auto"/>
      <w:outlineLvl w:val="1"/>
    </w:pPr>
    <w:rPr>
      <w:rFonts w:ascii="Times New Roman" w:eastAsiaTheme="majorEastAsia" w:hAnsi="Times New Roman" w:cstheme="majorBidi"/>
      <w:b/>
      <w:color w:val="000000" w:themeColor="text1"/>
      <w:sz w:val="26"/>
      <w:szCs w:val="26"/>
    </w:rPr>
  </w:style>
  <w:style w:type="paragraph" w:styleId="Heading3">
    <w:name w:val="heading 3"/>
    <w:basedOn w:val="Normal"/>
    <w:next w:val="Normal"/>
    <w:link w:val="Heading3Char"/>
    <w:uiPriority w:val="9"/>
    <w:unhideWhenUsed/>
    <w:qFormat/>
    <w:rsid w:val="00BD6937"/>
    <w:pPr>
      <w:keepNext/>
      <w:keepLines/>
      <w:numPr>
        <w:ilvl w:val="2"/>
        <w:numId w:val="29"/>
      </w:numPr>
      <w:spacing w:before="40" w:after="0" w:line="480" w:lineRule="auto"/>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FC6474"/>
    <w:pPr>
      <w:keepNext/>
      <w:keepLines/>
      <w:numPr>
        <w:ilvl w:val="2"/>
        <w:numId w:val="15"/>
      </w:numPr>
      <w:spacing w:before="40" w:after="0"/>
      <w:outlineLvl w:val="3"/>
    </w:pPr>
    <w:rPr>
      <w:rFonts w:ascii="Times New Roman" w:eastAsiaTheme="majorEastAsia" w:hAnsi="Times New Roman" w:cs="Times New Roman"/>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9D6"/>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744AAD"/>
    <w:rPr>
      <w:rFonts w:ascii="Times New Roman" w:eastAsiaTheme="majorEastAsia" w:hAnsi="Times New Roman" w:cstheme="majorBidi"/>
      <w:b/>
      <w:color w:val="000000" w:themeColor="text1"/>
      <w:sz w:val="26"/>
      <w:szCs w:val="26"/>
    </w:rPr>
  </w:style>
  <w:style w:type="character" w:customStyle="1" w:styleId="Heading3Char">
    <w:name w:val="Heading 3 Char"/>
    <w:basedOn w:val="DefaultParagraphFont"/>
    <w:link w:val="Heading3"/>
    <w:uiPriority w:val="9"/>
    <w:rsid w:val="00BD6937"/>
    <w:rPr>
      <w:rFonts w:ascii="Times New Roman" w:eastAsiaTheme="majorEastAsia" w:hAnsi="Times New Roman" w:cstheme="majorBidi"/>
      <w:b/>
      <w:color w:val="000000" w:themeColor="text1"/>
      <w:sz w:val="24"/>
      <w:szCs w:val="24"/>
    </w:rPr>
  </w:style>
  <w:style w:type="paragraph" w:styleId="ListParagraph">
    <w:name w:val="List Paragraph"/>
    <w:basedOn w:val="Normal"/>
    <w:uiPriority w:val="34"/>
    <w:qFormat/>
    <w:rsid w:val="000659D6"/>
    <w:pPr>
      <w:ind w:left="720"/>
      <w:contextualSpacing/>
    </w:pPr>
  </w:style>
  <w:style w:type="character" w:styleId="Hyperlink">
    <w:name w:val="Hyperlink"/>
    <w:basedOn w:val="DefaultParagraphFont"/>
    <w:uiPriority w:val="99"/>
    <w:unhideWhenUsed/>
    <w:rsid w:val="000659D6"/>
    <w:rPr>
      <w:color w:val="0563C1" w:themeColor="hyperlink"/>
      <w:u w:val="single"/>
    </w:rPr>
  </w:style>
  <w:style w:type="paragraph" w:styleId="Caption">
    <w:name w:val="caption"/>
    <w:basedOn w:val="Normal"/>
    <w:next w:val="Normal"/>
    <w:autoRedefine/>
    <w:uiPriority w:val="35"/>
    <w:unhideWhenUsed/>
    <w:qFormat/>
    <w:rsid w:val="004F5994"/>
    <w:pPr>
      <w:spacing w:after="200" w:line="240" w:lineRule="auto"/>
      <w:jc w:val="center"/>
    </w:pPr>
    <w:rPr>
      <w:rFonts w:ascii="Times New Roman" w:hAnsi="Times New Roman" w:cs="Times New Roman"/>
      <w:b/>
      <w:iCs/>
      <w:color w:val="0D0D0D" w:themeColor="text1" w:themeTint="F2"/>
      <w:sz w:val="24"/>
      <w:szCs w:val="18"/>
    </w:rPr>
  </w:style>
  <w:style w:type="table" w:styleId="TableGrid">
    <w:name w:val="Table Grid"/>
    <w:basedOn w:val="TableNormal"/>
    <w:uiPriority w:val="39"/>
    <w:rsid w:val="000659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0659D6"/>
    <w:pPr>
      <w:spacing w:after="0"/>
    </w:pPr>
  </w:style>
  <w:style w:type="paragraph" w:styleId="TOCHeading">
    <w:name w:val="TOC Heading"/>
    <w:basedOn w:val="Heading1"/>
    <w:next w:val="Normal"/>
    <w:uiPriority w:val="39"/>
    <w:unhideWhenUsed/>
    <w:qFormat/>
    <w:rsid w:val="000659D6"/>
    <w:pPr>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0659D6"/>
    <w:pPr>
      <w:spacing w:after="100"/>
    </w:pPr>
  </w:style>
  <w:style w:type="paragraph" w:styleId="TOC2">
    <w:name w:val="toc 2"/>
    <w:basedOn w:val="Normal"/>
    <w:next w:val="Normal"/>
    <w:autoRedefine/>
    <w:uiPriority w:val="39"/>
    <w:unhideWhenUsed/>
    <w:rsid w:val="000659D6"/>
    <w:pPr>
      <w:spacing w:after="100"/>
      <w:ind w:left="220"/>
    </w:pPr>
    <w:rPr>
      <w:rFonts w:eastAsiaTheme="minorEastAsia" w:cs="Times New Roman"/>
    </w:rPr>
  </w:style>
  <w:style w:type="paragraph" w:styleId="TOC3">
    <w:name w:val="toc 3"/>
    <w:basedOn w:val="Normal"/>
    <w:next w:val="Normal"/>
    <w:autoRedefine/>
    <w:uiPriority w:val="39"/>
    <w:unhideWhenUsed/>
    <w:rsid w:val="000659D6"/>
    <w:pPr>
      <w:spacing w:after="100"/>
      <w:ind w:left="440"/>
    </w:pPr>
    <w:rPr>
      <w:rFonts w:eastAsiaTheme="minorEastAsia" w:cs="Times New Roman"/>
    </w:rPr>
  </w:style>
  <w:style w:type="paragraph" w:styleId="Header">
    <w:name w:val="header"/>
    <w:basedOn w:val="Normal"/>
    <w:link w:val="HeaderChar"/>
    <w:uiPriority w:val="99"/>
    <w:unhideWhenUsed/>
    <w:rsid w:val="00065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9D6"/>
  </w:style>
  <w:style w:type="paragraph" w:styleId="Footer">
    <w:name w:val="footer"/>
    <w:basedOn w:val="Normal"/>
    <w:link w:val="FooterChar"/>
    <w:uiPriority w:val="99"/>
    <w:unhideWhenUsed/>
    <w:rsid w:val="00065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9D6"/>
  </w:style>
  <w:style w:type="paragraph" w:styleId="BalloonText">
    <w:name w:val="Balloon Text"/>
    <w:basedOn w:val="Normal"/>
    <w:link w:val="BalloonTextChar"/>
    <w:uiPriority w:val="99"/>
    <w:semiHidden/>
    <w:unhideWhenUsed/>
    <w:rsid w:val="00C475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51C"/>
    <w:rPr>
      <w:rFonts w:ascii="Segoe UI" w:hAnsi="Segoe UI" w:cs="Segoe UI"/>
      <w:sz w:val="18"/>
      <w:szCs w:val="18"/>
    </w:rPr>
  </w:style>
  <w:style w:type="character" w:customStyle="1" w:styleId="Heading4Char">
    <w:name w:val="Heading 4 Char"/>
    <w:basedOn w:val="DefaultParagraphFont"/>
    <w:link w:val="Heading4"/>
    <w:uiPriority w:val="9"/>
    <w:rsid w:val="00FC6474"/>
    <w:rPr>
      <w:rFonts w:ascii="Times New Roman" w:eastAsiaTheme="majorEastAsia" w:hAnsi="Times New Roman" w:cs="Times New Roman"/>
      <w:b/>
      <w:iCs/>
      <w:sz w:val="24"/>
    </w:rPr>
  </w:style>
  <w:style w:type="character" w:styleId="UnresolvedMention">
    <w:name w:val="Unresolved Mention"/>
    <w:basedOn w:val="DefaultParagraphFont"/>
    <w:uiPriority w:val="99"/>
    <w:semiHidden/>
    <w:unhideWhenUsed/>
    <w:rsid w:val="00CA35BB"/>
    <w:rPr>
      <w:color w:val="605E5C"/>
      <w:shd w:val="clear" w:color="auto" w:fill="E1DFDD"/>
    </w:rPr>
  </w:style>
  <w:style w:type="character" w:styleId="PlaceholderText">
    <w:name w:val="Placeholder Text"/>
    <w:basedOn w:val="DefaultParagraphFont"/>
    <w:uiPriority w:val="99"/>
    <w:semiHidden/>
    <w:rsid w:val="00B6193E"/>
    <w:rPr>
      <w:color w:val="808080"/>
    </w:rPr>
  </w:style>
  <w:style w:type="table" w:customStyle="1" w:styleId="TableGrid1">
    <w:name w:val="Table Grid1"/>
    <w:basedOn w:val="TableNormal"/>
    <w:next w:val="TableGrid"/>
    <w:uiPriority w:val="39"/>
    <w:rsid w:val="00FF6F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B69A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5F20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695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tmp"/><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chart" Target="charts/chart7.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chart" Target="charts/chart10.xml"/><Relationship Id="rId47" Type="http://schemas.openxmlformats.org/officeDocument/2006/relationships/hyperlink" Target="http://dx.doi.org/10.2118/68092-MS" TargetMode="External"/><Relationship Id="rId50" Type="http://schemas.openxmlformats.org/officeDocument/2006/relationships/hyperlink" Target="https://doi-org.ezproxy.lib.ou.edu/10.2118/140868-MS" TargetMode="External"/><Relationship Id="rId55" Type="http://schemas.openxmlformats.org/officeDocument/2006/relationships/hyperlink" Target="http://dx.doi.org/10.1130/abs/2017SE-291206" TargetMode="External"/><Relationship Id="rId63" Type="http://schemas.openxmlformats.org/officeDocument/2006/relationships/hyperlink" Target="http://dx.doi.org/10.1115/1.4032236" TargetMode="External"/><Relationship Id="rId68" Type="http://schemas.openxmlformats.org/officeDocument/2006/relationships/hyperlink" Target="https://www.eia.gov/todayinenergy/detail.php?id=38372" TargetMode="External"/><Relationship Id="rId76" Type="http://schemas.openxmlformats.org/officeDocument/2006/relationships/image" Target="media/image24.png"/><Relationship Id="rId7" Type="http://schemas.openxmlformats.org/officeDocument/2006/relationships/endnotes" Target="endnotes.xml"/><Relationship Id="rId71" Type="http://schemas.openxmlformats.org/officeDocument/2006/relationships/hyperlink" Target="http://dx.doi.org/10.2118/30499-MS" TargetMode="Externa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footer" Target="footer3.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chart" Target="charts/chart5.xml"/><Relationship Id="rId40" Type="http://schemas.openxmlformats.org/officeDocument/2006/relationships/chart" Target="charts/chart8.xml"/><Relationship Id="rId45" Type="http://schemas.openxmlformats.org/officeDocument/2006/relationships/chart" Target="charts/chart13.xml"/><Relationship Id="rId53" Type="http://schemas.openxmlformats.org/officeDocument/2006/relationships/hyperlink" Target="http://dx.doi.org/10.2118/92194-MS" TargetMode="External"/><Relationship Id="rId58" Type="http://schemas.openxmlformats.org/officeDocument/2006/relationships/hyperlink" Target="https://doi.org/10.1016/j.ijrmms.2014.08.017" TargetMode="External"/><Relationship Id="rId66" Type="http://schemas.openxmlformats.org/officeDocument/2006/relationships/hyperlink" Target="http://dx.doi.org/10.2118/23886-MS" TargetMode="External"/><Relationship Id="rId74" Type="http://schemas.openxmlformats.org/officeDocument/2006/relationships/image" Target="media/image22.png"/><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dx.doi.org/10.2118/138145-MS" TargetMode="External"/><Relationship Id="rId10" Type="http://schemas.openxmlformats.org/officeDocument/2006/relationships/footer" Target="footer2.xml"/><Relationship Id="rId19" Type="http://schemas.openxmlformats.org/officeDocument/2006/relationships/image" Target="media/image5.png"/><Relationship Id="rId31" Type="http://schemas.openxmlformats.org/officeDocument/2006/relationships/image" Target="media/image17.png"/><Relationship Id="rId44" Type="http://schemas.openxmlformats.org/officeDocument/2006/relationships/chart" Target="charts/chart12.xml"/><Relationship Id="rId52" Type="http://schemas.openxmlformats.org/officeDocument/2006/relationships/hyperlink" Target="http://dx.doi.org/10.2118/130376-MS" TargetMode="External"/><Relationship Id="rId60" Type="http://schemas.openxmlformats.org/officeDocument/2006/relationships/hyperlink" Target="http://dx.doi.org/10.2118/68095-MS" TargetMode="External"/><Relationship Id="rId65" Type="http://schemas.openxmlformats.org/officeDocument/2006/relationships/hyperlink" Target="http://www.spe.org/dl" TargetMode="External"/><Relationship Id="rId73" Type="http://schemas.openxmlformats.org/officeDocument/2006/relationships/image" Target="media/image21.png"/><Relationship Id="rId78"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1.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chart" Target="charts/chart3.xml"/><Relationship Id="rId43" Type="http://schemas.openxmlformats.org/officeDocument/2006/relationships/chart" Target="charts/chart11.xml"/><Relationship Id="rId48" Type="http://schemas.openxmlformats.org/officeDocument/2006/relationships/hyperlink" Target="https://doi.org/10.1016/j.jngse.2019.03.007" TargetMode="External"/><Relationship Id="rId56" Type="http://schemas.openxmlformats.org/officeDocument/2006/relationships/hyperlink" Target="http://dx.doi.org/10.2118/195189-MS" TargetMode="External"/><Relationship Id="rId64" Type="http://schemas.openxmlformats.org/officeDocument/2006/relationships/hyperlink" Target="http://dx.doi.org/10.2118/174273-MS" TargetMode="External"/><Relationship Id="rId69" Type="http://schemas.openxmlformats.org/officeDocument/2006/relationships/hyperlink" Target="http://dx.doi.org/10.2118/37263-MS" TargetMode="External"/><Relationship Id="rId77" Type="http://schemas.openxmlformats.org/officeDocument/2006/relationships/chart" Target="charts/chart14.xml"/><Relationship Id="rId8" Type="http://schemas.openxmlformats.org/officeDocument/2006/relationships/header" Target="header1.xml"/><Relationship Id="rId51" Type="http://schemas.openxmlformats.org/officeDocument/2006/relationships/hyperlink" Target="http://dx.doi.org/10.2118/99068-MS" TargetMode="External"/><Relationship Id="rId72" Type="http://schemas.openxmlformats.org/officeDocument/2006/relationships/hyperlink" Target="http://dx.doi.org/10.2118/21933-PA"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chart" Target="charts/chart2.xm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chart" Target="charts/chart6.xml"/><Relationship Id="rId46" Type="http://schemas.openxmlformats.org/officeDocument/2006/relationships/hyperlink" Target="http://dx.doi.org/10.2118/5713-PA" TargetMode="External"/><Relationship Id="rId59" Type="http://schemas.openxmlformats.org/officeDocument/2006/relationships/hyperlink" Target="https://www.halliburton.com/content/dam/ps/premium/common/PWC_Book/PWC05.PDF" TargetMode="External"/><Relationship Id="rId67" Type="http://schemas.openxmlformats.org/officeDocument/2006/relationships/hyperlink" Target="http://dx.doi.org/10.2118/30476-MS" TargetMode="External"/><Relationship Id="rId20" Type="http://schemas.openxmlformats.org/officeDocument/2006/relationships/image" Target="media/image6.png"/><Relationship Id="rId41" Type="http://schemas.openxmlformats.org/officeDocument/2006/relationships/chart" Target="charts/chart9.xml"/><Relationship Id="rId54" Type="http://schemas.openxmlformats.org/officeDocument/2006/relationships/hyperlink" Target="https://hdl.handle.net/11244/316304" TargetMode="External"/><Relationship Id="rId62" Type="http://schemas.openxmlformats.org/officeDocument/2006/relationships/hyperlink" Target="http://dx.doi.org/10.2118/105521-MS" TargetMode="External"/><Relationship Id="rId70" Type="http://schemas.openxmlformats.org/officeDocument/2006/relationships/hyperlink" Target="http://dx.doi.org/10.2118/59192-MS" TargetMode="External"/><Relationship Id="rId75"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chart" Target="charts/chart4.xml"/><Relationship Id="rId49" Type="http://schemas.openxmlformats.org/officeDocument/2006/relationships/hyperlink" Target="http://dx.doi.org/10.2118/4232-PA" TargetMode="External"/><Relationship Id="rId57" Type="http://schemas.openxmlformats.org/officeDocument/2006/relationships/hyperlink" Target="https://doi.org/10.2118/199316-M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konat\Desktop\School\Graduate%20Research\Mud%20report%20data.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E:\Graduate%20School\Tuscaloosa%20Sandston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5" Type="http://schemas.openxmlformats.org/officeDocument/2006/relationships/chartUserShapes" Target="../drawings/drawing2.xml"/><Relationship Id="rId4" Type="http://schemas.openxmlformats.org/officeDocument/2006/relationships/oleObject" Target="file:///F:\Graduate%20School\TMS\Mud%20Characterization\KCl\1%25%20KCl%20mud%20Rheology.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F:\Graduate%20School\TMS\Mud%20Characterization\KCl\1%25%20KCl%20mud%20Rheology.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konat\Desktop\School\Graduate%20Research\Swelling\Swelling%20ANalysi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konat\Desktop\School\Graduate%20Research\Swelling\Swelling%20ANalysi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konat\Desktop\School\Graduate%20Research\Swelling\Swelling%20ANalysi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Chart%20in%20Microsoft%20PowerPoint"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Chart%20in%20Microsoft%20PowerPoint"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konat\AppData\Roaming\Microsoft\Excel\Drilling%20Performance%20Analysis%20(version%201).xlsb"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konat\AppData\Roaming\Microsoft\Excel\Drilling%20Performance%20Analysis%20(version%201).xlsb"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konat\AppData\Roaming\Microsoft\Excel\Drilling%20Performance%20Analysis%20(version%201).xlsb"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konat\AppData\Roaming\Microsoft\Excel\Drilling%20Performance%20Analysis%20(version%201).xlsb"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51228211858132"/>
          <c:y val="8.0087525967961454E-2"/>
          <c:w val="0.8354364358301366"/>
          <c:h val="0.89939258496574659"/>
        </c:manualLayout>
      </c:layout>
      <c:scatterChart>
        <c:scatterStyle val="smoothMarker"/>
        <c:varyColors val="0"/>
        <c:ser>
          <c:idx val="0"/>
          <c:order val="0"/>
          <c:spPr>
            <a:ln w="6350" cap="rnd">
              <a:solidFill>
                <a:schemeClr val="accent1"/>
              </a:solidFill>
              <a:round/>
            </a:ln>
            <a:effectLst/>
          </c:spPr>
          <c:marker>
            <c:symbol val="circle"/>
            <c:size val="5"/>
            <c:spPr>
              <a:noFill/>
              <a:ln w="9525">
                <a:solidFill>
                  <a:schemeClr val="accent1"/>
                </a:solidFill>
              </a:ln>
              <a:effectLst/>
            </c:spPr>
          </c:marker>
          <c:xVal>
            <c:numRef>
              <c:f>Data!$B$2:$B$96</c:f>
              <c:numCache>
                <c:formatCode>General</c:formatCode>
                <c:ptCount val="9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numCache>
            </c:numRef>
          </c:xVal>
          <c:yVal>
            <c:numRef>
              <c:f>Data!$C$2:$C$96</c:f>
              <c:numCache>
                <c:formatCode>General</c:formatCode>
                <c:ptCount val="95"/>
                <c:pt idx="0">
                  <c:v>0</c:v>
                </c:pt>
                <c:pt idx="1">
                  <c:v>0</c:v>
                </c:pt>
                <c:pt idx="2">
                  <c:v>0</c:v>
                </c:pt>
                <c:pt idx="3">
                  <c:v>509</c:v>
                </c:pt>
                <c:pt idx="4">
                  <c:v>1205</c:v>
                </c:pt>
                <c:pt idx="5">
                  <c:v>2456</c:v>
                </c:pt>
                <c:pt idx="6">
                  <c:v>3167</c:v>
                </c:pt>
                <c:pt idx="7">
                  <c:v>3335</c:v>
                </c:pt>
                <c:pt idx="8">
                  <c:v>3440</c:v>
                </c:pt>
                <c:pt idx="9">
                  <c:v>3440</c:v>
                </c:pt>
                <c:pt idx="10">
                  <c:v>3440</c:v>
                </c:pt>
                <c:pt idx="11">
                  <c:v>3440</c:v>
                </c:pt>
                <c:pt idx="12">
                  <c:v>3961</c:v>
                </c:pt>
                <c:pt idx="13">
                  <c:v>6417</c:v>
                </c:pt>
                <c:pt idx="14">
                  <c:v>9060</c:v>
                </c:pt>
                <c:pt idx="15">
                  <c:v>10349</c:v>
                </c:pt>
                <c:pt idx="16">
                  <c:v>11082</c:v>
                </c:pt>
                <c:pt idx="17">
                  <c:v>11746</c:v>
                </c:pt>
                <c:pt idx="18">
                  <c:v>11790</c:v>
                </c:pt>
                <c:pt idx="19">
                  <c:v>11790</c:v>
                </c:pt>
                <c:pt idx="20">
                  <c:v>11790</c:v>
                </c:pt>
                <c:pt idx="21">
                  <c:v>11790</c:v>
                </c:pt>
                <c:pt idx="22">
                  <c:v>11775</c:v>
                </c:pt>
                <c:pt idx="23">
                  <c:v>11775</c:v>
                </c:pt>
                <c:pt idx="24">
                  <c:v>11775</c:v>
                </c:pt>
                <c:pt idx="25">
                  <c:v>12080</c:v>
                </c:pt>
                <c:pt idx="26">
                  <c:v>12080</c:v>
                </c:pt>
                <c:pt idx="27">
                  <c:v>12143</c:v>
                </c:pt>
                <c:pt idx="28">
                  <c:v>12143</c:v>
                </c:pt>
                <c:pt idx="29">
                  <c:v>12200</c:v>
                </c:pt>
                <c:pt idx="30">
                  <c:v>12000</c:v>
                </c:pt>
                <c:pt idx="31">
                  <c:v>12300</c:v>
                </c:pt>
                <c:pt idx="32">
                  <c:v>12300</c:v>
                </c:pt>
                <c:pt idx="33">
                  <c:v>11600</c:v>
                </c:pt>
                <c:pt idx="34">
                  <c:v>11600</c:v>
                </c:pt>
                <c:pt idx="35">
                  <c:v>11600</c:v>
                </c:pt>
                <c:pt idx="36">
                  <c:v>11398</c:v>
                </c:pt>
                <c:pt idx="37">
                  <c:v>11429</c:v>
                </c:pt>
                <c:pt idx="38">
                  <c:v>11433</c:v>
                </c:pt>
                <c:pt idx="39">
                  <c:v>11476</c:v>
                </c:pt>
                <c:pt idx="40">
                  <c:v>11754</c:v>
                </c:pt>
                <c:pt idx="41">
                  <c:v>11949</c:v>
                </c:pt>
                <c:pt idx="42">
                  <c:v>12182</c:v>
                </c:pt>
                <c:pt idx="43">
                  <c:v>12469</c:v>
                </c:pt>
                <c:pt idx="44">
                  <c:v>12595</c:v>
                </c:pt>
                <c:pt idx="45">
                  <c:v>12595</c:v>
                </c:pt>
                <c:pt idx="46">
                  <c:v>12595</c:v>
                </c:pt>
                <c:pt idx="47">
                  <c:v>12595</c:v>
                </c:pt>
                <c:pt idx="48">
                  <c:v>12595</c:v>
                </c:pt>
                <c:pt idx="49">
                  <c:v>12595</c:v>
                </c:pt>
                <c:pt idx="50">
                  <c:v>12595</c:v>
                </c:pt>
                <c:pt idx="51">
                  <c:v>12595</c:v>
                </c:pt>
                <c:pt idx="52">
                  <c:v>12605</c:v>
                </c:pt>
                <c:pt idx="53">
                  <c:v>12617</c:v>
                </c:pt>
                <c:pt idx="54">
                  <c:v>13152</c:v>
                </c:pt>
                <c:pt idx="55">
                  <c:v>13673</c:v>
                </c:pt>
                <c:pt idx="56">
                  <c:v>14140</c:v>
                </c:pt>
                <c:pt idx="57">
                  <c:v>14341</c:v>
                </c:pt>
                <c:pt idx="58">
                  <c:v>12637</c:v>
                </c:pt>
                <c:pt idx="59">
                  <c:v>12648</c:v>
                </c:pt>
                <c:pt idx="60">
                  <c:v>12657</c:v>
                </c:pt>
                <c:pt idx="61">
                  <c:v>12696</c:v>
                </c:pt>
                <c:pt idx="62">
                  <c:v>12639</c:v>
                </c:pt>
                <c:pt idx="63">
                  <c:v>12673</c:v>
                </c:pt>
                <c:pt idx="64">
                  <c:v>12683</c:v>
                </c:pt>
                <c:pt idx="65">
                  <c:v>12964</c:v>
                </c:pt>
                <c:pt idx="66">
                  <c:v>13686</c:v>
                </c:pt>
                <c:pt idx="67">
                  <c:v>14446</c:v>
                </c:pt>
                <c:pt idx="68">
                  <c:v>14519</c:v>
                </c:pt>
                <c:pt idx="69">
                  <c:v>14519</c:v>
                </c:pt>
                <c:pt idx="70">
                  <c:v>15088</c:v>
                </c:pt>
                <c:pt idx="71">
                  <c:v>15393</c:v>
                </c:pt>
                <c:pt idx="72">
                  <c:v>15412</c:v>
                </c:pt>
                <c:pt idx="73">
                  <c:v>16325</c:v>
                </c:pt>
                <c:pt idx="74">
                  <c:v>17012</c:v>
                </c:pt>
                <c:pt idx="75">
                  <c:v>17303</c:v>
                </c:pt>
                <c:pt idx="76">
                  <c:v>17303</c:v>
                </c:pt>
                <c:pt idx="77">
                  <c:v>17303</c:v>
                </c:pt>
                <c:pt idx="78">
                  <c:v>17675</c:v>
                </c:pt>
                <c:pt idx="79">
                  <c:v>18074</c:v>
                </c:pt>
                <c:pt idx="80">
                  <c:v>18074</c:v>
                </c:pt>
                <c:pt idx="81">
                  <c:v>18074</c:v>
                </c:pt>
                <c:pt idx="82">
                  <c:v>18418</c:v>
                </c:pt>
                <c:pt idx="83">
                  <c:v>18617</c:v>
                </c:pt>
                <c:pt idx="84">
                  <c:v>19203</c:v>
                </c:pt>
                <c:pt idx="85">
                  <c:v>19551</c:v>
                </c:pt>
                <c:pt idx="86">
                  <c:v>19551</c:v>
                </c:pt>
                <c:pt idx="87">
                  <c:v>19551</c:v>
                </c:pt>
                <c:pt idx="88">
                  <c:v>19551</c:v>
                </c:pt>
                <c:pt idx="89">
                  <c:v>19551</c:v>
                </c:pt>
                <c:pt idx="90">
                  <c:v>19551</c:v>
                </c:pt>
                <c:pt idx="91">
                  <c:v>19551</c:v>
                </c:pt>
                <c:pt idx="92">
                  <c:v>19551</c:v>
                </c:pt>
                <c:pt idx="93">
                  <c:v>19551</c:v>
                </c:pt>
                <c:pt idx="94">
                  <c:v>19551</c:v>
                </c:pt>
              </c:numCache>
            </c:numRef>
          </c:yVal>
          <c:smooth val="1"/>
          <c:extLst>
            <c:ext xmlns:c16="http://schemas.microsoft.com/office/drawing/2014/chart" uri="{C3380CC4-5D6E-409C-BE32-E72D297353CC}">
              <c16:uniqueId val="{00000000-639C-4D3F-BB61-D11C84A21DCA}"/>
            </c:ext>
          </c:extLst>
        </c:ser>
        <c:dLbls>
          <c:showLegendKey val="0"/>
          <c:showVal val="0"/>
          <c:showCatName val="0"/>
          <c:showSerName val="0"/>
          <c:showPercent val="0"/>
          <c:showBubbleSize val="0"/>
        </c:dLbls>
        <c:axId val="641444272"/>
        <c:axId val="641057032"/>
      </c:scatterChart>
      <c:valAx>
        <c:axId val="641444272"/>
        <c:scaling>
          <c:orientation val="minMax"/>
        </c:scaling>
        <c:delete val="0"/>
        <c:axPos val="t"/>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Days</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1057032"/>
        <c:crosses val="autoZero"/>
        <c:crossBetween val="midCat"/>
      </c:valAx>
      <c:valAx>
        <c:axId val="641057032"/>
        <c:scaling>
          <c:orientation val="maxMin"/>
          <c:max val="20000"/>
          <c:min val="0"/>
        </c:scaling>
        <c:delete val="0"/>
        <c:axPos val="l"/>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MD (ft)</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41444272"/>
        <c:crosses val="autoZero"/>
        <c:crossBetween val="midCat"/>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153-49D6-87A8-EED454851F1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153-49D6-87A8-EED454851F1B}"/>
              </c:ext>
            </c:extLst>
          </c:dPt>
          <c:dPt>
            <c:idx val="2"/>
            <c:bubble3D val="0"/>
            <c:spPr>
              <a:solidFill>
                <a:srgbClr val="00B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4153-49D6-87A8-EED454851F1B}"/>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Sheet1!$A$4:$A$6</c:f>
              <c:strCache>
                <c:ptCount val="3"/>
                <c:pt idx="0">
                  <c:v>Wellbore Instability </c:v>
                </c:pt>
                <c:pt idx="1">
                  <c:v>WOC</c:v>
                </c:pt>
                <c:pt idx="2">
                  <c:v>Other</c:v>
                </c:pt>
              </c:strCache>
            </c:strRef>
          </c:cat>
          <c:val>
            <c:numRef>
              <c:f>Sheet1!$B$4:$B$6</c:f>
              <c:numCache>
                <c:formatCode>General</c:formatCode>
                <c:ptCount val="3"/>
                <c:pt idx="0">
                  <c:v>18.440000000000001</c:v>
                </c:pt>
                <c:pt idx="1">
                  <c:v>3.45</c:v>
                </c:pt>
                <c:pt idx="2">
                  <c:v>10.34</c:v>
                </c:pt>
              </c:numCache>
            </c:numRef>
          </c:val>
          <c:extLst>
            <c:ext xmlns:c16="http://schemas.microsoft.com/office/drawing/2014/chart" uri="{C3380CC4-5D6E-409C-BE32-E72D297353CC}">
              <c16:uniqueId val="{00000006-4153-49D6-87A8-EED454851F1B}"/>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71646545370208869"/>
          <c:y val="0.55873760571595221"/>
          <c:w val="0.28353454629791131"/>
          <c:h val="0.4159168124817730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01399825021872"/>
          <c:y val="6.0185185185185182E-2"/>
          <c:w val="0.82779276417839887"/>
          <c:h val="0.81796696465573382"/>
        </c:manualLayout>
      </c:layout>
      <c:scatterChart>
        <c:scatterStyle val="smoothMarker"/>
        <c:varyColors val="0"/>
        <c:ser>
          <c:idx val="0"/>
          <c:order val="0"/>
          <c:tx>
            <c:v>1% KCl</c:v>
          </c:tx>
          <c:spPr>
            <a:ln w="12700" cap="rnd">
              <a:solidFill>
                <a:schemeClr val="accent1"/>
              </a:solidFill>
              <a:round/>
            </a:ln>
            <a:effectLst/>
          </c:spPr>
          <c:marker>
            <c:symbol val="x"/>
            <c:size val="6"/>
            <c:spPr>
              <a:noFill/>
              <a:ln w="9525">
                <a:solidFill>
                  <a:schemeClr val="accent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'1% KCl'!$E$53:$E$58</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'1% KCl'!$J$53:$J$58</c:f>
              <c:numCache>
                <c:formatCode>General</c:formatCode>
                <c:ptCount val="6"/>
                <c:pt idx="0">
                  <c:v>6.4</c:v>
                </c:pt>
                <c:pt idx="1">
                  <c:v>3.8200000000000003</c:v>
                </c:pt>
                <c:pt idx="2">
                  <c:v>3</c:v>
                </c:pt>
                <c:pt idx="3">
                  <c:v>1.82</c:v>
                </c:pt>
                <c:pt idx="4">
                  <c:v>0.36000000000000004</c:v>
                </c:pt>
                <c:pt idx="5">
                  <c:v>0.36000000000000004</c:v>
                </c:pt>
              </c:numCache>
            </c:numRef>
          </c:yVal>
          <c:smooth val="1"/>
          <c:extLst>
            <c:ext xmlns:c16="http://schemas.microsoft.com/office/drawing/2014/chart" uri="{C3380CC4-5D6E-409C-BE32-E72D297353CC}">
              <c16:uniqueId val="{00000000-522E-4659-AB63-B474927D5F8E}"/>
            </c:ext>
          </c:extLst>
        </c:ser>
        <c:ser>
          <c:idx val="1"/>
          <c:order val="1"/>
          <c:tx>
            <c:v>2% KCl</c:v>
          </c:tx>
          <c:spPr>
            <a:ln w="12700" cap="rnd">
              <a:solidFill>
                <a:srgbClr val="7030A0"/>
              </a:solidFill>
              <a:round/>
            </a:ln>
            <a:effectLst/>
          </c:spPr>
          <c:marker>
            <c:symbol val="diamond"/>
            <c:size val="6"/>
            <c:spPr>
              <a:noFill/>
              <a:ln w="9525">
                <a:solidFill>
                  <a:srgbClr val="7030A0"/>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'2% KCl'!$E$55:$E$60</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'2% KCl'!$J$55:$J$60</c:f>
              <c:numCache>
                <c:formatCode>General</c:formatCode>
                <c:ptCount val="6"/>
                <c:pt idx="0">
                  <c:v>4.18</c:v>
                </c:pt>
                <c:pt idx="1">
                  <c:v>2.5</c:v>
                </c:pt>
                <c:pt idx="2">
                  <c:v>1.8</c:v>
                </c:pt>
                <c:pt idx="3">
                  <c:v>1.1000000000000001</c:v>
                </c:pt>
                <c:pt idx="4">
                  <c:v>0.27999999999999997</c:v>
                </c:pt>
                <c:pt idx="5">
                  <c:v>0.1</c:v>
                </c:pt>
              </c:numCache>
            </c:numRef>
          </c:yVal>
          <c:smooth val="1"/>
          <c:extLst>
            <c:ext xmlns:c16="http://schemas.microsoft.com/office/drawing/2014/chart" uri="{C3380CC4-5D6E-409C-BE32-E72D297353CC}">
              <c16:uniqueId val="{00000001-522E-4659-AB63-B474927D5F8E}"/>
            </c:ext>
          </c:extLst>
        </c:ser>
        <c:ser>
          <c:idx val="3"/>
          <c:order val="3"/>
          <c:tx>
            <c:v>Conventional WBM</c:v>
          </c:tx>
          <c:spPr>
            <a:ln w="12700" cap="rnd">
              <a:solidFill>
                <a:schemeClr val="accent4"/>
              </a:solidFill>
              <a:round/>
            </a:ln>
            <a:effectLst/>
          </c:spPr>
          <c:marker>
            <c:symbol val="circle"/>
            <c:size val="6"/>
            <c:spPr>
              <a:noFill/>
              <a:ln w="9525">
                <a:solidFill>
                  <a:schemeClr val="accent4"/>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'Conventional WBM'!$E$49:$E$54</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'Conventional WBM'!$J$49:$J$54</c:f>
              <c:numCache>
                <c:formatCode>General</c:formatCode>
                <c:ptCount val="6"/>
                <c:pt idx="0">
                  <c:v>17.3</c:v>
                </c:pt>
                <c:pt idx="1">
                  <c:v>10.700000000000001</c:v>
                </c:pt>
                <c:pt idx="2">
                  <c:v>8.06</c:v>
                </c:pt>
                <c:pt idx="3">
                  <c:v>5.2200000000000006</c:v>
                </c:pt>
                <c:pt idx="4">
                  <c:v>1</c:v>
                </c:pt>
                <c:pt idx="5">
                  <c:v>0.96</c:v>
                </c:pt>
              </c:numCache>
            </c:numRef>
          </c:yVal>
          <c:smooth val="1"/>
          <c:extLst>
            <c:ext xmlns:c16="http://schemas.microsoft.com/office/drawing/2014/chart" uri="{C3380CC4-5D6E-409C-BE32-E72D297353CC}">
              <c16:uniqueId val="{00000002-522E-4659-AB63-B474927D5F8E}"/>
            </c:ext>
          </c:extLst>
        </c:ser>
        <c:ser>
          <c:idx val="4"/>
          <c:order val="4"/>
          <c:tx>
            <c:v>Cesium Formate</c:v>
          </c:tx>
          <c:spPr>
            <a:ln w="12700" cap="rnd">
              <a:solidFill>
                <a:srgbClr val="00B050"/>
              </a:solidFill>
              <a:round/>
            </a:ln>
            <a:effectLst/>
          </c:spPr>
          <c:marker>
            <c:symbol val="triangle"/>
            <c:size val="6"/>
            <c:spPr>
              <a:noFill/>
              <a:ln w="9525">
                <a:solidFill>
                  <a:srgbClr val="00B050"/>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'Cesium Formate'!$E$42:$E$47</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'Cesium Formate'!$J$42:$J$47</c:f>
              <c:numCache>
                <c:formatCode>General</c:formatCode>
                <c:ptCount val="6"/>
                <c:pt idx="0">
                  <c:v>3.9200000000000004</c:v>
                </c:pt>
                <c:pt idx="1">
                  <c:v>2</c:v>
                </c:pt>
                <c:pt idx="2">
                  <c:v>1.3</c:v>
                </c:pt>
                <c:pt idx="3">
                  <c:v>0.60000000000000009</c:v>
                </c:pt>
                <c:pt idx="4">
                  <c:v>0.1</c:v>
                </c:pt>
                <c:pt idx="5">
                  <c:v>0</c:v>
                </c:pt>
              </c:numCache>
            </c:numRef>
          </c:yVal>
          <c:smooth val="1"/>
          <c:extLst>
            <c:ext xmlns:c16="http://schemas.microsoft.com/office/drawing/2014/chart" uri="{C3380CC4-5D6E-409C-BE32-E72D297353CC}">
              <c16:uniqueId val="{00000003-522E-4659-AB63-B474927D5F8E}"/>
            </c:ext>
          </c:extLst>
        </c:ser>
        <c:dLbls>
          <c:showLegendKey val="0"/>
          <c:showVal val="0"/>
          <c:showCatName val="0"/>
          <c:showSerName val="0"/>
          <c:showPercent val="0"/>
          <c:showBubbleSize val="0"/>
        </c:dLbls>
        <c:axId val="472250728"/>
        <c:axId val="472251056"/>
        <c:extLst>
          <c:ext xmlns:c15="http://schemas.microsoft.com/office/drawing/2012/chart" uri="{02D57815-91ED-43cb-92C2-25804820EDAC}">
            <c15:filteredScatterSeries>
              <c15:ser>
                <c:idx val="2"/>
                <c:order val="2"/>
                <c:tx>
                  <c:v>4% KCl</c:v>
                </c:tx>
                <c:spPr>
                  <a:ln w="12700" cap="rnd">
                    <a:solidFill>
                      <a:schemeClr val="tx1"/>
                    </a:solidFill>
                    <a:round/>
                  </a:ln>
                  <a:effectLst/>
                </c:spPr>
                <c:marker>
                  <c:symbol val="star"/>
                  <c:size val="6"/>
                  <c:spPr>
                    <a:noFill/>
                    <a:ln w="9525">
                      <a:solidFill>
                        <a:schemeClr val="tx1"/>
                      </a:solidFill>
                    </a:ln>
                    <a:effectLst/>
                  </c:spPr>
                </c:marker>
                <c:xVal>
                  <c:numRef>
                    <c:extLst>
                      <c:ext uri="{02D57815-91ED-43cb-92C2-25804820EDAC}">
                        <c15:formulaRef>
                          <c15:sqref>'4 % KCl'!$E$51:$E$56</c15:sqref>
                        </c15:formulaRef>
                      </c:ext>
                    </c:extLst>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extLst>
                      <c:ext uri="{02D57815-91ED-43cb-92C2-25804820EDAC}">
                        <c15:formulaRef>
                          <c15:sqref>'4 % KCl'!$J$51:$J$56</c15:sqref>
                        </c15:formulaRef>
                      </c:ext>
                    </c:extLst>
                    <c:numCache>
                      <c:formatCode>General</c:formatCode>
                      <c:ptCount val="6"/>
                      <c:pt idx="0">
                        <c:v>2.1</c:v>
                      </c:pt>
                      <c:pt idx="1">
                        <c:v>1.1000000000000001</c:v>
                      </c:pt>
                      <c:pt idx="2">
                        <c:v>0.70000000000000007</c:v>
                      </c:pt>
                      <c:pt idx="3">
                        <c:v>0.5</c:v>
                      </c:pt>
                      <c:pt idx="4">
                        <c:v>0.1</c:v>
                      </c:pt>
                      <c:pt idx="5">
                        <c:v>8.0000000000000016E-2</c:v>
                      </c:pt>
                    </c:numCache>
                  </c:numRef>
                </c:yVal>
                <c:smooth val="1"/>
                <c:extLst>
                  <c:ext xmlns:c16="http://schemas.microsoft.com/office/drawing/2014/chart" uri="{C3380CC4-5D6E-409C-BE32-E72D297353CC}">
                    <c16:uniqueId val="{00000004-522E-4659-AB63-B474927D5F8E}"/>
                  </c:ext>
                </c:extLst>
              </c15:ser>
            </c15:filteredScatterSeries>
            <c15:filteredScatterSeries>
              <c15:ser>
                <c:idx val="5"/>
                <c:order val="5"/>
                <c:tx>
                  <c:v>OBM</c:v>
                </c:tx>
                <c:spPr>
                  <a:ln w="12700" cap="rnd">
                    <a:solidFill>
                      <a:schemeClr val="accent6"/>
                    </a:solidFill>
                    <a:round/>
                  </a:ln>
                  <a:effectLst/>
                </c:spPr>
                <c:marker>
                  <c:symbol val="diamond"/>
                  <c:size val="6"/>
                  <c:spPr>
                    <a:no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OBM!$E$27:$E$32</c15:sqref>
                        </c15:formulaRef>
                      </c:ext>
                    </c:extLst>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extLst xmlns:c15="http://schemas.microsoft.com/office/drawing/2012/chart">
                      <c:ext xmlns:c15="http://schemas.microsoft.com/office/drawing/2012/chart" uri="{02D57815-91ED-43cb-92C2-25804820EDAC}">
                        <c15:formulaRef>
                          <c15:sqref>OBM!$J$27:$J$32</c15:sqref>
                        </c15:formulaRef>
                      </c:ext>
                    </c:extLst>
                    <c:numCache>
                      <c:formatCode>General</c:formatCode>
                      <c:ptCount val="6"/>
                      <c:pt idx="0">
                        <c:v>37.74</c:v>
                      </c:pt>
                      <c:pt idx="1">
                        <c:v>24.02</c:v>
                      </c:pt>
                      <c:pt idx="2">
                        <c:v>18.400000000000002</c:v>
                      </c:pt>
                      <c:pt idx="3">
                        <c:v>12.06</c:v>
                      </c:pt>
                      <c:pt idx="4">
                        <c:v>3.54</c:v>
                      </c:pt>
                      <c:pt idx="5">
                        <c:v>3</c:v>
                      </c:pt>
                    </c:numCache>
                  </c:numRef>
                </c:yVal>
                <c:smooth val="1"/>
                <c:extLst xmlns:c15="http://schemas.microsoft.com/office/drawing/2012/chart">
                  <c:ext xmlns:c16="http://schemas.microsoft.com/office/drawing/2014/chart" uri="{C3380CC4-5D6E-409C-BE32-E72D297353CC}">
                    <c16:uniqueId val="{00000005-522E-4659-AB63-B474927D5F8E}"/>
                  </c:ext>
                </c:extLst>
              </c15:ser>
            </c15:filteredScatterSeries>
          </c:ext>
        </c:extLst>
      </c:scatterChart>
      <c:valAx>
        <c:axId val="472250728"/>
        <c:scaling>
          <c:orientation val="minMax"/>
          <c:min val="0"/>
        </c:scaling>
        <c:delete val="0"/>
        <c:axPos val="b"/>
        <c:title>
          <c:tx>
            <c:rich>
              <a:bodyPr rot="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r>
                  <a:rPr lang="en-US"/>
                  <a:t>Shear rate (1/s)</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72251056"/>
        <c:crosses val="autoZero"/>
        <c:crossBetween val="midCat"/>
      </c:valAx>
      <c:valAx>
        <c:axId val="472251056"/>
        <c:scaling>
          <c:orientation val="minMax"/>
        </c:scaling>
        <c:delete val="0"/>
        <c:axPos val="l"/>
        <c:title>
          <c:tx>
            <c:rich>
              <a:bodyPr rot="-540000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r>
                  <a:rPr lang="en-US"/>
                  <a:t>Shear Stress ( Pa)</a:t>
                </a:r>
              </a:p>
            </c:rich>
          </c:tx>
          <c:layout>
            <c:manualLayout>
              <c:xMode val="edge"/>
              <c:yMode val="edge"/>
              <c:x val="2.5000000000000001E-2"/>
              <c:y val="0.33385790317876934"/>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72250728"/>
        <c:crosses val="autoZero"/>
        <c:crossBetween val="midCat"/>
      </c:valAx>
      <c:spPr>
        <a:noFill/>
        <a:ln>
          <a:solidFill>
            <a:schemeClr val="tx1"/>
          </a:solidFill>
        </a:ln>
        <a:effectLst/>
      </c:spPr>
    </c:plotArea>
    <c:legend>
      <c:legendPos val="r"/>
      <c:layout>
        <c:manualLayout>
          <c:xMode val="edge"/>
          <c:yMode val="edge"/>
          <c:x val="0.15481074184632698"/>
          <c:y val="8.8506068320407319E-2"/>
          <c:w val="0.44391517060367464"/>
          <c:h val="0.23913697228524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userShapes r:id="rId5"/>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48388123124132"/>
          <c:y val="5.996405089383134E-2"/>
          <c:w val="0.82393582381149733"/>
          <c:h val="0.80291584340523559"/>
        </c:manualLayout>
      </c:layout>
      <c:scatterChart>
        <c:scatterStyle val="smoothMarker"/>
        <c:varyColors val="0"/>
        <c:ser>
          <c:idx val="0"/>
          <c:order val="0"/>
          <c:tx>
            <c:v>1% KCl</c:v>
          </c:tx>
          <c:spPr>
            <a:ln w="12700" cap="rnd">
              <a:solidFill>
                <a:schemeClr val="accent1"/>
              </a:solidFill>
              <a:round/>
            </a:ln>
            <a:effectLst/>
          </c:spPr>
          <c:marker>
            <c:symbol val="star"/>
            <c:size val="6"/>
            <c:spPr>
              <a:noFill/>
              <a:ln w="9525">
                <a:solidFill>
                  <a:schemeClr val="accent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'1% KCl'!$E$53:$E$58</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'1% KCl'!$I$53:$I$58</c:f>
              <c:numCache>
                <c:formatCode>General</c:formatCode>
                <c:ptCount val="6"/>
                <c:pt idx="0">
                  <c:v>6.266</c:v>
                </c:pt>
                <c:pt idx="1">
                  <c:v>7.4756</c:v>
                </c:pt>
                <c:pt idx="2">
                  <c:v>8.8054000000000006</c:v>
                </c:pt>
                <c:pt idx="3">
                  <c:v>10.687099999999999</c:v>
                </c:pt>
                <c:pt idx="4">
                  <c:v>35.246400000000001</c:v>
                </c:pt>
                <c:pt idx="5">
                  <c:v>70.492800000000003</c:v>
                </c:pt>
              </c:numCache>
            </c:numRef>
          </c:yVal>
          <c:smooth val="1"/>
          <c:extLst>
            <c:ext xmlns:c16="http://schemas.microsoft.com/office/drawing/2014/chart" uri="{C3380CC4-5D6E-409C-BE32-E72D297353CC}">
              <c16:uniqueId val="{00000000-963B-477B-9973-8C8B2A2EF129}"/>
            </c:ext>
          </c:extLst>
        </c:ser>
        <c:ser>
          <c:idx val="1"/>
          <c:order val="1"/>
          <c:tx>
            <c:v>2% KCl</c:v>
          </c:tx>
          <c:spPr>
            <a:ln w="12700" cap="rnd">
              <a:solidFill>
                <a:srgbClr val="7030A0"/>
              </a:solidFill>
              <a:round/>
            </a:ln>
            <a:effectLst/>
          </c:spPr>
          <c:marker>
            <c:symbol val="diamond"/>
            <c:size val="6"/>
            <c:spPr>
              <a:noFill/>
              <a:ln w="9525">
                <a:solidFill>
                  <a:srgbClr val="7030A0"/>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'2% KCl'!$E$55:$E$60</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'2% KCl'!$I$55:$I$60</c:f>
              <c:numCache>
                <c:formatCode>General</c:formatCode>
                <c:ptCount val="6"/>
                <c:pt idx="0">
                  <c:v>4.0925000000000002</c:v>
                </c:pt>
                <c:pt idx="1">
                  <c:v>4.8924000000000003</c:v>
                </c:pt>
                <c:pt idx="2">
                  <c:v>5.2832999999999997</c:v>
                </c:pt>
                <c:pt idx="3">
                  <c:v>6.4592999999999998</c:v>
                </c:pt>
                <c:pt idx="4">
                  <c:v>27.413900000000002</c:v>
                </c:pt>
                <c:pt idx="5">
                  <c:v>19.581299999999999</c:v>
                </c:pt>
              </c:numCache>
            </c:numRef>
          </c:yVal>
          <c:smooth val="1"/>
          <c:extLst>
            <c:ext xmlns:c16="http://schemas.microsoft.com/office/drawing/2014/chart" uri="{C3380CC4-5D6E-409C-BE32-E72D297353CC}">
              <c16:uniqueId val="{00000001-963B-477B-9973-8C8B2A2EF129}"/>
            </c:ext>
          </c:extLst>
        </c:ser>
        <c:ser>
          <c:idx val="3"/>
          <c:order val="3"/>
          <c:tx>
            <c:v>Conventional WBM</c:v>
          </c:tx>
          <c:spPr>
            <a:ln w="12700" cap="rnd">
              <a:solidFill>
                <a:schemeClr val="accent4"/>
              </a:solidFill>
              <a:round/>
            </a:ln>
            <a:effectLst/>
          </c:spPr>
          <c:marker>
            <c:symbol val="circle"/>
            <c:size val="6"/>
            <c:spPr>
              <a:noFill/>
              <a:ln w="9525">
                <a:solidFill>
                  <a:schemeClr val="accent4"/>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'Conventional WBM'!$E$49:$E$54</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'Conventional WBM'!$I$49:$I$54</c:f>
              <c:numCache>
                <c:formatCode>General</c:formatCode>
                <c:ptCount val="6"/>
                <c:pt idx="0">
                  <c:v>16.937899999999999</c:v>
                </c:pt>
                <c:pt idx="1">
                  <c:v>20.939499999999999</c:v>
                </c:pt>
                <c:pt idx="2">
                  <c:v>23.657299999999999</c:v>
                </c:pt>
                <c:pt idx="3">
                  <c:v>30.652100000000001</c:v>
                </c:pt>
                <c:pt idx="4">
                  <c:v>93.990399999999994</c:v>
                </c:pt>
                <c:pt idx="5">
                  <c:v>195.8133</c:v>
                </c:pt>
              </c:numCache>
            </c:numRef>
          </c:yVal>
          <c:smooth val="1"/>
          <c:extLst>
            <c:ext xmlns:c16="http://schemas.microsoft.com/office/drawing/2014/chart" uri="{C3380CC4-5D6E-409C-BE32-E72D297353CC}">
              <c16:uniqueId val="{00000002-963B-477B-9973-8C8B2A2EF129}"/>
            </c:ext>
          </c:extLst>
        </c:ser>
        <c:ser>
          <c:idx val="5"/>
          <c:order val="5"/>
          <c:tx>
            <c:v>Cesium Formate</c:v>
          </c:tx>
          <c:spPr>
            <a:ln w="12700" cap="rnd">
              <a:solidFill>
                <a:srgbClr val="00B050"/>
              </a:solidFill>
              <a:round/>
            </a:ln>
            <a:effectLst/>
          </c:spPr>
          <c:marker>
            <c:symbol val="triangle"/>
            <c:size val="6"/>
            <c:spPr>
              <a:noFill/>
              <a:ln w="9525">
                <a:solidFill>
                  <a:srgbClr val="00B050"/>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'Cesium Formate'!$E$42:$E$47</c:f>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f>'Cesium Formate'!$I$42:$I$47</c:f>
              <c:numCache>
                <c:formatCode>General</c:formatCode>
                <c:ptCount val="6"/>
                <c:pt idx="0">
                  <c:v>3.8378999999999999</c:v>
                </c:pt>
                <c:pt idx="1">
                  <c:v>3.9138999999999999</c:v>
                </c:pt>
                <c:pt idx="2">
                  <c:v>3.8157000000000001</c:v>
                </c:pt>
                <c:pt idx="3">
                  <c:v>3.5232000000000001</c:v>
                </c:pt>
                <c:pt idx="4">
                  <c:v>9.7906999999999993</c:v>
                </c:pt>
                <c:pt idx="5">
                  <c:v>0</c:v>
                </c:pt>
              </c:numCache>
            </c:numRef>
          </c:yVal>
          <c:smooth val="1"/>
          <c:extLst>
            <c:ext xmlns:c16="http://schemas.microsoft.com/office/drawing/2014/chart" uri="{C3380CC4-5D6E-409C-BE32-E72D297353CC}">
              <c16:uniqueId val="{00000003-963B-477B-9973-8C8B2A2EF129}"/>
            </c:ext>
          </c:extLst>
        </c:ser>
        <c:dLbls>
          <c:showLegendKey val="0"/>
          <c:showVal val="0"/>
          <c:showCatName val="0"/>
          <c:showSerName val="0"/>
          <c:showPercent val="0"/>
          <c:showBubbleSize val="0"/>
        </c:dLbls>
        <c:axId val="648086432"/>
        <c:axId val="648097256"/>
        <c:extLst>
          <c:ext xmlns:c15="http://schemas.microsoft.com/office/drawing/2012/chart" uri="{02D57815-91ED-43cb-92C2-25804820EDAC}">
            <c15:filteredScatterSeries>
              <c15:ser>
                <c:idx val="2"/>
                <c:order val="2"/>
                <c:tx>
                  <c:v>4% KCl </c:v>
                </c:tx>
                <c:spPr>
                  <a:ln w="19050" cap="rnd">
                    <a:solidFill>
                      <a:schemeClr val="tx1"/>
                    </a:solidFill>
                    <a:round/>
                  </a:ln>
                  <a:effectLst/>
                </c:spPr>
                <c:marker>
                  <c:symbol val="circle"/>
                  <c:size val="5"/>
                  <c:spPr>
                    <a:solidFill>
                      <a:schemeClr val="tx1"/>
                    </a:solidFill>
                    <a:ln w="9525">
                      <a:solidFill>
                        <a:schemeClr val="tx1"/>
                      </a:solidFill>
                    </a:ln>
                    <a:effectLst/>
                  </c:spPr>
                </c:marker>
                <c:xVal>
                  <c:numRef>
                    <c:extLst>
                      <c:ext uri="{02D57815-91ED-43cb-92C2-25804820EDAC}">
                        <c15:formulaRef>
                          <c15:sqref>'4 % KCl'!$E$51:$E$56</c15:sqref>
                        </c15:formulaRef>
                      </c:ext>
                    </c:extLst>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extLst>
                      <c:ext uri="{02D57815-91ED-43cb-92C2-25804820EDAC}">
                        <c15:formulaRef>
                          <c15:sqref>'4 % KCl'!$I$51:$I$56</c15:sqref>
                        </c15:formulaRef>
                      </c:ext>
                    </c:extLst>
                    <c:numCache>
                      <c:formatCode>General</c:formatCode>
                      <c:ptCount val="6"/>
                      <c:pt idx="0">
                        <c:v>2.056</c:v>
                      </c:pt>
                      <c:pt idx="1">
                        <c:v>2.1526999999999998</c:v>
                      </c:pt>
                      <c:pt idx="2">
                        <c:v>2.0546000000000002</c:v>
                      </c:pt>
                      <c:pt idx="3">
                        <c:v>2.9359999999999999</c:v>
                      </c:pt>
                      <c:pt idx="4">
                        <c:v>7.8324999999999996</c:v>
                      </c:pt>
                      <c:pt idx="5">
                        <c:v>19.581299999999999</c:v>
                      </c:pt>
                    </c:numCache>
                  </c:numRef>
                </c:yVal>
                <c:smooth val="1"/>
                <c:extLst>
                  <c:ext xmlns:c16="http://schemas.microsoft.com/office/drawing/2014/chart" uri="{C3380CC4-5D6E-409C-BE32-E72D297353CC}">
                    <c16:uniqueId val="{00000004-963B-477B-9973-8C8B2A2EF129}"/>
                  </c:ext>
                </c:extLst>
              </c15:ser>
            </c15:filteredScatterSeries>
            <c15:filteredScatterSeries>
              <c15:ser>
                <c:idx val="4"/>
                <c:order val="4"/>
                <c:tx>
                  <c:v>OBM</c:v>
                </c:tx>
                <c:spPr>
                  <a:ln w="12700" cap="rnd">
                    <a:solidFill>
                      <a:srgbClr val="00B050"/>
                    </a:solidFill>
                    <a:round/>
                  </a:ln>
                  <a:effectLst/>
                </c:spPr>
                <c:marker>
                  <c:symbol val="square"/>
                  <c:size val="6"/>
                  <c:spPr>
                    <a:noFill/>
                    <a:ln w="9525">
                      <a:solidFill>
                        <a:srgbClr val="00B050"/>
                      </a:solidFill>
                    </a:ln>
                    <a:effectLst/>
                  </c:spPr>
                </c:marker>
                <c:xVal>
                  <c:numRef>
                    <c:extLst xmlns:c15="http://schemas.microsoft.com/office/drawing/2012/chart">
                      <c:ext xmlns:c15="http://schemas.microsoft.com/office/drawing/2012/chart" uri="{02D57815-91ED-43cb-92C2-25804820EDAC}">
                        <c15:formulaRef>
                          <c15:sqref>OBM!$E$27:$E$32</c15:sqref>
                        </c15:formulaRef>
                      </c:ext>
                    </c:extLst>
                    <c:numCache>
                      <c:formatCode>General</c:formatCode>
                      <c:ptCount val="6"/>
                      <c:pt idx="0">
                        <c:v>1021.3809</c:v>
                      </c:pt>
                      <c:pt idx="1">
                        <c:v>510.99689999999998</c:v>
                      </c:pt>
                      <c:pt idx="2">
                        <c:v>340.6986</c:v>
                      </c:pt>
                      <c:pt idx="3">
                        <c:v>170.29820000000001</c:v>
                      </c:pt>
                      <c:pt idx="4">
                        <c:v>10.213800000000001</c:v>
                      </c:pt>
                      <c:pt idx="5">
                        <c:v>5.1069000000000004</c:v>
                      </c:pt>
                    </c:numCache>
                  </c:numRef>
                </c:xVal>
                <c:yVal>
                  <c:numRef>
                    <c:extLst xmlns:c15="http://schemas.microsoft.com/office/drawing/2012/chart">
                      <c:ext xmlns:c15="http://schemas.microsoft.com/office/drawing/2012/chart" uri="{02D57815-91ED-43cb-92C2-25804820EDAC}">
                        <c15:formulaRef>
                          <c15:sqref>OBM!$I$27:$I$32</c15:sqref>
                        </c15:formulaRef>
                      </c:ext>
                    </c:extLst>
                    <c:numCache>
                      <c:formatCode>General</c:formatCode>
                      <c:ptCount val="6"/>
                      <c:pt idx="0">
                        <c:v>36.950000000000003</c:v>
                      </c:pt>
                      <c:pt idx="1">
                        <c:v>47.0062</c:v>
                      </c:pt>
                      <c:pt idx="2">
                        <c:v>54.006700000000002</c:v>
                      </c:pt>
                      <c:pt idx="3">
                        <c:v>70.816900000000004</c:v>
                      </c:pt>
                      <c:pt idx="4">
                        <c:v>346.58960000000002</c:v>
                      </c:pt>
                      <c:pt idx="5">
                        <c:v>587.44000000000005</c:v>
                      </c:pt>
                    </c:numCache>
                  </c:numRef>
                </c:yVal>
                <c:smooth val="1"/>
                <c:extLst xmlns:c15="http://schemas.microsoft.com/office/drawing/2012/chart">
                  <c:ext xmlns:c16="http://schemas.microsoft.com/office/drawing/2014/chart" uri="{C3380CC4-5D6E-409C-BE32-E72D297353CC}">
                    <c16:uniqueId val="{00000005-963B-477B-9973-8C8B2A2EF129}"/>
                  </c:ext>
                </c:extLst>
              </c15:ser>
            </c15:filteredScatterSeries>
          </c:ext>
        </c:extLst>
      </c:scatterChart>
      <c:valAx>
        <c:axId val="648086432"/>
        <c:scaling>
          <c:logBase val="10"/>
          <c:orientation val="minMax"/>
          <c:min val="1"/>
        </c:scaling>
        <c:delete val="0"/>
        <c:axPos val="b"/>
        <c:title>
          <c:tx>
            <c:rich>
              <a:bodyPr rot="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r>
                  <a:rPr lang="en-US"/>
                  <a:t>Shear rate (1/s)</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8097256"/>
        <c:crosses val="autoZero"/>
        <c:crossBetween val="midCat"/>
      </c:valAx>
      <c:valAx>
        <c:axId val="648097256"/>
        <c:scaling>
          <c:logBase val="10"/>
          <c:orientation val="minMax"/>
        </c:scaling>
        <c:delete val="0"/>
        <c:axPos val="l"/>
        <c:title>
          <c:tx>
            <c:rich>
              <a:bodyPr rot="-540000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r>
                  <a:rPr lang="en-US"/>
                  <a:t>Apparent Viscosity (cp)</a:t>
                </a:r>
              </a:p>
            </c:rich>
          </c:tx>
          <c:overlay val="0"/>
          <c:spPr>
            <a:noFill/>
            <a:ln>
              <a:noFill/>
            </a:ln>
            <a:effectLst/>
          </c:spPr>
          <c:txPr>
            <a:bodyPr rot="-540000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648086432"/>
        <c:crosses val="autoZero"/>
        <c:crossBetween val="midCat"/>
        <c:majorUnit val="50"/>
      </c:valAx>
      <c:spPr>
        <a:noFill/>
        <a:ln w="12700">
          <a:solidFill>
            <a:schemeClr val="tx1"/>
          </a:solidFill>
        </a:ln>
        <a:effectLst/>
      </c:spPr>
    </c:plotArea>
    <c:legend>
      <c:legendPos val="r"/>
      <c:layout>
        <c:manualLayout>
          <c:xMode val="edge"/>
          <c:yMode val="edge"/>
          <c:x val="0.13782543139554365"/>
          <c:y val="8.3107724741954436E-2"/>
          <c:w val="0.78041324621656338"/>
          <c:h val="0.1383809099334281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40" b="0" i="0" u="none" strike="noStrike" kern="1200" spc="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24 hrs Swelling</a:t>
            </a:r>
          </a:p>
        </c:rich>
      </c:tx>
      <c:layout>
        <c:manualLayout>
          <c:xMode val="edge"/>
          <c:yMode val="edge"/>
          <c:x val="0.43104991394148023"/>
          <c:y val="2.0671834625322998E-2"/>
        </c:manualLayout>
      </c:layout>
      <c:overlay val="0"/>
      <c:spPr>
        <a:noFill/>
        <a:ln>
          <a:noFill/>
        </a:ln>
        <a:effectLst/>
      </c:spPr>
      <c:txPr>
        <a:bodyPr rot="0" spcFirstLastPara="1" vertOverflow="ellipsis" vert="horz" wrap="square" anchor="ctr" anchorCtr="1"/>
        <a:lstStyle/>
        <a:p>
          <a:pPr algn="ctr">
            <a:defRPr sz="1440" b="0" i="0" u="none" strike="noStrike" kern="1200" spc="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4296747319540523"/>
          <c:y val="7.2708515602216389E-2"/>
          <c:w val="0.81258822404284481"/>
          <c:h val="0.73091566259720286"/>
        </c:manualLayout>
      </c:layout>
      <c:barChart>
        <c:barDir val="col"/>
        <c:grouping val="clustered"/>
        <c:varyColors val="0"/>
        <c:ser>
          <c:idx val="0"/>
          <c:order val="0"/>
          <c:tx>
            <c:strRef>
              <c:f>'Comparative Analysis of Wells'!$C$2</c:f>
              <c:strCache>
                <c:ptCount val="1"/>
                <c:pt idx="0">
                  <c:v>24 hrs</c:v>
                </c:pt>
              </c:strCache>
            </c:strRef>
          </c:tx>
          <c:spPr>
            <a:solidFill>
              <a:schemeClr val="accent1"/>
            </a:solidFill>
            <a:ln>
              <a:noFill/>
            </a:ln>
            <a:effectLst/>
          </c:spPr>
          <c:invertIfNegative val="0"/>
          <c:dPt>
            <c:idx val="0"/>
            <c:invertIfNegative val="0"/>
            <c:bubble3D val="0"/>
            <c:spPr>
              <a:solidFill>
                <a:schemeClr val="tx1"/>
              </a:solidFill>
              <a:ln>
                <a:noFill/>
              </a:ln>
              <a:effectLst/>
            </c:spPr>
            <c:extLst>
              <c:ext xmlns:c16="http://schemas.microsoft.com/office/drawing/2014/chart" uri="{C3380CC4-5D6E-409C-BE32-E72D297353CC}">
                <c16:uniqueId val="{00000001-93FD-49FA-8662-E641BC12F839}"/>
              </c:ext>
            </c:extLst>
          </c:dPt>
          <c:dPt>
            <c:idx val="1"/>
            <c:invertIfNegative val="0"/>
            <c:bubble3D val="0"/>
            <c:spPr>
              <a:solidFill>
                <a:schemeClr val="bg1">
                  <a:lumMod val="50000"/>
                </a:schemeClr>
              </a:solidFill>
              <a:ln>
                <a:noFill/>
              </a:ln>
              <a:effectLst/>
            </c:spPr>
            <c:extLst>
              <c:ext xmlns:c16="http://schemas.microsoft.com/office/drawing/2014/chart" uri="{C3380CC4-5D6E-409C-BE32-E72D297353CC}">
                <c16:uniqueId val="{00000003-93FD-49FA-8662-E641BC12F839}"/>
              </c:ext>
            </c:extLst>
          </c:dPt>
          <c:dPt>
            <c:idx val="2"/>
            <c:invertIfNegative val="0"/>
            <c:bubble3D val="0"/>
            <c:spPr>
              <a:solidFill>
                <a:schemeClr val="tx2"/>
              </a:solidFill>
              <a:ln>
                <a:noFill/>
              </a:ln>
              <a:effectLst/>
            </c:spPr>
            <c:extLst>
              <c:ext xmlns:c16="http://schemas.microsoft.com/office/drawing/2014/chart" uri="{C3380CC4-5D6E-409C-BE32-E72D297353CC}">
                <c16:uniqueId val="{00000005-93FD-49FA-8662-E641BC12F839}"/>
              </c:ext>
            </c:extLst>
          </c:dPt>
          <c:dPt>
            <c:idx val="3"/>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7-93FD-49FA-8662-E641BC12F839}"/>
              </c:ext>
            </c:extLst>
          </c:dPt>
          <c:dPt>
            <c:idx val="4"/>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9-93FD-49FA-8662-E641BC12F839}"/>
              </c:ext>
            </c:extLst>
          </c:dPt>
          <c:errBars>
            <c:errBarType val="both"/>
            <c:errValType val="fixedVal"/>
            <c:noEndCap val="0"/>
            <c:val val="0.5"/>
            <c:spPr>
              <a:noFill/>
              <a:ln w="28575" cap="flat" cmpd="sng" algn="ctr">
                <a:solidFill>
                  <a:srgbClr val="C00000"/>
                </a:solidFill>
                <a:round/>
              </a:ln>
              <a:effectLst/>
            </c:spPr>
          </c:errBars>
          <c:cat>
            <c:strRef>
              <c:f>'Comparative Analysis of Wells'!$B$3:$B$7</c:f>
              <c:strCache>
                <c:ptCount val="5"/>
                <c:pt idx="0">
                  <c:v>Freshwater</c:v>
                </c:pt>
                <c:pt idx="1">
                  <c:v>Water-based mud</c:v>
                </c:pt>
                <c:pt idx="2">
                  <c:v>1% KCl </c:v>
                </c:pt>
                <c:pt idx="3">
                  <c:v>2% KCl</c:v>
                </c:pt>
                <c:pt idx="4">
                  <c:v>Cesium Formate</c:v>
                </c:pt>
              </c:strCache>
            </c:strRef>
          </c:cat>
          <c:val>
            <c:numRef>
              <c:f>'Comparative Analysis of Wells'!$C$3:$C$7</c:f>
              <c:numCache>
                <c:formatCode>0</c:formatCode>
                <c:ptCount val="5"/>
                <c:pt idx="0">
                  <c:v>29.629629629629623</c:v>
                </c:pt>
                <c:pt idx="1">
                  <c:v>18.518518518518519</c:v>
                </c:pt>
                <c:pt idx="2">
                  <c:v>14.814814814814811</c:v>
                </c:pt>
                <c:pt idx="3">
                  <c:v>11.111111111111104</c:v>
                </c:pt>
                <c:pt idx="4">
                  <c:v>3.7037037037036904</c:v>
                </c:pt>
              </c:numCache>
            </c:numRef>
          </c:val>
          <c:extLst>
            <c:ext xmlns:c16="http://schemas.microsoft.com/office/drawing/2014/chart" uri="{C3380CC4-5D6E-409C-BE32-E72D297353CC}">
              <c16:uniqueId val="{0000000A-93FD-49FA-8662-E641BC12F839}"/>
            </c:ext>
          </c:extLst>
        </c:ser>
        <c:dLbls>
          <c:showLegendKey val="0"/>
          <c:showVal val="0"/>
          <c:showCatName val="0"/>
          <c:showSerName val="0"/>
          <c:showPercent val="0"/>
          <c:showBubbleSize val="0"/>
        </c:dLbls>
        <c:gapWidth val="219"/>
        <c:overlap val="-27"/>
        <c:axId val="724432104"/>
        <c:axId val="724435712"/>
      </c:barChart>
      <c:catAx>
        <c:axId val="72443210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Drilling Fluid Systems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lumMod val="95000"/>
                <a:lumOff val="5000"/>
              </a:schemeClr>
            </a:solidFill>
            <a:round/>
            <a:tailEnd type="triangle"/>
          </a:ln>
          <a:effectLst/>
        </c:spPr>
        <c:txPr>
          <a:bodyPr rot="-60000000" spcFirstLastPara="1" vertOverflow="ellipsis" vert="horz" wrap="square" anchor="ctr" anchorCtr="1"/>
          <a:lstStyle/>
          <a:p>
            <a:pPr>
              <a:defRPr sz="11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724435712"/>
        <c:crosses val="autoZero"/>
        <c:auto val="1"/>
        <c:lblAlgn val="ctr"/>
        <c:lblOffset val="100"/>
        <c:noMultiLvlLbl val="0"/>
      </c:catAx>
      <c:valAx>
        <c:axId val="724435712"/>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Swelling Index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out"/>
        <c:minorTickMark val="none"/>
        <c:tickLblPos val="nextTo"/>
        <c:spPr>
          <a:noFill/>
          <a:ln w="12700">
            <a:solidFill>
              <a:schemeClr val="tx1">
                <a:lumMod val="95000"/>
                <a:lumOff val="5000"/>
              </a:schemeClr>
            </a:solidFill>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7244321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96747319540523"/>
          <c:y val="7.2708515602216389E-2"/>
          <c:w val="0.81258822404284481"/>
          <c:h val="0.73091566259720286"/>
        </c:manualLayout>
      </c:layout>
      <c:barChart>
        <c:barDir val="col"/>
        <c:grouping val="clustered"/>
        <c:varyColors val="0"/>
        <c:ser>
          <c:idx val="0"/>
          <c:order val="0"/>
          <c:tx>
            <c:strRef>
              <c:f>'Comparative Analysis of Wells'!$C$2</c:f>
              <c:strCache>
                <c:ptCount val="1"/>
                <c:pt idx="0">
                  <c:v>24 hrs</c:v>
                </c:pt>
              </c:strCache>
            </c:strRef>
          </c:tx>
          <c:spPr>
            <a:solidFill>
              <a:schemeClr val="tx1"/>
            </a:solidFill>
            <a:ln>
              <a:noFill/>
            </a:ln>
            <a:effectLst/>
          </c:spPr>
          <c:invertIfNegative val="0"/>
          <c:errBars>
            <c:errBarType val="both"/>
            <c:errValType val="fixedVal"/>
            <c:noEndCap val="0"/>
            <c:val val="0.5"/>
            <c:spPr>
              <a:noFill/>
              <a:ln w="28575" cap="flat" cmpd="sng" algn="ctr">
                <a:solidFill>
                  <a:srgbClr val="C00000"/>
                </a:solidFill>
                <a:round/>
              </a:ln>
              <a:effectLst/>
            </c:spPr>
          </c:errBars>
          <c:cat>
            <c:strRef>
              <c:f>'Comparative Analysis of Wells'!$B$3:$B$7</c:f>
              <c:strCache>
                <c:ptCount val="5"/>
                <c:pt idx="0">
                  <c:v>Freshwater</c:v>
                </c:pt>
                <c:pt idx="1">
                  <c:v>Water-based mud</c:v>
                </c:pt>
                <c:pt idx="2">
                  <c:v>1% KCl </c:v>
                </c:pt>
                <c:pt idx="3">
                  <c:v>2% KCl</c:v>
                </c:pt>
                <c:pt idx="4">
                  <c:v>Cesium Formate</c:v>
                </c:pt>
              </c:strCache>
            </c:strRef>
          </c:cat>
          <c:val>
            <c:numRef>
              <c:f>'Comparative Analysis of Wells'!$C$3:$C$7</c:f>
              <c:numCache>
                <c:formatCode>0</c:formatCode>
                <c:ptCount val="5"/>
                <c:pt idx="0">
                  <c:v>29.629629629629623</c:v>
                </c:pt>
                <c:pt idx="1">
                  <c:v>18.518518518518519</c:v>
                </c:pt>
                <c:pt idx="2">
                  <c:v>14.814814814814811</c:v>
                </c:pt>
                <c:pt idx="3">
                  <c:v>11.111111111111104</c:v>
                </c:pt>
                <c:pt idx="4">
                  <c:v>3.7037037037036904</c:v>
                </c:pt>
              </c:numCache>
            </c:numRef>
          </c:val>
          <c:extLst>
            <c:ext xmlns:c16="http://schemas.microsoft.com/office/drawing/2014/chart" uri="{C3380CC4-5D6E-409C-BE32-E72D297353CC}">
              <c16:uniqueId val="{00000000-619F-42F5-AD06-B188D78F3637}"/>
            </c:ext>
          </c:extLst>
        </c:ser>
        <c:ser>
          <c:idx val="1"/>
          <c:order val="1"/>
          <c:tx>
            <c:strRef>
              <c:f>'Comparative Analysis of Wells'!$D$2</c:f>
              <c:strCache>
                <c:ptCount val="1"/>
                <c:pt idx="0">
                  <c:v>48 hrs</c:v>
                </c:pt>
              </c:strCache>
            </c:strRef>
          </c:tx>
          <c:spPr>
            <a:solidFill>
              <a:schemeClr val="bg1">
                <a:lumMod val="50000"/>
              </a:schemeClr>
            </a:solidFill>
            <a:ln>
              <a:noFill/>
            </a:ln>
            <a:effectLst/>
          </c:spPr>
          <c:invertIfNegative val="0"/>
          <c:errBars>
            <c:errBarType val="both"/>
            <c:errValType val="fixedVal"/>
            <c:noEndCap val="0"/>
            <c:val val="0.5"/>
            <c:spPr>
              <a:noFill/>
              <a:ln w="28575" cap="flat" cmpd="sng" algn="ctr">
                <a:solidFill>
                  <a:srgbClr val="C00000"/>
                </a:solidFill>
                <a:round/>
              </a:ln>
              <a:effectLst/>
            </c:spPr>
          </c:errBars>
          <c:cat>
            <c:strRef>
              <c:f>'Comparative Analysis of Wells'!$B$3:$B$7</c:f>
              <c:strCache>
                <c:ptCount val="5"/>
                <c:pt idx="0">
                  <c:v>Freshwater</c:v>
                </c:pt>
                <c:pt idx="1">
                  <c:v>Water-based mud</c:v>
                </c:pt>
                <c:pt idx="2">
                  <c:v>1% KCl </c:v>
                </c:pt>
                <c:pt idx="3">
                  <c:v>2% KCl</c:v>
                </c:pt>
                <c:pt idx="4">
                  <c:v>Cesium Formate</c:v>
                </c:pt>
              </c:strCache>
            </c:strRef>
          </c:cat>
          <c:val>
            <c:numRef>
              <c:f>'Comparative Analysis of Wells'!$D$3:$D$7</c:f>
              <c:numCache>
                <c:formatCode>General</c:formatCode>
                <c:ptCount val="5"/>
                <c:pt idx="0">
                  <c:v>50</c:v>
                </c:pt>
                <c:pt idx="1">
                  <c:v>35.000000000000007</c:v>
                </c:pt>
                <c:pt idx="2">
                  <c:v>19.999999999999996</c:v>
                </c:pt>
                <c:pt idx="3" formatCode="0">
                  <c:v>19.047619047619044</c:v>
                </c:pt>
                <c:pt idx="4">
                  <c:v>8.0000000000000071</c:v>
                </c:pt>
              </c:numCache>
            </c:numRef>
          </c:val>
          <c:extLst>
            <c:ext xmlns:c16="http://schemas.microsoft.com/office/drawing/2014/chart" uri="{C3380CC4-5D6E-409C-BE32-E72D297353CC}">
              <c16:uniqueId val="{00000001-619F-42F5-AD06-B188D78F3637}"/>
            </c:ext>
          </c:extLst>
        </c:ser>
        <c:ser>
          <c:idx val="2"/>
          <c:order val="2"/>
          <c:tx>
            <c:strRef>
              <c:f>'Comparative Analysis of Wells'!$E$2</c:f>
              <c:strCache>
                <c:ptCount val="1"/>
                <c:pt idx="0">
                  <c:v>72 hrs</c:v>
                </c:pt>
              </c:strCache>
            </c:strRef>
          </c:tx>
          <c:spPr>
            <a:solidFill>
              <a:schemeClr val="tx2">
                <a:lumMod val="60000"/>
                <a:lumOff val="40000"/>
              </a:schemeClr>
            </a:solidFill>
            <a:ln>
              <a:noFill/>
            </a:ln>
            <a:effectLst/>
          </c:spPr>
          <c:invertIfNegative val="0"/>
          <c:errBars>
            <c:errBarType val="both"/>
            <c:errValType val="fixedVal"/>
            <c:noEndCap val="0"/>
            <c:val val="0.5"/>
            <c:spPr>
              <a:noFill/>
              <a:ln w="28575" cap="flat" cmpd="sng" algn="ctr">
                <a:solidFill>
                  <a:srgbClr val="C00000"/>
                </a:solidFill>
                <a:round/>
              </a:ln>
              <a:effectLst/>
            </c:spPr>
          </c:errBars>
          <c:cat>
            <c:strRef>
              <c:f>'Comparative Analysis of Wells'!$B$3:$B$7</c:f>
              <c:strCache>
                <c:ptCount val="5"/>
                <c:pt idx="0">
                  <c:v>Freshwater</c:v>
                </c:pt>
                <c:pt idx="1">
                  <c:v>Water-based mud</c:v>
                </c:pt>
                <c:pt idx="2">
                  <c:v>1% KCl </c:v>
                </c:pt>
                <c:pt idx="3">
                  <c:v>2% KCl</c:v>
                </c:pt>
                <c:pt idx="4">
                  <c:v>Cesium Formate</c:v>
                </c:pt>
              </c:strCache>
            </c:strRef>
          </c:cat>
          <c:val>
            <c:numRef>
              <c:f>'Comparative Analysis of Wells'!$E$3:$E$7</c:f>
              <c:numCache>
                <c:formatCode>General</c:formatCode>
                <c:ptCount val="5"/>
                <c:pt idx="0">
                  <c:v>55.000000000000007</c:v>
                </c:pt>
                <c:pt idx="1">
                  <c:v>39.999999999999993</c:v>
                </c:pt>
                <c:pt idx="2">
                  <c:v>30.000000000000004</c:v>
                </c:pt>
                <c:pt idx="3" formatCode="0">
                  <c:v>23.809523809523807</c:v>
                </c:pt>
                <c:pt idx="4">
                  <c:v>11.999999999999993</c:v>
                </c:pt>
              </c:numCache>
            </c:numRef>
          </c:val>
          <c:extLst>
            <c:ext xmlns:c16="http://schemas.microsoft.com/office/drawing/2014/chart" uri="{C3380CC4-5D6E-409C-BE32-E72D297353CC}">
              <c16:uniqueId val="{00000002-619F-42F5-AD06-B188D78F3637}"/>
            </c:ext>
          </c:extLst>
        </c:ser>
        <c:ser>
          <c:idx val="3"/>
          <c:order val="3"/>
          <c:tx>
            <c:strRef>
              <c:f>'Comparative Analysis of Wells'!$F$2</c:f>
              <c:strCache>
                <c:ptCount val="1"/>
                <c:pt idx="0">
                  <c:v>7 days</c:v>
                </c:pt>
              </c:strCache>
            </c:strRef>
          </c:tx>
          <c:spPr>
            <a:solidFill>
              <a:schemeClr val="accent6">
                <a:lumMod val="60000"/>
                <a:lumOff val="40000"/>
              </a:schemeClr>
            </a:solidFill>
            <a:ln>
              <a:noFill/>
            </a:ln>
            <a:effectLst/>
          </c:spPr>
          <c:invertIfNegative val="0"/>
          <c:errBars>
            <c:errBarType val="both"/>
            <c:errValType val="fixedVal"/>
            <c:noEndCap val="0"/>
            <c:val val="0.5"/>
            <c:spPr>
              <a:noFill/>
              <a:ln w="28575" cap="flat" cmpd="sng" algn="ctr">
                <a:solidFill>
                  <a:srgbClr val="C00000"/>
                </a:solidFill>
                <a:round/>
              </a:ln>
              <a:effectLst/>
            </c:spPr>
          </c:errBars>
          <c:cat>
            <c:strRef>
              <c:f>'Comparative Analysis of Wells'!$B$3:$B$7</c:f>
              <c:strCache>
                <c:ptCount val="5"/>
                <c:pt idx="0">
                  <c:v>Freshwater</c:v>
                </c:pt>
                <c:pt idx="1">
                  <c:v>Water-based mud</c:v>
                </c:pt>
                <c:pt idx="2">
                  <c:v>1% KCl </c:v>
                </c:pt>
                <c:pt idx="3">
                  <c:v>2% KCl</c:v>
                </c:pt>
                <c:pt idx="4">
                  <c:v>Cesium Formate</c:v>
                </c:pt>
              </c:strCache>
            </c:strRef>
          </c:cat>
          <c:val>
            <c:numRef>
              <c:f>'Comparative Analysis of Wells'!$F$3:$F$7</c:f>
              <c:numCache>
                <c:formatCode>General</c:formatCode>
                <c:ptCount val="5"/>
                <c:pt idx="0">
                  <c:v>64.999999999999986</c:v>
                </c:pt>
                <c:pt idx="1">
                  <c:v>55.000000000000007</c:v>
                </c:pt>
                <c:pt idx="2">
                  <c:v>44.999999999999993</c:v>
                </c:pt>
                <c:pt idx="3">
                  <c:v>33.333333333333321</c:v>
                </c:pt>
                <c:pt idx="4">
                  <c:v>15.999999999999998</c:v>
                </c:pt>
              </c:numCache>
            </c:numRef>
          </c:val>
          <c:extLst>
            <c:ext xmlns:c16="http://schemas.microsoft.com/office/drawing/2014/chart" uri="{C3380CC4-5D6E-409C-BE32-E72D297353CC}">
              <c16:uniqueId val="{00000003-619F-42F5-AD06-B188D78F3637}"/>
            </c:ext>
          </c:extLst>
        </c:ser>
        <c:dLbls>
          <c:showLegendKey val="0"/>
          <c:showVal val="0"/>
          <c:showCatName val="0"/>
          <c:showSerName val="0"/>
          <c:showPercent val="0"/>
          <c:showBubbleSize val="0"/>
        </c:dLbls>
        <c:gapWidth val="219"/>
        <c:overlap val="-27"/>
        <c:axId val="724432104"/>
        <c:axId val="724435712"/>
      </c:barChart>
      <c:catAx>
        <c:axId val="72443210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Drilling Fluid Systems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lumMod val="95000"/>
                <a:lumOff val="5000"/>
              </a:schemeClr>
            </a:solidFill>
            <a:round/>
            <a:tailEnd type="triangle"/>
          </a:ln>
          <a:effectLst/>
        </c:spPr>
        <c:txPr>
          <a:bodyPr rot="-60000000" spcFirstLastPara="1" vertOverflow="ellipsis" vert="horz" wrap="square" anchor="ctr" anchorCtr="1"/>
          <a:lstStyle/>
          <a:p>
            <a:pPr>
              <a:defRPr sz="11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724435712"/>
        <c:crosses val="autoZero"/>
        <c:auto val="1"/>
        <c:lblAlgn val="ctr"/>
        <c:lblOffset val="100"/>
        <c:noMultiLvlLbl val="0"/>
      </c:catAx>
      <c:valAx>
        <c:axId val="724435712"/>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Swelling Index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out"/>
        <c:minorTickMark val="none"/>
        <c:tickLblPos val="nextTo"/>
        <c:spPr>
          <a:noFill/>
          <a:ln w="12700">
            <a:solidFill>
              <a:schemeClr val="tx1">
                <a:lumMod val="95000"/>
                <a:lumOff val="5000"/>
              </a:schemeClr>
            </a:solidFill>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724432104"/>
        <c:crosses val="autoZero"/>
        <c:crossBetween val="between"/>
      </c:valAx>
      <c:spPr>
        <a:noFill/>
        <a:ln>
          <a:noFill/>
        </a:ln>
        <a:effectLst/>
      </c:spPr>
    </c:plotArea>
    <c:legend>
      <c:legendPos val="b"/>
      <c:layout>
        <c:manualLayout>
          <c:xMode val="edge"/>
          <c:yMode val="edge"/>
          <c:x val="0.36327449693788277"/>
          <c:y val="6.8167104111985954E-2"/>
          <c:w val="0.59498613280627366"/>
          <c:h val="7.4280946095610895E-2"/>
        </c:manualLayout>
      </c:layout>
      <c:overlay val="0"/>
      <c:spPr>
        <a:noFill/>
        <a:ln>
          <a:noFill/>
        </a:ln>
        <a:effectLst/>
      </c:spPr>
      <c:txPr>
        <a:bodyPr rot="0" spcFirstLastPara="1" vertOverflow="ellipsis" vert="horz" wrap="square" anchor="ctr" anchorCtr="1"/>
        <a:lstStyle/>
        <a:p>
          <a:pPr>
            <a:defRPr sz="1200" b="0" i="0" u="none" strike="noStrike" kern="1200" baseline="0">
              <a:solidFill>
                <a:srgbClr val="C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tx1"/>
              </a:solidFill>
              <a:ln>
                <a:noFill/>
              </a:ln>
              <a:effectLst/>
            </c:spPr>
            <c:extLst>
              <c:ext xmlns:c16="http://schemas.microsoft.com/office/drawing/2014/chart" uri="{C3380CC4-5D6E-409C-BE32-E72D297353CC}">
                <c16:uniqueId val="{00000001-1A7D-4FC4-9EFE-DD42CE21A6E1}"/>
              </c:ext>
            </c:extLst>
          </c:dPt>
          <c:dPt>
            <c:idx val="1"/>
            <c:invertIfNegative val="0"/>
            <c:bubble3D val="0"/>
            <c:spPr>
              <a:solidFill>
                <a:schemeClr val="bg1">
                  <a:lumMod val="50000"/>
                </a:schemeClr>
              </a:solidFill>
              <a:ln>
                <a:noFill/>
              </a:ln>
              <a:effectLst/>
            </c:spPr>
            <c:extLst>
              <c:ext xmlns:c16="http://schemas.microsoft.com/office/drawing/2014/chart" uri="{C3380CC4-5D6E-409C-BE32-E72D297353CC}">
                <c16:uniqueId val="{00000003-1A7D-4FC4-9EFE-DD42CE21A6E1}"/>
              </c:ext>
            </c:extLst>
          </c:dPt>
          <c:dPt>
            <c:idx val="2"/>
            <c:invertIfNegative val="0"/>
            <c:bubble3D val="0"/>
            <c:spPr>
              <a:solidFill>
                <a:schemeClr val="tx2">
                  <a:lumMod val="75000"/>
                </a:schemeClr>
              </a:solidFill>
              <a:ln>
                <a:noFill/>
              </a:ln>
              <a:effectLst/>
            </c:spPr>
            <c:extLst>
              <c:ext xmlns:c16="http://schemas.microsoft.com/office/drawing/2014/chart" uri="{C3380CC4-5D6E-409C-BE32-E72D297353CC}">
                <c16:uniqueId val="{00000005-1A7D-4FC4-9EFE-DD42CE21A6E1}"/>
              </c:ext>
            </c:extLst>
          </c:dPt>
          <c:dPt>
            <c:idx val="3"/>
            <c:invertIfNegative val="0"/>
            <c:bubble3D val="0"/>
            <c:spPr>
              <a:solidFill>
                <a:schemeClr val="tx2">
                  <a:lumMod val="60000"/>
                  <a:lumOff val="40000"/>
                </a:schemeClr>
              </a:solidFill>
              <a:ln>
                <a:solidFill>
                  <a:schemeClr val="accent6">
                    <a:lumMod val="60000"/>
                    <a:lumOff val="40000"/>
                  </a:schemeClr>
                </a:solidFill>
              </a:ln>
              <a:effectLst/>
            </c:spPr>
            <c:extLst>
              <c:ext xmlns:c16="http://schemas.microsoft.com/office/drawing/2014/chart" uri="{C3380CC4-5D6E-409C-BE32-E72D297353CC}">
                <c16:uniqueId val="{00000007-1A7D-4FC4-9EFE-DD42CE21A6E1}"/>
              </c:ext>
            </c:extLst>
          </c:dPt>
          <c:dPt>
            <c:idx val="4"/>
            <c:invertIfNegative val="0"/>
            <c:bubble3D val="0"/>
            <c:spPr>
              <a:solidFill>
                <a:schemeClr val="accent6">
                  <a:lumMod val="60000"/>
                  <a:lumOff val="40000"/>
                </a:schemeClr>
              </a:solidFill>
              <a:ln>
                <a:noFill/>
              </a:ln>
              <a:effectLst/>
            </c:spPr>
            <c:extLst>
              <c:ext xmlns:c16="http://schemas.microsoft.com/office/drawing/2014/chart" uri="{C3380CC4-5D6E-409C-BE32-E72D297353CC}">
                <c16:uniqueId val="{00000009-1A7D-4FC4-9EFE-DD42CE21A6E1}"/>
              </c:ext>
            </c:extLst>
          </c:dPt>
          <c:errBars>
            <c:errBarType val="both"/>
            <c:errValType val="percentage"/>
            <c:noEndCap val="0"/>
            <c:val val="5"/>
            <c:spPr>
              <a:noFill/>
              <a:ln w="28575" cap="flat" cmpd="sng" algn="ctr">
                <a:solidFill>
                  <a:srgbClr val="C00000"/>
                </a:solidFill>
                <a:round/>
              </a:ln>
              <a:effectLst/>
            </c:spPr>
          </c:errBars>
          <c:cat>
            <c:strRef>
              <c:f>'Cutting Dispersion'!$A$3:$A$7</c:f>
              <c:strCache>
                <c:ptCount val="5"/>
                <c:pt idx="0">
                  <c:v>Freshwater</c:v>
                </c:pt>
                <c:pt idx="1">
                  <c:v>WBM</c:v>
                </c:pt>
                <c:pt idx="2">
                  <c:v>1% KCl </c:v>
                </c:pt>
                <c:pt idx="3">
                  <c:v>2% KCl</c:v>
                </c:pt>
                <c:pt idx="4">
                  <c:v>Cesium formate</c:v>
                </c:pt>
              </c:strCache>
            </c:strRef>
          </c:cat>
          <c:val>
            <c:numRef>
              <c:f>'Cutting Dispersion'!$D$3:$D$7</c:f>
              <c:numCache>
                <c:formatCode>General</c:formatCode>
                <c:ptCount val="5"/>
                <c:pt idx="0">
                  <c:v>65</c:v>
                </c:pt>
                <c:pt idx="1">
                  <c:v>75</c:v>
                </c:pt>
                <c:pt idx="2">
                  <c:v>82</c:v>
                </c:pt>
                <c:pt idx="3">
                  <c:v>84.5</c:v>
                </c:pt>
                <c:pt idx="4">
                  <c:v>85.7</c:v>
                </c:pt>
              </c:numCache>
            </c:numRef>
          </c:val>
          <c:extLst>
            <c:ext xmlns:c16="http://schemas.microsoft.com/office/drawing/2014/chart" uri="{C3380CC4-5D6E-409C-BE32-E72D297353CC}">
              <c16:uniqueId val="{0000000A-1A7D-4FC4-9EFE-DD42CE21A6E1}"/>
            </c:ext>
          </c:extLst>
        </c:ser>
        <c:dLbls>
          <c:showLegendKey val="0"/>
          <c:showVal val="0"/>
          <c:showCatName val="0"/>
          <c:showSerName val="0"/>
          <c:showPercent val="0"/>
          <c:showBubbleSize val="0"/>
        </c:dLbls>
        <c:gapWidth val="219"/>
        <c:overlap val="-27"/>
        <c:axId val="537769440"/>
        <c:axId val="537768784"/>
      </c:barChart>
      <c:catAx>
        <c:axId val="53776944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bg2">
                        <a:lumMod val="10000"/>
                      </a:schemeClr>
                    </a:solidFill>
                    <a:latin typeface="Arial" panose="020B0604020202020204" pitchFamily="34" charset="0"/>
                    <a:ea typeface="+mn-ea"/>
                    <a:cs typeface="Arial" panose="020B0604020202020204" pitchFamily="34" charset="0"/>
                  </a:defRPr>
                </a:pPr>
                <a:r>
                  <a:rPr lang="en-US"/>
                  <a:t>Drilling fluid systems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bg2">
                      <a:lumMod val="10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5875" cap="flat" cmpd="sng" algn="ctr">
            <a:solidFill>
              <a:schemeClr val="tx1">
                <a:lumMod val="95000"/>
                <a:lumOff val="5000"/>
              </a:schemeClr>
            </a:solidFill>
            <a:round/>
            <a:tailEnd type="triangle"/>
          </a:ln>
          <a:effectLst/>
        </c:spPr>
        <c:txPr>
          <a:bodyPr rot="-60000000" spcFirstLastPara="1" vertOverflow="ellipsis" vert="horz" wrap="square" anchor="ctr" anchorCtr="1"/>
          <a:lstStyle/>
          <a:p>
            <a:pPr>
              <a:defRPr sz="1200" b="0" i="0" u="none" strike="noStrike" kern="1200" baseline="0">
                <a:solidFill>
                  <a:schemeClr val="bg2">
                    <a:lumMod val="10000"/>
                  </a:schemeClr>
                </a:solidFill>
                <a:latin typeface="Arial" panose="020B0604020202020204" pitchFamily="34" charset="0"/>
                <a:ea typeface="+mn-ea"/>
                <a:cs typeface="Arial" panose="020B0604020202020204" pitchFamily="34" charset="0"/>
              </a:defRPr>
            </a:pPr>
            <a:endParaRPr lang="en-US"/>
          </a:p>
        </c:txPr>
        <c:crossAx val="537768784"/>
        <c:crosses val="autoZero"/>
        <c:auto val="1"/>
        <c:lblAlgn val="ctr"/>
        <c:lblOffset val="100"/>
        <c:noMultiLvlLbl val="0"/>
      </c:catAx>
      <c:valAx>
        <c:axId val="53776878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bg2">
                        <a:lumMod val="10000"/>
                      </a:schemeClr>
                    </a:solidFill>
                    <a:latin typeface="Arial" panose="020B0604020202020204" pitchFamily="34" charset="0"/>
                    <a:ea typeface="+mn-ea"/>
                    <a:cs typeface="Arial" panose="020B0604020202020204" pitchFamily="34" charset="0"/>
                  </a:defRPr>
                </a:pPr>
                <a:r>
                  <a:rPr lang="en-US"/>
                  <a:t>Cutting Recovery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bg2">
                      <a:lumMod val="10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a:solidFill>
              <a:schemeClr val="tx1">
                <a:lumMod val="95000"/>
                <a:lumOff val="5000"/>
              </a:schemeClr>
            </a:solidFill>
            <a:tailEnd type="triangle"/>
          </a:ln>
          <a:effectLst/>
        </c:spPr>
        <c:txPr>
          <a:bodyPr rot="-60000000" spcFirstLastPara="1" vertOverflow="ellipsis" vert="horz" wrap="square" anchor="ctr" anchorCtr="1"/>
          <a:lstStyle/>
          <a:p>
            <a:pPr>
              <a:defRPr sz="1200" b="0" i="0" u="none" strike="noStrike" kern="1200" baseline="0">
                <a:solidFill>
                  <a:schemeClr val="bg2">
                    <a:lumMod val="10000"/>
                  </a:schemeClr>
                </a:solidFill>
                <a:latin typeface="Arial" panose="020B0604020202020204" pitchFamily="34" charset="0"/>
                <a:ea typeface="+mn-ea"/>
                <a:cs typeface="Arial" panose="020B0604020202020204" pitchFamily="34" charset="0"/>
              </a:defRPr>
            </a:pPr>
            <a:endParaRPr lang="en-US"/>
          </a:p>
        </c:txPr>
        <c:crossAx val="5377694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bg2">
              <a:lumMod val="10000"/>
            </a:schemeClr>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20384951881015"/>
          <c:y val="5.7060367454068242E-2"/>
          <c:w val="0.84524059492563441"/>
          <c:h val="0.73796806649168833"/>
        </c:manualLayout>
      </c:layout>
      <c:barChart>
        <c:barDir val="col"/>
        <c:grouping val="clustered"/>
        <c:varyColors val="0"/>
        <c:ser>
          <c:idx val="0"/>
          <c:order val="0"/>
          <c:tx>
            <c:strRef>
              <c:f>'[Chart in Microsoft PowerPoint]Analysis'!$A$5</c:f>
              <c:strCache>
                <c:ptCount val="1"/>
                <c:pt idx="0">
                  <c:v>Two 500 µm V.F</c:v>
                </c:pt>
              </c:strCache>
            </c:strRef>
          </c:tx>
          <c:spPr>
            <a:solidFill>
              <a:schemeClr val="accent1"/>
            </a:solidFill>
            <a:ln>
              <a:noFill/>
            </a:ln>
            <a:effectLst/>
          </c:spPr>
          <c:invertIfNegative val="0"/>
          <c:errBars>
            <c:errBarType val="both"/>
            <c:errValType val="percentage"/>
            <c:noEndCap val="0"/>
            <c:val val="5"/>
            <c:spPr>
              <a:noFill/>
              <a:ln w="19050" cap="flat" cmpd="sng" algn="ctr">
                <a:solidFill>
                  <a:schemeClr val="tx1">
                    <a:lumMod val="95000"/>
                    <a:lumOff val="5000"/>
                  </a:schemeClr>
                </a:solidFill>
                <a:round/>
              </a:ln>
              <a:effectLst/>
            </c:spPr>
          </c:errBars>
          <c:cat>
            <c:numRef>
              <c:f>'[Chart in Microsoft PowerPoint]Analysis'!$B$4:$D$4</c:f>
              <c:numCache>
                <c:formatCode>General</c:formatCode>
                <c:ptCount val="3"/>
                <c:pt idx="0">
                  <c:v>5</c:v>
                </c:pt>
                <c:pt idx="1">
                  <c:v>10</c:v>
                </c:pt>
                <c:pt idx="2">
                  <c:v>20</c:v>
                </c:pt>
              </c:numCache>
            </c:numRef>
          </c:cat>
          <c:val>
            <c:numRef>
              <c:f>'[Chart in Microsoft PowerPoint]Analysis'!$B$5:$D$5</c:f>
              <c:numCache>
                <c:formatCode>General</c:formatCode>
                <c:ptCount val="3"/>
                <c:pt idx="0">
                  <c:v>4.17</c:v>
                </c:pt>
                <c:pt idx="1">
                  <c:v>1.89</c:v>
                </c:pt>
                <c:pt idx="2">
                  <c:v>0.54</c:v>
                </c:pt>
              </c:numCache>
            </c:numRef>
          </c:val>
          <c:extLst>
            <c:ext xmlns:c16="http://schemas.microsoft.com/office/drawing/2014/chart" uri="{C3380CC4-5D6E-409C-BE32-E72D297353CC}">
              <c16:uniqueId val="{00000000-3C1F-4381-BF36-ACD629DBA421}"/>
            </c:ext>
          </c:extLst>
        </c:ser>
        <c:ser>
          <c:idx val="1"/>
          <c:order val="1"/>
          <c:tx>
            <c:strRef>
              <c:f>'[Chart in Microsoft PowerPoint]Analysis'!$A$6</c:f>
              <c:strCache>
                <c:ptCount val="1"/>
                <c:pt idx="0">
                  <c:v>1000  µm V.F</c:v>
                </c:pt>
              </c:strCache>
            </c:strRef>
          </c:tx>
          <c:spPr>
            <a:solidFill>
              <a:schemeClr val="accent2"/>
            </a:solidFill>
            <a:ln>
              <a:noFill/>
            </a:ln>
            <a:effectLst/>
          </c:spPr>
          <c:invertIfNegative val="0"/>
          <c:errBars>
            <c:errBarType val="both"/>
            <c:errValType val="percentage"/>
            <c:noEndCap val="0"/>
            <c:val val="5"/>
            <c:spPr>
              <a:noFill/>
              <a:ln w="19050" cap="flat" cmpd="sng" algn="ctr">
                <a:solidFill>
                  <a:schemeClr val="tx1">
                    <a:lumMod val="95000"/>
                    <a:lumOff val="5000"/>
                  </a:schemeClr>
                </a:solidFill>
                <a:round/>
              </a:ln>
              <a:effectLst/>
            </c:spPr>
          </c:errBars>
          <c:cat>
            <c:numRef>
              <c:f>'[Chart in Microsoft PowerPoint]Analysis'!$B$4:$D$4</c:f>
              <c:numCache>
                <c:formatCode>General</c:formatCode>
                <c:ptCount val="3"/>
                <c:pt idx="0">
                  <c:v>5</c:v>
                </c:pt>
                <c:pt idx="1">
                  <c:v>10</c:v>
                </c:pt>
                <c:pt idx="2">
                  <c:v>20</c:v>
                </c:pt>
              </c:numCache>
            </c:numRef>
          </c:cat>
          <c:val>
            <c:numRef>
              <c:f>'[Chart in Microsoft PowerPoint]Analysis'!$B$6:$D$6</c:f>
              <c:numCache>
                <c:formatCode>General</c:formatCode>
                <c:ptCount val="3"/>
                <c:pt idx="0">
                  <c:v>4.8899999999999997</c:v>
                </c:pt>
                <c:pt idx="1">
                  <c:v>2.35</c:v>
                </c:pt>
                <c:pt idx="2">
                  <c:v>1.1499999999999999</c:v>
                </c:pt>
              </c:numCache>
            </c:numRef>
          </c:val>
          <c:extLst>
            <c:ext xmlns:c16="http://schemas.microsoft.com/office/drawing/2014/chart" uri="{C3380CC4-5D6E-409C-BE32-E72D297353CC}">
              <c16:uniqueId val="{00000001-3C1F-4381-BF36-ACD629DBA421}"/>
            </c:ext>
          </c:extLst>
        </c:ser>
        <c:ser>
          <c:idx val="2"/>
          <c:order val="2"/>
          <c:tx>
            <c:strRef>
              <c:f>'[Chart in Microsoft PowerPoint]Analysis'!$A$7</c:f>
              <c:strCache>
                <c:ptCount val="1"/>
                <c:pt idx="0">
                  <c:v>2000  µm V.F</c:v>
                </c:pt>
              </c:strCache>
            </c:strRef>
          </c:tx>
          <c:spPr>
            <a:solidFill>
              <a:srgbClr val="FF0000"/>
            </a:solidFill>
            <a:ln>
              <a:noFill/>
            </a:ln>
            <a:effectLst/>
          </c:spPr>
          <c:invertIfNegative val="0"/>
          <c:errBars>
            <c:errBarType val="both"/>
            <c:errValType val="percentage"/>
            <c:noEndCap val="0"/>
            <c:val val="5"/>
            <c:spPr>
              <a:noFill/>
              <a:ln w="19050" cap="flat" cmpd="sng" algn="ctr">
                <a:solidFill>
                  <a:schemeClr val="tx1">
                    <a:lumMod val="95000"/>
                    <a:lumOff val="5000"/>
                  </a:schemeClr>
                </a:solidFill>
                <a:round/>
              </a:ln>
              <a:effectLst/>
            </c:spPr>
          </c:errBars>
          <c:cat>
            <c:numRef>
              <c:f>'[Chart in Microsoft PowerPoint]Analysis'!$B$4:$D$4</c:f>
              <c:numCache>
                <c:formatCode>General</c:formatCode>
                <c:ptCount val="3"/>
                <c:pt idx="0">
                  <c:v>5</c:v>
                </c:pt>
                <c:pt idx="1">
                  <c:v>10</c:v>
                </c:pt>
                <c:pt idx="2">
                  <c:v>20</c:v>
                </c:pt>
              </c:numCache>
            </c:numRef>
          </c:cat>
          <c:val>
            <c:numRef>
              <c:f>'[Chart in Microsoft PowerPoint]Analysis'!$B$7:$D$7</c:f>
              <c:numCache>
                <c:formatCode>General</c:formatCode>
                <c:ptCount val="3"/>
                <c:pt idx="0">
                  <c:v>6.35</c:v>
                </c:pt>
                <c:pt idx="1">
                  <c:v>3.45</c:v>
                </c:pt>
                <c:pt idx="2">
                  <c:v>1.85</c:v>
                </c:pt>
              </c:numCache>
            </c:numRef>
          </c:val>
          <c:extLst>
            <c:ext xmlns:c16="http://schemas.microsoft.com/office/drawing/2014/chart" uri="{C3380CC4-5D6E-409C-BE32-E72D297353CC}">
              <c16:uniqueId val="{00000002-3C1F-4381-BF36-ACD629DBA421}"/>
            </c:ext>
          </c:extLst>
        </c:ser>
        <c:dLbls>
          <c:showLegendKey val="0"/>
          <c:showVal val="0"/>
          <c:showCatName val="0"/>
          <c:showSerName val="0"/>
          <c:showPercent val="0"/>
          <c:showBubbleSize val="0"/>
        </c:dLbls>
        <c:gapWidth val="219"/>
        <c:overlap val="-27"/>
        <c:axId val="672156792"/>
        <c:axId val="672158104"/>
      </c:barChart>
      <c:catAx>
        <c:axId val="67215679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Cedar Fiber LCM concentration (lb/bbl)</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5875" cap="flat" cmpd="sng" algn="ctr">
            <a:solidFill>
              <a:schemeClr val="tx1">
                <a:lumMod val="95000"/>
                <a:lumOff val="5000"/>
              </a:schemeClr>
            </a:solidFill>
            <a:round/>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672158104"/>
        <c:crosses val="autoZero"/>
        <c:auto val="1"/>
        <c:lblAlgn val="ctr"/>
        <c:lblOffset val="100"/>
        <c:noMultiLvlLbl val="0"/>
      </c:catAx>
      <c:valAx>
        <c:axId val="672158104"/>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Cumulative Dynamic Fluid Loss (Cm3)</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a:solidFill>
              <a:schemeClr val="tx1">
                <a:lumMod val="95000"/>
                <a:lumOff val="5000"/>
              </a:schemeClr>
            </a:solidFill>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672156792"/>
        <c:crosses val="autoZero"/>
        <c:crossBetween val="between"/>
      </c:valAx>
      <c:spPr>
        <a:noFill/>
        <a:ln>
          <a:noFill/>
        </a:ln>
        <a:effectLst/>
      </c:spPr>
    </c:plotArea>
    <c:legend>
      <c:legendPos val="b"/>
      <c:layout>
        <c:manualLayout>
          <c:xMode val="edge"/>
          <c:yMode val="edge"/>
          <c:x val="0.17222222222222222"/>
          <c:y val="1.9096750837179835E-2"/>
          <c:w val="0.80833333333333346"/>
          <c:h val="7.1580233505294605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5875" cap="flat" cmpd="sng" algn="ctr">
      <a:noFill/>
      <a:round/>
    </a:ln>
    <a:effectLst/>
  </c:spPr>
  <c:txPr>
    <a:bodyPr/>
    <a:lstStyle/>
    <a:p>
      <a:pPr>
        <a:defRPr sz="12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60757867694285"/>
          <c:y val="4.4681199466576109E-2"/>
          <c:w val="0.82913294797687864"/>
          <c:h val="0.81189368476322432"/>
        </c:manualLayout>
      </c:layout>
      <c:barChart>
        <c:barDir val="col"/>
        <c:grouping val="clustered"/>
        <c:varyColors val="0"/>
        <c:ser>
          <c:idx val="0"/>
          <c:order val="0"/>
          <c:tx>
            <c:strRef>
              <c:f>'[Chart in Microsoft PowerPoint]Analysis'!$A$12</c:f>
              <c:strCache>
                <c:ptCount val="1"/>
                <c:pt idx="0">
                  <c:v>Two 500 µm V.F</c:v>
                </c:pt>
              </c:strCache>
            </c:strRef>
          </c:tx>
          <c:spPr>
            <a:solidFill>
              <a:schemeClr val="accent1"/>
            </a:solidFill>
            <a:ln>
              <a:noFill/>
            </a:ln>
            <a:effectLst/>
          </c:spPr>
          <c:invertIfNegative val="0"/>
          <c:errBars>
            <c:errBarType val="both"/>
            <c:errValType val="percentage"/>
            <c:noEndCap val="0"/>
            <c:val val="5"/>
            <c:spPr>
              <a:noFill/>
              <a:ln w="19050" cap="flat" cmpd="sng" algn="ctr">
                <a:solidFill>
                  <a:schemeClr val="tx1">
                    <a:lumMod val="95000"/>
                    <a:lumOff val="5000"/>
                  </a:schemeClr>
                </a:solidFill>
                <a:round/>
              </a:ln>
              <a:effectLst/>
            </c:spPr>
          </c:errBars>
          <c:cat>
            <c:numRef>
              <c:f>'[Chart in Microsoft PowerPoint]Analysis'!$B$11:$D$11</c:f>
              <c:numCache>
                <c:formatCode>General</c:formatCode>
                <c:ptCount val="3"/>
                <c:pt idx="0">
                  <c:v>5</c:v>
                </c:pt>
                <c:pt idx="1">
                  <c:v>10</c:v>
                </c:pt>
                <c:pt idx="2">
                  <c:v>20</c:v>
                </c:pt>
              </c:numCache>
            </c:numRef>
          </c:cat>
          <c:val>
            <c:numRef>
              <c:f>'[Chart in Microsoft PowerPoint]Analysis'!$B$12:$D$12</c:f>
              <c:numCache>
                <c:formatCode>General</c:formatCode>
                <c:ptCount val="3"/>
                <c:pt idx="0">
                  <c:v>4.17</c:v>
                </c:pt>
                <c:pt idx="1">
                  <c:v>1.89</c:v>
                </c:pt>
                <c:pt idx="2">
                  <c:v>0.54</c:v>
                </c:pt>
              </c:numCache>
            </c:numRef>
          </c:val>
          <c:extLst>
            <c:ext xmlns:c16="http://schemas.microsoft.com/office/drawing/2014/chart" uri="{C3380CC4-5D6E-409C-BE32-E72D297353CC}">
              <c16:uniqueId val="{00000000-FC73-4AD7-8020-271133DB0BD0}"/>
            </c:ext>
          </c:extLst>
        </c:ser>
        <c:ser>
          <c:idx val="1"/>
          <c:order val="1"/>
          <c:tx>
            <c:strRef>
              <c:f>'[Chart in Microsoft PowerPoint]Analysis'!$A$13</c:f>
              <c:strCache>
                <c:ptCount val="1"/>
                <c:pt idx="0">
                  <c:v>1000  µm V.F</c:v>
                </c:pt>
              </c:strCache>
            </c:strRef>
          </c:tx>
          <c:spPr>
            <a:solidFill>
              <a:schemeClr val="accent2"/>
            </a:solidFill>
            <a:ln>
              <a:noFill/>
            </a:ln>
            <a:effectLst/>
          </c:spPr>
          <c:invertIfNegative val="0"/>
          <c:errBars>
            <c:errBarType val="both"/>
            <c:errValType val="percentage"/>
            <c:noEndCap val="0"/>
            <c:val val="5"/>
            <c:spPr>
              <a:noFill/>
              <a:ln w="19050" cap="flat" cmpd="sng" algn="ctr">
                <a:solidFill>
                  <a:schemeClr val="tx1">
                    <a:lumMod val="95000"/>
                    <a:lumOff val="5000"/>
                  </a:schemeClr>
                </a:solidFill>
                <a:round/>
              </a:ln>
              <a:effectLst/>
            </c:spPr>
          </c:errBars>
          <c:cat>
            <c:numRef>
              <c:f>'[Chart in Microsoft PowerPoint]Analysis'!$B$11:$D$11</c:f>
              <c:numCache>
                <c:formatCode>General</c:formatCode>
                <c:ptCount val="3"/>
                <c:pt idx="0">
                  <c:v>5</c:v>
                </c:pt>
                <c:pt idx="1">
                  <c:v>10</c:v>
                </c:pt>
                <c:pt idx="2">
                  <c:v>20</c:v>
                </c:pt>
              </c:numCache>
            </c:numRef>
          </c:cat>
          <c:val>
            <c:numRef>
              <c:f>'[Chart in Microsoft PowerPoint]Analysis'!$B$13:$D$13</c:f>
              <c:numCache>
                <c:formatCode>General</c:formatCode>
                <c:ptCount val="3"/>
                <c:pt idx="0">
                  <c:v>4.8899999999999997</c:v>
                </c:pt>
                <c:pt idx="1">
                  <c:v>2.35</c:v>
                </c:pt>
                <c:pt idx="2">
                  <c:v>1.1499999999999999</c:v>
                </c:pt>
              </c:numCache>
            </c:numRef>
          </c:val>
          <c:extLst>
            <c:ext xmlns:c16="http://schemas.microsoft.com/office/drawing/2014/chart" uri="{C3380CC4-5D6E-409C-BE32-E72D297353CC}">
              <c16:uniqueId val="{00000001-FC73-4AD7-8020-271133DB0BD0}"/>
            </c:ext>
          </c:extLst>
        </c:ser>
        <c:ser>
          <c:idx val="2"/>
          <c:order val="2"/>
          <c:tx>
            <c:strRef>
              <c:f>'[Chart in Microsoft PowerPoint]Analysis'!$A$14</c:f>
              <c:strCache>
                <c:ptCount val="1"/>
                <c:pt idx="0">
                  <c:v>1000 µm H.F</c:v>
                </c:pt>
              </c:strCache>
            </c:strRef>
          </c:tx>
          <c:spPr>
            <a:solidFill>
              <a:srgbClr val="00B050"/>
            </a:solidFill>
            <a:ln>
              <a:noFill/>
            </a:ln>
            <a:effectLst/>
          </c:spPr>
          <c:invertIfNegative val="0"/>
          <c:errBars>
            <c:errBarType val="both"/>
            <c:errValType val="percentage"/>
            <c:noEndCap val="0"/>
            <c:val val="5"/>
            <c:spPr>
              <a:noFill/>
              <a:ln w="19050" cap="flat" cmpd="sng" algn="ctr">
                <a:solidFill>
                  <a:schemeClr val="tx1">
                    <a:lumMod val="95000"/>
                    <a:lumOff val="5000"/>
                  </a:schemeClr>
                </a:solidFill>
                <a:round/>
              </a:ln>
              <a:effectLst/>
            </c:spPr>
          </c:errBars>
          <c:cat>
            <c:numRef>
              <c:f>'[Chart in Microsoft PowerPoint]Analysis'!$B$11:$D$11</c:f>
              <c:numCache>
                <c:formatCode>General</c:formatCode>
                <c:ptCount val="3"/>
                <c:pt idx="0">
                  <c:v>5</c:v>
                </c:pt>
                <c:pt idx="1">
                  <c:v>10</c:v>
                </c:pt>
                <c:pt idx="2">
                  <c:v>20</c:v>
                </c:pt>
              </c:numCache>
            </c:numRef>
          </c:cat>
          <c:val>
            <c:numRef>
              <c:f>'[Chart in Microsoft PowerPoint]Analysis'!$B$14:$D$14</c:f>
              <c:numCache>
                <c:formatCode>General</c:formatCode>
                <c:ptCount val="3"/>
                <c:pt idx="0">
                  <c:v>3.14</c:v>
                </c:pt>
                <c:pt idx="1">
                  <c:v>1.456</c:v>
                </c:pt>
                <c:pt idx="2">
                  <c:v>0.35</c:v>
                </c:pt>
              </c:numCache>
            </c:numRef>
          </c:val>
          <c:extLst>
            <c:ext xmlns:c16="http://schemas.microsoft.com/office/drawing/2014/chart" uri="{C3380CC4-5D6E-409C-BE32-E72D297353CC}">
              <c16:uniqueId val="{00000002-FC73-4AD7-8020-271133DB0BD0}"/>
            </c:ext>
          </c:extLst>
        </c:ser>
        <c:dLbls>
          <c:showLegendKey val="0"/>
          <c:showVal val="0"/>
          <c:showCatName val="0"/>
          <c:showSerName val="0"/>
          <c:showPercent val="0"/>
          <c:showBubbleSize val="0"/>
        </c:dLbls>
        <c:gapWidth val="219"/>
        <c:overlap val="-27"/>
        <c:axId val="535284200"/>
        <c:axId val="535278296"/>
      </c:barChart>
      <c:catAx>
        <c:axId val="53528420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Cedar Fiber LCM Concentration (lb/bbl)</a:t>
                </a:r>
              </a:p>
            </c:rich>
          </c:tx>
          <c:layout>
            <c:manualLayout>
              <c:xMode val="edge"/>
              <c:yMode val="edge"/>
              <c:x val="0.31887314354434892"/>
              <c:y val="0.918480728018842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5875" cap="flat" cmpd="sng" algn="ctr">
            <a:solidFill>
              <a:schemeClr val="tx1">
                <a:lumMod val="95000"/>
                <a:lumOff val="5000"/>
              </a:schemeClr>
            </a:solidFill>
            <a:round/>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535278296"/>
        <c:crosses val="autoZero"/>
        <c:auto val="1"/>
        <c:lblAlgn val="ctr"/>
        <c:lblOffset val="100"/>
        <c:noMultiLvlLbl val="0"/>
      </c:catAx>
      <c:valAx>
        <c:axId val="535278296"/>
        <c:scaling>
          <c:orientation val="minMax"/>
        </c:scaling>
        <c:delete val="0"/>
        <c:axPos val="l"/>
        <c:title>
          <c:tx>
            <c:rich>
              <a:bodyPr rot="-5400000" spcFirstLastPara="1" vertOverflow="ellipsis" vert="horz" wrap="square" anchor="ctr" anchorCtr="1"/>
              <a:lstStyle/>
              <a:p>
                <a:pPr algn="ct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Cumulative Dynamic Fluid Loss(cm3)</a:t>
                </a:r>
              </a:p>
            </c:rich>
          </c:tx>
          <c:overlay val="0"/>
          <c:spPr>
            <a:noFill/>
            <a:ln>
              <a:noFill/>
            </a:ln>
            <a:effectLst/>
          </c:spPr>
          <c:txPr>
            <a:bodyPr rot="-5400000" spcFirstLastPara="1" vertOverflow="ellipsis" vert="horz" wrap="square" anchor="ctr" anchorCtr="1"/>
            <a:lstStyle/>
            <a:p>
              <a:pPr algn="ct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a:solidFill>
              <a:schemeClr val="tx1">
                <a:lumMod val="95000"/>
                <a:lumOff val="5000"/>
              </a:schemeClr>
            </a:solidFill>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535284200"/>
        <c:crosses val="autoZero"/>
        <c:crossBetween val="between"/>
      </c:valAx>
      <c:spPr>
        <a:noFill/>
        <a:ln>
          <a:noFill/>
        </a:ln>
        <a:effectLst/>
      </c:spPr>
    </c:plotArea>
    <c:legend>
      <c:legendPos val="b"/>
      <c:layout>
        <c:manualLayout>
          <c:xMode val="edge"/>
          <c:yMode val="edge"/>
          <c:x val="0.29971978244987424"/>
          <c:y val="2.6373483187605205E-2"/>
          <c:w val="0.67003966772194712"/>
          <c:h val="7.371653184010607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548381452318461"/>
          <c:y val="3.9693273567064299E-2"/>
          <c:w val="0.83652952755905507"/>
          <c:h val="0.80007830684463199"/>
        </c:manualLayout>
      </c:layout>
      <c:scatterChart>
        <c:scatterStyle val="smoothMarker"/>
        <c:varyColors val="0"/>
        <c:ser>
          <c:idx val="0"/>
          <c:order val="0"/>
          <c:tx>
            <c:v>WBM</c:v>
          </c:tx>
          <c:spPr>
            <a:ln w="12700" cap="rnd">
              <a:solidFill>
                <a:srgbClr val="FF0000"/>
              </a:solidFill>
              <a:round/>
            </a:ln>
            <a:effectLst/>
          </c:spPr>
          <c:marker>
            <c:symbol val="triangle"/>
            <c:size val="6"/>
            <c:spPr>
              <a:solidFill>
                <a:srgbClr val="0070C0"/>
              </a:solidFill>
              <a:ln w="9525">
                <a:solidFill>
                  <a:srgbClr val="FF0000"/>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12-1H'!$A$7:$A$9</c:f>
              <c:numCache>
                <c:formatCode>General</c:formatCode>
                <c:ptCount val="3"/>
                <c:pt idx="0">
                  <c:v>0</c:v>
                </c:pt>
                <c:pt idx="1">
                  <c:v>50</c:v>
                </c:pt>
                <c:pt idx="2">
                  <c:v>100</c:v>
                </c:pt>
              </c:numCache>
            </c:numRef>
          </c:xVal>
          <c:yVal>
            <c:numRef>
              <c:f>'Crosby 12-1H'!$D$7:$D$9</c:f>
              <c:numCache>
                <c:formatCode>General</c:formatCode>
                <c:ptCount val="3"/>
                <c:pt idx="0">
                  <c:v>0</c:v>
                </c:pt>
                <c:pt idx="1">
                  <c:v>3.2370000000000001</c:v>
                </c:pt>
                <c:pt idx="2">
                  <c:v>12.234999999999999</c:v>
                </c:pt>
              </c:numCache>
            </c:numRef>
          </c:yVal>
          <c:smooth val="1"/>
          <c:extLst>
            <c:ext xmlns:c16="http://schemas.microsoft.com/office/drawing/2014/chart" uri="{C3380CC4-5D6E-409C-BE32-E72D297353CC}">
              <c16:uniqueId val="{00000000-B63C-48E1-B225-4B8E68C71265}"/>
            </c:ext>
          </c:extLst>
        </c:ser>
        <c:ser>
          <c:idx val="1"/>
          <c:order val="1"/>
          <c:tx>
            <c:v>1 % KCl</c:v>
          </c:tx>
          <c:spPr>
            <a:ln w="12700" cap="rnd">
              <a:solidFill>
                <a:srgbClr val="0070C0"/>
              </a:solidFill>
              <a:round/>
            </a:ln>
            <a:effectLst/>
          </c:spPr>
          <c:marker>
            <c:symbol val="diamond"/>
            <c:size val="6"/>
            <c:spPr>
              <a:solidFill>
                <a:srgbClr val="0070C0">
                  <a:alpha val="99000"/>
                </a:srgbClr>
              </a:solidFill>
              <a:ln w="9525">
                <a:solidFill>
                  <a:srgbClr val="0070C0"/>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12-1H'!$A$7:$A$9</c:f>
              <c:numCache>
                <c:formatCode>General</c:formatCode>
                <c:ptCount val="3"/>
                <c:pt idx="0">
                  <c:v>0</c:v>
                </c:pt>
                <c:pt idx="1">
                  <c:v>50</c:v>
                </c:pt>
                <c:pt idx="2">
                  <c:v>100</c:v>
                </c:pt>
              </c:numCache>
            </c:numRef>
          </c:xVal>
          <c:yVal>
            <c:numRef>
              <c:f>'Crosby 12-1H'!$D$10:$D$12</c:f>
              <c:numCache>
                <c:formatCode>General</c:formatCode>
                <c:ptCount val="3"/>
                <c:pt idx="0">
                  <c:v>0</c:v>
                </c:pt>
                <c:pt idx="1">
                  <c:v>2.56</c:v>
                </c:pt>
                <c:pt idx="2">
                  <c:v>10.25</c:v>
                </c:pt>
              </c:numCache>
            </c:numRef>
          </c:yVal>
          <c:smooth val="1"/>
          <c:extLst>
            <c:ext xmlns:c16="http://schemas.microsoft.com/office/drawing/2014/chart" uri="{C3380CC4-5D6E-409C-BE32-E72D297353CC}">
              <c16:uniqueId val="{00000001-B63C-48E1-B225-4B8E68C71265}"/>
            </c:ext>
          </c:extLst>
        </c:ser>
        <c:ser>
          <c:idx val="2"/>
          <c:order val="2"/>
          <c:tx>
            <c:v>2% KCl</c:v>
          </c:tx>
          <c:spPr>
            <a:ln w="12700" cap="rnd">
              <a:solidFill>
                <a:srgbClr val="FFC000"/>
              </a:solidFill>
              <a:round/>
            </a:ln>
            <a:effectLst/>
          </c:spPr>
          <c:marker>
            <c:symbol val="square"/>
            <c:size val="6"/>
            <c:spPr>
              <a:solidFill>
                <a:srgbClr val="FFC000"/>
              </a:solidFill>
              <a:ln w="9525">
                <a:solidFill>
                  <a:srgbClr val="FFC000"/>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12-1H'!$A$10:$A$12</c:f>
              <c:numCache>
                <c:formatCode>General</c:formatCode>
                <c:ptCount val="3"/>
                <c:pt idx="0">
                  <c:v>0</c:v>
                </c:pt>
                <c:pt idx="1">
                  <c:v>50</c:v>
                </c:pt>
                <c:pt idx="2">
                  <c:v>100</c:v>
                </c:pt>
              </c:numCache>
            </c:numRef>
          </c:xVal>
          <c:yVal>
            <c:numRef>
              <c:f>'Crosby 12-1H'!$D$13:$D$15</c:f>
              <c:numCache>
                <c:formatCode>General</c:formatCode>
                <c:ptCount val="3"/>
                <c:pt idx="0">
                  <c:v>0</c:v>
                </c:pt>
                <c:pt idx="1">
                  <c:v>1.369</c:v>
                </c:pt>
                <c:pt idx="2">
                  <c:v>10.012499999999999</c:v>
                </c:pt>
              </c:numCache>
            </c:numRef>
          </c:yVal>
          <c:smooth val="1"/>
          <c:extLst>
            <c:ext xmlns:c16="http://schemas.microsoft.com/office/drawing/2014/chart" uri="{C3380CC4-5D6E-409C-BE32-E72D297353CC}">
              <c16:uniqueId val="{00000002-B63C-48E1-B225-4B8E68C71265}"/>
            </c:ext>
          </c:extLst>
        </c:ser>
        <c:ser>
          <c:idx val="3"/>
          <c:order val="3"/>
          <c:tx>
            <c:v>Cesium Formate</c:v>
          </c:tx>
          <c:spPr>
            <a:ln w="12700" cap="rnd">
              <a:solidFill>
                <a:srgbClr val="00B050">
                  <a:alpha val="96000"/>
                </a:srgbClr>
              </a:solidFill>
              <a:round/>
            </a:ln>
            <a:effectLst/>
          </c:spPr>
          <c:marker>
            <c:symbol val="circle"/>
            <c:size val="6"/>
            <c:spPr>
              <a:solidFill>
                <a:srgbClr val="00B050"/>
              </a:solidFill>
              <a:ln w="9525">
                <a:solidFill>
                  <a:srgbClr val="00B050"/>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12-1H'!$A$16:$A$18</c:f>
              <c:numCache>
                <c:formatCode>General</c:formatCode>
                <c:ptCount val="3"/>
                <c:pt idx="0">
                  <c:v>0</c:v>
                </c:pt>
                <c:pt idx="1">
                  <c:v>50</c:v>
                </c:pt>
                <c:pt idx="2">
                  <c:v>100</c:v>
                </c:pt>
              </c:numCache>
            </c:numRef>
          </c:xVal>
          <c:yVal>
            <c:numRef>
              <c:f>'Crosby 12-1H'!$D$16:$D$18</c:f>
              <c:numCache>
                <c:formatCode>General</c:formatCode>
                <c:ptCount val="3"/>
                <c:pt idx="0">
                  <c:v>0</c:v>
                </c:pt>
                <c:pt idx="1">
                  <c:v>1.0449999999999999</c:v>
                </c:pt>
                <c:pt idx="2">
                  <c:v>9.6690000000000005</c:v>
                </c:pt>
              </c:numCache>
            </c:numRef>
          </c:yVal>
          <c:smooth val="1"/>
          <c:extLst>
            <c:ext xmlns:c16="http://schemas.microsoft.com/office/drawing/2014/chart" uri="{C3380CC4-5D6E-409C-BE32-E72D297353CC}">
              <c16:uniqueId val="{00000003-B63C-48E1-B225-4B8E68C71265}"/>
            </c:ext>
          </c:extLst>
        </c:ser>
        <c:dLbls>
          <c:showLegendKey val="0"/>
          <c:showVal val="0"/>
          <c:showCatName val="0"/>
          <c:showSerName val="0"/>
          <c:showPercent val="0"/>
          <c:showBubbleSize val="0"/>
        </c:dLbls>
        <c:axId val="533780008"/>
        <c:axId val="533788208"/>
      </c:scatterChart>
      <c:valAx>
        <c:axId val="533780008"/>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WOB</a:t>
                </a:r>
                <a:r>
                  <a:rPr lang="en-US" baseline="0"/>
                  <a:t> (</a:t>
                </a:r>
                <a:r>
                  <a:rPr lang="en-US"/>
                  <a:t>lbs)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cap="flat" cmpd="sng" algn="ctr">
            <a:solidFill>
              <a:schemeClr val="tx1"/>
            </a:solidFill>
            <a:round/>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533788208"/>
        <c:crosses val="autoZero"/>
        <c:crossBetween val="midCat"/>
      </c:valAx>
      <c:valAx>
        <c:axId val="533788208"/>
        <c:scaling>
          <c:orientation val="minMax"/>
          <c:min val="0"/>
        </c:scaling>
        <c:delete val="0"/>
        <c:axPos val="l"/>
        <c:title>
          <c:tx>
            <c:rich>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Torque</a:t>
                </a:r>
                <a:r>
                  <a:rPr lang="en-US" baseline="0"/>
                  <a:t> (</a:t>
                </a:r>
                <a:r>
                  <a:rPr lang="en-US"/>
                  <a:t>in-lbs) </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cap="flat" cmpd="sng" algn="ctr">
            <a:solidFill>
              <a:schemeClr val="tx1">
                <a:lumMod val="95000"/>
                <a:lumOff val="5000"/>
              </a:schemeClr>
            </a:solidFill>
            <a:round/>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533780008"/>
        <c:crosses val="autoZero"/>
        <c:crossBetween val="midCat"/>
      </c:valAx>
      <c:spPr>
        <a:noFill/>
        <a:ln>
          <a:noFill/>
        </a:ln>
        <a:effectLst/>
      </c:spPr>
    </c:plotArea>
    <c:legend>
      <c:legendPos val="r"/>
      <c:layout>
        <c:manualLayout>
          <c:xMode val="edge"/>
          <c:yMode val="edge"/>
          <c:x val="0.12823556430446195"/>
          <c:y val="2.4581984652313062E-2"/>
          <c:w val="0.86620888013998254"/>
          <c:h val="0.1064518475414605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179733668260794"/>
          <c:y val="4.1607546423538019E-2"/>
          <c:w val="0.79364861600888847"/>
          <c:h val="0.79043675712510619"/>
        </c:manualLayout>
      </c:layout>
      <c:scatterChart>
        <c:scatterStyle val="smoothMarker"/>
        <c:varyColors val="0"/>
        <c:ser>
          <c:idx val="0"/>
          <c:order val="0"/>
          <c:tx>
            <c:v>WBM</c:v>
          </c:tx>
          <c:spPr>
            <a:ln w="12700" cap="rnd">
              <a:solidFill>
                <a:srgbClr val="FF0000">
                  <a:alpha val="97000"/>
                </a:srgbClr>
              </a:solidFill>
              <a:round/>
            </a:ln>
            <a:effectLst/>
          </c:spPr>
          <c:marker>
            <c:symbol val="triangle"/>
            <c:size val="6"/>
            <c:spPr>
              <a:solidFill>
                <a:schemeClr val="accent1"/>
              </a:solidFill>
              <a:ln w="9525">
                <a:solidFill>
                  <a:srgbClr val="FF0000"/>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12-1H'!$A$7:$A$9</c:f>
              <c:numCache>
                <c:formatCode>General</c:formatCode>
                <c:ptCount val="3"/>
                <c:pt idx="0">
                  <c:v>0</c:v>
                </c:pt>
                <c:pt idx="1">
                  <c:v>50</c:v>
                </c:pt>
                <c:pt idx="2">
                  <c:v>100</c:v>
                </c:pt>
              </c:numCache>
            </c:numRef>
          </c:xVal>
          <c:yVal>
            <c:numRef>
              <c:f>'Crosby 12-1H'!$C$7:$C$9</c:f>
              <c:numCache>
                <c:formatCode>General</c:formatCode>
                <c:ptCount val="3"/>
                <c:pt idx="0">
                  <c:v>0</c:v>
                </c:pt>
                <c:pt idx="1">
                  <c:v>9.2999999999999999E-2</c:v>
                </c:pt>
                <c:pt idx="2">
                  <c:v>0.216</c:v>
                </c:pt>
              </c:numCache>
            </c:numRef>
          </c:yVal>
          <c:smooth val="1"/>
          <c:extLst>
            <c:ext xmlns:c16="http://schemas.microsoft.com/office/drawing/2014/chart" uri="{C3380CC4-5D6E-409C-BE32-E72D297353CC}">
              <c16:uniqueId val="{00000000-8C5A-4FDF-891F-549B4C623CF3}"/>
            </c:ext>
          </c:extLst>
        </c:ser>
        <c:ser>
          <c:idx val="1"/>
          <c:order val="1"/>
          <c:tx>
            <c:v>1 % KCl</c:v>
          </c:tx>
          <c:spPr>
            <a:ln w="12700" cap="rnd">
              <a:solidFill>
                <a:srgbClr val="0070C0"/>
              </a:solidFill>
              <a:round/>
            </a:ln>
            <a:effectLst/>
          </c:spPr>
          <c:marker>
            <c:symbol val="diamond"/>
            <c:size val="6"/>
            <c:spPr>
              <a:solidFill>
                <a:srgbClr val="0070C0"/>
              </a:solidFill>
              <a:ln w="9525">
                <a:solidFill>
                  <a:srgbClr val="0070C0"/>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12-1H'!$A$7:$A$9</c:f>
              <c:numCache>
                <c:formatCode>General</c:formatCode>
                <c:ptCount val="3"/>
                <c:pt idx="0">
                  <c:v>0</c:v>
                </c:pt>
                <c:pt idx="1">
                  <c:v>50</c:v>
                </c:pt>
                <c:pt idx="2">
                  <c:v>100</c:v>
                </c:pt>
              </c:numCache>
            </c:numRef>
          </c:xVal>
          <c:yVal>
            <c:numRef>
              <c:f>'Crosby 12-1H'!$C$10:$C$12</c:f>
              <c:numCache>
                <c:formatCode>General</c:formatCode>
                <c:ptCount val="3"/>
                <c:pt idx="0">
                  <c:v>0</c:v>
                </c:pt>
                <c:pt idx="1">
                  <c:v>8.6999999999999994E-2</c:v>
                </c:pt>
                <c:pt idx="2">
                  <c:v>0.17100000000000001</c:v>
                </c:pt>
              </c:numCache>
            </c:numRef>
          </c:yVal>
          <c:smooth val="1"/>
          <c:extLst>
            <c:ext xmlns:c16="http://schemas.microsoft.com/office/drawing/2014/chart" uri="{C3380CC4-5D6E-409C-BE32-E72D297353CC}">
              <c16:uniqueId val="{00000001-8C5A-4FDF-891F-549B4C623CF3}"/>
            </c:ext>
          </c:extLst>
        </c:ser>
        <c:ser>
          <c:idx val="2"/>
          <c:order val="2"/>
          <c:tx>
            <c:v>2% KCl</c:v>
          </c:tx>
          <c:spPr>
            <a:ln w="12700" cap="rnd">
              <a:solidFill>
                <a:srgbClr val="FFC000"/>
              </a:solidFill>
              <a:round/>
            </a:ln>
            <a:effectLst/>
          </c:spPr>
          <c:marker>
            <c:symbol val="square"/>
            <c:size val="6"/>
            <c:spPr>
              <a:solidFill>
                <a:srgbClr val="FFC000">
                  <a:alpha val="93000"/>
                </a:srgbClr>
              </a:solidFill>
              <a:ln w="9525">
                <a:solidFill>
                  <a:srgbClr val="FFC000">
                    <a:alpha val="95000"/>
                  </a:srgbClr>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12-1H'!$A$13:$A$15</c:f>
              <c:numCache>
                <c:formatCode>General</c:formatCode>
                <c:ptCount val="3"/>
                <c:pt idx="0">
                  <c:v>0</c:v>
                </c:pt>
                <c:pt idx="1">
                  <c:v>50</c:v>
                </c:pt>
                <c:pt idx="2">
                  <c:v>100</c:v>
                </c:pt>
              </c:numCache>
            </c:numRef>
          </c:xVal>
          <c:yVal>
            <c:numRef>
              <c:f>'Crosby 12-1H'!$C$13:$C$15</c:f>
              <c:numCache>
                <c:formatCode>General</c:formatCode>
                <c:ptCount val="3"/>
                <c:pt idx="0">
                  <c:v>0</c:v>
                </c:pt>
                <c:pt idx="1">
                  <c:v>7.0000000000000007E-2</c:v>
                </c:pt>
                <c:pt idx="2">
                  <c:v>0.16400000000000001</c:v>
                </c:pt>
              </c:numCache>
            </c:numRef>
          </c:yVal>
          <c:smooth val="1"/>
          <c:extLst>
            <c:ext xmlns:c16="http://schemas.microsoft.com/office/drawing/2014/chart" uri="{C3380CC4-5D6E-409C-BE32-E72D297353CC}">
              <c16:uniqueId val="{00000002-8C5A-4FDF-891F-549B4C623CF3}"/>
            </c:ext>
          </c:extLst>
        </c:ser>
        <c:ser>
          <c:idx val="3"/>
          <c:order val="3"/>
          <c:tx>
            <c:v>Cesium Formate</c:v>
          </c:tx>
          <c:spPr>
            <a:ln w="12700" cap="rnd">
              <a:solidFill>
                <a:srgbClr val="00B050"/>
              </a:solidFill>
              <a:round/>
            </a:ln>
            <a:effectLst/>
          </c:spPr>
          <c:marker>
            <c:symbol val="circle"/>
            <c:size val="6"/>
            <c:spPr>
              <a:solidFill>
                <a:srgbClr val="00B050"/>
              </a:solidFill>
              <a:ln w="9525">
                <a:solidFill>
                  <a:srgbClr val="00B050"/>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12-1H'!$A$16:$A$18</c:f>
              <c:numCache>
                <c:formatCode>General</c:formatCode>
                <c:ptCount val="3"/>
                <c:pt idx="0">
                  <c:v>0</c:v>
                </c:pt>
                <c:pt idx="1">
                  <c:v>50</c:v>
                </c:pt>
                <c:pt idx="2">
                  <c:v>100</c:v>
                </c:pt>
              </c:numCache>
            </c:numRef>
          </c:xVal>
          <c:yVal>
            <c:numRef>
              <c:f>'Crosby 12-1H'!$C$16:$C$18</c:f>
              <c:numCache>
                <c:formatCode>General</c:formatCode>
                <c:ptCount val="3"/>
                <c:pt idx="0">
                  <c:v>0</c:v>
                </c:pt>
                <c:pt idx="1">
                  <c:v>6.7000000000000004E-2</c:v>
                </c:pt>
                <c:pt idx="2">
                  <c:v>0.156</c:v>
                </c:pt>
              </c:numCache>
            </c:numRef>
          </c:yVal>
          <c:smooth val="1"/>
          <c:extLst>
            <c:ext xmlns:c16="http://schemas.microsoft.com/office/drawing/2014/chart" uri="{C3380CC4-5D6E-409C-BE32-E72D297353CC}">
              <c16:uniqueId val="{00000003-8C5A-4FDF-891F-549B4C623CF3}"/>
            </c:ext>
          </c:extLst>
        </c:ser>
        <c:dLbls>
          <c:showLegendKey val="0"/>
          <c:showVal val="0"/>
          <c:showCatName val="0"/>
          <c:showSerName val="0"/>
          <c:showPercent val="0"/>
          <c:showBubbleSize val="0"/>
        </c:dLbls>
        <c:axId val="298461000"/>
        <c:axId val="298463296"/>
      </c:scatterChart>
      <c:valAx>
        <c:axId val="298461000"/>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WOB (lbs)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cap="flat" cmpd="sng" algn="ctr">
            <a:solidFill>
              <a:schemeClr val="tx1"/>
            </a:solidFill>
            <a:round/>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298463296"/>
        <c:crosses val="autoZero"/>
        <c:crossBetween val="midCat"/>
      </c:valAx>
      <c:valAx>
        <c:axId val="298463296"/>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Friction factor</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cap="flat" cmpd="sng" algn="ctr">
            <a:solidFill>
              <a:schemeClr val="tx1"/>
            </a:solidFill>
            <a:round/>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298461000"/>
        <c:crosses val="autoZero"/>
        <c:crossBetween val="midCat"/>
      </c:valAx>
      <c:spPr>
        <a:noFill/>
        <a:ln w="15875">
          <a:noFill/>
        </a:ln>
        <a:effectLst/>
      </c:spPr>
    </c:plotArea>
    <c:legend>
      <c:legendPos val="r"/>
      <c:layout>
        <c:manualLayout>
          <c:xMode val="edge"/>
          <c:yMode val="edge"/>
          <c:x val="0.13371848633863295"/>
          <c:y val="3.5696650342271166E-2"/>
          <c:w val="0.85728683339869871"/>
          <c:h val="0.1108481584781318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165495387932555"/>
          <c:y val="4.2431644188946495E-2"/>
          <c:w val="0.82700097228729319"/>
          <c:h val="0.81916512206229608"/>
        </c:manualLayout>
      </c:layout>
      <c:scatterChart>
        <c:scatterStyle val="smoothMarker"/>
        <c:varyColors val="0"/>
        <c:ser>
          <c:idx val="0"/>
          <c:order val="0"/>
          <c:tx>
            <c:v>WBM</c:v>
          </c:tx>
          <c:spPr>
            <a:ln w="12700" cap="rnd">
              <a:solidFill>
                <a:srgbClr val="FF0000"/>
              </a:solidFill>
              <a:round/>
            </a:ln>
            <a:effectLst/>
          </c:spPr>
          <c:marker>
            <c:symbol val="triangle"/>
            <c:size val="6"/>
            <c:spPr>
              <a:solidFill>
                <a:schemeClr val="accent1"/>
              </a:solidFill>
              <a:ln w="9525">
                <a:solidFill>
                  <a:srgbClr val="FF0000"/>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xVal>
            <c:numRef>
              <c:f>'Crosby 12-1H'!$A$10:$A$12</c:f>
              <c:numCache>
                <c:formatCode>General</c:formatCode>
                <c:ptCount val="3"/>
                <c:pt idx="0">
                  <c:v>0</c:v>
                </c:pt>
                <c:pt idx="1">
                  <c:v>50</c:v>
                </c:pt>
                <c:pt idx="2">
                  <c:v>100</c:v>
                </c:pt>
              </c:numCache>
            </c:numRef>
          </c:xVal>
          <c:yVal>
            <c:numRef>
              <c:f>'Crosby 12-1H'!$E$7:$E$9</c:f>
              <c:numCache>
                <c:formatCode>General</c:formatCode>
                <c:ptCount val="3"/>
                <c:pt idx="0">
                  <c:v>0</c:v>
                </c:pt>
                <c:pt idx="1">
                  <c:v>0.3</c:v>
                </c:pt>
                <c:pt idx="2">
                  <c:v>1.1399999999999999</c:v>
                </c:pt>
              </c:numCache>
            </c:numRef>
          </c:yVal>
          <c:smooth val="1"/>
          <c:extLst>
            <c:ext xmlns:c16="http://schemas.microsoft.com/office/drawing/2014/chart" uri="{C3380CC4-5D6E-409C-BE32-E72D297353CC}">
              <c16:uniqueId val="{00000000-E7CF-4330-AD9B-8D014CCB488A}"/>
            </c:ext>
          </c:extLst>
        </c:ser>
        <c:ser>
          <c:idx val="1"/>
          <c:order val="1"/>
          <c:tx>
            <c:v>1% KCl</c:v>
          </c:tx>
          <c:spPr>
            <a:ln w="12700" cap="rnd">
              <a:solidFill>
                <a:srgbClr val="0070C0"/>
              </a:solidFill>
              <a:round/>
            </a:ln>
            <a:effectLst/>
          </c:spPr>
          <c:marker>
            <c:symbol val="diamond"/>
            <c:size val="6"/>
            <c:spPr>
              <a:solidFill>
                <a:srgbClr val="0070C0"/>
              </a:solidFill>
              <a:ln w="9525">
                <a:solidFill>
                  <a:srgbClr val="0070C0"/>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12-1H'!$A$7:$A$9</c:f>
              <c:numCache>
                <c:formatCode>General</c:formatCode>
                <c:ptCount val="3"/>
                <c:pt idx="0">
                  <c:v>0</c:v>
                </c:pt>
                <c:pt idx="1">
                  <c:v>50</c:v>
                </c:pt>
                <c:pt idx="2">
                  <c:v>100</c:v>
                </c:pt>
              </c:numCache>
            </c:numRef>
          </c:xVal>
          <c:yVal>
            <c:numRef>
              <c:f>'Crosby 12-1H'!$E$10:$E$12</c:f>
              <c:numCache>
                <c:formatCode>General</c:formatCode>
                <c:ptCount val="3"/>
                <c:pt idx="0">
                  <c:v>0</c:v>
                </c:pt>
                <c:pt idx="1">
                  <c:v>1.2</c:v>
                </c:pt>
                <c:pt idx="2">
                  <c:v>1.74</c:v>
                </c:pt>
              </c:numCache>
            </c:numRef>
          </c:yVal>
          <c:smooth val="1"/>
          <c:extLst>
            <c:ext xmlns:c16="http://schemas.microsoft.com/office/drawing/2014/chart" uri="{C3380CC4-5D6E-409C-BE32-E72D297353CC}">
              <c16:uniqueId val="{00000001-E7CF-4330-AD9B-8D014CCB488A}"/>
            </c:ext>
          </c:extLst>
        </c:ser>
        <c:ser>
          <c:idx val="2"/>
          <c:order val="2"/>
          <c:tx>
            <c:v>2% KCl</c:v>
          </c:tx>
          <c:spPr>
            <a:ln w="12700" cap="rnd">
              <a:solidFill>
                <a:srgbClr val="FFC000"/>
              </a:solidFill>
              <a:round/>
            </a:ln>
            <a:effectLst/>
          </c:spPr>
          <c:marker>
            <c:symbol val="square"/>
            <c:size val="6"/>
            <c:spPr>
              <a:solidFill>
                <a:srgbClr val="FFC000">
                  <a:alpha val="91000"/>
                </a:srgbClr>
              </a:solidFill>
              <a:ln w="9525">
                <a:solidFill>
                  <a:srgbClr val="FFC000"/>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12-1H'!$A$10:$A$12</c:f>
              <c:numCache>
                <c:formatCode>General</c:formatCode>
                <c:ptCount val="3"/>
                <c:pt idx="0">
                  <c:v>0</c:v>
                </c:pt>
                <c:pt idx="1">
                  <c:v>50</c:v>
                </c:pt>
                <c:pt idx="2">
                  <c:v>100</c:v>
                </c:pt>
              </c:numCache>
            </c:numRef>
          </c:xVal>
          <c:yVal>
            <c:numRef>
              <c:f>'Crosby 12-1H'!$E$13:$E$15</c:f>
              <c:numCache>
                <c:formatCode>General</c:formatCode>
                <c:ptCount val="3"/>
                <c:pt idx="0">
                  <c:v>0</c:v>
                </c:pt>
                <c:pt idx="1">
                  <c:v>1.26</c:v>
                </c:pt>
                <c:pt idx="2">
                  <c:v>2.2799999999999998</c:v>
                </c:pt>
              </c:numCache>
            </c:numRef>
          </c:yVal>
          <c:smooth val="1"/>
          <c:extLst>
            <c:ext xmlns:c16="http://schemas.microsoft.com/office/drawing/2014/chart" uri="{C3380CC4-5D6E-409C-BE32-E72D297353CC}">
              <c16:uniqueId val="{00000002-E7CF-4330-AD9B-8D014CCB488A}"/>
            </c:ext>
          </c:extLst>
        </c:ser>
        <c:ser>
          <c:idx val="3"/>
          <c:order val="3"/>
          <c:tx>
            <c:v>Cesium Formate</c:v>
          </c:tx>
          <c:spPr>
            <a:ln w="12700" cap="rnd">
              <a:solidFill>
                <a:srgbClr val="00B050"/>
              </a:solidFill>
              <a:round/>
            </a:ln>
            <a:effectLst/>
          </c:spPr>
          <c:marker>
            <c:symbol val="circle"/>
            <c:size val="6"/>
            <c:spPr>
              <a:solidFill>
                <a:srgbClr val="00B050"/>
              </a:solidFill>
              <a:ln w="9525">
                <a:solidFill>
                  <a:srgbClr val="00B050">
                    <a:alpha val="92000"/>
                  </a:srgbClr>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12-1H'!$A$10:$A$12</c:f>
              <c:numCache>
                <c:formatCode>General</c:formatCode>
                <c:ptCount val="3"/>
                <c:pt idx="0">
                  <c:v>0</c:v>
                </c:pt>
                <c:pt idx="1">
                  <c:v>50</c:v>
                </c:pt>
                <c:pt idx="2">
                  <c:v>100</c:v>
                </c:pt>
              </c:numCache>
            </c:numRef>
          </c:xVal>
          <c:yVal>
            <c:numRef>
              <c:f>'Crosby 12-1H'!$E$16:$E$18</c:f>
              <c:numCache>
                <c:formatCode>General</c:formatCode>
                <c:ptCount val="3"/>
                <c:pt idx="0">
                  <c:v>0</c:v>
                </c:pt>
                <c:pt idx="1">
                  <c:v>1.8</c:v>
                </c:pt>
                <c:pt idx="2">
                  <c:v>3</c:v>
                </c:pt>
              </c:numCache>
            </c:numRef>
          </c:yVal>
          <c:smooth val="1"/>
          <c:extLst>
            <c:ext xmlns:c16="http://schemas.microsoft.com/office/drawing/2014/chart" uri="{C3380CC4-5D6E-409C-BE32-E72D297353CC}">
              <c16:uniqueId val="{00000003-E7CF-4330-AD9B-8D014CCB488A}"/>
            </c:ext>
          </c:extLst>
        </c:ser>
        <c:dLbls>
          <c:showLegendKey val="0"/>
          <c:showVal val="0"/>
          <c:showCatName val="0"/>
          <c:showSerName val="0"/>
          <c:showPercent val="0"/>
          <c:showBubbleSize val="0"/>
        </c:dLbls>
        <c:axId val="443005464"/>
        <c:axId val="537760256"/>
      </c:scatterChart>
      <c:valAx>
        <c:axId val="443005464"/>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WOB (lbs)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cap="flat" cmpd="sng" algn="ctr">
            <a:solidFill>
              <a:schemeClr val="tx1">
                <a:lumMod val="95000"/>
                <a:lumOff val="5000"/>
              </a:schemeClr>
            </a:solidFill>
            <a:round/>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537760256"/>
        <c:crosses val="autoZero"/>
        <c:crossBetween val="midCat"/>
      </c:valAx>
      <c:valAx>
        <c:axId val="537760256"/>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ROP</a:t>
                </a:r>
                <a:r>
                  <a:rPr lang="en-US" baseline="0"/>
                  <a:t> (</a:t>
                </a:r>
                <a:r>
                  <a:rPr lang="en-US"/>
                  <a:t>in/min)</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15875" cap="flat" cmpd="sng" algn="ctr">
            <a:solidFill>
              <a:schemeClr val="tx1">
                <a:lumMod val="95000"/>
                <a:lumOff val="5000"/>
                <a:alpha val="90000"/>
              </a:schemeClr>
            </a:solidFill>
            <a:round/>
            <a:tailEnd type="triangle"/>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3005464"/>
        <c:crosses val="autoZero"/>
        <c:crossBetween val="midCat"/>
      </c:valAx>
      <c:spPr>
        <a:noFill/>
        <a:ln>
          <a:noFill/>
        </a:ln>
        <a:effectLst/>
      </c:spPr>
    </c:plotArea>
    <c:legend>
      <c:legendPos val="r"/>
      <c:layout>
        <c:manualLayout>
          <c:xMode val="edge"/>
          <c:yMode val="edge"/>
          <c:x val="0.12395343096508329"/>
          <c:y val="2.7539190802073732E-2"/>
          <c:w val="0.85045475841431528"/>
          <c:h val="7.9968871467327896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923825230265109"/>
          <c:y val="3.5903708156566898E-2"/>
          <c:w val="0.77655860779209585"/>
          <c:h val="0.81916507558668639"/>
        </c:manualLayout>
      </c:layout>
      <c:scatterChart>
        <c:scatterStyle val="smoothMarker"/>
        <c:varyColors val="0"/>
        <c:ser>
          <c:idx val="0"/>
          <c:order val="0"/>
          <c:tx>
            <c:v>WBM</c:v>
          </c:tx>
          <c:spPr>
            <a:ln w="12700" cap="rnd">
              <a:solidFill>
                <a:srgbClr val="FF0000"/>
              </a:solidFill>
              <a:round/>
            </a:ln>
            <a:effectLst/>
          </c:spPr>
          <c:marker>
            <c:symbol val="triangle"/>
            <c:size val="6"/>
            <c:spPr>
              <a:solidFill>
                <a:schemeClr val="accent1"/>
              </a:solidFill>
              <a:ln w="9525">
                <a:solidFill>
                  <a:srgbClr val="FF0000">
                    <a:alpha val="98000"/>
                  </a:srgbClr>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12-1H'!$A$7:$A$9</c:f>
              <c:numCache>
                <c:formatCode>General</c:formatCode>
                <c:ptCount val="3"/>
                <c:pt idx="0">
                  <c:v>0</c:v>
                </c:pt>
                <c:pt idx="1">
                  <c:v>50</c:v>
                </c:pt>
                <c:pt idx="2">
                  <c:v>100</c:v>
                </c:pt>
              </c:numCache>
            </c:numRef>
          </c:xVal>
          <c:yVal>
            <c:numRef>
              <c:f>'Crosby 12-1H'!$F$7:$F$9</c:f>
              <c:numCache>
                <c:formatCode>General</c:formatCode>
                <c:ptCount val="3"/>
                <c:pt idx="0">
                  <c:v>0</c:v>
                </c:pt>
                <c:pt idx="1">
                  <c:v>21574</c:v>
                </c:pt>
                <c:pt idx="2" formatCode="0">
                  <c:v>26463.323466773902</c:v>
                </c:pt>
              </c:numCache>
            </c:numRef>
          </c:yVal>
          <c:smooth val="1"/>
          <c:extLst>
            <c:ext xmlns:c16="http://schemas.microsoft.com/office/drawing/2014/chart" uri="{C3380CC4-5D6E-409C-BE32-E72D297353CC}">
              <c16:uniqueId val="{00000000-7206-4E41-A0AB-7CD73A458BCB}"/>
            </c:ext>
          </c:extLst>
        </c:ser>
        <c:ser>
          <c:idx val="1"/>
          <c:order val="1"/>
          <c:tx>
            <c:v>1% KCl</c:v>
          </c:tx>
          <c:spPr>
            <a:ln w="12700" cap="rnd">
              <a:solidFill>
                <a:srgbClr val="0070C0"/>
              </a:solidFill>
              <a:round/>
            </a:ln>
            <a:effectLst/>
          </c:spPr>
          <c:marker>
            <c:symbol val="diamond"/>
            <c:size val="6"/>
            <c:spPr>
              <a:solidFill>
                <a:srgbClr val="0070C0"/>
              </a:solidFill>
              <a:ln w="9525">
                <a:solidFill>
                  <a:srgbClr val="0070C0"/>
                </a:solidFill>
              </a:ln>
              <a:effectLst/>
            </c:spPr>
          </c:marker>
          <c:errBars>
            <c:errDir val="y"/>
            <c:errBarType val="both"/>
            <c:errValType val="percentage"/>
            <c:noEndCap val="0"/>
            <c:val val="5"/>
            <c:spPr>
              <a:noFill/>
              <a:ln w="19050" cap="flat" cmpd="sng" algn="ctr">
                <a:solidFill>
                  <a:schemeClr val="tx1">
                    <a:lumMod val="95000"/>
                    <a:lumOff val="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12-1H'!$A$7:$A$9</c:f>
              <c:numCache>
                <c:formatCode>General</c:formatCode>
                <c:ptCount val="3"/>
                <c:pt idx="0">
                  <c:v>0</c:v>
                </c:pt>
                <c:pt idx="1">
                  <c:v>50</c:v>
                </c:pt>
                <c:pt idx="2">
                  <c:v>100</c:v>
                </c:pt>
              </c:numCache>
            </c:numRef>
          </c:xVal>
          <c:yVal>
            <c:numRef>
              <c:f>'Crosby 12-1H'!$F$10:$F$12</c:f>
              <c:numCache>
                <c:formatCode>General</c:formatCode>
                <c:ptCount val="3"/>
                <c:pt idx="0">
                  <c:v>0</c:v>
                </c:pt>
                <c:pt idx="1">
                  <c:v>4268</c:v>
                </c:pt>
                <c:pt idx="2">
                  <c:v>11784</c:v>
                </c:pt>
              </c:numCache>
            </c:numRef>
          </c:yVal>
          <c:smooth val="1"/>
          <c:extLst>
            <c:ext xmlns:c16="http://schemas.microsoft.com/office/drawing/2014/chart" uri="{C3380CC4-5D6E-409C-BE32-E72D297353CC}">
              <c16:uniqueId val="{00000001-7206-4E41-A0AB-7CD73A458BCB}"/>
            </c:ext>
          </c:extLst>
        </c:ser>
        <c:ser>
          <c:idx val="2"/>
          <c:order val="2"/>
          <c:tx>
            <c:v>2% KCl</c:v>
          </c:tx>
          <c:spPr>
            <a:ln w="12700" cap="rnd">
              <a:solidFill>
                <a:srgbClr val="FFC000">
                  <a:alpha val="99000"/>
                </a:srgbClr>
              </a:solidFill>
              <a:round/>
            </a:ln>
            <a:effectLst/>
          </c:spPr>
          <c:marker>
            <c:symbol val="square"/>
            <c:size val="6"/>
            <c:spPr>
              <a:solidFill>
                <a:srgbClr val="FFC000"/>
              </a:solidFill>
              <a:ln w="9525">
                <a:solidFill>
                  <a:srgbClr val="FFC000"/>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12-1H'!$A$13:$A$15</c:f>
              <c:numCache>
                <c:formatCode>General</c:formatCode>
                <c:ptCount val="3"/>
                <c:pt idx="0">
                  <c:v>0</c:v>
                </c:pt>
                <c:pt idx="1">
                  <c:v>50</c:v>
                </c:pt>
                <c:pt idx="2">
                  <c:v>100</c:v>
                </c:pt>
              </c:numCache>
            </c:numRef>
          </c:xVal>
          <c:yVal>
            <c:numRef>
              <c:f>'Crosby 12-1H'!$F$13:$F$15</c:f>
              <c:numCache>
                <c:formatCode>General</c:formatCode>
                <c:ptCount val="3"/>
                <c:pt idx="0">
                  <c:v>0</c:v>
                </c:pt>
                <c:pt idx="1">
                  <c:v>2175</c:v>
                </c:pt>
                <c:pt idx="2">
                  <c:v>8787</c:v>
                </c:pt>
              </c:numCache>
            </c:numRef>
          </c:yVal>
          <c:smooth val="1"/>
          <c:extLst>
            <c:ext xmlns:c16="http://schemas.microsoft.com/office/drawing/2014/chart" uri="{C3380CC4-5D6E-409C-BE32-E72D297353CC}">
              <c16:uniqueId val="{00000002-7206-4E41-A0AB-7CD73A458BCB}"/>
            </c:ext>
          </c:extLst>
        </c:ser>
        <c:ser>
          <c:idx val="3"/>
          <c:order val="3"/>
          <c:tx>
            <c:v>Cesium Formate</c:v>
          </c:tx>
          <c:spPr>
            <a:ln w="12700" cap="rnd">
              <a:solidFill>
                <a:srgbClr val="00B050"/>
              </a:solidFill>
              <a:round/>
            </a:ln>
            <a:effectLst/>
          </c:spPr>
          <c:marker>
            <c:symbol val="circle"/>
            <c:size val="6"/>
            <c:spPr>
              <a:solidFill>
                <a:srgbClr val="00B050"/>
              </a:solidFill>
              <a:ln w="9525">
                <a:solidFill>
                  <a:srgbClr val="00B050"/>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errBars>
            <c:errDir val="x"/>
            <c:errBarType val="both"/>
            <c:errValType val="fixedVal"/>
            <c:noEndCap val="0"/>
            <c:val val="1"/>
            <c:spPr>
              <a:noFill/>
              <a:ln w="9525" cap="flat" cmpd="sng" algn="ctr">
                <a:solidFill>
                  <a:schemeClr val="tx1">
                    <a:lumMod val="65000"/>
                    <a:lumOff val="35000"/>
                  </a:schemeClr>
                </a:solidFill>
                <a:round/>
              </a:ln>
              <a:effectLst/>
            </c:spPr>
          </c:errBars>
          <c:xVal>
            <c:numRef>
              <c:f>'Crosby 12-1H'!$A$16:$A$18</c:f>
              <c:numCache>
                <c:formatCode>General</c:formatCode>
                <c:ptCount val="3"/>
                <c:pt idx="0">
                  <c:v>0</c:v>
                </c:pt>
                <c:pt idx="1">
                  <c:v>50</c:v>
                </c:pt>
                <c:pt idx="2">
                  <c:v>100</c:v>
                </c:pt>
              </c:numCache>
            </c:numRef>
          </c:xVal>
          <c:yVal>
            <c:numRef>
              <c:f>'Crosby 12-1H'!$F$16:$F$18</c:f>
              <c:numCache>
                <c:formatCode>General</c:formatCode>
                <c:ptCount val="3"/>
                <c:pt idx="0">
                  <c:v>0</c:v>
                </c:pt>
                <c:pt idx="1">
                  <c:v>1164</c:v>
                </c:pt>
                <c:pt idx="2">
                  <c:v>6451</c:v>
                </c:pt>
              </c:numCache>
            </c:numRef>
          </c:yVal>
          <c:smooth val="1"/>
          <c:extLst>
            <c:ext xmlns:c16="http://schemas.microsoft.com/office/drawing/2014/chart" uri="{C3380CC4-5D6E-409C-BE32-E72D297353CC}">
              <c16:uniqueId val="{00000003-7206-4E41-A0AB-7CD73A458BCB}"/>
            </c:ext>
          </c:extLst>
        </c:ser>
        <c:dLbls>
          <c:showLegendKey val="0"/>
          <c:showVal val="0"/>
          <c:showCatName val="0"/>
          <c:showSerName val="0"/>
          <c:showPercent val="0"/>
          <c:showBubbleSize val="0"/>
        </c:dLbls>
        <c:axId val="537757960"/>
        <c:axId val="537748120"/>
      </c:scatterChart>
      <c:valAx>
        <c:axId val="537757960"/>
        <c:scaling>
          <c:orientation val="minMax"/>
          <c:min val="0"/>
        </c:scaling>
        <c:delete val="0"/>
        <c:axPos val="b"/>
        <c:title>
          <c:tx>
            <c:rich>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WOB</a:t>
                </a:r>
                <a:r>
                  <a:rPr lang="en-US" baseline="0"/>
                  <a:t> (</a:t>
                </a:r>
                <a:r>
                  <a:rPr lang="en-US"/>
                  <a:t>lbs)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537748120"/>
        <c:crosses val="autoZero"/>
        <c:crossBetween val="midCat"/>
      </c:valAx>
      <c:valAx>
        <c:axId val="537748120"/>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MSE (psi)</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537757960"/>
        <c:crosses val="autoZero"/>
        <c:crossBetween val="midCat"/>
      </c:valAx>
      <c:spPr>
        <a:noFill/>
        <a:ln>
          <a:noFill/>
        </a:ln>
        <a:effectLst/>
      </c:spPr>
    </c:plotArea>
    <c:legend>
      <c:legendPos val="r"/>
      <c:layout>
        <c:manualLayout>
          <c:xMode val="edge"/>
          <c:yMode val="edge"/>
          <c:x val="0.16162066698184466"/>
          <c:y val="2.4274895293710939E-2"/>
          <c:w val="0.83539448873238686"/>
          <c:h val="7.6704918551011664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144709678088658"/>
          <c:y val="5.8692957497959823E-2"/>
          <c:w val="0.80786303803279347"/>
          <c:h val="0.72742415262608306"/>
        </c:manualLayout>
      </c:layout>
      <c:barChart>
        <c:barDir val="col"/>
        <c:grouping val="clustered"/>
        <c:varyColors val="0"/>
        <c:ser>
          <c:idx val="0"/>
          <c:order val="0"/>
          <c:tx>
            <c:strRef>
              <c:f>'24 hrs (Eagleford Swelling)'!$B$13</c:f>
              <c:strCache>
                <c:ptCount val="1"/>
                <c:pt idx="0">
                  <c:v>Eagleford</c:v>
                </c:pt>
              </c:strCache>
            </c:strRef>
          </c:tx>
          <c:spPr>
            <a:solidFill>
              <a:schemeClr val="accent1"/>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'24 hrs (Eagleford Swelling)'!$A$14:$A$18</c:f>
              <c:strCache>
                <c:ptCount val="5"/>
                <c:pt idx="0">
                  <c:v>Freshwater</c:v>
                </c:pt>
                <c:pt idx="1">
                  <c:v>Water-based mud</c:v>
                </c:pt>
                <c:pt idx="2">
                  <c:v>1% KCl </c:v>
                </c:pt>
                <c:pt idx="3">
                  <c:v>2% KCl</c:v>
                </c:pt>
                <c:pt idx="4">
                  <c:v>Cesium Formate</c:v>
                </c:pt>
              </c:strCache>
            </c:strRef>
          </c:cat>
          <c:val>
            <c:numRef>
              <c:f>'24 hrs (Eagleford Swelling)'!$B$14:$B$18</c:f>
              <c:numCache>
                <c:formatCode>0.00</c:formatCode>
                <c:ptCount val="5"/>
                <c:pt idx="0">
                  <c:v>18.518518518518519</c:v>
                </c:pt>
                <c:pt idx="1">
                  <c:v>11.111111111111104</c:v>
                </c:pt>
                <c:pt idx="2" formatCode="0.000">
                  <c:v>7.4074074074073977</c:v>
                </c:pt>
                <c:pt idx="3" formatCode="0.000">
                  <c:v>5.5555555555555518</c:v>
                </c:pt>
                <c:pt idx="4">
                  <c:v>1.8518518518518452</c:v>
                </c:pt>
              </c:numCache>
            </c:numRef>
          </c:val>
          <c:extLst>
            <c:ext xmlns:c16="http://schemas.microsoft.com/office/drawing/2014/chart" uri="{C3380CC4-5D6E-409C-BE32-E72D297353CC}">
              <c16:uniqueId val="{00000000-987D-4190-A88C-D9EA638B895C}"/>
            </c:ext>
          </c:extLst>
        </c:ser>
        <c:ser>
          <c:idx val="1"/>
          <c:order val="1"/>
          <c:tx>
            <c:strRef>
              <c:f>'24 hrs (Eagleford Swelling)'!$C$13</c:f>
              <c:strCache>
                <c:ptCount val="1"/>
                <c:pt idx="0">
                  <c:v>TMS</c:v>
                </c:pt>
              </c:strCache>
            </c:strRef>
          </c:tx>
          <c:spPr>
            <a:solidFill>
              <a:schemeClr val="accent2"/>
            </a:solidFill>
            <a:ln>
              <a:noFill/>
            </a:ln>
            <a:effectLst/>
          </c:spPr>
          <c:invertIfNegative val="0"/>
          <c:errBars>
            <c:errBarType val="both"/>
            <c:errValType val="percentage"/>
            <c:noEndCap val="0"/>
            <c:val val="5"/>
            <c:spPr>
              <a:noFill/>
              <a:ln w="9525" cap="flat" cmpd="sng" algn="ctr">
                <a:solidFill>
                  <a:schemeClr val="tx1">
                    <a:lumMod val="65000"/>
                    <a:lumOff val="35000"/>
                  </a:schemeClr>
                </a:solidFill>
                <a:round/>
              </a:ln>
              <a:effectLst/>
            </c:spPr>
          </c:errBars>
          <c:cat>
            <c:strRef>
              <c:f>'24 hrs (Eagleford Swelling)'!$A$14:$A$18</c:f>
              <c:strCache>
                <c:ptCount val="5"/>
                <c:pt idx="0">
                  <c:v>Freshwater</c:v>
                </c:pt>
                <c:pt idx="1">
                  <c:v>Water-based mud</c:v>
                </c:pt>
                <c:pt idx="2">
                  <c:v>1% KCl </c:v>
                </c:pt>
                <c:pt idx="3">
                  <c:v>2% KCl</c:v>
                </c:pt>
                <c:pt idx="4">
                  <c:v>Cesium Formate</c:v>
                </c:pt>
              </c:strCache>
            </c:strRef>
          </c:cat>
          <c:val>
            <c:numRef>
              <c:f>'24 hrs (Eagleford Swelling)'!$C$14:$C$18</c:f>
              <c:numCache>
                <c:formatCode>0.000</c:formatCode>
                <c:ptCount val="5"/>
                <c:pt idx="0">
                  <c:v>29.629629629629623</c:v>
                </c:pt>
                <c:pt idx="1">
                  <c:v>18.518518518518519</c:v>
                </c:pt>
                <c:pt idx="2">
                  <c:v>14.814814814814811</c:v>
                </c:pt>
                <c:pt idx="3">
                  <c:v>11.111111111111104</c:v>
                </c:pt>
                <c:pt idx="4">
                  <c:v>3.7037037037036904</c:v>
                </c:pt>
              </c:numCache>
            </c:numRef>
          </c:val>
          <c:extLst>
            <c:ext xmlns:c16="http://schemas.microsoft.com/office/drawing/2014/chart" uri="{C3380CC4-5D6E-409C-BE32-E72D297353CC}">
              <c16:uniqueId val="{00000001-987D-4190-A88C-D9EA638B895C}"/>
            </c:ext>
          </c:extLst>
        </c:ser>
        <c:dLbls>
          <c:showLegendKey val="0"/>
          <c:showVal val="0"/>
          <c:showCatName val="0"/>
          <c:showSerName val="0"/>
          <c:showPercent val="0"/>
          <c:showBubbleSize val="0"/>
        </c:dLbls>
        <c:gapWidth val="219"/>
        <c:overlap val="-27"/>
        <c:axId val="263095432"/>
        <c:axId val="615328680"/>
      </c:barChart>
      <c:catAx>
        <c:axId val="263095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615328680"/>
        <c:crosses val="autoZero"/>
        <c:auto val="1"/>
        <c:lblAlgn val="ctr"/>
        <c:lblOffset val="100"/>
        <c:noMultiLvlLbl val="0"/>
      </c:catAx>
      <c:valAx>
        <c:axId val="615328680"/>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sz="1200"/>
                  <a:t>Swelling Index (%)</a:t>
                </a:r>
              </a:p>
            </c:rich>
          </c:tx>
          <c:layout>
            <c:manualLayout>
              <c:xMode val="edge"/>
              <c:yMode val="edge"/>
              <c:x val="2.1600550881710128E-2"/>
              <c:y val="0.25963706149634519"/>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out"/>
        <c:minorTickMark val="none"/>
        <c:tickLblPos val="nextTo"/>
        <c:spPr>
          <a:noFill/>
          <a:ln>
            <a:solidFill>
              <a:sysClr val="windowText" lastClr="000000"/>
            </a:solidFill>
          </a:ln>
          <a:effectLst/>
        </c:spPr>
        <c:txPr>
          <a:bodyPr rot="-60000000" spcFirstLastPara="1" vertOverflow="ellipsis" vert="horz" wrap="square" anchor="ctr" anchorCtr="1"/>
          <a:lstStyle/>
          <a:p>
            <a:pPr>
              <a:defRPr sz="14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263095432"/>
        <c:crosses val="autoZero"/>
        <c:crossBetween val="between"/>
      </c:valAx>
      <c:spPr>
        <a:noFill/>
        <a:ln w="15875">
          <a:solidFill>
            <a:schemeClr val="tx1">
              <a:lumMod val="95000"/>
              <a:lumOff val="5000"/>
            </a:schemeClr>
          </a:solidFill>
        </a:ln>
        <a:effectLst/>
      </c:spPr>
    </c:plotArea>
    <c:legend>
      <c:legendPos val="b"/>
      <c:layout>
        <c:manualLayout>
          <c:xMode val="edge"/>
          <c:yMode val="edge"/>
          <c:x val="0.59128727330136366"/>
          <c:y val="0.11717077134399967"/>
          <c:w val="0.35376630552759852"/>
          <c:h val="7.038041620718786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5875" cap="flat" cmpd="sng" algn="ctr">
      <a:solidFill>
        <a:schemeClr val="tx1">
          <a:lumMod val="95000"/>
          <a:lumOff val="5000"/>
        </a:schemeClr>
      </a:solidFill>
      <a:round/>
    </a:ln>
    <a:effectLst/>
  </c:spPr>
  <c:txPr>
    <a:bodyPr/>
    <a:lstStyle/>
    <a:p>
      <a:pPr>
        <a:defRPr sz="1400" b="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0.21942</cdr:x>
      <cdr:y>0.15439</cdr:y>
    </cdr:from>
    <cdr:to>
      <cdr:x>0.57056</cdr:x>
      <cdr:y>0.22852</cdr:y>
    </cdr:to>
    <cdr:sp macro="" textlink="">
      <cdr:nvSpPr>
        <cdr:cNvPr id="2" name="TextBox 6">
          <a:extLst xmlns:a="http://schemas.openxmlformats.org/drawingml/2006/main">
            <a:ext uri="{FF2B5EF4-FFF2-40B4-BE49-F238E27FC236}">
              <a16:creationId xmlns:a16="http://schemas.microsoft.com/office/drawing/2014/main" id="{5126DBDF-8BBF-4208-8C2F-E9D074644DE4}"/>
            </a:ext>
          </a:extLst>
        </cdr:cNvPr>
        <cdr:cNvSpPr txBox="1"/>
      </cdr:nvSpPr>
      <cdr:spPr>
        <a:xfrm xmlns:a="http://schemas.openxmlformats.org/drawingml/2006/main">
          <a:off x="1295785" y="907337"/>
          <a:ext cx="2073657" cy="435687"/>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no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200" dirty="0">
              <a:latin typeface="Times New Roman" panose="02020603050405020304" pitchFamily="18" charset="0"/>
              <a:cs typeface="Times New Roman" panose="02020603050405020304" pitchFamily="18" charset="0"/>
            </a:rPr>
            <a:t>Seeping mud and WOC (3 days)</a:t>
          </a:r>
        </a:p>
      </cdr:txBody>
    </cdr:sp>
  </cdr:relSizeAnchor>
  <cdr:relSizeAnchor xmlns:cdr="http://schemas.openxmlformats.org/drawingml/2006/chartDrawing">
    <cdr:from>
      <cdr:x>0.25812</cdr:x>
      <cdr:y>0.44893</cdr:y>
    </cdr:from>
    <cdr:to>
      <cdr:x>0.57212</cdr:x>
      <cdr:y>0.48918</cdr:y>
    </cdr:to>
    <cdr:sp macro="" textlink="">
      <cdr:nvSpPr>
        <cdr:cNvPr id="3" name="TextBox 8">
          <a:extLst xmlns:a="http://schemas.openxmlformats.org/drawingml/2006/main">
            <a:ext uri="{FF2B5EF4-FFF2-40B4-BE49-F238E27FC236}">
              <a16:creationId xmlns:a16="http://schemas.microsoft.com/office/drawing/2014/main" id="{80BBD88E-E32E-49B4-A790-859B5E779EE9}"/>
            </a:ext>
          </a:extLst>
        </cdr:cNvPr>
        <cdr:cNvSpPr txBox="1"/>
      </cdr:nvSpPr>
      <cdr:spPr>
        <a:xfrm xmlns:a="http://schemas.openxmlformats.org/drawingml/2006/main">
          <a:off x="1534162" y="2838451"/>
          <a:ext cx="1866263" cy="254493"/>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Lost full circulation (3 days)</a:t>
          </a:r>
        </a:p>
      </cdr:txBody>
    </cdr:sp>
  </cdr:relSizeAnchor>
  <cdr:relSizeAnchor xmlns:cdr="http://schemas.openxmlformats.org/drawingml/2006/chartDrawing">
    <cdr:from>
      <cdr:x>0.36939</cdr:x>
      <cdr:y>0.49457</cdr:y>
    </cdr:from>
    <cdr:to>
      <cdr:x>0.64904</cdr:x>
      <cdr:y>0.53482</cdr:y>
    </cdr:to>
    <cdr:sp macro="" textlink="">
      <cdr:nvSpPr>
        <cdr:cNvPr id="4" name="TextBox 12">
          <a:extLst xmlns:a="http://schemas.openxmlformats.org/drawingml/2006/main">
            <a:ext uri="{FF2B5EF4-FFF2-40B4-BE49-F238E27FC236}">
              <a16:creationId xmlns:a16="http://schemas.microsoft.com/office/drawing/2014/main" id="{83698623-1749-4743-A768-1B93CB42252D}"/>
            </a:ext>
          </a:extLst>
        </cdr:cNvPr>
        <cdr:cNvSpPr txBox="1"/>
      </cdr:nvSpPr>
      <cdr:spPr>
        <a:xfrm xmlns:a="http://schemas.openxmlformats.org/drawingml/2006/main">
          <a:off x="2195505" y="3127015"/>
          <a:ext cx="1662119" cy="254493"/>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Start sidetracking (2days) </a:t>
          </a:r>
        </a:p>
      </cdr:txBody>
    </cdr:sp>
  </cdr:relSizeAnchor>
  <cdr:relSizeAnchor xmlns:cdr="http://schemas.openxmlformats.org/drawingml/2006/chartDrawing">
    <cdr:from>
      <cdr:x>0.13911</cdr:x>
      <cdr:y>0.62144</cdr:y>
    </cdr:from>
    <cdr:to>
      <cdr:x>0.36218</cdr:x>
      <cdr:y>0.66169</cdr:y>
    </cdr:to>
    <cdr:sp macro="" textlink="">
      <cdr:nvSpPr>
        <cdr:cNvPr id="5" name="TextBox 10">
          <a:extLst xmlns:a="http://schemas.openxmlformats.org/drawingml/2006/main">
            <a:ext uri="{FF2B5EF4-FFF2-40B4-BE49-F238E27FC236}">
              <a16:creationId xmlns:a16="http://schemas.microsoft.com/office/drawing/2014/main" id="{6B0B406B-97B6-4C88-BF77-518BE99BF6BA}"/>
            </a:ext>
          </a:extLst>
        </cdr:cNvPr>
        <cdr:cNvSpPr txBox="1"/>
      </cdr:nvSpPr>
      <cdr:spPr>
        <a:xfrm xmlns:a="http://schemas.openxmlformats.org/drawingml/2006/main">
          <a:off x="826814" y="3929176"/>
          <a:ext cx="1325836" cy="254493"/>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Stuck pipe (1 day)</a:t>
          </a:r>
        </a:p>
      </cdr:txBody>
    </cdr:sp>
  </cdr:relSizeAnchor>
  <cdr:relSizeAnchor xmlns:cdr="http://schemas.openxmlformats.org/drawingml/2006/chartDrawing">
    <cdr:from>
      <cdr:x>0.30449</cdr:x>
      <cdr:y>0.66587</cdr:y>
    </cdr:from>
    <cdr:to>
      <cdr:x>0.56822</cdr:x>
      <cdr:y>0.72812</cdr:y>
    </cdr:to>
    <cdr:sp macro="" textlink="">
      <cdr:nvSpPr>
        <cdr:cNvPr id="6" name="TextBox 14">
          <a:extLst xmlns:a="http://schemas.openxmlformats.org/drawingml/2006/main">
            <a:ext uri="{FF2B5EF4-FFF2-40B4-BE49-F238E27FC236}">
              <a16:creationId xmlns:a16="http://schemas.microsoft.com/office/drawing/2014/main" id="{E3DDD0A1-0557-47E7-A199-593C4BB89102}"/>
            </a:ext>
          </a:extLst>
        </cdr:cNvPr>
        <cdr:cNvSpPr txBox="1"/>
      </cdr:nvSpPr>
      <cdr:spPr>
        <a:xfrm xmlns:a="http://schemas.openxmlformats.org/drawingml/2006/main">
          <a:off x="1809750" y="4210067"/>
          <a:ext cx="1567524" cy="393588"/>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no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Lost circulation and hole cleaning (7 days)</a:t>
          </a:r>
        </a:p>
      </cdr:txBody>
    </cdr:sp>
  </cdr:relSizeAnchor>
  <cdr:relSizeAnchor xmlns:cdr="http://schemas.openxmlformats.org/drawingml/2006/chartDrawing">
    <cdr:from>
      <cdr:x>0.61626</cdr:x>
      <cdr:y>0.59209</cdr:y>
    </cdr:from>
    <cdr:to>
      <cdr:x>0.86859</cdr:x>
      <cdr:y>0.63234</cdr:y>
    </cdr:to>
    <cdr:sp macro="" textlink="">
      <cdr:nvSpPr>
        <cdr:cNvPr id="7" name="TextBox 16">
          <a:extLst xmlns:a="http://schemas.openxmlformats.org/drawingml/2006/main">
            <a:ext uri="{FF2B5EF4-FFF2-40B4-BE49-F238E27FC236}">
              <a16:creationId xmlns:a16="http://schemas.microsoft.com/office/drawing/2014/main" id="{DF7723B7-8D2F-483B-9E51-C81AA4D29488}"/>
            </a:ext>
          </a:extLst>
        </cdr:cNvPr>
        <cdr:cNvSpPr txBox="1"/>
      </cdr:nvSpPr>
      <cdr:spPr>
        <a:xfrm xmlns:a="http://schemas.openxmlformats.org/drawingml/2006/main">
          <a:off x="3662802" y="3743604"/>
          <a:ext cx="1499747" cy="254493"/>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Start sidetracking well</a:t>
          </a:r>
        </a:p>
      </cdr:txBody>
    </cdr:sp>
  </cdr:relSizeAnchor>
  <cdr:relSizeAnchor xmlns:cdr="http://schemas.openxmlformats.org/drawingml/2006/chartDrawing">
    <cdr:from>
      <cdr:x>0.42147</cdr:x>
      <cdr:y>0.77087</cdr:y>
    </cdr:from>
    <cdr:to>
      <cdr:x>0.64284</cdr:x>
      <cdr:y>0.86242</cdr:y>
    </cdr:to>
    <cdr:sp macro="" textlink="">
      <cdr:nvSpPr>
        <cdr:cNvPr id="8" name="TextBox 38">
          <a:extLst xmlns:a="http://schemas.openxmlformats.org/drawingml/2006/main">
            <a:ext uri="{FF2B5EF4-FFF2-40B4-BE49-F238E27FC236}">
              <a16:creationId xmlns:a16="http://schemas.microsoft.com/office/drawing/2014/main" id="{ED2ABCB7-5E63-4599-99FD-921ED0C3C69F}"/>
            </a:ext>
          </a:extLst>
        </cdr:cNvPr>
        <cdr:cNvSpPr txBox="1"/>
      </cdr:nvSpPr>
      <cdr:spPr>
        <a:xfrm xmlns:a="http://schemas.openxmlformats.org/drawingml/2006/main">
          <a:off x="2505075" y="4873976"/>
          <a:ext cx="1315709" cy="578813"/>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POOH for mud motor and BHA (1 day)</a:t>
          </a:r>
        </a:p>
      </cdr:txBody>
    </cdr:sp>
  </cdr:relSizeAnchor>
  <cdr:relSizeAnchor xmlns:cdr="http://schemas.openxmlformats.org/drawingml/2006/chartDrawing">
    <cdr:from>
      <cdr:x>0.77508</cdr:x>
      <cdr:y>0.70928</cdr:y>
    </cdr:from>
    <cdr:to>
      <cdr:x>0.96154</cdr:x>
      <cdr:y>0.78282</cdr:y>
    </cdr:to>
    <cdr:sp macro="" textlink="">
      <cdr:nvSpPr>
        <cdr:cNvPr id="9" name="TextBox 18">
          <a:extLst xmlns:a="http://schemas.openxmlformats.org/drawingml/2006/main">
            <a:ext uri="{FF2B5EF4-FFF2-40B4-BE49-F238E27FC236}">
              <a16:creationId xmlns:a16="http://schemas.microsoft.com/office/drawing/2014/main" id="{D9195CD7-49D6-4F35-9AE6-3E48CC4E3578}"/>
            </a:ext>
          </a:extLst>
        </cdr:cNvPr>
        <cdr:cNvSpPr txBox="1"/>
      </cdr:nvSpPr>
      <cdr:spPr>
        <a:xfrm xmlns:a="http://schemas.openxmlformats.org/drawingml/2006/main">
          <a:off x="4577235" y="4168385"/>
          <a:ext cx="1101139" cy="432190"/>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no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POOH for MWD (1 day)</a:t>
          </a:r>
        </a:p>
      </cdr:txBody>
    </cdr:sp>
  </cdr:relSizeAnchor>
  <cdr:relSizeAnchor xmlns:cdr="http://schemas.openxmlformats.org/drawingml/2006/chartDrawing">
    <cdr:from>
      <cdr:x>0.44712</cdr:x>
      <cdr:y>0.86927</cdr:y>
    </cdr:from>
    <cdr:to>
      <cdr:x>0.74704</cdr:x>
      <cdr:y>0.90952</cdr:y>
    </cdr:to>
    <cdr:sp macro="" textlink="">
      <cdr:nvSpPr>
        <cdr:cNvPr id="10" name="TextBox 22">
          <a:extLst xmlns:a="http://schemas.openxmlformats.org/drawingml/2006/main">
            <a:ext uri="{FF2B5EF4-FFF2-40B4-BE49-F238E27FC236}">
              <a16:creationId xmlns:a16="http://schemas.microsoft.com/office/drawing/2014/main" id="{3ACCDD55-259E-419D-ADF4-78E4D923256A}"/>
            </a:ext>
          </a:extLst>
        </cdr:cNvPr>
        <cdr:cNvSpPr txBox="1"/>
      </cdr:nvSpPr>
      <cdr:spPr>
        <a:xfrm xmlns:a="http://schemas.openxmlformats.org/drawingml/2006/main">
          <a:off x="2657476" y="5496129"/>
          <a:ext cx="1782632" cy="254493"/>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Lost circulation (1 day)</a:t>
          </a:r>
        </a:p>
      </cdr:txBody>
    </cdr:sp>
  </cdr:relSizeAnchor>
  <cdr:relSizeAnchor xmlns:cdr="http://schemas.openxmlformats.org/drawingml/2006/chartDrawing">
    <cdr:from>
      <cdr:x>0.3764</cdr:x>
      <cdr:y>0.91467</cdr:y>
    </cdr:from>
    <cdr:to>
      <cdr:x>0.78554</cdr:x>
      <cdr:y>0.95175</cdr:y>
    </cdr:to>
    <cdr:sp macro="" textlink="">
      <cdr:nvSpPr>
        <cdr:cNvPr id="11" name="TextBox 24">
          <a:extLst xmlns:a="http://schemas.openxmlformats.org/drawingml/2006/main">
            <a:ext uri="{FF2B5EF4-FFF2-40B4-BE49-F238E27FC236}">
              <a16:creationId xmlns:a16="http://schemas.microsoft.com/office/drawing/2014/main" id="{7CA5DAAD-8D3E-4DDC-8084-04C5EAF61AF5}"/>
            </a:ext>
          </a:extLst>
        </cdr:cNvPr>
        <cdr:cNvSpPr txBox="1"/>
      </cdr:nvSpPr>
      <cdr:spPr>
        <a:xfrm xmlns:a="http://schemas.openxmlformats.org/drawingml/2006/main">
          <a:off x="2610011" y="6747637"/>
          <a:ext cx="2837093" cy="273567"/>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Hole cleaning and change BHA (1 day)</a:t>
          </a:r>
        </a:p>
      </cdr:txBody>
    </cdr:sp>
  </cdr:relSizeAnchor>
  <cdr:relSizeAnchor xmlns:cdr="http://schemas.openxmlformats.org/drawingml/2006/chartDrawing">
    <cdr:from>
      <cdr:x>0.68109</cdr:x>
      <cdr:y>0.65208</cdr:y>
    </cdr:from>
    <cdr:to>
      <cdr:x>0.95805</cdr:x>
      <cdr:y>0.69233</cdr:y>
    </cdr:to>
    <cdr:sp macro="" textlink="">
      <cdr:nvSpPr>
        <cdr:cNvPr id="12" name="TextBox 20">
          <a:extLst xmlns:a="http://schemas.openxmlformats.org/drawingml/2006/main">
            <a:ext uri="{FF2B5EF4-FFF2-40B4-BE49-F238E27FC236}">
              <a16:creationId xmlns:a16="http://schemas.microsoft.com/office/drawing/2014/main" id="{015F7561-E513-4B87-8535-E1811C9C4134}"/>
            </a:ext>
          </a:extLst>
        </cdr:cNvPr>
        <cdr:cNvSpPr txBox="1"/>
      </cdr:nvSpPr>
      <cdr:spPr>
        <a:xfrm xmlns:a="http://schemas.openxmlformats.org/drawingml/2006/main">
          <a:off x="4048125" y="4122903"/>
          <a:ext cx="1646141" cy="254493"/>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POOH for LWD (1 day)</a:t>
          </a:r>
        </a:p>
      </cdr:txBody>
    </cdr:sp>
  </cdr:relSizeAnchor>
  <cdr:relSizeAnchor xmlns:cdr="http://schemas.openxmlformats.org/drawingml/2006/chartDrawing">
    <cdr:from>
      <cdr:x>0.84132</cdr:x>
      <cdr:y>0.88495</cdr:y>
    </cdr:from>
    <cdr:to>
      <cdr:x>0.96452</cdr:x>
      <cdr:y>0.92825</cdr:y>
    </cdr:to>
    <cdr:sp macro="" textlink="">
      <cdr:nvSpPr>
        <cdr:cNvPr id="13" name="TextBox 26">
          <a:extLst xmlns:a="http://schemas.openxmlformats.org/drawingml/2006/main">
            <a:ext uri="{FF2B5EF4-FFF2-40B4-BE49-F238E27FC236}">
              <a16:creationId xmlns:a16="http://schemas.microsoft.com/office/drawing/2014/main" id="{5D903D7D-795B-4D19-A913-FA9AD7E16E64}"/>
            </a:ext>
          </a:extLst>
        </cdr:cNvPr>
        <cdr:cNvSpPr txBox="1"/>
      </cdr:nvSpPr>
      <cdr:spPr>
        <a:xfrm xmlns:a="http://schemas.openxmlformats.org/drawingml/2006/main">
          <a:off x="4968440" y="5200785"/>
          <a:ext cx="727510" cy="254493"/>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Finished</a:t>
          </a:r>
          <a:r>
            <a:rPr lang="en-US" sz="1100" baseline="0" dirty="0">
              <a:latin typeface="Times New Roman" panose="02020603050405020304" pitchFamily="18" charset="0"/>
              <a:cs typeface="Times New Roman" panose="02020603050405020304" pitchFamily="18" charset="0"/>
            </a:rPr>
            <a:t> </a:t>
          </a:r>
          <a:endParaRPr lang="en-US" sz="1100"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0.56044</cdr:x>
      <cdr:y>0.0807</cdr:y>
    </cdr:from>
    <cdr:to>
      <cdr:x>0.625</cdr:x>
      <cdr:y>0.23951</cdr:y>
    </cdr:to>
    <cdr:sp macro="" textlink="">
      <cdr:nvSpPr>
        <cdr:cNvPr id="14" name="Right Brace 13">
          <a:extLst xmlns:a="http://schemas.openxmlformats.org/drawingml/2006/main">
            <a:ext uri="{FF2B5EF4-FFF2-40B4-BE49-F238E27FC236}">
              <a16:creationId xmlns:a16="http://schemas.microsoft.com/office/drawing/2014/main" id="{CA398DDE-58A0-496B-8086-1BB5A3D6F861}"/>
            </a:ext>
          </a:extLst>
        </cdr:cNvPr>
        <cdr:cNvSpPr/>
      </cdr:nvSpPr>
      <cdr:spPr>
        <a:xfrm xmlns:a="http://schemas.openxmlformats.org/drawingml/2006/main">
          <a:off x="3886200" y="595315"/>
          <a:ext cx="447675" cy="1171575"/>
        </a:xfrm>
        <a:prstGeom xmlns:a="http://schemas.openxmlformats.org/drawingml/2006/main" prst="rightBrace">
          <a:avLst/>
        </a:prstGeom>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0.63869</cdr:x>
      <cdr:y>0.14104</cdr:y>
    </cdr:from>
    <cdr:to>
      <cdr:x>0.8228</cdr:x>
      <cdr:y>0.17755</cdr:y>
    </cdr:to>
    <cdr:sp macro="" textlink="">
      <cdr:nvSpPr>
        <cdr:cNvPr id="15" name="TextBox 26">
          <a:extLst xmlns:a="http://schemas.openxmlformats.org/drawingml/2006/main">
            <a:ext uri="{FF2B5EF4-FFF2-40B4-BE49-F238E27FC236}">
              <a16:creationId xmlns:a16="http://schemas.microsoft.com/office/drawing/2014/main" id="{5C511A36-DCD1-43FA-B17C-FD69634C81E5}"/>
            </a:ext>
          </a:extLst>
        </cdr:cNvPr>
        <cdr:cNvSpPr txBox="1"/>
      </cdr:nvSpPr>
      <cdr:spPr>
        <a:xfrm xmlns:a="http://schemas.openxmlformats.org/drawingml/2006/main">
          <a:off x="4428779" y="1040503"/>
          <a:ext cx="1276696" cy="269304"/>
        </a:xfrm>
        <a:prstGeom xmlns:a="http://schemas.openxmlformats.org/drawingml/2006/main" prst="rect">
          <a:avLst/>
        </a:prstGeom>
        <a:noFill xmlns:a="http://schemas.openxmlformats.org/drawingml/2006/main"/>
        <a:ln xmlns:a="http://schemas.openxmlformats.org/drawingml/2006/main" w="19050">
          <a:solidFill>
            <a:schemeClr val="accent1"/>
          </a:solidFill>
        </a:l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200" dirty="0">
              <a:latin typeface="Times New Roman" panose="02020603050405020304" pitchFamily="18" charset="0"/>
              <a:cs typeface="Times New Roman" panose="02020603050405020304" pitchFamily="18" charset="0"/>
            </a:rPr>
            <a:t>Gumbo</a:t>
          </a:r>
          <a:r>
            <a:rPr lang="en-US" sz="1200" baseline="0" dirty="0">
              <a:latin typeface="Times New Roman" panose="02020603050405020304" pitchFamily="18" charset="0"/>
              <a:cs typeface="Times New Roman" panose="02020603050405020304" pitchFamily="18" charset="0"/>
            </a:rPr>
            <a:t> zone</a:t>
          </a:r>
          <a:endParaRPr lang="en-US" sz="1200" dirty="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0.41506</cdr:x>
      <cdr:y>0.53631</cdr:y>
    </cdr:from>
    <cdr:to>
      <cdr:x>0.46635</cdr:x>
      <cdr:y>0.59657</cdr:y>
    </cdr:to>
    <cdr:cxnSp macro="">
      <cdr:nvCxnSpPr>
        <cdr:cNvPr id="16" name="Straight Arrow Connector 15">
          <a:extLst xmlns:a="http://schemas.openxmlformats.org/drawingml/2006/main">
            <a:ext uri="{FF2B5EF4-FFF2-40B4-BE49-F238E27FC236}">
              <a16:creationId xmlns:a16="http://schemas.microsoft.com/office/drawing/2014/main" id="{7E4BEE00-8128-4BE4-AA1C-13919AC9247C}"/>
            </a:ext>
          </a:extLst>
        </cdr:cNvPr>
        <cdr:cNvCxnSpPr/>
      </cdr:nvCxnSpPr>
      <cdr:spPr>
        <a:xfrm xmlns:a="http://schemas.openxmlformats.org/drawingml/2006/main" flipH="1">
          <a:off x="2466976" y="3390900"/>
          <a:ext cx="304799" cy="381000"/>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0.27656</cdr:x>
      <cdr:y>0.4887</cdr:y>
    </cdr:from>
    <cdr:to>
      <cdr:x>0.3022</cdr:x>
      <cdr:y>0.59178</cdr:y>
    </cdr:to>
    <cdr:cxnSp macro="">
      <cdr:nvCxnSpPr>
        <cdr:cNvPr id="17" name="Straight Arrow Connector 16">
          <a:extLst xmlns:a="http://schemas.openxmlformats.org/drawingml/2006/main">
            <a:ext uri="{FF2B5EF4-FFF2-40B4-BE49-F238E27FC236}">
              <a16:creationId xmlns:a16="http://schemas.microsoft.com/office/drawing/2014/main" id="{7E4BEE00-8128-4BE4-AA1C-13919AC9247C}"/>
            </a:ext>
          </a:extLst>
        </cdr:cNvPr>
        <cdr:cNvCxnSpPr/>
      </cdr:nvCxnSpPr>
      <cdr:spPr>
        <a:xfrm xmlns:a="http://schemas.openxmlformats.org/drawingml/2006/main" flipH="1">
          <a:off x="1917701" y="3605215"/>
          <a:ext cx="177799" cy="760410"/>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0.25064</cdr:x>
      <cdr:y>0.60727</cdr:y>
    </cdr:from>
    <cdr:to>
      <cdr:x>0.30105</cdr:x>
      <cdr:y>0.62144</cdr:y>
    </cdr:to>
    <cdr:cxnSp macro="">
      <cdr:nvCxnSpPr>
        <cdr:cNvPr id="23" name="Straight Arrow Connector 22">
          <a:extLst xmlns:a="http://schemas.openxmlformats.org/drawingml/2006/main">
            <a:ext uri="{FF2B5EF4-FFF2-40B4-BE49-F238E27FC236}">
              <a16:creationId xmlns:a16="http://schemas.microsoft.com/office/drawing/2014/main" id="{ECB9FCC1-4D76-44F6-A82D-E0A32DD2E006}"/>
            </a:ext>
          </a:extLst>
        </cdr:cNvPr>
        <cdr:cNvCxnSpPr>
          <a:stCxn xmlns:a="http://schemas.openxmlformats.org/drawingml/2006/main" id="5" idx="0"/>
        </cdr:cNvCxnSpPr>
      </cdr:nvCxnSpPr>
      <cdr:spPr>
        <a:xfrm xmlns:a="http://schemas.openxmlformats.org/drawingml/2006/main" flipV="1">
          <a:off x="1489732" y="3839599"/>
          <a:ext cx="299604" cy="89577"/>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0.45833</cdr:x>
      <cdr:y>0.64327</cdr:y>
    </cdr:from>
    <cdr:to>
      <cdr:x>0.50481</cdr:x>
      <cdr:y>0.66796</cdr:y>
    </cdr:to>
    <cdr:cxnSp macro="">
      <cdr:nvCxnSpPr>
        <cdr:cNvPr id="25" name="Straight Arrow Connector 24">
          <a:extLst xmlns:a="http://schemas.openxmlformats.org/drawingml/2006/main">
            <a:ext uri="{FF2B5EF4-FFF2-40B4-BE49-F238E27FC236}">
              <a16:creationId xmlns:a16="http://schemas.microsoft.com/office/drawing/2014/main" id="{ECB9FCC1-4D76-44F6-A82D-E0A32DD2E006}"/>
            </a:ext>
          </a:extLst>
        </cdr:cNvPr>
        <cdr:cNvCxnSpPr/>
      </cdr:nvCxnSpPr>
      <cdr:spPr>
        <a:xfrm xmlns:a="http://schemas.openxmlformats.org/drawingml/2006/main" flipV="1">
          <a:off x="2724155" y="4067175"/>
          <a:ext cx="276220" cy="156147"/>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0.64423</cdr:x>
      <cdr:y>0.81795</cdr:y>
    </cdr:from>
    <cdr:to>
      <cdr:x>0.75137</cdr:x>
      <cdr:y>0.84635</cdr:y>
    </cdr:to>
    <cdr:cxnSp macro="">
      <cdr:nvCxnSpPr>
        <cdr:cNvPr id="31" name="Straight Arrow Connector 30">
          <a:extLst xmlns:a="http://schemas.openxmlformats.org/drawingml/2006/main">
            <a:ext uri="{FF2B5EF4-FFF2-40B4-BE49-F238E27FC236}">
              <a16:creationId xmlns:a16="http://schemas.microsoft.com/office/drawing/2014/main" id="{ECB9FCC1-4D76-44F6-A82D-E0A32DD2E006}"/>
            </a:ext>
          </a:extLst>
        </cdr:cNvPr>
        <cdr:cNvCxnSpPr/>
      </cdr:nvCxnSpPr>
      <cdr:spPr>
        <a:xfrm xmlns:a="http://schemas.openxmlformats.org/drawingml/2006/main">
          <a:off x="4467225" y="6034090"/>
          <a:ext cx="742950" cy="209550"/>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0.69506</cdr:x>
      <cdr:y>0.69012</cdr:y>
    </cdr:from>
    <cdr:to>
      <cdr:x>0.73352</cdr:x>
      <cdr:y>0.71595</cdr:y>
    </cdr:to>
    <cdr:cxnSp macro="">
      <cdr:nvCxnSpPr>
        <cdr:cNvPr id="37" name="Straight Arrow Connector 36">
          <a:extLst xmlns:a="http://schemas.openxmlformats.org/drawingml/2006/main">
            <a:ext uri="{FF2B5EF4-FFF2-40B4-BE49-F238E27FC236}">
              <a16:creationId xmlns:a16="http://schemas.microsoft.com/office/drawing/2014/main" id="{E5488E24-1B05-4D6C-BDBA-967DE5F32DDF}"/>
            </a:ext>
          </a:extLst>
        </cdr:cNvPr>
        <cdr:cNvCxnSpPr/>
      </cdr:nvCxnSpPr>
      <cdr:spPr>
        <a:xfrm xmlns:a="http://schemas.openxmlformats.org/drawingml/2006/main" flipH="1">
          <a:off x="4819651" y="5091115"/>
          <a:ext cx="266699" cy="190500"/>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0.73214</cdr:x>
      <cdr:y>0.73015</cdr:y>
    </cdr:from>
    <cdr:to>
      <cdr:x>0.77198</cdr:x>
      <cdr:y>0.75985</cdr:y>
    </cdr:to>
    <cdr:cxnSp macro="">
      <cdr:nvCxnSpPr>
        <cdr:cNvPr id="43" name="Straight Arrow Connector 42">
          <a:extLst xmlns:a="http://schemas.openxmlformats.org/drawingml/2006/main">
            <a:ext uri="{FF2B5EF4-FFF2-40B4-BE49-F238E27FC236}">
              <a16:creationId xmlns:a16="http://schemas.microsoft.com/office/drawing/2014/main" id="{8E2947CA-4975-4ED5-B43A-82650BA3DDA2}"/>
            </a:ext>
          </a:extLst>
        </cdr:cNvPr>
        <cdr:cNvCxnSpPr/>
      </cdr:nvCxnSpPr>
      <cdr:spPr>
        <a:xfrm xmlns:a="http://schemas.openxmlformats.org/drawingml/2006/main" flipH="1">
          <a:off x="5076827" y="5386390"/>
          <a:ext cx="276223" cy="219075"/>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0.89524</cdr:x>
      <cdr:y>0.92648</cdr:y>
    </cdr:from>
    <cdr:to>
      <cdr:x>0.92308</cdr:x>
      <cdr:y>0.9541</cdr:y>
    </cdr:to>
    <cdr:cxnSp macro="">
      <cdr:nvCxnSpPr>
        <cdr:cNvPr id="50" name="Straight Arrow Connector 49">
          <a:extLst xmlns:a="http://schemas.openxmlformats.org/drawingml/2006/main">
            <a:ext uri="{FF2B5EF4-FFF2-40B4-BE49-F238E27FC236}">
              <a16:creationId xmlns:a16="http://schemas.microsoft.com/office/drawing/2014/main" id="{595E413A-AC20-48E8-A7B8-0D1348505A2E}"/>
            </a:ext>
          </a:extLst>
        </cdr:cNvPr>
        <cdr:cNvCxnSpPr/>
      </cdr:nvCxnSpPr>
      <cdr:spPr>
        <a:xfrm xmlns:a="http://schemas.openxmlformats.org/drawingml/2006/main" flipH="1">
          <a:off x="5320948" y="5857875"/>
          <a:ext cx="165452" cy="174608"/>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0.74725</cdr:x>
      <cdr:y>0.89025</cdr:y>
    </cdr:from>
    <cdr:to>
      <cdr:x>0.79121</cdr:x>
      <cdr:y>0.89025</cdr:y>
    </cdr:to>
    <cdr:cxnSp macro="">
      <cdr:nvCxnSpPr>
        <cdr:cNvPr id="53" name="Straight Arrow Connector 52">
          <a:extLst xmlns:a="http://schemas.openxmlformats.org/drawingml/2006/main">
            <a:ext uri="{FF2B5EF4-FFF2-40B4-BE49-F238E27FC236}">
              <a16:creationId xmlns:a16="http://schemas.microsoft.com/office/drawing/2014/main" id="{A0BE74AB-FDB8-4767-8D73-4034A820D1BB}"/>
            </a:ext>
          </a:extLst>
        </cdr:cNvPr>
        <cdr:cNvCxnSpPr/>
      </cdr:nvCxnSpPr>
      <cdr:spPr>
        <a:xfrm xmlns:a="http://schemas.openxmlformats.org/drawingml/2006/main">
          <a:off x="5181600" y="6567490"/>
          <a:ext cx="304800" cy="0"/>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dr:relSizeAnchor xmlns:cdr="http://schemas.openxmlformats.org/drawingml/2006/chartDrawing">
    <cdr:from>
      <cdr:x>0.78709</cdr:x>
      <cdr:y>0.89413</cdr:y>
    </cdr:from>
    <cdr:to>
      <cdr:x>0.81456</cdr:x>
      <cdr:y>0.93673</cdr:y>
    </cdr:to>
    <cdr:cxnSp macro="">
      <cdr:nvCxnSpPr>
        <cdr:cNvPr id="57" name="Straight Arrow Connector 56">
          <a:extLst xmlns:a="http://schemas.openxmlformats.org/drawingml/2006/main">
            <a:ext uri="{FF2B5EF4-FFF2-40B4-BE49-F238E27FC236}">
              <a16:creationId xmlns:a16="http://schemas.microsoft.com/office/drawing/2014/main" id="{92E0424F-3377-40FE-B0F4-8C35D9F66A58}"/>
            </a:ext>
          </a:extLst>
        </cdr:cNvPr>
        <cdr:cNvCxnSpPr/>
      </cdr:nvCxnSpPr>
      <cdr:spPr>
        <a:xfrm xmlns:a="http://schemas.openxmlformats.org/drawingml/2006/main" flipV="1">
          <a:off x="5457825" y="6596065"/>
          <a:ext cx="190500" cy="314325"/>
        </a:xfrm>
        <a:prstGeom xmlns:a="http://schemas.openxmlformats.org/drawingml/2006/main" prst="straightConnector1">
          <a:avLst/>
        </a:prstGeom>
        <a:ln xmlns:a="http://schemas.openxmlformats.org/drawingml/2006/main">
          <a:tailEnd type="triangle"/>
        </a:ln>
      </cdr:spPr>
      <cdr:style>
        <a:lnRef xmlns:a="http://schemas.openxmlformats.org/drawingml/2006/main" idx="2">
          <a:schemeClr val="dk1"/>
        </a:lnRef>
        <a:fillRef xmlns:a="http://schemas.openxmlformats.org/drawingml/2006/main" idx="0">
          <a:schemeClr val="dk1"/>
        </a:fillRef>
        <a:effectRef xmlns:a="http://schemas.openxmlformats.org/drawingml/2006/main" idx="1">
          <a:schemeClr val="dk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0.74245</cdr:x>
      <cdr:y>0.64427</cdr:y>
    </cdr:from>
    <cdr:to>
      <cdr:x>0.946</cdr:x>
      <cdr:y>0.70056</cdr:y>
    </cdr:to>
    <cdr:sp macro="" textlink="">
      <cdr:nvSpPr>
        <cdr:cNvPr id="3" name="TextBox 6">
          <a:extLst xmlns:a="http://schemas.openxmlformats.org/drawingml/2006/main">
            <a:ext uri="{FF2B5EF4-FFF2-40B4-BE49-F238E27FC236}">
              <a16:creationId xmlns:a16="http://schemas.microsoft.com/office/drawing/2014/main" id="{C64CA15E-EC57-4087-8A0C-BFD506289127}"/>
            </a:ext>
          </a:extLst>
        </cdr:cNvPr>
        <cdr:cNvSpPr txBox="1"/>
      </cdr:nvSpPr>
      <cdr:spPr>
        <a:xfrm xmlns:a="http://schemas.openxmlformats.org/drawingml/2006/main">
          <a:off x="3535917" y="2172396"/>
          <a:ext cx="969407" cy="189804"/>
        </a:xfrm>
        <a:prstGeom xmlns:a="http://schemas.openxmlformats.org/drawingml/2006/main" prst="rect">
          <a:avLst/>
        </a:prstGeom>
        <a:solidFill xmlns:a="http://schemas.openxmlformats.org/drawingml/2006/main">
          <a:sysClr val="window" lastClr="FFFFFF"/>
        </a:solidFill>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no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marL="0" marR="0">
            <a:spcBef>
              <a:spcPts val="0"/>
            </a:spcBef>
            <a:spcAft>
              <a:spcPts val="0"/>
            </a:spcAft>
          </a:pPr>
          <a:r>
            <a:rPr lang="en-US" sz="1100">
              <a:solidFill>
                <a:srgbClr val="7030A0"/>
              </a:solidFill>
              <a:effectLst/>
              <a:latin typeface="Arial" panose="020B0604020202020204" pitchFamily="34" charset="0"/>
              <a:ea typeface="MS Mincho"/>
              <a:cs typeface="Arial" panose="020B0604020202020204" pitchFamily="34" charset="0"/>
            </a:rPr>
            <a:t>τ</a:t>
          </a:r>
          <a:r>
            <a:rPr lang="en-US" sz="800">
              <a:solidFill>
                <a:srgbClr val="7030A0"/>
              </a:solidFill>
              <a:effectLst/>
              <a:latin typeface="Arial" panose="020B0604020202020204" pitchFamily="34" charset="0"/>
              <a:ea typeface="MS Mincho"/>
              <a:cs typeface="Arial" panose="020B0604020202020204" pitchFamily="34" charset="0"/>
            </a:rPr>
            <a:t> = 0.044</a:t>
          </a:r>
          <a:r>
            <a:rPr lang="el-GR" sz="800">
              <a:solidFill>
                <a:srgbClr val="7030A0"/>
              </a:solidFill>
              <a:effectLst/>
              <a:latin typeface="Arial" panose="020B0604020202020204" pitchFamily="34" charset="0"/>
              <a:ea typeface="MS Mincho"/>
              <a:cs typeface="Arial" panose="020B0604020202020204" pitchFamily="34" charset="0"/>
            </a:rPr>
            <a:t>ϒ</a:t>
          </a:r>
          <a:r>
            <a:rPr lang="en-US" sz="800" baseline="30000">
              <a:solidFill>
                <a:srgbClr val="7030A0"/>
              </a:solidFill>
              <a:effectLst/>
              <a:latin typeface="Arial" panose="020B0604020202020204" pitchFamily="34" charset="0"/>
              <a:ea typeface="MS Mincho"/>
              <a:cs typeface="Arial" panose="020B0604020202020204" pitchFamily="34" charset="0"/>
            </a:rPr>
            <a:t>0.6447</a:t>
          </a:r>
          <a:endParaRPr lang="en-US" sz="1050">
            <a:solidFill>
              <a:srgbClr val="7030A0"/>
            </a:solidFill>
            <a:effectLst/>
            <a:latin typeface="Arial" panose="020B0604020202020204" pitchFamily="34" charset="0"/>
            <a:ea typeface="MS Mincho"/>
            <a:cs typeface="Arial" panose="020B0604020202020204" pitchFamily="34" charset="0"/>
          </a:endParaRPr>
        </a:p>
      </cdr:txBody>
    </cdr:sp>
  </cdr:relSizeAnchor>
  <cdr:relSizeAnchor xmlns:cdr="http://schemas.openxmlformats.org/drawingml/2006/chartDrawing">
    <cdr:from>
      <cdr:x>0.64274</cdr:x>
      <cdr:y>0.32386</cdr:y>
    </cdr:from>
    <cdr:to>
      <cdr:x>0.85266</cdr:x>
      <cdr:y>0.39053</cdr:y>
    </cdr:to>
    <cdr:sp macro="" textlink="">
      <cdr:nvSpPr>
        <cdr:cNvPr id="4" name="TextBox 6">
          <a:extLst xmlns:a="http://schemas.openxmlformats.org/drawingml/2006/main">
            <a:ext uri="{FF2B5EF4-FFF2-40B4-BE49-F238E27FC236}">
              <a16:creationId xmlns:a16="http://schemas.microsoft.com/office/drawing/2014/main" id="{36129ECB-360A-4210-A698-69B7DC403EB5}"/>
            </a:ext>
          </a:extLst>
        </cdr:cNvPr>
        <cdr:cNvSpPr txBox="1"/>
      </cdr:nvSpPr>
      <cdr:spPr>
        <a:xfrm xmlns:a="http://schemas.openxmlformats.org/drawingml/2006/main">
          <a:off x="3061049" y="1092002"/>
          <a:ext cx="999744" cy="224802"/>
        </a:xfrm>
        <a:prstGeom xmlns:a="http://schemas.openxmlformats.org/drawingml/2006/main" prst="rect">
          <a:avLst/>
        </a:prstGeom>
        <a:solidFill xmlns:a="http://schemas.openxmlformats.org/drawingml/2006/main">
          <a:sysClr val="window" lastClr="FFFFFF"/>
        </a:solidFill>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no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marL="0" marR="0">
            <a:spcBef>
              <a:spcPts val="0"/>
            </a:spcBef>
            <a:spcAft>
              <a:spcPts val="0"/>
            </a:spcAft>
          </a:pPr>
          <a:r>
            <a:rPr lang="en-US" sz="1100">
              <a:solidFill>
                <a:srgbClr val="F1B60F"/>
              </a:solidFill>
              <a:effectLst/>
              <a:latin typeface="Arial" panose="020B0604020202020204" pitchFamily="34" charset="0"/>
              <a:ea typeface="MS Mincho"/>
              <a:cs typeface="Arial" panose="020B0604020202020204" pitchFamily="34" charset="0"/>
            </a:rPr>
            <a:t>τ</a:t>
          </a:r>
          <a:r>
            <a:rPr lang="en-US" sz="800">
              <a:solidFill>
                <a:srgbClr val="F1B60F"/>
              </a:solidFill>
              <a:effectLst/>
              <a:latin typeface="Arial" panose="020B0604020202020204" pitchFamily="34" charset="0"/>
              <a:ea typeface="MS Mincho"/>
              <a:cs typeface="Arial" panose="020B0604020202020204" pitchFamily="34" charset="0"/>
            </a:rPr>
            <a:t> = 0.321</a:t>
          </a:r>
          <a:r>
            <a:rPr lang="el-GR" sz="800">
              <a:solidFill>
                <a:srgbClr val="F1B60F"/>
              </a:solidFill>
              <a:effectLst/>
              <a:latin typeface="Arial" panose="020B0604020202020204" pitchFamily="34" charset="0"/>
              <a:ea typeface="MS Mincho"/>
              <a:cs typeface="Arial" panose="020B0604020202020204" pitchFamily="34" charset="0"/>
            </a:rPr>
            <a:t>ϒ</a:t>
          </a:r>
          <a:r>
            <a:rPr lang="en-US" sz="800" baseline="30000">
              <a:solidFill>
                <a:srgbClr val="F1B60F"/>
              </a:solidFill>
              <a:effectLst/>
              <a:latin typeface="Arial" panose="020B0604020202020204" pitchFamily="34" charset="0"/>
              <a:ea typeface="MS Mincho"/>
              <a:cs typeface="Arial" panose="020B0604020202020204" pitchFamily="34" charset="0"/>
            </a:rPr>
            <a:t>0.5603</a:t>
          </a:r>
          <a:endParaRPr lang="en-US" sz="1050">
            <a:solidFill>
              <a:srgbClr val="F1B60F"/>
            </a:solidFill>
            <a:effectLst/>
            <a:latin typeface="Arial" panose="020B0604020202020204" pitchFamily="34" charset="0"/>
            <a:ea typeface="MS Mincho"/>
            <a:cs typeface="Arial" panose="020B0604020202020204" pitchFamily="34" charset="0"/>
          </a:endParaRPr>
        </a:p>
      </cdr:txBody>
    </cdr:sp>
  </cdr:relSizeAnchor>
  <cdr:relSizeAnchor xmlns:cdr="http://schemas.openxmlformats.org/drawingml/2006/chartDrawing">
    <cdr:from>
      <cdr:x>0.65935</cdr:x>
      <cdr:y>0.76724</cdr:y>
    </cdr:from>
    <cdr:to>
      <cdr:x>0.86927</cdr:x>
      <cdr:y>0.8339</cdr:y>
    </cdr:to>
    <cdr:sp macro="" textlink="">
      <cdr:nvSpPr>
        <cdr:cNvPr id="5" name="TextBox 6">
          <a:extLst xmlns:a="http://schemas.openxmlformats.org/drawingml/2006/main">
            <a:ext uri="{FF2B5EF4-FFF2-40B4-BE49-F238E27FC236}">
              <a16:creationId xmlns:a16="http://schemas.microsoft.com/office/drawing/2014/main" id="{77669CB2-02EE-44A3-8202-01326DC4167E}"/>
            </a:ext>
          </a:extLst>
        </cdr:cNvPr>
        <cdr:cNvSpPr txBox="1"/>
      </cdr:nvSpPr>
      <cdr:spPr>
        <a:xfrm xmlns:a="http://schemas.openxmlformats.org/drawingml/2006/main">
          <a:off x="4516967" y="3321050"/>
          <a:ext cx="1438076" cy="288543"/>
        </a:xfrm>
        <a:prstGeom xmlns:a="http://schemas.openxmlformats.org/drawingml/2006/main" prst="rect">
          <a:avLst/>
        </a:prstGeom>
        <a:solidFill xmlns:a="http://schemas.openxmlformats.org/drawingml/2006/main">
          <a:sysClr val="window" lastClr="FFFFFF"/>
        </a:solidFill>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no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marL="0" marR="0">
            <a:spcBef>
              <a:spcPts val="0"/>
            </a:spcBef>
            <a:spcAft>
              <a:spcPts val="0"/>
            </a:spcAft>
          </a:pPr>
          <a:r>
            <a:rPr lang="en-US" sz="1100">
              <a:solidFill>
                <a:srgbClr val="00B050"/>
              </a:solidFill>
              <a:effectLst/>
              <a:latin typeface="Arial" panose="020B0604020202020204" pitchFamily="34" charset="0"/>
              <a:ea typeface="MS Mincho"/>
              <a:cs typeface="Arial" panose="020B0604020202020204" pitchFamily="34" charset="0"/>
            </a:rPr>
            <a:t>τ</a:t>
          </a:r>
          <a:r>
            <a:rPr lang="en-US" sz="800">
              <a:solidFill>
                <a:srgbClr val="00B050"/>
              </a:solidFill>
              <a:effectLst/>
              <a:latin typeface="Arial" panose="020B0604020202020204" pitchFamily="34" charset="0"/>
              <a:ea typeface="MS Mincho"/>
              <a:cs typeface="Arial" panose="020B0604020202020204" pitchFamily="34" charset="0"/>
            </a:rPr>
            <a:t> = 0.0144</a:t>
          </a:r>
          <a:r>
            <a:rPr lang="el-GR" sz="800">
              <a:solidFill>
                <a:srgbClr val="00B050"/>
              </a:solidFill>
              <a:effectLst/>
              <a:latin typeface="Arial" panose="020B0604020202020204" pitchFamily="34" charset="0"/>
              <a:ea typeface="MS Mincho"/>
              <a:cs typeface="Arial" panose="020B0604020202020204" pitchFamily="34" charset="0"/>
            </a:rPr>
            <a:t>ϒ</a:t>
          </a:r>
          <a:r>
            <a:rPr lang="en-US" sz="800" baseline="30000">
              <a:solidFill>
                <a:srgbClr val="00B050"/>
              </a:solidFill>
              <a:effectLst/>
              <a:latin typeface="Arial" panose="020B0604020202020204" pitchFamily="34" charset="0"/>
              <a:ea typeface="MS Mincho"/>
              <a:cs typeface="Arial" panose="020B0604020202020204" pitchFamily="34" charset="0"/>
            </a:rPr>
            <a:t>0.7833</a:t>
          </a:r>
          <a:endParaRPr lang="en-US" sz="1050">
            <a:solidFill>
              <a:srgbClr val="00B050"/>
            </a:solidFill>
            <a:effectLst/>
            <a:latin typeface="Arial" panose="020B0604020202020204" pitchFamily="34" charset="0"/>
            <a:ea typeface="MS Mincho"/>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DED3E-2A79-449C-8F66-CDD220302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1211</TotalTime>
  <Pages>94</Pages>
  <Words>19694</Words>
  <Characters>112258</Characters>
  <Application>Microsoft Office Word</Application>
  <DocSecurity>0</DocSecurity>
  <Lines>935</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Konate, Nabe</dc:creator>
  <cp:keywords/>
  <dc:description/>
  <cp:lastModifiedBy>Nabe Konate</cp:lastModifiedBy>
  <cp:revision>21</cp:revision>
  <cp:lastPrinted>2020-05-08T16:27:00Z</cp:lastPrinted>
  <dcterms:created xsi:type="dcterms:W3CDTF">2020-05-07T18:37:00Z</dcterms:created>
  <dcterms:modified xsi:type="dcterms:W3CDTF">2020-05-08T16:32:00Z</dcterms:modified>
</cp:coreProperties>
</file>