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30E2F" w14:textId="6AF466DD" w:rsidR="007E401A" w:rsidRDefault="007E401A" w:rsidP="00F546EC">
      <w:pPr>
        <w:pStyle w:val="NoSpacing"/>
        <w:jc w:val="center"/>
        <w:rPr>
          <w:caps/>
          <w:szCs w:val="24"/>
        </w:rPr>
      </w:pPr>
      <w:bookmarkStart w:id="0" w:name="_Hlk26687895"/>
      <w:bookmarkEnd w:id="0"/>
      <w:r w:rsidRPr="00F546EC">
        <w:rPr>
          <w:caps/>
          <w:szCs w:val="24"/>
        </w:rPr>
        <w:t>University of Oklahoma</w:t>
      </w:r>
    </w:p>
    <w:p w14:paraId="3D1B1868" w14:textId="77777777" w:rsidR="00E27E2B" w:rsidRPr="00F546EC" w:rsidRDefault="00E27E2B" w:rsidP="00F546EC">
      <w:pPr>
        <w:pStyle w:val="NoSpacing"/>
        <w:jc w:val="center"/>
        <w:rPr>
          <w:caps/>
          <w:szCs w:val="24"/>
        </w:rPr>
      </w:pPr>
    </w:p>
    <w:p w14:paraId="3303C65A" w14:textId="3C38CDB0" w:rsidR="007E401A" w:rsidRPr="00F546EC" w:rsidRDefault="007E401A" w:rsidP="00F546EC">
      <w:pPr>
        <w:pStyle w:val="NoSpacing"/>
        <w:jc w:val="center"/>
        <w:rPr>
          <w:caps/>
          <w:szCs w:val="24"/>
        </w:rPr>
      </w:pPr>
      <w:r w:rsidRPr="00F546EC">
        <w:rPr>
          <w:caps/>
          <w:szCs w:val="24"/>
        </w:rPr>
        <w:t>Graduate College</w:t>
      </w:r>
    </w:p>
    <w:p w14:paraId="32DD4210" w14:textId="77777777" w:rsidR="007E401A" w:rsidRPr="00F546EC" w:rsidRDefault="007E401A" w:rsidP="00F546EC">
      <w:pPr>
        <w:pStyle w:val="NoSpacing"/>
        <w:jc w:val="center"/>
        <w:rPr>
          <w:caps/>
          <w:szCs w:val="24"/>
        </w:rPr>
      </w:pPr>
    </w:p>
    <w:p w14:paraId="6D3C31B5" w14:textId="77777777" w:rsidR="007E401A" w:rsidRPr="00F546EC" w:rsidRDefault="007E401A" w:rsidP="00F546EC">
      <w:pPr>
        <w:pStyle w:val="NoSpacing"/>
        <w:jc w:val="center"/>
        <w:rPr>
          <w:caps/>
          <w:szCs w:val="24"/>
        </w:rPr>
      </w:pPr>
    </w:p>
    <w:p w14:paraId="2E1F4396" w14:textId="77777777" w:rsidR="007E401A" w:rsidRPr="00F546EC" w:rsidRDefault="007E401A" w:rsidP="00F546EC">
      <w:pPr>
        <w:pStyle w:val="NoSpacing"/>
        <w:jc w:val="center"/>
        <w:rPr>
          <w:caps/>
          <w:szCs w:val="24"/>
        </w:rPr>
      </w:pPr>
    </w:p>
    <w:p w14:paraId="00709E5F" w14:textId="77777777" w:rsidR="007E401A" w:rsidRPr="00F546EC" w:rsidRDefault="007E401A" w:rsidP="00B82E58">
      <w:pPr>
        <w:pStyle w:val="NoSpacing"/>
        <w:spacing w:line="276" w:lineRule="auto"/>
        <w:jc w:val="center"/>
        <w:rPr>
          <w:caps/>
          <w:szCs w:val="24"/>
        </w:rPr>
      </w:pPr>
    </w:p>
    <w:p w14:paraId="52A66E1E" w14:textId="4B888781" w:rsidR="00290DB9" w:rsidRDefault="00290DB9" w:rsidP="00B82E58">
      <w:pPr>
        <w:pStyle w:val="NoSpacing"/>
        <w:spacing w:line="480" w:lineRule="auto"/>
        <w:jc w:val="center"/>
        <w:rPr>
          <w:caps/>
          <w:szCs w:val="24"/>
        </w:rPr>
      </w:pPr>
      <w:r>
        <w:rPr>
          <w:caps/>
          <w:szCs w:val="24"/>
        </w:rPr>
        <w:t xml:space="preserve">WOODFORD SHALE ENCLOSED MINI-BASIN </w:t>
      </w:r>
      <w:r w:rsidR="00A22E4E">
        <w:rPr>
          <w:caps/>
          <w:szCs w:val="24"/>
        </w:rPr>
        <w:t>FILL</w:t>
      </w:r>
      <w:r>
        <w:rPr>
          <w:caps/>
          <w:szCs w:val="24"/>
        </w:rPr>
        <w:t xml:space="preserve"> ON THE HUNTON PALEO SHELF.</w:t>
      </w:r>
    </w:p>
    <w:p w14:paraId="56B7D4B8" w14:textId="652FF6B3" w:rsidR="007E401A" w:rsidRPr="00F546EC" w:rsidRDefault="00290DB9" w:rsidP="00B82E58">
      <w:pPr>
        <w:pStyle w:val="NoSpacing"/>
        <w:spacing w:line="480" w:lineRule="auto"/>
        <w:jc w:val="center"/>
        <w:rPr>
          <w:caps/>
          <w:szCs w:val="24"/>
        </w:rPr>
      </w:pPr>
      <w:r>
        <w:rPr>
          <w:caps/>
          <w:szCs w:val="24"/>
        </w:rPr>
        <w:t xml:space="preserve">A DEPOSITIONAL MODEL FOR UNCONVENTIONAL </w:t>
      </w:r>
      <w:r w:rsidR="00925309" w:rsidRPr="00F546EC">
        <w:rPr>
          <w:caps/>
          <w:szCs w:val="24"/>
        </w:rPr>
        <w:t>resource</w:t>
      </w:r>
      <w:r w:rsidR="00B00236">
        <w:rPr>
          <w:caps/>
          <w:szCs w:val="24"/>
        </w:rPr>
        <w:t xml:space="preserve"> SHALES</w:t>
      </w:r>
    </w:p>
    <w:p w14:paraId="65688357" w14:textId="77777777" w:rsidR="007E401A" w:rsidRPr="00F546EC" w:rsidRDefault="007E401A" w:rsidP="00F546EC">
      <w:pPr>
        <w:pStyle w:val="NoSpacing"/>
        <w:jc w:val="center"/>
        <w:rPr>
          <w:caps/>
          <w:szCs w:val="24"/>
        </w:rPr>
      </w:pPr>
    </w:p>
    <w:p w14:paraId="75837B0A" w14:textId="77777777" w:rsidR="007E401A" w:rsidRPr="00F546EC" w:rsidRDefault="007E401A" w:rsidP="00F546EC">
      <w:pPr>
        <w:pStyle w:val="NoSpacing"/>
        <w:jc w:val="center"/>
        <w:rPr>
          <w:caps/>
          <w:szCs w:val="24"/>
        </w:rPr>
      </w:pPr>
    </w:p>
    <w:p w14:paraId="5014380D" w14:textId="77777777" w:rsidR="007E401A" w:rsidRPr="00F546EC" w:rsidRDefault="007E401A" w:rsidP="00F546EC">
      <w:pPr>
        <w:pStyle w:val="NoSpacing"/>
        <w:jc w:val="center"/>
        <w:rPr>
          <w:caps/>
          <w:szCs w:val="24"/>
        </w:rPr>
      </w:pPr>
    </w:p>
    <w:p w14:paraId="2B46C034" w14:textId="162E7F83" w:rsidR="007E401A" w:rsidRPr="00F546EC" w:rsidRDefault="007E401A" w:rsidP="00F546EC">
      <w:pPr>
        <w:pStyle w:val="NoSpacing"/>
        <w:jc w:val="center"/>
        <w:rPr>
          <w:caps/>
          <w:szCs w:val="24"/>
        </w:rPr>
      </w:pPr>
      <w:r w:rsidRPr="00F546EC">
        <w:rPr>
          <w:caps/>
          <w:szCs w:val="24"/>
        </w:rPr>
        <w:t>A Dissertation</w:t>
      </w:r>
    </w:p>
    <w:p w14:paraId="54484D5A" w14:textId="77777777" w:rsidR="007E401A" w:rsidRPr="00F546EC" w:rsidRDefault="007E401A" w:rsidP="00F546EC">
      <w:pPr>
        <w:pStyle w:val="NoSpacing"/>
        <w:jc w:val="center"/>
        <w:rPr>
          <w:caps/>
          <w:szCs w:val="24"/>
        </w:rPr>
      </w:pPr>
    </w:p>
    <w:p w14:paraId="74CC53F4" w14:textId="7E7A338F" w:rsidR="007E401A" w:rsidRPr="00F546EC" w:rsidRDefault="007E401A" w:rsidP="00F546EC">
      <w:pPr>
        <w:pStyle w:val="NoSpacing"/>
        <w:jc w:val="center"/>
        <w:rPr>
          <w:caps/>
          <w:szCs w:val="24"/>
        </w:rPr>
      </w:pPr>
      <w:r w:rsidRPr="00F546EC">
        <w:rPr>
          <w:caps/>
          <w:szCs w:val="24"/>
        </w:rPr>
        <w:t>submitted to the Graduate Faculty</w:t>
      </w:r>
    </w:p>
    <w:p w14:paraId="5DBDA4CF" w14:textId="77777777" w:rsidR="007E401A" w:rsidRPr="00F546EC" w:rsidRDefault="007E401A" w:rsidP="00F546EC">
      <w:pPr>
        <w:pStyle w:val="NoSpacing"/>
        <w:jc w:val="center"/>
        <w:rPr>
          <w:szCs w:val="24"/>
        </w:rPr>
      </w:pPr>
    </w:p>
    <w:p w14:paraId="4F688C10" w14:textId="5E028791" w:rsidR="007E401A" w:rsidRPr="00F546EC" w:rsidRDefault="007E401A" w:rsidP="00F546EC">
      <w:pPr>
        <w:pStyle w:val="NoSpacing"/>
        <w:jc w:val="center"/>
        <w:rPr>
          <w:szCs w:val="24"/>
        </w:rPr>
      </w:pPr>
      <w:r w:rsidRPr="00F546EC">
        <w:rPr>
          <w:szCs w:val="24"/>
        </w:rPr>
        <w:t>in partial fulfi</w:t>
      </w:r>
      <w:r w:rsidR="009617C4" w:rsidRPr="00F546EC">
        <w:rPr>
          <w:szCs w:val="24"/>
        </w:rPr>
        <w:t>l</w:t>
      </w:r>
      <w:r w:rsidRPr="00F546EC">
        <w:rPr>
          <w:szCs w:val="24"/>
        </w:rPr>
        <w:t>lment of the requirements for the</w:t>
      </w:r>
    </w:p>
    <w:p w14:paraId="78D22D1B" w14:textId="77777777" w:rsidR="007E401A" w:rsidRPr="00F546EC" w:rsidRDefault="007E401A" w:rsidP="00F546EC">
      <w:pPr>
        <w:pStyle w:val="NoSpacing"/>
        <w:jc w:val="center"/>
        <w:rPr>
          <w:szCs w:val="24"/>
        </w:rPr>
      </w:pPr>
    </w:p>
    <w:p w14:paraId="32196935" w14:textId="7173B1D5" w:rsidR="007E401A" w:rsidRPr="00F546EC" w:rsidRDefault="007E401A" w:rsidP="00F546EC">
      <w:pPr>
        <w:pStyle w:val="NoSpacing"/>
        <w:jc w:val="center"/>
        <w:rPr>
          <w:szCs w:val="24"/>
        </w:rPr>
      </w:pPr>
      <w:r w:rsidRPr="00F546EC">
        <w:rPr>
          <w:szCs w:val="24"/>
        </w:rPr>
        <w:t>Degree of</w:t>
      </w:r>
    </w:p>
    <w:p w14:paraId="13E5EE99" w14:textId="77777777" w:rsidR="007E401A" w:rsidRPr="00F546EC" w:rsidRDefault="007E401A" w:rsidP="00F546EC">
      <w:pPr>
        <w:pStyle w:val="NoSpacing"/>
        <w:jc w:val="center"/>
        <w:rPr>
          <w:szCs w:val="24"/>
        </w:rPr>
      </w:pPr>
    </w:p>
    <w:p w14:paraId="76FF1CF9" w14:textId="41E46140" w:rsidR="007E401A" w:rsidRPr="00F546EC" w:rsidRDefault="007E401A" w:rsidP="00F546EC">
      <w:pPr>
        <w:pStyle w:val="NoSpacing"/>
        <w:spacing w:line="480" w:lineRule="auto"/>
        <w:jc w:val="center"/>
        <w:rPr>
          <w:caps/>
          <w:szCs w:val="24"/>
        </w:rPr>
      </w:pPr>
      <w:r w:rsidRPr="00F546EC">
        <w:rPr>
          <w:caps/>
          <w:szCs w:val="24"/>
        </w:rPr>
        <w:t>Doctor of Philosophy</w:t>
      </w:r>
    </w:p>
    <w:p w14:paraId="340781E8" w14:textId="77777777" w:rsidR="007E401A" w:rsidRPr="00F546EC" w:rsidRDefault="007E401A" w:rsidP="00F546EC">
      <w:pPr>
        <w:pStyle w:val="NoSpacing"/>
        <w:jc w:val="center"/>
        <w:rPr>
          <w:szCs w:val="24"/>
        </w:rPr>
      </w:pPr>
    </w:p>
    <w:p w14:paraId="1F0F6817" w14:textId="77777777" w:rsidR="007E401A" w:rsidRPr="00F546EC" w:rsidRDefault="007E401A" w:rsidP="00F546EC">
      <w:pPr>
        <w:pStyle w:val="NoSpacing"/>
        <w:jc w:val="center"/>
        <w:rPr>
          <w:szCs w:val="24"/>
        </w:rPr>
      </w:pPr>
    </w:p>
    <w:p w14:paraId="11B5F1D7" w14:textId="77777777" w:rsidR="009349D2" w:rsidRDefault="009349D2" w:rsidP="00F546EC">
      <w:pPr>
        <w:pStyle w:val="NoSpacing"/>
        <w:jc w:val="center"/>
        <w:rPr>
          <w:szCs w:val="24"/>
        </w:rPr>
      </w:pPr>
    </w:p>
    <w:p w14:paraId="69445A45" w14:textId="4274B0F8" w:rsidR="007E401A" w:rsidRPr="00F546EC" w:rsidRDefault="007E401A" w:rsidP="00F546EC">
      <w:pPr>
        <w:pStyle w:val="NoSpacing"/>
        <w:jc w:val="center"/>
        <w:rPr>
          <w:szCs w:val="24"/>
        </w:rPr>
      </w:pPr>
      <w:r w:rsidRPr="00F546EC">
        <w:rPr>
          <w:szCs w:val="24"/>
        </w:rPr>
        <w:t>By</w:t>
      </w:r>
    </w:p>
    <w:p w14:paraId="7E47FA0E" w14:textId="4B80FEBC" w:rsidR="007E401A" w:rsidRDefault="007E401A" w:rsidP="00F546EC">
      <w:pPr>
        <w:pStyle w:val="NoSpacing"/>
        <w:jc w:val="center"/>
        <w:rPr>
          <w:szCs w:val="24"/>
        </w:rPr>
      </w:pPr>
    </w:p>
    <w:p w14:paraId="2EB95A00" w14:textId="77777777" w:rsidR="00E27E2B" w:rsidRPr="00F546EC" w:rsidRDefault="00E27E2B" w:rsidP="00F546EC">
      <w:pPr>
        <w:pStyle w:val="NoSpacing"/>
        <w:jc w:val="center"/>
        <w:rPr>
          <w:szCs w:val="24"/>
        </w:rPr>
      </w:pPr>
    </w:p>
    <w:p w14:paraId="2A50E7FE" w14:textId="4A4605CC" w:rsidR="007E401A" w:rsidRDefault="007E401A" w:rsidP="00F546EC">
      <w:pPr>
        <w:pStyle w:val="NoSpacing"/>
        <w:jc w:val="center"/>
        <w:rPr>
          <w:caps/>
          <w:szCs w:val="24"/>
          <w:lang w:val="es-CO"/>
        </w:rPr>
      </w:pPr>
      <w:r w:rsidRPr="00F546EC">
        <w:rPr>
          <w:caps/>
          <w:szCs w:val="24"/>
          <w:lang w:val="es-CO"/>
        </w:rPr>
        <w:t>EMILIO J. TORRES-PARADA</w:t>
      </w:r>
    </w:p>
    <w:p w14:paraId="7B592F89" w14:textId="27818A90" w:rsidR="00E27E2B" w:rsidRDefault="00E27E2B" w:rsidP="00F546EC">
      <w:pPr>
        <w:pStyle w:val="NoSpacing"/>
        <w:jc w:val="center"/>
        <w:rPr>
          <w:caps/>
          <w:szCs w:val="24"/>
          <w:lang w:val="es-CO"/>
        </w:rPr>
      </w:pPr>
    </w:p>
    <w:p w14:paraId="2FAD9074" w14:textId="308B7953" w:rsidR="00E27E2B" w:rsidRDefault="00E27E2B" w:rsidP="00F546EC">
      <w:pPr>
        <w:pStyle w:val="NoSpacing"/>
        <w:jc w:val="center"/>
        <w:rPr>
          <w:caps/>
          <w:szCs w:val="24"/>
          <w:lang w:val="es-CO"/>
        </w:rPr>
      </w:pPr>
    </w:p>
    <w:p w14:paraId="71BA2E0E" w14:textId="0E85C52D" w:rsidR="00E27E2B" w:rsidRDefault="00E27E2B" w:rsidP="00F546EC">
      <w:pPr>
        <w:pStyle w:val="NoSpacing"/>
        <w:jc w:val="center"/>
        <w:rPr>
          <w:caps/>
          <w:szCs w:val="24"/>
          <w:lang w:val="es-CO"/>
        </w:rPr>
      </w:pPr>
    </w:p>
    <w:p w14:paraId="3CEA0D04" w14:textId="7A0218BC" w:rsidR="00E27E2B" w:rsidRDefault="00E27E2B" w:rsidP="00F546EC">
      <w:pPr>
        <w:pStyle w:val="NoSpacing"/>
        <w:jc w:val="center"/>
        <w:rPr>
          <w:caps/>
          <w:szCs w:val="24"/>
          <w:lang w:val="es-CO"/>
        </w:rPr>
      </w:pPr>
    </w:p>
    <w:p w14:paraId="3D7BCCAC" w14:textId="5167BD5F" w:rsidR="00E27E2B" w:rsidRDefault="00E27E2B" w:rsidP="00F546EC">
      <w:pPr>
        <w:pStyle w:val="NoSpacing"/>
        <w:jc w:val="center"/>
        <w:rPr>
          <w:caps/>
          <w:szCs w:val="24"/>
          <w:lang w:val="es-CO"/>
        </w:rPr>
      </w:pPr>
    </w:p>
    <w:p w14:paraId="13D8CC04" w14:textId="2B763AC7" w:rsidR="00E27E2B" w:rsidRDefault="00E27E2B" w:rsidP="00F546EC">
      <w:pPr>
        <w:pStyle w:val="NoSpacing"/>
        <w:jc w:val="center"/>
        <w:rPr>
          <w:caps/>
          <w:szCs w:val="24"/>
          <w:lang w:val="es-CO"/>
        </w:rPr>
      </w:pPr>
    </w:p>
    <w:p w14:paraId="71B9AA46" w14:textId="7AC6324B" w:rsidR="00E27E2B" w:rsidRDefault="00E27E2B" w:rsidP="00F546EC">
      <w:pPr>
        <w:pStyle w:val="NoSpacing"/>
        <w:jc w:val="center"/>
        <w:rPr>
          <w:caps/>
          <w:szCs w:val="24"/>
          <w:lang w:val="es-CO"/>
        </w:rPr>
      </w:pPr>
    </w:p>
    <w:p w14:paraId="2084529F" w14:textId="0F625C7B" w:rsidR="00E27E2B" w:rsidRDefault="00E27E2B" w:rsidP="00F546EC">
      <w:pPr>
        <w:pStyle w:val="NoSpacing"/>
        <w:jc w:val="center"/>
        <w:rPr>
          <w:caps/>
          <w:szCs w:val="24"/>
          <w:lang w:val="es-CO"/>
        </w:rPr>
      </w:pPr>
    </w:p>
    <w:p w14:paraId="4B828F6F" w14:textId="014E5BC3" w:rsidR="00E27E2B" w:rsidRDefault="00E27E2B" w:rsidP="00F546EC">
      <w:pPr>
        <w:pStyle w:val="NoSpacing"/>
        <w:jc w:val="center"/>
        <w:rPr>
          <w:caps/>
          <w:szCs w:val="24"/>
          <w:lang w:val="es-CO"/>
        </w:rPr>
      </w:pPr>
    </w:p>
    <w:p w14:paraId="362300B6" w14:textId="4850ED14" w:rsidR="00B82E58" w:rsidRDefault="00B82E58" w:rsidP="00F546EC">
      <w:pPr>
        <w:pStyle w:val="NoSpacing"/>
        <w:jc w:val="center"/>
        <w:rPr>
          <w:caps/>
          <w:szCs w:val="24"/>
          <w:lang w:val="es-CO"/>
        </w:rPr>
      </w:pPr>
    </w:p>
    <w:p w14:paraId="63A3E6F0" w14:textId="21DF7AC1" w:rsidR="001647D0" w:rsidRDefault="001647D0" w:rsidP="00F546EC">
      <w:pPr>
        <w:pStyle w:val="NoSpacing"/>
        <w:jc w:val="center"/>
        <w:rPr>
          <w:caps/>
          <w:szCs w:val="24"/>
          <w:lang w:val="es-CO"/>
        </w:rPr>
      </w:pPr>
    </w:p>
    <w:p w14:paraId="1574F15E" w14:textId="425C5FEA" w:rsidR="001647D0" w:rsidRDefault="001647D0" w:rsidP="00F546EC">
      <w:pPr>
        <w:pStyle w:val="NoSpacing"/>
        <w:jc w:val="center"/>
        <w:rPr>
          <w:caps/>
          <w:szCs w:val="24"/>
          <w:lang w:val="es-CO"/>
        </w:rPr>
      </w:pPr>
    </w:p>
    <w:p w14:paraId="6CD879C2" w14:textId="77777777" w:rsidR="001647D0" w:rsidRDefault="001647D0" w:rsidP="00F546EC">
      <w:pPr>
        <w:pStyle w:val="NoSpacing"/>
        <w:jc w:val="center"/>
        <w:rPr>
          <w:caps/>
          <w:szCs w:val="24"/>
          <w:lang w:val="es-CO"/>
        </w:rPr>
      </w:pPr>
    </w:p>
    <w:p w14:paraId="7CE0CD51" w14:textId="304914D5" w:rsidR="007E401A" w:rsidRPr="00F546EC" w:rsidRDefault="007E401A" w:rsidP="00F546EC">
      <w:pPr>
        <w:pStyle w:val="NoSpacing"/>
        <w:jc w:val="center"/>
        <w:rPr>
          <w:szCs w:val="24"/>
          <w:lang w:val="es-CO"/>
        </w:rPr>
      </w:pPr>
      <w:r w:rsidRPr="00F546EC">
        <w:rPr>
          <w:szCs w:val="24"/>
          <w:lang w:val="es-CO"/>
        </w:rPr>
        <w:t xml:space="preserve"> Norman, Oklahoma</w:t>
      </w:r>
    </w:p>
    <w:p w14:paraId="42EA240F" w14:textId="0A99CD7E" w:rsidR="00307DD0" w:rsidRDefault="007E401A" w:rsidP="00F546EC">
      <w:pPr>
        <w:pStyle w:val="NoSpacing"/>
        <w:jc w:val="center"/>
        <w:rPr>
          <w:szCs w:val="24"/>
        </w:rPr>
      </w:pPr>
      <w:r w:rsidRPr="00F546EC">
        <w:rPr>
          <w:szCs w:val="24"/>
        </w:rPr>
        <w:t>20</w:t>
      </w:r>
      <w:r w:rsidR="001647D0">
        <w:rPr>
          <w:szCs w:val="24"/>
        </w:rPr>
        <w:t>20</w:t>
      </w:r>
    </w:p>
    <w:p w14:paraId="5673A8F6" w14:textId="3981CB67" w:rsidR="00290DB9" w:rsidRPr="00290DB9" w:rsidRDefault="00307DD0" w:rsidP="00307DD0">
      <w:pPr>
        <w:spacing w:after="0" w:line="240" w:lineRule="auto"/>
        <w:jc w:val="left"/>
        <w:rPr>
          <w:caps/>
          <w:szCs w:val="24"/>
        </w:rPr>
      </w:pPr>
      <w:r>
        <w:rPr>
          <w:szCs w:val="24"/>
        </w:rPr>
        <w:br w:type="page"/>
      </w:r>
      <w:r w:rsidR="00290DB9" w:rsidRPr="00290DB9">
        <w:rPr>
          <w:caps/>
          <w:szCs w:val="24"/>
        </w:rPr>
        <w:lastRenderedPageBreak/>
        <w:t xml:space="preserve">WOODFORD SHALE ENCLOSED MINI-BASIN </w:t>
      </w:r>
      <w:r w:rsidR="00A22E4E">
        <w:rPr>
          <w:caps/>
          <w:szCs w:val="24"/>
        </w:rPr>
        <w:t>FILL</w:t>
      </w:r>
      <w:r w:rsidR="00290DB9" w:rsidRPr="00290DB9">
        <w:rPr>
          <w:caps/>
          <w:szCs w:val="24"/>
        </w:rPr>
        <w:t xml:space="preserve"> ON THE HUNTON PALEO SHELF.</w:t>
      </w:r>
    </w:p>
    <w:p w14:paraId="48DBFE7F" w14:textId="78C34D16" w:rsidR="00291BCC" w:rsidRDefault="00290DB9" w:rsidP="00290DB9">
      <w:pPr>
        <w:pStyle w:val="NoSpacing"/>
        <w:spacing w:line="480" w:lineRule="auto"/>
        <w:jc w:val="center"/>
        <w:rPr>
          <w:caps/>
          <w:szCs w:val="24"/>
        </w:rPr>
      </w:pPr>
      <w:r w:rsidRPr="00290DB9">
        <w:rPr>
          <w:caps/>
          <w:szCs w:val="24"/>
        </w:rPr>
        <w:t>A DEPOSITIONAL MODEL FOR UNCONVENTIONAL RESOURCE</w:t>
      </w:r>
      <w:r w:rsidR="00B00236">
        <w:rPr>
          <w:caps/>
          <w:szCs w:val="24"/>
        </w:rPr>
        <w:t xml:space="preserve"> </w:t>
      </w:r>
      <w:r w:rsidR="00B00236" w:rsidRPr="00290DB9">
        <w:rPr>
          <w:caps/>
          <w:szCs w:val="24"/>
        </w:rPr>
        <w:t>SHALE</w:t>
      </w:r>
      <w:r w:rsidR="00B00236">
        <w:rPr>
          <w:caps/>
          <w:szCs w:val="24"/>
        </w:rPr>
        <w:t>S</w:t>
      </w:r>
    </w:p>
    <w:p w14:paraId="0CF5D984" w14:textId="4EA65B4B" w:rsidR="00A24EF0" w:rsidRDefault="00A24EF0" w:rsidP="00A24EF0">
      <w:pPr>
        <w:pStyle w:val="NoSpacing"/>
        <w:jc w:val="center"/>
        <w:rPr>
          <w:caps/>
          <w:szCs w:val="24"/>
        </w:rPr>
      </w:pPr>
    </w:p>
    <w:p w14:paraId="5F092AE1" w14:textId="77777777" w:rsidR="00A24EF0" w:rsidRPr="00F546EC" w:rsidRDefault="00A24EF0" w:rsidP="00A24EF0">
      <w:pPr>
        <w:pStyle w:val="NoSpacing"/>
        <w:jc w:val="center"/>
        <w:rPr>
          <w:caps/>
          <w:szCs w:val="24"/>
        </w:rPr>
      </w:pPr>
    </w:p>
    <w:p w14:paraId="7EF027E6" w14:textId="7DBEE362" w:rsidR="007E401A" w:rsidRDefault="007E401A" w:rsidP="00A24EF0">
      <w:pPr>
        <w:pStyle w:val="NoSpacing"/>
        <w:jc w:val="center"/>
        <w:rPr>
          <w:caps/>
          <w:szCs w:val="24"/>
        </w:rPr>
      </w:pPr>
      <w:r w:rsidRPr="00F546EC">
        <w:rPr>
          <w:caps/>
          <w:szCs w:val="24"/>
        </w:rPr>
        <w:t>A Dissertation approved for the</w:t>
      </w:r>
    </w:p>
    <w:p w14:paraId="1F262B27" w14:textId="77777777" w:rsidR="00A24EF0" w:rsidRPr="00F546EC" w:rsidRDefault="00A24EF0" w:rsidP="00A24EF0">
      <w:pPr>
        <w:pStyle w:val="NoSpacing"/>
        <w:jc w:val="center"/>
        <w:rPr>
          <w:caps/>
          <w:szCs w:val="24"/>
        </w:rPr>
      </w:pPr>
    </w:p>
    <w:p w14:paraId="5E37A48E" w14:textId="16523716" w:rsidR="007E401A" w:rsidRDefault="00D722D9" w:rsidP="00A24EF0">
      <w:pPr>
        <w:pStyle w:val="NoSpacing"/>
        <w:jc w:val="center"/>
        <w:rPr>
          <w:caps/>
          <w:szCs w:val="24"/>
        </w:rPr>
      </w:pPr>
      <w:r w:rsidRPr="00F546EC">
        <w:rPr>
          <w:caps/>
          <w:szCs w:val="24"/>
        </w:rPr>
        <w:t>university of oklahoma</w:t>
      </w:r>
    </w:p>
    <w:p w14:paraId="6B17F825" w14:textId="77777777" w:rsidR="00A24EF0" w:rsidRPr="00F546EC" w:rsidRDefault="00A24EF0" w:rsidP="00A24EF0">
      <w:pPr>
        <w:pStyle w:val="NoSpacing"/>
        <w:jc w:val="center"/>
        <w:rPr>
          <w:caps/>
          <w:szCs w:val="24"/>
        </w:rPr>
      </w:pPr>
    </w:p>
    <w:p w14:paraId="69B11985" w14:textId="720D1B46" w:rsidR="00D722D9" w:rsidRPr="00F546EC" w:rsidRDefault="00D722D9" w:rsidP="00A24EF0">
      <w:pPr>
        <w:pStyle w:val="NoSpacing"/>
        <w:jc w:val="center"/>
        <w:rPr>
          <w:caps/>
          <w:szCs w:val="24"/>
        </w:rPr>
      </w:pPr>
      <w:r w:rsidRPr="00F546EC">
        <w:rPr>
          <w:caps/>
          <w:szCs w:val="24"/>
        </w:rPr>
        <w:t>school of geosciences</w:t>
      </w:r>
    </w:p>
    <w:p w14:paraId="17B0BB1F" w14:textId="77777777" w:rsidR="007E401A" w:rsidRPr="00F546EC" w:rsidRDefault="007E401A" w:rsidP="00A24EF0">
      <w:pPr>
        <w:pStyle w:val="NoSpacing"/>
        <w:jc w:val="center"/>
        <w:rPr>
          <w:caps/>
          <w:szCs w:val="24"/>
        </w:rPr>
      </w:pPr>
    </w:p>
    <w:p w14:paraId="79DCBE36" w14:textId="158DE9F7" w:rsidR="007E401A" w:rsidRDefault="007E401A" w:rsidP="00A24EF0">
      <w:pPr>
        <w:pStyle w:val="NoSpacing"/>
        <w:jc w:val="center"/>
        <w:rPr>
          <w:caps/>
          <w:szCs w:val="24"/>
        </w:rPr>
      </w:pPr>
    </w:p>
    <w:p w14:paraId="00556AF9" w14:textId="67F57572" w:rsidR="00B82E58" w:rsidRDefault="00B82E58" w:rsidP="00A24EF0">
      <w:pPr>
        <w:pStyle w:val="NoSpacing"/>
        <w:jc w:val="center"/>
        <w:rPr>
          <w:caps/>
          <w:szCs w:val="24"/>
        </w:rPr>
      </w:pPr>
    </w:p>
    <w:p w14:paraId="4EA78FF3" w14:textId="77777777" w:rsidR="00B82E58" w:rsidRPr="00F546EC" w:rsidRDefault="00B82E58" w:rsidP="00A24EF0">
      <w:pPr>
        <w:pStyle w:val="NoSpacing"/>
        <w:jc w:val="center"/>
        <w:rPr>
          <w:caps/>
          <w:szCs w:val="24"/>
        </w:rPr>
      </w:pPr>
    </w:p>
    <w:p w14:paraId="4E33E005" w14:textId="77777777" w:rsidR="007E401A" w:rsidRPr="00F546EC" w:rsidRDefault="007E401A" w:rsidP="00A24EF0">
      <w:pPr>
        <w:pStyle w:val="NoSpacing"/>
        <w:jc w:val="center"/>
        <w:rPr>
          <w:caps/>
          <w:szCs w:val="24"/>
        </w:rPr>
      </w:pPr>
    </w:p>
    <w:p w14:paraId="37261142" w14:textId="05CF0B9C" w:rsidR="007E401A" w:rsidRPr="00F546EC" w:rsidRDefault="007E401A" w:rsidP="00A24EF0">
      <w:pPr>
        <w:pStyle w:val="NoSpacing"/>
        <w:jc w:val="center"/>
        <w:rPr>
          <w:caps/>
          <w:szCs w:val="24"/>
        </w:rPr>
      </w:pPr>
      <w:r w:rsidRPr="00F546EC">
        <w:rPr>
          <w:caps/>
          <w:szCs w:val="24"/>
        </w:rPr>
        <w:t>By</w:t>
      </w:r>
      <w:r w:rsidR="00BD238B">
        <w:rPr>
          <w:caps/>
          <w:szCs w:val="24"/>
        </w:rPr>
        <w:t xml:space="preserve"> THE COMMITTEE CONSISTING OF</w:t>
      </w:r>
    </w:p>
    <w:p w14:paraId="4A70EAF7" w14:textId="1C00EF6A" w:rsidR="007E401A" w:rsidRDefault="007E401A" w:rsidP="00A24EF0">
      <w:pPr>
        <w:pStyle w:val="NoSpacing"/>
        <w:jc w:val="center"/>
        <w:rPr>
          <w:szCs w:val="24"/>
        </w:rPr>
      </w:pPr>
    </w:p>
    <w:p w14:paraId="6AED769E" w14:textId="32EC85AF" w:rsidR="00B82E58" w:rsidRDefault="00B82E58" w:rsidP="00A24EF0">
      <w:pPr>
        <w:pStyle w:val="NoSpacing"/>
        <w:jc w:val="center"/>
        <w:rPr>
          <w:szCs w:val="24"/>
        </w:rPr>
      </w:pPr>
    </w:p>
    <w:p w14:paraId="36D14ED6" w14:textId="16CA2D6E" w:rsidR="00B82E58" w:rsidRDefault="00B82E58" w:rsidP="00A24EF0">
      <w:pPr>
        <w:pStyle w:val="NoSpacing"/>
        <w:jc w:val="center"/>
        <w:rPr>
          <w:szCs w:val="24"/>
        </w:rPr>
      </w:pPr>
    </w:p>
    <w:p w14:paraId="653D8596" w14:textId="77777777" w:rsidR="00B82E58" w:rsidRPr="00F546EC" w:rsidRDefault="00B82E58" w:rsidP="00A24EF0">
      <w:pPr>
        <w:pStyle w:val="NoSpacing"/>
        <w:jc w:val="center"/>
        <w:rPr>
          <w:szCs w:val="24"/>
        </w:rPr>
      </w:pPr>
    </w:p>
    <w:p w14:paraId="68F2E556" w14:textId="28C34384" w:rsidR="007E401A" w:rsidRDefault="007E401A" w:rsidP="00A24EF0">
      <w:pPr>
        <w:pStyle w:val="NoSpacing"/>
        <w:jc w:val="center"/>
        <w:rPr>
          <w:szCs w:val="24"/>
        </w:rPr>
      </w:pPr>
    </w:p>
    <w:p w14:paraId="6601F6B1" w14:textId="7461D909" w:rsidR="00B82E58" w:rsidRDefault="00B82E58" w:rsidP="00A24EF0">
      <w:pPr>
        <w:pStyle w:val="NoSpacing"/>
        <w:jc w:val="center"/>
        <w:rPr>
          <w:szCs w:val="24"/>
        </w:rPr>
      </w:pPr>
    </w:p>
    <w:p w14:paraId="68D02E52" w14:textId="77777777" w:rsidR="00B82E58" w:rsidRPr="00F546EC" w:rsidRDefault="00B82E58" w:rsidP="00A24EF0">
      <w:pPr>
        <w:pStyle w:val="NoSpacing"/>
        <w:jc w:val="center"/>
        <w:rPr>
          <w:szCs w:val="24"/>
        </w:rPr>
      </w:pPr>
    </w:p>
    <w:p w14:paraId="5EB0BA16" w14:textId="39EA10ED" w:rsidR="007E401A" w:rsidRDefault="00DD45D7" w:rsidP="00DD45D7">
      <w:pPr>
        <w:pStyle w:val="NoSpacing"/>
        <w:spacing w:line="360" w:lineRule="auto"/>
        <w:ind w:left="6480"/>
        <w:jc w:val="center"/>
        <w:rPr>
          <w:szCs w:val="24"/>
        </w:rPr>
      </w:pPr>
      <w:r w:rsidRPr="00F546EC">
        <w:rPr>
          <w:szCs w:val="24"/>
        </w:rPr>
        <w:t xml:space="preserve">Dr. Kurt J. </w:t>
      </w:r>
      <w:r w:rsidR="00B021B3" w:rsidRPr="00F546EC">
        <w:rPr>
          <w:szCs w:val="24"/>
        </w:rPr>
        <w:t>Marfurt</w:t>
      </w:r>
      <w:r w:rsidR="00B021B3">
        <w:rPr>
          <w:szCs w:val="24"/>
        </w:rPr>
        <w:t>,</w:t>
      </w:r>
      <w:r w:rsidR="007E401A" w:rsidRPr="00F546EC">
        <w:rPr>
          <w:szCs w:val="24"/>
        </w:rPr>
        <w:t xml:space="preserve"> Chair</w:t>
      </w:r>
    </w:p>
    <w:p w14:paraId="0EF15145" w14:textId="77777777" w:rsidR="00A24EF0" w:rsidRDefault="00A24EF0" w:rsidP="00F6003B">
      <w:pPr>
        <w:pStyle w:val="NoSpacing"/>
        <w:spacing w:line="360" w:lineRule="auto"/>
        <w:jc w:val="right"/>
        <w:rPr>
          <w:szCs w:val="24"/>
        </w:rPr>
      </w:pPr>
    </w:p>
    <w:p w14:paraId="0DF328C1" w14:textId="72FD1D56" w:rsidR="00DD45D7" w:rsidRPr="00F546EC" w:rsidRDefault="00DD45D7" w:rsidP="00DD45D7">
      <w:pPr>
        <w:pStyle w:val="NoSpacing"/>
        <w:spacing w:line="360" w:lineRule="auto"/>
        <w:jc w:val="right"/>
        <w:rPr>
          <w:szCs w:val="24"/>
        </w:rPr>
      </w:pPr>
      <w:r w:rsidRPr="00F546EC">
        <w:rPr>
          <w:szCs w:val="24"/>
        </w:rPr>
        <w:t xml:space="preserve">Dr. </w:t>
      </w:r>
      <w:r>
        <w:rPr>
          <w:szCs w:val="24"/>
        </w:rPr>
        <w:t>Roger M. Slatt, Co-chair</w:t>
      </w:r>
    </w:p>
    <w:p w14:paraId="41D7C6D1" w14:textId="77777777" w:rsidR="00DD45D7" w:rsidRDefault="00DD45D7" w:rsidP="00F6003B">
      <w:pPr>
        <w:pStyle w:val="NoSpacing"/>
        <w:spacing w:line="360" w:lineRule="auto"/>
        <w:jc w:val="right"/>
        <w:rPr>
          <w:szCs w:val="24"/>
        </w:rPr>
      </w:pPr>
    </w:p>
    <w:p w14:paraId="12FEEBF2" w14:textId="72F87CC7" w:rsidR="00A24EF0" w:rsidRPr="00F546EC" w:rsidRDefault="00A24EF0" w:rsidP="00F6003B">
      <w:pPr>
        <w:pStyle w:val="NoSpacing"/>
        <w:spacing w:line="360" w:lineRule="auto"/>
        <w:jc w:val="right"/>
        <w:rPr>
          <w:szCs w:val="24"/>
        </w:rPr>
      </w:pPr>
      <w:r w:rsidRPr="00F546EC">
        <w:rPr>
          <w:szCs w:val="24"/>
        </w:rPr>
        <w:t>Dr. Deepak Devegowda</w:t>
      </w:r>
    </w:p>
    <w:p w14:paraId="354BB3F2" w14:textId="77777777" w:rsidR="00A24EF0" w:rsidRDefault="00A24EF0" w:rsidP="00F6003B">
      <w:pPr>
        <w:pStyle w:val="NoSpacing"/>
        <w:spacing w:line="360" w:lineRule="auto"/>
        <w:jc w:val="right"/>
        <w:rPr>
          <w:szCs w:val="24"/>
        </w:rPr>
      </w:pPr>
    </w:p>
    <w:p w14:paraId="05661792" w14:textId="2DAD4094" w:rsidR="007E401A" w:rsidRPr="00F546EC" w:rsidRDefault="007E401A" w:rsidP="00F6003B">
      <w:pPr>
        <w:pStyle w:val="NoSpacing"/>
        <w:spacing w:line="360" w:lineRule="auto"/>
        <w:jc w:val="right"/>
        <w:rPr>
          <w:szCs w:val="24"/>
        </w:rPr>
      </w:pPr>
      <w:r w:rsidRPr="00F546EC">
        <w:rPr>
          <w:szCs w:val="24"/>
        </w:rPr>
        <w:t>Dr</w:t>
      </w:r>
      <w:r w:rsidR="009617C4" w:rsidRPr="00F546EC">
        <w:rPr>
          <w:szCs w:val="24"/>
        </w:rPr>
        <w:t>.</w:t>
      </w:r>
      <w:r w:rsidRPr="00F546EC">
        <w:rPr>
          <w:szCs w:val="24"/>
        </w:rPr>
        <w:t xml:space="preserve"> Michael Engel</w:t>
      </w:r>
    </w:p>
    <w:p w14:paraId="603B308F" w14:textId="77777777" w:rsidR="007E401A" w:rsidRPr="00F546EC" w:rsidRDefault="007E401A" w:rsidP="00F6003B">
      <w:pPr>
        <w:pStyle w:val="NoSpacing"/>
        <w:spacing w:line="360" w:lineRule="auto"/>
        <w:jc w:val="right"/>
        <w:rPr>
          <w:szCs w:val="24"/>
        </w:rPr>
      </w:pPr>
    </w:p>
    <w:p w14:paraId="227F58E8" w14:textId="0C0B6D1F" w:rsidR="007E401A" w:rsidRPr="00F546EC" w:rsidRDefault="007E401A" w:rsidP="00F6003B">
      <w:pPr>
        <w:pStyle w:val="NoSpacing"/>
        <w:spacing w:line="360" w:lineRule="auto"/>
        <w:jc w:val="right"/>
        <w:rPr>
          <w:szCs w:val="24"/>
        </w:rPr>
      </w:pPr>
      <w:r w:rsidRPr="00F546EC">
        <w:rPr>
          <w:szCs w:val="24"/>
        </w:rPr>
        <w:t>Dr</w:t>
      </w:r>
      <w:r w:rsidR="009617C4" w:rsidRPr="00F546EC">
        <w:rPr>
          <w:szCs w:val="24"/>
        </w:rPr>
        <w:t>.</w:t>
      </w:r>
      <w:r w:rsidRPr="00F546EC">
        <w:rPr>
          <w:szCs w:val="24"/>
        </w:rPr>
        <w:t xml:space="preserve"> R. Paul Philp</w:t>
      </w:r>
    </w:p>
    <w:p w14:paraId="6E3D9091" w14:textId="77777777" w:rsidR="007E401A" w:rsidRPr="00F546EC" w:rsidRDefault="007E401A" w:rsidP="00A24EF0">
      <w:pPr>
        <w:pStyle w:val="NoSpacing"/>
        <w:jc w:val="center"/>
        <w:rPr>
          <w:szCs w:val="24"/>
        </w:rPr>
      </w:pPr>
    </w:p>
    <w:p w14:paraId="4ADFFB4B" w14:textId="1068B3D4" w:rsidR="007E401A" w:rsidRDefault="007E401A" w:rsidP="00A24EF0">
      <w:pPr>
        <w:pStyle w:val="NoSpacing"/>
        <w:jc w:val="center"/>
        <w:rPr>
          <w:szCs w:val="24"/>
        </w:rPr>
      </w:pPr>
    </w:p>
    <w:p w14:paraId="1BC7747B" w14:textId="4DCC4975" w:rsidR="00B82E58" w:rsidRDefault="00B82E58" w:rsidP="00A24EF0">
      <w:pPr>
        <w:pStyle w:val="NoSpacing"/>
        <w:jc w:val="center"/>
        <w:rPr>
          <w:szCs w:val="24"/>
        </w:rPr>
      </w:pPr>
    </w:p>
    <w:p w14:paraId="312ADEE1" w14:textId="735B58E3" w:rsidR="00B82E58" w:rsidRDefault="00B82E58" w:rsidP="00A24EF0">
      <w:pPr>
        <w:pStyle w:val="NoSpacing"/>
        <w:jc w:val="center"/>
        <w:rPr>
          <w:szCs w:val="24"/>
        </w:rPr>
      </w:pPr>
    </w:p>
    <w:p w14:paraId="126DE4FE" w14:textId="1CF6A6BD" w:rsidR="00BD238B" w:rsidRDefault="00BD238B" w:rsidP="00A24EF0">
      <w:pPr>
        <w:pStyle w:val="NoSpacing"/>
        <w:jc w:val="center"/>
        <w:rPr>
          <w:szCs w:val="24"/>
        </w:rPr>
      </w:pPr>
    </w:p>
    <w:p w14:paraId="3D67588F" w14:textId="40BD2CC2" w:rsidR="00BD238B" w:rsidRDefault="00BD238B" w:rsidP="00A24EF0">
      <w:pPr>
        <w:pStyle w:val="NoSpacing"/>
        <w:jc w:val="center"/>
        <w:rPr>
          <w:szCs w:val="24"/>
        </w:rPr>
      </w:pPr>
    </w:p>
    <w:p w14:paraId="346ADAE8" w14:textId="025CB440" w:rsidR="00BD238B" w:rsidRDefault="00BD238B" w:rsidP="00A24EF0">
      <w:pPr>
        <w:pStyle w:val="NoSpacing"/>
        <w:jc w:val="center"/>
        <w:rPr>
          <w:szCs w:val="24"/>
        </w:rPr>
      </w:pPr>
    </w:p>
    <w:p w14:paraId="397BB70B" w14:textId="5A29F8E3" w:rsidR="00BD238B" w:rsidRDefault="00BD238B" w:rsidP="00A24EF0">
      <w:pPr>
        <w:pStyle w:val="NoSpacing"/>
        <w:jc w:val="center"/>
        <w:rPr>
          <w:szCs w:val="24"/>
        </w:rPr>
      </w:pPr>
    </w:p>
    <w:p w14:paraId="173E0FC8" w14:textId="42F0340A" w:rsidR="00BD238B" w:rsidRDefault="00BD238B" w:rsidP="00A24EF0">
      <w:pPr>
        <w:pStyle w:val="NoSpacing"/>
        <w:jc w:val="center"/>
        <w:rPr>
          <w:szCs w:val="24"/>
        </w:rPr>
      </w:pPr>
    </w:p>
    <w:p w14:paraId="140928F2" w14:textId="4364F347" w:rsidR="00307DD0" w:rsidRDefault="00307DD0">
      <w:pPr>
        <w:spacing w:after="0" w:line="240" w:lineRule="auto"/>
        <w:jc w:val="left"/>
        <w:rPr>
          <w:rFonts w:eastAsia="Times New Roman"/>
          <w:szCs w:val="24"/>
          <w:lang w:bidi="en-US"/>
        </w:rPr>
      </w:pPr>
      <w:r>
        <w:rPr>
          <w:szCs w:val="24"/>
        </w:rPr>
        <w:br w:type="page"/>
      </w:r>
    </w:p>
    <w:p w14:paraId="12D5C1DD" w14:textId="77777777" w:rsidR="00BD238B" w:rsidRDefault="00BD238B" w:rsidP="00A24EF0">
      <w:pPr>
        <w:pStyle w:val="NoSpacing"/>
        <w:jc w:val="center"/>
        <w:rPr>
          <w:szCs w:val="24"/>
        </w:rPr>
      </w:pPr>
    </w:p>
    <w:p w14:paraId="1661CFD7" w14:textId="416F1F68" w:rsidR="00BD238B" w:rsidRDefault="00BD238B" w:rsidP="00A24EF0">
      <w:pPr>
        <w:pStyle w:val="NoSpacing"/>
        <w:jc w:val="center"/>
        <w:rPr>
          <w:szCs w:val="24"/>
        </w:rPr>
      </w:pPr>
    </w:p>
    <w:p w14:paraId="5F14AA60" w14:textId="36D91DA9" w:rsidR="00BD238B" w:rsidRDefault="00BD238B" w:rsidP="00A24EF0">
      <w:pPr>
        <w:pStyle w:val="NoSpacing"/>
        <w:jc w:val="center"/>
        <w:rPr>
          <w:szCs w:val="24"/>
        </w:rPr>
      </w:pPr>
    </w:p>
    <w:p w14:paraId="4253AEBE" w14:textId="1F637A67" w:rsidR="00BD238B" w:rsidRDefault="00BD238B" w:rsidP="00A24EF0">
      <w:pPr>
        <w:pStyle w:val="NoSpacing"/>
        <w:jc w:val="center"/>
        <w:rPr>
          <w:szCs w:val="24"/>
        </w:rPr>
      </w:pPr>
    </w:p>
    <w:p w14:paraId="465B90EB" w14:textId="41D3567F" w:rsidR="00BD238B" w:rsidRDefault="00BD238B" w:rsidP="00A24EF0">
      <w:pPr>
        <w:pStyle w:val="NoSpacing"/>
        <w:jc w:val="center"/>
        <w:rPr>
          <w:szCs w:val="24"/>
        </w:rPr>
      </w:pPr>
    </w:p>
    <w:p w14:paraId="63AA18C8" w14:textId="0F8597E9" w:rsidR="00BD238B" w:rsidRDefault="00BD238B" w:rsidP="00A24EF0">
      <w:pPr>
        <w:pStyle w:val="NoSpacing"/>
        <w:jc w:val="center"/>
        <w:rPr>
          <w:szCs w:val="24"/>
        </w:rPr>
      </w:pPr>
    </w:p>
    <w:p w14:paraId="132184AA" w14:textId="07EB1805" w:rsidR="00BD238B" w:rsidRDefault="00BD238B" w:rsidP="00A24EF0">
      <w:pPr>
        <w:pStyle w:val="NoSpacing"/>
        <w:jc w:val="center"/>
        <w:rPr>
          <w:szCs w:val="24"/>
        </w:rPr>
      </w:pPr>
    </w:p>
    <w:p w14:paraId="61053C60" w14:textId="20EA106F" w:rsidR="00BD238B" w:rsidRDefault="00BD238B" w:rsidP="00A24EF0">
      <w:pPr>
        <w:pStyle w:val="NoSpacing"/>
        <w:jc w:val="center"/>
        <w:rPr>
          <w:szCs w:val="24"/>
        </w:rPr>
      </w:pPr>
    </w:p>
    <w:p w14:paraId="4E8538D5" w14:textId="67E21A4B" w:rsidR="00BD238B" w:rsidRDefault="00BD238B" w:rsidP="00A24EF0">
      <w:pPr>
        <w:pStyle w:val="NoSpacing"/>
        <w:jc w:val="center"/>
        <w:rPr>
          <w:szCs w:val="24"/>
        </w:rPr>
      </w:pPr>
    </w:p>
    <w:p w14:paraId="6817A40F" w14:textId="6DFDB41B" w:rsidR="00BD238B" w:rsidRDefault="00BD238B" w:rsidP="00A24EF0">
      <w:pPr>
        <w:pStyle w:val="NoSpacing"/>
        <w:jc w:val="center"/>
        <w:rPr>
          <w:szCs w:val="24"/>
        </w:rPr>
      </w:pPr>
    </w:p>
    <w:p w14:paraId="38F355C9" w14:textId="6A2EE219" w:rsidR="00BD238B" w:rsidRDefault="00BD238B" w:rsidP="00A24EF0">
      <w:pPr>
        <w:pStyle w:val="NoSpacing"/>
        <w:jc w:val="center"/>
        <w:rPr>
          <w:szCs w:val="24"/>
        </w:rPr>
      </w:pPr>
    </w:p>
    <w:p w14:paraId="23A4D05F" w14:textId="04DA8696" w:rsidR="00BD238B" w:rsidRDefault="00BD238B" w:rsidP="00A24EF0">
      <w:pPr>
        <w:pStyle w:val="NoSpacing"/>
        <w:jc w:val="center"/>
        <w:rPr>
          <w:szCs w:val="24"/>
        </w:rPr>
      </w:pPr>
    </w:p>
    <w:p w14:paraId="4E69D333" w14:textId="4CD839E5" w:rsidR="00BD238B" w:rsidRDefault="00BD238B" w:rsidP="00A24EF0">
      <w:pPr>
        <w:pStyle w:val="NoSpacing"/>
        <w:jc w:val="center"/>
        <w:rPr>
          <w:szCs w:val="24"/>
        </w:rPr>
      </w:pPr>
    </w:p>
    <w:p w14:paraId="1E31F563" w14:textId="7D9F9FB7" w:rsidR="00BD238B" w:rsidRDefault="00BD238B" w:rsidP="00A24EF0">
      <w:pPr>
        <w:pStyle w:val="NoSpacing"/>
        <w:jc w:val="center"/>
        <w:rPr>
          <w:szCs w:val="24"/>
        </w:rPr>
      </w:pPr>
    </w:p>
    <w:p w14:paraId="6FBF3DFE" w14:textId="16BA25B3" w:rsidR="00BD238B" w:rsidRDefault="00BD238B" w:rsidP="00A24EF0">
      <w:pPr>
        <w:pStyle w:val="NoSpacing"/>
        <w:jc w:val="center"/>
        <w:rPr>
          <w:szCs w:val="24"/>
        </w:rPr>
      </w:pPr>
    </w:p>
    <w:p w14:paraId="7E44F135" w14:textId="35E66C66" w:rsidR="00BD238B" w:rsidRDefault="00BD238B" w:rsidP="00A24EF0">
      <w:pPr>
        <w:pStyle w:val="NoSpacing"/>
        <w:jc w:val="center"/>
        <w:rPr>
          <w:szCs w:val="24"/>
        </w:rPr>
      </w:pPr>
    </w:p>
    <w:p w14:paraId="63D95F7E" w14:textId="253147D5" w:rsidR="00BD238B" w:rsidRDefault="00BD238B" w:rsidP="00A24EF0">
      <w:pPr>
        <w:pStyle w:val="NoSpacing"/>
        <w:jc w:val="center"/>
        <w:rPr>
          <w:szCs w:val="24"/>
        </w:rPr>
      </w:pPr>
    </w:p>
    <w:p w14:paraId="6E9D6ECC" w14:textId="28B07FB2" w:rsidR="00BD238B" w:rsidRDefault="00BD238B" w:rsidP="00A24EF0">
      <w:pPr>
        <w:pStyle w:val="NoSpacing"/>
        <w:jc w:val="center"/>
        <w:rPr>
          <w:szCs w:val="24"/>
        </w:rPr>
      </w:pPr>
    </w:p>
    <w:p w14:paraId="161FA59C" w14:textId="57211242" w:rsidR="00BD238B" w:rsidRDefault="00BD238B" w:rsidP="00A24EF0">
      <w:pPr>
        <w:pStyle w:val="NoSpacing"/>
        <w:jc w:val="center"/>
        <w:rPr>
          <w:szCs w:val="24"/>
        </w:rPr>
      </w:pPr>
    </w:p>
    <w:p w14:paraId="2AC65DD9" w14:textId="170B0894" w:rsidR="00BD238B" w:rsidRDefault="00BD238B" w:rsidP="00A24EF0">
      <w:pPr>
        <w:pStyle w:val="NoSpacing"/>
        <w:jc w:val="center"/>
        <w:rPr>
          <w:szCs w:val="24"/>
        </w:rPr>
      </w:pPr>
    </w:p>
    <w:p w14:paraId="1D54D8D4" w14:textId="5B0F064B" w:rsidR="00BD238B" w:rsidRDefault="00BD238B" w:rsidP="00A24EF0">
      <w:pPr>
        <w:pStyle w:val="NoSpacing"/>
        <w:jc w:val="center"/>
        <w:rPr>
          <w:szCs w:val="24"/>
        </w:rPr>
      </w:pPr>
    </w:p>
    <w:p w14:paraId="6A715DCF" w14:textId="1A28C3FD" w:rsidR="00BD238B" w:rsidRDefault="00BD238B" w:rsidP="00A24EF0">
      <w:pPr>
        <w:pStyle w:val="NoSpacing"/>
        <w:jc w:val="center"/>
        <w:rPr>
          <w:szCs w:val="24"/>
        </w:rPr>
      </w:pPr>
    </w:p>
    <w:p w14:paraId="28F38911" w14:textId="21DE27F2" w:rsidR="00BD238B" w:rsidRDefault="00BD238B" w:rsidP="00A24EF0">
      <w:pPr>
        <w:pStyle w:val="NoSpacing"/>
        <w:jc w:val="center"/>
        <w:rPr>
          <w:szCs w:val="24"/>
        </w:rPr>
      </w:pPr>
    </w:p>
    <w:p w14:paraId="62AF2F6D" w14:textId="75BB517F" w:rsidR="00BD238B" w:rsidRDefault="00BD238B" w:rsidP="00A24EF0">
      <w:pPr>
        <w:pStyle w:val="NoSpacing"/>
        <w:jc w:val="center"/>
        <w:rPr>
          <w:szCs w:val="24"/>
        </w:rPr>
      </w:pPr>
    </w:p>
    <w:p w14:paraId="2E325A5E" w14:textId="5CC18AE8" w:rsidR="00BD238B" w:rsidRDefault="00BD238B" w:rsidP="00A24EF0">
      <w:pPr>
        <w:pStyle w:val="NoSpacing"/>
        <w:jc w:val="center"/>
        <w:rPr>
          <w:szCs w:val="24"/>
        </w:rPr>
      </w:pPr>
    </w:p>
    <w:p w14:paraId="07FAE06B" w14:textId="3E801F32" w:rsidR="00BD238B" w:rsidRDefault="00BD238B" w:rsidP="00A24EF0">
      <w:pPr>
        <w:pStyle w:val="NoSpacing"/>
        <w:jc w:val="center"/>
        <w:rPr>
          <w:szCs w:val="24"/>
        </w:rPr>
      </w:pPr>
    </w:p>
    <w:p w14:paraId="54398F17" w14:textId="3F333B99" w:rsidR="00BD238B" w:rsidRDefault="00BD238B" w:rsidP="00A24EF0">
      <w:pPr>
        <w:pStyle w:val="NoSpacing"/>
        <w:jc w:val="center"/>
        <w:rPr>
          <w:szCs w:val="24"/>
        </w:rPr>
      </w:pPr>
    </w:p>
    <w:p w14:paraId="2B82390C" w14:textId="3DD33A61" w:rsidR="00BD238B" w:rsidRDefault="00BD238B" w:rsidP="00A24EF0">
      <w:pPr>
        <w:pStyle w:val="NoSpacing"/>
        <w:jc w:val="center"/>
        <w:rPr>
          <w:szCs w:val="24"/>
        </w:rPr>
      </w:pPr>
    </w:p>
    <w:p w14:paraId="6B737DD7" w14:textId="48AFA2CE" w:rsidR="00BD238B" w:rsidRDefault="00BD238B" w:rsidP="00A24EF0">
      <w:pPr>
        <w:pStyle w:val="NoSpacing"/>
        <w:jc w:val="center"/>
        <w:rPr>
          <w:szCs w:val="24"/>
        </w:rPr>
      </w:pPr>
    </w:p>
    <w:p w14:paraId="1505A2DD" w14:textId="1445AC97" w:rsidR="00BD238B" w:rsidRDefault="00BD238B" w:rsidP="00A24EF0">
      <w:pPr>
        <w:pStyle w:val="NoSpacing"/>
        <w:jc w:val="center"/>
        <w:rPr>
          <w:szCs w:val="24"/>
        </w:rPr>
      </w:pPr>
    </w:p>
    <w:p w14:paraId="4FFAC817" w14:textId="62DAECC6" w:rsidR="00BD238B" w:rsidRDefault="00BD238B" w:rsidP="00A24EF0">
      <w:pPr>
        <w:pStyle w:val="NoSpacing"/>
        <w:jc w:val="center"/>
        <w:rPr>
          <w:szCs w:val="24"/>
        </w:rPr>
      </w:pPr>
    </w:p>
    <w:p w14:paraId="03BA60A5" w14:textId="201A3EF5" w:rsidR="00BD238B" w:rsidRDefault="00BD238B" w:rsidP="00A24EF0">
      <w:pPr>
        <w:pStyle w:val="NoSpacing"/>
        <w:jc w:val="center"/>
        <w:rPr>
          <w:szCs w:val="24"/>
        </w:rPr>
      </w:pPr>
    </w:p>
    <w:p w14:paraId="29EE0C81" w14:textId="2C627FFD" w:rsidR="00BD238B" w:rsidRDefault="00BD238B" w:rsidP="00A24EF0">
      <w:pPr>
        <w:pStyle w:val="NoSpacing"/>
        <w:jc w:val="center"/>
        <w:rPr>
          <w:szCs w:val="24"/>
        </w:rPr>
      </w:pPr>
    </w:p>
    <w:p w14:paraId="59D4DF8E" w14:textId="569131D6" w:rsidR="00BD238B" w:rsidRDefault="00BD238B" w:rsidP="00A24EF0">
      <w:pPr>
        <w:pStyle w:val="NoSpacing"/>
        <w:jc w:val="center"/>
        <w:rPr>
          <w:szCs w:val="24"/>
        </w:rPr>
      </w:pPr>
    </w:p>
    <w:p w14:paraId="1B31C41F" w14:textId="5F3DA9E2" w:rsidR="00BD238B" w:rsidRDefault="00BD238B" w:rsidP="00A24EF0">
      <w:pPr>
        <w:pStyle w:val="NoSpacing"/>
        <w:jc w:val="center"/>
        <w:rPr>
          <w:szCs w:val="24"/>
        </w:rPr>
      </w:pPr>
    </w:p>
    <w:p w14:paraId="5BAB2E06" w14:textId="51117DBC" w:rsidR="00BD238B" w:rsidRDefault="00BD238B" w:rsidP="00A24EF0">
      <w:pPr>
        <w:pStyle w:val="NoSpacing"/>
        <w:jc w:val="center"/>
        <w:rPr>
          <w:szCs w:val="24"/>
        </w:rPr>
      </w:pPr>
    </w:p>
    <w:p w14:paraId="2711822B" w14:textId="65BB8289" w:rsidR="00BD238B" w:rsidRDefault="00BD238B" w:rsidP="00A24EF0">
      <w:pPr>
        <w:pStyle w:val="NoSpacing"/>
        <w:jc w:val="center"/>
        <w:rPr>
          <w:szCs w:val="24"/>
        </w:rPr>
      </w:pPr>
    </w:p>
    <w:p w14:paraId="658BB695" w14:textId="3BE852C9" w:rsidR="00BD238B" w:rsidRDefault="00BD238B" w:rsidP="00A24EF0">
      <w:pPr>
        <w:pStyle w:val="NoSpacing"/>
        <w:jc w:val="center"/>
        <w:rPr>
          <w:szCs w:val="24"/>
        </w:rPr>
      </w:pPr>
    </w:p>
    <w:p w14:paraId="5ABCCEFF" w14:textId="185DEEA5" w:rsidR="00BD238B" w:rsidRDefault="00BD238B" w:rsidP="00A24EF0">
      <w:pPr>
        <w:pStyle w:val="NoSpacing"/>
        <w:jc w:val="center"/>
        <w:rPr>
          <w:szCs w:val="24"/>
        </w:rPr>
      </w:pPr>
    </w:p>
    <w:p w14:paraId="6698F9E5" w14:textId="15B7AAC0" w:rsidR="00BD238B" w:rsidRDefault="00BD238B" w:rsidP="00A24EF0">
      <w:pPr>
        <w:pStyle w:val="NoSpacing"/>
        <w:jc w:val="center"/>
        <w:rPr>
          <w:szCs w:val="24"/>
        </w:rPr>
      </w:pPr>
    </w:p>
    <w:p w14:paraId="421E3216" w14:textId="1B744186" w:rsidR="00BD238B" w:rsidRDefault="00BD238B" w:rsidP="00A24EF0">
      <w:pPr>
        <w:pStyle w:val="NoSpacing"/>
        <w:jc w:val="center"/>
        <w:rPr>
          <w:szCs w:val="24"/>
        </w:rPr>
      </w:pPr>
    </w:p>
    <w:p w14:paraId="560268C0" w14:textId="35797AFF" w:rsidR="00BD238B" w:rsidRDefault="00BD238B" w:rsidP="00A24EF0">
      <w:pPr>
        <w:pStyle w:val="NoSpacing"/>
        <w:jc w:val="center"/>
        <w:rPr>
          <w:szCs w:val="24"/>
        </w:rPr>
      </w:pPr>
    </w:p>
    <w:p w14:paraId="10705C09" w14:textId="41877F1D" w:rsidR="00BD238B" w:rsidRDefault="00BD238B" w:rsidP="00A24EF0">
      <w:pPr>
        <w:pStyle w:val="NoSpacing"/>
        <w:jc w:val="center"/>
        <w:rPr>
          <w:szCs w:val="24"/>
        </w:rPr>
      </w:pPr>
    </w:p>
    <w:p w14:paraId="06245E12" w14:textId="3C39868C" w:rsidR="00BD238B" w:rsidRDefault="00BD238B" w:rsidP="00A24EF0">
      <w:pPr>
        <w:pStyle w:val="NoSpacing"/>
        <w:jc w:val="center"/>
        <w:rPr>
          <w:szCs w:val="24"/>
        </w:rPr>
      </w:pPr>
    </w:p>
    <w:p w14:paraId="1E7305E9" w14:textId="730AC44C" w:rsidR="007E401A" w:rsidRPr="00F546EC" w:rsidRDefault="007E401A" w:rsidP="00A24EF0">
      <w:pPr>
        <w:pStyle w:val="NoSpacing"/>
        <w:jc w:val="center"/>
        <w:rPr>
          <w:szCs w:val="24"/>
        </w:rPr>
      </w:pPr>
      <w:r w:rsidRPr="00F546EC">
        <w:rPr>
          <w:szCs w:val="24"/>
        </w:rPr>
        <w:t xml:space="preserve">© Copyright by </w:t>
      </w:r>
      <w:r w:rsidR="00EA43A0">
        <w:rPr>
          <w:szCs w:val="24"/>
        </w:rPr>
        <w:t xml:space="preserve">EMILIO </w:t>
      </w:r>
      <w:r w:rsidR="00C24F04" w:rsidRPr="00F546EC">
        <w:rPr>
          <w:caps/>
          <w:szCs w:val="24"/>
        </w:rPr>
        <w:t>TORRES-PARADA</w:t>
      </w:r>
      <w:r w:rsidRPr="00F546EC">
        <w:rPr>
          <w:szCs w:val="24"/>
        </w:rPr>
        <w:t xml:space="preserve"> 20</w:t>
      </w:r>
      <w:r w:rsidR="001647D0">
        <w:rPr>
          <w:szCs w:val="24"/>
        </w:rPr>
        <w:t>20</w:t>
      </w:r>
      <w:r w:rsidR="00EA43A0">
        <w:rPr>
          <w:szCs w:val="24"/>
        </w:rPr>
        <w:t>.</w:t>
      </w:r>
    </w:p>
    <w:p w14:paraId="074DBAE8" w14:textId="4A662811" w:rsidR="00307DD0" w:rsidRDefault="007E401A" w:rsidP="00A24EF0">
      <w:pPr>
        <w:pStyle w:val="NoSpacing"/>
        <w:jc w:val="center"/>
        <w:rPr>
          <w:szCs w:val="24"/>
        </w:rPr>
      </w:pPr>
      <w:r w:rsidRPr="00F546EC">
        <w:rPr>
          <w:szCs w:val="24"/>
        </w:rPr>
        <w:t>All Rights Reserved</w:t>
      </w:r>
      <w:r w:rsidR="00EA43A0">
        <w:rPr>
          <w:szCs w:val="24"/>
        </w:rPr>
        <w:t>.</w:t>
      </w:r>
    </w:p>
    <w:p w14:paraId="59F48148" w14:textId="77777777" w:rsidR="00C8695E" w:rsidRDefault="00C8695E" w:rsidP="00307DD0">
      <w:pPr>
        <w:spacing w:after="0" w:line="240" w:lineRule="auto"/>
        <w:jc w:val="left"/>
        <w:rPr>
          <w:szCs w:val="24"/>
        </w:rPr>
        <w:sectPr w:rsidR="00C8695E" w:rsidSect="0095456D">
          <w:headerReference w:type="default" r:id="rId11"/>
          <w:footerReference w:type="default" r:id="rId12"/>
          <w:footerReference w:type="first" r:id="rId13"/>
          <w:pgSz w:w="12240" w:h="15840"/>
          <w:pgMar w:top="1440" w:right="1440" w:bottom="1440" w:left="1440" w:header="720" w:footer="720" w:gutter="0"/>
          <w:pgNumType w:start="0"/>
          <w:cols w:space="720"/>
          <w:titlePg/>
          <w:docGrid w:linePitch="360"/>
        </w:sectPr>
      </w:pPr>
    </w:p>
    <w:p w14:paraId="705BCFB0" w14:textId="5AC1DAD2" w:rsidR="007B3672" w:rsidRPr="00F546EC" w:rsidRDefault="007B3672" w:rsidP="00307DD0">
      <w:pPr>
        <w:spacing w:after="0" w:line="240" w:lineRule="auto"/>
        <w:jc w:val="left"/>
        <w:rPr>
          <w:szCs w:val="24"/>
        </w:rPr>
      </w:pPr>
    </w:p>
    <w:p w14:paraId="3DFC46B1" w14:textId="77777777" w:rsidR="007B3672" w:rsidRPr="00F546EC" w:rsidRDefault="007B3672" w:rsidP="00F546EC">
      <w:pPr>
        <w:spacing w:line="240" w:lineRule="auto"/>
        <w:jc w:val="right"/>
        <w:outlineLvl w:val="0"/>
        <w:rPr>
          <w:szCs w:val="24"/>
        </w:rPr>
      </w:pPr>
    </w:p>
    <w:p w14:paraId="760AA51E" w14:textId="77777777" w:rsidR="007B3672" w:rsidRPr="00F546EC" w:rsidRDefault="007B3672" w:rsidP="00F546EC">
      <w:pPr>
        <w:spacing w:line="240" w:lineRule="auto"/>
        <w:jc w:val="right"/>
        <w:outlineLvl w:val="0"/>
        <w:rPr>
          <w:szCs w:val="24"/>
        </w:rPr>
      </w:pPr>
    </w:p>
    <w:p w14:paraId="2C6FDE45" w14:textId="77777777" w:rsidR="007B3672" w:rsidRPr="00F546EC" w:rsidRDefault="007B3672" w:rsidP="00F546EC">
      <w:pPr>
        <w:spacing w:line="240" w:lineRule="auto"/>
        <w:jc w:val="right"/>
        <w:outlineLvl w:val="0"/>
        <w:rPr>
          <w:szCs w:val="24"/>
        </w:rPr>
      </w:pPr>
    </w:p>
    <w:p w14:paraId="7BF6A7CF" w14:textId="77777777" w:rsidR="007B3672" w:rsidRPr="00F546EC" w:rsidRDefault="007B3672" w:rsidP="00F546EC">
      <w:pPr>
        <w:spacing w:line="240" w:lineRule="auto"/>
        <w:jc w:val="right"/>
        <w:outlineLvl w:val="0"/>
        <w:rPr>
          <w:szCs w:val="24"/>
        </w:rPr>
      </w:pPr>
    </w:p>
    <w:p w14:paraId="0D83FAA9" w14:textId="77777777" w:rsidR="007B3672" w:rsidRPr="00F546EC" w:rsidRDefault="007B3672" w:rsidP="00F546EC">
      <w:pPr>
        <w:spacing w:line="240" w:lineRule="auto"/>
        <w:jc w:val="right"/>
        <w:outlineLvl w:val="0"/>
        <w:rPr>
          <w:szCs w:val="24"/>
        </w:rPr>
      </w:pPr>
    </w:p>
    <w:p w14:paraId="30A342B5" w14:textId="77777777" w:rsidR="007B3672" w:rsidRPr="00F546EC" w:rsidRDefault="007B3672" w:rsidP="00F546EC">
      <w:pPr>
        <w:spacing w:line="240" w:lineRule="auto"/>
        <w:jc w:val="right"/>
        <w:outlineLvl w:val="0"/>
        <w:rPr>
          <w:szCs w:val="24"/>
        </w:rPr>
      </w:pPr>
    </w:p>
    <w:p w14:paraId="5DDB3C23" w14:textId="5AC78CF8" w:rsidR="007B3672" w:rsidRDefault="007B3672" w:rsidP="00F546EC">
      <w:pPr>
        <w:spacing w:line="240" w:lineRule="auto"/>
        <w:jc w:val="right"/>
        <w:outlineLvl w:val="0"/>
        <w:rPr>
          <w:szCs w:val="24"/>
        </w:rPr>
      </w:pPr>
    </w:p>
    <w:p w14:paraId="405415AB" w14:textId="77777777" w:rsidR="008F7E0F" w:rsidRDefault="008F7E0F" w:rsidP="00F546EC">
      <w:pPr>
        <w:spacing w:line="240" w:lineRule="auto"/>
        <w:jc w:val="right"/>
        <w:outlineLvl w:val="0"/>
        <w:rPr>
          <w:szCs w:val="24"/>
        </w:rPr>
      </w:pPr>
    </w:p>
    <w:p w14:paraId="2C49C34F" w14:textId="015FE3D6" w:rsidR="00A24EF0" w:rsidRDefault="00A24EF0" w:rsidP="00F546EC">
      <w:pPr>
        <w:spacing w:line="240" w:lineRule="auto"/>
        <w:jc w:val="right"/>
        <w:outlineLvl w:val="0"/>
        <w:rPr>
          <w:szCs w:val="24"/>
        </w:rPr>
      </w:pPr>
    </w:p>
    <w:p w14:paraId="75B7EA73" w14:textId="77777777" w:rsidR="007B3672" w:rsidRPr="00BD238B" w:rsidRDefault="007B3672" w:rsidP="00F546EC">
      <w:pPr>
        <w:spacing w:line="240" w:lineRule="auto"/>
        <w:jc w:val="right"/>
        <w:outlineLvl w:val="0"/>
        <w:rPr>
          <w:color w:val="0000FF"/>
          <w:szCs w:val="24"/>
        </w:rPr>
      </w:pPr>
    </w:p>
    <w:p w14:paraId="4EB9E582" w14:textId="77777777" w:rsidR="00A57492" w:rsidRPr="00B703B6" w:rsidRDefault="007B3672" w:rsidP="00791DE0">
      <w:pPr>
        <w:pStyle w:val="Quote"/>
        <w:rPr>
          <w:i w:val="0"/>
          <w:iCs w:val="0"/>
          <w:lang w:val="en-US"/>
        </w:rPr>
      </w:pPr>
      <w:r w:rsidRPr="00B703B6">
        <w:rPr>
          <w:i w:val="0"/>
          <w:iCs w:val="0"/>
          <w:lang w:val="en-US"/>
        </w:rPr>
        <w:t>To Heydi, Simón</w:t>
      </w:r>
      <w:r w:rsidR="00F0750B" w:rsidRPr="00B703B6">
        <w:rPr>
          <w:i w:val="0"/>
          <w:iCs w:val="0"/>
          <w:lang w:val="en-US"/>
        </w:rPr>
        <w:t>,</w:t>
      </w:r>
      <w:r w:rsidRPr="00B703B6">
        <w:rPr>
          <w:i w:val="0"/>
          <w:iCs w:val="0"/>
          <w:lang w:val="en-US"/>
        </w:rPr>
        <w:t xml:space="preserve"> Antonia</w:t>
      </w:r>
      <w:r w:rsidR="00A57492" w:rsidRPr="00B703B6">
        <w:rPr>
          <w:i w:val="0"/>
          <w:iCs w:val="0"/>
          <w:lang w:val="en-US"/>
        </w:rPr>
        <w:t>, Lorenzo and all my family</w:t>
      </w:r>
    </w:p>
    <w:p w14:paraId="744E9C30" w14:textId="29B31CF6" w:rsidR="007B3672" w:rsidRPr="00B703B6" w:rsidRDefault="007B3672" w:rsidP="00791DE0">
      <w:pPr>
        <w:pStyle w:val="Quote"/>
        <w:rPr>
          <w:i w:val="0"/>
          <w:iCs w:val="0"/>
          <w:lang w:val="en-US"/>
        </w:rPr>
      </w:pPr>
      <w:r w:rsidRPr="00B703B6">
        <w:rPr>
          <w:i w:val="0"/>
          <w:iCs w:val="0"/>
          <w:lang w:val="en-US"/>
        </w:rPr>
        <w:t xml:space="preserve"> With them on m</w:t>
      </w:r>
      <w:r w:rsidR="00F0750B" w:rsidRPr="00B703B6">
        <w:rPr>
          <w:i w:val="0"/>
          <w:iCs w:val="0"/>
          <w:lang w:val="en-US"/>
        </w:rPr>
        <w:t>y</w:t>
      </w:r>
      <w:r w:rsidRPr="00B703B6">
        <w:rPr>
          <w:i w:val="0"/>
          <w:iCs w:val="0"/>
          <w:lang w:val="en-US"/>
        </w:rPr>
        <w:t xml:space="preserve"> side, everything is possible!</w:t>
      </w:r>
    </w:p>
    <w:p w14:paraId="6CA8F5E5" w14:textId="30318D64" w:rsidR="007B3672" w:rsidRDefault="007B3672" w:rsidP="00791DE0">
      <w:pPr>
        <w:pStyle w:val="Quote"/>
        <w:rPr>
          <w:i w:val="0"/>
          <w:iCs w:val="0"/>
          <w:lang w:val="en-US"/>
        </w:rPr>
      </w:pPr>
      <w:r w:rsidRPr="00B703B6">
        <w:rPr>
          <w:lang w:val="en-US"/>
        </w:rPr>
        <w:t xml:space="preserve">In </w:t>
      </w:r>
      <w:r w:rsidR="00791DE0" w:rsidRPr="00B703B6">
        <w:rPr>
          <w:lang w:val="en-US"/>
        </w:rPr>
        <w:t>m</w:t>
      </w:r>
      <w:r w:rsidRPr="00B703B6">
        <w:rPr>
          <w:lang w:val="en-US"/>
        </w:rPr>
        <w:t>emoriam</w:t>
      </w:r>
      <w:r w:rsidR="00791DE0" w:rsidRPr="00B703B6">
        <w:rPr>
          <w:lang w:val="en-US"/>
        </w:rPr>
        <w:t xml:space="preserve"> </w:t>
      </w:r>
      <w:r w:rsidR="00791DE0" w:rsidRPr="00B703B6">
        <w:rPr>
          <w:i w:val="0"/>
          <w:iCs w:val="0"/>
          <w:lang w:val="en-US"/>
        </w:rPr>
        <w:t>of</w:t>
      </w:r>
      <w:r w:rsidRPr="00B703B6">
        <w:rPr>
          <w:i w:val="0"/>
          <w:iCs w:val="0"/>
          <w:lang w:val="en-US"/>
        </w:rPr>
        <w:t xml:space="preserve"> Jose M. Torres</w:t>
      </w:r>
      <w:r w:rsidR="008763B4" w:rsidRPr="00B703B6">
        <w:rPr>
          <w:i w:val="0"/>
          <w:iCs w:val="0"/>
          <w:lang w:val="en-US"/>
        </w:rPr>
        <w:t>-</w:t>
      </w:r>
      <w:r w:rsidRPr="00B703B6">
        <w:rPr>
          <w:i w:val="0"/>
          <w:iCs w:val="0"/>
          <w:lang w:val="en-US"/>
        </w:rPr>
        <w:t>Mantilla (1954-2012), my beloved Dad</w:t>
      </w:r>
    </w:p>
    <w:p w14:paraId="780A0B0B" w14:textId="782CE063" w:rsidR="00592D14" w:rsidRPr="00592D14" w:rsidRDefault="00592D14" w:rsidP="00592D14">
      <w:pPr>
        <w:pStyle w:val="Salutation"/>
        <w:jc w:val="center"/>
        <w:rPr>
          <w:lang w:val="es-CO"/>
        </w:rPr>
      </w:pPr>
      <w:r>
        <w:rPr>
          <w:i/>
          <w:iCs/>
          <w:color w:val="0000FF"/>
        </w:rPr>
        <w:t xml:space="preserve">     In memoriam of Dr. Roger Slatt. </w:t>
      </w:r>
      <w:r w:rsidRPr="00592D14">
        <w:rPr>
          <w:i/>
          <w:iCs/>
          <w:color w:val="0000FF"/>
        </w:rPr>
        <w:t>It’s been an awesome ride</w:t>
      </w:r>
      <w:r>
        <w:rPr>
          <w:i/>
          <w:iCs/>
          <w:color w:val="0000FF"/>
        </w:rPr>
        <w:t xml:space="preserve">! </w:t>
      </w:r>
      <w:r w:rsidRPr="00592D14">
        <w:rPr>
          <w:i/>
          <w:iCs/>
          <w:color w:val="0000FF"/>
          <w:lang w:val="es-CO"/>
        </w:rPr>
        <w:t>“at any rate!.</w:t>
      </w:r>
      <w:r>
        <w:rPr>
          <w:i/>
          <w:iCs/>
          <w:color w:val="0000FF"/>
          <w:lang w:val="es-CO"/>
        </w:rPr>
        <w:t>..”</w:t>
      </w:r>
    </w:p>
    <w:p w14:paraId="28EE3BEB" w14:textId="5F3FB7F2" w:rsidR="007B3672" w:rsidRPr="00791DE0" w:rsidRDefault="007B3672" w:rsidP="00791DE0">
      <w:pPr>
        <w:pStyle w:val="Quote"/>
      </w:pPr>
      <w:r w:rsidRPr="00791DE0">
        <w:t>“Con Dios todo y sin el nada</w:t>
      </w:r>
      <w:r w:rsidR="008E4F91" w:rsidRPr="00791DE0">
        <w:t>”</w:t>
      </w:r>
    </w:p>
    <w:p w14:paraId="23A197D9" w14:textId="094B2CA3" w:rsidR="007B3672" w:rsidRPr="00F546EC" w:rsidRDefault="007B3672" w:rsidP="00F546EC">
      <w:pPr>
        <w:rPr>
          <w:rFonts w:eastAsia="Times New Roman"/>
          <w:szCs w:val="24"/>
          <w:lang w:val="es-CO" w:bidi="en-US"/>
        </w:rPr>
      </w:pPr>
    </w:p>
    <w:p w14:paraId="23FC23A9" w14:textId="1AF0D7F3" w:rsidR="007B3672" w:rsidRPr="00F546EC" w:rsidRDefault="007B3672" w:rsidP="00F546EC">
      <w:pPr>
        <w:rPr>
          <w:rFonts w:eastAsia="Times New Roman"/>
          <w:szCs w:val="24"/>
          <w:lang w:val="es-CO" w:bidi="en-US"/>
        </w:rPr>
      </w:pPr>
    </w:p>
    <w:p w14:paraId="249938AE" w14:textId="252035EB" w:rsidR="007B3672" w:rsidRPr="00F546EC" w:rsidRDefault="007B3672" w:rsidP="00F546EC">
      <w:pPr>
        <w:rPr>
          <w:rFonts w:eastAsia="Times New Roman"/>
          <w:szCs w:val="24"/>
          <w:lang w:val="es-CO" w:bidi="en-US"/>
        </w:rPr>
      </w:pPr>
    </w:p>
    <w:p w14:paraId="5FC12F84" w14:textId="1148CF2C" w:rsidR="007B3672" w:rsidRPr="00F546EC" w:rsidRDefault="007B3672" w:rsidP="00F546EC">
      <w:pPr>
        <w:rPr>
          <w:rFonts w:eastAsia="Times New Roman"/>
          <w:szCs w:val="24"/>
          <w:lang w:val="es-CO" w:bidi="en-US"/>
        </w:rPr>
      </w:pPr>
    </w:p>
    <w:p w14:paraId="314073E5" w14:textId="10AAF8C7" w:rsidR="007B3672" w:rsidRPr="00F546EC" w:rsidRDefault="007B3672" w:rsidP="00F546EC">
      <w:pPr>
        <w:rPr>
          <w:rFonts w:eastAsia="Times New Roman"/>
          <w:szCs w:val="24"/>
          <w:lang w:val="es-CO" w:bidi="en-US"/>
        </w:rPr>
      </w:pPr>
    </w:p>
    <w:p w14:paraId="0A16A2F1" w14:textId="2175B751" w:rsidR="007B3672" w:rsidRPr="00F546EC" w:rsidRDefault="007B3672" w:rsidP="00F546EC">
      <w:pPr>
        <w:rPr>
          <w:rFonts w:eastAsia="Times New Roman"/>
          <w:szCs w:val="24"/>
          <w:lang w:val="es-CO" w:bidi="en-US"/>
        </w:rPr>
      </w:pPr>
    </w:p>
    <w:p w14:paraId="3C066802" w14:textId="5CD0D670" w:rsidR="007B3672" w:rsidRPr="00F546EC" w:rsidRDefault="007B3672" w:rsidP="00F546EC">
      <w:pPr>
        <w:rPr>
          <w:rFonts w:eastAsia="Times New Roman"/>
          <w:szCs w:val="24"/>
          <w:lang w:val="es-CO" w:bidi="en-US"/>
        </w:rPr>
      </w:pPr>
    </w:p>
    <w:p w14:paraId="52BF6BFD" w14:textId="7CAAE304" w:rsidR="007B3672" w:rsidRPr="00F546EC" w:rsidRDefault="007B3672" w:rsidP="00F546EC">
      <w:pPr>
        <w:rPr>
          <w:rFonts w:eastAsia="Times New Roman"/>
          <w:szCs w:val="24"/>
          <w:lang w:val="es-CO" w:bidi="en-US"/>
        </w:rPr>
      </w:pPr>
    </w:p>
    <w:p w14:paraId="190E331A" w14:textId="77777777" w:rsidR="00EA43A0" w:rsidRDefault="00EA43A0" w:rsidP="0066296A">
      <w:pPr>
        <w:pStyle w:val="Heading1"/>
        <w:rPr>
          <w:rFonts w:ascii="Times New Roman" w:hAnsi="Times New Roman" w:cs="Times New Roman"/>
        </w:rPr>
        <w:sectPr w:rsidR="00EA43A0" w:rsidSect="0095456D">
          <w:pgSz w:w="12240" w:h="15840"/>
          <w:pgMar w:top="1440" w:right="1440" w:bottom="1440" w:left="1440" w:header="720" w:footer="720" w:gutter="0"/>
          <w:pgNumType w:start="4"/>
          <w:cols w:space="720"/>
          <w:titlePg/>
          <w:docGrid w:linePitch="360"/>
        </w:sectPr>
      </w:pPr>
      <w:bookmarkStart w:id="1" w:name="_Toc242458039"/>
      <w:bookmarkStart w:id="2" w:name="_Toc246928247"/>
      <w:bookmarkStart w:id="3" w:name="_Toc255830950"/>
      <w:bookmarkStart w:id="4" w:name="_Toc355172737"/>
      <w:bookmarkStart w:id="5" w:name="_Toc355173350"/>
      <w:bookmarkStart w:id="6" w:name="_Toc355559657"/>
    </w:p>
    <w:p w14:paraId="6A289DC2" w14:textId="6364473F" w:rsidR="0066296A" w:rsidRPr="008C2AFC" w:rsidRDefault="0066296A" w:rsidP="0066296A">
      <w:pPr>
        <w:pStyle w:val="Heading1"/>
        <w:rPr>
          <w:rFonts w:ascii="Times New Roman" w:hAnsi="Times New Roman" w:cs="Times New Roman"/>
        </w:rPr>
      </w:pPr>
      <w:bookmarkStart w:id="7" w:name="_Toc35861069"/>
      <w:r w:rsidRPr="008C2AFC">
        <w:rPr>
          <w:rFonts w:ascii="Times New Roman" w:hAnsi="Times New Roman" w:cs="Times New Roman"/>
        </w:rPr>
        <w:lastRenderedPageBreak/>
        <w:t>A</w:t>
      </w:r>
      <w:bookmarkEnd w:id="1"/>
      <w:bookmarkEnd w:id="2"/>
      <w:bookmarkEnd w:id="3"/>
      <w:bookmarkEnd w:id="4"/>
      <w:bookmarkEnd w:id="5"/>
      <w:bookmarkEnd w:id="6"/>
      <w:r>
        <w:t>cknowledgments</w:t>
      </w:r>
      <w:bookmarkEnd w:id="7"/>
    </w:p>
    <w:p w14:paraId="333907C0" w14:textId="5B653131" w:rsidR="0066296A" w:rsidRPr="00DD1D28" w:rsidRDefault="0066296A" w:rsidP="00167A29">
      <w:pPr>
        <w:pStyle w:val="Parrafo"/>
        <w:spacing w:after="240"/>
      </w:pPr>
      <w:r w:rsidRPr="00DD1D28">
        <w:t>I w</w:t>
      </w:r>
      <w:r>
        <w:t>ant</w:t>
      </w:r>
      <w:r w:rsidRPr="00DD1D28">
        <w:t xml:space="preserve"> to express my highest gratitude to many different people who supported and encouraged me to pursue my goals and dreams.</w:t>
      </w:r>
      <w:r>
        <w:t xml:space="preserve"> I have </w:t>
      </w:r>
      <w:r w:rsidR="00825E80">
        <w:t xml:space="preserve">really </w:t>
      </w:r>
      <w:r>
        <w:t xml:space="preserve">enjoyed my years as a sooner. </w:t>
      </w:r>
    </w:p>
    <w:p w14:paraId="2EC2B793" w14:textId="0E04C558" w:rsidR="0066296A" w:rsidRPr="00DD1D28" w:rsidRDefault="0066296A" w:rsidP="00167A29">
      <w:pPr>
        <w:pStyle w:val="Parrafo"/>
        <w:spacing w:after="240"/>
      </w:pPr>
      <w:r w:rsidRPr="00DD1D28">
        <w:t xml:space="preserve">I would like to express my deepest gratitude to </w:t>
      </w:r>
      <w:r w:rsidRPr="00356BE3">
        <w:t>Dr. Roger M. Slatt</w:t>
      </w:r>
      <w:r w:rsidR="00AC2FBB">
        <w:t>,</w:t>
      </w:r>
      <w:r w:rsidRPr="00DD1D28">
        <w:t xml:space="preserve"> who very generously accepted to be my advisor</w:t>
      </w:r>
      <w:r>
        <w:t>. I am very grateful</w:t>
      </w:r>
      <w:r w:rsidRPr="00DD1D28">
        <w:t xml:space="preserve"> for his guidance</w:t>
      </w:r>
      <w:r>
        <w:t>, mentoring, friendship</w:t>
      </w:r>
      <w:r w:rsidRPr="00DD1D28">
        <w:t xml:space="preserve"> and support throughout </w:t>
      </w:r>
      <w:r>
        <w:t>many years. He has</w:t>
      </w:r>
      <w:r w:rsidR="00825E80">
        <w:t xml:space="preserve"> always</w:t>
      </w:r>
      <w:r>
        <w:t xml:space="preserve"> believed in me and been a constant support to</w:t>
      </w:r>
      <w:r w:rsidRPr="00DD1D28">
        <w:t xml:space="preserve"> </w:t>
      </w:r>
      <w:r>
        <w:t>all my</w:t>
      </w:r>
      <w:r w:rsidRPr="00DD1D28">
        <w:t xml:space="preserve"> research project</w:t>
      </w:r>
      <w:r>
        <w:t>s</w:t>
      </w:r>
      <w:r w:rsidRPr="00DD1D28">
        <w:t>.</w:t>
      </w:r>
      <w:r>
        <w:t xml:space="preserve"> </w:t>
      </w:r>
      <w:r w:rsidR="00C67E72">
        <w:t>He</w:t>
      </w:r>
      <w:r w:rsidRPr="00DD1D28">
        <w:t xml:space="preserve"> </w:t>
      </w:r>
      <w:r>
        <w:t xml:space="preserve">has </w:t>
      </w:r>
      <w:r w:rsidRPr="00DD1D28">
        <w:t>kindly advise</w:t>
      </w:r>
      <w:r>
        <w:t>d</w:t>
      </w:r>
      <w:r w:rsidRPr="00DD1D28">
        <w:t xml:space="preserve"> and helped my family and </w:t>
      </w:r>
      <w:r>
        <w:t>m</w:t>
      </w:r>
      <w:r w:rsidR="00356BE3">
        <w:t>yself</w:t>
      </w:r>
      <w:r w:rsidRPr="00DD1D28">
        <w:t xml:space="preserve"> for coming to OU</w:t>
      </w:r>
      <w:r>
        <w:t xml:space="preserve"> during the past ten years </w:t>
      </w:r>
      <w:r w:rsidRPr="00DD1D28">
        <w:t xml:space="preserve">and also </w:t>
      </w:r>
      <w:r>
        <w:t>nice</w:t>
      </w:r>
      <w:r w:rsidRPr="00DD1D28">
        <w:t xml:space="preserve">ly accepted to be </w:t>
      </w:r>
      <w:r>
        <w:t>leading</w:t>
      </w:r>
      <w:r w:rsidRPr="00DD1D28">
        <w:t xml:space="preserve"> my </w:t>
      </w:r>
      <w:r>
        <w:t xml:space="preserve">faculty </w:t>
      </w:r>
      <w:r w:rsidRPr="00DD1D28">
        <w:t xml:space="preserve">committee and supported </w:t>
      </w:r>
      <w:r>
        <w:t>“</w:t>
      </w:r>
      <w:r w:rsidRPr="0066296A">
        <w:rPr>
          <w:i/>
          <w:iCs/>
        </w:rPr>
        <w:t>Emilio’s ideas.”</w:t>
      </w:r>
      <w:r>
        <w:t xml:space="preserve"> He is more than a friend and mentor. </w:t>
      </w:r>
      <w:r w:rsidR="007801C5">
        <w:t>I will continue your legacy.</w:t>
      </w:r>
    </w:p>
    <w:p w14:paraId="7164EBD2" w14:textId="49E1933F" w:rsidR="00027039" w:rsidRPr="00027039" w:rsidRDefault="0066296A" w:rsidP="00167A29">
      <w:pPr>
        <w:pStyle w:val="Parrafo"/>
        <w:spacing w:after="240"/>
      </w:pPr>
      <w:r w:rsidRPr="00027039">
        <w:t xml:space="preserve">To Dr. Kurt Marfurt, </w:t>
      </w:r>
      <w:r w:rsidR="00027039" w:rsidRPr="00027039">
        <w:t>“</w:t>
      </w:r>
      <w:r w:rsidR="00027039" w:rsidRPr="00027039">
        <w:rPr>
          <w:i/>
          <w:iCs/>
        </w:rPr>
        <w:t xml:space="preserve">El Cacique!”. </w:t>
      </w:r>
      <w:r w:rsidR="00027039" w:rsidRPr="00027039">
        <w:t xml:space="preserve">Many </w:t>
      </w:r>
      <w:r w:rsidR="00027039">
        <w:t>t</w:t>
      </w:r>
      <w:r w:rsidR="00027039" w:rsidRPr="00027039">
        <w:t>hanks f</w:t>
      </w:r>
      <w:r w:rsidR="00027039">
        <w:t xml:space="preserve">or all your help and constant support. For influencing and encouraging me the passion of the quantitative seismic analyses. Many thanks for your reviews, suggestions, talks and co-authoring my work. </w:t>
      </w:r>
    </w:p>
    <w:p w14:paraId="7F09600F" w14:textId="7D32EFE1" w:rsidR="0066296A" w:rsidRPr="00DD1D28" w:rsidRDefault="00027039" w:rsidP="00167A29">
      <w:pPr>
        <w:pStyle w:val="Parrafo"/>
        <w:spacing w:after="240"/>
      </w:pPr>
      <w:r>
        <w:t xml:space="preserve">To </w:t>
      </w:r>
      <w:r w:rsidR="0066296A">
        <w:t>Dr. R. Paul Philp</w:t>
      </w:r>
      <w:r w:rsidR="00A02A5A">
        <w:t>,</w:t>
      </w:r>
      <w:r w:rsidR="0066296A">
        <w:t xml:space="preserve"> </w:t>
      </w:r>
      <w:r w:rsidR="0066296A" w:rsidRPr="00DD1D28">
        <w:t xml:space="preserve">for serving on my committee, for </w:t>
      </w:r>
      <w:r>
        <w:t>your</w:t>
      </w:r>
      <w:r w:rsidR="0066296A" w:rsidRPr="00DD1D28">
        <w:t xml:space="preserve"> </w:t>
      </w:r>
      <w:r w:rsidR="0066296A">
        <w:t xml:space="preserve">kind </w:t>
      </w:r>
      <w:r w:rsidR="00B92AAC">
        <w:t xml:space="preserve">and </w:t>
      </w:r>
      <w:r w:rsidR="0066296A">
        <w:t>constant support</w:t>
      </w:r>
      <w:r w:rsidR="00B92AAC">
        <w:t xml:space="preserve">. </w:t>
      </w:r>
      <w:r>
        <w:t>Many th</w:t>
      </w:r>
      <w:r w:rsidR="00825E80">
        <w:t>anks</w:t>
      </w:r>
      <w:r>
        <w:t xml:space="preserve"> for guiding me all these years in my </w:t>
      </w:r>
      <w:r w:rsidR="0066296A">
        <w:t>petroleum geochemistry</w:t>
      </w:r>
      <w:r w:rsidR="00825E80">
        <w:t xml:space="preserve"> learning curve</w:t>
      </w:r>
      <w:r>
        <w:t>. I highly appreciate the time and dedication of</w:t>
      </w:r>
      <w:r w:rsidR="0066296A" w:rsidRPr="00DD1D28">
        <w:t xml:space="preserve"> </w:t>
      </w:r>
      <w:r w:rsidR="0066296A">
        <w:t xml:space="preserve">co-authoring my technical products and </w:t>
      </w:r>
      <w:r w:rsidR="00B92AAC">
        <w:t>review of</w:t>
      </w:r>
      <w:r w:rsidR="0066296A" w:rsidRPr="00DD1D28">
        <w:t xml:space="preserve"> this manuscript.</w:t>
      </w:r>
      <w:r w:rsidR="0066296A">
        <w:t xml:space="preserve"> </w:t>
      </w:r>
    </w:p>
    <w:p w14:paraId="120740CC" w14:textId="77431164" w:rsidR="00027039" w:rsidRDefault="0066296A" w:rsidP="00167A29">
      <w:pPr>
        <w:pStyle w:val="Parrafo"/>
        <w:spacing w:after="240"/>
      </w:pPr>
      <w:r w:rsidRPr="00DD1D28">
        <w:t xml:space="preserve"> I wish to extend my gratitude to Dr</w:t>
      </w:r>
      <w:r>
        <w:t>. Michael Engel and R. Deepak Devegowda for serving as committee members and helping me in reviewing my technical products and guiding my research</w:t>
      </w:r>
      <w:r w:rsidRPr="00DD1D28">
        <w:t xml:space="preserve">. </w:t>
      </w:r>
    </w:p>
    <w:p w14:paraId="62FF13E0" w14:textId="77777777" w:rsidR="00095330" w:rsidRPr="00DD1D28" w:rsidRDefault="00095330" w:rsidP="00167A29">
      <w:pPr>
        <w:pStyle w:val="Parrafo"/>
        <w:spacing w:after="240"/>
      </w:pPr>
    </w:p>
    <w:p w14:paraId="118BD5D7" w14:textId="09B98AB5" w:rsidR="00624567" w:rsidRPr="00825E80" w:rsidRDefault="00624567" w:rsidP="00167A29">
      <w:pPr>
        <w:pStyle w:val="Parrafo"/>
        <w:spacing w:after="240"/>
      </w:pPr>
      <w:r>
        <w:lastRenderedPageBreak/>
        <w:t xml:space="preserve">My most profound appreciation to 89 Energy, it has been a great ride! To John-Mark Beaver, Kyle Shipley, Farsheed Rock, Darien Whitehurst, Ryan Rickett, Brian Collins, Lexy Sikes, James Head, Kurt Hibbard, Jacob Hendrickson, Adam Chapman, Andrew Haraway, Kevin Manning, Kim </w:t>
      </w:r>
      <w:r w:rsidR="00F03FE3">
        <w:t>McAuliffe</w:t>
      </w:r>
      <w:r>
        <w:t>, and Megan Honeycutt. I have learned and accomplished a lot that without your</w:t>
      </w:r>
      <w:r w:rsidR="00AF4F6C">
        <w:t xml:space="preserve"> kind</w:t>
      </w:r>
      <w:r>
        <w:t xml:space="preserve"> support, it could</w:t>
      </w:r>
      <w:r w:rsidR="00825E80">
        <w:t>n’t</w:t>
      </w:r>
      <w:r>
        <w:t xml:space="preserve"> b</w:t>
      </w:r>
      <w:r w:rsidR="00174695">
        <w:t>e</w:t>
      </w:r>
      <w:r>
        <w:t xml:space="preserve"> possible. </w:t>
      </w:r>
      <w:r w:rsidR="00356BE3">
        <w:t>I miss the</w:t>
      </w:r>
      <w:r w:rsidR="008D7E94">
        <w:t xml:space="preserve"> MEP challenges and </w:t>
      </w:r>
      <w:r w:rsidR="008D7E94" w:rsidRPr="00825E80">
        <w:t>the</w:t>
      </w:r>
      <w:r w:rsidRPr="00825E80">
        <w:t xml:space="preserve"> “the thirsty kids.” </w:t>
      </w:r>
    </w:p>
    <w:p w14:paraId="7D5E1970" w14:textId="3628B9CA" w:rsidR="00C67E72" w:rsidRDefault="00167A29" w:rsidP="00167A29">
      <w:pPr>
        <w:pStyle w:val="Parrafo"/>
        <w:spacing w:after="240"/>
      </w:pPr>
      <w:r>
        <w:t>S</w:t>
      </w:r>
      <w:r w:rsidR="00C67E72">
        <w:t>pecial thanks to the American Association of Petroleum Geologist</w:t>
      </w:r>
      <w:r>
        <w:t xml:space="preserve"> AAPG</w:t>
      </w:r>
      <w:r w:rsidR="00C67E72">
        <w:t xml:space="preserve"> grants-in-aid program (GIA), </w:t>
      </w:r>
      <w:r w:rsidR="005329F1">
        <w:t xml:space="preserve">to </w:t>
      </w:r>
      <w:r w:rsidR="000732DA">
        <w:t>T</w:t>
      </w:r>
      <w:r w:rsidR="00C67E72">
        <w:t>he Society of Exploration Geophysicists SEG</w:t>
      </w:r>
      <w:r w:rsidR="000732DA">
        <w:t xml:space="preserve"> </w:t>
      </w:r>
      <w:r w:rsidR="00C67E72">
        <w:t>scholarship foundation</w:t>
      </w:r>
      <w:r w:rsidR="000732DA">
        <w:t xml:space="preserve"> and </w:t>
      </w:r>
      <w:r w:rsidR="005329F1">
        <w:t xml:space="preserve">to </w:t>
      </w:r>
      <w:r w:rsidR="000732DA">
        <w:t>the OU Colombian Student Association COLSA COUAA foundation. To all of them</w:t>
      </w:r>
      <w:r w:rsidR="00C67E72">
        <w:t xml:space="preserve"> </w:t>
      </w:r>
      <w:r w:rsidR="000732DA">
        <w:t xml:space="preserve">for </w:t>
      </w:r>
      <w:r w:rsidR="00C67E72">
        <w:t>honoring me</w:t>
      </w:r>
      <w:r w:rsidR="000732DA">
        <w:t xml:space="preserve"> as an active member and as a recipient of</w:t>
      </w:r>
      <w:r w:rsidR="00C67E72">
        <w:t xml:space="preserve"> scholarship awards, </w:t>
      </w:r>
      <w:r w:rsidR="000732DA">
        <w:t>which</w:t>
      </w:r>
      <w:r w:rsidR="00C67E72">
        <w:t xml:space="preserve"> provid</w:t>
      </w:r>
      <w:r w:rsidR="000732DA">
        <w:t>ed</w:t>
      </w:r>
      <w:r w:rsidR="00C67E72">
        <w:t xml:space="preserve"> me financial support to </w:t>
      </w:r>
      <w:r>
        <w:t>conduct and conclude</w:t>
      </w:r>
      <w:r w:rsidR="00C67E72">
        <w:t xml:space="preserve"> my doctoral studies. </w:t>
      </w:r>
    </w:p>
    <w:p w14:paraId="090889AC" w14:textId="1EF560B5" w:rsidR="0066296A" w:rsidRPr="00DD1D28" w:rsidRDefault="0066296A" w:rsidP="00167A29">
      <w:pPr>
        <w:pStyle w:val="Parrafo"/>
        <w:spacing w:after="240"/>
      </w:pPr>
      <w:r>
        <w:t xml:space="preserve">My </w:t>
      </w:r>
      <w:r w:rsidR="00840578">
        <w:t>special gratitude</w:t>
      </w:r>
      <w:r>
        <w:t xml:space="preserve"> to the OU Institute of Reservoir Characterization (IRC) staff and students, for </w:t>
      </w:r>
      <w:r w:rsidR="00970DC0">
        <w:t xml:space="preserve">their </w:t>
      </w:r>
      <w:r>
        <w:t>financial and technical support. Also, I would like to thank IRC current and former member</w:t>
      </w:r>
      <w:r w:rsidR="00970DC0">
        <w:t>s and sponsor</w:t>
      </w:r>
      <w:r>
        <w:t>s for all the technical discussions and recommendations during my doctoral research experience</w:t>
      </w:r>
      <w:r w:rsidR="00970DC0">
        <w:t xml:space="preserve"> and field trips that I was able to lead</w:t>
      </w:r>
      <w:r>
        <w:t>.</w:t>
      </w:r>
      <w:r w:rsidR="003F6007">
        <w:t xml:space="preserve"> Special thanks to Henry Galvis-Portilla and Daniela Becerra-Rondon for their friendship</w:t>
      </w:r>
      <w:r w:rsidR="00970DC0">
        <w:t>, technical data sets</w:t>
      </w:r>
      <w:r w:rsidR="003F6007">
        <w:t xml:space="preserve"> and support. </w:t>
      </w:r>
    </w:p>
    <w:p w14:paraId="7D90D80D" w14:textId="2DEED78E" w:rsidR="0066296A" w:rsidRDefault="0066296A" w:rsidP="00167A29">
      <w:pPr>
        <w:pStyle w:val="Parrafo"/>
        <w:spacing w:after="240"/>
      </w:pPr>
      <w:r w:rsidRPr="00DD1D28">
        <w:t xml:space="preserve">My </w:t>
      </w:r>
      <w:r w:rsidR="00840578">
        <w:t xml:space="preserve">thankfulness </w:t>
      </w:r>
      <w:r w:rsidRPr="00DD1D28">
        <w:t>to the people from the</w:t>
      </w:r>
      <w:r w:rsidR="0055650D">
        <w:t xml:space="preserve"> OU </w:t>
      </w:r>
      <w:r w:rsidRPr="00DD1D28">
        <w:t>Organic Geochemistry Laborator</w:t>
      </w:r>
      <w:r w:rsidR="0055650D">
        <w:t>ies</w:t>
      </w:r>
      <w:r w:rsidRPr="00DD1D28">
        <w:t>, in particular to Mr. Jon Allen for his helpful technical support; to</w:t>
      </w:r>
      <w:r>
        <w:t xml:space="preserve"> </w:t>
      </w:r>
      <w:r w:rsidR="0055650D">
        <w:t xml:space="preserve">Dr. Xiaolei Liu, </w:t>
      </w:r>
      <w:r>
        <w:t>Dr. Tomaz Kurder,</w:t>
      </w:r>
      <w:r w:rsidRPr="00DD1D28">
        <w:t xml:space="preserve"> Dr. Than Nguyen, </w:t>
      </w:r>
      <w:r w:rsidR="0055650D">
        <w:t xml:space="preserve">Carl Symcox, Cecilia Lopez-Gamundi, Lydia Jones, </w:t>
      </w:r>
      <w:r>
        <w:t xml:space="preserve">Gregory T. Connock, </w:t>
      </w:r>
      <w:r w:rsidR="0055650D">
        <w:t xml:space="preserve">Britney Tamborello, </w:t>
      </w:r>
      <w:r>
        <w:t>Larry Hayde</w:t>
      </w:r>
      <w:r w:rsidRPr="00DD1D28">
        <w:t xml:space="preserve"> and </w:t>
      </w:r>
      <w:r>
        <w:t>Tara Putri</w:t>
      </w:r>
      <w:r w:rsidRPr="00DD1D28">
        <w:t xml:space="preserve"> for their assistance;</w:t>
      </w:r>
      <w:r w:rsidR="00840578">
        <w:t xml:space="preserve"> special thanks</w:t>
      </w:r>
      <w:r w:rsidRPr="00DD1D28">
        <w:t xml:space="preserve"> to </w:t>
      </w:r>
      <w:r w:rsidR="0055650D">
        <w:t>Dr. Andreina Liborius-Parada</w:t>
      </w:r>
      <w:r w:rsidRPr="00DD1D28">
        <w:t xml:space="preserve"> for her time</w:t>
      </w:r>
      <w:r>
        <w:t>,</w:t>
      </w:r>
      <w:r w:rsidRPr="00DD1D28">
        <w:t xml:space="preserve"> advice</w:t>
      </w:r>
      <w:r>
        <w:t xml:space="preserve"> and recommendations</w:t>
      </w:r>
      <w:r w:rsidRPr="00DD1D28">
        <w:t>.</w:t>
      </w:r>
    </w:p>
    <w:p w14:paraId="3ED03468" w14:textId="580E6E3B" w:rsidR="00840578" w:rsidRDefault="00840578" w:rsidP="00167A29">
      <w:pPr>
        <w:pStyle w:val="Parrafo"/>
        <w:spacing w:after="240"/>
      </w:pPr>
      <w:r>
        <w:lastRenderedPageBreak/>
        <w:t>My special appreciati</w:t>
      </w:r>
      <w:r w:rsidR="00C67E72">
        <w:t>on</w:t>
      </w:r>
      <w:r>
        <w:t xml:space="preserve"> to the OU AASPI consortium director, staff, students</w:t>
      </w:r>
      <w:r w:rsidR="00167A29">
        <w:t>,</w:t>
      </w:r>
      <w:r>
        <w:t xml:space="preserve"> and sponsors. It has been an enjoyable experience to learn geophysics </w:t>
      </w:r>
      <w:r w:rsidR="00970DC0">
        <w:t xml:space="preserve">with </w:t>
      </w:r>
      <w:r>
        <w:t xml:space="preserve">them. </w:t>
      </w:r>
      <w:r w:rsidR="00B021B3">
        <w:t xml:space="preserve">Special thanks to Humble Geological Services for the Rock-Eval pyrolysis analyses and to Schlumberger and CGG for their software academic licenses and support. </w:t>
      </w:r>
    </w:p>
    <w:p w14:paraId="5226E106" w14:textId="39D0E577" w:rsidR="0066296A" w:rsidRPr="00971BE4" w:rsidRDefault="0066296A" w:rsidP="00167A29">
      <w:pPr>
        <w:pStyle w:val="Parrafo"/>
        <w:spacing w:after="240"/>
      </w:pPr>
      <w:r w:rsidRPr="00971BE4">
        <w:t xml:space="preserve">I want to acknowledge the entire </w:t>
      </w:r>
      <w:r w:rsidR="00840578">
        <w:t>director</w:t>
      </w:r>
      <w:r w:rsidR="00C67E72">
        <w:t>s</w:t>
      </w:r>
      <w:r w:rsidR="00840578">
        <w:t xml:space="preserve">, </w:t>
      </w:r>
      <w:r w:rsidRPr="00971BE4">
        <w:t>faculty</w:t>
      </w:r>
      <w:r w:rsidR="00840578">
        <w:t>,</w:t>
      </w:r>
      <w:r w:rsidRPr="00971BE4">
        <w:t xml:space="preserve"> and staff </w:t>
      </w:r>
      <w:r w:rsidR="00C67E72">
        <w:t xml:space="preserve">members </w:t>
      </w:r>
      <w:r w:rsidRPr="00971BE4">
        <w:t xml:space="preserve">of the </w:t>
      </w:r>
      <w:r w:rsidR="00840578">
        <w:t>OU Mewbo</w:t>
      </w:r>
      <w:r w:rsidR="00B021B3">
        <w:t>u</w:t>
      </w:r>
      <w:r w:rsidR="00840578">
        <w:t>rn</w:t>
      </w:r>
      <w:r w:rsidR="00B021B3">
        <w:t>e</w:t>
      </w:r>
      <w:r w:rsidR="00840578">
        <w:t xml:space="preserve"> college of earth and energy </w:t>
      </w:r>
      <w:r w:rsidR="00970DC0">
        <w:t xml:space="preserve">(MCEE) </w:t>
      </w:r>
      <w:r w:rsidR="00840578">
        <w:t xml:space="preserve">and </w:t>
      </w:r>
      <w:r w:rsidR="00970DC0">
        <w:t>Mewbo</w:t>
      </w:r>
      <w:r w:rsidR="00B021B3">
        <w:t>u</w:t>
      </w:r>
      <w:r w:rsidR="00970DC0">
        <w:t>rn</w:t>
      </w:r>
      <w:r w:rsidR="00B021B3">
        <w:t>e</w:t>
      </w:r>
      <w:r w:rsidR="00970DC0">
        <w:t xml:space="preserve"> </w:t>
      </w:r>
      <w:r w:rsidR="00840578">
        <w:t>s</w:t>
      </w:r>
      <w:r w:rsidRPr="00971BE4">
        <w:t xml:space="preserve">chool of </w:t>
      </w:r>
      <w:r w:rsidR="00970DC0">
        <w:t>g</w:t>
      </w:r>
      <w:r w:rsidR="0055650D">
        <w:t>eosciences</w:t>
      </w:r>
      <w:r w:rsidR="00BE57E5">
        <w:t>. F</w:t>
      </w:r>
      <w:r w:rsidRPr="00971BE4">
        <w:t xml:space="preserve">or </w:t>
      </w:r>
      <w:r w:rsidR="00C67E72">
        <w:t xml:space="preserve">honoring me with student award recognitions, scholarships, </w:t>
      </w:r>
      <w:r w:rsidRPr="00971BE4">
        <w:t>helping me</w:t>
      </w:r>
      <w:r w:rsidR="00C67E72">
        <w:t xml:space="preserve"> to continually</w:t>
      </w:r>
      <w:r w:rsidRPr="00971BE4">
        <w:t xml:space="preserve"> grow as a professional and contributing </w:t>
      </w:r>
      <w:r w:rsidR="0055650D">
        <w:t>to</w:t>
      </w:r>
      <w:r w:rsidRPr="00971BE4">
        <w:t xml:space="preserve"> achieving my </w:t>
      </w:r>
      <w:r w:rsidR="0055650D">
        <w:t>doctoral</w:t>
      </w:r>
      <w:r w:rsidRPr="00971BE4">
        <w:t xml:space="preserve"> degree. I also would like to show my </w:t>
      </w:r>
      <w:r>
        <w:t xml:space="preserve">special </w:t>
      </w:r>
      <w:r w:rsidRPr="00971BE4">
        <w:t xml:space="preserve">appreciation to Mrs. </w:t>
      </w:r>
      <w:r w:rsidR="00840578">
        <w:t xml:space="preserve">Rebeca </w:t>
      </w:r>
      <w:r w:rsidR="00C67E72">
        <w:t>Fay</w:t>
      </w:r>
      <w:r w:rsidR="00840578">
        <w:t xml:space="preserve">, Mrs. </w:t>
      </w:r>
      <w:r w:rsidRPr="00971BE4">
        <w:t>Nancy Leonard</w:t>
      </w:r>
      <w:r w:rsidR="00840578">
        <w:t>,</w:t>
      </w:r>
      <w:r w:rsidR="0055650D">
        <w:t xml:space="preserve"> and Mrs. Yoana Walschap</w:t>
      </w:r>
      <w:r w:rsidRPr="00971BE4">
        <w:t>.</w:t>
      </w:r>
    </w:p>
    <w:p w14:paraId="389386D6" w14:textId="0FCFE76E" w:rsidR="0066296A" w:rsidRPr="00E21D36" w:rsidRDefault="0066296A" w:rsidP="00167A29">
      <w:pPr>
        <w:pStyle w:val="Parrafo"/>
        <w:spacing w:after="240"/>
      </w:pPr>
      <w:r w:rsidRPr="00E21D36">
        <w:t xml:space="preserve">Many thanks to all my friends </w:t>
      </w:r>
      <w:r w:rsidR="00970DC0">
        <w:t xml:space="preserve">from the University, COLSA, </w:t>
      </w:r>
      <w:r w:rsidR="00BE57E5">
        <w:t xml:space="preserve">and outside OU, </w:t>
      </w:r>
      <w:r w:rsidRPr="00E21D36">
        <w:t>who have accompanied me during this journey</w:t>
      </w:r>
      <w:r w:rsidR="00EE1F6A">
        <w:t>. F</w:t>
      </w:r>
      <w:r w:rsidRPr="00E21D36">
        <w:t xml:space="preserve">or their </w:t>
      </w:r>
      <w:r>
        <w:t>joy,</w:t>
      </w:r>
      <w:r w:rsidRPr="00E21D36">
        <w:t xml:space="preserve"> help</w:t>
      </w:r>
      <w:r w:rsidR="00FF5A60">
        <w:t>,</w:t>
      </w:r>
      <w:r w:rsidRPr="00E21D36">
        <w:t xml:space="preserve"> and support</w:t>
      </w:r>
      <w:r w:rsidR="00AF4F6C">
        <w:t xml:space="preserve"> </w:t>
      </w:r>
      <w:r w:rsidRPr="00E21D36">
        <w:t xml:space="preserve">to </w:t>
      </w:r>
      <w:r w:rsidR="0055650D">
        <w:t>t</w:t>
      </w:r>
      <w:r w:rsidRPr="00E21D36">
        <w:t xml:space="preserve">he </w:t>
      </w:r>
      <w:r w:rsidR="0055650D" w:rsidRPr="0055650D">
        <w:rPr>
          <w:i/>
          <w:iCs/>
        </w:rPr>
        <w:t>“Emilio’s team”:</w:t>
      </w:r>
      <w:r w:rsidR="009346D5">
        <w:rPr>
          <w:i/>
          <w:iCs/>
        </w:rPr>
        <w:t xml:space="preserve"> </w:t>
      </w:r>
      <w:r w:rsidR="009346D5" w:rsidRPr="009346D5">
        <w:t>Saurabh Sinha,</w:t>
      </w:r>
      <w:r w:rsidR="00167A29">
        <w:t xml:space="preserve"> Dr. </w:t>
      </w:r>
      <w:r w:rsidR="003F6007">
        <w:t xml:space="preserve">Lennon Infante-Paez, </w:t>
      </w:r>
      <w:r w:rsidR="00970DC0">
        <w:t xml:space="preserve">Dr. </w:t>
      </w:r>
      <w:r w:rsidR="009346D5" w:rsidRPr="009346D5">
        <w:t>Jing Zhang, David Duarte, David Prado,</w:t>
      </w:r>
      <w:r w:rsidR="009346D5">
        <w:t xml:space="preserve"> </w:t>
      </w:r>
      <w:r w:rsidR="00167A29">
        <w:t xml:space="preserve">Dr. </w:t>
      </w:r>
      <w:r w:rsidR="009346D5">
        <w:t xml:space="preserve">Rafael Pires Da Lima, </w:t>
      </w:r>
      <w:r w:rsidR="00167A29">
        <w:t xml:space="preserve">Dr. </w:t>
      </w:r>
      <w:r w:rsidR="003F6007">
        <w:t xml:space="preserve">Benmadi Milad, </w:t>
      </w:r>
      <w:r w:rsidR="00167A29">
        <w:t xml:space="preserve">Dr. </w:t>
      </w:r>
      <w:r w:rsidR="003F6007">
        <w:t xml:space="preserve">Sayantan Ghosh, Carolina Mayorga, </w:t>
      </w:r>
      <w:r w:rsidR="00167A29">
        <w:t xml:space="preserve">Dr. </w:t>
      </w:r>
      <w:r w:rsidR="009346D5">
        <w:t>Antoni</w:t>
      </w:r>
      <w:r w:rsidR="00C67E72">
        <w:t>o</w:t>
      </w:r>
      <w:r w:rsidR="009346D5">
        <w:t xml:space="preserve"> Cervantes, Alexandro Vera, </w:t>
      </w:r>
      <w:r w:rsidR="00174695">
        <w:t xml:space="preserve">Gustavo Leon, Maria Cofano, </w:t>
      </w:r>
      <w:r w:rsidR="009346D5">
        <w:t>Andres Hernan</w:t>
      </w:r>
      <w:r w:rsidR="00C67E72">
        <w:t xml:space="preserve"> Ruiz</w:t>
      </w:r>
      <w:r w:rsidR="009346D5">
        <w:t xml:space="preserve">, Thang Ha, </w:t>
      </w:r>
      <w:r w:rsidR="00167A29">
        <w:t xml:space="preserve">Dr. </w:t>
      </w:r>
      <w:r w:rsidR="00840578">
        <w:t xml:space="preserve">Fuge Zhou, </w:t>
      </w:r>
      <w:r w:rsidRPr="00E21D36">
        <w:t xml:space="preserve">Jean Amorocho, </w:t>
      </w:r>
      <w:r w:rsidR="0055650D">
        <w:t>Hernando Delgado, Marco Vignali</w:t>
      </w:r>
      <w:r w:rsidR="003F6007">
        <w:t>, Juan Ramon Torres, Jose Moreno, Michael Mendez, Sergio Mendez,</w:t>
      </w:r>
      <w:r w:rsidR="00167A29">
        <w:t xml:space="preserve"> </w:t>
      </w:r>
      <w:r w:rsidR="003F6007">
        <w:t xml:space="preserve"> </w:t>
      </w:r>
      <w:r w:rsidR="00167A29">
        <w:t xml:space="preserve">Dr. </w:t>
      </w:r>
      <w:r w:rsidRPr="00E21D36">
        <w:t xml:space="preserve">Carlos Molinares, Luis Castillo, </w:t>
      </w:r>
      <w:r w:rsidR="00167A29">
        <w:t xml:space="preserve">Dr. </w:t>
      </w:r>
      <w:r w:rsidRPr="00E21D36">
        <w:t xml:space="preserve">Richard Brito, </w:t>
      </w:r>
      <w:r w:rsidR="00167A29">
        <w:t xml:space="preserve">Dr. </w:t>
      </w:r>
      <w:r w:rsidR="0055650D">
        <w:t>Gabriel Machado,</w:t>
      </w:r>
      <w:r>
        <w:t xml:space="preserve"> and</w:t>
      </w:r>
      <w:r w:rsidR="0055650D">
        <w:t xml:space="preserve"> </w:t>
      </w:r>
      <w:r w:rsidR="00167A29">
        <w:t xml:space="preserve">Dr. </w:t>
      </w:r>
      <w:r w:rsidR="0055650D">
        <w:t>Andreina Liborius-Parada</w:t>
      </w:r>
      <w:r w:rsidRPr="00E21D36">
        <w:t xml:space="preserve">. </w:t>
      </w:r>
      <w:r w:rsidR="00840578">
        <w:t xml:space="preserve">In memoriam of Mr. Jerry Wilson. </w:t>
      </w:r>
    </w:p>
    <w:p w14:paraId="0EA8898D" w14:textId="2E0AF89A" w:rsidR="0066296A" w:rsidRDefault="0066296A" w:rsidP="00167A29">
      <w:pPr>
        <w:pStyle w:val="Parrafo"/>
        <w:spacing w:after="240"/>
      </w:pPr>
      <w:r w:rsidRPr="00E21D36">
        <w:t xml:space="preserve">My most special thanks extended to my </w:t>
      </w:r>
      <w:r w:rsidR="0055650D">
        <w:t>m</w:t>
      </w:r>
      <w:r w:rsidRPr="00E21D36">
        <w:t>om</w:t>
      </w:r>
      <w:r w:rsidR="00167A29">
        <w:t xml:space="preserve"> Ana Mercedes</w:t>
      </w:r>
      <w:r w:rsidRPr="00E21D36">
        <w:t xml:space="preserve">, </w:t>
      </w:r>
      <w:r w:rsidR="0055650D">
        <w:t>b</w:t>
      </w:r>
      <w:r w:rsidRPr="00E21D36">
        <w:t>rother</w:t>
      </w:r>
      <w:r w:rsidR="00167A29">
        <w:t xml:space="preserve"> Jose Manuel Jr.</w:t>
      </w:r>
      <w:r w:rsidR="0055650D">
        <w:t>, sister</w:t>
      </w:r>
      <w:r w:rsidR="00167A29">
        <w:t xml:space="preserve"> Laura</w:t>
      </w:r>
      <w:r w:rsidR="0055650D">
        <w:t>, nephews</w:t>
      </w:r>
      <w:r w:rsidR="00167A29">
        <w:t xml:space="preserve"> Sebastian</w:t>
      </w:r>
      <w:r w:rsidR="00970DC0">
        <w:t>, and</w:t>
      </w:r>
      <w:r w:rsidR="00167A29">
        <w:t xml:space="preserve"> Camilo</w:t>
      </w:r>
      <w:r w:rsidR="00C63B98">
        <w:t>. To my family-in-law Rodrigo, Gladys, Laura and Thomas. Both families</w:t>
      </w:r>
      <w:r w:rsidRPr="00E21D36">
        <w:t xml:space="preserve"> are the dearest people in my life. Thank you for your love, patience, suppor</w:t>
      </w:r>
      <w:r>
        <w:t>t</w:t>
      </w:r>
      <w:r w:rsidR="00167A29">
        <w:t>, and f</w:t>
      </w:r>
      <w:r w:rsidRPr="00E21D36">
        <w:t xml:space="preserve">or always </w:t>
      </w:r>
      <w:r>
        <w:t>trust</w:t>
      </w:r>
      <w:r w:rsidR="0055650D">
        <w:t xml:space="preserve">ing </w:t>
      </w:r>
      <w:r w:rsidRPr="00E21D36">
        <w:t xml:space="preserve">in me. </w:t>
      </w:r>
      <w:r>
        <w:t>In the loving memory of my father</w:t>
      </w:r>
      <w:r w:rsidR="00DF6234">
        <w:t>,</w:t>
      </w:r>
      <w:r w:rsidR="00167A29">
        <w:t xml:space="preserve"> Jose Manuel Torres-Mantilla</w:t>
      </w:r>
      <w:r>
        <w:t>, who always believed</w:t>
      </w:r>
      <w:r w:rsidR="00167A29">
        <w:t>, advised</w:t>
      </w:r>
      <w:r>
        <w:t xml:space="preserve"> and </w:t>
      </w:r>
      <w:r w:rsidR="00167A29">
        <w:t xml:space="preserve">encouraged me. </w:t>
      </w:r>
      <w:r w:rsidR="00C63B98">
        <w:rPr>
          <w:i/>
          <w:iCs/>
        </w:rPr>
        <w:t>Viejito</w:t>
      </w:r>
      <w:r w:rsidR="00167A29">
        <w:t>, I am still missing you a lot</w:t>
      </w:r>
      <w:r w:rsidR="005329F1">
        <w:t>!</w:t>
      </w:r>
      <w:r>
        <w:t xml:space="preserve"> </w:t>
      </w:r>
    </w:p>
    <w:p w14:paraId="2B7AB720" w14:textId="67E36BE4" w:rsidR="0055650D" w:rsidRDefault="0055650D" w:rsidP="00167A29">
      <w:pPr>
        <w:pStyle w:val="Parrafo"/>
        <w:spacing w:after="240"/>
      </w:pPr>
      <w:r>
        <w:lastRenderedPageBreak/>
        <w:t>Last but never least, a</w:t>
      </w:r>
      <w:r w:rsidR="0066296A">
        <w:t xml:space="preserve"> special dedication</w:t>
      </w:r>
      <w:r w:rsidR="0066296A" w:rsidRPr="00E21D36">
        <w:t xml:space="preserve"> to </w:t>
      </w:r>
      <w:r w:rsidR="0066296A">
        <w:t>my lovely</w:t>
      </w:r>
      <w:r w:rsidR="00825E80">
        <w:t xml:space="preserve">, </w:t>
      </w:r>
      <w:r w:rsidR="00DF6234">
        <w:t>energetic</w:t>
      </w:r>
      <w:r w:rsidR="00825E80">
        <w:t>, caring</w:t>
      </w:r>
      <w:r w:rsidR="0066296A">
        <w:t xml:space="preserve"> and wonderful wife, </w:t>
      </w:r>
      <w:r w:rsidR="0066296A" w:rsidRPr="00DF1554">
        <w:rPr>
          <w:b/>
          <w:bCs w:val="0"/>
        </w:rPr>
        <w:t>Heydi Rodriguez</w:t>
      </w:r>
      <w:r w:rsidR="00DF1554" w:rsidRPr="00DF1554">
        <w:rPr>
          <w:b/>
          <w:bCs w:val="0"/>
        </w:rPr>
        <w:t>-Cardenas</w:t>
      </w:r>
      <w:r w:rsidR="0066296A" w:rsidRPr="00E21D36">
        <w:t>, for her</w:t>
      </w:r>
      <w:r w:rsidR="0066296A">
        <w:t xml:space="preserve"> priceless love and</w:t>
      </w:r>
      <w:r w:rsidR="0066296A" w:rsidRPr="00E21D36">
        <w:t xml:space="preserve"> support</w:t>
      </w:r>
      <w:r>
        <w:t>. F</w:t>
      </w:r>
      <w:r w:rsidR="0066296A" w:rsidRPr="00E21D36">
        <w:t>or</w:t>
      </w:r>
      <w:r w:rsidR="0066296A">
        <w:t xml:space="preserve"> believing that coming to OU has been</w:t>
      </w:r>
      <w:r w:rsidR="0066296A" w:rsidRPr="00E21D36">
        <w:t xml:space="preserve"> the best journey </w:t>
      </w:r>
      <w:r w:rsidR="0066296A">
        <w:t>of our live</w:t>
      </w:r>
      <w:r w:rsidR="0066296A" w:rsidRPr="00E21D36">
        <w:t>s</w:t>
      </w:r>
      <w:r w:rsidR="00DF1554">
        <w:t>. For co-authoring in my technical work and also</w:t>
      </w:r>
      <w:r w:rsidR="0066296A" w:rsidRPr="00E21D36">
        <w:t xml:space="preserve"> and for always encouraging </w:t>
      </w:r>
      <w:r w:rsidR="0066296A">
        <w:t>me through each step of the way</w:t>
      </w:r>
      <w:r w:rsidR="00DF1554">
        <w:t xml:space="preserve">. You are a fantastic person </w:t>
      </w:r>
      <w:r w:rsidR="0066296A">
        <w:t>for giving me the best thing</w:t>
      </w:r>
      <w:r>
        <w:t>s</w:t>
      </w:r>
      <w:r w:rsidR="0066296A">
        <w:t xml:space="preserve"> I ever had, our </w:t>
      </w:r>
      <w:r>
        <w:t>kids</w:t>
      </w:r>
      <w:r w:rsidR="0066296A">
        <w:t xml:space="preserve"> Simon</w:t>
      </w:r>
      <w:r>
        <w:t xml:space="preserve"> and Antonia. He</w:t>
      </w:r>
      <w:r w:rsidR="00DF1554">
        <w:t>ydi</w:t>
      </w:r>
      <w:r w:rsidR="00970DC0">
        <w:t>,</w:t>
      </w:r>
      <w:r>
        <w:t xml:space="preserve"> </w:t>
      </w:r>
      <w:r w:rsidRPr="0055650D">
        <w:rPr>
          <w:i/>
          <w:iCs/>
        </w:rPr>
        <w:t>“you are the real MVP</w:t>
      </w:r>
      <w:r>
        <w:rPr>
          <w:i/>
          <w:iCs/>
        </w:rPr>
        <w:t>!</w:t>
      </w:r>
      <w:r w:rsidRPr="0055650D">
        <w:rPr>
          <w:i/>
          <w:iCs/>
        </w:rPr>
        <w:t>”</w:t>
      </w:r>
      <w:r w:rsidR="0066296A" w:rsidRPr="0055650D">
        <w:rPr>
          <w:i/>
          <w:iCs/>
        </w:rPr>
        <w:t>.</w:t>
      </w:r>
      <w:r w:rsidR="0066296A">
        <w:t xml:space="preserve"> </w:t>
      </w:r>
      <w:r w:rsidR="00970DC0">
        <w:t>Simon and Antonia, when you read this, I hope you feel proud of your dad</w:t>
      </w:r>
      <w:r w:rsidR="004D7217">
        <w:t xml:space="preserve">. This journey </w:t>
      </w:r>
      <w:r w:rsidR="00970DC0">
        <w:t xml:space="preserve">has always been </w:t>
      </w:r>
      <w:r w:rsidR="00174695">
        <w:t>planning</w:t>
      </w:r>
      <w:r w:rsidR="00970DC0">
        <w:t xml:space="preserve"> about the best for you guys. </w:t>
      </w:r>
      <w:r w:rsidR="00825E80">
        <w:t xml:space="preserve">This journey is </w:t>
      </w:r>
      <w:r w:rsidR="00DF6234">
        <w:t>mad</w:t>
      </w:r>
      <w:r w:rsidR="00825E80">
        <w:t xml:space="preserve">e </w:t>
      </w:r>
      <w:r w:rsidR="005329F1">
        <w:t>with lots of love for you</w:t>
      </w:r>
      <w:r w:rsidR="00DF6234">
        <w:t>,</w:t>
      </w:r>
      <w:r w:rsidR="005329F1">
        <w:t xml:space="preserve"> my beloved kids. </w:t>
      </w:r>
      <w:r w:rsidR="0066296A">
        <w:t>Also</w:t>
      </w:r>
      <w:r>
        <w:t>,</w:t>
      </w:r>
      <w:r w:rsidR="004D7217">
        <w:t xml:space="preserve"> a </w:t>
      </w:r>
      <w:r w:rsidR="005329F1">
        <w:t xml:space="preserve">special </w:t>
      </w:r>
      <w:r w:rsidR="004D7217">
        <w:t>dedication</w:t>
      </w:r>
      <w:r w:rsidR="0066296A">
        <w:t xml:space="preserve"> </w:t>
      </w:r>
      <w:r w:rsidR="004D7217">
        <w:t>t</w:t>
      </w:r>
      <w:r w:rsidR="0066296A">
        <w:t xml:space="preserve">o our puppy </w:t>
      </w:r>
      <w:r w:rsidR="00B021B3">
        <w:t>Lorenzo!</w:t>
      </w:r>
      <w:r w:rsidR="0066296A">
        <w:t xml:space="preserve"> </w:t>
      </w:r>
    </w:p>
    <w:p w14:paraId="51E0B86C" w14:textId="270A525D" w:rsidR="00B37FAB" w:rsidRDefault="0066296A" w:rsidP="00167A29">
      <w:pPr>
        <w:pStyle w:val="Parrafo"/>
        <w:spacing w:after="240"/>
      </w:pPr>
      <w:r w:rsidRPr="00B37FAB">
        <w:t>Thank</w:t>
      </w:r>
      <w:r w:rsidR="0055650D" w:rsidRPr="00B37FAB">
        <w:t>s</w:t>
      </w:r>
      <w:r w:rsidR="00DF6234">
        <w:t>,</w:t>
      </w:r>
      <w:r w:rsidR="0055650D">
        <w:rPr>
          <w:i/>
          <w:iCs/>
        </w:rPr>
        <w:t xml:space="preserve"> </w:t>
      </w:r>
      <w:r w:rsidR="0055650D" w:rsidRPr="0055650D">
        <w:rPr>
          <w:i/>
          <w:iCs/>
        </w:rPr>
        <w:t>y’all</w:t>
      </w:r>
      <w:r w:rsidR="0055650D">
        <w:t xml:space="preserve"> </w:t>
      </w:r>
      <w:r w:rsidRPr="00E21D36">
        <w:t>very much</w:t>
      </w:r>
      <w:r w:rsidR="0055650D">
        <w:t>!!!</w:t>
      </w:r>
      <w:r w:rsidR="00B37FAB">
        <w:t xml:space="preserve">  </w:t>
      </w:r>
    </w:p>
    <w:p w14:paraId="221D8CE0" w14:textId="5801A340" w:rsidR="00B37FAB" w:rsidRPr="00B37FAB" w:rsidRDefault="00B37FAB" w:rsidP="00167A29">
      <w:pPr>
        <w:pStyle w:val="Parrafo"/>
        <w:spacing w:after="240"/>
        <w:rPr>
          <w:i/>
          <w:iCs/>
        </w:rPr>
      </w:pPr>
      <w:r>
        <w:rPr>
          <w:i/>
          <w:iCs/>
        </w:rPr>
        <w:t>“</w:t>
      </w:r>
      <w:r w:rsidRPr="00B37FAB">
        <w:rPr>
          <w:i/>
          <w:iCs/>
        </w:rPr>
        <w:t>Gracias, totales!!!”</w:t>
      </w:r>
    </w:p>
    <w:p w14:paraId="2B8C665F" w14:textId="44400E66" w:rsidR="00027039" w:rsidRDefault="00027039" w:rsidP="00167A29">
      <w:pPr>
        <w:pStyle w:val="Parrafo"/>
        <w:spacing w:after="240"/>
      </w:pPr>
    </w:p>
    <w:p w14:paraId="68752842" w14:textId="397BB322" w:rsidR="00027039" w:rsidRDefault="00027039" w:rsidP="00167A29">
      <w:pPr>
        <w:pStyle w:val="Parrafo"/>
        <w:spacing w:after="240"/>
      </w:pPr>
    </w:p>
    <w:p w14:paraId="5994009B" w14:textId="26A565A2" w:rsidR="00027039" w:rsidRDefault="00027039" w:rsidP="00167A29">
      <w:pPr>
        <w:pStyle w:val="Parrafo"/>
        <w:spacing w:after="240"/>
      </w:pPr>
    </w:p>
    <w:p w14:paraId="3238C04F" w14:textId="58D5ED04" w:rsidR="00027039" w:rsidRDefault="00027039" w:rsidP="00167A29">
      <w:pPr>
        <w:pStyle w:val="Parrafo"/>
        <w:spacing w:after="240"/>
      </w:pPr>
    </w:p>
    <w:p w14:paraId="21F28999" w14:textId="2C9A49D8" w:rsidR="00027039" w:rsidRDefault="00027039" w:rsidP="00167A29">
      <w:pPr>
        <w:pStyle w:val="Parrafo"/>
        <w:spacing w:after="240"/>
      </w:pPr>
    </w:p>
    <w:p w14:paraId="360F9B84" w14:textId="1D0D5AB3" w:rsidR="00027039" w:rsidRDefault="00027039" w:rsidP="00167A29">
      <w:pPr>
        <w:pStyle w:val="Parrafo"/>
        <w:spacing w:after="240"/>
      </w:pPr>
    </w:p>
    <w:p w14:paraId="245D39C7" w14:textId="36887191" w:rsidR="00027039" w:rsidRDefault="00027039" w:rsidP="00167A29">
      <w:pPr>
        <w:pStyle w:val="Parrafo"/>
        <w:spacing w:after="240"/>
      </w:pPr>
    </w:p>
    <w:p w14:paraId="2B79A44A" w14:textId="7F901AD4" w:rsidR="00027039" w:rsidRDefault="00027039" w:rsidP="00167A29">
      <w:pPr>
        <w:pStyle w:val="Parrafo"/>
        <w:spacing w:after="240"/>
      </w:pPr>
    </w:p>
    <w:p w14:paraId="566227DB" w14:textId="77777777" w:rsidR="00027039" w:rsidRPr="005439F7" w:rsidRDefault="00027039" w:rsidP="00200D05">
      <w:pPr>
        <w:pStyle w:val="Parrafo"/>
        <w:spacing w:after="240"/>
        <w:jc w:val="center"/>
      </w:pPr>
    </w:p>
    <w:p w14:paraId="74242469" w14:textId="1A266081" w:rsidR="00D8171F" w:rsidRPr="009349D2" w:rsidRDefault="008F7E0F" w:rsidP="00840578">
      <w:pPr>
        <w:pStyle w:val="Heading1"/>
      </w:pPr>
      <w:bookmarkStart w:id="8" w:name="_Toc35861070"/>
      <w:r>
        <w:lastRenderedPageBreak/>
        <w:t xml:space="preserve">Table of </w:t>
      </w:r>
      <w:r w:rsidR="00B703B6">
        <w:t>c</w:t>
      </w:r>
      <w:r w:rsidR="00D8171F" w:rsidRPr="009349D2">
        <w:t>ontents</w:t>
      </w:r>
      <w:bookmarkEnd w:id="8"/>
    </w:p>
    <w:p w14:paraId="69324BD8" w14:textId="12132630" w:rsidR="00BD7E1A" w:rsidRDefault="00D8171F">
      <w:pPr>
        <w:pStyle w:val="TOC1"/>
        <w:tabs>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35861069" w:history="1">
        <w:r w:rsidR="00BD7E1A" w:rsidRPr="008B6254">
          <w:rPr>
            <w:rStyle w:val="Hyperlink"/>
            <w:noProof/>
          </w:rPr>
          <w:t>Acknowledgments</w:t>
        </w:r>
        <w:r w:rsidR="00BD7E1A">
          <w:rPr>
            <w:noProof/>
            <w:webHidden/>
          </w:rPr>
          <w:tab/>
        </w:r>
        <w:r w:rsidR="00BD7E1A">
          <w:rPr>
            <w:noProof/>
            <w:webHidden/>
          </w:rPr>
          <w:fldChar w:fldCharType="begin"/>
        </w:r>
        <w:r w:rsidR="00BD7E1A">
          <w:rPr>
            <w:noProof/>
            <w:webHidden/>
          </w:rPr>
          <w:instrText xml:space="preserve"> PAGEREF _Toc35861069 \h </w:instrText>
        </w:r>
        <w:r w:rsidR="00BD7E1A">
          <w:rPr>
            <w:noProof/>
            <w:webHidden/>
          </w:rPr>
        </w:r>
        <w:r w:rsidR="00BD7E1A">
          <w:rPr>
            <w:noProof/>
            <w:webHidden/>
          </w:rPr>
          <w:fldChar w:fldCharType="separate"/>
        </w:r>
        <w:r w:rsidR="00BD7E1A">
          <w:rPr>
            <w:noProof/>
            <w:webHidden/>
          </w:rPr>
          <w:t>5</w:t>
        </w:r>
        <w:r w:rsidR="00BD7E1A">
          <w:rPr>
            <w:noProof/>
            <w:webHidden/>
          </w:rPr>
          <w:fldChar w:fldCharType="end"/>
        </w:r>
      </w:hyperlink>
    </w:p>
    <w:p w14:paraId="49948C96" w14:textId="055EE246" w:rsidR="00BD7E1A" w:rsidRDefault="00BD7E1A">
      <w:pPr>
        <w:pStyle w:val="TOC1"/>
        <w:tabs>
          <w:tab w:val="right" w:leader="dot" w:pos="9350"/>
        </w:tabs>
        <w:rPr>
          <w:rFonts w:asciiTheme="minorHAnsi" w:eastAsiaTheme="minorEastAsia" w:hAnsiTheme="minorHAnsi" w:cstheme="minorBidi"/>
          <w:noProof/>
          <w:sz w:val="22"/>
        </w:rPr>
      </w:pPr>
      <w:hyperlink w:anchor="_Toc35861070" w:history="1">
        <w:r w:rsidRPr="008B6254">
          <w:rPr>
            <w:rStyle w:val="Hyperlink"/>
            <w:noProof/>
          </w:rPr>
          <w:t>Table of contents</w:t>
        </w:r>
        <w:r>
          <w:rPr>
            <w:noProof/>
            <w:webHidden/>
          </w:rPr>
          <w:tab/>
        </w:r>
        <w:r>
          <w:rPr>
            <w:noProof/>
            <w:webHidden/>
          </w:rPr>
          <w:fldChar w:fldCharType="begin"/>
        </w:r>
        <w:r>
          <w:rPr>
            <w:noProof/>
            <w:webHidden/>
          </w:rPr>
          <w:instrText xml:space="preserve"> PAGEREF _Toc35861070 \h </w:instrText>
        </w:r>
        <w:r>
          <w:rPr>
            <w:noProof/>
            <w:webHidden/>
          </w:rPr>
        </w:r>
        <w:r>
          <w:rPr>
            <w:noProof/>
            <w:webHidden/>
          </w:rPr>
          <w:fldChar w:fldCharType="separate"/>
        </w:r>
        <w:r>
          <w:rPr>
            <w:noProof/>
            <w:webHidden/>
          </w:rPr>
          <w:t>9</w:t>
        </w:r>
        <w:r>
          <w:rPr>
            <w:noProof/>
            <w:webHidden/>
          </w:rPr>
          <w:fldChar w:fldCharType="end"/>
        </w:r>
      </w:hyperlink>
    </w:p>
    <w:p w14:paraId="62E23EA4" w14:textId="39C0BD69" w:rsidR="00BD7E1A" w:rsidRDefault="00BD7E1A">
      <w:pPr>
        <w:pStyle w:val="TOC1"/>
        <w:tabs>
          <w:tab w:val="right" w:leader="dot" w:pos="9350"/>
        </w:tabs>
        <w:rPr>
          <w:rFonts w:asciiTheme="minorHAnsi" w:eastAsiaTheme="minorEastAsia" w:hAnsiTheme="minorHAnsi" w:cstheme="minorBidi"/>
          <w:noProof/>
          <w:sz w:val="22"/>
        </w:rPr>
      </w:pPr>
      <w:hyperlink w:anchor="_Toc35861071" w:history="1">
        <w:r w:rsidRPr="008B6254">
          <w:rPr>
            <w:rStyle w:val="Hyperlink"/>
            <w:noProof/>
          </w:rPr>
          <w:t>List of figures</w:t>
        </w:r>
        <w:r>
          <w:rPr>
            <w:noProof/>
            <w:webHidden/>
          </w:rPr>
          <w:tab/>
        </w:r>
        <w:r>
          <w:rPr>
            <w:noProof/>
            <w:webHidden/>
          </w:rPr>
          <w:fldChar w:fldCharType="begin"/>
        </w:r>
        <w:r>
          <w:rPr>
            <w:noProof/>
            <w:webHidden/>
          </w:rPr>
          <w:instrText xml:space="preserve"> PAGEREF _Toc35861071 \h </w:instrText>
        </w:r>
        <w:r>
          <w:rPr>
            <w:noProof/>
            <w:webHidden/>
          </w:rPr>
        </w:r>
        <w:r>
          <w:rPr>
            <w:noProof/>
            <w:webHidden/>
          </w:rPr>
          <w:fldChar w:fldCharType="separate"/>
        </w:r>
        <w:r>
          <w:rPr>
            <w:noProof/>
            <w:webHidden/>
          </w:rPr>
          <w:t>14</w:t>
        </w:r>
        <w:r>
          <w:rPr>
            <w:noProof/>
            <w:webHidden/>
          </w:rPr>
          <w:fldChar w:fldCharType="end"/>
        </w:r>
      </w:hyperlink>
    </w:p>
    <w:p w14:paraId="1C8A05DA" w14:textId="3DDE663C" w:rsidR="00BD7E1A" w:rsidRDefault="00BD7E1A">
      <w:pPr>
        <w:pStyle w:val="TOC1"/>
        <w:tabs>
          <w:tab w:val="right" w:leader="dot" w:pos="9350"/>
        </w:tabs>
        <w:rPr>
          <w:rFonts w:asciiTheme="minorHAnsi" w:eastAsiaTheme="minorEastAsia" w:hAnsiTheme="minorHAnsi" w:cstheme="minorBidi"/>
          <w:noProof/>
          <w:sz w:val="22"/>
        </w:rPr>
      </w:pPr>
      <w:hyperlink w:anchor="_Toc35861072" w:history="1">
        <w:r w:rsidRPr="008B6254">
          <w:rPr>
            <w:rStyle w:val="Hyperlink"/>
            <w:noProof/>
          </w:rPr>
          <w:t>List of tables</w:t>
        </w:r>
        <w:r>
          <w:rPr>
            <w:noProof/>
            <w:webHidden/>
          </w:rPr>
          <w:tab/>
        </w:r>
        <w:r>
          <w:rPr>
            <w:noProof/>
            <w:webHidden/>
          </w:rPr>
          <w:fldChar w:fldCharType="begin"/>
        </w:r>
        <w:r>
          <w:rPr>
            <w:noProof/>
            <w:webHidden/>
          </w:rPr>
          <w:instrText xml:space="preserve"> PAGEREF _Toc35861072 \h </w:instrText>
        </w:r>
        <w:r>
          <w:rPr>
            <w:noProof/>
            <w:webHidden/>
          </w:rPr>
        </w:r>
        <w:r>
          <w:rPr>
            <w:noProof/>
            <w:webHidden/>
          </w:rPr>
          <w:fldChar w:fldCharType="separate"/>
        </w:r>
        <w:r>
          <w:rPr>
            <w:noProof/>
            <w:webHidden/>
          </w:rPr>
          <w:t>30</w:t>
        </w:r>
        <w:r>
          <w:rPr>
            <w:noProof/>
            <w:webHidden/>
          </w:rPr>
          <w:fldChar w:fldCharType="end"/>
        </w:r>
      </w:hyperlink>
    </w:p>
    <w:p w14:paraId="760F41BA" w14:textId="62C68B21" w:rsidR="00BD7E1A" w:rsidRDefault="00BD7E1A">
      <w:pPr>
        <w:pStyle w:val="TOC1"/>
        <w:tabs>
          <w:tab w:val="right" w:leader="dot" w:pos="9350"/>
        </w:tabs>
        <w:rPr>
          <w:rFonts w:asciiTheme="minorHAnsi" w:eastAsiaTheme="minorEastAsia" w:hAnsiTheme="minorHAnsi" w:cstheme="minorBidi"/>
          <w:noProof/>
          <w:sz w:val="22"/>
        </w:rPr>
      </w:pPr>
      <w:hyperlink w:anchor="_Toc35861073" w:history="1">
        <w:r w:rsidRPr="008B6254">
          <w:rPr>
            <w:rStyle w:val="Hyperlink"/>
            <w:noProof/>
            <w:lang w:bidi="en-US"/>
          </w:rPr>
          <w:t>Abstract</w:t>
        </w:r>
        <w:r>
          <w:rPr>
            <w:noProof/>
            <w:webHidden/>
          </w:rPr>
          <w:tab/>
        </w:r>
        <w:r>
          <w:rPr>
            <w:noProof/>
            <w:webHidden/>
          </w:rPr>
          <w:fldChar w:fldCharType="begin"/>
        </w:r>
        <w:r>
          <w:rPr>
            <w:noProof/>
            <w:webHidden/>
          </w:rPr>
          <w:instrText xml:space="preserve"> PAGEREF _Toc35861073 \h </w:instrText>
        </w:r>
        <w:r>
          <w:rPr>
            <w:noProof/>
            <w:webHidden/>
          </w:rPr>
        </w:r>
        <w:r>
          <w:rPr>
            <w:noProof/>
            <w:webHidden/>
          </w:rPr>
          <w:fldChar w:fldCharType="separate"/>
        </w:r>
        <w:r>
          <w:rPr>
            <w:noProof/>
            <w:webHidden/>
          </w:rPr>
          <w:t>31</w:t>
        </w:r>
        <w:r>
          <w:rPr>
            <w:noProof/>
            <w:webHidden/>
          </w:rPr>
          <w:fldChar w:fldCharType="end"/>
        </w:r>
      </w:hyperlink>
    </w:p>
    <w:p w14:paraId="42596BFD" w14:textId="3CC5ED43" w:rsidR="00BD7E1A" w:rsidRDefault="00BD7E1A">
      <w:pPr>
        <w:pStyle w:val="TOC1"/>
        <w:tabs>
          <w:tab w:val="right" w:leader="dot" w:pos="9350"/>
        </w:tabs>
        <w:rPr>
          <w:rFonts w:asciiTheme="minorHAnsi" w:eastAsiaTheme="minorEastAsia" w:hAnsiTheme="minorHAnsi" w:cstheme="minorBidi"/>
          <w:noProof/>
          <w:sz w:val="22"/>
        </w:rPr>
      </w:pPr>
      <w:hyperlink w:anchor="_Toc35861074" w:history="1">
        <w:r w:rsidRPr="008B6254">
          <w:rPr>
            <w:rStyle w:val="Hyperlink"/>
            <w:noProof/>
            <w:lang w:bidi="en-US"/>
          </w:rPr>
          <w:t>Introduction</w:t>
        </w:r>
        <w:r>
          <w:rPr>
            <w:noProof/>
            <w:webHidden/>
          </w:rPr>
          <w:tab/>
        </w:r>
        <w:bookmarkStart w:id="9" w:name="_GoBack"/>
        <w:bookmarkEnd w:id="9"/>
        <w:r>
          <w:rPr>
            <w:noProof/>
            <w:webHidden/>
          </w:rPr>
          <w:fldChar w:fldCharType="begin"/>
        </w:r>
        <w:r>
          <w:rPr>
            <w:noProof/>
            <w:webHidden/>
          </w:rPr>
          <w:instrText xml:space="preserve"> PAGEREF _Toc35861074 \h </w:instrText>
        </w:r>
        <w:r>
          <w:rPr>
            <w:noProof/>
            <w:webHidden/>
          </w:rPr>
        </w:r>
        <w:r>
          <w:rPr>
            <w:noProof/>
            <w:webHidden/>
          </w:rPr>
          <w:fldChar w:fldCharType="separate"/>
        </w:r>
        <w:r>
          <w:rPr>
            <w:noProof/>
            <w:webHidden/>
          </w:rPr>
          <w:t>33</w:t>
        </w:r>
        <w:r>
          <w:rPr>
            <w:noProof/>
            <w:webHidden/>
          </w:rPr>
          <w:fldChar w:fldCharType="end"/>
        </w:r>
      </w:hyperlink>
    </w:p>
    <w:p w14:paraId="7B90A6A4" w14:textId="0FBB9248" w:rsidR="00BD7E1A" w:rsidRDefault="00BD7E1A">
      <w:pPr>
        <w:pStyle w:val="TOC1"/>
        <w:tabs>
          <w:tab w:val="right" w:leader="dot" w:pos="9350"/>
        </w:tabs>
        <w:rPr>
          <w:rFonts w:asciiTheme="minorHAnsi" w:eastAsiaTheme="minorEastAsia" w:hAnsiTheme="minorHAnsi" w:cstheme="minorBidi"/>
          <w:noProof/>
          <w:sz w:val="22"/>
        </w:rPr>
      </w:pPr>
      <w:hyperlink w:anchor="_Toc35861075" w:history="1">
        <w:r w:rsidRPr="008B6254">
          <w:rPr>
            <w:rStyle w:val="Hyperlink"/>
            <w:noProof/>
          </w:rPr>
          <w:t>Chapter I: The concept of enclosed mini-basin fill</w:t>
        </w:r>
        <w:r>
          <w:rPr>
            <w:noProof/>
            <w:webHidden/>
          </w:rPr>
          <w:tab/>
        </w:r>
        <w:r>
          <w:rPr>
            <w:noProof/>
            <w:webHidden/>
          </w:rPr>
          <w:fldChar w:fldCharType="begin"/>
        </w:r>
        <w:r>
          <w:rPr>
            <w:noProof/>
            <w:webHidden/>
          </w:rPr>
          <w:instrText xml:space="preserve"> PAGEREF _Toc35861075 \h </w:instrText>
        </w:r>
        <w:r>
          <w:rPr>
            <w:noProof/>
            <w:webHidden/>
          </w:rPr>
        </w:r>
        <w:r>
          <w:rPr>
            <w:noProof/>
            <w:webHidden/>
          </w:rPr>
          <w:fldChar w:fldCharType="separate"/>
        </w:r>
        <w:r>
          <w:rPr>
            <w:noProof/>
            <w:webHidden/>
          </w:rPr>
          <w:t>1</w:t>
        </w:r>
        <w:r>
          <w:rPr>
            <w:noProof/>
            <w:webHidden/>
          </w:rPr>
          <w:fldChar w:fldCharType="end"/>
        </w:r>
      </w:hyperlink>
    </w:p>
    <w:p w14:paraId="7755EAB2" w14:textId="58A8DA7A" w:rsidR="00BD7E1A" w:rsidRDefault="00BD7E1A">
      <w:pPr>
        <w:pStyle w:val="TOC2"/>
        <w:tabs>
          <w:tab w:val="left" w:pos="880"/>
        </w:tabs>
        <w:rPr>
          <w:rFonts w:asciiTheme="minorHAnsi" w:eastAsiaTheme="minorEastAsia" w:hAnsiTheme="minorHAnsi" w:cstheme="minorBidi"/>
          <w:noProof/>
          <w:sz w:val="22"/>
        </w:rPr>
      </w:pPr>
      <w:hyperlink w:anchor="_Toc35861076" w:history="1">
        <w:r w:rsidRPr="008B6254">
          <w:rPr>
            <w:rStyle w:val="Hyperlink"/>
            <w:noProof/>
          </w:rPr>
          <w:t>1.1.</w:t>
        </w:r>
        <w:r>
          <w:rPr>
            <w:rFonts w:asciiTheme="minorHAnsi" w:eastAsiaTheme="minorEastAsia" w:hAnsiTheme="minorHAnsi" w:cstheme="minorBidi"/>
            <w:noProof/>
            <w:sz w:val="22"/>
          </w:rPr>
          <w:tab/>
        </w:r>
        <w:r w:rsidRPr="008B6254">
          <w:rPr>
            <w:rStyle w:val="Hyperlink"/>
            <w:noProof/>
          </w:rPr>
          <w:t>Geological definition of mini-basin fill</w:t>
        </w:r>
        <w:r>
          <w:rPr>
            <w:noProof/>
            <w:webHidden/>
          </w:rPr>
          <w:tab/>
        </w:r>
        <w:r>
          <w:rPr>
            <w:noProof/>
            <w:webHidden/>
          </w:rPr>
          <w:fldChar w:fldCharType="begin"/>
        </w:r>
        <w:r>
          <w:rPr>
            <w:noProof/>
            <w:webHidden/>
          </w:rPr>
          <w:instrText xml:space="preserve"> PAGEREF _Toc35861076 \h </w:instrText>
        </w:r>
        <w:r>
          <w:rPr>
            <w:noProof/>
            <w:webHidden/>
          </w:rPr>
        </w:r>
        <w:r>
          <w:rPr>
            <w:noProof/>
            <w:webHidden/>
          </w:rPr>
          <w:fldChar w:fldCharType="separate"/>
        </w:r>
        <w:r>
          <w:rPr>
            <w:noProof/>
            <w:webHidden/>
          </w:rPr>
          <w:t>6</w:t>
        </w:r>
        <w:r>
          <w:rPr>
            <w:noProof/>
            <w:webHidden/>
          </w:rPr>
          <w:fldChar w:fldCharType="end"/>
        </w:r>
      </w:hyperlink>
    </w:p>
    <w:p w14:paraId="36199817" w14:textId="2CBA8CE1" w:rsidR="00BD7E1A" w:rsidRDefault="00BD7E1A">
      <w:pPr>
        <w:pStyle w:val="TOC2"/>
        <w:tabs>
          <w:tab w:val="left" w:pos="880"/>
        </w:tabs>
        <w:rPr>
          <w:rFonts w:asciiTheme="minorHAnsi" w:eastAsiaTheme="minorEastAsia" w:hAnsiTheme="minorHAnsi" w:cstheme="minorBidi"/>
          <w:noProof/>
          <w:sz w:val="22"/>
        </w:rPr>
      </w:pPr>
      <w:hyperlink w:anchor="_Toc35861077" w:history="1">
        <w:r w:rsidRPr="008B6254">
          <w:rPr>
            <w:rStyle w:val="Hyperlink"/>
            <w:noProof/>
          </w:rPr>
          <w:t>1.2.</w:t>
        </w:r>
        <w:r>
          <w:rPr>
            <w:rFonts w:asciiTheme="minorHAnsi" w:eastAsiaTheme="minorEastAsia" w:hAnsiTheme="minorHAnsi" w:cstheme="minorBidi"/>
            <w:noProof/>
            <w:sz w:val="22"/>
          </w:rPr>
          <w:tab/>
        </w:r>
        <w:r w:rsidRPr="008B6254">
          <w:rPr>
            <w:rStyle w:val="Hyperlink"/>
            <w:noProof/>
          </w:rPr>
          <w:t>Geological definition of a paralic depositional environment</w:t>
        </w:r>
        <w:r>
          <w:rPr>
            <w:noProof/>
            <w:webHidden/>
          </w:rPr>
          <w:tab/>
        </w:r>
        <w:r>
          <w:rPr>
            <w:noProof/>
            <w:webHidden/>
          </w:rPr>
          <w:fldChar w:fldCharType="begin"/>
        </w:r>
        <w:r>
          <w:rPr>
            <w:noProof/>
            <w:webHidden/>
          </w:rPr>
          <w:instrText xml:space="preserve"> PAGEREF _Toc35861077 \h </w:instrText>
        </w:r>
        <w:r>
          <w:rPr>
            <w:noProof/>
            <w:webHidden/>
          </w:rPr>
        </w:r>
        <w:r>
          <w:rPr>
            <w:noProof/>
            <w:webHidden/>
          </w:rPr>
          <w:fldChar w:fldCharType="separate"/>
        </w:r>
        <w:r>
          <w:rPr>
            <w:noProof/>
            <w:webHidden/>
          </w:rPr>
          <w:t>6</w:t>
        </w:r>
        <w:r>
          <w:rPr>
            <w:noProof/>
            <w:webHidden/>
          </w:rPr>
          <w:fldChar w:fldCharType="end"/>
        </w:r>
      </w:hyperlink>
    </w:p>
    <w:p w14:paraId="0EEC73B7" w14:textId="274FA84A" w:rsidR="00BD7E1A" w:rsidRDefault="00BD7E1A">
      <w:pPr>
        <w:pStyle w:val="TOC2"/>
        <w:tabs>
          <w:tab w:val="left" w:pos="880"/>
        </w:tabs>
        <w:rPr>
          <w:rFonts w:asciiTheme="minorHAnsi" w:eastAsiaTheme="minorEastAsia" w:hAnsiTheme="minorHAnsi" w:cstheme="minorBidi"/>
          <w:noProof/>
          <w:sz w:val="22"/>
        </w:rPr>
      </w:pPr>
      <w:hyperlink w:anchor="_Toc35861078" w:history="1">
        <w:r w:rsidRPr="008B6254">
          <w:rPr>
            <w:rStyle w:val="Hyperlink"/>
            <w:noProof/>
          </w:rPr>
          <w:t>1.3.</w:t>
        </w:r>
        <w:r>
          <w:rPr>
            <w:rFonts w:asciiTheme="minorHAnsi" w:eastAsiaTheme="minorEastAsia" w:hAnsiTheme="minorHAnsi" w:cstheme="minorBidi"/>
            <w:noProof/>
            <w:sz w:val="22"/>
          </w:rPr>
          <w:tab/>
        </w:r>
        <w:r w:rsidRPr="008B6254">
          <w:rPr>
            <w:rStyle w:val="Hyperlink"/>
            <w:noProof/>
          </w:rPr>
          <w:t xml:space="preserve">The </w:t>
        </w:r>
        <w:r w:rsidRPr="008B6254">
          <w:rPr>
            <w:rStyle w:val="Hyperlink"/>
            <w:noProof/>
            <w:shd w:val="clear" w:color="auto" w:fill="FFFFFF"/>
          </w:rPr>
          <w:t xml:space="preserve">enclosed mini-basin fill </w:t>
        </w:r>
        <w:r w:rsidRPr="008B6254">
          <w:rPr>
            <w:rStyle w:val="Hyperlink"/>
            <w:noProof/>
          </w:rPr>
          <w:t>system</w:t>
        </w:r>
        <w:r>
          <w:rPr>
            <w:noProof/>
            <w:webHidden/>
          </w:rPr>
          <w:tab/>
        </w:r>
        <w:r>
          <w:rPr>
            <w:noProof/>
            <w:webHidden/>
          </w:rPr>
          <w:fldChar w:fldCharType="begin"/>
        </w:r>
        <w:r>
          <w:rPr>
            <w:noProof/>
            <w:webHidden/>
          </w:rPr>
          <w:instrText xml:space="preserve"> PAGEREF _Toc35861078 \h </w:instrText>
        </w:r>
        <w:r>
          <w:rPr>
            <w:noProof/>
            <w:webHidden/>
          </w:rPr>
        </w:r>
        <w:r>
          <w:rPr>
            <w:noProof/>
            <w:webHidden/>
          </w:rPr>
          <w:fldChar w:fldCharType="separate"/>
        </w:r>
        <w:r>
          <w:rPr>
            <w:noProof/>
            <w:webHidden/>
          </w:rPr>
          <w:t>7</w:t>
        </w:r>
        <w:r>
          <w:rPr>
            <w:noProof/>
            <w:webHidden/>
          </w:rPr>
          <w:fldChar w:fldCharType="end"/>
        </w:r>
      </w:hyperlink>
    </w:p>
    <w:p w14:paraId="201FE04A" w14:textId="700D1D80" w:rsidR="00BD7E1A" w:rsidRDefault="00BD7E1A">
      <w:pPr>
        <w:pStyle w:val="TOC2"/>
        <w:tabs>
          <w:tab w:val="left" w:pos="880"/>
        </w:tabs>
        <w:rPr>
          <w:rFonts w:asciiTheme="minorHAnsi" w:eastAsiaTheme="minorEastAsia" w:hAnsiTheme="minorHAnsi" w:cstheme="minorBidi"/>
          <w:noProof/>
          <w:sz w:val="22"/>
        </w:rPr>
      </w:pPr>
      <w:hyperlink w:anchor="_Toc35861079" w:history="1">
        <w:r w:rsidRPr="008B6254">
          <w:rPr>
            <w:rStyle w:val="Hyperlink"/>
            <w:noProof/>
          </w:rPr>
          <w:t>1.4.</w:t>
        </w:r>
        <w:r>
          <w:rPr>
            <w:rFonts w:asciiTheme="minorHAnsi" w:eastAsiaTheme="minorEastAsia" w:hAnsiTheme="minorHAnsi" w:cstheme="minorBidi"/>
            <w:noProof/>
            <w:sz w:val="22"/>
          </w:rPr>
          <w:tab/>
        </w:r>
        <w:r w:rsidRPr="008B6254">
          <w:rPr>
            <w:rStyle w:val="Hyperlink"/>
            <w:noProof/>
          </w:rPr>
          <w:t>Geological and geochemical characterization of unconventional systems</w:t>
        </w:r>
        <w:r>
          <w:rPr>
            <w:noProof/>
            <w:webHidden/>
          </w:rPr>
          <w:tab/>
        </w:r>
        <w:r>
          <w:rPr>
            <w:noProof/>
            <w:webHidden/>
          </w:rPr>
          <w:fldChar w:fldCharType="begin"/>
        </w:r>
        <w:r>
          <w:rPr>
            <w:noProof/>
            <w:webHidden/>
          </w:rPr>
          <w:instrText xml:space="preserve"> PAGEREF _Toc35861079 \h </w:instrText>
        </w:r>
        <w:r>
          <w:rPr>
            <w:noProof/>
            <w:webHidden/>
          </w:rPr>
        </w:r>
        <w:r>
          <w:rPr>
            <w:noProof/>
            <w:webHidden/>
          </w:rPr>
          <w:fldChar w:fldCharType="separate"/>
        </w:r>
        <w:r>
          <w:rPr>
            <w:noProof/>
            <w:webHidden/>
          </w:rPr>
          <w:t>11</w:t>
        </w:r>
        <w:r>
          <w:rPr>
            <w:noProof/>
            <w:webHidden/>
          </w:rPr>
          <w:fldChar w:fldCharType="end"/>
        </w:r>
      </w:hyperlink>
    </w:p>
    <w:p w14:paraId="01EC4231" w14:textId="48460290"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080" w:history="1">
        <w:r w:rsidRPr="008B6254">
          <w:rPr>
            <w:rStyle w:val="Hyperlink"/>
            <w:noProof/>
          </w:rPr>
          <w:t>1.4.1.</w:t>
        </w:r>
        <w:r>
          <w:rPr>
            <w:rFonts w:asciiTheme="minorHAnsi" w:eastAsiaTheme="minorEastAsia" w:hAnsiTheme="minorHAnsi" w:cstheme="minorBidi"/>
            <w:noProof/>
            <w:sz w:val="22"/>
          </w:rPr>
          <w:tab/>
        </w:r>
        <w:r w:rsidRPr="008B6254">
          <w:rPr>
            <w:rStyle w:val="Hyperlink"/>
            <w:noProof/>
          </w:rPr>
          <w:t>Organic richness and type</w:t>
        </w:r>
        <w:r>
          <w:rPr>
            <w:noProof/>
            <w:webHidden/>
          </w:rPr>
          <w:tab/>
        </w:r>
        <w:r>
          <w:rPr>
            <w:noProof/>
            <w:webHidden/>
          </w:rPr>
          <w:fldChar w:fldCharType="begin"/>
        </w:r>
        <w:r>
          <w:rPr>
            <w:noProof/>
            <w:webHidden/>
          </w:rPr>
          <w:instrText xml:space="preserve"> PAGEREF _Toc35861080 \h </w:instrText>
        </w:r>
        <w:r>
          <w:rPr>
            <w:noProof/>
            <w:webHidden/>
          </w:rPr>
        </w:r>
        <w:r>
          <w:rPr>
            <w:noProof/>
            <w:webHidden/>
          </w:rPr>
          <w:fldChar w:fldCharType="separate"/>
        </w:r>
        <w:r>
          <w:rPr>
            <w:noProof/>
            <w:webHidden/>
          </w:rPr>
          <w:t>11</w:t>
        </w:r>
        <w:r>
          <w:rPr>
            <w:noProof/>
            <w:webHidden/>
          </w:rPr>
          <w:fldChar w:fldCharType="end"/>
        </w:r>
      </w:hyperlink>
    </w:p>
    <w:p w14:paraId="5FB3F3F7" w14:textId="1E33924E"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081" w:history="1">
        <w:r w:rsidRPr="008B6254">
          <w:rPr>
            <w:rStyle w:val="Hyperlink"/>
            <w:noProof/>
          </w:rPr>
          <w:t>1.4.2.</w:t>
        </w:r>
        <w:r>
          <w:rPr>
            <w:rFonts w:asciiTheme="minorHAnsi" w:eastAsiaTheme="minorEastAsia" w:hAnsiTheme="minorHAnsi" w:cstheme="minorBidi"/>
            <w:noProof/>
            <w:sz w:val="22"/>
          </w:rPr>
          <w:tab/>
        </w:r>
        <w:r w:rsidRPr="008B6254">
          <w:rPr>
            <w:rStyle w:val="Hyperlink"/>
            <w:noProof/>
          </w:rPr>
          <w:t>Biomarker characterization that serves as indicators of anoxic and oxic depositional environmental conditions.</w:t>
        </w:r>
        <w:r>
          <w:rPr>
            <w:noProof/>
            <w:webHidden/>
          </w:rPr>
          <w:tab/>
        </w:r>
        <w:r>
          <w:rPr>
            <w:noProof/>
            <w:webHidden/>
          </w:rPr>
          <w:fldChar w:fldCharType="begin"/>
        </w:r>
        <w:r>
          <w:rPr>
            <w:noProof/>
            <w:webHidden/>
          </w:rPr>
          <w:instrText xml:space="preserve"> PAGEREF _Toc35861081 \h </w:instrText>
        </w:r>
        <w:r>
          <w:rPr>
            <w:noProof/>
            <w:webHidden/>
          </w:rPr>
        </w:r>
        <w:r>
          <w:rPr>
            <w:noProof/>
            <w:webHidden/>
          </w:rPr>
          <w:fldChar w:fldCharType="separate"/>
        </w:r>
        <w:r>
          <w:rPr>
            <w:noProof/>
            <w:webHidden/>
          </w:rPr>
          <w:t>12</w:t>
        </w:r>
        <w:r>
          <w:rPr>
            <w:noProof/>
            <w:webHidden/>
          </w:rPr>
          <w:fldChar w:fldCharType="end"/>
        </w:r>
      </w:hyperlink>
    </w:p>
    <w:p w14:paraId="15A34458" w14:textId="2917398F" w:rsidR="00BD7E1A" w:rsidRDefault="00BD7E1A">
      <w:pPr>
        <w:pStyle w:val="TOC2"/>
        <w:tabs>
          <w:tab w:val="left" w:pos="880"/>
        </w:tabs>
        <w:rPr>
          <w:rFonts w:asciiTheme="minorHAnsi" w:eastAsiaTheme="minorEastAsia" w:hAnsiTheme="minorHAnsi" w:cstheme="minorBidi"/>
          <w:noProof/>
          <w:sz w:val="22"/>
        </w:rPr>
      </w:pPr>
      <w:hyperlink w:anchor="_Toc35861082" w:history="1">
        <w:r w:rsidRPr="008B6254">
          <w:rPr>
            <w:rStyle w:val="Hyperlink"/>
            <w:noProof/>
          </w:rPr>
          <w:t>1.5.</w:t>
        </w:r>
        <w:r>
          <w:rPr>
            <w:rFonts w:asciiTheme="minorHAnsi" w:eastAsiaTheme="minorEastAsia" w:hAnsiTheme="minorHAnsi" w:cstheme="minorBidi"/>
            <w:noProof/>
            <w:sz w:val="22"/>
          </w:rPr>
          <w:tab/>
        </w:r>
        <w:r w:rsidRPr="008B6254">
          <w:rPr>
            <w:rStyle w:val="Hyperlink"/>
            <w:noProof/>
          </w:rPr>
          <w:t>The Woodford Shale in Oklahoma, USA.</w:t>
        </w:r>
        <w:r>
          <w:rPr>
            <w:noProof/>
            <w:webHidden/>
          </w:rPr>
          <w:tab/>
        </w:r>
        <w:r>
          <w:rPr>
            <w:noProof/>
            <w:webHidden/>
          </w:rPr>
          <w:fldChar w:fldCharType="begin"/>
        </w:r>
        <w:r>
          <w:rPr>
            <w:noProof/>
            <w:webHidden/>
          </w:rPr>
          <w:instrText xml:space="preserve"> PAGEREF _Toc35861082 \h </w:instrText>
        </w:r>
        <w:r>
          <w:rPr>
            <w:noProof/>
            <w:webHidden/>
          </w:rPr>
        </w:r>
        <w:r>
          <w:rPr>
            <w:noProof/>
            <w:webHidden/>
          </w:rPr>
          <w:fldChar w:fldCharType="separate"/>
        </w:r>
        <w:r>
          <w:rPr>
            <w:noProof/>
            <w:webHidden/>
          </w:rPr>
          <w:t>13</w:t>
        </w:r>
        <w:r>
          <w:rPr>
            <w:noProof/>
            <w:webHidden/>
          </w:rPr>
          <w:fldChar w:fldCharType="end"/>
        </w:r>
      </w:hyperlink>
    </w:p>
    <w:p w14:paraId="3381A6E1" w14:textId="579E2AEF" w:rsidR="00BD7E1A" w:rsidRDefault="00BD7E1A">
      <w:pPr>
        <w:pStyle w:val="TOC2"/>
        <w:tabs>
          <w:tab w:val="left" w:pos="880"/>
        </w:tabs>
        <w:rPr>
          <w:rFonts w:asciiTheme="minorHAnsi" w:eastAsiaTheme="minorEastAsia" w:hAnsiTheme="minorHAnsi" w:cstheme="minorBidi"/>
          <w:noProof/>
          <w:sz w:val="22"/>
        </w:rPr>
      </w:pPr>
      <w:hyperlink w:anchor="_Toc35861083" w:history="1">
        <w:r w:rsidRPr="008B6254">
          <w:rPr>
            <w:rStyle w:val="Hyperlink"/>
            <w:noProof/>
          </w:rPr>
          <w:t>1.6.</w:t>
        </w:r>
        <w:r>
          <w:rPr>
            <w:rFonts w:asciiTheme="minorHAnsi" w:eastAsiaTheme="minorEastAsia" w:hAnsiTheme="minorHAnsi" w:cstheme="minorBidi"/>
            <w:noProof/>
            <w:sz w:val="22"/>
          </w:rPr>
          <w:tab/>
        </w:r>
        <w:r w:rsidRPr="008B6254">
          <w:rPr>
            <w:rStyle w:val="Hyperlink"/>
            <w:noProof/>
          </w:rPr>
          <w:t xml:space="preserve">Geological framework of </w:t>
        </w:r>
        <w:r w:rsidRPr="008B6254">
          <w:rPr>
            <w:rStyle w:val="Hyperlink"/>
            <w:noProof/>
            <w:shd w:val="clear" w:color="auto" w:fill="FFFFFF"/>
          </w:rPr>
          <w:t>enclosed mini-basin fill</w:t>
        </w:r>
        <w:r w:rsidRPr="008B6254">
          <w:rPr>
            <w:rStyle w:val="Hyperlink"/>
            <w:noProof/>
          </w:rPr>
          <w:t xml:space="preserve"> in unconventional systems</w:t>
        </w:r>
        <w:r>
          <w:rPr>
            <w:noProof/>
            <w:webHidden/>
          </w:rPr>
          <w:tab/>
        </w:r>
        <w:r>
          <w:rPr>
            <w:noProof/>
            <w:webHidden/>
          </w:rPr>
          <w:fldChar w:fldCharType="begin"/>
        </w:r>
        <w:r>
          <w:rPr>
            <w:noProof/>
            <w:webHidden/>
          </w:rPr>
          <w:instrText xml:space="preserve"> PAGEREF _Toc35861083 \h </w:instrText>
        </w:r>
        <w:r>
          <w:rPr>
            <w:noProof/>
            <w:webHidden/>
          </w:rPr>
        </w:r>
        <w:r>
          <w:rPr>
            <w:noProof/>
            <w:webHidden/>
          </w:rPr>
          <w:fldChar w:fldCharType="separate"/>
        </w:r>
        <w:r>
          <w:rPr>
            <w:noProof/>
            <w:webHidden/>
          </w:rPr>
          <w:t>19</w:t>
        </w:r>
        <w:r>
          <w:rPr>
            <w:noProof/>
            <w:webHidden/>
          </w:rPr>
          <w:fldChar w:fldCharType="end"/>
        </w:r>
      </w:hyperlink>
    </w:p>
    <w:p w14:paraId="0FEBE773" w14:textId="5BD15DA6" w:rsidR="00BD7E1A" w:rsidRDefault="00BD7E1A">
      <w:pPr>
        <w:pStyle w:val="TOC2"/>
        <w:tabs>
          <w:tab w:val="left" w:pos="880"/>
        </w:tabs>
        <w:rPr>
          <w:rFonts w:asciiTheme="minorHAnsi" w:eastAsiaTheme="minorEastAsia" w:hAnsiTheme="minorHAnsi" w:cstheme="minorBidi"/>
          <w:noProof/>
          <w:sz w:val="22"/>
        </w:rPr>
      </w:pPr>
      <w:hyperlink w:anchor="_Toc35861084" w:history="1">
        <w:r w:rsidRPr="008B6254">
          <w:rPr>
            <w:rStyle w:val="Hyperlink"/>
            <w:noProof/>
          </w:rPr>
          <w:t>1.7.</w:t>
        </w:r>
        <w:r>
          <w:rPr>
            <w:rFonts w:asciiTheme="minorHAnsi" w:eastAsiaTheme="minorEastAsia" w:hAnsiTheme="minorHAnsi" w:cstheme="minorBidi"/>
            <w:noProof/>
            <w:sz w:val="22"/>
          </w:rPr>
          <w:tab/>
        </w:r>
        <w:r w:rsidRPr="008B6254">
          <w:rPr>
            <w:rStyle w:val="Hyperlink"/>
            <w:noProof/>
          </w:rPr>
          <w:t>The scientific hypothesis of an enclosed mini-basin fill deposit within a marine shale</w:t>
        </w:r>
        <w:r>
          <w:rPr>
            <w:noProof/>
            <w:webHidden/>
          </w:rPr>
          <w:tab/>
        </w:r>
        <w:r>
          <w:rPr>
            <w:noProof/>
            <w:webHidden/>
          </w:rPr>
          <w:fldChar w:fldCharType="begin"/>
        </w:r>
        <w:r>
          <w:rPr>
            <w:noProof/>
            <w:webHidden/>
          </w:rPr>
          <w:instrText xml:space="preserve"> PAGEREF _Toc35861084 \h </w:instrText>
        </w:r>
        <w:r>
          <w:rPr>
            <w:noProof/>
            <w:webHidden/>
          </w:rPr>
        </w:r>
        <w:r>
          <w:rPr>
            <w:noProof/>
            <w:webHidden/>
          </w:rPr>
          <w:fldChar w:fldCharType="separate"/>
        </w:r>
        <w:r>
          <w:rPr>
            <w:noProof/>
            <w:webHidden/>
          </w:rPr>
          <w:t>24</w:t>
        </w:r>
        <w:r>
          <w:rPr>
            <w:noProof/>
            <w:webHidden/>
          </w:rPr>
          <w:fldChar w:fldCharType="end"/>
        </w:r>
      </w:hyperlink>
    </w:p>
    <w:p w14:paraId="681AD4DB" w14:textId="44E61A46"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085" w:history="1">
        <w:r w:rsidRPr="008B6254">
          <w:rPr>
            <w:rStyle w:val="Hyperlink"/>
            <w:noProof/>
          </w:rPr>
          <w:t>1.7.1.</w:t>
        </w:r>
        <w:r>
          <w:rPr>
            <w:rFonts w:asciiTheme="minorHAnsi" w:eastAsiaTheme="minorEastAsia" w:hAnsiTheme="minorHAnsi" w:cstheme="minorBidi"/>
            <w:noProof/>
            <w:sz w:val="22"/>
          </w:rPr>
          <w:tab/>
        </w:r>
        <w:r w:rsidRPr="008B6254">
          <w:rPr>
            <w:rStyle w:val="Hyperlink"/>
            <w:noProof/>
          </w:rPr>
          <w:t>Minerals as indicators of anoxic and oxic depositional environmental conditions</w:t>
        </w:r>
        <w:r>
          <w:rPr>
            <w:noProof/>
            <w:webHidden/>
          </w:rPr>
          <w:tab/>
        </w:r>
        <w:r>
          <w:rPr>
            <w:noProof/>
            <w:webHidden/>
          </w:rPr>
          <w:fldChar w:fldCharType="begin"/>
        </w:r>
        <w:r>
          <w:rPr>
            <w:noProof/>
            <w:webHidden/>
          </w:rPr>
          <w:instrText xml:space="preserve"> PAGEREF _Toc35861085 \h </w:instrText>
        </w:r>
        <w:r>
          <w:rPr>
            <w:noProof/>
            <w:webHidden/>
          </w:rPr>
        </w:r>
        <w:r>
          <w:rPr>
            <w:noProof/>
            <w:webHidden/>
          </w:rPr>
          <w:fldChar w:fldCharType="separate"/>
        </w:r>
        <w:r>
          <w:rPr>
            <w:noProof/>
            <w:webHidden/>
          </w:rPr>
          <w:t>25</w:t>
        </w:r>
        <w:r>
          <w:rPr>
            <w:noProof/>
            <w:webHidden/>
          </w:rPr>
          <w:fldChar w:fldCharType="end"/>
        </w:r>
      </w:hyperlink>
    </w:p>
    <w:p w14:paraId="6864CA98" w14:textId="6E692237" w:rsidR="00BD7E1A" w:rsidRDefault="00BD7E1A">
      <w:pPr>
        <w:pStyle w:val="TOC2"/>
        <w:tabs>
          <w:tab w:val="left" w:pos="880"/>
        </w:tabs>
        <w:rPr>
          <w:rFonts w:asciiTheme="minorHAnsi" w:eastAsiaTheme="minorEastAsia" w:hAnsiTheme="minorHAnsi" w:cstheme="minorBidi"/>
          <w:noProof/>
          <w:sz w:val="22"/>
        </w:rPr>
      </w:pPr>
      <w:hyperlink w:anchor="_Toc35861086" w:history="1">
        <w:r w:rsidRPr="008B6254">
          <w:rPr>
            <w:rStyle w:val="Hyperlink"/>
            <w:noProof/>
          </w:rPr>
          <w:t>1.8.</w:t>
        </w:r>
        <w:r>
          <w:rPr>
            <w:rFonts w:asciiTheme="minorHAnsi" w:eastAsiaTheme="minorEastAsia" w:hAnsiTheme="minorHAnsi" w:cstheme="minorBidi"/>
            <w:noProof/>
            <w:sz w:val="22"/>
          </w:rPr>
          <w:tab/>
        </w:r>
        <w:r w:rsidRPr="008B6254">
          <w:rPr>
            <w:rStyle w:val="Hyperlink"/>
            <w:noProof/>
          </w:rPr>
          <w:t>Sustainability of project and main objectives</w:t>
        </w:r>
        <w:r>
          <w:rPr>
            <w:noProof/>
            <w:webHidden/>
          </w:rPr>
          <w:tab/>
        </w:r>
        <w:r>
          <w:rPr>
            <w:noProof/>
            <w:webHidden/>
          </w:rPr>
          <w:fldChar w:fldCharType="begin"/>
        </w:r>
        <w:r>
          <w:rPr>
            <w:noProof/>
            <w:webHidden/>
          </w:rPr>
          <w:instrText xml:space="preserve"> PAGEREF _Toc35861086 \h </w:instrText>
        </w:r>
        <w:r>
          <w:rPr>
            <w:noProof/>
            <w:webHidden/>
          </w:rPr>
        </w:r>
        <w:r>
          <w:rPr>
            <w:noProof/>
            <w:webHidden/>
          </w:rPr>
          <w:fldChar w:fldCharType="separate"/>
        </w:r>
        <w:r>
          <w:rPr>
            <w:noProof/>
            <w:webHidden/>
          </w:rPr>
          <w:t>26</w:t>
        </w:r>
        <w:r>
          <w:rPr>
            <w:noProof/>
            <w:webHidden/>
          </w:rPr>
          <w:fldChar w:fldCharType="end"/>
        </w:r>
      </w:hyperlink>
    </w:p>
    <w:p w14:paraId="7DBD1EC7" w14:textId="4158BC7F" w:rsidR="00BD7E1A" w:rsidRDefault="00BD7E1A">
      <w:pPr>
        <w:pStyle w:val="TOC2"/>
        <w:tabs>
          <w:tab w:val="left" w:pos="880"/>
        </w:tabs>
        <w:rPr>
          <w:rFonts w:asciiTheme="minorHAnsi" w:eastAsiaTheme="minorEastAsia" w:hAnsiTheme="minorHAnsi" w:cstheme="minorBidi"/>
          <w:noProof/>
          <w:sz w:val="22"/>
        </w:rPr>
      </w:pPr>
      <w:hyperlink w:anchor="_Toc35861087" w:history="1">
        <w:r w:rsidRPr="008B6254">
          <w:rPr>
            <w:rStyle w:val="Hyperlink"/>
            <w:noProof/>
          </w:rPr>
          <w:t>1.9.</w:t>
        </w:r>
        <w:r>
          <w:rPr>
            <w:rFonts w:asciiTheme="minorHAnsi" w:eastAsiaTheme="minorEastAsia" w:hAnsiTheme="minorHAnsi" w:cstheme="minorBidi"/>
            <w:noProof/>
            <w:sz w:val="22"/>
          </w:rPr>
          <w:tab/>
        </w:r>
        <w:r w:rsidRPr="008B6254">
          <w:rPr>
            <w:rStyle w:val="Hyperlink"/>
            <w:noProof/>
          </w:rPr>
          <w:t>Petroleum industry relevance</w:t>
        </w:r>
        <w:r>
          <w:rPr>
            <w:noProof/>
            <w:webHidden/>
          </w:rPr>
          <w:tab/>
        </w:r>
        <w:r>
          <w:rPr>
            <w:noProof/>
            <w:webHidden/>
          </w:rPr>
          <w:fldChar w:fldCharType="begin"/>
        </w:r>
        <w:r>
          <w:rPr>
            <w:noProof/>
            <w:webHidden/>
          </w:rPr>
          <w:instrText xml:space="preserve"> PAGEREF _Toc35861087 \h </w:instrText>
        </w:r>
        <w:r>
          <w:rPr>
            <w:noProof/>
            <w:webHidden/>
          </w:rPr>
        </w:r>
        <w:r>
          <w:rPr>
            <w:noProof/>
            <w:webHidden/>
          </w:rPr>
          <w:fldChar w:fldCharType="separate"/>
        </w:r>
        <w:r>
          <w:rPr>
            <w:noProof/>
            <w:webHidden/>
          </w:rPr>
          <w:t>28</w:t>
        </w:r>
        <w:r>
          <w:rPr>
            <w:noProof/>
            <w:webHidden/>
          </w:rPr>
          <w:fldChar w:fldCharType="end"/>
        </w:r>
      </w:hyperlink>
    </w:p>
    <w:p w14:paraId="5B52B845" w14:textId="60DF5462" w:rsidR="00BD7E1A" w:rsidRDefault="00BD7E1A">
      <w:pPr>
        <w:pStyle w:val="TOC2"/>
        <w:tabs>
          <w:tab w:val="left" w:pos="1100"/>
        </w:tabs>
        <w:rPr>
          <w:rFonts w:asciiTheme="minorHAnsi" w:eastAsiaTheme="minorEastAsia" w:hAnsiTheme="minorHAnsi" w:cstheme="minorBidi"/>
          <w:noProof/>
          <w:sz w:val="22"/>
        </w:rPr>
      </w:pPr>
      <w:hyperlink w:anchor="_Toc35861088" w:history="1">
        <w:r w:rsidRPr="008B6254">
          <w:rPr>
            <w:rStyle w:val="Hyperlink"/>
            <w:noProof/>
          </w:rPr>
          <w:t>1.10.</w:t>
        </w:r>
        <w:r>
          <w:rPr>
            <w:rFonts w:asciiTheme="minorHAnsi" w:eastAsiaTheme="minorEastAsia" w:hAnsiTheme="minorHAnsi" w:cstheme="minorBidi"/>
            <w:noProof/>
            <w:sz w:val="22"/>
          </w:rPr>
          <w:tab/>
        </w:r>
        <w:r w:rsidRPr="008B6254">
          <w:rPr>
            <w:rStyle w:val="Hyperlink"/>
            <w:noProof/>
          </w:rPr>
          <w:t>Cited References</w:t>
        </w:r>
        <w:r>
          <w:rPr>
            <w:noProof/>
            <w:webHidden/>
          </w:rPr>
          <w:tab/>
        </w:r>
        <w:r>
          <w:rPr>
            <w:noProof/>
            <w:webHidden/>
          </w:rPr>
          <w:fldChar w:fldCharType="begin"/>
        </w:r>
        <w:r>
          <w:rPr>
            <w:noProof/>
            <w:webHidden/>
          </w:rPr>
          <w:instrText xml:space="preserve"> PAGEREF _Toc35861088 \h </w:instrText>
        </w:r>
        <w:r>
          <w:rPr>
            <w:noProof/>
            <w:webHidden/>
          </w:rPr>
        </w:r>
        <w:r>
          <w:rPr>
            <w:noProof/>
            <w:webHidden/>
          </w:rPr>
          <w:fldChar w:fldCharType="separate"/>
        </w:r>
        <w:r>
          <w:rPr>
            <w:noProof/>
            <w:webHidden/>
          </w:rPr>
          <w:t>29</w:t>
        </w:r>
        <w:r>
          <w:rPr>
            <w:noProof/>
            <w:webHidden/>
          </w:rPr>
          <w:fldChar w:fldCharType="end"/>
        </w:r>
      </w:hyperlink>
    </w:p>
    <w:p w14:paraId="0F741233" w14:textId="518EC421" w:rsidR="00BD7E1A" w:rsidRDefault="00BD7E1A">
      <w:pPr>
        <w:pStyle w:val="TOC1"/>
        <w:tabs>
          <w:tab w:val="right" w:leader="dot" w:pos="9350"/>
        </w:tabs>
        <w:rPr>
          <w:rFonts w:asciiTheme="minorHAnsi" w:eastAsiaTheme="minorEastAsia" w:hAnsiTheme="minorHAnsi" w:cstheme="minorBidi"/>
          <w:noProof/>
          <w:sz w:val="22"/>
        </w:rPr>
      </w:pPr>
      <w:hyperlink w:anchor="_Toc35861089" w:history="1">
        <w:r w:rsidRPr="008B6254">
          <w:rPr>
            <w:rStyle w:val="Hyperlink"/>
            <w:noProof/>
          </w:rPr>
          <w:t>Chapter II: 3D seismic identification of enclosed mini-basin fill, and their role as organic matter catchment areas for the Woodford Shale, Oklahoma, USA.</w:t>
        </w:r>
        <w:r>
          <w:rPr>
            <w:noProof/>
            <w:webHidden/>
          </w:rPr>
          <w:tab/>
        </w:r>
        <w:r>
          <w:rPr>
            <w:noProof/>
            <w:webHidden/>
          </w:rPr>
          <w:fldChar w:fldCharType="begin"/>
        </w:r>
        <w:r>
          <w:rPr>
            <w:noProof/>
            <w:webHidden/>
          </w:rPr>
          <w:instrText xml:space="preserve"> PAGEREF _Toc35861089 \h </w:instrText>
        </w:r>
        <w:r>
          <w:rPr>
            <w:noProof/>
            <w:webHidden/>
          </w:rPr>
        </w:r>
        <w:r>
          <w:rPr>
            <w:noProof/>
            <w:webHidden/>
          </w:rPr>
          <w:fldChar w:fldCharType="separate"/>
        </w:r>
        <w:r>
          <w:rPr>
            <w:noProof/>
            <w:webHidden/>
          </w:rPr>
          <w:t>37</w:t>
        </w:r>
        <w:r>
          <w:rPr>
            <w:noProof/>
            <w:webHidden/>
          </w:rPr>
          <w:fldChar w:fldCharType="end"/>
        </w:r>
      </w:hyperlink>
    </w:p>
    <w:p w14:paraId="72EAEDEA" w14:textId="77E931AE" w:rsidR="00BD7E1A" w:rsidRDefault="00BD7E1A">
      <w:pPr>
        <w:pStyle w:val="TOC2"/>
        <w:tabs>
          <w:tab w:val="left" w:pos="880"/>
        </w:tabs>
        <w:rPr>
          <w:rFonts w:asciiTheme="minorHAnsi" w:eastAsiaTheme="minorEastAsia" w:hAnsiTheme="minorHAnsi" w:cstheme="minorBidi"/>
          <w:noProof/>
          <w:sz w:val="22"/>
        </w:rPr>
      </w:pPr>
      <w:hyperlink w:anchor="_Toc35861090" w:history="1">
        <w:r w:rsidRPr="008B6254">
          <w:rPr>
            <w:rStyle w:val="Hyperlink"/>
            <w:noProof/>
          </w:rPr>
          <w:t>2.1</w:t>
        </w:r>
        <w:r>
          <w:rPr>
            <w:rFonts w:asciiTheme="minorHAnsi" w:eastAsiaTheme="minorEastAsia" w:hAnsiTheme="minorHAnsi" w:cstheme="minorBidi"/>
            <w:noProof/>
            <w:sz w:val="22"/>
          </w:rPr>
          <w:tab/>
        </w:r>
        <w:r w:rsidRPr="008B6254">
          <w:rPr>
            <w:rStyle w:val="Hyperlink"/>
            <w:noProof/>
          </w:rPr>
          <w:t>Abstract</w:t>
        </w:r>
        <w:r>
          <w:rPr>
            <w:noProof/>
            <w:webHidden/>
          </w:rPr>
          <w:tab/>
        </w:r>
        <w:r>
          <w:rPr>
            <w:noProof/>
            <w:webHidden/>
          </w:rPr>
          <w:fldChar w:fldCharType="begin"/>
        </w:r>
        <w:r>
          <w:rPr>
            <w:noProof/>
            <w:webHidden/>
          </w:rPr>
          <w:instrText xml:space="preserve"> PAGEREF _Toc35861090 \h </w:instrText>
        </w:r>
        <w:r>
          <w:rPr>
            <w:noProof/>
            <w:webHidden/>
          </w:rPr>
        </w:r>
        <w:r>
          <w:rPr>
            <w:noProof/>
            <w:webHidden/>
          </w:rPr>
          <w:fldChar w:fldCharType="separate"/>
        </w:r>
        <w:r>
          <w:rPr>
            <w:noProof/>
            <w:webHidden/>
          </w:rPr>
          <w:t>37</w:t>
        </w:r>
        <w:r>
          <w:rPr>
            <w:noProof/>
            <w:webHidden/>
          </w:rPr>
          <w:fldChar w:fldCharType="end"/>
        </w:r>
      </w:hyperlink>
    </w:p>
    <w:p w14:paraId="39B61D79" w14:textId="5A64819E" w:rsidR="00BD7E1A" w:rsidRDefault="00BD7E1A">
      <w:pPr>
        <w:pStyle w:val="TOC2"/>
        <w:tabs>
          <w:tab w:val="left" w:pos="880"/>
        </w:tabs>
        <w:rPr>
          <w:rFonts w:asciiTheme="minorHAnsi" w:eastAsiaTheme="minorEastAsia" w:hAnsiTheme="minorHAnsi" w:cstheme="minorBidi"/>
          <w:noProof/>
          <w:sz w:val="22"/>
        </w:rPr>
      </w:pPr>
      <w:hyperlink w:anchor="_Toc35861091" w:history="1">
        <w:r w:rsidRPr="008B6254">
          <w:rPr>
            <w:rStyle w:val="Hyperlink"/>
            <w:noProof/>
          </w:rPr>
          <w:t>2.2.</w:t>
        </w:r>
        <w:r>
          <w:rPr>
            <w:rFonts w:asciiTheme="minorHAnsi" w:eastAsiaTheme="minorEastAsia" w:hAnsiTheme="minorHAnsi" w:cstheme="minorBidi"/>
            <w:noProof/>
            <w:sz w:val="22"/>
          </w:rPr>
          <w:tab/>
        </w:r>
        <w:r w:rsidRPr="008B6254">
          <w:rPr>
            <w:rStyle w:val="Hyperlink"/>
            <w:noProof/>
          </w:rPr>
          <w:t>Introduction</w:t>
        </w:r>
        <w:r>
          <w:rPr>
            <w:noProof/>
            <w:webHidden/>
          </w:rPr>
          <w:tab/>
        </w:r>
        <w:r>
          <w:rPr>
            <w:noProof/>
            <w:webHidden/>
          </w:rPr>
          <w:fldChar w:fldCharType="begin"/>
        </w:r>
        <w:r>
          <w:rPr>
            <w:noProof/>
            <w:webHidden/>
          </w:rPr>
          <w:instrText xml:space="preserve"> PAGEREF _Toc35861091 \h </w:instrText>
        </w:r>
        <w:r>
          <w:rPr>
            <w:noProof/>
            <w:webHidden/>
          </w:rPr>
        </w:r>
        <w:r>
          <w:rPr>
            <w:noProof/>
            <w:webHidden/>
          </w:rPr>
          <w:fldChar w:fldCharType="separate"/>
        </w:r>
        <w:r>
          <w:rPr>
            <w:noProof/>
            <w:webHidden/>
          </w:rPr>
          <w:t>38</w:t>
        </w:r>
        <w:r>
          <w:rPr>
            <w:noProof/>
            <w:webHidden/>
          </w:rPr>
          <w:fldChar w:fldCharType="end"/>
        </w:r>
      </w:hyperlink>
    </w:p>
    <w:p w14:paraId="1A95815A" w14:textId="6F7AED0F" w:rsidR="00BD7E1A" w:rsidRDefault="00BD7E1A">
      <w:pPr>
        <w:pStyle w:val="TOC2"/>
        <w:tabs>
          <w:tab w:val="left" w:pos="880"/>
        </w:tabs>
        <w:rPr>
          <w:rFonts w:asciiTheme="minorHAnsi" w:eastAsiaTheme="minorEastAsia" w:hAnsiTheme="minorHAnsi" w:cstheme="minorBidi"/>
          <w:noProof/>
          <w:sz w:val="22"/>
        </w:rPr>
      </w:pPr>
      <w:hyperlink w:anchor="_Toc35861092" w:history="1">
        <w:r w:rsidRPr="008B6254">
          <w:rPr>
            <w:rStyle w:val="Hyperlink"/>
            <w:noProof/>
          </w:rPr>
          <w:t>2.3.</w:t>
        </w:r>
        <w:r>
          <w:rPr>
            <w:rFonts w:asciiTheme="minorHAnsi" w:eastAsiaTheme="minorEastAsia" w:hAnsiTheme="minorHAnsi" w:cstheme="minorBidi"/>
            <w:noProof/>
            <w:sz w:val="22"/>
          </w:rPr>
          <w:tab/>
        </w:r>
        <w:r w:rsidRPr="008B6254">
          <w:rPr>
            <w:rStyle w:val="Hyperlink"/>
            <w:noProof/>
          </w:rPr>
          <w:t>Geological background of the seismic study area</w:t>
        </w:r>
        <w:r>
          <w:rPr>
            <w:noProof/>
            <w:webHidden/>
          </w:rPr>
          <w:tab/>
        </w:r>
        <w:r>
          <w:rPr>
            <w:noProof/>
            <w:webHidden/>
          </w:rPr>
          <w:fldChar w:fldCharType="begin"/>
        </w:r>
        <w:r>
          <w:rPr>
            <w:noProof/>
            <w:webHidden/>
          </w:rPr>
          <w:instrText xml:space="preserve"> PAGEREF _Toc35861092 \h </w:instrText>
        </w:r>
        <w:r>
          <w:rPr>
            <w:noProof/>
            <w:webHidden/>
          </w:rPr>
        </w:r>
        <w:r>
          <w:rPr>
            <w:noProof/>
            <w:webHidden/>
          </w:rPr>
          <w:fldChar w:fldCharType="separate"/>
        </w:r>
        <w:r>
          <w:rPr>
            <w:noProof/>
            <w:webHidden/>
          </w:rPr>
          <w:t>39</w:t>
        </w:r>
        <w:r>
          <w:rPr>
            <w:noProof/>
            <w:webHidden/>
          </w:rPr>
          <w:fldChar w:fldCharType="end"/>
        </w:r>
      </w:hyperlink>
    </w:p>
    <w:p w14:paraId="74901DBA" w14:textId="63D4B91B" w:rsidR="00BD7E1A" w:rsidRDefault="00BD7E1A">
      <w:pPr>
        <w:pStyle w:val="TOC2"/>
        <w:tabs>
          <w:tab w:val="left" w:pos="880"/>
        </w:tabs>
        <w:rPr>
          <w:rFonts w:asciiTheme="minorHAnsi" w:eastAsiaTheme="minorEastAsia" w:hAnsiTheme="minorHAnsi" w:cstheme="minorBidi"/>
          <w:noProof/>
          <w:sz w:val="22"/>
        </w:rPr>
      </w:pPr>
      <w:hyperlink w:anchor="_Toc35861093" w:history="1">
        <w:r w:rsidRPr="008B6254">
          <w:rPr>
            <w:rStyle w:val="Hyperlink"/>
            <w:noProof/>
          </w:rPr>
          <w:t>2.4.</w:t>
        </w:r>
        <w:r>
          <w:rPr>
            <w:rFonts w:asciiTheme="minorHAnsi" w:eastAsiaTheme="minorEastAsia" w:hAnsiTheme="minorHAnsi" w:cstheme="minorBidi"/>
            <w:noProof/>
            <w:sz w:val="22"/>
          </w:rPr>
          <w:tab/>
        </w:r>
        <w:r w:rsidRPr="008B6254">
          <w:rPr>
            <w:rStyle w:val="Hyperlink"/>
            <w:noProof/>
          </w:rPr>
          <w:t>3D Seismic multi-attribute analysis, organic facies (%TOC) identification, and low-frequency background model seismic inversion</w:t>
        </w:r>
        <w:r>
          <w:rPr>
            <w:noProof/>
            <w:webHidden/>
          </w:rPr>
          <w:tab/>
        </w:r>
        <w:r>
          <w:rPr>
            <w:noProof/>
            <w:webHidden/>
          </w:rPr>
          <w:fldChar w:fldCharType="begin"/>
        </w:r>
        <w:r>
          <w:rPr>
            <w:noProof/>
            <w:webHidden/>
          </w:rPr>
          <w:instrText xml:space="preserve"> PAGEREF _Toc35861093 \h </w:instrText>
        </w:r>
        <w:r>
          <w:rPr>
            <w:noProof/>
            <w:webHidden/>
          </w:rPr>
        </w:r>
        <w:r>
          <w:rPr>
            <w:noProof/>
            <w:webHidden/>
          </w:rPr>
          <w:fldChar w:fldCharType="separate"/>
        </w:r>
        <w:r>
          <w:rPr>
            <w:noProof/>
            <w:webHidden/>
          </w:rPr>
          <w:t>44</w:t>
        </w:r>
        <w:r>
          <w:rPr>
            <w:noProof/>
            <w:webHidden/>
          </w:rPr>
          <w:fldChar w:fldCharType="end"/>
        </w:r>
      </w:hyperlink>
    </w:p>
    <w:p w14:paraId="57D16613" w14:textId="5974BE27"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094" w:history="1">
        <w:r w:rsidRPr="008B6254">
          <w:rPr>
            <w:rStyle w:val="Hyperlink"/>
            <w:noProof/>
          </w:rPr>
          <w:t>2.4.1.</w:t>
        </w:r>
        <w:r>
          <w:rPr>
            <w:rFonts w:asciiTheme="minorHAnsi" w:eastAsiaTheme="minorEastAsia" w:hAnsiTheme="minorHAnsi" w:cstheme="minorBidi"/>
            <w:noProof/>
            <w:sz w:val="22"/>
          </w:rPr>
          <w:tab/>
        </w:r>
        <w:r w:rsidRPr="008B6254">
          <w:rPr>
            <w:rStyle w:val="Hyperlink"/>
            <w:noProof/>
          </w:rPr>
          <w:t>Details of %TOC estimation using Passey’s well log methodology</w:t>
        </w:r>
        <w:r>
          <w:rPr>
            <w:noProof/>
            <w:webHidden/>
          </w:rPr>
          <w:tab/>
        </w:r>
        <w:r>
          <w:rPr>
            <w:noProof/>
            <w:webHidden/>
          </w:rPr>
          <w:fldChar w:fldCharType="begin"/>
        </w:r>
        <w:r>
          <w:rPr>
            <w:noProof/>
            <w:webHidden/>
          </w:rPr>
          <w:instrText xml:space="preserve"> PAGEREF _Toc35861094 \h </w:instrText>
        </w:r>
        <w:r>
          <w:rPr>
            <w:noProof/>
            <w:webHidden/>
          </w:rPr>
        </w:r>
        <w:r>
          <w:rPr>
            <w:noProof/>
            <w:webHidden/>
          </w:rPr>
          <w:fldChar w:fldCharType="separate"/>
        </w:r>
        <w:r>
          <w:rPr>
            <w:noProof/>
            <w:webHidden/>
          </w:rPr>
          <w:t>54</w:t>
        </w:r>
        <w:r>
          <w:rPr>
            <w:noProof/>
            <w:webHidden/>
          </w:rPr>
          <w:fldChar w:fldCharType="end"/>
        </w:r>
      </w:hyperlink>
    </w:p>
    <w:p w14:paraId="1745CA56" w14:textId="12C51EEF" w:rsidR="00BD7E1A" w:rsidRDefault="00BD7E1A">
      <w:pPr>
        <w:pStyle w:val="TOC2"/>
        <w:tabs>
          <w:tab w:val="left" w:pos="880"/>
        </w:tabs>
        <w:rPr>
          <w:rFonts w:asciiTheme="minorHAnsi" w:eastAsiaTheme="minorEastAsia" w:hAnsiTheme="minorHAnsi" w:cstheme="minorBidi"/>
          <w:noProof/>
          <w:sz w:val="22"/>
        </w:rPr>
      </w:pPr>
      <w:hyperlink w:anchor="_Toc35861095" w:history="1">
        <w:r w:rsidRPr="008B6254">
          <w:rPr>
            <w:rStyle w:val="Hyperlink"/>
            <w:noProof/>
          </w:rPr>
          <w:t>2.5.</w:t>
        </w:r>
        <w:r>
          <w:rPr>
            <w:rFonts w:asciiTheme="minorHAnsi" w:eastAsiaTheme="minorEastAsia" w:hAnsiTheme="minorHAnsi" w:cstheme="minorBidi"/>
            <w:noProof/>
            <w:sz w:val="22"/>
          </w:rPr>
          <w:tab/>
        </w:r>
        <w:r w:rsidRPr="008B6254">
          <w:rPr>
            <w:rStyle w:val="Hyperlink"/>
            <w:noProof/>
          </w:rPr>
          <w:t>Results: Post-stack seismic inversion and supervised neural network analysis</w:t>
        </w:r>
        <w:r>
          <w:rPr>
            <w:noProof/>
            <w:webHidden/>
          </w:rPr>
          <w:tab/>
        </w:r>
        <w:r>
          <w:rPr>
            <w:noProof/>
            <w:webHidden/>
          </w:rPr>
          <w:fldChar w:fldCharType="begin"/>
        </w:r>
        <w:r>
          <w:rPr>
            <w:noProof/>
            <w:webHidden/>
          </w:rPr>
          <w:instrText xml:space="preserve"> PAGEREF _Toc35861095 \h </w:instrText>
        </w:r>
        <w:r>
          <w:rPr>
            <w:noProof/>
            <w:webHidden/>
          </w:rPr>
        </w:r>
        <w:r>
          <w:rPr>
            <w:noProof/>
            <w:webHidden/>
          </w:rPr>
          <w:fldChar w:fldCharType="separate"/>
        </w:r>
        <w:r>
          <w:rPr>
            <w:noProof/>
            <w:webHidden/>
          </w:rPr>
          <w:t>58</w:t>
        </w:r>
        <w:r>
          <w:rPr>
            <w:noProof/>
            <w:webHidden/>
          </w:rPr>
          <w:fldChar w:fldCharType="end"/>
        </w:r>
      </w:hyperlink>
    </w:p>
    <w:p w14:paraId="6B6FFA24" w14:textId="64B5D63B" w:rsidR="00BD7E1A" w:rsidRDefault="00BD7E1A">
      <w:pPr>
        <w:pStyle w:val="TOC2"/>
        <w:tabs>
          <w:tab w:val="left" w:pos="880"/>
        </w:tabs>
        <w:rPr>
          <w:rFonts w:asciiTheme="minorHAnsi" w:eastAsiaTheme="minorEastAsia" w:hAnsiTheme="minorHAnsi" w:cstheme="minorBidi"/>
          <w:noProof/>
          <w:sz w:val="22"/>
        </w:rPr>
      </w:pPr>
      <w:hyperlink w:anchor="_Toc35861096" w:history="1">
        <w:r w:rsidRPr="008B6254">
          <w:rPr>
            <w:rStyle w:val="Hyperlink"/>
            <w:noProof/>
          </w:rPr>
          <w:t>2.6.</w:t>
        </w:r>
        <w:r>
          <w:rPr>
            <w:rFonts w:asciiTheme="minorHAnsi" w:eastAsiaTheme="minorEastAsia" w:hAnsiTheme="minorHAnsi" w:cstheme="minorBidi"/>
            <w:noProof/>
            <w:sz w:val="22"/>
          </w:rPr>
          <w:tab/>
        </w:r>
        <w:r w:rsidRPr="008B6254">
          <w:rPr>
            <w:rStyle w:val="Hyperlink"/>
            <w:noProof/>
          </w:rPr>
          <w:t>Conclusions and discussion</w:t>
        </w:r>
        <w:r>
          <w:rPr>
            <w:noProof/>
            <w:webHidden/>
          </w:rPr>
          <w:tab/>
        </w:r>
        <w:r>
          <w:rPr>
            <w:noProof/>
            <w:webHidden/>
          </w:rPr>
          <w:fldChar w:fldCharType="begin"/>
        </w:r>
        <w:r>
          <w:rPr>
            <w:noProof/>
            <w:webHidden/>
          </w:rPr>
          <w:instrText xml:space="preserve"> PAGEREF _Toc35861096 \h </w:instrText>
        </w:r>
        <w:r>
          <w:rPr>
            <w:noProof/>
            <w:webHidden/>
          </w:rPr>
        </w:r>
        <w:r>
          <w:rPr>
            <w:noProof/>
            <w:webHidden/>
          </w:rPr>
          <w:fldChar w:fldCharType="separate"/>
        </w:r>
        <w:r>
          <w:rPr>
            <w:noProof/>
            <w:webHidden/>
          </w:rPr>
          <w:t>66</w:t>
        </w:r>
        <w:r>
          <w:rPr>
            <w:noProof/>
            <w:webHidden/>
          </w:rPr>
          <w:fldChar w:fldCharType="end"/>
        </w:r>
      </w:hyperlink>
    </w:p>
    <w:p w14:paraId="41DC1A0F" w14:textId="3542F3DD" w:rsidR="00BD7E1A" w:rsidRDefault="00BD7E1A">
      <w:pPr>
        <w:pStyle w:val="TOC2"/>
        <w:tabs>
          <w:tab w:val="left" w:pos="880"/>
        </w:tabs>
        <w:rPr>
          <w:rFonts w:asciiTheme="minorHAnsi" w:eastAsiaTheme="minorEastAsia" w:hAnsiTheme="minorHAnsi" w:cstheme="minorBidi"/>
          <w:noProof/>
          <w:sz w:val="22"/>
        </w:rPr>
      </w:pPr>
      <w:hyperlink w:anchor="_Toc35861097" w:history="1">
        <w:r w:rsidRPr="008B6254">
          <w:rPr>
            <w:rStyle w:val="Hyperlink"/>
            <w:noProof/>
          </w:rPr>
          <w:t>2.7.</w:t>
        </w:r>
        <w:r>
          <w:rPr>
            <w:rFonts w:asciiTheme="minorHAnsi" w:eastAsiaTheme="minorEastAsia" w:hAnsiTheme="minorHAnsi" w:cstheme="minorBidi"/>
            <w:noProof/>
            <w:sz w:val="22"/>
          </w:rPr>
          <w:tab/>
        </w:r>
        <w:r w:rsidRPr="008B6254">
          <w:rPr>
            <w:rStyle w:val="Hyperlink"/>
            <w:noProof/>
          </w:rPr>
          <w:t>Acknowledgments</w:t>
        </w:r>
        <w:r>
          <w:rPr>
            <w:noProof/>
            <w:webHidden/>
          </w:rPr>
          <w:tab/>
        </w:r>
        <w:r>
          <w:rPr>
            <w:noProof/>
            <w:webHidden/>
          </w:rPr>
          <w:fldChar w:fldCharType="begin"/>
        </w:r>
        <w:r>
          <w:rPr>
            <w:noProof/>
            <w:webHidden/>
          </w:rPr>
          <w:instrText xml:space="preserve"> PAGEREF _Toc35861097 \h </w:instrText>
        </w:r>
        <w:r>
          <w:rPr>
            <w:noProof/>
            <w:webHidden/>
          </w:rPr>
        </w:r>
        <w:r>
          <w:rPr>
            <w:noProof/>
            <w:webHidden/>
          </w:rPr>
          <w:fldChar w:fldCharType="separate"/>
        </w:r>
        <w:r>
          <w:rPr>
            <w:noProof/>
            <w:webHidden/>
          </w:rPr>
          <w:t>67</w:t>
        </w:r>
        <w:r>
          <w:rPr>
            <w:noProof/>
            <w:webHidden/>
          </w:rPr>
          <w:fldChar w:fldCharType="end"/>
        </w:r>
      </w:hyperlink>
    </w:p>
    <w:p w14:paraId="33E08957" w14:textId="00EFABDC" w:rsidR="00BD7E1A" w:rsidRDefault="00BD7E1A">
      <w:pPr>
        <w:pStyle w:val="TOC2"/>
        <w:tabs>
          <w:tab w:val="left" w:pos="880"/>
        </w:tabs>
        <w:rPr>
          <w:rFonts w:asciiTheme="minorHAnsi" w:eastAsiaTheme="minorEastAsia" w:hAnsiTheme="minorHAnsi" w:cstheme="minorBidi"/>
          <w:noProof/>
          <w:sz w:val="22"/>
        </w:rPr>
      </w:pPr>
      <w:hyperlink w:anchor="_Toc35861098" w:history="1">
        <w:r w:rsidRPr="008B6254">
          <w:rPr>
            <w:rStyle w:val="Hyperlink"/>
            <w:noProof/>
          </w:rPr>
          <w:t>2.8.</w:t>
        </w:r>
        <w:r>
          <w:rPr>
            <w:rFonts w:asciiTheme="minorHAnsi" w:eastAsiaTheme="minorEastAsia" w:hAnsiTheme="minorHAnsi" w:cstheme="minorBidi"/>
            <w:noProof/>
            <w:sz w:val="22"/>
          </w:rPr>
          <w:tab/>
        </w:r>
        <w:r w:rsidRPr="008B6254">
          <w:rPr>
            <w:rStyle w:val="Hyperlink"/>
            <w:noProof/>
          </w:rPr>
          <w:t>Cited References</w:t>
        </w:r>
        <w:r>
          <w:rPr>
            <w:noProof/>
            <w:webHidden/>
          </w:rPr>
          <w:tab/>
        </w:r>
        <w:r>
          <w:rPr>
            <w:noProof/>
            <w:webHidden/>
          </w:rPr>
          <w:fldChar w:fldCharType="begin"/>
        </w:r>
        <w:r>
          <w:rPr>
            <w:noProof/>
            <w:webHidden/>
          </w:rPr>
          <w:instrText xml:space="preserve"> PAGEREF _Toc35861098 \h </w:instrText>
        </w:r>
        <w:r>
          <w:rPr>
            <w:noProof/>
            <w:webHidden/>
          </w:rPr>
        </w:r>
        <w:r>
          <w:rPr>
            <w:noProof/>
            <w:webHidden/>
          </w:rPr>
          <w:fldChar w:fldCharType="separate"/>
        </w:r>
        <w:r>
          <w:rPr>
            <w:noProof/>
            <w:webHidden/>
          </w:rPr>
          <w:t>67</w:t>
        </w:r>
        <w:r>
          <w:rPr>
            <w:noProof/>
            <w:webHidden/>
          </w:rPr>
          <w:fldChar w:fldCharType="end"/>
        </w:r>
      </w:hyperlink>
    </w:p>
    <w:p w14:paraId="4801AAEB" w14:textId="61A6C600" w:rsidR="00BD7E1A" w:rsidRDefault="00BD7E1A">
      <w:pPr>
        <w:pStyle w:val="TOC1"/>
        <w:tabs>
          <w:tab w:val="right" w:leader="dot" w:pos="9350"/>
        </w:tabs>
        <w:rPr>
          <w:rFonts w:asciiTheme="minorHAnsi" w:eastAsiaTheme="minorEastAsia" w:hAnsiTheme="minorHAnsi" w:cstheme="minorBidi"/>
          <w:noProof/>
          <w:sz w:val="22"/>
        </w:rPr>
      </w:pPr>
      <w:hyperlink w:anchor="_Toc35861099" w:history="1">
        <w:r w:rsidRPr="008B6254">
          <w:rPr>
            <w:rStyle w:val="Hyperlink"/>
            <w:noProof/>
          </w:rPr>
          <w:t>Chapter III: Integration of geochemical and stratigraphic properties for characterizing the enclosed mini-basin fills in the Woodford Shale Speake Ranch outcrop.</w:t>
        </w:r>
        <w:r>
          <w:rPr>
            <w:noProof/>
            <w:webHidden/>
          </w:rPr>
          <w:tab/>
        </w:r>
        <w:r>
          <w:rPr>
            <w:noProof/>
            <w:webHidden/>
          </w:rPr>
          <w:fldChar w:fldCharType="begin"/>
        </w:r>
        <w:r>
          <w:rPr>
            <w:noProof/>
            <w:webHidden/>
          </w:rPr>
          <w:instrText xml:space="preserve"> PAGEREF _Toc35861099 \h </w:instrText>
        </w:r>
        <w:r>
          <w:rPr>
            <w:noProof/>
            <w:webHidden/>
          </w:rPr>
        </w:r>
        <w:r>
          <w:rPr>
            <w:noProof/>
            <w:webHidden/>
          </w:rPr>
          <w:fldChar w:fldCharType="separate"/>
        </w:r>
        <w:r>
          <w:rPr>
            <w:noProof/>
            <w:webHidden/>
          </w:rPr>
          <w:t>71</w:t>
        </w:r>
        <w:r>
          <w:rPr>
            <w:noProof/>
            <w:webHidden/>
          </w:rPr>
          <w:fldChar w:fldCharType="end"/>
        </w:r>
      </w:hyperlink>
    </w:p>
    <w:p w14:paraId="0306CAD2" w14:textId="22B8E742" w:rsidR="00BD7E1A" w:rsidRDefault="00BD7E1A">
      <w:pPr>
        <w:pStyle w:val="TOC2"/>
        <w:tabs>
          <w:tab w:val="left" w:pos="880"/>
        </w:tabs>
        <w:rPr>
          <w:rFonts w:asciiTheme="minorHAnsi" w:eastAsiaTheme="minorEastAsia" w:hAnsiTheme="minorHAnsi" w:cstheme="minorBidi"/>
          <w:noProof/>
          <w:sz w:val="22"/>
        </w:rPr>
      </w:pPr>
      <w:hyperlink w:anchor="_Toc35861100" w:history="1">
        <w:r w:rsidRPr="008B6254">
          <w:rPr>
            <w:rStyle w:val="Hyperlink"/>
            <w:noProof/>
          </w:rPr>
          <w:t>3.1</w:t>
        </w:r>
        <w:r>
          <w:rPr>
            <w:rFonts w:asciiTheme="minorHAnsi" w:eastAsiaTheme="minorEastAsia" w:hAnsiTheme="minorHAnsi" w:cstheme="minorBidi"/>
            <w:noProof/>
            <w:sz w:val="22"/>
          </w:rPr>
          <w:tab/>
        </w:r>
        <w:r w:rsidRPr="008B6254">
          <w:rPr>
            <w:rStyle w:val="Hyperlink"/>
            <w:noProof/>
          </w:rPr>
          <w:t>Abstract</w:t>
        </w:r>
        <w:r>
          <w:rPr>
            <w:noProof/>
            <w:webHidden/>
          </w:rPr>
          <w:tab/>
        </w:r>
        <w:r>
          <w:rPr>
            <w:noProof/>
            <w:webHidden/>
          </w:rPr>
          <w:fldChar w:fldCharType="begin"/>
        </w:r>
        <w:r>
          <w:rPr>
            <w:noProof/>
            <w:webHidden/>
          </w:rPr>
          <w:instrText xml:space="preserve"> PAGEREF _Toc35861100 \h </w:instrText>
        </w:r>
        <w:r>
          <w:rPr>
            <w:noProof/>
            <w:webHidden/>
          </w:rPr>
        </w:r>
        <w:r>
          <w:rPr>
            <w:noProof/>
            <w:webHidden/>
          </w:rPr>
          <w:fldChar w:fldCharType="separate"/>
        </w:r>
        <w:r>
          <w:rPr>
            <w:noProof/>
            <w:webHidden/>
          </w:rPr>
          <w:t>71</w:t>
        </w:r>
        <w:r>
          <w:rPr>
            <w:noProof/>
            <w:webHidden/>
          </w:rPr>
          <w:fldChar w:fldCharType="end"/>
        </w:r>
      </w:hyperlink>
    </w:p>
    <w:p w14:paraId="369F9EC6" w14:textId="7E308C96" w:rsidR="00BD7E1A" w:rsidRDefault="00BD7E1A">
      <w:pPr>
        <w:pStyle w:val="TOC2"/>
        <w:tabs>
          <w:tab w:val="left" w:pos="880"/>
        </w:tabs>
        <w:rPr>
          <w:rFonts w:asciiTheme="minorHAnsi" w:eastAsiaTheme="minorEastAsia" w:hAnsiTheme="minorHAnsi" w:cstheme="minorBidi"/>
          <w:noProof/>
          <w:sz w:val="22"/>
        </w:rPr>
      </w:pPr>
      <w:hyperlink w:anchor="_Toc35861101" w:history="1">
        <w:r w:rsidRPr="008B6254">
          <w:rPr>
            <w:rStyle w:val="Hyperlink"/>
            <w:noProof/>
          </w:rPr>
          <w:t>3.2.</w:t>
        </w:r>
        <w:r>
          <w:rPr>
            <w:rFonts w:asciiTheme="minorHAnsi" w:eastAsiaTheme="minorEastAsia" w:hAnsiTheme="minorHAnsi" w:cstheme="minorBidi"/>
            <w:noProof/>
            <w:sz w:val="22"/>
          </w:rPr>
          <w:tab/>
        </w:r>
        <w:r w:rsidRPr="008B6254">
          <w:rPr>
            <w:rStyle w:val="Hyperlink"/>
            <w:noProof/>
          </w:rPr>
          <w:t>The Woodford Shale Speake Ranch outcrop location</w:t>
        </w:r>
        <w:r>
          <w:rPr>
            <w:noProof/>
            <w:webHidden/>
          </w:rPr>
          <w:tab/>
        </w:r>
        <w:r>
          <w:rPr>
            <w:noProof/>
            <w:webHidden/>
          </w:rPr>
          <w:fldChar w:fldCharType="begin"/>
        </w:r>
        <w:r>
          <w:rPr>
            <w:noProof/>
            <w:webHidden/>
          </w:rPr>
          <w:instrText xml:space="preserve"> PAGEREF _Toc35861101 \h </w:instrText>
        </w:r>
        <w:r>
          <w:rPr>
            <w:noProof/>
            <w:webHidden/>
          </w:rPr>
        </w:r>
        <w:r>
          <w:rPr>
            <w:noProof/>
            <w:webHidden/>
          </w:rPr>
          <w:fldChar w:fldCharType="separate"/>
        </w:r>
        <w:r>
          <w:rPr>
            <w:noProof/>
            <w:webHidden/>
          </w:rPr>
          <w:t>75</w:t>
        </w:r>
        <w:r>
          <w:rPr>
            <w:noProof/>
            <w:webHidden/>
          </w:rPr>
          <w:fldChar w:fldCharType="end"/>
        </w:r>
      </w:hyperlink>
    </w:p>
    <w:p w14:paraId="249AEC86" w14:textId="32ECCBF5" w:rsidR="00BD7E1A" w:rsidRDefault="00BD7E1A">
      <w:pPr>
        <w:pStyle w:val="TOC2"/>
        <w:tabs>
          <w:tab w:val="left" w:pos="880"/>
        </w:tabs>
        <w:rPr>
          <w:rFonts w:asciiTheme="minorHAnsi" w:eastAsiaTheme="minorEastAsia" w:hAnsiTheme="minorHAnsi" w:cstheme="minorBidi"/>
          <w:noProof/>
          <w:sz w:val="22"/>
        </w:rPr>
      </w:pPr>
      <w:hyperlink w:anchor="_Toc35861102" w:history="1">
        <w:r w:rsidRPr="008B6254">
          <w:rPr>
            <w:rStyle w:val="Hyperlink"/>
            <w:noProof/>
          </w:rPr>
          <w:t>3.3.</w:t>
        </w:r>
        <w:r>
          <w:rPr>
            <w:rFonts w:asciiTheme="minorHAnsi" w:eastAsiaTheme="minorEastAsia" w:hAnsiTheme="minorHAnsi" w:cstheme="minorBidi"/>
            <w:noProof/>
            <w:sz w:val="22"/>
          </w:rPr>
          <w:tab/>
        </w:r>
        <w:r w:rsidRPr="008B6254">
          <w:rPr>
            <w:rStyle w:val="Hyperlink"/>
            <w:noProof/>
          </w:rPr>
          <w:t>The Woodford Shale geological characteristics in the outcrop</w:t>
        </w:r>
        <w:r>
          <w:rPr>
            <w:noProof/>
            <w:webHidden/>
          </w:rPr>
          <w:tab/>
        </w:r>
        <w:r>
          <w:rPr>
            <w:noProof/>
            <w:webHidden/>
          </w:rPr>
          <w:fldChar w:fldCharType="begin"/>
        </w:r>
        <w:r>
          <w:rPr>
            <w:noProof/>
            <w:webHidden/>
          </w:rPr>
          <w:instrText xml:space="preserve"> PAGEREF _Toc35861102 \h </w:instrText>
        </w:r>
        <w:r>
          <w:rPr>
            <w:noProof/>
            <w:webHidden/>
          </w:rPr>
        </w:r>
        <w:r>
          <w:rPr>
            <w:noProof/>
            <w:webHidden/>
          </w:rPr>
          <w:fldChar w:fldCharType="separate"/>
        </w:r>
        <w:r>
          <w:rPr>
            <w:noProof/>
            <w:webHidden/>
          </w:rPr>
          <w:t>79</w:t>
        </w:r>
        <w:r>
          <w:rPr>
            <w:noProof/>
            <w:webHidden/>
          </w:rPr>
          <w:fldChar w:fldCharType="end"/>
        </w:r>
      </w:hyperlink>
    </w:p>
    <w:p w14:paraId="66708BF2" w14:textId="603554ED"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03" w:history="1">
        <w:r w:rsidRPr="008B6254">
          <w:rPr>
            <w:rStyle w:val="Hyperlink"/>
            <w:noProof/>
          </w:rPr>
          <w:t>3.3.1.</w:t>
        </w:r>
        <w:r>
          <w:rPr>
            <w:rFonts w:asciiTheme="minorHAnsi" w:eastAsiaTheme="minorEastAsia" w:hAnsiTheme="minorHAnsi" w:cstheme="minorBidi"/>
            <w:noProof/>
            <w:sz w:val="22"/>
          </w:rPr>
          <w:tab/>
        </w:r>
        <w:r w:rsidRPr="008B6254">
          <w:rPr>
            <w:rStyle w:val="Hyperlink"/>
            <w:noProof/>
          </w:rPr>
          <w:t>The Lower Woodford member (LW)</w:t>
        </w:r>
        <w:r>
          <w:rPr>
            <w:noProof/>
            <w:webHidden/>
          </w:rPr>
          <w:tab/>
        </w:r>
        <w:r>
          <w:rPr>
            <w:noProof/>
            <w:webHidden/>
          </w:rPr>
          <w:fldChar w:fldCharType="begin"/>
        </w:r>
        <w:r>
          <w:rPr>
            <w:noProof/>
            <w:webHidden/>
          </w:rPr>
          <w:instrText xml:space="preserve"> PAGEREF _Toc35861103 \h </w:instrText>
        </w:r>
        <w:r>
          <w:rPr>
            <w:noProof/>
            <w:webHidden/>
          </w:rPr>
        </w:r>
        <w:r>
          <w:rPr>
            <w:noProof/>
            <w:webHidden/>
          </w:rPr>
          <w:fldChar w:fldCharType="separate"/>
        </w:r>
        <w:r>
          <w:rPr>
            <w:noProof/>
            <w:webHidden/>
          </w:rPr>
          <w:t>81</w:t>
        </w:r>
        <w:r>
          <w:rPr>
            <w:noProof/>
            <w:webHidden/>
          </w:rPr>
          <w:fldChar w:fldCharType="end"/>
        </w:r>
      </w:hyperlink>
    </w:p>
    <w:p w14:paraId="06B5B6C2" w14:textId="42E35852"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04" w:history="1">
        <w:r w:rsidRPr="008B6254">
          <w:rPr>
            <w:rStyle w:val="Hyperlink"/>
            <w:noProof/>
          </w:rPr>
          <w:t>3.3.2.</w:t>
        </w:r>
        <w:r>
          <w:rPr>
            <w:rFonts w:asciiTheme="minorHAnsi" w:eastAsiaTheme="minorEastAsia" w:hAnsiTheme="minorHAnsi" w:cstheme="minorBidi"/>
            <w:noProof/>
            <w:sz w:val="22"/>
          </w:rPr>
          <w:tab/>
        </w:r>
        <w:r w:rsidRPr="008B6254">
          <w:rPr>
            <w:rStyle w:val="Hyperlink"/>
            <w:noProof/>
          </w:rPr>
          <w:t>The Middle Woodford member (MW)</w:t>
        </w:r>
        <w:r>
          <w:rPr>
            <w:noProof/>
            <w:webHidden/>
          </w:rPr>
          <w:tab/>
        </w:r>
        <w:r>
          <w:rPr>
            <w:noProof/>
            <w:webHidden/>
          </w:rPr>
          <w:fldChar w:fldCharType="begin"/>
        </w:r>
        <w:r>
          <w:rPr>
            <w:noProof/>
            <w:webHidden/>
          </w:rPr>
          <w:instrText xml:space="preserve"> PAGEREF _Toc35861104 \h </w:instrText>
        </w:r>
        <w:r>
          <w:rPr>
            <w:noProof/>
            <w:webHidden/>
          </w:rPr>
        </w:r>
        <w:r>
          <w:rPr>
            <w:noProof/>
            <w:webHidden/>
          </w:rPr>
          <w:fldChar w:fldCharType="separate"/>
        </w:r>
        <w:r>
          <w:rPr>
            <w:noProof/>
            <w:webHidden/>
          </w:rPr>
          <w:t>83</w:t>
        </w:r>
        <w:r>
          <w:rPr>
            <w:noProof/>
            <w:webHidden/>
          </w:rPr>
          <w:fldChar w:fldCharType="end"/>
        </w:r>
      </w:hyperlink>
    </w:p>
    <w:p w14:paraId="0430DCEA" w14:textId="6FC64DE6"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05" w:history="1">
        <w:r w:rsidRPr="008B6254">
          <w:rPr>
            <w:rStyle w:val="Hyperlink"/>
            <w:noProof/>
          </w:rPr>
          <w:t>3.3.3.</w:t>
        </w:r>
        <w:r>
          <w:rPr>
            <w:rFonts w:asciiTheme="minorHAnsi" w:eastAsiaTheme="minorEastAsia" w:hAnsiTheme="minorHAnsi" w:cstheme="minorBidi"/>
            <w:noProof/>
            <w:sz w:val="22"/>
          </w:rPr>
          <w:tab/>
        </w:r>
        <w:r w:rsidRPr="008B6254">
          <w:rPr>
            <w:rStyle w:val="Hyperlink"/>
            <w:noProof/>
          </w:rPr>
          <w:t>The Upper Woodford member (UW)</w:t>
        </w:r>
        <w:r>
          <w:rPr>
            <w:noProof/>
            <w:webHidden/>
          </w:rPr>
          <w:tab/>
        </w:r>
        <w:r>
          <w:rPr>
            <w:noProof/>
            <w:webHidden/>
          </w:rPr>
          <w:fldChar w:fldCharType="begin"/>
        </w:r>
        <w:r>
          <w:rPr>
            <w:noProof/>
            <w:webHidden/>
          </w:rPr>
          <w:instrText xml:space="preserve"> PAGEREF _Toc35861105 \h </w:instrText>
        </w:r>
        <w:r>
          <w:rPr>
            <w:noProof/>
            <w:webHidden/>
          </w:rPr>
        </w:r>
        <w:r>
          <w:rPr>
            <w:noProof/>
            <w:webHidden/>
          </w:rPr>
          <w:fldChar w:fldCharType="separate"/>
        </w:r>
        <w:r>
          <w:rPr>
            <w:noProof/>
            <w:webHidden/>
          </w:rPr>
          <w:t>85</w:t>
        </w:r>
        <w:r>
          <w:rPr>
            <w:noProof/>
            <w:webHidden/>
          </w:rPr>
          <w:fldChar w:fldCharType="end"/>
        </w:r>
      </w:hyperlink>
    </w:p>
    <w:p w14:paraId="6197A578" w14:textId="13F538AD" w:rsidR="00BD7E1A" w:rsidRDefault="00BD7E1A">
      <w:pPr>
        <w:pStyle w:val="TOC2"/>
        <w:tabs>
          <w:tab w:val="left" w:pos="880"/>
        </w:tabs>
        <w:rPr>
          <w:rFonts w:asciiTheme="minorHAnsi" w:eastAsiaTheme="minorEastAsia" w:hAnsiTheme="minorHAnsi" w:cstheme="minorBidi"/>
          <w:noProof/>
          <w:sz w:val="22"/>
        </w:rPr>
      </w:pPr>
      <w:hyperlink w:anchor="_Toc35861106" w:history="1">
        <w:r w:rsidRPr="008B6254">
          <w:rPr>
            <w:rStyle w:val="Hyperlink"/>
            <w:noProof/>
          </w:rPr>
          <w:t>3.4.</w:t>
        </w:r>
        <w:r>
          <w:rPr>
            <w:rFonts w:asciiTheme="minorHAnsi" w:eastAsiaTheme="minorEastAsia" w:hAnsiTheme="minorHAnsi" w:cstheme="minorBidi"/>
            <w:noProof/>
            <w:sz w:val="22"/>
          </w:rPr>
          <w:tab/>
        </w:r>
        <w:r w:rsidRPr="008B6254">
          <w:rPr>
            <w:rStyle w:val="Hyperlink"/>
            <w:noProof/>
          </w:rPr>
          <w:t>Geochemical characterization</w:t>
        </w:r>
        <w:r>
          <w:rPr>
            <w:noProof/>
            <w:webHidden/>
          </w:rPr>
          <w:tab/>
        </w:r>
        <w:r>
          <w:rPr>
            <w:noProof/>
            <w:webHidden/>
          </w:rPr>
          <w:fldChar w:fldCharType="begin"/>
        </w:r>
        <w:r>
          <w:rPr>
            <w:noProof/>
            <w:webHidden/>
          </w:rPr>
          <w:instrText xml:space="preserve"> PAGEREF _Toc35861106 \h </w:instrText>
        </w:r>
        <w:r>
          <w:rPr>
            <w:noProof/>
            <w:webHidden/>
          </w:rPr>
        </w:r>
        <w:r>
          <w:rPr>
            <w:noProof/>
            <w:webHidden/>
          </w:rPr>
          <w:fldChar w:fldCharType="separate"/>
        </w:r>
        <w:r>
          <w:rPr>
            <w:noProof/>
            <w:webHidden/>
          </w:rPr>
          <w:t>87</w:t>
        </w:r>
        <w:r>
          <w:rPr>
            <w:noProof/>
            <w:webHidden/>
          </w:rPr>
          <w:fldChar w:fldCharType="end"/>
        </w:r>
      </w:hyperlink>
    </w:p>
    <w:p w14:paraId="11B3C9BC" w14:textId="74F442D6"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07" w:history="1">
        <w:r w:rsidRPr="008B6254">
          <w:rPr>
            <w:rStyle w:val="Hyperlink"/>
            <w:noProof/>
          </w:rPr>
          <w:t>3.4.1.</w:t>
        </w:r>
        <w:r>
          <w:rPr>
            <w:rFonts w:asciiTheme="minorHAnsi" w:eastAsiaTheme="minorEastAsia" w:hAnsiTheme="minorHAnsi" w:cstheme="minorBidi"/>
            <w:noProof/>
            <w:sz w:val="22"/>
          </w:rPr>
          <w:tab/>
        </w:r>
        <w:r w:rsidRPr="008B6254">
          <w:rPr>
            <w:rStyle w:val="Hyperlink"/>
            <w:noProof/>
          </w:rPr>
          <w:t>Organic geochemistry %TOC and RHP profiling</w:t>
        </w:r>
        <w:r>
          <w:rPr>
            <w:noProof/>
            <w:webHidden/>
          </w:rPr>
          <w:tab/>
        </w:r>
        <w:r>
          <w:rPr>
            <w:noProof/>
            <w:webHidden/>
          </w:rPr>
          <w:fldChar w:fldCharType="begin"/>
        </w:r>
        <w:r>
          <w:rPr>
            <w:noProof/>
            <w:webHidden/>
          </w:rPr>
          <w:instrText xml:space="preserve"> PAGEREF _Toc35861107 \h </w:instrText>
        </w:r>
        <w:r>
          <w:rPr>
            <w:noProof/>
            <w:webHidden/>
          </w:rPr>
        </w:r>
        <w:r>
          <w:rPr>
            <w:noProof/>
            <w:webHidden/>
          </w:rPr>
          <w:fldChar w:fldCharType="separate"/>
        </w:r>
        <w:r>
          <w:rPr>
            <w:noProof/>
            <w:webHidden/>
          </w:rPr>
          <w:t>88</w:t>
        </w:r>
        <w:r>
          <w:rPr>
            <w:noProof/>
            <w:webHidden/>
          </w:rPr>
          <w:fldChar w:fldCharType="end"/>
        </w:r>
      </w:hyperlink>
    </w:p>
    <w:p w14:paraId="394EDC4E" w14:textId="037D771F"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08" w:history="1">
        <w:r w:rsidRPr="008B6254">
          <w:rPr>
            <w:rStyle w:val="Hyperlink"/>
            <w:noProof/>
          </w:rPr>
          <w:t>3.4.2.</w:t>
        </w:r>
        <w:r>
          <w:rPr>
            <w:rFonts w:asciiTheme="minorHAnsi" w:eastAsiaTheme="minorEastAsia" w:hAnsiTheme="minorHAnsi" w:cstheme="minorBidi"/>
            <w:noProof/>
            <w:sz w:val="22"/>
          </w:rPr>
          <w:tab/>
        </w:r>
        <w:r w:rsidRPr="008B6254">
          <w:rPr>
            <w:rStyle w:val="Hyperlink"/>
            <w:noProof/>
          </w:rPr>
          <w:t>Sample handling and preparation</w:t>
        </w:r>
        <w:r>
          <w:rPr>
            <w:noProof/>
            <w:webHidden/>
          </w:rPr>
          <w:tab/>
        </w:r>
        <w:r>
          <w:rPr>
            <w:noProof/>
            <w:webHidden/>
          </w:rPr>
          <w:fldChar w:fldCharType="begin"/>
        </w:r>
        <w:r>
          <w:rPr>
            <w:noProof/>
            <w:webHidden/>
          </w:rPr>
          <w:instrText xml:space="preserve"> PAGEREF _Toc35861108 \h </w:instrText>
        </w:r>
        <w:r>
          <w:rPr>
            <w:noProof/>
            <w:webHidden/>
          </w:rPr>
        </w:r>
        <w:r>
          <w:rPr>
            <w:noProof/>
            <w:webHidden/>
          </w:rPr>
          <w:fldChar w:fldCharType="separate"/>
        </w:r>
        <w:r>
          <w:rPr>
            <w:noProof/>
            <w:webHidden/>
          </w:rPr>
          <w:t>92</w:t>
        </w:r>
        <w:r>
          <w:rPr>
            <w:noProof/>
            <w:webHidden/>
          </w:rPr>
          <w:fldChar w:fldCharType="end"/>
        </w:r>
      </w:hyperlink>
    </w:p>
    <w:p w14:paraId="21668038" w14:textId="76482404"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09" w:history="1">
        <w:r w:rsidRPr="008B6254">
          <w:rPr>
            <w:rStyle w:val="Hyperlink"/>
            <w:noProof/>
          </w:rPr>
          <w:t>3.4.3.</w:t>
        </w:r>
        <w:r>
          <w:rPr>
            <w:rFonts w:asciiTheme="minorHAnsi" w:eastAsiaTheme="minorEastAsia" w:hAnsiTheme="minorHAnsi" w:cstheme="minorBidi"/>
            <w:noProof/>
            <w:sz w:val="22"/>
          </w:rPr>
          <w:tab/>
        </w:r>
        <w:r w:rsidRPr="008B6254">
          <w:rPr>
            <w:rStyle w:val="Hyperlink"/>
            <w:noProof/>
          </w:rPr>
          <w:t>Rock-Eval pyrolysis, total organic carbon (%TOC), and X-Ray fluorescence (XRF).</w:t>
        </w:r>
        <w:r>
          <w:rPr>
            <w:noProof/>
            <w:webHidden/>
          </w:rPr>
          <w:tab/>
        </w:r>
        <w:r>
          <w:rPr>
            <w:noProof/>
            <w:webHidden/>
          </w:rPr>
          <w:fldChar w:fldCharType="begin"/>
        </w:r>
        <w:r>
          <w:rPr>
            <w:noProof/>
            <w:webHidden/>
          </w:rPr>
          <w:instrText xml:space="preserve"> PAGEREF _Toc35861109 \h </w:instrText>
        </w:r>
        <w:r>
          <w:rPr>
            <w:noProof/>
            <w:webHidden/>
          </w:rPr>
        </w:r>
        <w:r>
          <w:rPr>
            <w:noProof/>
            <w:webHidden/>
          </w:rPr>
          <w:fldChar w:fldCharType="separate"/>
        </w:r>
        <w:r>
          <w:rPr>
            <w:noProof/>
            <w:webHidden/>
          </w:rPr>
          <w:t>92</w:t>
        </w:r>
        <w:r>
          <w:rPr>
            <w:noProof/>
            <w:webHidden/>
          </w:rPr>
          <w:fldChar w:fldCharType="end"/>
        </w:r>
      </w:hyperlink>
    </w:p>
    <w:p w14:paraId="74519CB0" w14:textId="4F5DD688"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0" w:history="1">
        <w:r w:rsidRPr="008B6254">
          <w:rPr>
            <w:rStyle w:val="Hyperlink"/>
            <w:noProof/>
          </w:rPr>
          <w:t>3.4.4.</w:t>
        </w:r>
        <w:r>
          <w:rPr>
            <w:rFonts w:asciiTheme="minorHAnsi" w:eastAsiaTheme="minorEastAsia" w:hAnsiTheme="minorHAnsi" w:cstheme="minorBidi"/>
            <w:noProof/>
            <w:sz w:val="22"/>
          </w:rPr>
          <w:tab/>
        </w:r>
        <w:r w:rsidRPr="008B6254">
          <w:rPr>
            <w:rStyle w:val="Hyperlink"/>
            <w:noProof/>
          </w:rPr>
          <w:t>Sample selection criteria for biomarker analysis</w:t>
        </w:r>
        <w:r>
          <w:rPr>
            <w:noProof/>
            <w:webHidden/>
          </w:rPr>
          <w:tab/>
        </w:r>
        <w:r>
          <w:rPr>
            <w:noProof/>
            <w:webHidden/>
          </w:rPr>
          <w:fldChar w:fldCharType="begin"/>
        </w:r>
        <w:r>
          <w:rPr>
            <w:noProof/>
            <w:webHidden/>
          </w:rPr>
          <w:instrText xml:space="preserve"> PAGEREF _Toc35861110 \h </w:instrText>
        </w:r>
        <w:r>
          <w:rPr>
            <w:noProof/>
            <w:webHidden/>
          </w:rPr>
        </w:r>
        <w:r>
          <w:rPr>
            <w:noProof/>
            <w:webHidden/>
          </w:rPr>
          <w:fldChar w:fldCharType="separate"/>
        </w:r>
        <w:r>
          <w:rPr>
            <w:noProof/>
            <w:webHidden/>
          </w:rPr>
          <w:t>109</w:t>
        </w:r>
        <w:r>
          <w:rPr>
            <w:noProof/>
            <w:webHidden/>
          </w:rPr>
          <w:fldChar w:fldCharType="end"/>
        </w:r>
      </w:hyperlink>
    </w:p>
    <w:p w14:paraId="79F4FC8D" w14:textId="44CFAEB9" w:rsidR="00BD7E1A" w:rsidRDefault="00BD7E1A">
      <w:pPr>
        <w:pStyle w:val="TOC2"/>
        <w:tabs>
          <w:tab w:val="left" w:pos="880"/>
        </w:tabs>
        <w:rPr>
          <w:rFonts w:asciiTheme="minorHAnsi" w:eastAsiaTheme="minorEastAsia" w:hAnsiTheme="minorHAnsi" w:cstheme="minorBidi"/>
          <w:noProof/>
          <w:sz w:val="22"/>
        </w:rPr>
      </w:pPr>
      <w:hyperlink w:anchor="_Toc35861111" w:history="1">
        <w:r w:rsidRPr="008B6254">
          <w:rPr>
            <w:rStyle w:val="Hyperlink"/>
            <w:noProof/>
          </w:rPr>
          <w:t>3.5.</w:t>
        </w:r>
        <w:r>
          <w:rPr>
            <w:rFonts w:asciiTheme="minorHAnsi" w:eastAsiaTheme="minorEastAsia" w:hAnsiTheme="minorHAnsi" w:cstheme="minorBidi"/>
            <w:noProof/>
            <w:sz w:val="22"/>
          </w:rPr>
          <w:tab/>
        </w:r>
        <w:r w:rsidRPr="008B6254">
          <w:rPr>
            <w:rStyle w:val="Hyperlink"/>
            <w:noProof/>
          </w:rPr>
          <w:t>Proposed biomarkers as indicators of anoxic and oxic depositional environmental conditions between open marine and highly restricted enclosed fills.</w:t>
        </w:r>
        <w:r>
          <w:rPr>
            <w:noProof/>
            <w:webHidden/>
          </w:rPr>
          <w:tab/>
        </w:r>
        <w:r>
          <w:rPr>
            <w:noProof/>
            <w:webHidden/>
          </w:rPr>
          <w:fldChar w:fldCharType="begin"/>
        </w:r>
        <w:r>
          <w:rPr>
            <w:noProof/>
            <w:webHidden/>
          </w:rPr>
          <w:instrText xml:space="preserve"> PAGEREF _Toc35861111 \h </w:instrText>
        </w:r>
        <w:r>
          <w:rPr>
            <w:noProof/>
            <w:webHidden/>
          </w:rPr>
        </w:r>
        <w:r>
          <w:rPr>
            <w:noProof/>
            <w:webHidden/>
          </w:rPr>
          <w:fldChar w:fldCharType="separate"/>
        </w:r>
        <w:r>
          <w:rPr>
            <w:noProof/>
            <w:webHidden/>
          </w:rPr>
          <w:t>113</w:t>
        </w:r>
        <w:r>
          <w:rPr>
            <w:noProof/>
            <w:webHidden/>
          </w:rPr>
          <w:fldChar w:fldCharType="end"/>
        </w:r>
      </w:hyperlink>
    </w:p>
    <w:p w14:paraId="4689ADB9" w14:textId="30D1B6A0"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2" w:history="1">
        <w:r w:rsidRPr="008B6254">
          <w:rPr>
            <w:rStyle w:val="Hyperlink"/>
            <w:noProof/>
          </w:rPr>
          <w:t>3.5.1.</w:t>
        </w:r>
        <w:r>
          <w:rPr>
            <w:rFonts w:asciiTheme="minorHAnsi" w:eastAsiaTheme="minorEastAsia" w:hAnsiTheme="minorHAnsi" w:cstheme="minorBidi"/>
            <w:noProof/>
            <w:sz w:val="22"/>
          </w:rPr>
          <w:tab/>
        </w:r>
        <w:r w:rsidRPr="008B6254">
          <w:rPr>
            <w:rStyle w:val="Hyperlink"/>
            <w:noProof/>
          </w:rPr>
          <w:t>n-Alkanes</w:t>
        </w:r>
        <w:r>
          <w:rPr>
            <w:noProof/>
            <w:webHidden/>
          </w:rPr>
          <w:tab/>
        </w:r>
        <w:r>
          <w:rPr>
            <w:noProof/>
            <w:webHidden/>
          </w:rPr>
          <w:fldChar w:fldCharType="begin"/>
        </w:r>
        <w:r>
          <w:rPr>
            <w:noProof/>
            <w:webHidden/>
          </w:rPr>
          <w:instrText xml:space="preserve"> PAGEREF _Toc35861112 \h </w:instrText>
        </w:r>
        <w:r>
          <w:rPr>
            <w:noProof/>
            <w:webHidden/>
          </w:rPr>
        </w:r>
        <w:r>
          <w:rPr>
            <w:noProof/>
            <w:webHidden/>
          </w:rPr>
          <w:fldChar w:fldCharType="separate"/>
        </w:r>
        <w:r>
          <w:rPr>
            <w:noProof/>
            <w:webHidden/>
          </w:rPr>
          <w:t>113</w:t>
        </w:r>
        <w:r>
          <w:rPr>
            <w:noProof/>
            <w:webHidden/>
          </w:rPr>
          <w:fldChar w:fldCharType="end"/>
        </w:r>
      </w:hyperlink>
    </w:p>
    <w:p w14:paraId="2ADA7FD4" w14:textId="6789666E"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3" w:history="1">
        <w:r w:rsidRPr="008B6254">
          <w:rPr>
            <w:rStyle w:val="Hyperlink"/>
            <w:noProof/>
          </w:rPr>
          <w:t>3.5.2.</w:t>
        </w:r>
        <w:r>
          <w:rPr>
            <w:rFonts w:asciiTheme="minorHAnsi" w:eastAsiaTheme="minorEastAsia" w:hAnsiTheme="minorHAnsi" w:cstheme="minorBidi"/>
            <w:noProof/>
            <w:sz w:val="22"/>
          </w:rPr>
          <w:tab/>
        </w:r>
        <w:r w:rsidRPr="008B6254">
          <w:rPr>
            <w:rStyle w:val="Hyperlink"/>
            <w:noProof/>
          </w:rPr>
          <w:t>Steranes</w:t>
        </w:r>
        <w:r>
          <w:rPr>
            <w:noProof/>
            <w:webHidden/>
          </w:rPr>
          <w:tab/>
        </w:r>
        <w:r>
          <w:rPr>
            <w:noProof/>
            <w:webHidden/>
          </w:rPr>
          <w:fldChar w:fldCharType="begin"/>
        </w:r>
        <w:r>
          <w:rPr>
            <w:noProof/>
            <w:webHidden/>
          </w:rPr>
          <w:instrText xml:space="preserve"> PAGEREF _Toc35861113 \h </w:instrText>
        </w:r>
        <w:r>
          <w:rPr>
            <w:noProof/>
            <w:webHidden/>
          </w:rPr>
        </w:r>
        <w:r>
          <w:rPr>
            <w:noProof/>
            <w:webHidden/>
          </w:rPr>
          <w:fldChar w:fldCharType="separate"/>
        </w:r>
        <w:r>
          <w:rPr>
            <w:noProof/>
            <w:webHidden/>
          </w:rPr>
          <w:t>115</w:t>
        </w:r>
        <w:r>
          <w:rPr>
            <w:noProof/>
            <w:webHidden/>
          </w:rPr>
          <w:fldChar w:fldCharType="end"/>
        </w:r>
      </w:hyperlink>
    </w:p>
    <w:p w14:paraId="1B66B7E4" w14:textId="249EE32B"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4" w:history="1">
        <w:r w:rsidRPr="008B6254">
          <w:rPr>
            <w:rStyle w:val="Hyperlink"/>
            <w:noProof/>
          </w:rPr>
          <w:t>3.5.3.</w:t>
        </w:r>
        <w:r>
          <w:rPr>
            <w:rFonts w:asciiTheme="minorHAnsi" w:eastAsiaTheme="minorEastAsia" w:hAnsiTheme="minorHAnsi" w:cstheme="minorBidi"/>
            <w:noProof/>
            <w:sz w:val="22"/>
          </w:rPr>
          <w:tab/>
        </w:r>
        <w:r w:rsidRPr="008B6254">
          <w:rPr>
            <w:rStyle w:val="Hyperlink"/>
            <w:noProof/>
          </w:rPr>
          <w:t>Monoaromatic steroids (MAS)</w:t>
        </w:r>
        <w:r>
          <w:rPr>
            <w:noProof/>
            <w:webHidden/>
          </w:rPr>
          <w:tab/>
        </w:r>
        <w:r>
          <w:rPr>
            <w:noProof/>
            <w:webHidden/>
          </w:rPr>
          <w:fldChar w:fldCharType="begin"/>
        </w:r>
        <w:r>
          <w:rPr>
            <w:noProof/>
            <w:webHidden/>
          </w:rPr>
          <w:instrText xml:space="preserve"> PAGEREF _Toc35861114 \h </w:instrText>
        </w:r>
        <w:r>
          <w:rPr>
            <w:noProof/>
            <w:webHidden/>
          </w:rPr>
        </w:r>
        <w:r>
          <w:rPr>
            <w:noProof/>
            <w:webHidden/>
          </w:rPr>
          <w:fldChar w:fldCharType="separate"/>
        </w:r>
        <w:r>
          <w:rPr>
            <w:noProof/>
            <w:webHidden/>
          </w:rPr>
          <w:t>124</w:t>
        </w:r>
        <w:r>
          <w:rPr>
            <w:noProof/>
            <w:webHidden/>
          </w:rPr>
          <w:fldChar w:fldCharType="end"/>
        </w:r>
      </w:hyperlink>
    </w:p>
    <w:p w14:paraId="4EA9716E" w14:textId="07358116"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5" w:history="1">
        <w:r w:rsidRPr="008B6254">
          <w:rPr>
            <w:rStyle w:val="Hyperlink"/>
            <w:noProof/>
          </w:rPr>
          <w:t>3.5.4.</w:t>
        </w:r>
        <w:r>
          <w:rPr>
            <w:rFonts w:asciiTheme="minorHAnsi" w:eastAsiaTheme="minorEastAsia" w:hAnsiTheme="minorHAnsi" w:cstheme="minorBidi"/>
            <w:noProof/>
            <w:sz w:val="22"/>
          </w:rPr>
          <w:tab/>
        </w:r>
        <w:r w:rsidRPr="008B6254">
          <w:rPr>
            <w:rStyle w:val="Hyperlink"/>
            <w:noProof/>
          </w:rPr>
          <w:t>Diasteranes</w:t>
        </w:r>
        <w:r>
          <w:rPr>
            <w:noProof/>
            <w:webHidden/>
          </w:rPr>
          <w:tab/>
        </w:r>
        <w:r>
          <w:rPr>
            <w:noProof/>
            <w:webHidden/>
          </w:rPr>
          <w:fldChar w:fldCharType="begin"/>
        </w:r>
        <w:r>
          <w:rPr>
            <w:noProof/>
            <w:webHidden/>
          </w:rPr>
          <w:instrText xml:space="preserve"> PAGEREF _Toc35861115 \h </w:instrText>
        </w:r>
        <w:r>
          <w:rPr>
            <w:noProof/>
            <w:webHidden/>
          </w:rPr>
        </w:r>
        <w:r>
          <w:rPr>
            <w:noProof/>
            <w:webHidden/>
          </w:rPr>
          <w:fldChar w:fldCharType="separate"/>
        </w:r>
        <w:r>
          <w:rPr>
            <w:noProof/>
            <w:webHidden/>
          </w:rPr>
          <w:t>126</w:t>
        </w:r>
        <w:r>
          <w:rPr>
            <w:noProof/>
            <w:webHidden/>
          </w:rPr>
          <w:fldChar w:fldCharType="end"/>
        </w:r>
      </w:hyperlink>
    </w:p>
    <w:p w14:paraId="55716D5D" w14:textId="507422C0"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6" w:history="1">
        <w:r w:rsidRPr="008B6254">
          <w:rPr>
            <w:rStyle w:val="Hyperlink"/>
            <w:noProof/>
          </w:rPr>
          <w:t>3.5.5.</w:t>
        </w:r>
        <w:r>
          <w:rPr>
            <w:rFonts w:asciiTheme="minorHAnsi" w:eastAsiaTheme="minorEastAsia" w:hAnsiTheme="minorHAnsi" w:cstheme="minorBidi"/>
            <w:noProof/>
            <w:sz w:val="22"/>
          </w:rPr>
          <w:tab/>
        </w:r>
        <w:r w:rsidRPr="008B6254">
          <w:rPr>
            <w:rStyle w:val="Hyperlink"/>
            <w:noProof/>
          </w:rPr>
          <w:t>Pregnanes and Homopregnanes</w:t>
        </w:r>
        <w:r>
          <w:rPr>
            <w:noProof/>
            <w:webHidden/>
          </w:rPr>
          <w:tab/>
        </w:r>
        <w:r>
          <w:rPr>
            <w:noProof/>
            <w:webHidden/>
          </w:rPr>
          <w:fldChar w:fldCharType="begin"/>
        </w:r>
        <w:r>
          <w:rPr>
            <w:noProof/>
            <w:webHidden/>
          </w:rPr>
          <w:instrText xml:space="preserve"> PAGEREF _Toc35861116 \h </w:instrText>
        </w:r>
        <w:r>
          <w:rPr>
            <w:noProof/>
            <w:webHidden/>
          </w:rPr>
        </w:r>
        <w:r>
          <w:rPr>
            <w:noProof/>
            <w:webHidden/>
          </w:rPr>
          <w:fldChar w:fldCharType="separate"/>
        </w:r>
        <w:r>
          <w:rPr>
            <w:noProof/>
            <w:webHidden/>
          </w:rPr>
          <w:t>127</w:t>
        </w:r>
        <w:r>
          <w:rPr>
            <w:noProof/>
            <w:webHidden/>
          </w:rPr>
          <w:fldChar w:fldCharType="end"/>
        </w:r>
      </w:hyperlink>
    </w:p>
    <w:p w14:paraId="7B7D71E8" w14:textId="20202681"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7" w:history="1">
        <w:r w:rsidRPr="008B6254">
          <w:rPr>
            <w:rStyle w:val="Hyperlink"/>
            <w:noProof/>
          </w:rPr>
          <w:t>3.5.6.</w:t>
        </w:r>
        <w:r>
          <w:rPr>
            <w:rFonts w:asciiTheme="minorHAnsi" w:eastAsiaTheme="minorEastAsia" w:hAnsiTheme="minorHAnsi" w:cstheme="minorBidi"/>
            <w:noProof/>
            <w:sz w:val="22"/>
          </w:rPr>
          <w:tab/>
        </w:r>
        <w:r w:rsidRPr="008B6254">
          <w:rPr>
            <w:rStyle w:val="Hyperlink"/>
            <w:noProof/>
          </w:rPr>
          <w:t>Terpanes</w:t>
        </w:r>
        <w:r>
          <w:rPr>
            <w:noProof/>
            <w:webHidden/>
          </w:rPr>
          <w:tab/>
        </w:r>
        <w:r>
          <w:rPr>
            <w:noProof/>
            <w:webHidden/>
          </w:rPr>
          <w:fldChar w:fldCharType="begin"/>
        </w:r>
        <w:r>
          <w:rPr>
            <w:noProof/>
            <w:webHidden/>
          </w:rPr>
          <w:instrText xml:space="preserve"> PAGEREF _Toc35861117 \h </w:instrText>
        </w:r>
        <w:r>
          <w:rPr>
            <w:noProof/>
            <w:webHidden/>
          </w:rPr>
        </w:r>
        <w:r>
          <w:rPr>
            <w:noProof/>
            <w:webHidden/>
          </w:rPr>
          <w:fldChar w:fldCharType="separate"/>
        </w:r>
        <w:r>
          <w:rPr>
            <w:noProof/>
            <w:webHidden/>
          </w:rPr>
          <w:t>128</w:t>
        </w:r>
        <w:r>
          <w:rPr>
            <w:noProof/>
            <w:webHidden/>
          </w:rPr>
          <w:fldChar w:fldCharType="end"/>
        </w:r>
      </w:hyperlink>
    </w:p>
    <w:p w14:paraId="1687CB6B" w14:textId="1B3F860F"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8" w:history="1">
        <w:r w:rsidRPr="008B6254">
          <w:rPr>
            <w:rStyle w:val="Hyperlink"/>
            <w:noProof/>
          </w:rPr>
          <w:t>3.5.7.</w:t>
        </w:r>
        <w:r>
          <w:rPr>
            <w:rFonts w:asciiTheme="minorHAnsi" w:eastAsiaTheme="minorEastAsia" w:hAnsiTheme="minorHAnsi" w:cstheme="minorBidi"/>
            <w:noProof/>
            <w:sz w:val="22"/>
          </w:rPr>
          <w:tab/>
        </w:r>
        <w:r w:rsidRPr="008B6254">
          <w:rPr>
            <w:rStyle w:val="Hyperlink"/>
            <w:noProof/>
          </w:rPr>
          <w:t>Tetracyclic polyprenoids (TPP)</w:t>
        </w:r>
        <w:r>
          <w:rPr>
            <w:noProof/>
            <w:webHidden/>
          </w:rPr>
          <w:tab/>
        </w:r>
        <w:r>
          <w:rPr>
            <w:noProof/>
            <w:webHidden/>
          </w:rPr>
          <w:fldChar w:fldCharType="begin"/>
        </w:r>
        <w:r>
          <w:rPr>
            <w:noProof/>
            <w:webHidden/>
          </w:rPr>
          <w:instrText xml:space="preserve"> PAGEREF _Toc35861118 \h </w:instrText>
        </w:r>
        <w:r>
          <w:rPr>
            <w:noProof/>
            <w:webHidden/>
          </w:rPr>
        </w:r>
        <w:r>
          <w:rPr>
            <w:noProof/>
            <w:webHidden/>
          </w:rPr>
          <w:fldChar w:fldCharType="separate"/>
        </w:r>
        <w:r>
          <w:rPr>
            <w:noProof/>
            <w:webHidden/>
          </w:rPr>
          <w:t>142</w:t>
        </w:r>
        <w:r>
          <w:rPr>
            <w:noProof/>
            <w:webHidden/>
          </w:rPr>
          <w:fldChar w:fldCharType="end"/>
        </w:r>
      </w:hyperlink>
    </w:p>
    <w:p w14:paraId="72937E57" w14:textId="5203408E"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19" w:history="1">
        <w:r w:rsidRPr="008B6254">
          <w:rPr>
            <w:rStyle w:val="Hyperlink"/>
            <w:noProof/>
          </w:rPr>
          <w:t>3.5.8.</w:t>
        </w:r>
        <w:r>
          <w:rPr>
            <w:rFonts w:asciiTheme="minorHAnsi" w:eastAsiaTheme="minorEastAsia" w:hAnsiTheme="minorHAnsi" w:cstheme="minorBidi"/>
            <w:noProof/>
            <w:sz w:val="22"/>
          </w:rPr>
          <w:tab/>
        </w:r>
        <w:r w:rsidRPr="008B6254">
          <w:rPr>
            <w:rStyle w:val="Hyperlink"/>
            <w:noProof/>
          </w:rPr>
          <w:t>C</w:t>
        </w:r>
        <w:r w:rsidRPr="008B6254">
          <w:rPr>
            <w:rStyle w:val="Hyperlink"/>
            <w:noProof/>
            <w:vertAlign w:val="subscript"/>
          </w:rPr>
          <w:t>40</w:t>
        </w:r>
        <w:r w:rsidRPr="008B6254">
          <w:rPr>
            <w:rStyle w:val="Hyperlink"/>
            <w:noProof/>
          </w:rPr>
          <w:t xml:space="preserve"> Aromatic carotenoids and aryl isoprenoids</w:t>
        </w:r>
        <w:r>
          <w:rPr>
            <w:noProof/>
            <w:webHidden/>
          </w:rPr>
          <w:tab/>
        </w:r>
        <w:r>
          <w:rPr>
            <w:noProof/>
            <w:webHidden/>
          </w:rPr>
          <w:fldChar w:fldCharType="begin"/>
        </w:r>
        <w:r>
          <w:rPr>
            <w:noProof/>
            <w:webHidden/>
          </w:rPr>
          <w:instrText xml:space="preserve"> PAGEREF _Toc35861119 \h </w:instrText>
        </w:r>
        <w:r>
          <w:rPr>
            <w:noProof/>
            <w:webHidden/>
          </w:rPr>
        </w:r>
        <w:r>
          <w:rPr>
            <w:noProof/>
            <w:webHidden/>
          </w:rPr>
          <w:fldChar w:fldCharType="separate"/>
        </w:r>
        <w:r>
          <w:rPr>
            <w:noProof/>
            <w:webHidden/>
          </w:rPr>
          <w:t>154</w:t>
        </w:r>
        <w:r>
          <w:rPr>
            <w:noProof/>
            <w:webHidden/>
          </w:rPr>
          <w:fldChar w:fldCharType="end"/>
        </w:r>
      </w:hyperlink>
    </w:p>
    <w:p w14:paraId="1F62D1D5" w14:textId="1F3C9B43"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20" w:history="1">
        <w:r w:rsidRPr="008B6254">
          <w:rPr>
            <w:rStyle w:val="Hyperlink"/>
            <w:noProof/>
          </w:rPr>
          <w:t>3.5.9.</w:t>
        </w:r>
        <w:r>
          <w:rPr>
            <w:rFonts w:asciiTheme="minorHAnsi" w:eastAsiaTheme="minorEastAsia" w:hAnsiTheme="minorHAnsi" w:cstheme="minorBidi"/>
            <w:noProof/>
            <w:sz w:val="22"/>
          </w:rPr>
          <w:tab/>
        </w:r>
        <w:r w:rsidRPr="008B6254">
          <w:rPr>
            <w:rStyle w:val="Hyperlink"/>
            <w:noProof/>
          </w:rPr>
          <w:t>Polycyclic aromatic hydrocarbons (PAHs)</w:t>
        </w:r>
        <w:r>
          <w:rPr>
            <w:noProof/>
            <w:webHidden/>
          </w:rPr>
          <w:tab/>
        </w:r>
        <w:r>
          <w:rPr>
            <w:noProof/>
            <w:webHidden/>
          </w:rPr>
          <w:fldChar w:fldCharType="begin"/>
        </w:r>
        <w:r>
          <w:rPr>
            <w:noProof/>
            <w:webHidden/>
          </w:rPr>
          <w:instrText xml:space="preserve"> PAGEREF _Toc35861120 \h </w:instrText>
        </w:r>
        <w:r>
          <w:rPr>
            <w:noProof/>
            <w:webHidden/>
          </w:rPr>
        </w:r>
        <w:r>
          <w:rPr>
            <w:noProof/>
            <w:webHidden/>
          </w:rPr>
          <w:fldChar w:fldCharType="separate"/>
        </w:r>
        <w:r>
          <w:rPr>
            <w:noProof/>
            <w:webHidden/>
          </w:rPr>
          <w:t>164</w:t>
        </w:r>
        <w:r>
          <w:rPr>
            <w:noProof/>
            <w:webHidden/>
          </w:rPr>
          <w:fldChar w:fldCharType="end"/>
        </w:r>
      </w:hyperlink>
    </w:p>
    <w:p w14:paraId="2D18A688" w14:textId="711E7315" w:rsidR="00BD7E1A" w:rsidRDefault="00BD7E1A">
      <w:pPr>
        <w:pStyle w:val="TOC3"/>
        <w:tabs>
          <w:tab w:val="left" w:pos="1540"/>
          <w:tab w:val="right" w:leader="dot" w:pos="9350"/>
        </w:tabs>
        <w:rPr>
          <w:rFonts w:asciiTheme="minorHAnsi" w:eastAsiaTheme="minorEastAsia" w:hAnsiTheme="minorHAnsi" w:cstheme="minorBidi"/>
          <w:noProof/>
          <w:sz w:val="22"/>
        </w:rPr>
      </w:pPr>
      <w:hyperlink w:anchor="_Toc35861121" w:history="1">
        <w:r w:rsidRPr="008B6254">
          <w:rPr>
            <w:rStyle w:val="Hyperlink"/>
            <w:noProof/>
          </w:rPr>
          <w:t>3.5.10.</w:t>
        </w:r>
        <w:r>
          <w:rPr>
            <w:rFonts w:asciiTheme="minorHAnsi" w:eastAsiaTheme="minorEastAsia" w:hAnsiTheme="minorHAnsi" w:cstheme="minorBidi"/>
            <w:noProof/>
            <w:sz w:val="22"/>
          </w:rPr>
          <w:tab/>
        </w:r>
        <w:r w:rsidRPr="008B6254">
          <w:rPr>
            <w:rStyle w:val="Hyperlink"/>
            <w:noProof/>
          </w:rPr>
          <w:t>Possible mass extinction events in the Speake Ranch stratigraphic section</w:t>
        </w:r>
        <w:r>
          <w:rPr>
            <w:noProof/>
            <w:webHidden/>
          </w:rPr>
          <w:tab/>
        </w:r>
        <w:r>
          <w:rPr>
            <w:noProof/>
            <w:webHidden/>
          </w:rPr>
          <w:fldChar w:fldCharType="begin"/>
        </w:r>
        <w:r>
          <w:rPr>
            <w:noProof/>
            <w:webHidden/>
          </w:rPr>
          <w:instrText xml:space="preserve"> PAGEREF _Toc35861121 \h </w:instrText>
        </w:r>
        <w:r>
          <w:rPr>
            <w:noProof/>
            <w:webHidden/>
          </w:rPr>
        </w:r>
        <w:r>
          <w:rPr>
            <w:noProof/>
            <w:webHidden/>
          </w:rPr>
          <w:fldChar w:fldCharType="separate"/>
        </w:r>
        <w:r>
          <w:rPr>
            <w:noProof/>
            <w:webHidden/>
          </w:rPr>
          <w:t>171</w:t>
        </w:r>
        <w:r>
          <w:rPr>
            <w:noProof/>
            <w:webHidden/>
          </w:rPr>
          <w:fldChar w:fldCharType="end"/>
        </w:r>
      </w:hyperlink>
    </w:p>
    <w:p w14:paraId="25B97431" w14:textId="2D3E143E" w:rsidR="00BD7E1A" w:rsidRDefault="00BD7E1A">
      <w:pPr>
        <w:pStyle w:val="TOC3"/>
        <w:tabs>
          <w:tab w:val="left" w:pos="1540"/>
          <w:tab w:val="right" w:leader="dot" w:pos="9350"/>
        </w:tabs>
        <w:rPr>
          <w:rFonts w:asciiTheme="minorHAnsi" w:eastAsiaTheme="minorEastAsia" w:hAnsiTheme="minorHAnsi" w:cstheme="minorBidi"/>
          <w:noProof/>
          <w:sz w:val="22"/>
        </w:rPr>
      </w:pPr>
      <w:hyperlink w:anchor="_Toc35861122" w:history="1">
        <w:r w:rsidRPr="008B6254">
          <w:rPr>
            <w:rStyle w:val="Hyperlink"/>
            <w:noProof/>
          </w:rPr>
          <w:t>3.5.11.</w:t>
        </w:r>
        <w:r>
          <w:rPr>
            <w:rFonts w:asciiTheme="minorHAnsi" w:eastAsiaTheme="minorEastAsia" w:hAnsiTheme="minorHAnsi" w:cstheme="minorBidi"/>
            <w:noProof/>
            <w:sz w:val="22"/>
          </w:rPr>
          <w:tab/>
        </w:r>
        <w:r w:rsidRPr="008B6254">
          <w:rPr>
            <w:rStyle w:val="Hyperlink"/>
            <w:noProof/>
          </w:rPr>
          <w:t>Biodegradation</w:t>
        </w:r>
        <w:r>
          <w:rPr>
            <w:noProof/>
            <w:webHidden/>
          </w:rPr>
          <w:tab/>
        </w:r>
        <w:r>
          <w:rPr>
            <w:noProof/>
            <w:webHidden/>
          </w:rPr>
          <w:fldChar w:fldCharType="begin"/>
        </w:r>
        <w:r>
          <w:rPr>
            <w:noProof/>
            <w:webHidden/>
          </w:rPr>
          <w:instrText xml:space="preserve"> PAGEREF _Toc35861122 \h </w:instrText>
        </w:r>
        <w:r>
          <w:rPr>
            <w:noProof/>
            <w:webHidden/>
          </w:rPr>
        </w:r>
        <w:r>
          <w:rPr>
            <w:noProof/>
            <w:webHidden/>
          </w:rPr>
          <w:fldChar w:fldCharType="separate"/>
        </w:r>
        <w:r>
          <w:rPr>
            <w:noProof/>
            <w:webHidden/>
          </w:rPr>
          <w:t>173</w:t>
        </w:r>
        <w:r>
          <w:rPr>
            <w:noProof/>
            <w:webHidden/>
          </w:rPr>
          <w:fldChar w:fldCharType="end"/>
        </w:r>
      </w:hyperlink>
    </w:p>
    <w:p w14:paraId="56AB4BE6" w14:textId="104CB397" w:rsidR="00BD7E1A" w:rsidRDefault="00BD7E1A">
      <w:pPr>
        <w:pStyle w:val="TOC2"/>
        <w:tabs>
          <w:tab w:val="left" w:pos="880"/>
        </w:tabs>
        <w:rPr>
          <w:rFonts w:asciiTheme="minorHAnsi" w:eastAsiaTheme="minorEastAsia" w:hAnsiTheme="minorHAnsi" w:cstheme="minorBidi"/>
          <w:noProof/>
          <w:sz w:val="22"/>
        </w:rPr>
      </w:pPr>
      <w:hyperlink w:anchor="_Toc35861123" w:history="1">
        <w:r w:rsidRPr="008B6254">
          <w:rPr>
            <w:rStyle w:val="Hyperlink"/>
            <w:noProof/>
          </w:rPr>
          <w:t>3.6.</w:t>
        </w:r>
        <w:r>
          <w:rPr>
            <w:rFonts w:asciiTheme="minorHAnsi" w:eastAsiaTheme="minorEastAsia" w:hAnsiTheme="minorHAnsi" w:cstheme="minorBidi"/>
            <w:noProof/>
            <w:sz w:val="22"/>
          </w:rPr>
          <w:tab/>
        </w:r>
        <w:r w:rsidRPr="008B6254">
          <w:rPr>
            <w:rStyle w:val="Hyperlink"/>
            <w:noProof/>
          </w:rPr>
          <w:t>Geological, geochemical, and regional stratigraphic integrations in the SR.</w:t>
        </w:r>
        <w:r>
          <w:rPr>
            <w:noProof/>
            <w:webHidden/>
          </w:rPr>
          <w:tab/>
        </w:r>
        <w:r>
          <w:rPr>
            <w:noProof/>
            <w:webHidden/>
          </w:rPr>
          <w:fldChar w:fldCharType="begin"/>
        </w:r>
        <w:r>
          <w:rPr>
            <w:noProof/>
            <w:webHidden/>
          </w:rPr>
          <w:instrText xml:space="preserve"> PAGEREF _Toc35861123 \h </w:instrText>
        </w:r>
        <w:r>
          <w:rPr>
            <w:noProof/>
            <w:webHidden/>
          </w:rPr>
        </w:r>
        <w:r>
          <w:rPr>
            <w:noProof/>
            <w:webHidden/>
          </w:rPr>
          <w:fldChar w:fldCharType="separate"/>
        </w:r>
        <w:r>
          <w:rPr>
            <w:noProof/>
            <w:webHidden/>
          </w:rPr>
          <w:t>176</w:t>
        </w:r>
        <w:r>
          <w:rPr>
            <w:noProof/>
            <w:webHidden/>
          </w:rPr>
          <w:fldChar w:fldCharType="end"/>
        </w:r>
      </w:hyperlink>
    </w:p>
    <w:p w14:paraId="048B9711" w14:textId="4DF1C0FB" w:rsidR="00BD7E1A" w:rsidRDefault="00BD7E1A">
      <w:pPr>
        <w:pStyle w:val="TOC2"/>
        <w:tabs>
          <w:tab w:val="left" w:pos="880"/>
        </w:tabs>
        <w:rPr>
          <w:rFonts w:asciiTheme="minorHAnsi" w:eastAsiaTheme="minorEastAsia" w:hAnsiTheme="minorHAnsi" w:cstheme="minorBidi"/>
          <w:noProof/>
          <w:sz w:val="22"/>
        </w:rPr>
      </w:pPr>
      <w:hyperlink w:anchor="_Toc35861129" w:history="1">
        <w:r w:rsidRPr="008B6254">
          <w:rPr>
            <w:rStyle w:val="Hyperlink"/>
            <w:noProof/>
          </w:rPr>
          <w:t>3.7.</w:t>
        </w:r>
        <w:r>
          <w:rPr>
            <w:rFonts w:asciiTheme="minorHAnsi" w:eastAsiaTheme="minorEastAsia" w:hAnsiTheme="minorHAnsi" w:cstheme="minorBidi"/>
            <w:noProof/>
            <w:sz w:val="22"/>
          </w:rPr>
          <w:tab/>
        </w:r>
        <w:r w:rsidRPr="008B6254">
          <w:rPr>
            <w:rStyle w:val="Hyperlink"/>
            <w:noProof/>
          </w:rPr>
          <w:t>Conclusions</w:t>
        </w:r>
        <w:r>
          <w:rPr>
            <w:noProof/>
            <w:webHidden/>
          </w:rPr>
          <w:tab/>
        </w:r>
        <w:r>
          <w:rPr>
            <w:noProof/>
            <w:webHidden/>
          </w:rPr>
          <w:fldChar w:fldCharType="begin"/>
        </w:r>
        <w:r>
          <w:rPr>
            <w:noProof/>
            <w:webHidden/>
          </w:rPr>
          <w:instrText xml:space="preserve"> PAGEREF _Toc35861129 \h </w:instrText>
        </w:r>
        <w:r>
          <w:rPr>
            <w:noProof/>
            <w:webHidden/>
          </w:rPr>
        </w:r>
        <w:r>
          <w:rPr>
            <w:noProof/>
            <w:webHidden/>
          </w:rPr>
          <w:fldChar w:fldCharType="separate"/>
        </w:r>
        <w:r>
          <w:rPr>
            <w:noProof/>
            <w:webHidden/>
          </w:rPr>
          <w:t>187</w:t>
        </w:r>
        <w:r>
          <w:rPr>
            <w:noProof/>
            <w:webHidden/>
          </w:rPr>
          <w:fldChar w:fldCharType="end"/>
        </w:r>
      </w:hyperlink>
    </w:p>
    <w:p w14:paraId="7A2F18DA" w14:textId="52BA83F1" w:rsidR="00BD7E1A" w:rsidRDefault="00BD7E1A">
      <w:pPr>
        <w:pStyle w:val="TOC2"/>
        <w:tabs>
          <w:tab w:val="left" w:pos="880"/>
        </w:tabs>
        <w:rPr>
          <w:rFonts w:asciiTheme="minorHAnsi" w:eastAsiaTheme="minorEastAsia" w:hAnsiTheme="minorHAnsi" w:cstheme="minorBidi"/>
          <w:noProof/>
          <w:sz w:val="22"/>
        </w:rPr>
      </w:pPr>
      <w:hyperlink w:anchor="_Toc35861130" w:history="1">
        <w:r w:rsidRPr="008B6254">
          <w:rPr>
            <w:rStyle w:val="Hyperlink"/>
            <w:noProof/>
          </w:rPr>
          <w:t>3.8.</w:t>
        </w:r>
        <w:r>
          <w:rPr>
            <w:rFonts w:asciiTheme="minorHAnsi" w:eastAsiaTheme="minorEastAsia" w:hAnsiTheme="minorHAnsi" w:cstheme="minorBidi"/>
            <w:noProof/>
            <w:sz w:val="22"/>
          </w:rPr>
          <w:tab/>
        </w:r>
        <w:r w:rsidRPr="008B6254">
          <w:rPr>
            <w:rStyle w:val="Hyperlink"/>
            <w:noProof/>
          </w:rPr>
          <w:t>Cited References</w:t>
        </w:r>
        <w:r>
          <w:rPr>
            <w:noProof/>
            <w:webHidden/>
          </w:rPr>
          <w:tab/>
        </w:r>
        <w:r>
          <w:rPr>
            <w:noProof/>
            <w:webHidden/>
          </w:rPr>
          <w:fldChar w:fldCharType="begin"/>
        </w:r>
        <w:r>
          <w:rPr>
            <w:noProof/>
            <w:webHidden/>
          </w:rPr>
          <w:instrText xml:space="preserve"> PAGEREF _Toc35861130 \h </w:instrText>
        </w:r>
        <w:r>
          <w:rPr>
            <w:noProof/>
            <w:webHidden/>
          </w:rPr>
        </w:r>
        <w:r>
          <w:rPr>
            <w:noProof/>
            <w:webHidden/>
          </w:rPr>
          <w:fldChar w:fldCharType="separate"/>
        </w:r>
        <w:r>
          <w:rPr>
            <w:noProof/>
            <w:webHidden/>
          </w:rPr>
          <w:t>191</w:t>
        </w:r>
        <w:r>
          <w:rPr>
            <w:noProof/>
            <w:webHidden/>
          </w:rPr>
          <w:fldChar w:fldCharType="end"/>
        </w:r>
      </w:hyperlink>
    </w:p>
    <w:p w14:paraId="7BD94D71" w14:textId="66D33503" w:rsidR="00BD7E1A" w:rsidRDefault="00BD7E1A">
      <w:pPr>
        <w:pStyle w:val="TOC1"/>
        <w:tabs>
          <w:tab w:val="right" w:leader="dot" w:pos="9350"/>
        </w:tabs>
        <w:rPr>
          <w:rFonts w:asciiTheme="minorHAnsi" w:eastAsiaTheme="minorEastAsia" w:hAnsiTheme="minorHAnsi" w:cstheme="minorBidi"/>
          <w:noProof/>
          <w:sz w:val="22"/>
        </w:rPr>
      </w:pPr>
      <w:hyperlink w:anchor="_Toc35861131" w:history="1">
        <w:r w:rsidRPr="008B6254">
          <w:rPr>
            <w:rStyle w:val="Hyperlink"/>
            <w:noProof/>
          </w:rPr>
          <w:t>Chapter IV: Machine learning applications in unconventional reservoir characterization and simulation: Woodford Shale case study.</w:t>
        </w:r>
        <w:r>
          <w:rPr>
            <w:noProof/>
            <w:webHidden/>
          </w:rPr>
          <w:tab/>
        </w:r>
        <w:r>
          <w:rPr>
            <w:noProof/>
            <w:webHidden/>
          </w:rPr>
          <w:fldChar w:fldCharType="begin"/>
        </w:r>
        <w:r>
          <w:rPr>
            <w:noProof/>
            <w:webHidden/>
          </w:rPr>
          <w:instrText xml:space="preserve"> PAGEREF _Toc35861131 \h </w:instrText>
        </w:r>
        <w:r>
          <w:rPr>
            <w:noProof/>
            <w:webHidden/>
          </w:rPr>
        </w:r>
        <w:r>
          <w:rPr>
            <w:noProof/>
            <w:webHidden/>
          </w:rPr>
          <w:fldChar w:fldCharType="separate"/>
        </w:r>
        <w:r>
          <w:rPr>
            <w:noProof/>
            <w:webHidden/>
          </w:rPr>
          <w:t>210</w:t>
        </w:r>
        <w:r>
          <w:rPr>
            <w:noProof/>
            <w:webHidden/>
          </w:rPr>
          <w:fldChar w:fldCharType="end"/>
        </w:r>
      </w:hyperlink>
    </w:p>
    <w:p w14:paraId="5A7CD7C5" w14:textId="6C02800F" w:rsidR="00BD7E1A" w:rsidRDefault="00BD7E1A">
      <w:pPr>
        <w:pStyle w:val="TOC2"/>
        <w:tabs>
          <w:tab w:val="left" w:pos="880"/>
        </w:tabs>
        <w:rPr>
          <w:rFonts w:asciiTheme="minorHAnsi" w:eastAsiaTheme="minorEastAsia" w:hAnsiTheme="minorHAnsi" w:cstheme="minorBidi"/>
          <w:noProof/>
          <w:sz w:val="22"/>
        </w:rPr>
      </w:pPr>
      <w:hyperlink w:anchor="_Toc35861132" w:history="1">
        <w:r w:rsidRPr="008B6254">
          <w:rPr>
            <w:rStyle w:val="Hyperlink"/>
            <w:noProof/>
          </w:rPr>
          <w:t>4.1.</w:t>
        </w:r>
        <w:r>
          <w:rPr>
            <w:rFonts w:asciiTheme="minorHAnsi" w:eastAsiaTheme="minorEastAsia" w:hAnsiTheme="minorHAnsi" w:cstheme="minorBidi"/>
            <w:noProof/>
            <w:sz w:val="22"/>
          </w:rPr>
          <w:tab/>
        </w:r>
        <w:r w:rsidRPr="008B6254">
          <w:rPr>
            <w:rStyle w:val="Hyperlink"/>
            <w:noProof/>
          </w:rPr>
          <w:t>Abstract</w:t>
        </w:r>
        <w:r>
          <w:rPr>
            <w:noProof/>
            <w:webHidden/>
          </w:rPr>
          <w:tab/>
        </w:r>
        <w:r>
          <w:rPr>
            <w:noProof/>
            <w:webHidden/>
          </w:rPr>
          <w:fldChar w:fldCharType="begin"/>
        </w:r>
        <w:r>
          <w:rPr>
            <w:noProof/>
            <w:webHidden/>
          </w:rPr>
          <w:instrText xml:space="preserve"> PAGEREF _Toc35861132 \h </w:instrText>
        </w:r>
        <w:r>
          <w:rPr>
            <w:noProof/>
            <w:webHidden/>
          </w:rPr>
        </w:r>
        <w:r>
          <w:rPr>
            <w:noProof/>
            <w:webHidden/>
          </w:rPr>
          <w:fldChar w:fldCharType="separate"/>
        </w:r>
        <w:r>
          <w:rPr>
            <w:noProof/>
            <w:webHidden/>
          </w:rPr>
          <w:t>210</w:t>
        </w:r>
        <w:r>
          <w:rPr>
            <w:noProof/>
            <w:webHidden/>
          </w:rPr>
          <w:fldChar w:fldCharType="end"/>
        </w:r>
      </w:hyperlink>
    </w:p>
    <w:p w14:paraId="026E73D1" w14:textId="1CEDDD0F" w:rsidR="00BD7E1A" w:rsidRDefault="00BD7E1A">
      <w:pPr>
        <w:pStyle w:val="TOC2"/>
        <w:tabs>
          <w:tab w:val="left" w:pos="880"/>
        </w:tabs>
        <w:rPr>
          <w:rFonts w:asciiTheme="minorHAnsi" w:eastAsiaTheme="minorEastAsia" w:hAnsiTheme="minorHAnsi" w:cstheme="minorBidi"/>
          <w:noProof/>
          <w:sz w:val="22"/>
        </w:rPr>
      </w:pPr>
      <w:hyperlink w:anchor="_Toc35861133" w:history="1">
        <w:r w:rsidRPr="008B6254">
          <w:rPr>
            <w:rStyle w:val="Hyperlink"/>
            <w:noProof/>
          </w:rPr>
          <w:t>4.2.</w:t>
        </w:r>
        <w:r>
          <w:rPr>
            <w:rFonts w:asciiTheme="minorHAnsi" w:eastAsiaTheme="minorEastAsia" w:hAnsiTheme="minorHAnsi" w:cstheme="minorBidi"/>
            <w:noProof/>
            <w:sz w:val="22"/>
          </w:rPr>
          <w:tab/>
        </w:r>
        <w:r w:rsidRPr="008B6254">
          <w:rPr>
            <w:rStyle w:val="Hyperlink"/>
            <w:noProof/>
          </w:rPr>
          <w:t>Introduction</w:t>
        </w:r>
        <w:r>
          <w:rPr>
            <w:noProof/>
            <w:webHidden/>
          </w:rPr>
          <w:tab/>
        </w:r>
        <w:r>
          <w:rPr>
            <w:noProof/>
            <w:webHidden/>
          </w:rPr>
          <w:fldChar w:fldCharType="begin"/>
        </w:r>
        <w:r>
          <w:rPr>
            <w:noProof/>
            <w:webHidden/>
          </w:rPr>
          <w:instrText xml:space="preserve"> PAGEREF _Toc35861133 \h </w:instrText>
        </w:r>
        <w:r>
          <w:rPr>
            <w:noProof/>
            <w:webHidden/>
          </w:rPr>
        </w:r>
        <w:r>
          <w:rPr>
            <w:noProof/>
            <w:webHidden/>
          </w:rPr>
          <w:fldChar w:fldCharType="separate"/>
        </w:r>
        <w:r>
          <w:rPr>
            <w:noProof/>
            <w:webHidden/>
          </w:rPr>
          <w:t>210</w:t>
        </w:r>
        <w:r>
          <w:rPr>
            <w:noProof/>
            <w:webHidden/>
          </w:rPr>
          <w:fldChar w:fldCharType="end"/>
        </w:r>
      </w:hyperlink>
    </w:p>
    <w:p w14:paraId="625DC4D5" w14:textId="2F742A4B" w:rsidR="00BD7E1A" w:rsidRDefault="00BD7E1A">
      <w:pPr>
        <w:pStyle w:val="TOC2"/>
        <w:tabs>
          <w:tab w:val="left" w:pos="880"/>
        </w:tabs>
        <w:rPr>
          <w:rFonts w:asciiTheme="minorHAnsi" w:eastAsiaTheme="minorEastAsia" w:hAnsiTheme="minorHAnsi" w:cstheme="minorBidi"/>
          <w:noProof/>
          <w:sz w:val="22"/>
        </w:rPr>
      </w:pPr>
      <w:hyperlink w:anchor="_Toc35861134" w:history="1">
        <w:r w:rsidRPr="008B6254">
          <w:rPr>
            <w:rStyle w:val="Hyperlink"/>
            <w:noProof/>
          </w:rPr>
          <w:t>4.3.</w:t>
        </w:r>
        <w:r>
          <w:rPr>
            <w:rFonts w:asciiTheme="minorHAnsi" w:eastAsiaTheme="minorEastAsia" w:hAnsiTheme="minorHAnsi" w:cstheme="minorBidi"/>
            <w:noProof/>
            <w:sz w:val="22"/>
          </w:rPr>
          <w:tab/>
        </w:r>
        <w:r w:rsidRPr="008B6254">
          <w:rPr>
            <w:rStyle w:val="Hyperlink"/>
            <w:noProof/>
          </w:rPr>
          <w:t>Geology of Woodford shale in the Northern part of Oklahoma</w:t>
        </w:r>
        <w:r>
          <w:rPr>
            <w:noProof/>
            <w:webHidden/>
          </w:rPr>
          <w:tab/>
        </w:r>
        <w:r>
          <w:rPr>
            <w:noProof/>
            <w:webHidden/>
          </w:rPr>
          <w:fldChar w:fldCharType="begin"/>
        </w:r>
        <w:r>
          <w:rPr>
            <w:noProof/>
            <w:webHidden/>
          </w:rPr>
          <w:instrText xml:space="preserve"> PAGEREF _Toc35861134 \h </w:instrText>
        </w:r>
        <w:r>
          <w:rPr>
            <w:noProof/>
            <w:webHidden/>
          </w:rPr>
        </w:r>
        <w:r>
          <w:rPr>
            <w:noProof/>
            <w:webHidden/>
          </w:rPr>
          <w:fldChar w:fldCharType="separate"/>
        </w:r>
        <w:r>
          <w:rPr>
            <w:noProof/>
            <w:webHidden/>
          </w:rPr>
          <w:t>213</w:t>
        </w:r>
        <w:r>
          <w:rPr>
            <w:noProof/>
            <w:webHidden/>
          </w:rPr>
          <w:fldChar w:fldCharType="end"/>
        </w:r>
      </w:hyperlink>
    </w:p>
    <w:p w14:paraId="42550A27" w14:textId="45DBFF95" w:rsidR="00BD7E1A" w:rsidRDefault="00BD7E1A">
      <w:pPr>
        <w:pStyle w:val="TOC2"/>
        <w:tabs>
          <w:tab w:val="left" w:pos="880"/>
        </w:tabs>
        <w:rPr>
          <w:rFonts w:asciiTheme="minorHAnsi" w:eastAsiaTheme="minorEastAsia" w:hAnsiTheme="minorHAnsi" w:cstheme="minorBidi"/>
          <w:noProof/>
          <w:sz w:val="22"/>
        </w:rPr>
      </w:pPr>
      <w:hyperlink w:anchor="_Toc35861135" w:history="1">
        <w:r w:rsidRPr="008B6254">
          <w:rPr>
            <w:rStyle w:val="Hyperlink"/>
            <w:noProof/>
          </w:rPr>
          <w:t>4.4.</w:t>
        </w:r>
        <w:r>
          <w:rPr>
            <w:rFonts w:asciiTheme="minorHAnsi" w:eastAsiaTheme="minorEastAsia" w:hAnsiTheme="minorHAnsi" w:cstheme="minorBidi"/>
            <w:noProof/>
            <w:sz w:val="22"/>
          </w:rPr>
          <w:tab/>
        </w:r>
        <w:r w:rsidRPr="008B6254">
          <w:rPr>
            <w:rStyle w:val="Hyperlink"/>
            <w:noProof/>
          </w:rPr>
          <w:t>Methodology</w:t>
        </w:r>
        <w:r>
          <w:rPr>
            <w:noProof/>
            <w:webHidden/>
          </w:rPr>
          <w:tab/>
        </w:r>
        <w:r>
          <w:rPr>
            <w:noProof/>
            <w:webHidden/>
          </w:rPr>
          <w:fldChar w:fldCharType="begin"/>
        </w:r>
        <w:r>
          <w:rPr>
            <w:noProof/>
            <w:webHidden/>
          </w:rPr>
          <w:instrText xml:space="preserve"> PAGEREF _Toc35861135 \h </w:instrText>
        </w:r>
        <w:r>
          <w:rPr>
            <w:noProof/>
            <w:webHidden/>
          </w:rPr>
        </w:r>
        <w:r>
          <w:rPr>
            <w:noProof/>
            <w:webHidden/>
          </w:rPr>
          <w:fldChar w:fldCharType="separate"/>
        </w:r>
        <w:r>
          <w:rPr>
            <w:noProof/>
            <w:webHidden/>
          </w:rPr>
          <w:t>218</w:t>
        </w:r>
        <w:r>
          <w:rPr>
            <w:noProof/>
            <w:webHidden/>
          </w:rPr>
          <w:fldChar w:fldCharType="end"/>
        </w:r>
      </w:hyperlink>
    </w:p>
    <w:p w14:paraId="537364CA" w14:textId="745AA92F"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36" w:history="1">
        <w:r w:rsidRPr="008B6254">
          <w:rPr>
            <w:rStyle w:val="Hyperlink"/>
            <w:noProof/>
          </w:rPr>
          <w:t>4.4.1.</w:t>
        </w:r>
        <w:r>
          <w:rPr>
            <w:rFonts w:asciiTheme="minorHAnsi" w:eastAsiaTheme="minorEastAsia" w:hAnsiTheme="minorHAnsi" w:cstheme="minorBidi"/>
            <w:noProof/>
            <w:sz w:val="22"/>
          </w:rPr>
          <w:tab/>
        </w:r>
        <w:r w:rsidRPr="008B6254">
          <w:rPr>
            <w:rStyle w:val="Hyperlink"/>
            <w:noProof/>
          </w:rPr>
          <w:t>Computing the geomechanical properties</w:t>
        </w:r>
        <w:r>
          <w:rPr>
            <w:noProof/>
            <w:webHidden/>
          </w:rPr>
          <w:tab/>
        </w:r>
        <w:r>
          <w:rPr>
            <w:noProof/>
            <w:webHidden/>
          </w:rPr>
          <w:fldChar w:fldCharType="begin"/>
        </w:r>
        <w:r>
          <w:rPr>
            <w:noProof/>
            <w:webHidden/>
          </w:rPr>
          <w:instrText xml:space="preserve"> PAGEREF _Toc35861136 \h </w:instrText>
        </w:r>
        <w:r>
          <w:rPr>
            <w:noProof/>
            <w:webHidden/>
          </w:rPr>
        </w:r>
        <w:r>
          <w:rPr>
            <w:noProof/>
            <w:webHidden/>
          </w:rPr>
          <w:fldChar w:fldCharType="separate"/>
        </w:r>
        <w:r>
          <w:rPr>
            <w:noProof/>
            <w:webHidden/>
          </w:rPr>
          <w:t>222</w:t>
        </w:r>
        <w:r>
          <w:rPr>
            <w:noProof/>
            <w:webHidden/>
          </w:rPr>
          <w:fldChar w:fldCharType="end"/>
        </w:r>
      </w:hyperlink>
    </w:p>
    <w:p w14:paraId="0CEE856F" w14:textId="3227F7E9"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37" w:history="1">
        <w:r w:rsidRPr="008B6254">
          <w:rPr>
            <w:rStyle w:val="Hyperlink"/>
            <w:noProof/>
          </w:rPr>
          <w:t>4.4.2.</w:t>
        </w:r>
        <w:r>
          <w:rPr>
            <w:rFonts w:asciiTheme="minorHAnsi" w:eastAsiaTheme="minorEastAsia" w:hAnsiTheme="minorHAnsi" w:cstheme="minorBidi"/>
            <w:noProof/>
            <w:sz w:val="22"/>
          </w:rPr>
          <w:tab/>
        </w:r>
        <w:r w:rsidRPr="008B6254">
          <w:rPr>
            <w:rStyle w:val="Hyperlink"/>
            <w:noProof/>
          </w:rPr>
          <w:t>Computing dynamic moduli from velocities</w:t>
        </w:r>
        <w:r>
          <w:rPr>
            <w:noProof/>
            <w:webHidden/>
          </w:rPr>
          <w:tab/>
        </w:r>
        <w:r>
          <w:rPr>
            <w:noProof/>
            <w:webHidden/>
          </w:rPr>
          <w:fldChar w:fldCharType="begin"/>
        </w:r>
        <w:r>
          <w:rPr>
            <w:noProof/>
            <w:webHidden/>
          </w:rPr>
          <w:instrText xml:space="preserve"> PAGEREF _Toc35861137 \h </w:instrText>
        </w:r>
        <w:r>
          <w:rPr>
            <w:noProof/>
            <w:webHidden/>
          </w:rPr>
        </w:r>
        <w:r>
          <w:rPr>
            <w:noProof/>
            <w:webHidden/>
          </w:rPr>
          <w:fldChar w:fldCharType="separate"/>
        </w:r>
        <w:r>
          <w:rPr>
            <w:noProof/>
            <w:webHidden/>
          </w:rPr>
          <w:t>222</w:t>
        </w:r>
        <w:r>
          <w:rPr>
            <w:noProof/>
            <w:webHidden/>
          </w:rPr>
          <w:fldChar w:fldCharType="end"/>
        </w:r>
      </w:hyperlink>
    </w:p>
    <w:p w14:paraId="3581A3F4" w14:textId="595C05E0"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38" w:history="1">
        <w:r w:rsidRPr="008B6254">
          <w:rPr>
            <w:rStyle w:val="Hyperlink"/>
            <w:noProof/>
          </w:rPr>
          <w:t>4.4.3.</w:t>
        </w:r>
        <w:r>
          <w:rPr>
            <w:rFonts w:asciiTheme="minorHAnsi" w:eastAsiaTheme="minorEastAsia" w:hAnsiTheme="minorHAnsi" w:cstheme="minorBidi"/>
            <w:noProof/>
            <w:sz w:val="22"/>
          </w:rPr>
          <w:tab/>
        </w:r>
        <w:r w:rsidRPr="008B6254">
          <w:rPr>
            <w:rStyle w:val="Hyperlink"/>
            <w:noProof/>
          </w:rPr>
          <w:t>Computing the dynamic fracture gradient</w:t>
        </w:r>
        <w:r>
          <w:rPr>
            <w:noProof/>
            <w:webHidden/>
          </w:rPr>
          <w:tab/>
        </w:r>
        <w:r>
          <w:rPr>
            <w:noProof/>
            <w:webHidden/>
          </w:rPr>
          <w:fldChar w:fldCharType="begin"/>
        </w:r>
        <w:r>
          <w:rPr>
            <w:noProof/>
            <w:webHidden/>
          </w:rPr>
          <w:instrText xml:space="preserve"> PAGEREF _Toc35861138 \h </w:instrText>
        </w:r>
        <w:r>
          <w:rPr>
            <w:noProof/>
            <w:webHidden/>
          </w:rPr>
        </w:r>
        <w:r>
          <w:rPr>
            <w:noProof/>
            <w:webHidden/>
          </w:rPr>
          <w:fldChar w:fldCharType="separate"/>
        </w:r>
        <w:r>
          <w:rPr>
            <w:noProof/>
            <w:webHidden/>
          </w:rPr>
          <w:t>224</w:t>
        </w:r>
        <w:r>
          <w:rPr>
            <w:noProof/>
            <w:webHidden/>
          </w:rPr>
          <w:fldChar w:fldCharType="end"/>
        </w:r>
      </w:hyperlink>
    </w:p>
    <w:p w14:paraId="497B9D0F" w14:textId="4DB8B146"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39" w:history="1">
        <w:r w:rsidRPr="008B6254">
          <w:rPr>
            <w:rStyle w:val="Hyperlink"/>
            <w:noProof/>
          </w:rPr>
          <w:t>4.4.4.</w:t>
        </w:r>
        <w:r>
          <w:rPr>
            <w:rFonts w:asciiTheme="minorHAnsi" w:eastAsiaTheme="minorEastAsia" w:hAnsiTheme="minorHAnsi" w:cstheme="minorBidi"/>
            <w:noProof/>
            <w:sz w:val="22"/>
          </w:rPr>
          <w:tab/>
        </w:r>
        <w:r w:rsidRPr="008B6254">
          <w:rPr>
            <w:rStyle w:val="Hyperlink"/>
            <w:noProof/>
          </w:rPr>
          <w:t>Total organic carbon (%TOC) calculations</w:t>
        </w:r>
        <w:r>
          <w:rPr>
            <w:noProof/>
            <w:webHidden/>
          </w:rPr>
          <w:tab/>
        </w:r>
        <w:r>
          <w:rPr>
            <w:noProof/>
            <w:webHidden/>
          </w:rPr>
          <w:fldChar w:fldCharType="begin"/>
        </w:r>
        <w:r>
          <w:rPr>
            <w:noProof/>
            <w:webHidden/>
          </w:rPr>
          <w:instrText xml:space="preserve"> PAGEREF _Toc35861139 \h </w:instrText>
        </w:r>
        <w:r>
          <w:rPr>
            <w:noProof/>
            <w:webHidden/>
          </w:rPr>
        </w:r>
        <w:r>
          <w:rPr>
            <w:noProof/>
            <w:webHidden/>
          </w:rPr>
          <w:fldChar w:fldCharType="separate"/>
        </w:r>
        <w:r>
          <w:rPr>
            <w:noProof/>
            <w:webHidden/>
          </w:rPr>
          <w:t>225</w:t>
        </w:r>
        <w:r>
          <w:rPr>
            <w:noProof/>
            <w:webHidden/>
          </w:rPr>
          <w:fldChar w:fldCharType="end"/>
        </w:r>
      </w:hyperlink>
    </w:p>
    <w:p w14:paraId="264524FD" w14:textId="3FF04B30" w:rsidR="00BD7E1A" w:rsidRDefault="00BD7E1A">
      <w:pPr>
        <w:pStyle w:val="TOC2"/>
        <w:tabs>
          <w:tab w:val="left" w:pos="880"/>
        </w:tabs>
        <w:rPr>
          <w:rFonts w:asciiTheme="minorHAnsi" w:eastAsiaTheme="minorEastAsia" w:hAnsiTheme="minorHAnsi" w:cstheme="minorBidi"/>
          <w:noProof/>
          <w:sz w:val="22"/>
        </w:rPr>
      </w:pPr>
      <w:hyperlink w:anchor="_Toc35861140" w:history="1">
        <w:r w:rsidRPr="008B6254">
          <w:rPr>
            <w:rStyle w:val="Hyperlink"/>
            <w:noProof/>
          </w:rPr>
          <w:t>4.5.</w:t>
        </w:r>
        <w:r>
          <w:rPr>
            <w:rFonts w:asciiTheme="minorHAnsi" w:eastAsiaTheme="minorEastAsia" w:hAnsiTheme="minorHAnsi" w:cstheme="minorBidi"/>
            <w:noProof/>
            <w:sz w:val="22"/>
          </w:rPr>
          <w:tab/>
        </w:r>
        <w:r w:rsidRPr="008B6254">
          <w:rPr>
            <w:rStyle w:val="Hyperlink"/>
            <w:noProof/>
          </w:rPr>
          <w:t>Mapping reservoir variability using 3D seismic unsupervised machine learning</w:t>
        </w:r>
        <w:r>
          <w:rPr>
            <w:noProof/>
            <w:webHidden/>
          </w:rPr>
          <w:tab/>
        </w:r>
        <w:r>
          <w:rPr>
            <w:noProof/>
            <w:webHidden/>
          </w:rPr>
          <w:fldChar w:fldCharType="begin"/>
        </w:r>
        <w:r>
          <w:rPr>
            <w:noProof/>
            <w:webHidden/>
          </w:rPr>
          <w:instrText xml:space="preserve"> PAGEREF _Toc35861140 \h </w:instrText>
        </w:r>
        <w:r>
          <w:rPr>
            <w:noProof/>
            <w:webHidden/>
          </w:rPr>
        </w:r>
        <w:r>
          <w:rPr>
            <w:noProof/>
            <w:webHidden/>
          </w:rPr>
          <w:fldChar w:fldCharType="separate"/>
        </w:r>
        <w:r>
          <w:rPr>
            <w:noProof/>
            <w:webHidden/>
          </w:rPr>
          <w:t>232</w:t>
        </w:r>
        <w:r>
          <w:rPr>
            <w:noProof/>
            <w:webHidden/>
          </w:rPr>
          <w:fldChar w:fldCharType="end"/>
        </w:r>
      </w:hyperlink>
    </w:p>
    <w:p w14:paraId="45A8BDE6" w14:textId="24714438" w:rsidR="00BD7E1A" w:rsidRDefault="00BD7E1A">
      <w:pPr>
        <w:pStyle w:val="TOC2"/>
        <w:tabs>
          <w:tab w:val="left" w:pos="880"/>
        </w:tabs>
        <w:rPr>
          <w:rFonts w:asciiTheme="minorHAnsi" w:eastAsiaTheme="minorEastAsia" w:hAnsiTheme="minorHAnsi" w:cstheme="minorBidi"/>
          <w:noProof/>
          <w:sz w:val="22"/>
        </w:rPr>
      </w:pPr>
      <w:hyperlink w:anchor="_Toc35861141" w:history="1">
        <w:r w:rsidRPr="008B6254">
          <w:rPr>
            <w:rStyle w:val="Hyperlink"/>
            <w:noProof/>
          </w:rPr>
          <w:t>4.6.</w:t>
        </w:r>
        <w:r>
          <w:rPr>
            <w:rFonts w:asciiTheme="minorHAnsi" w:eastAsiaTheme="minorEastAsia" w:hAnsiTheme="minorHAnsi" w:cstheme="minorBidi"/>
            <w:noProof/>
            <w:sz w:val="22"/>
          </w:rPr>
          <w:tab/>
        </w:r>
        <w:r w:rsidRPr="008B6254">
          <w:rPr>
            <w:rStyle w:val="Hyperlink"/>
            <w:noProof/>
          </w:rPr>
          <w:t>Geological and quantitative 3D seismic characterization results</w:t>
        </w:r>
        <w:r>
          <w:rPr>
            <w:noProof/>
            <w:webHidden/>
          </w:rPr>
          <w:tab/>
        </w:r>
        <w:r>
          <w:rPr>
            <w:noProof/>
            <w:webHidden/>
          </w:rPr>
          <w:fldChar w:fldCharType="begin"/>
        </w:r>
        <w:r>
          <w:rPr>
            <w:noProof/>
            <w:webHidden/>
          </w:rPr>
          <w:instrText xml:space="preserve"> PAGEREF _Toc35861141 \h </w:instrText>
        </w:r>
        <w:r>
          <w:rPr>
            <w:noProof/>
            <w:webHidden/>
          </w:rPr>
        </w:r>
        <w:r>
          <w:rPr>
            <w:noProof/>
            <w:webHidden/>
          </w:rPr>
          <w:fldChar w:fldCharType="separate"/>
        </w:r>
        <w:r>
          <w:rPr>
            <w:noProof/>
            <w:webHidden/>
          </w:rPr>
          <w:t>234</w:t>
        </w:r>
        <w:r>
          <w:rPr>
            <w:noProof/>
            <w:webHidden/>
          </w:rPr>
          <w:fldChar w:fldCharType="end"/>
        </w:r>
      </w:hyperlink>
    </w:p>
    <w:p w14:paraId="7589FF09" w14:textId="45DBE8E4" w:rsidR="00BD7E1A" w:rsidRDefault="00BD7E1A">
      <w:pPr>
        <w:pStyle w:val="TOC2"/>
        <w:tabs>
          <w:tab w:val="left" w:pos="880"/>
        </w:tabs>
        <w:rPr>
          <w:rFonts w:asciiTheme="minorHAnsi" w:eastAsiaTheme="minorEastAsia" w:hAnsiTheme="minorHAnsi" w:cstheme="minorBidi"/>
          <w:noProof/>
          <w:sz w:val="22"/>
        </w:rPr>
      </w:pPr>
      <w:hyperlink w:anchor="_Toc35861142" w:history="1">
        <w:r w:rsidRPr="008B6254">
          <w:rPr>
            <w:rStyle w:val="Hyperlink"/>
            <w:noProof/>
          </w:rPr>
          <w:t>4.7.</w:t>
        </w:r>
        <w:r>
          <w:rPr>
            <w:rFonts w:asciiTheme="minorHAnsi" w:eastAsiaTheme="minorEastAsia" w:hAnsiTheme="minorHAnsi" w:cstheme="minorBidi"/>
            <w:noProof/>
            <w:sz w:val="22"/>
          </w:rPr>
          <w:tab/>
        </w:r>
        <w:r w:rsidRPr="008B6254">
          <w:rPr>
            <w:rStyle w:val="Hyperlink"/>
            <w:noProof/>
          </w:rPr>
          <w:t>Reservoir simulation</w:t>
        </w:r>
        <w:r>
          <w:rPr>
            <w:noProof/>
            <w:webHidden/>
          </w:rPr>
          <w:tab/>
        </w:r>
        <w:r>
          <w:rPr>
            <w:noProof/>
            <w:webHidden/>
          </w:rPr>
          <w:fldChar w:fldCharType="begin"/>
        </w:r>
        <w:r>
          <w:rPr>
            <w:noProof/>
            <w:webHidden/>
          </w:rPr>
          <w:instrText xml:space="preserve"> PAGEREF _Toc35861142 \h </w:instrText>
        </w:r>
        <w:r>
          <w:rPr>
            <w:noProof/>
            <w:webHidden/>
          </w:rPr>
        </w:r>
        <w:r>
          <w:rPr>
            <w:noProof/>
            <w:webHidden/>
          </w:rPr>
          <w:fldChar w:fldCharType="separate"/>
        </w:r>
        <w:r>
          <w:rPr>
            <w:noProof/>
            <w:webHidden/>
          </w:rPr>
          <w:t>241</w:t>
        </w:r>
        <w:r>
          <w:rPr>
            <w:noProof/>
            <w:webHidden/>
          </w:rPr>
          <w:fldChar w:fldCharType="end"/>
        </w:r>
      </w:hyperlink>
    </w:p>
    <w:p w14:paraId="4A09FE58" w14:textId="636648DF" w:rsidR="00BD7E1A" w:rsidRDefault="00BD7E1A">
      <w:pPr>
        <w:pStyle w:val="TOC3"/>
        <w:tabs>
          <w:tab w:val="left" w:pos="1320"/>
          <w:tab w:val="right" w:leader="dot" w:pos="9350"/>
        </w:tabs>
        <w:rPr>
          <w:rFonts w:asciiTheme="minorHAnsi" w:eastAsiaTheme="minorEastAsia" w:hAnsiTheme="minorHAnsi" w:cstheme="minorBidi"/>
          <w:noProof/>
          <w:sz w:val="22"/>
        </w:rPr>
      </w:pPr>
      <w:hyperlink w:anchor="_Toc35861143" w:history="1">
        <w:r w:rsidRPr="008B6254">
          <w:rPr>
            <w:rStyle w:val="Hyperlink"/>
            <w:noProof/>
          </w:rPr>
          <w:t>4.7.1.</w:t>
        </w:r>
        <w:r>
          <w:rPr>
            <w:rFonts w:asciiTheme="minorHAnsi" w:eastAsiaTheme="minorEastAsia" w:hAnsiTheme="minorHAnsi" w:cstheme="minorBidi"/>
            <w:noProof/>
            <w:sz w:val="22"/>
          </w:rPr>
          <w:tab/>
        </w:r>
        <w:r w:rsidRPr="008B6254">
          <w:rPr>
            <w:rStyle w:val="Hyperlink"/>
            <w:noProof/>
          </w:rPr>
          <w:t>Applied completions design to the reservoir simulation</w:t>
        </w:r>
        <w:r>
          <w:rPr>
            <w:noProof/>
            <w:webHidden/>
          </w:rPr>
          <w:tab/>
        </w:r>
        <w:r>
          <w:rPr>
            <w:noProof/>
            <w:webHidden/>
          </w:rPr>
          <w:fldChar w:fldCharType="begin"/>
        </w:r>
        <w:r>
          <w:rPr>
            <w:noProof/>
            <w:webHidden/>
          </w:rPr>
          <w:instrText xml:space="preserve"> PAGEREF _Toc35861143 \h </w:instrText>
        </w:r>
        <w:r>
          <w:rPr>
            <w:noProof/>
            <w:webHidden/>
          </w:rPr>
        </w:r>
        <w:r>
          <w:rPr>
            <w:noProof/>
            <w:webHidden/>
          </w:rPr>
          <w:fldChar w:fldCharType="separate"/>
        </w:r>
        <w:r>
          <w:rPr>
            <w:noProof/>
            <w:webHidden/>
          </w:rPr>
          <w:t>242</w:t>
        </w:r>
        <w:r>
          <w:rPr>
            <w:noProof/>
            <w:webHidden/>
          </w:rPr>
          <w:fldChar w:fldCharType="end"/>
        </w:r>
      </w:hyperlink>
    </w:p>
    <w:p w14:paraId="7C6F5C64" w14:textId="6A005990" w:rsidR="00BD7E1A" w:rsidRDefault="00BD7E1A">
      <w:pPr>
        <w:pStyle w:val="TOC2"/>
        <w:tabs>
          <w:tab w:val="left" w:pos="880"/>
        </w:tabs>
        <w:rPr>
          <w:rFonts w:asciiTheme="minorHAnsi" w:eastAsiaTheme="minorEastAsia" w:hAnsiTheme="minorHAnsi" w:cstheme="minorBidi"/>
          <w:noProof/>
          <w:sz w:val="22"/>
        </w:rPr>
      </w:pPr>
      <w:hyperlink w:anchor="_Toc35861144" w:history="1">
        <w:r w:rsidRPr="008B6254">
          <w:rPr>
            <w:rStyle w:val="Hyperlink"/>
            <w:noProof/>
          </w:rPr>
          <w:t>4.8.</w:t>
        </w:r>
        <w:r>
          <w:rPr>
            <w:rFonts w:asciiTheme="minorHAnsi" w:eastAsiaTheme="minorEastAsia" w:hAnsiTheme="minorHAnsi" w:cstheme="minorBidi"/>
            <w:noProof/>
            <w:sz w:val="22"/>
          </w:rPr>
          <w:tab/>
        </w:r>
        <w:r w:rsidRPr="008B6254">
          <w:rPr>
            <w:rStyle w:val="Hyperlink"/>
            <w:noProof/>
          </w:rPr>
          <w:t>Limitations</w:t>
        </w:r>
        <w:r>
          <w:rPr>
            <w:noProof/>
            <w:webHidden/>
          </w:rPr>
          <w:tab/>
        </w:r>
        <w:r>
          <w:rPr>
            <w:noProof/>
            <w:webHidden/>
          </w:rPr>
          <w:fldChar w:fldCharType="begin"/>
        </w:r>
        <w:r>
          <w:rPr>
            <w:noProof/>
            <w:webHidden/>
          </w:rPr>
          <w:instrText xml:space="preserve"> PAGEREF _Toc35861144 \h </w:instrText>
        </w:r>
        <w:r>
          <w:rPr>
            <w:noProof/>
            <w:webHidden/>
          </w:rPr>
        </w:r>
        <w:r>
          <w:rPr>
            <w:noProof/>
            <w:webHidden/>
          </w:rPr>
          <w:fldChar w:fldCharType="separate"/>
        </w:r>
        <w:r>
          <w:rPr>
            <w:noProof/>
            <w:webHidden/>
          </w:rPr>
          <w:t>245</w:t>
        </w:r>
        <w:r>
          <w:rPr>
            <w:noProof/>
            <w:webHidden/>
          </w:rPr>
          <w:fldChar w:fldCharType="end"/>
        </w:r>
      </w:hyperlink>
    </w:p>
    <w:p w14:paraId="57387425" w14:textId="34DAFA88" w:rsidR="00BD7E1A" w:rsidRDefault="00BD7E1A">
      <w:pPr>
        <w:pStyle w:val="TOC2"/>
        <w:tabs>
          <w:tab w:val="left" w:pos="880"/>
        </w:tabs>
        <w:rPr>
          <w:rFonts w:asciiTheme="minorHAnsi" w:eastAsiaTheme="minorEastAsia" w:hAnsiTheme="minorHAnsi" w:cstheme="minorBidi"/>
          <w:noProof/>
          <w:sz w:val="22"/>
        </w:rPr>
      </w:pPr>
      <w:hyperlink w:anchor="_Toc35861145" w:history="1">
        <w:r w:rsidRPr="008B6254">
          <w:rPr>
            <w:rStyle w:val="Hyperlink"/>
            <w:noProof/>
          </w:rPr>
          <w:t>4.9.</w:t>
        </w:r>
        <w:r>
          <w:rPr>
            <w:rFonts w:asciiTheme="minorHAnsi" w:eastAsiaTheme="minorEastAsia" w:hAnsiTheme="minorHAnsi" w:cstheme="minorBidi"/>
            <w:noProof/>
            <w:sz w:val="22"/>
          </w:rPr>
          <w:tab/>
        </w:r>
        <w:r w:rsidRPr="008B6254">
          <w:rPr>
            <w:rStyle w:val="Hyperlink"/>
            <w:noProof/>
          </w:rPr>
          <w:t>Summary and Conclusions</w:t>
        </w:r>
        <w:r>
          <w:rPr>
            <w:noProof/>
            <w:webHidden/>
          </w:rPr>
          <w:tab/>
        </w:r>
        <w:r>
          <w:rPr>
            <w:noProof/>
            <w:webHidden/>
          </w:rPr>
          <w:fldChar w:fldCharType="begin"/>
        </w:r>
        <w:r>
          <w:rPr>
            <w:noProof/>
            <w:webHidden/>
          </w:rPr>
          <w:instrText xml:space="preserve"> PAGEREF _Toc35861145 \h </w:instrText>
        </w:r>
        <w:r>
          <w:rPr>
            <w:noProof/>
            <w:webHidden/>
          </w:rPr>
        </w:r>
        <w:r>
          <w:rPr>
            <w:noProof/>
            <w:webHidden/>
          </w:rPr>
          <w:fldChar w:fldCharType="separate"/>
        </w:r>
        <w:r>
          <w:rPr>
            <w:noProof/>
            <w:webHidden/>
          </w:rPr>
          <w:t>246</w:t>
        </w:r>
        <w:r>
          <w:rPr>
            <w:noProof/>
            <w:webHidden/>
          </w:rPr>
          <w:fldChar w:fldCharType="end"/>
        </w:r>
      </w:hyperlink>
    </w:p>
    <w:p w14:paraId="2BCC872F" w14:textId="47AE537E" w:rsidR="00BD7E1A" w:rsidRDefault="00BD7E1A">
      <w:pPr>
        <w:pStyle w:val="TOC2"/>
        <w:tabs>
          <w:tab w:val="left" w:pos="1100"/>
        </w:tabs>
        <w:rPr>
          <w:rFonts w:asciiTheme="minorHAnsi" w:eastAsiaTheme="minorEastAsia" w:hAnsiTheme="minorHAnsi" w:cstheme="minorBidi"/>
          <w:noProof/>
          <w:sz w:val="22"/>
        </w:rPr>
      </w:pPr>
      <w:hyperlink w:anchor="_Toc35861146" w:history="1">
        <w:r w:rsidRPr="008B6254">
          <w:rPr>
            <w:rStyle w:val="Hyperlink"/>
            <w:noProof/>
          </w:rPr>
          <w:t>4.10.</w:t>
        </w:r>
        <w:r>
          <w:rPr>
            <w:rFonts w:asciiTheme="minorHAnsi" w:eastAsiaTheme="minorEastAsia" w:hAnsiTheme="minorHAnsi" w:cstheme="minorBidi"/>
            <w:noProof/>
            <w:sz w:val="22"/>
          </w:rPr>
          <w:tab/>
        </w:r>
        <w:r w:rsidRPr="008B6254">
          <w:rPr>
            <w:rStyle w:val="Hyperlink"/>
            <w:noProof/>
          </w:rPr>
          <w:t>Acknowledgments</w:t>
        </w:r>
        <w:r>
          <w:rPr>
            <w:noProof/>
            <w:webHidden/>
          </w:rPr>
          <w:tab/>
        </w:r>
        <w:r>
          <w:rPr>
            <w:noProof/>
            <w:webHidden/>
          </w:rPr>
          <w:fldChar w:fldCharType="begin"/>
        </w:r>
        <w:r>
          <w:rPr>
            <w:noProof/>
            <w:webHidden/>
          </w:rPr>
          <w:instrText xml:space="preserve"> PAGEREF _Toc35861146 \h </w:instrText>
        </w:r>
        <w:r>
          <w:rPr>
            <w:noProof/>
            <w:webHidden/>
          </w:rPr>
        </w:r>
        <w:r>
          <w:rPr>
            <w:noProof/>
            <w:webHidden/>
          </w:rPr>
          <w:fldChar w:fldCharType="separate"/>
        </w:r>
        <w:r>
          <w:rPr>
            <w:noProof/>
            <w:webHidden/>
          </w:rPr>
          <w:t>247</w:t>
        </w:r>
        <w:r>
          <w:rPr>
            <w:noProof/>
            <w:webHidden/>
          </w:rPr>
          <w:fldChar w:fldCharType="end"/>
        </w:r>
      </w:hyperlink>
    </w:p>
    <w:p w14:paraId="606AE473" w14:textId="11071A2A" w:rsidR="00BD7E1A" w:rsidRDefault="00BD7E1A">
      <w:pPr>
        <w:pStyle w:val="TOC2"/>
        <w:tabs>
          <w:tab w:val="left" w:pos="1100"/>
        </w:tabs>
        <w:rPr>
          <w:rFonts w:asciiTheme="minorHAnsi" w:eastAsiaTheme="minorEastAsia" w:hAnsiTheme="minorHAnsi" w:cstheme="minorBidi"/>
          <w:noProof/>
          <w:sz w:val="22"/>
        </w:rPr>
      </w:pPr>
      <w:hyperlink w:anchor="_Toc35861147" w:history="1">
        <w:r w:rsidRPr="008B6254">
          <w:rPr>
            <w:rStyle w:val="Hyperlink"/>
            <w:noProof/>
          </w:rPr>
          <w:t>4.11.</w:t>
        </w:r>
        <w:r>
          <w:rPr>
            <w:rFonts w:asciiTheme="minorHAnsi" w:eastAsiaTheme="minorEastAsia" w:hAnsiTheme="minorHAnsi" w:cstheme="minorBidi"/>
            <w:noProof/>
            <w:sz w:val="22"/>
          </w:rPr>
          <w:tab/>
        </w:r>
        <w:r w:rsidRPr="008B6254">
          <w:rPr>
            <w:rStyle w:val="Hyperlink"/>
            <w:noProof/>
          </w:rPr>
          <w:t>Cited References</w:t>
        </w:r>
        <w:r>
          <w:rPr>
            <w:noProof/>
            <w:webHidden/>
          </w:rPr>
          <w:tab/>
        </w:r>
        <w:r>
          <w:rPr>
            <w:noProof/>
            <w:webHidden/>
          </w:rPr>
          <w:fldChar w:fldCharType="begin"/>
        </w:r>
        <w:r>
          <w:rPr>
            <w:noProof/>
            <w:webHidden/>
          </w:rPr>
          <w:instrText xml:space="preserve"> PAGEREF _Toc35861147 \h </w:instrText>
        </w:r>
        <w:r>
          <w:rPr>
            <w:noProof/>
            <w:webHidden/>
          </w:rPr>
        </w:r>
        <w:r>
          <w:rPr>
            <w:noProof/>
            <w:webHidden/>
          </w:rPr>
          <w:fldChar w:fldCharType="separate"/>
        </w:r>
        <w:r>
          <w:rPr>
            <w:noProof/>
            <w:webHidden/>
          </w:rPr>
          <w:t>247</w:t>
        </w:r>
        <w:r>
          <w:rPr>
            <w:noProof/>
            <w:webHidden/>
          </w:rPr>
          <w:fldChar w:fldCharType="end"/>
        </w:r>
      </w:hyperlink>
    </w:p>
    <w:p w14:paraId="7FCAE977" w14:textId="6C93DC84" w:rsidR="00BD7E1A" w:rsidRDefault="00BD7E1A">
      <w:pPr>
        <w:pStyle w:val="TOC1"/>
        <w:tabs>
          <w:tab w:val="left" w:pos="440"/>
          <w:tab w:val="right" w:leader="dot" w:pos="9350"/>
        </w:tabs>
        <w:rPr>
          <w:rFonts w:asciiTheme="minorHAnsi" w:eastAsiaTheme="minorEastAsia" w:hAnsiTheme="minorHAnsi" w:cstheme="minorBidi"/>
          <w:noProof/>
          <w:sz w:val="22"/>
        </w:rPr>
      </w:pPr>
      <w:hyperlink w:anchor="_Toc35861148" w:history="1">
        <w:r w:rsidRPr="008B6254">
          <w:rPr>
            <w:rStyle w:val="Hyperlink"/>
            <w:noProof/>
          </w:rPr>
          <w:t>5.</w:t>
        </w:r>
        <w:r>
          <w:rPr>
            <w:rFonts w:asciiTheme="minorHAnsi" w:eastAsiaTheme="minorEastAsia" w:hAnsiTheme="minorHAnsi" w:cstheme="minorBidi"/>
            <w:noProof/>
            <w:sz w:val="22"/>
          </w:rPr>
          <w:tab/>
        </w:r>
        <w:r w:rsidRPr="008B6254">
          <w:rPr>
            <w:rStyle w:val="Hyperlink"/>
            <w:noProof/>
          </w:rPr>
          <w:t>Dissertation summary and conclusions</w:t>
        </w:r>
        <w:r>
          <w:rPr>
            <w:noProof/>
            <w:webHidden/>
          </w:rPr>
          <w:tab/>
        </w:r>
        <w:r>
          <w:rPr>
            <w:noProof/>
            <w:webHidden/>
          </w:rPr>
          <w:fldChar w:fldCharType="begin"/>
        </w:r>
        <w:r>
          <w:rPr>
            <w:noProof/>
            <w:webHidden/>
          </w:rPr>
          <w:instrText xml:space="preserve"> PAGEREF _Toc35861148 \h </w:instrText>
        </w:r>
        <w:r>
          <w:rPr>
            <w:noProof/>
            <w:webHidden/>
          </w:rPr>
        </w:r>
        <w:r>
          <w:rPr>
            <w:noProof/>
            <w:webHidden/>
          </w:rPr>
          <w:fldChar w:fldCharType="separate"/>
        </w:r>
        <w:r>
          <w:rPr>
            <w:noProof/>
            <w:webHidden/>
          </w:rPr>
          <w:t>256</w:t>
        </w:r>
        <w:r>
          <w:rPr>
            <w:noProof/>
            <w:webHidden/>
          </w:rPr>
          <w:fldChar w:fldCharType="end"/>
        </w:r>
      </w:hyperlink>
    </w:p>
    <w:p w14:paraId="266B6455" w14:textId="417B74C8" w:rsidR="00BD7E1A" w:rsidRDefault="00BD7E1A">
      <w:pPr>
        <w:pStyle w:val="TOC1"/>
        <w:tabs>
          <w:tab w:val="left" w:pos="440"/>
          <w:tab w:val="right" w:leader="dot" w:pos="9350"/>
        </w:tabs>
        <w:rPr>
          <w:rFonts w:asciiTheme="minorHAnsi" w:eastAsiaTheme="minorEastAsia" w:hAnsiTheme="minorHAnsi" w:cstheme="minorBidi"/>
          <w:noProof/>
          <w:sz w:val="22"/>
        </w:rPr>
      </w:pPr>
      <w:hyperlink w:anchor="_Toc35861149" w:history="1">
        <w:r w:rsidRPr="008B6254">
          <w:rPr>
            <w:rStyle w:val="Hyperlink"/>
            <w:noProof/>
          </w:rPr>
          <w:t>6.</w:t>
        </w:r>
        <w:r>
          <w:rPr>
            <w:rFonts w:asciiTheme="minorHAnsi" w:eastAsiaTheme="minorEastAsia" w:hAnsiTheme="minorHAnsi" w:cstheme="minorBidi"/>
            <w:noProof/>
            <w:sz w:val="22"/>
          </w:rPr>
          <w:tab/>
        </w:r>
        <w:r w:rsidRPr="008B6254">
          <w:rPr>
            <w:rStyle w:val="Hyperlink"/>
            <w:noProof/>
          </w:rPr>
          <w:t>Appendices</w:t>
        </w:r>
        <w:r>
          <w:rPr>
            <w:noProof/>
            <w:webHidden/>
          </w:rPr>
          <w:tab/>
        </w:r>
        <w:r>
          <w:rPr>
            <w:noProof/>
            <w:webHidden/>
          </w:rPr>
          <w:fldChar w:fldCharType="begin"/>
        </w:r>
        <w:r>
          <w:rPr>
            <w:noProof/>
            <w:webHidden/>
          </w:rPr>
          <w:instrText xml:space="preserve"> PAGEREF _Toc35861149 \h </w:instrText>
        </w:r>
        <w:r>
          <w:rPr>
            <w:noProof/>
            <w:webHidden/>
          </w:rPr>
        </w:r>
        <w:r>
          <w:rPr>
            <w:noProof/>
            <w:webHidden/>
          </w:rPr>
          <w:fldChar w:fldCharType="separate"/>
        </w:r>
        <w:r>
          <w:rPr>
            <w:noProof/>
            <w:webHidden/>
          </w:rPr>
          <w:t>260</w:t>
        </w:r>
        <w:r>
          <w:rPr>
            <w:noProof/>
            <w:webHidden/>
          </w:rPr>
          <w:fldChar w:fldCharType="end"/>
        </w:r>
      </w:hyperlink>
    </w:p>
    <w:p w14:paraId="00F4CC27" w14:textId="2E642A81" w:rsidR="00BD7E1A" w:rsidRDefault="00BD7E1A">
      <w:pPr>
        <w:pStyle w:val="TOC2"/>
        <w:rPr>
          <w:rFonts w:asciiTheme="minorHAnsi" w:eastAsiaTheme="minorEastAsia" w:hAnsiTheme="minorHAnsi" w:cstheme="minorBidi"/>
          <w:noProof/>
          <w:sz w:val="22"/>
        </w:rPr>
      </w:pPr>
      <w:hyperlink w:anchor="_Toc35861150" w:history="1">
        <w:r w:rsidRPr="008B6254">
          <w:rPr>
            <w:rStyle w:val="Hyperlink"/>
            <w:noProof/>
          </w:rPr>
          <w:t>Appendix A: Proposed workflow for screening dynamic geomechanics parameters in unconventional resource shales (Young modulus, Poisson’s ratio, fracture gradient, and fracture toughness) based on density (RHOB) and sonic (DTC/DTS) curves.</w:t>
        </w:r>
        <w:r>
          <w:rPr>
            <w:noProof/>
            <w:webHidden/>
          </w:rPr>
          <w:tab/>
        </w:r>
        <w:r>
          <w:rPr>
            <w:noProof/>
            <w:webHidden/>
          </w:rPr>
          <w:fldChar w:fldCharType="begin"/>
        </w:r>
        <w:r>
          <w:rPr>
            <w:noProof/>
            <w:webHidden/>
          </w:rPr>
          <w:instrText xml:space="preserve"> PAGEREF _Toc35861150 \h </w:instrText>
        </w:r>
        <w:r>
          <w:rPr>
            <w:noProof/>
            <w:webHidden/>
          </w:rPr>
        </w:r>
        <w:r>
          <w:rPr>
            <w:noProof/>
            <w:webHidden/>
          </w:rPr>
          <w:fldChar w:fldCharType="separate"/>
        </w:r>
        <w:r>
          <w:rPr>
            <w:noProof/>
            <w:webHidden/>
          </w:rPr>
          <w:t>260</w:t>
        </w:r>
        <w:r>
          <w:rPr>
            <w:noProof/>
            <w:webHidden/>
          </w:rPr>
          <w:fldChar w:fldCharType="end"/>
        </w:r>
      </w:hyperlink>
    </w:p>
    <w:p w14:paraId="4A489B48" w14:textId="1AAF162F" w:rsidR="00BD7E1A" w:rsidRDefault="00BD7E1A">
      <w:pPr>
        <w:pStyle w:val="TOC2"/>
        <w:rPr>
          <w:rFonts w:asciiTheme="minorHAnsi" w:eastAsiaTheme="minorEastAsia" w:hAnsiTheme="minorHAnsi" w:cstheme="minorBidi"/>
          <w:noProof/>
          <w:sz w:val="22"/>
        </w:rPr>
      </w:pPr>
      <w:hyperlink w:anchor="_Toc35861151" w:history="1">
        <w:r w:rsidRPr="008B6254">
          <w:rPr>
            <w:rStyle w:val="Hyperlink"/>
            <w:noProof/>
          </w:rPr>
          <w:t>Appendix B: Applied biomarker analysis workflow and analytical techniques</w:t>
        </w:r>
        <w:r>
          <w:rPr>
            <w:noProof/>
            <w:webHidden/>
          </w:rPr>
          <w:tab/>
        </w:r>
        <w:r>
          <w:rPr>
            <w:noProof/>
            <w:webHidden/>
          </w:rPr>
          <w:fldChar w:fldCharType="begin"/>
        </w:r>
        <w:r>
          <w:rPr>
            <w:noProof/>
            <w:webHidden/>
          </w:rPr>
          <w:instrText xml:space="preserve"> PAGEREF _Toc35861151 \h </w:instrText>
        </w:r>
        <w:r>
          <w:rPr>
            <w:noProof/>
            <w:webHidden/>
          </w:rPr>
        </w:r>
        <w:r>
          <w:rPr>
            <w:noProof/>
            <w:webHidden/>
          </w:rPr>
          <w:fldChar w:fldCharType="separate"/>
        </w:r>
        <w:r>
          <w:rPr>
            <w:noProof/>
            <w:webHidden/>
          </w:rPr>
          <w:t>272</w:t>
        </w:r>
        <w:r>
          <w:rPr>
            <w:noProof/>
            <w:webHidden/>
          </w:rPr>
          <w:fldChar w:fldCharType="end"/>
        </w:r>
      </w:hyperlink>
    </w:p>
    <w:p w14:paraId="5E79EBF4" w14:textId="204C148C" w:rsidR="00BD7E1A" w:rsidRDefault="00BD7E1A">
      <w:pPr>
        <w:pStyle w:val="TOC2"/>
        <w:rPr>
          <w:rFonts w:asciiTheme="minorHAnsi" w:eastAsiaTheme="minorEastAsia" w:hAnsiTheme="minorHAnsi" w:cstheme="minorBidi"/>
          <w:noProof/>
          <w:sz w:val="22"/>
        </w:rPr>
      </w:pPr>
      <w:hyperlink w:anchor="_Toc35861152" w:history="1">
        <w:r w:rsidRPr="008B6254">
          <w:rPr>
            <w:rStyle w:val="Hyperlink"/>
            <w:noProof/>
          </w:rPr>
          <w:t>Appendix C: Rock-Eval pyrolysis characterization of Woodford Shale core, cutting, and outcrop samples. Organic facies identification and its variations in the different study areas of the Institute of Reservoir Characterization (IRC).</w:t>
        </w:r>
        <w:r>
          <w:rPr>
            <w:noProof/>
            <w:webHidden/>
          </w:rPr>
          <w:tab/>
        </w:r>
        <w:r>
          <w:rPr>
            <w:noProof/>
            <w:webHidden/>
          </w:rPr>
          <w:fldChar w:fldCharType="begin"/>
        </w:r>
        <w:r>
          <w:rPr>
            <w:noProof/>
            <w:webHidden/>
          </w:rPr>
          <w:instrText xml:space="preserve"> PAGEREF _Toc35861152 \h </w:instrText>
        </w:r>
        <w:r>
          <w:rPr>
            <w:noProof/>
            <w:webHidden/>
          </w:rPr>
        </w:r>
        <w:r>
          <w:rPr>
            <w:noProof/>
            <w:webHidden/>
          </w:rPr>
          <w:fldChar w:fldCharType="separate"/>
        </w:r>
        <w:r>
          <w:rPr>
            <w:noProof/>
            <w:webHidden/>
          </w:rPr>
          <w:t>278</w:t>
        </w:r>
        <w:r>
          <w:rPr>
            <w:noProof/>
            <w:webHidden/>
          </w:rPr>
          <w:fldChar w:fldCharType="end"/>
        </w:r>
      </w:hyperlink>
    </w:p>
    <w:p w14:paraId="065DC9EF" w14:textId="74FF229E" w:rsidR="00BD7E1A" w:rsidRDefault="00BD7E1A">
      <w:pPr>
        <w:pStyle w:val="TOC2"/>
        <w:rPr>
          <w:rFonts w:asciiTheme="minorHAnsi" w:eastAsiaTheme="minorEastAsia" w:hAnsiTheme="minorHAnsi" w:cstheme="minorBidi"/>
          <w:noProof/>
          <w:sz w:val="22"/>
        </w:rPr>
      </w:pPr>
      <w:hyperlink w:anchor="_Toc35861153" w:history="1">
        <w:r w:rsidRPr="008B6254">
          <w:rPr>
            <w:rStyle w:val="Hyperlink"/>
            <w:noProof/>
          </w:rPr>
          <w:t>Appendix D: Organic compound structures in literature and in Chapter III biomarker analysis.</w:t>
        </w:r>
        <w:r>
          <w:rPr>
            <w:noProof/>
            <w:webHidden/>
          </w:rPr>
          <w:tab/>
        </w:r>
        <w:r>
          <w:rPr>
            <w:noProof/>
            <w:webHidden/>
          </w:rPr>
          <w:fldChar w:fldCharType="begin"/>
        </w:r>
        <w:r>
          <w:rPr>
            <w:noProof/>
            <w:webHidden/>
          </w:rPr>
          <w:instrText xml:space="preserve"> PAGEREF _Toc35861153 \h </w:instrText>
        </w:r>
        <w:r>
          <w:rPr>
            <w:noProof/>
            <w:webHidden/>
          </w:rPr>
        </w:r>
        <w:r>
          <w:rPr>
            <w:noProof/>
            <w:webHidden/>
          </w:rPr>
          <w:fldChar w:fldCharType="separate"/>
        </w:r>
        <w:r>
          <w:rPr>
            <w:noProof/>
            <w:webHidden/>
          </w:rPr>
          <w:t>318</w:t>
        </w:r>
        <w:r>
          <w:rPr>
            <w:noProof/>
            <w:webHidden/>
          </w:rPr>
          <w:fldChar w:fldCharType="end"/>
        </w:r>
      </w:hyperlink>
    </w:p>
    <w:p w14:paraId="2995CDA7" w14:textId="57188494" w:rsidR="00D8171F" w:rsidRDefault="00D8171F">
      <w:pPr>
        <w:rPr>
          <w:b/>
          <w:bCs/>
          <w:noProof/>
        </w:rPr>
      </w:pPr>
      <w:r>
        <w:rPr>
          <w:b/>
          <w:bCs/>
          <w:noProof/>
        </w:rPr>
        <w:fldChar w:fldCharType="end"/>
      </w:r>
    </w:p>
    <w:p w14:paraId="64E43EDD" w14:textId="2D8C0C5B" w:rsidR="00B16CB0" w:rsidRDefault="00B16CB0">
      <w:pPr>
        <w:rPr>
          <w:b/>
          <w:bCs/>
          <w:noProof/>
        </w:rPr>
      </w:pPr>
    </w:p>
    <w:p w14:paraId="70C2D453" w14:textId="7D58691D" w:rsidR="00B16CB0" w:rsidRDefault="00B16CB0">
      <w:pPr>
        <w:rPr>
          <w:b/>
          <w:bCs/>
          <w:noProof/>
        </w:rPr>
      </w:pPr>
    </w:p>
    <w:p w14:paraId="43C56C34" w14:textId="07D4EBAC" w:rsidR="00B16CB0" w:rsidRDefault="00B16CB0">
      <w:pPr>
        <w:rPr>
          <w:b/>
          <w:bCs/>
          <w:noProof/>
        </w:rPr>
      </w:pPr>
    </w:p>
    <w:p w14:paraId="0E61E4BA" w14:textId="5C9072BC" w:rsidR="00B16CB0" w:rsidRDefault="00B16CB0">
      <w:pPr>
        <w:rPr>
          <w:b/>
          <w:bCs/>
          <w:noProof/>
        </w:rPr>
      </w:pPr>
    </w:p>
    <w:p w14:paraId="2C8E74DC" w14:textId="7025D83D" w:rsidR="00B16CB0" w:rsidRDefault="00B16CB0">
      <w:pPr>
        <w:rPr>
          <w:b/>
          <w:bCs/>
          <w:noProof/>
        </w:rPr>
      </w:pPr>
    </w:p>
    <w:p w14:paraId="76E57E77" w14:textId="5D31810E" w:rsidR="00B16CB0" w:rsidRDefault="00B16CB0">
      <w:pPr>
        <w:rPr>
          <w:b/>
          <w:bCs/>
          <w:noProof/>
        </w:rPr>
      </w:pPr>
    </w:p>
    <w:p w14:paraId="4F30F098" w14:textId="238AD063" w:rsidR="00B16CB0" w:rsidRDefault="00B16CB0">
      <w:pPr>
        <w:rPr>
          <w:b/>
          <w:bCs/>
          <w:noProof/>
        </w:rPr>
      </w:pPr>
    </w:p>
    <w:p w14:paraId="1F691F4A" w14:textId="1EE20BA3" w:rsidR="00B16CB0" w:rsidRDefault="00B16CB0">
      <w:pPr>
        <w:rPr>
          <w:b/>
          <w:bCs/>
          <w:noProof/>
        </w:rPr>
      </w:pPr>
    </w:p>
    <w:p w14:paraId="60E53711" w14:textId="547E729F" w:rsidR="00B16CB0" w:rsidRDefault="00B16CB0">
      <w:pPr>
        <w:rPr>
          <w:b/>
          <w:bCs/>
          <w:noProof/>
        </w:rPr>
      </w:pPr>
    </w:p>
    <w:p w14:paraId="120029BD" w14:textId="2B4DE152" w:rsidR="00B16CB0" w:rsidRDefault="00B16CB0">
      <w:pPr>
        <w:rPr>
          <w:b/>
          <w:bCs/>
          <w:noProof/>
        </w:rPr>
      </w:pPr>
    </w:p>
    <w:p w14:paraId="65C9E054" w14:textId="0CAFD2AE" w:rsidR="00B16CB0" w:rsidRDefault="00B16CB0">
      <w:pPr>
        <w:rPr>
          <w:b/>
          <w:bCs/>
          <w:noProof/>
        </w:rPr>
      </w:pPr>
    </w:p>
    <w:p w14:paraId="503220B8" w14:textId="2E1E25EF" w:rsidR="00B16CB0" w:rsidRDefault="00B16CB0">
      <w:pPr>
        <w:rPr>
          <w:b/>
          <w:bCs/>
          <w:noProof/>
        </w:rPr>
      </w:pPr>
    </w:p>
    <w:p w14:paraId="5D3FB515" w14:textId="3491FBE8" w:rsidR="00772A14" w:rsidRPr="00F5746A" w:rsidRDefault="000A06EE" w:rsidP="00DD25CB">
      <w:pPr>
        <w:pStyle w:val="Heading1"/>
      </w:pPr>
      <w:bookmarkStart w:id="10" w:name="_Toc35861071"/>
      <w:r>
        <w:lastRenderedPageBreak/>
        <w:t>List</w:t>
      </w:r>
      <w:r w:rsidR="00772A14" w:rsidRPr="00F5746A">
        <w:t xml:space="preserve"> of </w:t>
      </w:r>
      <w:r w:rsidR="00B703B6">
        <w:t>f</w:t>
      </w:r>
      <w:r w:rsidR="00772A14" w:rsidRPr="00F5746A">
        <w:t>igures</w:t>
      </w:r>
      <w:bookmarkEnd w:id="10"/>
    </w:p>
    <w:p w14:paraId="0DD9DEA6" w14:textId="6FA59232" w:rsidR="00BD7E1A" w:rsidRDefault="00772A14">
      <w:pPr>
        <w:pStyle w:val="TableofFigures"/>
        <w:tabs>
          <w:tab w:val="right" w:leader="dot" w:pos="9350"/>
        </w:tabs>
        <w:rPr>
          <w:rFonts w:asciiTheme="minorHAnsi" w:eastAsiaTheme="minorEastAsia" w:hAnsiTheme="minorHAnsi" w:cstheme="minorBidi"/>
          <w:bCs w:val="0"/>
          <w:sz w:val="22"/>
          <w:szCs w:val="22"/>
          <w:lang w:eastAsia="en-US" w:bidi="ar-SA"/>
        </w:rPr>
      </w:pPr>
      <w:r>
        <w:fldChar w:fldCharType="begin"/>
      </w:r>
      <w:r>
        <w:instrText xml:space="preserve"> TOC \h \z \t "Caption" \c </w:instrText>
      </w:r>
      <w:r>
        <w:fldChar w:fldCharType="separate"/>
      </w:r>
      <w:hyperlink w:anchor="_Toc35861154" w:history="1">
        <w:r w:rsidR="00BD7E1A" w:rsidRPr="00713F3D">
          <w:rPr>
            <w:rStyle w:val="Hyperlink"/>
            <w:rFonts w:eastAsia="MS Mincho"/>
            <w:b/>
          </w:rPr>
          <w:t xml:space="preserve">Figure 1.1. </w:t>
        </w:r>
        <w:r w:rsidR="00BD7E1A" w:rsidRPr="00713F3D">
          <w:rPr>
            <w:rStyle w:val="Hyperlink"/>
            <w:rFonts w:eastAsia="MS Mincho"/>
          </w:rPr>
          <w:t>U.S. shale gas plays, Lower 48 states (EIA June 30, 2016). Source: Energy Information Administration (EIA), 2016.</w:t>
        </w:r>
        <w:r w:rsidR="00BD7E1A">
          <w:rPr>
            <w:webHidden/>
          </w:rPr>
          <w:tab/>
        </w:r>
        <w:r w:rsidR="00BD7E1A">
          <w:rPr>
            <w:webHidden/>
          </w:rPr>
          <w:fldChar w:fldCharType="begin"/>
        </w:r>
        <w:r w:rsidR="00BD7E1A">
          <w:rPr>
            <w:webHidden/>
          </w:rPr>
          <w:instrText xml:space="preserve"> PAGEREF _Toc35861154 \h </w:instrText>
        </w:r>
        <w:r w:rsidR="00BD7E1A">
          <w:rPr>
            <w:webHidden/>
          </w:rPr>
        </w:r>
        <w:r w:rsidR="00BD7E1A">
          <w:rPr>
            <w:webHidden/>
          </w:rPr>
          <w:fldChar w:fldCharType="separate"/>
        </w:r>
        <w:r w:rsidR="00BD7E1A">
          <w:rPr>
            <w:webHidden/>
          </w:rPr>
          <w:t>2</w:t>
        </w:r>
        <w:r w:rsidR="00BD7E1A">
          <w:rPr>
            <w:webHidden/>
          </w:rPr>
          <w:fldChar w:fldCharType="end"/>
        </w:r>
      </w:hyperlink>
    </w:p>
    <w:p w14:paraId="7A3F30C9" w14:textId="587DFDF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55" w:history="1">
        <w:r w:rsidRPr="00713F3D">
          <w:rPr>
            <w:rStyle w:val="Hyperlink"/>
            <w:rFonts w:eastAsia="MS Mincho"/>
            <w:b/>
          </w:rPr>
          <w:t xml:space="preserve">Figure 1.2. </w:t>
        </w:r>
        <w:r w:rsidRPr="00713F3D">
          <w:rPr>
            <w:rStyle w:val="Hyperlink"/>
            <w:rFonts w:eastAsia="MS Mincho"/>
          </w:rPr>
          <w:t>State of Oklahoma Sedimentary basins. Modified after Energy Information Administration (2016), and Liborius et al. (2017).</w:t>
        </w:r>
        <w:r>
          <w:rPr>
            <w:webHidden/>
          </w:rPr>
          <w:tab/>
        </w:r>
        <w:r>
          <w:rPr>
            <w:webHidden/>
          </w:rPr>
          <w:fldChar w:fldCharType="begin"/>
        </w:r>
        <w:r>
          <w:rPr>
            <w:webHidden/>
          </w:rPr>
          <w:instrText xml:space="preserve"> PAGEREF _Toc35861155 \h </w:instrText>
        </w:r>
        <w:r>
          <w:rPr>
            <w:webHidden/>
          </w:rPr>
        </w:r>
        <w:r>
          <w:rPr>
            <w:webHidden/>
          </w:rPr>
          <w:fldChar w:fldCharType="separate"/>
        </w:r>
        <w:r>
          <w:rPr>
            <w:webHidden/>
          </w:rPr>
          <w:t>3</w:t>
        </w:r>
        <w:r>
          <w:rPr>
            <w:webHidden/>
          </w:rPr>
          <w:fldChar w:fldCharType="end"/>
        </w:r>
      </w:hyperlink>
    </w:p>
    <w:p w14:paraId="653F8ED8" w14:textId="31E6A19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56" w:history="1">
        <w:r w:rsidRPr="00713F3D">
          <w:rPr>
            <w:rStyle w:val="Hyperlink"/>
            <w:rFonts w:eastAsia="MS Mincho"/>
            <w:b/>
          </w:rPr>
          <w:t>Figure 1.3</w:t>
        </w:r>
        <w:r w:rsidRPr="00713F3D">
          <w:rPr>
            <w:rStyle w:val="Hyperlink"/>
            <w:rFonts w:eastAsia="MS Mincho"/>
          </w:rPr>
          <w:t>. Mid-Continent USA, Oklahoman petroleum provinces. This study mainly relies on the STACK-SCOOP-Cherokee platform areas. Modified from Liborius et al. (2017).</w:t>
        </w:r>
        <w:r>
          <w:rPr>
            <w:webHidden/>
          </w:rPr>
          <w:tab/>
        </w:r>
        <w:r>
          <w:rPr>
            <w:webHidden/>
          </w:rPr>
          <w:fldChar w:fldCharType="begin"/>
        </w:r>
        <w:r>
          <w:rPr>
            <w:webHidden/>
          </w:rPr>
          <w:instrText xml:space="preserve"> PAGEREF _Toc35861156 \h </w:instrText>
        </w:r>
        <w:r>
          <w:rPr>
            <w:webHidden/>
          </w:rPr>
        </w:r>
        <w:r>
          <w:rPr>
            <w:webHidden/>
          </w:rPr>
          <w:fldChar w:fldCharType="separate"/>
        </w:r>
        <w:r>
          <w:rPr>
            <w:webHidden/>
          </w:rPr>
          <w:t>4</w:t>
        </w:r>
        <w:r>
          <w:rPr>
            <w:webHidden/>
          </w:rPr>
          <w:fldChar w:fldCharType="end"/>
        </w:r>
      </w:hyperlink>
    </w:p>
    <w:p w14:paraId="5257F02D" w14:textId="7DAD0FF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57" w:history="1">
        <w:r w:rsidRPr="00713F3D">
          <w:rPr>
            <w:rStyle w:val="Hyperlink"/>
            <w:rFonts w:eastAsia="MS Mincho"/>
            <w:b/>
          </w:rPr>
          <w:t>Figure 1.4.</w:t>
        </w:r>
        <w:r w:rsidRPr="00713F3D">
          <w:rPr>
            <w:rStyle w:val="Hyperlink"/>
            <w:rFonts w:eastAsia="MS Mincho"/>
          </w:rPr>
          <w:t xml:space="preserve"> Woodford Shale general stratigraphic chart that highlights the significant unconformities at the base of the formation in the Oklahoman basins. Modified from Slatt (2016), and Liborius et al. (2017).</w:t>
        </w:r>
        <w:r>
          <w:rPr>
            <w:webHidden/>
          </w:rPr>
          <w:tab/>
        </w:r>
        <w:r>
          <w:rPr>
            <w:webHidden/>
          </w:rPr>
          <w:fldChar w:fldCharType="begin"/>
        </w:r>
        <w:r>
          <w:rPr>
            <w:webHidden/>
          </w:rPr>
          <w:instrText xml:space="preserve"> PAGEREF _Toc35861157 \h </w:instrText>
        </w:r>
        <w:r>
          <w:rPr>
            <w:webHidden/>
          </w:rPr>
        </w:r>
        <w:r>
          <w:rPr>
            <w:webHidden/>
          </w:rPr>
          <w:fldChar w:fldCharType="separate"/>
        </w:r>
        <w:r>
          <w:rPr>
            <w:webHidden/>
          </w:rPr>
          <w:t>5</w:t>
        </w:r>
        <w:r>
          <w:rPr>
            <w:webHidden/>
          </w:rPr>
          <w:fldChar w:fldCharType="end"/>
        </w:r>
      </w:hyperlink>
    </w:p>
    <w:p w14:paraId="12A5C3EB" w14:textId="4D6ACBE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58" w:history="1">
        <w:r w:rsidRPr="00713F3D">
          <w:rPr>
            <w:rStyle w:val="Hyperlink"/>
            <w:rFonts w:eastAsia="MS Mincho"/>
            <w:b/>
            <w:shd w:val="clear" w:color="auto" w:fill="FFFFFF"/>
          </w:rPr>
          <w:t>Figure 1.5.</w:t>
        </w:r>
        <w:r w:rsidRPr="00713F3D">
          <w:rPr>
            <w:rStyle w:val="Hyperlink"/>
            <w:rFonts w:eastAsia="MS Mincho"/>
            <w:shd w:val="clear" w:color="auto" w:fill="FFFFFF"/>
          </w:rPr>
          <w:t xml:space="preserve"> A schematic cross-section that shows the transition of a marine platform from shoreface deposits (more sand, mud, and gravel content), towards the transitional shelf (more mud deposits) and deeper open ocean waters beyond the shelf break. Hampson et al. (2017).</w:t>
        </w:r>
        <w:r>
          <w:rPr>
            <w:webHidden/>
          </w:rPr>
          <w:tab/>
        </w:r>
        <w:r>
          <w:rPr>
            <w:webHidden/>
          </w:rPr>
          <w:fldChar w:fldCharType="begin"/>
        </w:r>
        <w:r>
          <w:rPr>
            <w:webHidden/>
          </w:rPr>
          <w:instrText xml:space="preserve"> PAGEREF _Toc35861158 \h </w:instrText>
        </w:r>
        <w:r>
          <w:rPr>
            <w:webHidden/>
          </w:rPr>
        </w:r>
        <w:r>
          <w:rPr>
            <w:webHidden/>
          </w:rPr>
          <w:fldChar w:fldCharType="separate"/>
        </w:r>
        <w:r>
          <w:rPr>
            <w:webHidden/>
          </w:rPr>
          <w:t>8</w:t>
        </w:r>
        <w:r>
          <w:rPr>
            <w:webHidden/>
          </w:rPr>
          <w:fldChar w:fldCharType="end"/>
        </w:r>
      </w:hyperlink>
    </w:p>
    <w:p w14:paraId="7C59D27A" w14:textId="4DA55DB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59" w:history="1">
        <w:r w:rsidRPr="00713F3D">
          <w:rPr>
            <w:rStyle w:val="Hyperlink"/>
            <w:rFonts w:eastAsia="MS Mincho"/>
            <w:b/>
          </w:rPr>
          <w:t>Figure 1.6.</w:t>
        </w:r>
        <w:r w:rsidRPr="00713F3D">
          <w:rPr>
            <w:rStyle w:val="Hyperlink"/>
            <w:rFonts w:eastAsia="MS Mincho"/>
          </w:rPr>
          <w:t xml:space="preserve"> Depositional Model of the Woodford Shale through the Devonian sea-level variation (Slatt 2016; Torres-Parada et al., 2017). Note at the initial stages of falling sea levels the water isolation and restricted circulation over valley/karst filled areas. SB = sequence boundary; TSE = transgressive surface of erosion. Modified from Bauernfeind (1980) and Slatt (2016).</w:t>
        </w:r>
        <w:r>
          <w:rPr>
            <w:webHidden/>
          </w:rPr>
          <w:tab/>
        </w:r>
        <w:r>
          <w:rPr>
            <w:webHidden/>
          </w:rPr>
          <w:fldChar w:fldCharType="begin"/>
        </w:r>
        <w:r>
          <w:rPr>
            <w:webHidden/>
          </w:rPr>
          <w:instrText xml:space="preserve"> PAGEREF _Toc35861159 \h </w:instrText>
        </w:r>
        <w:r>
          <w:rPr>
            <w:webHidden/>
          </w:rPr>
        </w:r>
        <w:r>
          <w:rPr>
            <w:webHidden/>
          </w:rPr>
          <w:fldChar w:fldCharType="separate"/>
        </w:r>
        <w:r>
          <w:rPr>
            <w:webHidden/>
          </w:rPr>
          <w:t>10</w:t>
        </w:r>
        <w:r>
          <w:rPr>
            <w:webHidden/>
          </w:rPr>
          <w:fldChar w:fldCharType="end"/>
        </w:r>
      </w:hyperlink>
    </w:p>
    <w:p w14:paraId="1CEC96CC" w14:textId="4BBDFAE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0" w:history="1">
        <w:r w:rsidRPr="00713F3D">
          <w:rPr>
            <w:rStyle w:val="Hyperlink"/>
            <w:rFonts w:eastAsia="MS Mincho"/>
            <w:b/>
          </w:rPr>
          <w:t>Figure 1.7.</w:t>
        </w:r>
        <w:r w:rsidRPr="00713F3D">
          <w:rPr>
            <w:rStyle w:val="Hyperlink"/>
            <w:rFonts w:eastAsia="MS Mincho"/>
          </w:rPr>
          <w:t xml:space="preserve"> Stratigraphic variations in various biomarker ratios for the Woodford Shale in the Wyche Quarry, Oklahoma (Miceli-Romero, 2010).</w:t>
        </w:r>
        <w:r>
          <w:rPr>
            <w:webHidden/>
          </w:rPr>
          <w:tab/>
        </w:r>
        <w:r>
          <w:rPr>
            <w:webHidden/>
          </w:rPr>
          <w:fldChar w:fldCharType="begin"/>
        </w:r>
        <w:r>
          <w:rPr>
            <w:webHidden/>
          </w:rPr>
          <w:instrText xml:space="preserve"> PAGEREF _Toc35861160 \h </w:instrText>
        </w:r>
        <w:r>
          <w:rPr>
            <w:webHidden/>
          </w:rPr>
        </w:r>
        <w:r>
          <w:rPr>
            <w:webHidden/>
          </w:rPr>
          <w:fldChar w:fldCharType="separate"/>
        </w:r>
        <w:r>
          <w:rPr>
            <w:webHidden/>
          </w:rPr>
          <w:t>13</w:t>
        </w:r>
        <w:r>
          <w:rPr>
            <w:webHidden/>
          </w:rPr>
          <w:fldChar w:fldCharType="end"/>
        </w:r>
      </w:hyperlink>
    </w:p>
    <w:p w14:paraId="3B61C8FB" w14:textId="57B618F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1" w:history="1">
        <w:r w:rsidRPr="00713F3D">
          <w:rPr>
            <w:rStyle w:val="Hyperlink"/>
            <w:rFonts w:eastAsia="MS Mincho"/>
            <w:b/>
          </w:rPr>
          <w:t>Figure 1.8.</w:t>
        </w:r>
        <w:r w:rsidRPr="00713F3D">
          <w:rPr>
            <w:rStyle w:val="Hyperlink"/>
            <w:rFonts w:eastAsia="MS Mincho"/>
          </w:rPr>
          <w:t xml:space="preserve">  Gamma-ray, TOC profile, and sequence stratigraphy of the Woodford Shale from the Wyche quarry, Oklahoma (modified from Slatt et al., 2012), correlated with a nearby subsurface well. The Woodford is a 2</w:t>
        </w:r>
        <w:r w:rsidRPr="00713F3D">
          <w:rPr>
            <w:rStyle w:val="Hyperlink"/>
            <w:rFonts w:eastAsia="MS Mincho"/>
            <w:vertAlign w:val="superscript"/>
          </w:rPr>
          <w:t>nd</w:t>
        </w:r>
        <w:r w:rsidRPr="00713F3D">
          <w:rPr>
            <w:rStyle w:val="Hyperlink"/>
            <w:rFonts w:eastAsia="MS Mincho"/>
          </w:rPr>
          <w:t xml:space="preserve"> order sequence with many higher frequency sequences superimposed. Inset shows the downlap pattern of the 2</w:t>
        </w:r>
        <w:r w:rsidRPr="00713F3D">
          <w:rPr>
            <w:rStyle w:val="Hyperlink"/>
            <w:rFonts w:eastAsia="MS Mincho"/>
            <w:vertAlign w:val="superscript"/>
          </w:rPr>
          <w:t>nd</w:t>
        </w:r>
        <w:r w:rsidRPr="00713F3D">
          <w:rPr>
            <w:rStyle w:val="Hyperlink"/>
            <w:rFonts w:eastAsia="MS Mincho"/>
          </w:rPr>
          <w:t xml:space="preserve"> order HST/RST onto the lowermost Woodford (after May and Anderson, 2010).</w:t>
        </w:r>
        <w:r>
          <w:rPr>
            <w:webHidden/>
          </w:rPr>
          <w:tab/>
        </w:r>
        <w:r>
          <w:rPr>
            <w:webHidden/>
          </w:rPr>
          <w:fldChar w:fldCharType="begin"/>
        </w:r>
        <w:r>
          <w:rPr>
            <w:webHidden/>
          </w:rPr>
          <w:instrText xml:space="preserve"> PAGEREF _Toc35861161 \h </w:instrText>
        </w:r>
        <w:r>
          <w:rPr>
            <w:webHidden/>
          </w:rPr>
        </w:r>
        <w:r>
          <w:rPr>
            <w:webHidden/>
          </w:rPr>
          <w:fldChar w:fldCharType="separate"/>
        </w:r>
        <w:r>
          <w:rPr>
            <w:webHidden/>
          </w:rPr>
          <w:t>16</w:t>
        </w:r>
        <w:r>
          <w:rPr>
            <w:webHidden/>
          </w:rPr>
          <w:fldChar w:fldCharType="end"/>
        </w:r>
      </w:hyperlink>
    </w:p>
    <w:p w14:paraId="316819DB" w14:textId="6F5CDB9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2" w:history="1">
        <w:r w:rsidRPr="00713F3D">
          <w:rPr>
            <w:rStyle w:val="Hyperlink"/>
            <w:rFonts w:eastAsia="MS Mincho"/>
            <w:b/>
            <w:iCs/>
          </w:rPr>
          <w:t>Figure 1.9.</w:t>
        </w:r>
        <w:r w:rsidRPr="00713F3D">
          <w:rPr>
            <w:rStyle w:val="Hyperlink"/>
            <w:rFonts w:eastAsia="MS Mincho"/>
            <w:i/>
          </w:rPr>
          <w:t xml:space="preserve">  </w:t>
        </w:r>
        <w:r w:rsidRPr="00713F3D">
          <w:rPr>
            <w:rStyle w:val="Hyperlink"/>
            <w:rFonts w:eastAsia="MS Mincho"/>
            <w:iCs/>
          </w:rPr>
          <w:t>Interpreted</w:t>
        </w:r>
        <w:r w:rsidRPr="00713F3D">
          <w:rPr>
            <w:rStyle w:val="Hyperlink"/>
            <w:rFonts w:eastAsia="MS Mincho"/>
            <w:i/>
          </w:rPr>
          <w:t xml:space="preserve"> </w:t>
        </w:r>
        <w:r w:rsidRPr="00713F3D">
          <w:rPr>
            <w:rStyle w:val="Hyperlink"/>
            <w:rFonts w:eastAsia="MS Mincho"/>
          </w:rPr>
          <w:t>sequence stratigraphy and third-order cycles of the Woodford Shale in Pontotoc County, Oklahoma, proposed by Serna-Bernal (2012) and Molinares (2013). SB= sequence boundary; TSE=transgressive surface of erosion; TST= transgressive system tract; HST= highstand system tracts; CS= condensed section; MFS= maximum flooding surface.</w:t>
        </w:r>
        <w:r>
          <w:rPr>
            <w:webHidden/>
          </w:rPr>
          <w:tab/>
        </w:r>
        <w:r>
          <w:rPr>
            <w:webHidden/>
          </w:rPr>
          <w:fldChar w:fldCharType="begin"/>
        </w:r>
        <w:r>
          <w:rPr>
            <w:webHidden/>
          </w:rPr>
          <w:instrText xml:space="preserve"> PAGEREF _Toc35861162 \h </w:instrText>
        </w:r>
        <w:r>
          <w:rPr>
            <w:webHidden/>
          </w:rPr>
        </w:r>
        <w:r>
          <w:rPr>
            <w:webHidden/>
          </w:rPr>
          <w:fldChar w:fldCharType="separate"/>
        </w:r>
        <w:r>
          <w:rPr>
            <w:webHidden/>
          </w:rPr>
          <w:t>17</w:t>
        </w:r>
        <w:r>
          <w:rPr>
            <w:webHidden/>
          </w:rPr>
          <w:fldChar w:fldCharType="end"/>
        </w:r>
      </w:hyperlink>
    </w:p>
    <w:p w14:paraId="01B4A3C7" w14:textId="579CB84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3" w:history="1">
        <w:r w:rsidRPr="00713F3D">
          <w:rPr>
            <w:rStyle w:val="Hyperlink"/>
            <w:rFonts w:eastAsia="MS Mincho"/>
            <w:b/>
          </w:rPr>
          <w:t>Figure 1.10.</w:t>
        </w:r>
        <w:r w:rsidRPr="00713F3D">
          <w:rPr>
            <w:rStyle w:val="Hyperlink"/>
            <w:rFonts w:eastAsia="MS Mincho"/>
          </w:rPr>
          <w:t xml:space="preserve"> Irregular unconformity surface at the base of the Woodford Shale (top of the Hunton), and an overlying incised valley or collapsed cave fill was sitting on the unconformity (purple color), identified by Althoff (2012) and Infante-Paez et al. (2016). These local depocenters are proposed as mini-basin fill (indicated by the orange arrows).</w:t>
        </w:r>
        <w:r>
          <w:rPr>
            <w:webHidden/>
          </w:rPr>
          <w:tab/>
        </w:r>
        <w:r>
          <w:rPr>
            <w:webHidden/>
          </w:rPr>
          <w:fldChar w:fldCharType="begin"/>
        </w:r>
        <w:r>
          <w:rPr>
            <w:webHidden/>
          </w:rPr>
          <w:instrText xml:space="preserve"> PAGEREF _Toc35861163 \h </w:instrText>
        </w:r>
        <w:r>
          <w:rPr>
            <w:webHidden/>
          </w:rPr>
        </w:r>
        <w:r>
          <w:rPr>
            <w:webHidden/>
          </w:rPr>
          <w:fldChar w:fldCharType="separate"/>
        </w:r>
        <w:r>
          <w:rPr>
            <w:webHidden/>
          </w:rPr>
          <w:t>21</w:t>
        </w:r>
        <w:r>
          <w:rPr>
            <w:webHidden/>
          </w:rPr>
          <w:fldChar w:fldCharType="end"/>
        </w:r>
      </w:hyperlink>
    </w:p>
    <w:p w14:paraId="09FBCC22" w14:textId="64E85B1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4" w:history="1">
        <w:r w:rsidRPr="00713F3D">
          <w:rPr>
            <w:rStyle w:val="Hyperlink"/>
            <w:rFonts w:eastAsia="MS Mincho"/>
            <w:b/>
          </w:rPr>
          <w:t>Figure 2.1.</w:t>
        </w:r>
        <w:r w:rsidRPr="00713F3D">
          <w:rPr>
            <w:rStyle w:val="Hyperlink"/>
            <w:rFonts w:eastAsia="MS Mincho"/>
          </w:rPr>
          <w:t xml:space="preserve"> Location map of the Cherokee platform (res square of the map), and principal geologic provinces in Oklahoma (in light blue; after Northcutt et al., 2001); Image on the right corresponds to the stratigraphic chart for the Arkoma basin, southeastern Oklahoma (Modified after Perry, 1995).</w:t>
        </w:r>
        <w:r>
          <w:rPr>
            <w:webHidden/>
          </w:rPr>
          <w:tab/>
        </w:r>
        <w:r>
          <w:rPr>
            <w:webHidden/>
          </w:rPr>
          <w:fldChar w:fldCharType="begin"/>
        </w:r>
        <w:r>
          <w:rPr>
            <w:webHidden/>
          </w:rPr>
          <w:instrText xml:space="preserve"> PAGEREF _Toc35861164 \h </w:instrText>
        </w:r>
        <w:r>
          <w:rPr>
            <w:webHidden/>
          </w:rPr>
        </w:r>
        <w:r>
          <w:rPr>
            <w:webHidden/>
          </w:rPr>
          <w:fldChar w:fldCharType="separate"/>
        </w:r>
        <w:r>
          <w:rPr>
            <w:webHidden/>
          </w:rPr>
          <w:t>41</w:t>
        </w:r>
        <w:r>
          <w:rPr>
            <w:webHidden/>
          </w:rPr>
          <w:fldChar w:fldCharType="end"/>
        </w:r>
      </w:hyperlink>
    </w:p>
    <w:p w14:paraId="1BD2E8BB" w14:textId="36923EF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5" w:history="1">
        <w:r w:rsidRPr="00713F3D">
          <w:rPr>
            <w:rStyle w:val="Hyperlink"/>
            <w:rFonts w:eastAsia="MS Mincho"/>
            <w:b/>
          </w:rPr>
          <w:t xml:space="preserve">Figure 2.2. </w:t>
        </w:r>
        <w:r w:rsidRPr="00713F3D">
          <w:rPr>
            <w:rStyle w:val="Hyperlink"/>
            <w:rFonts w:eastAsia="MS Mincho"/>
          </w:rPr>
          <w:t xml:space="preserve">Regional isopach maps created from well tops by McCullough (2014). On the left, the Hunton group regional thickness map. On the right, the Woodford Shale regional thickness map. </w:t>
        </w:r>
        <w:r w:rsidRPr="00713F3D">
          <w:rPr>
            <w:rStyle w:val="Hyperlink"/>
            <w:rFonts w:eastAsia="MS Mincho"/>
          </w:rPr>
          <w:lastRenderedPageBreak/>
          <w:t>The study area is located in the red box of the southeast Pottawatomie and Pontotoc border, Oklahoma U.S.A. Note the inverse correlation of the formation thickness, where the Hunton is eroded the Woodford Shale is thicker than the areas where the Hunton is thick and preserve; this is attributed to the depositional model of the Woodford Shale where karstifications and lowstand incised valley formation occur to the Hunton exposure leading into more accumulation space for the Woodford depositional fairway.</w:t>
        </w:r>
        <w:r>
          <w:rPr>
            <w:webHidden/>
          </w:rPr>
          <w:tab/>
        </w:r>
        <w:r>
          <w:rPr>
            <w:webHidden/>
          </w:rPr>
          <w:fldChar w:fldCharType="begin"/>
        </w:r>
        <w:r>
          <w:rPr>
            <w:webHidden/>
          </w:rPr>
          <w:instrText xml:space="preserve"> PAGEREF _Toc35861165 \h </w:instrText>
        </w:r>
        <w:r>
          <w:rPr>
            <w:webHidden/>
          </w:rPr>
        </w:r>
        <w:r>
          <w:rPr>
            <w:webHidden/>
          </w:rPr>
          <w:fldChar w:fldCharType="separate"/>
        </w:r>
        <w:r>
          <w:rPr>
            <w:webHidden/>
          </w:rPr>
          <w:t>42</w:t>
        </w:r>
        <w:r>
          <w:rPr>
            <w:webHidden/>
          </w:rPr>
          <w:fldChar w:fldCharType="end"/>
        </w:r>
      </w:hyperlink>
    </w:p>
    <w:p w14:paraId="05371722" w14:textId="5037520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6" w:history="1">
        <w:r w:rsidRPr="00713F3D">
          <w:rPr>
            <w:rStyle w:val="Hyperlink"/>
            <w:rFonts w:eastAsia="MS Mincho"/>
            <w:b/>
          </w:rPr>
          <w:t xml:space="preserve">Figure 2.3. </w:t>
        </w:r>
        <w:r w:rsidRPr="00713F3D">
          <w:rPr>
            <w:rStyle w:val="Hyperlink"/>
            <w:rFonts w:eastAsia="MS Mincho"/>
          </w:rPr>
          <w:t>Depositional model of the Woodford Shale through one eustatic sea-level cycle (Torres-Parada et al., 2017; modified after Bauernfeind [1990], Grotzinger and Jordan [2010] and Slatt [2016]). The early stage of falling sea level may result in water mass isolation and restricted water circulation over topographic depressions left by karst/incised valley development on the underlying carbonate surface (Hunton limestone in the case of the Woodford). TSE= Transgressive surface of erosion; SB= Sequence boundary.</w:t>
        </w:r>
        <w:r>
          <w:rPr>
            <w:webHidden/>
          </w:rPr>
          <w:tab/>
        </w:r>
        <w:r>
          <w:rPr>
            <w:webHidden/>
          </w:rPr>
          <w:fldChar w:fldCharType="begin"/>
        </w:r>
        <w:r>
          <w:rPr>
            <w:webHidden/>
          </w:rPr>
          <w:instrText xml:space="preserve"> PAGEREF _Toc35861166 \h </w:instrText>
        </w:r>
        <w:r>
          <w:rPr>
            <w:webHidden/>
          </w:rPr>
        </w:r>
        <w:r>
          <w:rPr>
            <w:webHidden/>
          </w:rPr>
          <w:fldChar w:fldCharType="separate"/>
        </w:r>
        <w:r>
          <w:rPr>
            <w:webHidden/>
          </w:rPr>
          <w:t>43</w:t>
        </w:r>
        <w:r>
          <w:rPr>
            <w:webHidden/>
          </w:rPr>
          <w:fldChar w:fldCharType="end"/>
        </w:r>
      </w:hyperlink>
    </w:p>
    <w:p w14:paraId="2D7F2957" w14:textId="038B0D5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7" w:history="1">
        <w:r w:rsidRPr="00713F3D">
          <w:rPr>
            <w:rStyle w:val="Hyperlink"/>
            <w:rFonts w:eastAsia="MS Mincho"/>
            <w:b/>
          </w:rPr>
          <w:t xml:space="preserve">Figure 2.4. </w:t>
        </w:r>
        <w:r w:rsidRPr="00713F3D">
          <w:rPr>
            <w:rStyle w:val="Hyperlink"/>
            <w:rFonts w:eastAsia="MS Mincho"/>
          </w:rPr>
          <w:t>OU IRC-AASPI consortium 3D seismic interpretation and inversion workflow. Only post-stack data was available for inversion.</w:t>
        </w:r>
        <w:r>
          <w:rPr>
            <w:webHidden/>
          </w:rPr>
          <w:tab/>
        </w:r>
        <w:r>
          <w:rPr>
            <w:webHidden/>
          </w:rPr>
          <w:fldChar w:fldCharType="begin"/>
        </w:r>
        <w:r>
          <w:rPr>
            <w:webHidden/>
          </w:rPr>
          <w:instrText xml:space="preserve"> PAGEREF _Toc35861167 \h </w:instrText>
        </w:r>
        <w:r>
          <w:rPr>
            <w:webHidden/>
          </w:rPr>
        </w:r>
        <w:r>
          <w:rPr>
            <w:webHidden/>
          </w:rPr>
          <w:fldChar w:fldCharType="separate"/>
        </w:r>
        <w:r>
          <w:rPr>
            <w:webHidden/>
          </w:rPr>
          <w:t>45</w:t>
        </w:r>
        <w:r>
          <w:rPr>
            <w:webHidden/>
          </w:rPr>
          <w:fldChar w:fldCharType="end"/>
        </w:r>
      </w:hyperlink>
    </w:p>
    <w:p w14:paraId="0261B05C" w14:textId="18FB1E3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8" w:history="1">
        <w:r w:rsidRPr="00713F3D">
          <w:rPr>
            <w:rStyle w:val="Hyperlink"/>
            <w:rFonts w:eastAsia="MS Mincho"/>
            <w:b/>
          </w:rPr>
          <w:t>Figure 2.5.</w:t>
        </w:r>
        <w:r w:rsidRPr="00713F3D">
          <w:rPr>
            <w:rStyle w:val="Hyperlink"/>
            <w:rFonts w:eastAsia="MS Mincho"/>
          </w:rPr>
          <w:t xml:space="preserve"> Time thickness map in milliseconds [ms] of the Hunton Group. Low isochron areas with the potential of enclosed mini-basin fill type deposits.</w:t>
        </w:r>
        <w:r>
          <w:rPr>
            <w:webHidden/>
          </w:rPr>
          <w:tab/>
        </w:r>
        <w:r>
          <w:rPr>
            <w:webHidden/>
          </w:rPr>
          <w:fldChar w:fldCharType="begin"/>
        </w:r>
        <w:r>
          <w:rPr>
            <w:webHidden/>
          </w:rPr>
          <w:instrText xml:space="preserve"> PAGEREF _Toc35861168 \h </w:instrText>
        </w:r>
        <w:r>
          <w:rPr>
            <w:webHidden/>
          </w:rPr>
        </w:r>
        <w:r>
          <w:rPr>
            <w:webHidden/>
          </w:rPr>
          <w:fldChar w:fldCharType="separate"/>
        </w:r>
        <w:r>
          <w:rPr>
            <w:webHidden/>
          </w:rPr>
          <w:t>47</w:t>
        </w:r>
        <w:r>
          <w:rPr>
            <w:webHidden/>
          </w:rPr>
          <w:fldChar w:fldCharType="end"/>
        </w:r>
      </w:hyperlink>
    </w:p>
    <w:p w14:paraId="78B768A9" w14:textId="210E23E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69" w:history="1">
        <w:r w:rsidRPr="00713F3D">
          <w:rPr>
            <w:rStyle w:val="Hyperlink"/>
            <w:rFonts w:eastAsia="MS Mincho"/>
            <w:b/>
          </w:rPr>
          <w:t>Figure 2.6.</w:t>
        </w:r>
        <w:r w:rsidRPr="00713F3D">
          <w:rPr>
            <w:rStyle w:val="Hyperlink"/>
            <w:rFonts w:eastAsia="MS Mincho"/>
          </w:rPr>
          <w:t xml:space="preserve"> Time structure map in milliseconds [ms] of the Hunton group</w:t>
        </w:r>
        <w:r>
          <w:rPr>
            <w:webHidden/>
          </w:rPr>
          <w:tab/>
        </w:r>
        <w:r>
          <w:rPr>
            <w:webHidden/>
          </w:rPr>
          <w:fldChar w:fldCharType="begin"/>
        </w:r>
        <w:r>
          <w:rPr>
            <w:webHidden/>
          </w:rPr>
          <w:instrText xml:space="preserve"> PAGEREF _Toc35861169 \h </w:instrText>
        </w:r>
        <w:r>
          <w:rPr>
            <w:webHidden/>
          </w:rPr>
        </w:r>
        <w:r>
          <w:rPr>
            <w:webHidden/>
          </w:rPr>
          <w:fldChar w:fldCharType="separate"/>
        </w:r>
        <w:r>
          <w:rPr>
            <w:webHidden/>
          </w:rPr>
          <w:t>47</w:t>
        </w:r>
        <w:r>
          <w:rPr>
            <w:webHidden/>
          </w:rPr>
          <w:fldChar w:fldCharType="end"/>
        </w:r>
      </w:hyperlink>
    </w:p>
    <w:p w14:paraId="2F371C8A" w14:textId="6E64E83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0" w:history="1">
        <w:r w:rsidRPr="00713F3D">
          <w:rPr>
            <w:rStyle w:val="Hyperlink"/>
            <w:rFonts w:eastAsia="MS Mincho"/>
            <w:b/>
          </w:rPr>
          <w:t>Figure 2.7.</w:t>
        </w:r>
        <w:r w:rsidRPr="00713F3D">
          <w:rPr>
            <w:rStyle w:val="Hyperlink"/>
            <w:rFonts w:eastAsia="MS Mincho"/>
          </w:rPr>
          <w:t xml:space="preserve"> Time thickness map of the Woodford Shale [ms]. Note the thicker area in the middle part of the study area, where the Hunton isochron values (time thickness) are zero (Figure 4).</w:t>
        </w:r>
        <w:r>
          <w:rPr>
            <w:webHidden/>
          </w:rPr>
          <w:tab/>
        </w:r>
        <w:r>
          <w:rPr>
            <w:webHidden/>
          </w:rPr>
          <w:fldChar w:fldCharType="begin"/>
        </w:r>
        <w:r>
          <w:rPr>
            <w:webHidden/>
          </w:rPr>
          <w:instrText xml:space="preserve"> PAGEREF _Toc35861170 \h </w:instrText>
        </w:r>
        <w:r>
          <w:rPr>
            <w:webHidden/>
          </w:rPr>
        </w:r>
        <w:r>
          <w:rPr>
            <w:webHidden/>
          </w:rPr>
          <w:fldChar w:fldCharType="separate"/>
        </w:r>
        <w:r>
          <w:rPr>
            <w:webHidden/>
          </w:rPr>
          <w:t>48</w:t>
        </w:r>
        <w:r>
          <w:rPr>
            <w:webHidden/>
          </w:rPr>
          <w:fldChar w:fldCharType="end"/>
        </w:r>
      </w:hyperlink>
    </w:p>
    <w:p w14:paraId="704E93C0" w14:textId="296D6065"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1" w:history="1">
        <w:r w:rsidRPr="00713F3D">
          <w:rPr>
            <w:rStyle w:val="Hyperlink"/>
            <w:rFonts w:eastAsia="MS Mincho"/>
            <w:b/>
          </w:rPr>
          <w:t>Figure 2.8.</w:t>
        </w:r>
        <w:r w:rsidRPr="00713F3D">
          <w:rPr>
            <w:rStyle w:val="Hyperlink"/>
            <w:rFonts w:eastAsia="MS Mincho"/>
          </w:rPr>
          <w:t xml:space="preserve"> Time Structure map [ms] of the Hunton Group.</w:t>
        </w:r>
        <w:r>
          <w:rPr>
            <w:webHidden/>
          </w:rPr>
          <w:tab/>
        </w:r>
        <w:r>
          <w:rPr>
            <w:webHidden/>
          </w:rPr>
          <w:fldChar w:fldCharType="begin"/>
        </w:r>
        <w:r>
          <w:rPr>
            <w:webHidden/>
          </w:rPr>
          <w:instrText xml:space="preserve"> PAGEREF _Toc35861171 \h </w:instrText>
        </w:r>
        <w:r>
          <w:rPr>
            <w:webHidden/>
          </w:rPr>
        </w:r>
        <w:r>
          <w:rPr>
            <w:webHidden/>
          </w:rPr>
          <w:fldChar w:fldCharType="separate"/>
        </w:r>
        <w:r>
          <w:rPr>
            <w:webHidden/>
          </w:rPr>
          <w:t>48</w:t>
        </w:r>
        <w:r>
          <w:rPr>
            <w:webHidden/>
          </w:rPr>
          <w:fldChar w:fldCharType="end"/>
        </w:r>
      </w:hyperlink>
    </w:p>
    <w:p w14:paraId="118720BE" w14:textId="3F4014B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2" w:history="1">
        <w:r w:rsidRPr="00713F3D">
          <w:rPr>
            <w:rStyle w:val="Hyperlink"/>
            <w:rFonts w:eastAsia="MS Mincho"/>
            <w:b/>
          </w:rPr>
          <w:t>Figure 2.9.</w:t>
        </w:r>
        <w:r w:rsidRPr="00713F3D">
          <w:rPr>
            <w:rStyle w:val="Hyperlink"/>
            <w:rFonts w:eastAsia="MS Mincho"/>
          </w:rPr>
          <w:t xml:space="preserve"> Horizon slice along the top Hunton through the most positive curvature and most negative curvature volume. Most negative curvature (blue areas) associated with significant karstifications and concave-down areas that can lead to an enclosed mini-basins fill.</w:t>
        </w:r>
        <w:r>
          <w:rPr>
            <w:webHidden/>
          </w:rPr>
          <w:tab/>
        </w:r>
        <w:r>
          <w:rPr>
            <w:webHidden/>
          </w:rPr>
          <w:fldChar w:fldCharType="begin"/>
        </w:r>
        <w:r>
          <w:rPr>
            <w:webHidden/>
          </w:rPr>
          <w:instrText xml:space="preserve"> PAGEREF _Toc35861172 \h </w:instrText>
        </w:r>
        <w:r>
          <w:rPr>
            <w:webHidden/>
          </w:rPr>
        </w:r>
        <w:r>
          <w:rPr>
            <w:webHidden/>
          </w:rPr>
          <w:fldChar w:fldCharType="separate"/>
        </w:r>
        <w:r>
          <w:rPr>
            <w:webHidden/>
          </w:rPr>
          <w:t>49</w:t>
        </w:r>
        <w:r>
          <w:rPr>
            <w:webHidden/>
          </w:rPr>
          <w:fldChar w:fldCharType="end"/>
        </w:r>
      </w:hyperlink>
    </w:p>
    <w:p w14:paraId="07FFD365" w14:textId="521D75E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3" w:history="1">
        <w:r w:rsidRPr="00713F3D">
          <w:rPr>
            <w:rStyle w:val="Hyperlink"/>
            <w:rFonts w:eastAsia="MS Mincho"/>
            <w:b/>
          </w:rPr>
          <w:t>Figure 2.10.</w:t>
        </w:r>
        <w:r w:rsidRPr="00713F3D">
          <w:rPr>
            <w:rStyle w:val="Hyperlink"/>
            <w:rFonts w:eastAsia="MS Mincho"/>
          </w:rPr>
          <w:t xml:space="preserve"> Hunton Group time-structure co-rendered with coherent energy, and most negative curvature. The yellow arrows indicate karst features and possible pod depressions; the Hunton Group is eroded (almost gone) in the study area.</w:t>
        </w:r>
        <w:r>
          <w:rPr>
            <w:webHidden/>
          </w:rPr>
          <w:tab/>
        </w:r>
        <w:r>
          <w:rPr>
            <w:webHidden/>
          </w:rPr>
          <w:fldChar w:fldCharType="begin"/>
        </w:r>
        <w:r>
          <w:rPr>
            <w:webHidden/>
          </w:rPr>
          <w:instrText xml:space="preserve"> PAGEREF _Toc35861173 \h </w:instrText>
        </w:r>
        <w:r>
          <w:rPr>
            <w:webHidden/>
          </w:rPr>
        </w:r>
        <w:r>
          <w:rPr>
            <w:webHidden/>
          </w:rPr>
          <w:fldChar w:fldCharType="separate"/>
        </w:r>
        <w:r>
          <w:rPr>
            <w:webHidden/>
          </w:rPr>
          <w:t>49</w:t>
        </w:r>
        <w:r>
          <w:rPr>
            <w:webHidden/>
          </w:rPr>
          <w:fldChar w:fldCharType="end"/>
        </w:r>
      </w:hyperlink>
    </w:p>
    <w:p w14:paraId="7C5D9045" w14:textId="1914DB6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4" w:history="1">
        <w:r w:rsidRPr="00713F3D">
          <w:rPr>
            <w:rStyle w:val="Hyperlink"/>
            <w:rFonts w:eastAsia="MS Mincho"/>
            <w:b/>
          </w:rPr>
          <w:t xml:space="preserve">Figure 2.11. </w:t>
        </w:r>
        <w:r w:rsidRPr="00713F3D">
          <w:rPr>
            <w:rStyle w:val="Hyperlink"/>
            <w:rFonts w:eastAsia="MS Mincho"/>
          </w:rPr>
          <w:t>Hunton time-thickness co-rendered with coherent energy (zero and near-zero that correlate with dark coherency features contours indicate karst features and possible lake pods). Note that the Hunton group is eroded (almost gone) in the study area.</w:t>
        </w:r>
        <w:r>
          <w:rPr>
            <w:webHidden/>
          </w:rPr>
          <w:tab/>
        </w:r>
        <w:r>
          <w:rPr>
            <w:webHidden/>
          </w:rPr>
          <w:fldChar w:fldCharType="begin"/>
        </w:r>
        <w:r>
          <w:rPr>
            <w:webHidden/>
          </w:rPr>
          <w:instrText xml:space="preserve"> PAGEREF _Toc35861174 \h </w:instrText>
        </w:r>
        <w:r>
          <w:rPr>
            <w:webHidden/>
          </w:rPr>
        </w:r>
        <w:r>
          <w:rPr>
            <w:webHidden/>
          </w:rPr>
          <w:fldChar w:fldCharType="separate"/>
        </w:r>
        <w:r>
          <w:rPr>
            <w:webHidden/>
          </w:rPr>
          <w:t>50</w:t>
        </w:r>
        <w:r>
          <w:rPr>
            <w:webHidden/>
          </w:rPr>
          <w:fldChar w:fldCharType="end"/>
        </w:r>
      </w:hyperlink>
    </w:p>
    <w:p w14:paraId="2C74AB51" w14:textId="1A9A6F5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5" w:history="1">
        <w:r w:rsidRPr="00713F3D">
          <w:rPr>
            <w:rStyle w:val="Hyperlink"/>
            <w:rFonts w:eastAsia="MS Mincho"/>
            <w:b/>
          </w:rPr>
          <w:t>Figure 2.12.</w:t>
        </w:r>
        <w:r w:rsidRPr="00713F3D">
          <w:rPr>
            <w:rStyle w:val="Hyperlink"/>
            <w:rFonts w:eastAsia="MS Mincho"/>
          </w:rPr>
          <w:t xml:space="preserve"> Stratigraphic correlation of the wells in the study area flattened at the Woodford Shale top. Note the thickness variations of the Hunton group and where it is absent, and the Woodford Shale has the highest thickness.  These restricted intervals served as %TOC catchment areas, as it can be observed that the lowermost Woodford Shale has the highest %TOC in all wells (green curve).</w:t>
        </w:r>
        <w:r>
          <w:rPr>
            <w:webHidden/>
          </w:rPr>
          <w:tab/>
        </w:r>
        <w:r>
          <w:rPr>
            <w:webHidden/>
          </w:rPr>
          <w:fldChar w:fldCharType="begin"/>
        </w:r>
        <w:r>
          <w:rPr>
            <w:webHidden/>
          </w:rPr>
          <w:instrText xml:space="preserve"> PAGEREF _Toc35861175 \h </w:instrText>
        </w:r>
        <w:r>
          <w:rPr>
            <w:webHidden/>
          </w:rPr>
        </w:r>
        <w:r>
          <w:rPr>
            <w:webHidden/>
          </w:rPr>
          <w:fldChar w:fldCharType="separate"/>
        </w:r>
        <w:r>
          <w:rPr>
            <w:webHidden/>
          </w:rPr>
          <w:t>53</w:t>
        </w:r>
        <w:r>
          <w:rPr>
            <w:webHidden/>
          </w:rPr>
          <w:fldChar w:fldCharType="end"/>
        </w:r>
      </w:hyperlink>
    </w:p>
    <w:p w14:paraId="12DD0CD5" w14:textId="01B006C7"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6" w:history="1">
        <w:r w:rsidRPr="00713F3D">
          <w:rPr>
            <w:rStyle w:val="Hyperlink"/>
            <w:rFonts w:eastAsia="MS Mincho"/>
            <w:b/>
          </w:rPr>
          <w:t>Figure 2.13. A) %</w:t>
        </w:r>
        <w:r w:rsidRPr="00713F3D">
          <w:rPr>
            <w:rStyle w:val="Hyperlink"/>
            <w:rFonts w:eastAsia="MS Mincho"/>
          </w:rPr>
          <w:t xml:space="preserve">TOC calculation process using Passey et al. (1990) methodology; </w:t>
        </w:r>
        <w:r w:rsidRPr="00713F3D">
          <w:rPr>
            <w:rStyle w:val="Hyperlink"/>
            <w:rFonts w:eastAsia="MS Mincho"/>
            <w:b/>
          </w:rPr>
          <w:t>B)</w:t>
        </w:r>
        <w:r w:rsidRPr="00713F3D">
          <w:rPr>
            <w:rStyle w:val="Hyperlink"/>
            <w:rFonts w:eastAsia="MS Mincho"/>
          </w:rPr>
          <w:t xml:space="preserve"> Cross-plot of calculated %TOC (wt.) in wellbores and the P-impedance (calculated in all wells), the data points are color-coded according to each well. Modified after Amorocho, 2012.</w:t>
        </w:r>
        <w:r>
          <w:rPr>
            <w:webHidden/>
          </w:rPr>
          <w:tab/>
        </w:r>
        <w:r>
          <w:rPr>
            <w:webHidden/>
          </w:rPr>
          <w:fldChar w:fldCharType="begin"/>
        </w:r>
        <w:r>
          <w:rPr>
            <w:webHidden/>
          </w:rPr>
          <w:instrText xml:space="preserve"> PAGEREF _Toc35861176 \h </w:instrText>
        </w:r>
        <w:r>
          <w:rPr>
            <w:webHidden/>
          </w:rPr>
        </w:r>
        <w:r>
          <w:rPr>
            <w:webHidden/>
          </w:rPr>
          <w:fldChar w:fldCharType="separate"/>
        </w:r>
        <w:r>
          <w:rPr>
            <w:webHidden/>
          </w:rPr>
          <w:t>56</w:t>
        </w:r>
        <w:r>
          <w:rPr>
            <w:webHidden/>
          </w:rPr>
          <w:fldChar w:fldCharType="end"/>
        </w:r>
      </w:hyperlink>
    </w:p>
    <w:p w14:paraId="45420904" w14:textId="0599B7E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7" w:history="1">
        <w:r w:rsidRPr="00713F3D">
          <w:rPr>
            <w:rStyle w:val="Hyperlink"/>
            <w:rFonts w:eastAsia="MS Mincho"/>
            <w:b/>
          </w:rPr>
          <w:t>Figure 2.14.</w:t>
        </w:r>
        <w:r w:rsidRPr="00713F3D">
          <w:rPr>
            <w:rStyle w:val="Hyperlink"/>
            <w:rFonts w:eastAsia="MS Mincho"/>
          </w:rPr>
          <w:t xml:space="preserve"> %TOC (wt.) calculation and seismic tie for well A using the Passey et al. (1990) method and the seismic well-tie and synthetic seismogram generated. A statistical wavelet using all wells was applied. The Woodford Shale top is the light green horizon, and the base is the red horizon (Sylvan Shale).</w:t>
        </w:r>
        <w:r>
          <w:rPr>
            <w:webHidden/>
          </w:rPr>
          <w:tab/>
        </w:r>
        <w:r>
          <w:rPr>
            <w:webHidden/>
          </w:rPr>
          <w:fldChar w:fldCharType="begin"/>
        </w:r>
        <w:r>
          <w:rPr>
            <w:webHidden/>
          </w:rPr>
          <w:instrText xml:space="preserve"> PAGEREF _Toc35861177 \h </w:instrText>
        </w:r>
        <w:r>
          <w:rPr>
            <w:webHidden/>
          </w:rPr>
        </w:r>
        <w:r>
          <w:rPr>
            <w:webHidden/>
          </w:rPr>
          <w:fldChar w:fldCharType="separate"/>
        </w:r>
        <w:r>
          <w:rPr>
            <w:webHidden/>
          </w:rPr>
          <w:t>57</w:t>
        </w:r>
        <w:r>
          <w:rPr>
            <w:webHidden/>
          </w:rPr>
          <w:fldChar w:fldCharType="end"/>
        </w:r>
      </w:hyperlink>
    </w:p>
    <w:p w14:paraId="1160BCCA" w14:textId="5F36CED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8" w:history="1">
        <w:r w:rsidRPr="00713F3D">
          <w:rPr>
            <w:rStyle w:val="Hyperlink"/>
            <w:rFonts w:eastAsia="MS Mincho"/>
            <w:b/>
          </w:rPr>
          <w:t>Figure 2.15.</w:t>
        </w:r>
        <w:r w:rsidRPr="00713F3D">
          <w:rPr>
            <w:rStyle w:val="Hyperlink"/>
            <w:rFonts w:eastAsia="MS Mincho"/>
          </w:rPr>
          <w:t xml:space="preserve"> Initial low-frequency background model on an in-line passing through well A.</w:t>
        </w:r>
        <w:r>
          <w:rPr>
            <w:webHidden/>
          </w:rPr>
          <w:tab/>
        </w:r>
        <w:r>
          <w:rPr>
            <w:webHidden/>
          </w:rPr>
          <w:fldChar w:fldCharType="begin"/>
        </w:r>
        <w:r>
          <w:rPr>
            <w:webHidden/>
          </w:rPr>
          <w:instrText xml:space="preserve"> PAGEREF _Toc35861178 \h </w:instrText>
        </w:r>
        <w:r>
          <w:rPr>
            <w:webHidden/>
          </w:rPr>
        </w:r>
        <w:r>
          <w:rPr>
            <w:webHidden/>
          </w:rPr>
          <w:fldChar w:fldCharType="separate"/>
        </w:r>
        <w:r>
          <w:rPr>
            <w:webHidden/>
          </w:rPr>
          <w:t>59</w:t>
        </w:r>
        <w:r>
          <w:rPr>
            <w:webHidden/>
          </w:rPr>
          <w:fldChar w:fldCharType="end"/>
        </w:r>
      </w:hyperlink>
    </w:p>
    <w:p w14:paraId="47375F29" w14:textId="0B25C29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79" w:history="1">
        <w:r w:rsidRPr="00713F3D">
          <w:rPr>
            <w:rStyle w:val="Hyperlink"/>
            <w:rFonts w:eastAsia="MS Mincho"/>
            <w:b/>
          </w:rPr>
          <w:t>Figure 2.16.</w:t>
        </w:r>
        <w:r w:rsidRPr="00713F3D">
          <w:rPr>
            <w:rStyle w:val="Hyperlink"/>
            <w:rFonts w:eastAsia="MS Mincho"/>
          </w:rPr>
          <w:t xml:space="preserve"> Inversion Zp results in an arbitrary impedance in-line showing well A.</w:t>
        </w:r>
        <w:r>
          <w:rPr>
            <w:webHidden/>
          </w:rPr>
          <w:tab/>
        </w:r>
        <w:r>
          <w:rPr>
            <w:webHidden/>
          </w:rPr>
          <w:fldChar w:fldCharType="begin"/>
        </w:r>
        <w:r>
          <w:rPr>
            <w:webHidden/>
          </w:rPr>
          <w:instrText xml:space="preserve"> PAGEREF _Toc35861179 \h </w:instrText>
        </w:r>
        <w:r>
          <w:rPr>
            <w:webHidden/>
          </w:rPr>
        </w:r>
        <w:r>
          <w:rPr>
            <w:webHidden/>
          </w:rPr>
          <w:fldChar w:fldCharType="separate"/>
        </w:r>
        <w:r>
          <w:rPr>
            <w:webHidden/>
          </w:rPr>
          <w:t>59</w:t>
        </w:r>
        <w:r>
          <w:rPr>
            <w:webHidden/>
          </w:rPr>
          <w:fldChar w:fldCharType="end"/>
        </w:r>
      </w:hyperlink>
    </w:p>
    <w:p w14:paraId="324A7034" w14:textId="4D1A05E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0" w:history="1">
        <w:r w:rsidRPr="00713F3D">
          <w:rPr>
            <w:rStyle w:val="Hyperlink"/>
            <w:rFonts w:eastAsia="MS Mincho"/>
            <w:b/>
          </w:rPr>
          <w:t>Figure 2.17.</w:t>
        </w:r>
        <w:r w:rsidRPr="00713F3D">
          <w:rPr>
            <w:rStyle w:val="Hyperlink"/>
            <w:rFonts w:eastAsia="MS Mincho"/>
          </w:rPr>
          <w:t xml:space="preserve"> Data-error slice calculated two milli-seconds [ms] below the Woodford Shale top seismic horizon. A higher error in the SW of the study is due to the probable tuning effect, where the Woodford Shale and Hunton seismic horizons are very close, and the time thickness for both formations are minimal.</w:t>
        </w:r>
        <w:r>
          <w:rPr>
            <w:webHidden/>
          </w:rPr>
          <w:tab/>
        </w:r>
        <w:r>
          <w:rPr>
            <w:webHidden/>
          </w:rPr>
          <w:fldChar w:fldCharType="begin"/>
        </w:r>
        <w:r>
          <w:rPr>
            <w:webHidden/>
          </w:rPr>
          <w:instrText xml:space="preserve"> PAGEREF _Toc35861180 \h </w:instrText>
        </w:r>
        <w:r>
          <w:rPr>
            <w:webHidden/>
          </w:rPr>
        </w:r>
        <w:r>
          <w:rPr>
            <w:webHidden/>
          </w:rPr>
          <w:fldChar w:fldCharType="separate"/>
        </w:r>
        <w:r>
          <w:rPr>
            <w:webHidden/>
          </w:rPr>
          <w:t>60</w:t>
        </w:r>
        <w:r>
          <w:rPr>
            <w:webHidden/>
          </w:rPr>
          <w:fldChar w:fldCharType="end"/>
        </w:r>
      </w:hyperlink>
    </w:p>
    <w:p w14:paraId="6CBF393B" w14:textId="721C319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1" w:history="1">
        <w:r w:rsidRPr="00713F3D">
          <w:rPr>
            <w:rStyle w:val="Hyperlink"/>
            <w:rFonts w:eastAsia="MS Mincho"/>
            <w:b/>
          </w:rPr>
          <w:t xml:space="preserve">Figure 2.18. </w:t>
        </w:r>
        <w:r w:rsidRPr="00713F3D">
          <w:rPr>
            <w:rStyle w:val="Hyperlink"/>
            <w:rFonts w:eastAsia="MS Mincho"/>
          </w:rPr>
          <w:t>Probabilistic neural network (PNN) training operator length and attribute selection.</w:t>
        </w:r>
        <w:r>
          <w:rPr>
            <w:webHidden/>
          </w:rPr>
          <w:tab/>
        </w:r>
        <w:r>
          <w:rPr>
            <w:webHidden/>
          </w:rPr>
          <w:fldChar w:fldCharType="begin"/>
        </w:r>
        <w:r>
          <w:rPr>
            <w:webHidden/>
          </w:rPr>
          <w:instrText xml:space="preserve"> PAGEREF _Toc35861181 \h </w:instrText>
        </w:r>
        <w:r>
          <w:rPr>
            <w:webHidden/>
          </w:rPr>
        </w:r>
        <w:r>
          <w:rPr>
            <w:webHidden/>
          </w:rPr>
          <w:fldChar w:fldCharType="separate"/>
        </w:r>
        <w:r>
          <w:rPr>
            <w:webHidden/>
          </w:rPr>
          <w:t>61</w:t>
        </w:r>
        <w:r>
          <w:rPr>
            <w:webHidden/>
          </w:rPr>
          <w:fldChar w:fldCharType="end"/>
        </w:r>
      </w:hyperlink>
    </w:p>
    <w:p w14:paraId="7F036B11" w14:textId="4896064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2" w:history="1">
        <w:r w:rsidRPr="00713F3D">
          <w:rPr>
            <w:rStyle w:val="Hyperlink"/>
            <w:rFonts w:eastAsia="MS Mincho"/>
            <w:b/>
          </w:rPr>
          <w:t>Figure 2.19.</w:t>
        </w:r>
        <w:r w:rsidRPr="00713F3D">
          <w:rPr>
            <w:rStyle w:val="Hyperlink"/>
            <w:rFonts w:eastAsia="MS Mincho"/>
          </w:rPr>
          <w:t xml:space="preserve"> PNN training data. %TOC (red) with extracted seismic data, coherent Energy and Zp from seismic inversion, spectral decomposition every 5Hz principal components 1, 2, and 3.</w:t>
        </w:r>
        <w:r>
          <w:rPr>
            <w:webHidden/>
          </w:rPr>
          <w:tab/>
        </w:r>
        <w:r>
          <w:rPr>
            <w:webHidden/>
          </w:rPr>
          <w:fldChar w:fldCharType="begin"/>
        </w:r>
        <w:r>
          <w:rPr>
            <w:webHidden/>
          </w:rPr>
          <w:instrText xml:space="preserve"> PAGEREF _Toc35861182 \h </w:instrText>
        </w:r>
        <w:r>
          <w:rPr>
            <w:webHidden/>
          </w:rPr>
        </w:r>
        <w:r>
          <w:rPr>
            <w:webHidden/>
          </w:rPr>
          <w:fldChar w:fldCharType="separate"/>
        </w:r>
        <w:r>
          <w:rPr>
            <w:webHidden/>
          </w:rPr>
          <w:t>61</w:t>
        </w:r>
        <w:r>
          <w:rPr>
            <w:webHidden/>
          </w:rPr>
          <w:fldChar w:fldCharType="end"/>
        </w:r>
      </w:hyperlink>
    </w:p>
    <w:p w14:paraId="412F54E6" w14:textId="2E39E3A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3" w:history="1">
        <w:r w:rsidRPr="00713F3D">
          <w:rPr>
            <w:rStyle w:val="Hyperlink"/>
            <w:rFonts w:eastAsia="MS Mincho"/>
            <w:b/>
          </w:rPr>
          <w:t>Figure 2.20.</w:t>
        </w:r>
        <w:r w:rsidRPr="00713F3D">
          <w:rPr>
            <w:rStyle w:val="Hyperlink"/>
            <w:rFonts w:eastAsia="MS Mincho"/>
          </w:rPr>
          <w:t xml:space="preserve"> Multi-attribute regression of actual %TOC (Passey et al. [1990] method calculated) vs. predicted %TOC. Three attributes were used in the regression: Z</w:t>
        </w:r>
        <w:r w:rsidRPr="00713F3D">
          <w:rPr>
            <w:rStyle w:val="Hyperlink"/>
            <w:rFonts w:eastAsia="MS Mincho"/>
            <w:vertAlign w:val="subscript"/>
          </w:rPr>
          <w:t>p</w:t>
        </w:r>
        <w:r w:rsidRPr="00713F3D">
          <w:rPr>
            <w:rStyle w:val="Hyperlink"/>
            <w:rFonts w:eastAsia="MS Mincho"/>
          </w:rPr>
          <w:t>, coherent energy, and spectral PC 2. Negative %TOC values correspond to the Hunton Group.</w:t>
        </w:r>
        <w:r>
          <w:rPr>
            <w:webHidden/>
          </w:rPr>
          <w:tab/>
        </w:r>
        <w:r>
          <w:rPr>
            <w:webHidden/>
          </w:rPr>
          <w:fldChar w:fldCharType="begin"/>
        </w:r>
        <w:r>
          <w:rPr>
            <w:webHidden/>
          </w:rPr>
          <w:instrText xml:space="preserve"> PAGEREF _Toc35861183 \h </w:instrText>
        </w:r>
        <w:r>
          <w:rPr>
            <w:webHidden/>
          </w:rPr>
        </w:r>
        <w:r>
          <w:rPr>
            <w:webHidden/>
          </w:rPr>
          <w:fldChar w:fldCharType="separate"/>
        </w:r>
        <w:r>
          <w:rPr>
            <w:webHidden/>
          </w:rPr>
          <w:t>62</w:t>
        </w:r>
        <w:r>
          <w:rPr>
            <w:webHidden/>
          </w:rPr>
          <w:fldChar w:fldCharType="end"/>
        </w:r>
      </w:hyperlink>
    </w:p>
    <w:p w14:paraId="4FD8E0C8" w14:textId="060D2A9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4" w:history="1">
        <w:r w:rsidRPr="00713F3D">
          <w:rPr>
            <w:rStyle w:val="Hyperlink"/>
            <w:rFonts w:eastAsia="MS Mincho"/>
            <w:b/>
          </w:rPr>
          <w:t>Figure 2.21.</w:t>
        </w:r>
        <w:r w:rsidRPr="00713F3D">
          <w:rPr>
            <w:rStyle w:val="Hyperlink"/>
            <w:rFonts w:eastAsia="MS Mincho"/>
          </w:rPr>
          <w:t xml:space="preserve">  Probabilistic neural network using three attributes. %TOC calculated with Passey et al. (1990) methodology in a black curve, %TOC modeled from the supervised neural network in the red curves.</w:t>
        </w:r>
        <w:r>
          <w:rPr>
            <w:webHidden/>
          </w:rPr>
          <w:tab/>
        </w:r>
        <w:r>
          <w:rPr>
            <w:webHidden/>
          </w:rPr>
          <w:fldChar w:fldCharType="begin"/>
        </w:r>
        <w:r>
          <w:rPr>
            <w:webHidden/>
          </w:rPr>
          <w:instrText xml:space="preserve"> PAGEREF _Toc35861184 \h </w:instrText>
        </w:r>
        <w:r>
          <w:rPr>
            <w:webHidden/>
          </w:rPr>
        </w:r>
        <w:r>
          <w:rPr>
            <w:webHidden/>
          </w:rPr>
          <w:fldChar w:fldCharType="separate"/>
        </w:r>
        <w:r>
          <w:rPr>
            <w:webHidden/>
          </w:rPr>
          <w:t>62</w:t>
        </w:r>
        <w:r>
          <w:rPr>
            <w:webHidden/>
          </w:rPr>
          <w:fldChar w:fldCharType="end"/>
        </w:r>
      </w:hyperlink>
    </w:p>
    <w:p w14:paraId="4E3441B5" w14:textId="63158EA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5" w:history="1">
        <w:r w:rsidRPr="00713F3D">
          <w:rPr>
            <w:rStyle w:val="Hyperlink"/>
            <w:rFonts w:eastAsia="MS Mincho"/>
            <w:b/>
          </w:rPr>
          <w:t>Figure 2.22.</w:t>
        </w:r>
        <w:r w:rsidRPr="00713F3D">
          <w:rPr>
            <w:rStyle w:val="Hyperlink"/>
            <w:rFonts w:eastAsia="MS Mincho"/>
          </w:rPr>
          <w:t xml:space="preserve">  Inline of the %TOC cross-section extracted along the Woodford Shale. Note the lake-pod shape of the Woodford where the well is located. Higher %TOC is computed for these enclosed areas.</w:t>
        </w:r>
        <w:r>
          <w:rPr>
            <w:webHidden/>
          </w:rPr>
          <w:tab/>
        </w:r>
        <w:r>
          <w:rPr>
            <w:webHidden/>
          </w:rPr>
          <w:fldChar w:fldCharType="begin"/>
        </w:r>
        <w:r>
          <w:rPr>
            <w:webHidden/>
          </w:rPr>
          <w:instrText xml:space="preserve"> PAGEREF _Toc35861185 \h </w:instrText>
        </w:r>
        <w:r>
          <w:rPr>
            <w:webHidden/>
          </w:rPr>
        </w:r>
        <w:r>
          <w:rPr>
            <w:webHidden/>
          </w:rPr>
          <w:fldChar w:fldCharType="separate"/>
        </w:r>
        <w:r>
          <w:rPr>
            <w:webHidden/>
          </w:rPr>
          <w:t>63</w:t>
        </w:r>
        <w:r>
          <w:rPr>
            <w:webHidden/>
          </w:rPr>
          <w:fldChar w:fldCharType="end"/>
        </w:r>
      </w:hyperlink>
    </w:p>
    <w:p w14:paraId="45C9898E" w14:textId="74F4348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6" w:history="1">
        <w:r w:rsidRPr="00713F3D">
          <w:rPr>
            <w:rStyle w:val="Hyperlink"/>
            <w:rFonts w:eastAsia="MS Mincho"/>
            <w:b/>
          </w:rPr>
          <w:t xml:space="preserve">Figure 2.23. </w:t>
        </w:r>
        <w:r w:rsidRPr="00713F3D">
          <w:rPr>
            <w:rStyle w:val="Hyperlink"/>
            <w:rFonts w:eastAsia="MS Mincho"/>
          </w:rPr>
          <w:t>Calculated %TOC from the supervised neural network analysis. Average %TOC values are extracted for the Woodford Shale stratigraphic interval and are shown in the display colors of the map. The contours correspond to the Hunton Group seismic isochrones in milliseconds [ms].</w:t>
        </w:r>
        <w:r>
          <w:rPr>
            <w:webHidden/>
          </w:rPr>
          <w:tab/>
        </w:r>
        <w:r>
          <w:rPr>
            <w:webHidden/>
          </w:rPr>
          <w:fldChar w:fldCharType="begin"/>
        </w:r>
        <w:r>
          <w:rPr>
            <w:webHidden/>
          </w:rPr>
          <w:instrText xml:space="preserve"> PAGEREF _Toc35861186 \h </w:instrText>
        </w:r>
        <w:r>
          <w:rPr>
            <w:webHidden/>
          </w:rPr>
        </w:r>
        <w:r>
          <w:rPr>
            <w:webHidden/>
          </w:rPr>
          <w:fldChar w:fldCharType="separate"/>
        </w:r>
        <w:r>
          <w:rPr>
            <w:webHidden/>
          </w:rPr>
          <w:t>64</w:t>
        </w:r>
        <w:r>
          <w:rPr>
            <w:webHidden/>
          </w:rPr>
          <w:fldChar w:fldCharType="end"/>
        </w:r>
      </w:hyperlink>
    </w:p>
    <w:p w14:paraId="5FAEED64" w14:textId="0BB7FD9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7" w:history="1">
        <w:r w:rsidRPr="00713F3D">
          <w:rPr>
            <w:rStyle w:val="Hyperlink"/>
            <w:rFonts w:eastAsia="MS Mincho"/>
            <w:b/>
          </w:rPr>
          <w:t xml:space="preserve">Figure 2.24. </w:t>
        </w:r>
        <w:r w:rsidRPr="00713F3D">
          <w:rPr>
            <w:rStyle w:val="Hyperlink"/>
            <w:rFonts w:eastAsia="MS Mincho"/>
          </w:rPr>
          <w:t>A composite section that correlates all wells in the study area and their %TOC calculation for the Woodford Shale seismic window. Note the concave-down pod shape of the Woodford Shale where the well A and C are located; these correspond to enclosed mini-basin deposits with higher computed %TOC from the PNN.</w:t>
        </w:r>
        <w:r>
          <w:rPr>
            <w:webHidden/>
          </w:rPr>
          <w:tab/>
        </w:r>
        <w:r>
          <w:rPr>
            <w:webHidden/>
          </w:rPr>
          <w:fldChar w:fldCharType="begin"/>
        </w:r>
        <w:r>
          <w:rPr>
            <w:webHidden/>
          </w:rPr>
          <w:instrText xml:space="preserve"> PAGEREF _Toc35861187 \h </w:instrText>
        </w:r>
        <w:r>
          <w:rPr>
            <w:webHidden/>
          </w:rPr>
        </w:r>
        <w:r>
          <w:rPr>
            <w:webHidden/>
          </w:rPr>
          <w:fldChar w:fldCharType="separate"/>
        </w:r>
        <w:r>
          <w:rPr>
            <w:webHidden/>
          </w:rPr>
          <w:t>65</w:t>
        </w:r>
        <w:r>
          <w:rPr>
            <w:webHidden/>
          </w:rPr>
          <w:fldChar w:fldCharType="end"/>
        </w:r>
      </w:hyperlink>
    </w:p>
    <w:p w14:paraId="54D6093E" w14:textId="2D04F53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8" w:history="1">
        <w:r w:rsidRPr="00713F3D">
          <w:rPr>
            <w:rStyle w:val="Hyperlink"/>
            <w:rFonts w:eastAsia="MS Mincho"/>
            <w:b/>
          </w:rPr>
          <w:t>Figure 3.1.</w:t>
        </w:r>
        <w:r w:rsidRPr="00713F3D">
          <w:rPr>
            <w:rStyle w:val="Hyperlink"/>
            <w:rFonts w:eastAsia="MS Mincho"/>
          </w:rPr>
          <w:t xml:space="preserve"> Location of the study area, images courtesy from Galvis (2017), and modified from Galvis et al. (2017a).  Upper left: Geological provinces of Oklahoma highlighting a portion of south-central Oklahoma and the Arbuckle Mountains (Cardott, 2012 in Galvis, 2017).  Middle: Location of Woodford Shale outcrops along the nearly E-W outcrop belt. The Speake Ranch quarry is the westernmost outcrop of this belt in the Arbuckle Mountains.  Lower: Aerial view of Speake Ranch quarry across the complete Woodford section. The bedding strike is about N47-</w:t>
        </w:r>
        <w:r w:rsidRPr="00713F3D">
          <w:rPr>
            <w:rStyle w:val="Hyperlink"/>
            <w:rFonts w:eastAsia="MS Mincho"/>
          </w:rPr>
          <w:lastRenderedPageBreak/>
          <w:t>55°W and dips around 20°SW. Images courtesy of Galvis in Galvis (2017), and Galvis et al. (2017a).</w:t>
        </w:r>
        <w:r>
          <w:rPr>
            <w:webHidden/>
          </w:rPr>
          <w:tab/>
        </w:r>
        <w:r>
          <w:rPr>
            <w:webHidden/>
          </w:rPr>
          <w:fldChar w:fldCharType="begin"/>
        </w:r>
        <w:r>
          <w:rPr>
            <w:webHidden/>
          </w:rPr>
          <w:instrText xml:space="preserve"> PAGEREF _Toc35861188 \h </w:instrText>
        </w:r>
        <w:r>
          <w:rPr>
            <w:webHidden/>
          </w:rPr>
        </w:r>
        <w:r>
          <w:rPr>
            <w:webHidden/>
          </w:rPr>
          <w:fldChar w:fldCharType="separate"/>
        </w:r>
        <w:r>
          <w:rPr>
            <w:webHidden/>
          </w:rPr>
          <w:t>76</w:t>
        </w:r>
        <w:r>
          <w:rPr>
            <w:webHidden/>
          </w:rPr>
          <w:fldChar w:fldCharType="end"/>
        </w:r>
      </w:hyperlink>
    </w:p>
    <w:p w14:paraId="322D694A" w14:textId="10163B6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89" w:history="1">
        <w:r w:rsidRPr="00713F3D">
          <w:rPr>
            <w:rStyle w:val="Hyperlink"/>
            <w:rFonts w:eastAsia="MS Mincho"/>
            <w:b/>
          </w:rPr>
          <w:t xml:space="preserve">Figure 3.2. </w:t>
        </w:r>
        <w:r w:rsidRPr="00713F3D">
          <w:rPr>
            <w:rStyle w:val="Hyperlink"/>
            <w:rFonts w:eastAsia="MS Mincho"/>
          </w:rPr>
          <w:t>Weathering response of the Woodford Shale of south-central Oklahoma described by Galvis et al. (2017a).  Upper left:  aerial view of Speake Ranch outcrop quarry outlining the Woodford formational contacts with its underlying Hunton Group and overlying Pre-Sycamore limestone. Upper right and lower images: schematic weathering profiles made by Galvis (2017), highlighting large-scale variations in the resistance of the Woodford Shale strata; the Lower Woodford and Middle Woodford members are less resistant when compared with the Upper Woodford member, which is more competent and usually develops creeks on outcrops. Images courtesy of Galvis in Galvis (2017), and Galvis et al. (2017a).</w:t>
        </w:r>
        <w:r>
          <w:rPr>
            <w:webHidden/>
          </w:rPr>
          <w:tab/>
        </w:r>
        <w:r>
          <w:rPr>
            <w:webHidden/>
          </w:rPr>
          <w:fldChar w:fldCharType="begin"/>
        </w:r>
        <w:r>
          <w:rPr>
            <w:webHidden/>
          </w:rPr>
          <w:instrText xml:space="preserve"> PAGEREF _Toc35861189 \h </w:instrText>
        </w:r>
        <w:r>
          <w:rPr>
            <w:webHidden/>
          </w:rPr>
        </w:r>
        <w:r>
          <w:rPr>
            <w:webHidden/>
          </w:rPr>
          <w:fldChar w:fldCharType="separate"/>
        </w:r>
        <w:r>
          <w:rPr>
            <w:webHidden/>
          </w:rPr>
          <w:t>78</w:t>
        </w:r>
        <w:r>
          <w:rPr>
            <w:webHidden/>
          </w:rPr>
          <w:fldChar w:fldCharType="end"/>
        </w:r>
      </w:hyperlink>
    </w:p>
    <w:p w14:paraId="132D0697" w14:textId="66A5594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0" w:history="1">
        <w:r w:rsidRPr="00713F3D">
          <w:rPr>
            <w:rStyle w:val="Hyperlink"/>
            <w:rFonts w:eastAsia="MS Mincho"/>
            <w:b/>
          </w:rPr>
          <w:t xml:space="preserve">Figure 3.3. </w:t>
        </w:r>
        <w:r w:rsidRPr="00713F3D">
          <w:rPr>
            <w:rStyle w:val="Hyperlink"/>
            <w:rFonts w:eastAsia="MS Mincho"/>
          </w:rPr>
          <w:t>Field-based lithofacies classification of Woodford Shale mudrocks in the Speake Ranch outcrop and their classification based on mechanical stratigraphy (Galvis, 2017). The first criterion by Galvis (2017) distinguishes between hard and soft (i.e., less hard) beds based on weathering responses, then textural and compositional descriptors are added based on parting responses and HCl reaction. Image courtesy of Galvis in Becerra-Rendon (2017) and Galvis (2017).</w:t>
        </w:r>
        <w:r>
          <w:rPr>
            <w:webHidden/>
          </w:rPr>
          <w:tab/>
        </w:r>
        <w:r>
          <w:rPr>
            <w:webHidden/>
          </w:rPr>
          <w:fldChar w:fldCharType="begin"/>
        </w:r>
        <w:r>
          <w:rPr>
            <w:webHidden/>
          </w:rPr>
          <w:instrText xml:space="preserve"> PAGEREF _Toc35861190 \h </w:instrText>
        </w:r>
        <w:r>
          <w:rPr>
            <w:webHidden/>
          </w:rPr>
        </w:r>
        <w:r>
          <w:rPr>
            <w:webHidden/>
          </w:rPr>
          <w:fldChar w:fldCharType="separate"/>
        </w:r>
        <w:r>
          <w:rPr>
            <w:webHidden/>
          </w:rPr>
          <w:t>80</w:t>
        </w:r>
        <w:r>
          <w:rPr>
            <w:webHidden/>
          </w:rPr>
          <w:fldChar w:fldCharType="end"/>
        </w:r>
      </w:hyperlink>
    </w:p>
    <w:p w14:paraId="41628601" w14:textId="3F38E52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1" w:history="1">
        <w:r w:rsidRPr="00713F3D">
          <w:rPr>
            <w:rStyle w:val="Hyperlink"/>
            <w:rFonts w:eastAsia="MS Mincho"/>
            <w:b/>
          </w:rPr>
          <w:t xml:space="preserve">Figure 3.4. </w:t>
        </w:r>
        <w:r w:rsidRPr="00713F3D">
          <w:rPr>
            <w:rStyle w:val="Hyperlink"/>
            <w:rFonts w:eastAsia="MS Mincho"/>
          </w:rPr>
          <w:t>The thirteen lithofacies that were recognized throughout the section by Becerra-Rendon (2017) and Galvis et al. (2017a). Image courtesy of Galvis in Galvis (2017).</w:t>
        </w:r>
        <w:r>
          <w:rPr>
            <w:webHidden/>
          </w:rPr>
          <w:tab/>
        </w:r>
        <w:r>
          <w:rPr>
            <w:webHidden/>
          </w:rPr>
          <w:fldChar w:fldCharType="begin"/>
        </w:r>
        <w:r>
          <w:rPr>
            <w:webHidden/>
          </w:rPr>
          <w:instrText xml:space="preserve"> PAGEREF _Toc35861191 \h </w:instrText>
        </w:r>
        <w:r>
          <w:rPr>
            <w:webHidden/>
          </w:rPr>
        </w:r>
        <w:r>
          <w:rPr>
            <w:webHidden/>
          </w:rPr>
          <w:fldChar w:fldCharType="separate"/>
        </w:r>
        <w:r>
          <w:rPr>
            <w:webHidden/>
          </w:rPr>
          <w:t>82</w:t>
        </w:r>
        <w:r>
          <w:rPr>
            <w:webHidden/>
          </w:rPr>
          <w:fldChar w:fldCharType="end"/>
        </w:r>
      </w:hyperlink>
    </w:p>
    <w:p w14:paraId="7BBBA236" w14:textId="07ED6A2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2" w:history="1">
        <w:r w:rsidRPr="00713F3D">
          <w:rPr>
            <w:rStyle w:val="Hyperlink"/>
            <w:rFonts w:eastAsia="MS Mincho"/>
            <w:b/>
          </w:rPr>
          <w:t>Figure 3.5.</w:t>
        </w:r>
        <w:r w:rsidRPr="00713F3D">
          <w:rPr>
            <w:rStyle w:val="Hyperlink"/>
            <w:rFonts w:eastAsia="MS Mincho"/>
          </w:rPr>
          <w:t xml:space="preserve"> Cyclical heterogeneity between soft and hard beds for the Woodford Shale proposed by Becerra-Rondon (2017) and Galvis (2017). Soft beds are laminated and fissile, while hard beds are blocky with more vertical fractures.  The soft-to-hard ratio is measured by extracting the average bed thickness per bed per unit foot.  Image courtesy of Galvis in Galvis (2017).</w:t>
        </w:r>
        <w:r>
          <w:rPr>
            <w:webHidden/>
          </w:rPr>
          <w:tab/>
        </w:r>
        <w:r>
          <w:rPr>
            <w:webHidden/>
          </w:rPr>
          <w:fldChar w:fldCharType="begin"/>
        </w:r>
        <w:r>
          <w:rPr>
            <w:webHidden/>
          </w:rPr>
          <w:instrText xml:space="preserve"> PAGEREF _Toc35861192 \h </w:instrText>
        </w:r>
        <w:r>
          <w:rPr>
            <w:webHidden/>
          </w:rPr>
        </w:r>
        <w:r>
          <w:rPr>
            <w:webHidden/>
          </w:rPr>
          <w:fldChar w:fldCharType="separate"/>
        </w:r>
        <w:r>
          <w:rPr>
            <w:webHidden/>
          </w:rPr>
          <w:t>83</w:t>
        </w:r>
        <w:r>
          <w:rPr>
            <w:webHidden/>
          </w:rPr>
          <w:fldChar w:fldCharType="end"/>
        </w:r>
      </w:hyperlink>
    </w:p>
    <w:p w14:paraId="684AE741" w14:textId="1587EF7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3" w:history="1">
        <w:r w:rsidRPr="00713F3D">
          <w:rPr>
            <w:rStyle w:val="Hyperlink"/>
            <w:rFonts w:eastAsia="MS Mincho"/>
            <w:b/>
          </w:rPr>
          <w:t xml:space="preserve">Figure 3.6. </w:t>
        </w:r>
        <w:r w:rsidRPr="00713F3D">
          <w:rPr>
            <w:rStyle w:val="Hyperlink"/>
            <w:rFonts w:eastAsia="MS Mincho"/>
          </w:rPr>
          <w:t>Summarized outcrop description by Galvis (2017). Integration of vertical distribution of lithofacies, soft-to-hard ratios, and distribution of bed thicknesses by the three Woodford members.  Galvis (2017) identified four main components in this section: 1)  the increasing upward trend of the  hard beds; 2)  The LW is dominated by thick, soft beds of argillaceous and siliceous shales; 3) The MW is characterized by a nearly 50/50 mix of soft and hard beds of siliceous shales and cherts; 4) The UW is dominated by higher contents of hard beds of thick-bedded cherts, which Galvis (2017) identified of being intercalated with thin beds of siliceous rich mudstones. Image Courtesy of Galvis in Galvis (2017) and Galvis et al. (2017a).</w:t>
        </w:r>
        <w:r>
          <w:rPr>
            <w:webHidden/>
          </w:rPr>
          <w:tab/>
        </w:r>
        <w:r>
          <w:rPr>
            <w:webHidden/>
          </w:rPr>
          <w:fldChar w:fldCharType="begin"/>
        </w:r>
        <w:r>
          <w:rPr>
            <w:webHidden/>
          </w:rPr>
          <w:instrText xml:space="preserve"> PAGEREF _Toc35861193 \h </w:instrText>
        </w:r>
        <w:r>
          <w:rPr>
            <w:webHidden/>
          </w:rPr>
        </w:r>
        <w:r>
          <w:rPr>
            <w:webHidden/>
          </w:rPr>
          <w:fldChar w:fldCharType="separate"/>
        </w:r>
        <w:r>
          <w:rPr>
            <w:webHidden/>
          </w:rPr>
          <w:t>84</w:t>
        </w:r>
        <w:r>
          <w:rPr>
            <w:webHidden/>
          </w:rPr>
          <w:fldChar w:fldCharType="end"/>
        </w:r>
      </w:hyperlink>
    </w:p>
    <w:p w14:paraId="1C968959" w14:textId="1767621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4" w:history="1">
        <w:r w:rsidRPr="00713F3D">
          <w:rPr>
            <w:rStyle w:val="Hyperlink"/>
            <w:rFonts w:eastAsia="MS Mincho"/>
            <w:b/>
          </w:rPr>
          <w:t>Figure 3.7.</w:t>
        </w:r>
        <w:r w:rsidRPr="00713F3D">
          <w:rPr>
            <w:rStyle w:val="Hyperlink"/>
            <w:rFonts w:eastAsia="MS Mincho"/>
          </w:rPr>
          <w:t xml:space="preserve"> Identified correlation by Becerra-Rondon (2017) and Galvis et al. (2017) between Gamma-ray responses and the Soft-to-Hard ratios per foot by Woodford member in southern Oklahoma. Galvis (2017) highlights the positive correlation between these two variables, implying a generalized increase in radioactivity with more soft beds per foot. Image Courtesy of Galvis in Galvis (2017).</w:t>
        </w:r>
        <w:r>
          <w:rPr>
            <w:webHidden/>
          </w:rPr>
          <w:tab/>
        </w:r>
        <w:r>
          <w:rPr>
            <w:webHidden/>
          </w:rPr>
          <w:fldChar w:fldCharType="begin"/>
        </w:r>
        <w:r>
          <w:rPr>
            <w:webHidden/>
          </w:rPr>
          <w:instrText xml:space="preserve"> PAGEREF _Toc35861194 \h </w:instrText>
        </w:r>
        <w:r>
          <w:rPr>
            <w:webHidden/>
          </w:rPr>
        </w:r>
        <w:r>
          <w:rPr>
            <w:webHidden/>
          </w:rPr>
          <w:fldChar w:fldCharType="separate"/>
        </w:r>
        <w:r>
          <w:rPr>
            <w:webHidden/>
          </w:rPr>
          <w:t>86</w:t>
        </w:r>
        <w:r>
          <w:rPr>
            <w:webHidden/>
          </w:rPr>
          <w:fldChar w:fldCharType="end"/>
        </w:r>
      </w:hyperlink>
    </w:p>
    <w:p w14:paraId="561FE1EA" w14:textId="635EED6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5" w:history="1">
        <w:r w:rsidRPr="00713F3D">
          <w:rPr>
            <w:rStyle w:val="Hyperlink"/>
            <w:rFonts w:eastAsia="MS Mincho"/>
            <w:b/>
          </w:rPr>
          <w:t>Figure 3.8.</w:t>
        </w:r>
        <w:r w:rsidRPr="00713F3D">
          <w:rPr>
            <w:rStyle w:val="Hyperlink"/>
            <w:rFonts w:eastAsia="MS Mincho"/>
          </w:rPr>
          <w:t xml:space="preserve"> Comparison of relative sea level and RHP curves for the Barnett Shale. Changes in oxic conditions, as indicated by the RHP, show a positive correlation with fluctuations in relative sea level. Modified from Miceli-Romero (2010), Singh (2008), and Slatt and Rodriguez (2012).</w:t>
        </w:r>
        <w:r>
          <w:rPr>
            <w:webHidden/>
          </w:rPr>
          <w:tab/>
        </w:r>
        <w:r>
          <w:rPr>
            <w:webHidden/>
          </w:rPr>
          <w:fldChar w:fldCharType="begin"/>
        </w:r>
        <w:r>
          <w:rPr>
            <w:webHidden/>
          </w:rPr>
          <w:instrText xml:space="preserve"> PAGEREF _Toc35861195 \h </w:instrText>
        </w:r>
        <w:r>
          <w:rPr>
            <w:webHidden/>
          </w:rPr>
        </w:r>
        <w:r>
          <w:rPr>
            <w:webHidden/>
          </w:rPr>
          <w:fldChar w:fldCharType="separate"/>
        </w:r>
        <w:r>
          <w:rPr>
            <w:webHidden/>
          </w:rPr>
          <w:t>89</w:t>
        </w:r>
        <w:r>
          <w:rPr>
            <w:webHidden/>
          </w:rPr>
          <w:fldChar w:fldCharType="end"/>
        </w:r>
      </w:hyperlink>
    </w:p>
    <w:p w14:paraId="202AABE5" w14:textId="2B84FF1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6" w:history="1">
        <w:r w:rsidRPr="00713F3D">
          <w:rPr>
            <w:rStyle w:val="Hyperlink"/>
            <w:rFonts w:eastAsia="MS Mincho"/>
            <w:b/>
          </w:rPr>
          <w:t>Figure 3.9.</w:t>
        </w:r>
        <w:r w:rsidRPr="00713F3D">
          <w:rPr>
            <w:rStyle w:val="Hyperlink"/>
            <w:rFonts w:eastAsia="MS Mincho"/>
          </w:rPr>
          <w:t xml:space="preserve"> RHP curve in the Speake Ranch outcrop. MFS = maximum flooding surface.</w:t>
        </w:r>
        <w:r>
          <w:rPr>
            <w:webHidden/>
          </w:rPr>
          <w:tab/>
        </w:r>
        <w:r>
          <w:rPr>
            <w:webHidden/>
          </w:rPr>
          <w:fldChar w:fldCharType="begin"/>
        </w:r>
        <w:r>
          <w:rPr>
            <w:webHidden/>
          </w:rPr>
          <w:instrText xml:space="preserve"> PAGEREF _Toc35861196 \h </w:instrText>
        </w:r>
        <w:r>
          <w:rPr>
            <w:webHidden/>
          </w:rPr>
        </w:r>
        <w:r>
          <w:rPr>
            <w:webHidden/>
          </w:rPr>
          <w:fldChar w:fldCharType="separate"/>
        </w:r>
        <w:r>
          <w:rPr>
            <w:webHidden/>
          </w:rPr>
          <w:t>91</w:t>
        </w:r>
        <w:r>
          <w:rPr>
            <w:webHidden/>
          </w:rPr>
          <w:fldChar w:fldCharType="end"/>
        </w:r>
      </w:hyperlink>
    </w:p>
    <w:p w14:paraId="20113A86" w14:textId="521497F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7" w:history="1">
        <w:r w:rsidRPr="00713F3D">
          <w:rPr>
            <w:rStyle w:val="Hyperlink"/>
            <w:rFonts w:eastAsia="MS Mincho"/>
            <w:b/>
          </w:rPr>
          <w:t>Figure 3.10.</w:t>
        </w:r>
        <w:r w:rsidRPr="00713F3D">
          <w:rPr>
            <w:rStyle w:val="Hyperlink"/>
            <w:rFonts w:eastAsia="MS Mincho"/>
          </w:rPr>
          <w:t xml:space="preserve"> Modified pseudo van Krevelen plot for the 536 Speake Ranch samples. There are two trends in this plot, where high HI content and low OI are associated with anoxic restricted intervals and correspond to mostly the Lower and Middle Woodford member samples. Some of the Middle Woodford and Upper Woodford samples are transitional (in between these two significant clusters), and most of the Upper Woodford member samples yield in the cluster of more oxic conditions (HI&lt;200 mg HC/g, and OI&gt;60 mg HC/g).</w:t>
        </w:r>
        <w:r>
          <w:rPr>
            <w:webHidden/>
          </w:rPr>
          <w:tab/>
        </w:r>
        <w:r>
          <w:rPr>
            <w:webHidden/>
          </w:rPr>
          <w:fldChar w:fldCharType="begin"/>
        </w:r>
        <w:r>
          <w:rPr>
            <w:webHidden/>
          </w:rPr>
          <w:instrText xml:space="preserve"> PAGEREF _Toc35861197 \h </w:instrText>
        </w:r>
        <w:r>
          <w:rPr>
            <w:webHidden/>
          </w:rPr>
        </w:r>
        <w:r>
          <w:rPr>
            <w:webHidden/>
          </w:rPr>
          <w:fldChar w:fldCharType="separate"/>
        </w:r>
        <w:r>
          <w:rPr>
            <w:webHidden/>
          </w:rPr>
          <w:t>94</w:t>
        </w:r>
        <w:r>
          <w:rPr>
            <w:webHidden/>
          </w:rPr>
          <w:fldChar w:fldCharType="end"/>
        </w:r>
      </w:hyperlink>
    </w:p>
    <w:p w14:paraId="4FFEE159" w14:textId="0E10F75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8" w:history="1">
        <w:r w:rsidRPr="00713F3D">
          <w:rPr>
            <w:rStyle w:val="Hyperlink"/>
            <w:rFonts w:eastAsia="MS Mincho"/>
            <w:b/>
          </w:rPr>
          <w:t>Figure 3.11.</w:t>
        </w:r>
        <w:r w:rsidRPr="00713F3D">
          <w:rPr>
            <w:rStyle w:val="Hyperlink"/>
            <w:rFonts w:eastAsia="MS Mincho"/>
          </w:rPr>
          <w:t xml:space="preserve"> Modified pseudo van Krevelen plot for the 536 Speake Ranch samples grouped per member. Mostly all of the Lower Woodford member samples have high HI (&gt;400) and low OI (&lt;20). Some of the Middle Woodford and Upper Woodford samples are transitional (in between low OI and high OI areas), and most of the Upper Woodford member samples yield in the cluster of more oxic conditions (HI&lt;300, and OI&gt;60). The hard shale samples in the Middle and Upper members are the ones with a higher content of OI.</w:t>
        </w:r>
        <w:r>
          <w:rPr>
            <w:webHidden/>
          </w:rPr>
          <w:tab/>
        </w:r>
        <w:r>
          <w:rPr>
            <w:webHidden/>
          </w:rPr>
          <w:fldChar w:fldCharType="begin"/>
        </w:r>
        <w:r>
          <w:rPr>
            <w:webHidden/>
          </w:rPr>
          <w:instrText xml:space="preserve"> PAGEREF _Toc35861198 \h </w:instrText>
        </w:r>
        <w:r>
          <w:rPr>
            <w:webHidden/>
          </w:rPr>
        </w:r>
        <w:r>
          <w:rPr>
            <w:webHidden/>
          </w:rPr>
          <w:fldChar w:fldCharType="separate"/>
        </w:r>
        <w:r>
          <w:rPr>
            <w:webHidden/>
          </w:rPr>
          <w:t>95</w:t>
        </w:r>
        <w:r>
          <w:rPr>
            <w:webHidden/>
          </w:rPr>
          <w:fldChar w:fldCharType="end"/>
        </w:r>
      </w:hyperlink>
    </w:p>
    <w:p w14:paraId="0017F5CB" w14:textId="3D1E433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199" w:history="1">
        <w:r w:rsidRPr="00713F3D">
          <w:rPr>
            <w:rStyle w:val="Hyperlink"/>
            <w:rFonts w:eastAsia="MS Mincho"/>
            <w:b/>
          </w:rPr>
          <w:t xml:space="preserve">Figure 3.12. </w:t>
        </w:r>
        <w:r w:rsidRPr="00713F3D">
          <w:rPr>
            <w:rStyle w:val="Hyperlink"/>
            <w:rFonts w:eastAsia="MS Mincho"/>
          </w:rPr>
          <w:t>Relationship of %TOC and HI content with lithofacies described by Galvis (2017). Note that the highest %TOC is associated with the Upper Woodford siliceous shales that can be possibly hosting migrated hydrocarbons (%TOC higher than 20%, S1&gt;5 mg HC/g, S2&lt;80 mg HC/g), and, the Lower Woodford samples (circle shapes) of argillaceous shale and siliceous shale lithofacies. There is a weak correlation between %TOC and HI, because of the lower %TOC (&lt;5%) samples in the Middle and Lower members present high HI values (&gt;400).  The black line corresponds to the weak linear correlation (18%) of %TOC and HI (mg H/g Rock).</w:t>
        </w:r>
        <w:r>
          <w:rPr>
            <w:webHidden/>
          </w:rPr>
          <w:tab/>
        </w:r>
        <w:r>
          <w:rPr>
            <w:webHidden/>
          </w:rPr>
          <w:fldChar w:fldCharType="begin"/>
        </w:r>
        <w:r>
          <w:rPr>
            <w:webHidden/>
          </w:rPr>
          <w:instrText xml:space="preserve"> PAGEREF _Toc35861199 \h </w:instrText>
        </w:r>
        <w:r>
          <w:rPr>
            <w:webHidden/>
          </w:rPr>
        </w:r>
        <w:r>
          <w:rPr>
            <w:webHidden/>
          </w:rPr>
          <w:fldChar w:fldCharType="separate"/>
        </w:r>
        <w:r>
          <w:rPr>
            <w:webHidden/>
          </w:rPr>
          <w:t>96</w:t>
        </w:r>
        <w:r>
          <w:rPr>
            <w:webHidden/>
          </w:rPr>
          <w:fldChar w:fldCharType="end"/>
        </w:r>
      </w:hyperlink>
    </w:p>
    <w:p w14:paraId="323D13C9" w14:textId="1BD43AC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0" w:history="1">
        <w:r w:rsidRPr="00713F3D">
          <w:rPr>
            <w:rStyle w:val="Hyperlink"/>
            <w:rFonts w:eastAsia="MS Mincho"/>
            <w:b/>
          </w:rPr>
          <w:t>Figure 3.13.</w:t>
        </w:r>
        <w:r w:rsidRPr="00713F3D">
          <w:rPr>
            <w:rStyle w:val="Hyperlink"/>
            <w:rFonts w:eastAsia="MS Mincho"/>
          </w:rPr>
          <w:t xml:space="preserve"> Depth plots of Gamma-ray and Rock-Eval pyrolysis data for the 536 Speake Ranch samples.</w:t>
        </w:r>
        <w:r>
          <w:rPr>
            <w:webHidden/>
          </w:rPr>
          <w:tab/>
        </w:r>
        <w:r>
          <w:rPr>
            <w:webHidden/>
          </w:rPr>
          <w:fldChar w:fldCharType="begin"/>
        </w:r>
        <w:r>
          <w:rPr>
            <w:webHidden/>
          </w:rPr>
          <w:instrText xml:space="preserve"> PAGEREF _Toc35861200 \h </w:instrText>
        </w:r>
        <w:r>
          <w:rPr>
            <w:webHidden/>
          </w:rPr>
        </w:r>
        <w:r>
          <w:rPr>
            <w:webHidden/>
          </w:rPr>
          <w:fldChar w:fldCharType="separate"/>
        </w:r>
        <w:r>
          <w:rPr>
            <w:webHidden/>
          </w:rPr>
          <w:t>99</w:t>
        </w:r>
        <w:r>
          <w:rPr>
            <w:webHidden/>
          </w:rPr>
          <w:fldChar w:fldCharType="end"/>
        </w:r>
      </w:hyperlink>
    </w:p>
    <w:p w14:paraId="6C2CD1D9" w14:textId="3E883ED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1" w:history="1">
        <w:r w:rsidRPr="00713F3D">
          <w:rPr>
            <w:rStyle w:val="Hyperlink"/>
            <w:rFonts w:eastAsia="MS Mincho"/>
            <w:b/>
          </w:rPr>
          <w:t>Figure 3.14.</w:t>
        </w:r>
        <w:r w:rsidRPr="00713F3D">
          <w:rPr>
            <w:rStyle w:val="Hyperlink"/>
            <w:rFonts w:eastAsia="MS Mincho"/>
          </w:rPr>
          <w:t xml:space="preserve"> Depth plots of Gamma-ray, %TOC, and Galvis (2017) XRF data for the 536 Speake Ranch samples. High Si/Al indicates biogenic silica over detrital silica, and higher V and Mo/Al indicate upwelling currents that deposited these heavy minerals rather than concentration of these significant elements in the organic matter associated with clay-rich deposits.</w:t>
        </w:r>
        <w:r>
          <w:rPr>
            <w:webHidden/>
          </w:rPr>
          <w:tab/>
        </w:r>
        <w:r>
          <w:rPr>
            <w:webHidden/>
          </w:rPr>
          <w:fldChar w:fldCharType="begin"/>
        </w:r>
        <w:r>
          <w:rPr>
            <w:webHidden/>
          </w:rPr>
          <w:instrText xml:space="preserve"> PAGEREF _Toc35861201 \h </w:instrText>
        </w:r>
        <w:r>
          <w:rPr>
            <w:webHidden/>
          </w:rPr>
        </w:r>
        <w:r>
          <w:rPr>
            <w:webHidden/>
          </w:rPr>
          <w:fldChar w:fldCharType="separate"/>
        </w:r>
        <w:r>
          <w:rPr>
            <w:webHidden/>
          </w:rPr>
          <w:t>100</w:t>
        </w:r>
        <w:r>
          <w:rPr>
            <w:webHidden/>
          </w:rPr>
          <w:fldChar w:fldCharType="end"/>
        </w:r>
      </w:hyperlink>
    </w:p>
    <w:p w14:paraId="0E7B526B" w14:textId="2F513D9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2" w:history="1">
        <w:r w:rsidRPr="00713F3D">
          <w:rPr>
            <w:rStyle w:val="Hyperlink"/>
            <w:rFonts w:eastAsia="MS Mincho"/>
            <w:b/>
          </w:rPr>
          <w:t>Figure 3.15.</w:t>
        </w:r>
        <w:r w:rsidRPr="00713F3D">
          <w:rPr>
            <w:rStyle w:val="Hyperlink"/>
            <w:rFonts w:eastAsia="MS Mincho"/>
          </w:rPr>
          <w:t xml:space="preserve"> Depth plots of Gamma-ray, %TOC, S1, and Galvis’ (2017) XRF-hardness data for the 536 Speake Ranch samples (dashed vertical line is the separation between a soft or a hard regime). Possible migration of hydrocarbons in the Upper Woodford member due to the high %TOC (5 to 35%), and S1&gt;5 (mg HC/g).</w:t>
        </w:r>
        <w:r>
          <w:rPr>
            <w:webHidden/>
          </w:rPr>
          <w:tab/>
        </w:r>
        <w:r>
          <w:rPr>
            <w:webHidden/>
          </w:rPr>
          <w:fldChar w:fldCharType="begin"/>
        </w:r>
        <w:r>
          <w:rPr>
            <w:webHidden/>
          </w:rPr>
          <w:instrText xml:space="preserve"> PAGEREF _Toc35861202 \h </w:instrText>
        </w:r>
        <w:r>
          <w:rPr>
            <w:webHidden/>
          </w:rPr>
        </w:r>
        <w:r>
          <w:rPr>
            <w:webHidden/>
          </w:rPr>
          <w:fldChar w:fldCharType="separate"/>
        </w:r>
        <w:r>
          <w:rPr>
            <w:webHidden/>
          </w:rPr>
          <w:t>101</w:t>
        </w:r>
        <w:r>
          <w:rPr>
            <w:webHidden/>
          </w:rPr>
          <w:fldChar w:fldCharType="end"/>
        </w:r>
      </w:hyperlink>
    </w:p>
    <w:p w14:paraId="2C158B98" w14:textId="1C2189B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3" w:history="1">
        <w:r w:rsidRPr="00713F3D">
          <w:rPr>
            <w:rStyle w:val="Hyperlink"/>
            <w:rFonts w:eastAsia="MS Mincho"/>
            <w:b/>
          </w:rPr>
          <w:t xml:space="preserve">Figure 3.16. </w:t>
        </w:r>
        <w:r w:rsidRPr="00713F3D">
          <w:rPr>
            <w:rStyle w:val="Hyperlink"/>
            <w:rFonts w:eastAsia="MS Mincho"/>
          </w:rPr>
          <w:t>Depth plots of Gamma-ray, %TOC, S1, and Galvis (2017) XRF-hardness data for the 536 Speake Ranch samples. Migrated hydrocarbons in the Upper Woodford member are a product of high %TOC (5 to 35%) and S1&gt;5 (mg HC/g). Note how hardness increases after the Middle Woodford top, and the %TOC trend decreases. Also, a normalized iron content marks the difference from the maximum flooding surface (MFS) to the Woodford top. High V/Ni and U/Al indicates more upwelling currents that deposited these heavy minerals rather than the concentration of these elements in the clay-rich deposits organic matter.</w:t>
        </w:r>
        <w:r>
          <w:rPr>
            <w:webHidden/>
          </w:rPr>
          <w:tab/>
        </w:r>
        <w:r>
          <w:rPr>
            <w:webHidden/>
          </w:rPr>
          <w:fldChar w:fldCharType="begin"/>
        </w:r>
        <w:r>
          <w:rPr>
            <w:webHidden/>
          </w:rPr>
          <w:instrText xml:space="preserve"> PAGEREF _Toc35861203 \h </w:instrText>
        </w:r>
        <w:r>
          <w:rPr>
            <w:webHidden/>
          </w:rPr>
        </w:r>
        <w:r>
          <w:rPr>
            <w:webHidden/>
          </w:rPr>
          <w:fldChar w:fldCharType="separate"/>
        </w:r>
        <w:r>
          <w:rPr>
            <w:webHidden/>
          </w:rPr>
          <w:t>102</w:t>
        </w:r>
        <w:r>
          <w:rPr>
            <w:webHidden/>
          </w:rPr>
          <w:fldChar w:fldCharType="end"/>
        </w:r>
      </w:hyperlink>
    </w:p>
    <w:p w14:paraId="51990CF3" w14:textId="2EC584D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4" w:history="1">
        <w:r w:rsidRPr="00713F3D">
          <w:rPr>
            <w:rStyle w:val="Hyperlink"/>
            <w:rFonts w:eastAsia="MS Mincho"/>
            <w:b/>
          </w:rPr>
          <w:t>Figure 3.17.</w:t>
        </w:r>
        <w:r w:rsidRPr="00713F3D">
          <w:rPr>
            <w:rStyle w:val="Hyperlink"/>
            <w:rFonts w:eastAsia="MS Mincho"/>
          </w:rPr>
          <w:t xml:space="preserve"> Depth plots of weighted average per percentage of mechanical stratigraphy in each stratigraphic foot. Logs of Gamma-ray, %TOC, S1, and Galvis’ (2017) XRF-hardness data for the 536 Speake Ranch samples. Possible migrated hydrocarbons in the Upper Woodford member resulted in the high %TOC (5 to 35%) and S1&gt;5. Note how the average %TOC (Upscaled %TOC) shows a clear common trend of %TOC decreasing from the lowermost Woodford Shale (15-20%) </w:t>
        </w:r>
        <w:r w:rsidRPr="00713F3D">
          <w:rPr>
            <w:rStyle w:val="Hyperlink"/>
            <w:rFonts w:eastAsia="MS Mincho"/>
          </w:rPr>
          <w:lastRenderedPageBreak/>
          <w:t>to the Upper Woodford Shale (&lt;4%).  The %TOC track with lines shows the data variability in rocks under similar mechanical stratigraphic settings (soft and hard beds).</w:t>
        </w:r>
        <w:r>
          <w:rPr>
            <w:webHidden/>
          </w:rPr>
          <w:tab/>
        </w:r>
        <w:r>
          <w:rPr>
            <w:webHidden/>
          </w:rPr>
          <w:fldChar w:fldCharType="begin"/>
        </w:r>
        <w:r>
          <w:rPr>
            <w:webHidden/>
          </w:rPr>
          <w:instrText xml:space="preserve"> PAGEREF _Toc35861204 \h </w:instrText>
        </w:r>
        <w:r>
          <w:rPr>
            <w:webHidden/>
          </w:rPr>
        </w:r>
        <w:r>
          <w:rPr>
            <w:webHidden/>
          </w:rPr>
          <w:fldChar w:fldCharType="separate"/>
        </w:r>
        <w:r>
          <w:rPr>
            <w:webHidden/>
          </w:rPr>
          <w:t>103</w:t>
        </w:r>
        <w:r>
          <w:rPr>
            <w:webHidden/>
          </w:rPr>
          <w:fldChar w:fldCharType="end"/>
        </w:r>
      </w:hyperlink>
    </w:p>
    <w:p w14:paraId="7792B219" w14:textId="2F9313A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5" w:history="1">
        <w:r w:rsidRPr="00713F3D">
          <w:rPr>
            <w:rStyle w:val="Hyperlink"/>
            <w:rFonts w:eastAsia="MS Mincho"/>
            <w:b/>
          </w:rPr>
          <w:t xml:space="preserve">Figure 3.18. </w:t>
        </w:r>
        <w:r w:rsidRPr="00713F3D">
          <w:rPr>
            <w:rStyle w:val="Hyperlink"/>
            <w:rFonts w:eastAsia="MS Mincho"/>
          </w:rPr>
          <w:t>Enrichment factors calculated for U, Mo, V, and Fe for understanding oxic and higher dilution trends, which are identified to be much lower in the Middle and Lower Woodford (detrital input of sediments) than in the Upper member.</w:t>
        </w:r>
        <w:r>
          <w:rPr>
            <w:webHidden/>
          </w:rPr>
          <w:tab/>
        </w:r>
        <w:r>
          <w:rPr>
            <w:webHidden/>
          </w:rPr>
          <w:fldChar w:fldCharType="begin"/>
        </w:r>
        <w:r>
          <w:rPr>
            <w:webHidden/>
          </w:rPr>
          <w:instrText xml:space="preserve"> PAGEREF _Toc35861205 \h </w:instrText>
        </w:r>
        <w:r>
          <w:rPr>
            <w:webHidden/>
          </w:rPr>
        </w:r>
        <w:r>
          <w:rPr>
            <w:webHidden/>
          </w:rPr>
          <w:fldChar w:fldCharType="separate"/>
        </w:r>
        <w:r>
          <w:rPr>
            <w:webHidden/>
          </w:rPr>
          <w:t>107</w:t>
        </w:r>
        <w:r>
          <w:rPr>
            <w:webHidden/>
          </w:rPr>
          <w:fldChar w:fldCharType="end"/>
        </w:r>
      </w:hyperlink>
    </w:p>
    <w:p w14:paraId="51C75188" w14:textId="5B19201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6" w:history="1">
        <w:r w:rsidRPr="00713F3D">
          <w:rPr>
            <w:rStyle w:val="Hyperlink"/>
            <w:rFonts w:eastAsia="MS Mincho"/>
            <w:b/>
          </w:rPr>
          <w:t xml:space="preserve">Figure 3.19. </w:t>
        </w:r>
        <w:r w:rsidRPr="00713F3D">
          <w:rPr>
            <w:rStyle w:val="Hyperlink"/>
            <w:rFonts w:eastAsia="MS Mincho"/>
          </w:rPr>
          <w:t>Photomicrograph analysis by courtesy of Mr. Brian Cardott, Oklahoma Geological Survey (OGS). He comments that the high S1 peak is undoubtedly from a migrated oil. Note that the fluorescence is not seen very well in the photomicrographs (better under the microscope).</w:t>
        </w:r>
        <w:r>
          <w:rPr>
            <w:webHidden/>
          </w:rPr>
          <w:tab/>
        </w:r>
        <w:r>
          <w:rPr>
            <w:webHidden/>
          </w:rPr>
          <w:fldChar w:fldCharType="begin"/>
        </w:r>
        <w:r>
          <w:rPr>
            <w:webHidden/>
          </w:rPr>
          <w:instrText xml:space="preserve"> PAGEREF _Toc35861206 \h </w:instrText>
        </w:r>
        <w:r>
          <w:rPr>
            <w:webHidden/>
          </w:rPr>
        </w:r>
        <w:r>
          <w:rPr>
            <w:webHidden/>
          </w:rPr>
          <w:fldChar w:fldCharType="separate"/>
        </w:r>
        <w:r>
          <w:rPr>
            <w:webHidden/>
          </w:rPr>
          <w:t>108</w:t>
        </w:r>
        <w:r>
          <w:rPr>
            <w:webHidden/>
          </w:rPr>
          <w:fldChar w:fldCharType="end"/>
        </w:r>
      </w:hyperlink>
    </w:p>
    <w:p w14:paraId="668FB056" w14:textId="32E1217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7" w:history="1">
        <w:r w:rsidRPr="00713F3D">
          <w:rPr>
            <w:rStyle w:val="Hyperlink"/>
            <w:rFonts w:eastAsia="MS Mincho"/>
            <w:b/>
          </w:rPr>
          <w:t xml:space="preserve">Figure 3.20. </w:t>
        </w:r>
        <w:r w:rsidRPr="00713F3D">
          <w:rPr>
            <w:rStyle w:val="Hyperlink"/>
            <w:rFonts w:eastAsia="MS Mincho"/>
          </w:rPr>
          <w:t>Siliceous shale, siliceous mudstone and chert-rich lithofacies proposed and described by Galvis (2017) in the Woodford Shale that served as hosting lithologies of migrated hydrocarbons identified by the fluid inclusion analyses.</w:t>
        </w:r>
        <w:r>
          <w:rPr>
            <w:webHidden/>
          </w:rPr>
          <w:tab/>
        </w:r>
        <w:r>
          <w:rPr>
            <w:webHidden/>
          </w:rPr>
          <w:fldChar w:fldCharType="begin"/>
        </w:r>
        <w:r>
          <w:rPr>
            <w:webHidden/>
          </w:rPr>
          <w:instrText xml:space="preserve"> PAGEREF _Toc35861207 \h </w:instrText>
        </w:r>
        <w:r>
          <w:rPr>
            <w:webHidden/>
          </w:rPr>
        </w:r>
        <w:r>
          <w:rPr>
            <w:webHidden/>
          </w:rPr>
          <w:fldChar w:fldCharType="separate"/>
        </w:r>
        <w:r>
          <w:rPr>
            <w:webHidden/>
          </w:rPr>
          <w:t>109</w:t>
        </w:r>
        <w:r>
          <w:rPr>
            <w:webHidden/>
          </w:rPr>
          <w:fldChar w:fldCharType="end"/>
        </w:r>
      </w:hyperlink>
    </w:p>
    <w:p w14:paraId="316CBC98" w14:textId="5294615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8" w:history="1">
        <w:r w:rsidRPr="00713F3D">
          <w:rPr>
            <w:rStyle w:val="Hyperlink"/>
            <w:rFonts w:eastAsia="MS Mincho"/>
            <w:b/>
          </w:rPr>
          <w:t>Figure 3.21.</w:t>
        </w:r>
        <w:r w:rsidRPr="00713F3D">
          <w:rPr>
            <w:rStyle w:val="Hyperlink"/>
            <w:rFonts w:eastAsia="MS Mincho"/>
          </w:rPr>
          <w:t xml:space="preserve"> Schematic workflow used in the laboratory analysis. Methodology from the OU Organic Geochemistry Group (OG2). Diagram modified from Miceli-Romero (2014).</w:t>
        </w:r>
        <w:r>
          <w:rPr>
            <w:webHidden/>
          </w:rPr>
          <w:tab/>
        </w:r>
        <w:r>
          <w:rPr>
            <w:webHidden/>
          </w:rPr>
          <w:fldChar w:fldCharType="begin"/>
        </w:r>
        <w:r>
          <w:rPr>
            <w:webHidden/>
          </w:rPr>
          <w:instrText xml:space="preserve"> PAGEREF _Toc35861208 \h </w:instrText>
        </w:r>
        <w:r>
          <w:rPr>
            <w:webHidden/>
          </w:rPr>
        </w:r>
        <w:r>
          <w:rPr>
            <w:webHidden/>
          </w:rPr>
          <w:fldChar w:fldCharType="separate"/>
        </w:r>
        <w:r>
          <w:rPr>
            <w:webHidden/>
          </w:rPr>
          <w:t>111</w:t>
        </w:r>
        <w:r>
          <w:rPr>
            <w:webHidden/>
          </w:rPr>
          <w:fldChar w:fldCharType="end"/>
        </w:r>
      </w:hyperlink>
    </w:p>
    <w:p w14:paraId="338BD588" w14:textId="4B8BCFB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09" w:history="1">
        <w:r w:rsidRPr="00713F3D">
          <w:rPr>
            <w:rStyle w:val="Hyperlink"/>
            <w:rFonts w:eastAsia="MS Mincho"/>
            <w:b/>
          </w:rPr>
          <w:t xml:space="preserve">Figure 3.22. </w:t>
        </w:r>
        <w:r w:rsidRPr="00713F3D">
          <w:rPr>
            <w:rStyle w:val="Hyperlink"/>
            <w:rFonts w:eastAsia="MS Mincho"/>
          </w:rPr>
          <w:t>Gas chromatograms of saturate fractions from bitumen extracts of Speake Ranch Woodford Shale members. Note the severe biodegradation level evidenced by the humps and the removal of n-alkane and depletion of isoprenoids.</w:t>
        </w:r>
        <w:r>
          <w:rPr>
            <w:webHidden/>
          </w:rPr>
          <w:tab/>
        </w:r>
        <w:r>
          <w:rPr>
            <w:webHidden/>
          </w:rPr>
          <w:fldChar w:fldCharType="begin"/>
        </w:r>
        <w:r>
          <w:rPr>
            <w:webHidden/>
          </w:rPr>
          <w:instrText xml:space="preserve"> PAGEREF _Toc35861209 \h </w:instrText>
        </w:r>
        <w:r>
          <w:rPr>
            <w:webHidden/>
          </w:rPr>
        </w:r>
        <w:r>
          <w:rPr>
            <w:webHidden/>
          </w:rPr>
          <w:fldChar w:fldCharType="separate"/>
        </w:r>
        <w:r>
          <w:rPr>
            <w:webHidden/>
          </w:rPr>
          <w:t>114</w:t>
        </w:r>
        <w:r>
          <w:rPr>
            <w:webHidden/>
          </w:rPr>
          <w:fldChar w:fldCharType="end"/>
        </w:r>
      </w:hyperlink>
    </w:p>
    <w:p w14:paraId="168B92BB" w14:textId="51C5CCC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0" w:history="1">
        <w:r w:rsidRPr="00713F3D">
          <w:rPr>
            <w:rStyle w:val="Hyperlink"/>
            <w:rFonts w:eastAsia="MS Mincho"/>
            <w:b/>
          </w:rPr>
          <w:t>Figure 3.23.</w:t>
        </w:r>
        <w:r w:rsidRPr="00713F3D">
          <w:rPr>
            <w:rStyle w:val="Hyperlink"/>
            <w:rFonts w:eastAsia="MS Mincho"/>
          </w:rPr>
          <w:t xml:space="preserve"> Ternary plot showing the relative proportions of the C</w:t>
        </w:r>
        <w:r w:rsidRPr="00713F3D">
          <w:rPr>
            <w:rStyle w:val="Hyperlink"/>
            <w:rFonts w:eastAsia="MS Mincho"/>
            <w:vertAlign w:val="subscript"/>
          </w:rPr>
          <w:t>27</w:t>
        </w:r>
        <w:r w:rsidRPr="00713F3D">
          <w:rPr>
            <w:rStyle w:val="Hyperlink"/>
            <w:rFonts w:eastAsia="MS Mincho"/>
          </w:rPr>
          <w:t>:C</w:t>
        </w:r>
        <w:r w:rsidRPr="00713F3D">
          <w:rPr>
            <w:rStyle w:val="Hyperlink"/>
            <w:rFonts w:eastAsia="MS Mincho"/>
            <w:vertAlign w:val="subscript"/>
          </w:rPr>
          <w:t>28</w:t>
        </w:r>
        <w:r w:rsidRPr="00713F3D">
          <w:rPr>
            <w:rStyle w:val="Hyperlink"/>
            <w:rFonts w:eastAsia="MS Mincho"/>
          </w:rPr>
          <w:t>: C</w:t>
        </w:r>
        <w:r w:rsidRPr="00713F3D">
          <w:rPr>
            <w:rStyle w:val="Hyperlink"/>
            <w:rFonts w:eastAsia="MS Mincho"/>
            <w:vertAlign w:val="subscript"/>
          </w:rPr>
          <w:t>29</w:t>
        </w:r>
        <w:r w:rsidRPr="00713F3D">
          <w:rPr>
            <w:rStyle w:val="Hyperlink"/>
            <w:rFonts w:eastAsia="MS Mincho"/>
          </w:rPr>
          <w:t xml:space="preserve"> steranes compared to distributions originally proposed by Moldowan (1985) for source rocks of varying ages.</w:t>
        </w:r>
        <w:r>
          <w:rPr>
            <w:webHidden/>
          </w:rPr>
          <w:tab/>
        </w:r>
        <w:r>
          <w:rPr>
            <w:webHidden/>
          </w:rPr>
          <w:fldChar w:fldCharType="begin"/>
        </w:r>
        <w:r>
          <w:rPr>
            <w:webHidden/>
          </w:rPr>
          <w:instrText xml:space="preserve"> PAGEREF _Toc35861210 \h </w:instrText>
        </w:r>
        <w:r>
          <w:rPr>
            <w:webHidden/>
          </w:rPr>
        </w:r>
        <w:r>
          <w:rPr>
            <w:webHidden/>
          </w:rPr>
          <w:fldChar w:fldCharType="separate"/>
        </w:r>
        <w:r>
          <w:rPr>
            <w:webHidden/>
          </w:rPr>
          <w:t>120</w:t>
        </w:r>
        <w:r>
          <w:rPr>
            <w:webHidden/>
          </w:rPr>
          <w:fldChar w:fldCharType="end"/>
        </w:r>
      </w:hyperlink>
    </w:p>
    <w:p w14:paraId="0388DEFD" w14:textId="2AB30E0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1" w:history="1">
        <w:r w:rsidRPr="00713F3D">
          <w:rPr>
            <w:rStyle w:val="Hyperlink"/>
            <w:rFonts w:eastAsia="MS Mincho"/>
            <w:b/>
          </w:rPr>
          <w:t>Figure 3.24</w:t>
        </w:r>
        <w:r w:rsidRPr="00713F3D">
          <w:rPr>
            <w:rStyle w:val="Hyperlink"/>
            <w:rFonts w:eastAsia="MS Mincho"/>
          </w:rPr>
          <w:t>. GC-MS m/z 217.3 fragmentogram identifying C</w:t>
        </w:r>
        <w:r w:rsidRPr="00713F3D">
          <w:rPr>
            <w:rStyle w:val="Hyperlink"/>
            <w:rFonts w:eastAsia="MS Mincho"/>
            <w:vertAlign w:val="subscript"/>
          </w:rPr>
          <w:t>27</w:t>
        </w:r>
        <w:r w:rsidRPr="00713F3D">
          <w:rPr>
            <w:rStyle w:val="Hyperlink"/>
            <w:rFonts w:eastAsia="MS Mincho"/>
          </w:rPr>
          <w:t>-C</w:t>
        </w:r>
        <w:r w:rsidRPr="00713F3D">
          <w:rPr>
            <w:rStyle w:val="Hyperlink"/>
            <w:rFonts w:eastAsia="MS Mincho"/>
            <w:vertAlign w:val="subscript"/>
          </w:rPr>
          <w:t>30</w:t>
        </w:r>
        <w:r w:rsidRPr="00713F3D">
          <w:rPr>
            <w:rStyle w:val="Hyperlink"/>
            <w:rFonts w:eastAsia="MS Mincho"/>
          </w:rPr>
          <w:t xml:space="preserve"> steranes and diasteranes in a Middle-Upper Woodford boundary sample. Peak identities in Table 3.3.</w:t>
        </w:r>
        <w:r>
          <w:rPr>
            <w:webHidden/>
          </w:rPr>
          <w:tab/>
        </w:r>
        <w:r>
          <w:rPr>
            <w:webHidden/>
          </w:rPr>
          <w:fldChar w:fldCharType="begin"/>
        </w:r>
        <w:r>
          <w:rPr>
            <w:webHidden/>
          </w:rPr>
          <w:instrText xml:space="preserve"> PAGEREF _Toc35861211 \h </w:instrText>
        </w:r>
        <w:r>
          <w:rPr>
            <w:webHidden/>
          </w:rPr>
        </w:r>
        <w:r>
          <w:rPr>
            <w:webHidden/>
          </w:rPr>
          <w:fldChar w:fldCharType="separate"/>
        </w:r>
        <w:r>
          <w:rPr>
            <w:webHidden/>
          </w:rPr>
          <w:t>121</w:t>
        </w:r>
        <w:r>
          <w:rPr>
            <w:webHidden/>
          </w:rPr>
          <w:fldChar w:fldCharType="end"/>
        </w:r>
      </w:hyperlink>
    </w:p>
    <w:p w14:paraId="34DF353A" w14:textId="1161073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2" w:history="1">
        <w:r w:rsidRPr="00713F3D">
          <w:rPr>
            <w:rStyle w:val="Hyperlink"/>
            <w:rFonts w:eastAsia="MS Mincho"/>
            <w:b/>
          </w:rPr>
          <w:t>Figure 3.25.</w:t>
        </w:r>
        <w:r w:rsidRPr="00713F3D">
          <w:rPr>
            <w:rStyle w:val="Hyperlink"/>
            <w:rFonts w:eastAsia="MS Mincho"/>
          </w:rPr>
          <w:t xml:space="preserve">  M/z 217.3 showing the steranes variations in the vertical stratigraphic section of the Woodford Shale. Peak identification in Table 3.3.</w:t>
        </w:r>
        <w:r>
          <w:rPr>
            <w:webHidden/>
          </w:rPr>
          <w:tab/>
        </w:r>
        <w:r>
          <w:rPr>
            <w:webHidden/>
          </w:rPr>
          <w:fldChar w:fldCharType="begin"/>
        </w:r>
        <w:r>
          <w:rPr>
            <w:webHidden/>
          </w:rPr>
          <w:instrText xml:space="preserve"> PAGEREF _Toc35861212 \h </w:instrText>
        </w:r>
        <w:r>
          <w:rPr>
            <w:webHidden/>
          </w:rPr>
        </w:r>
        <w:r>
          <w:rPr>
            <w:webHidden/>
          </w:rPr>
          <w:fldChar w:fldCharType="separate"/>
        </w:r>
        <w:r>
          <w:rPr>
            <w:webHidden/>
          </w:rPr>
          <w:t>122</w:t>
        </w:r>
        <w:r>
          <w:rPr>
            <w:webHidden/>
          </w:rPr>
          <w:fldChar w:fldCharType="end"/>
        </w:r>
      </w:hyperlink>
    </w:p>
    <w:p w14:paraId="7209B714" w14:textId="6F24B1E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3" w:history="1">
        <w:r w:rsidRPr="00713F3D">
          <w:rPr>
            <w:rStyle w:val="Hyperlink"/>
            <w:rFonts w:eastAsia="MS Mincho"/>
            <w:b/>
          </w:rPr>
          <w:t xml:space="preserve">Figure 3.26. </w:t>
        </w:r>
        <w:r w:rsidRPr="00713F3D">
          <w:rPr>
            <w:rStyle w:val="Hyperlink"/>
            <w:rFonts w:eastAsia="MS Mincho"/>
          </w:rPr>
          <w:t>Plot of C</w:t>
        </w:r>
        <w:r w:rsidRPr="00713F3D">
          <w:rPr>
            <w:rStyle w:val="Hyperlink"/>
            <w:rFonts w:eastAsia="MS Mincho"/>
            <w:vertAlign w:val="subscript"/>
          </w:rPr>
          <w:t>29</w:t>
        </w:r>
        <w:r w:rsidRPr="00713F3D">
          <w:rPr>
            <w:rStyle w:val="Hyperlink"/>
            <w:rFonts w:eastAsia="MS Mincho"/>
          </w:rPr>
          <w:t xml:space="preserve"> ββ/(ββ+αα) steranes versus C</w:t>
        </w:r>
        <w:r w:rsidRPr="00713F3D">
          <w:rPr>
            <w:rStyle w:val="Hyperlink"/>
            <w:rFonts w:eastAsia="MS Mincho"/>
            <w:vertAlign w:val="subscript"/>
          </w:rPr>
          <w:t>29</w:t>
        </w:r>
        <w:r w:rsidRPr="00713F3D">
          <w:rPr>
            <w:rStyle w:val="Hyperlink"/>
            <w:rFonts w:eastAsia="MS Mincho"/>
          </w:rPr>
          <w:t xml:space="preserve"> 20S/(20S+20R) steranes showing variations in thermal maturity for Woodford Shale SR members. Plot modified from Peters, 1999). Lower maturity in the Lower member caused for probable re-working the organic matter. Higher maturity levels in the Upper and Middle Woodford member samples correspond to the samples with suspected migrated hydrocarbons.</w:t>
        </w:r>
        <w:r>
          <w:rPr>
            <w:webHidden/>
          </w:rPr>
          <w:tab/>
        </w:r>
        <w:r>
          <w:rPr>
            <w:webHidden/>
          </w:rPr>
          <w:fldChar w:fldCharType="begin"/>
        </w:r>
        <w:r>
          <w:rPr>
            <w:webHidden/>
          </w:rPr>
          <w:instrText xml:space="preserve"> PAGEREF _Toc35861213 \h </w:instrText>
        </w:r>
        <w:r>
          <w:rPr>
            <w:webHidden/>
          </w:rPr>
        </w:r>
        <w:r>
          <w:rPr>
            <w:webHidden/>
          </w:rPr>
          <w:fldChar w:fldCharType="separate"/>
        </w:r>
        <w:r>
          <w:rPr>
            <w:webHidden/>
          </w:rPr>
          <w:t>123</w:t>
        </w:r>
        <w:r>
          <w:rPr>
            <w:webHidden/>
          </w:rPr>
          <w:fldChar w:fldCharType="end"/>
        </w:r>
      </w:hyperlink>
    </w:p>
    <w:p w14:paraId="79C15F44" w14:textId="6149B27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4" w:history="1">
        <w:r w:rsidRPr="00713F3D">
          <w:rPr>
            <w:rStyle w:val="Hyperlink"/>
            <w:rFonts w:eastAsia="MS Mincho"/>
            <w:b/>
          </w:rPr>
          <w:t xml:space="preserve">Figure 3.27. </w:t>
        </w:r>
        <w:r w:rsidRPr="00713F3D">
          <w:rPr>
            <w:rStyle w:val="Hyperlink"/>
            <w:rFonts w:eastAsia="MS Mincho"/>
          </w:rPr>
          <w:t>Fragmentograms of the m/z 253.3 ion showing distribution of the monoaromatic steroids (MAS) in the branched and cyclic (B&amp;C) fractions of the Speake Ranch samples. Peak identification is presented in Table 3.4.</w:t>
        </w:r>
        <w:r>
          <w:rPr>
            <w:webHidden/>
          </w:rPr>
          <w:tab/>
        </w:r>
        <w:r>
          <w:rPr>
            <w:webHidden/>
          </w:rPr>
          <w:fldChar w:fldCharType="begin"/>
        </w:r>
        <w:r>
          <w:rPr>
            <w:webHidden/>
          </w:rPr>
          <w:instrText xml:space="preserve"> PAGEREF _Toc35861214 \h </w:instrText>
        </w:r>
        <w:r>
          <w:rPr>
            <w:webHidden/>
          </w:rPr>
        </w:r>
        <w:r>
          <w:rPr>
            <w:webHidden/>
          </w:rPr>
          <w:fldChar w:fldCharType="separate"/>
        </w:r>
        <w:r>
          <w:rPr>
            <w:webHidden/>
          </w:rPr>
          <w:t>126</w:t>
        </w:r>
        <w:r>
          <w:rPr>
            <w:webHidden/>
          </w:rPr>
          <w:fldChar w:fldCharType="end"/>
        </w:r>
      </w:hyperlink>
    </w:p>
    <w:p w14:paraId="0A70AE37" w14:textId="55CC4DA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5" w:history="1">
        <w:r w:rsidRPr="00713F3D">
          <w:rPr>
            <w:rStyle w:val="Hyperlink"/>
            <w:rFonts w:eastAsia="MS Mincho"/>
            <w:b/>
          </w:rPr>
          <w:t>Figure 3.28.</w:t>
        </w:r>
        <w:r w:rsidRPr="00713F3D">
          <w:rPr>
            <w:rStyle w:val="Hyperlink"/>
            <w:rFonts w:eastAsia="MS Mincho"/>
          </w:rPr>
          <w:t xml:space="preserve"> Tricyclic terpanes and hopanes identification using m/z 191.3 plot of sample 220b, Middle-Upper Woodford 220.5 ft boundary. Peaks nomenclature in Table 3.5.</w:t>
        </w:r>
        <w:r>
          <w:rPr>
            <w:webHidden/>
          </w:rPr>
          <w:tab/>
        </w:r>
        <w:r>
          <w:rPr>
            <w:webHidden/>
          </w:rPr>
          <w:fldChar w:fldCharType="begin"/>
        </w:r>
        <w:r>
          <w:rPr>
            <w:webHidden/>
          </w:rPr>
          <w:instrText xml:space="preserve"> PAGEREF _Toc35861215 \h </w:instrText>
        </w:r>
        <w:r>
          <w:rPr>
            <w:webHidden/>
          </w:rPr>
        </w:r>
        <w:r>
          <w:rPr>
            <w:webHidden/>
          </w:rPr>
          <w:fldChar w:fldCharType="separate"/>
        </w:r>
        <w:r>
          <w:rPr>
            <w:webHidden/>
          </w:rPr>
          <w:t>131</w:t>
        </w:r>
        <w:r>
          <w:rPr>
            <w:webHidden/>
          </w:rPr>
          <w:fldChar w:fldCharType="end"/>
        </w:r>
      </w:hyperlink>
    </w:p>
    <w:p w14:paraId="1FD826DC" w14:textId="72732CB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6" w:history="1">
        <w:r w:rsidRPr="00713F3D">
          <w:rPr>
            <w:rStyle w:val="Hyperlink"/>
            <w:rFonts w:eastAsia="MS Mincho"/>
            <w:b/>
          </w:rPr>
          <w:t xml:space="preserve">Figure 3.29. </w:t>
        </w:r>
        <w:r w:rsidRPr="00713F3D">
          <w:rPr>
            <w:rStyle w:val="Hyperlink"/>
            <w:rFonts w:eastAsia="MS Mincho"/>
          </w:rPr>
          <w:t>Tricyclic terpanes and hopanes identification using m/z 191.3 plot of sample 220b, Middle-Upper Woodford members boundary at 220.5 ft. Peak identification in Table 3.5.</w:t>
        </w:r>
        <w:r>
          <w:rPr>
            <w:webHidden/>
          </w:rPr>
          <w:tab/>
        </w:r>
        <w:r>
          <w:rPr>
            <w:webHidden/>
          </w:rPr>
          <w:fldChar w:fldCharType="begin"/>
        </w:r>
        <w:r>
          <w:rPr>
            <w:webHidden/>
          </w:rPr>
          <w:instrText xml:space="preserve"> PAGEREF _Toc35861216 \h </w:instrText>
        </w:r>
        <w:r>
          <w:rPr>
            <w:webHidden/>
          </w:rPr>
        </w:r>
        <w:r>
          <w:rPr>
            <w:webHidden/>
          </w:rPr>
          <w:fldChar w:fldCharType="separate"/>
        </w:r>
        <w:r>
          <w:rPr>
            <w:webHidden/>
          </w:rPr>
          <w:t>139</w:t>
        </w:r>
        <w:r>
          <w:rPr>
            <w:webHidden/>
          </w:rPr>
          <w:fldChar w:fldCharType="end"/>
        </w:r>
      </w:hyperlink>
    </w:p>
    <w:p w14:paraId="42578636" w14:textId="5EB6F65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7" w:history="1">
        <w:r w:rsidRPr="00713F3D">
          <w:rPr>
            <w:rStyle w:val="Hyperlink"/>
            <w:rFonts w:eastAsia="MS Mincho"/>
            <w:b/>
          </w:rPr>
          <w:t>Figure 3.31.</w:t>
        </w:r>
        <w:r w:rsidRPr="00713F3D">
          <w:rPr>
            <w:rStyle w:val="Hyperlink"/>
            <w:rFonts w:eastAsia="MS Mincho"/>
          </w:rPr>
          <w:t xml:space="preserve"> C</w:t>
        </w:r>
        <w:r w:rsidRPr="00713F3D">
          <w:rPr>
            <w:rStyle w:val="Hyperlink"/>
            <w:rFonts w:eastAsia="MS Mincho"/>
            <w:vertAlign w:val="subscript"/>
          </w:rPr>
          <w:t>26</w:t>
        </w:r>
        <w:r w:rsidRPr="00713F3D">
          <w:rPr>
            <w:rStyle w:val="Hyperlink"/>
            <w:rFonts w:eastAsia="MS Mincho"/>
          </w:rPr>
          <w:t>/C</w:t>
        </w:r>
        <w:r w:rsidRPr="00713F3D">
          <w:rPr>
            <w:rStyle w:val="Hyperlink"/>
            <w:rFonts w:eastAsia="MS Mincho"/>
            <w:vertAlign w:val="subscript"/>
          </w:rPr>
          <w:t xml:space="preserve">25 </w:t>
        </w:r>
        <w:r w:rsidRPr="00713F3D">
          <w:rPr>
            <w:rStyle w:val="Hyperlink"/>
            <w:rFonts w:eastAsia="MS Mincho"/>
          </w:rPr>
          <w:t>vs. C</w:t>
        </w:r>
        <w:r w:rsidRPr="00713F3D">
          <w:rPr>
            <w:rStyle w:val="Hyperlink"/>
            <w:rFonts w:eastAsia="MS Mincho"/>
            <w:vertAlign w:val="subscript"/>
          </w:rPr>
          <w:t>31</w:t>
        </w:r>
        <w:r w:rsidRPr="00713F3D">
          <w:rPr>
            <w:rStyle w:val="Hyperlink"/>
            <w:rFonts w:eastAsia="MS Mincho"/>
          </w:rPr>
          <w:t>R/C</w:t>
        </w:r>
        <w:r w:rsidRPr="00713F3D">
          <w:rPr>
            <w:rStyle w:val="Hyperlink"/>
            <w:rFonts w:eastAsia="MS Mincho"/>
            <w:vertAlign w:val="subscript"/>
          </w:rPr>
          <w:t>30</w:t>
        </w:r>
        <w:r w:rsidRPr="00713F3D">
          <w:rPr>
            <w:rStyle w:val="Hyperlink"/>
            <w:rFonts w:eastAsia="MS Mincho"/>
          </w:rPr>
          <w:t xml:space="preserve"> Hopane shows that the Woodford Shale samples are mainly of marine origin (Dotted lines are used as a guide and do not represent fixed fields on the diagram. Plot modified from Peters et al., 2005). Only two Upper member samples are in an apparent </w:t>
        </w:r>
        <w:r w:rsidRPr="00713F3D">
          <w:rPr>
            <w:rStyle w:val="Hyperlink"/>
            <w:rFonts w:eastAsia="MS Mincho"/>
          </w:rPr>
          <w:lastRenderedPageBreak/>
          <w:t>lacustrine depositional setting, but these samples are the suspected migrated bitumen towards the outcrop.</w:t>
        </w:r>
        <w:r>
          <w:rPr>
            <w:webHidden/>
          </w:rPr>
          <w:tab/>
        </w:r>
        <w:r>
          <w:rPr>
            <w:webHidden/>
          </w:rPr>
          <w:fldChar w:fldCharType="begin"/>
        </w:r>
        <w:r>
          <w:rPr>
            <w:webHidden/>
          </w:rPr>
          <w:instrText xml:space="preserve"> PAGEREF _Toc35861217 \h </w:instrText>
        </w:r>
        <w:r>
          <w:rPr>
            <w:webHidden/>
          </w:rPr>
        </w:r>
        <w:r>
          <w:rPr>
            <w:webHidden/>
          </w:rPr>
          <w:fldChar w:fldCharType="separate"/>
        </w:r>
        <w:r>
          <w:rPr>
            <w:webHidden/>
          </w:rPr>
          <w:t>141</w:t>
        </w:r>
        <w:r>
          <w:rPr>
            <w:webHidden/>
          </w:rPr>
          <w:fldChar w:fldCharType="end"/>
        </w:r>
      </w:hyperlink>
    </w:p>
    <w:p w14:paraId="32C4999D" w14:textId="56AA9DA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8" w:history="1">
        <w:r w:rsidRPr="00713F3D">
          <w:rPr>
            <w:rStyle w:val="Hyperlink"/>
            <w:rFonts w:eastAsia="MS Mincho"/>
            <w:b/>
          </w:rPr>
          <w:t xml:space="preserve">Figure 3.32. </w:t>
        </w:r>
        <w:r w:rsidRPr="00713F3D">
          <w:rPr>
            <w:rStyle w:val="Hyperlink"/>
            <w:rFonts w:eastAsia="MS Mincho"/>
          </w:rPr>
          <w:t>A plot of diasteranes/(diasteranes+regular) C</w:t>
        </w:r>
        <w:r w:rsidRPr="00713F3D">
          <w:rPr>
            <w:rStyle w:val="Hyperlink"/>
            <w:rFonts w:eastAsia="MS Mincho"/>
            <w:vertAlign w:val="subscript"/>
          </w:rPr>
          <w:t xml:space="preserve">27 </w:t>
        </w:r>
        <w:r w:rsidRPr="00713F3D">
          <w:rPr>
            <w:rStyle w:val="Hyperlink"/>
            <w:rFonts w:eastAsia="MS Mincho"/>
          </w:rPr>
          <w:t>Steranes vs. Ts/(Ts+Tm) ratios shows differences in thermal maturity (Plot modified from Moldowan et al., 1994).</w:t>
        </w:r>
        <w:r>
          <w:rPr>
            <w:webHidden/>
          </w:rPr>
          <w:tab/>
        </w:r>
        <w:r>
          <w:rPr>
            <w:webHidden/>
          </w:rPr>
          <w:fldChar w:fldCharType="begin"/>
        </w:r>
        <w:r>
          <w:rPr>
            <w:webHidden/>
          </w:rPr>
          <w:instrText xml:space="preserve"> PAGEREF _Toc35861218 \h </w:instrText>
        </w:r>
        <w:r>
          <w:rPr>
            <w:webHidden/>
          </w:rPr>
        </w:r>
        <w:r>
          <w:rPr>
            <w:webHidden/>
          </w:rPr>
          <w:fldChar w:fldCharType="separate"/>
        </w:r>
        <w:r>
          <w:rPr>
            <w:webHidden/>
          </w:rPr>
          <w:t>141</w:t>
        </w:r>
        <w:r>
          <w:rPr>
            <w:webHidden/>
          </w:rPr>
          <w:fldChar w:fldCharType="end"/>
        </w:r>
      </w:hyperlink>
    </w:p>
    <w:p w14:paraId="3B45E744" w14:textId="41AC4DD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19" w:history="1">
        <w:r w:rsidRPr="00713F3D">
          <w:rPr>
            <w:rStyle w:val="Hyperlink"/>
            <w:rFonts w:eastAsia="MS Mincho"/>
            <w:b/>
          </w:rPr>
          <w:t xml:space="preserve">Figure 3.33. </w:t>
        </w:r>
        <w:r w:rsidRPr="00713F3D">
          <w:rPr>
            <w:rStyle w:val="Hyperlink"/>
            <w:rFonts w:eastAsia="MS Mincho"/>
          </w:rPr>
          <w:t xml:space="preserve">GC/MS/MS mass chromatograms of Holba et al. (2000 and 2003) TPP identification samples. A: 414 </w:t>
        </w:r>
        <w:r w:rsidRPr="00713F3D">
          <w:rPr>
            <w:rStyle w:val="Hyperlink"/>
            <w:rFonts w:ascii="Segoe UI Symbol" w:eastAsia="MS Mincho" w:hAnsi="Segoe UI Symbol" w:cs="Segoe UI Symbol"/>
          </w:rPr>
          <w:t>➔</w:t>
        </w:r>
        <w:r w:rsidRPr="00713F3D">
          <w:rPr>
            <w:rStyle w:val="Hyperlink"/>
            <w:rFonts w:eastAsia="MS Mincho"/>
          </w:rPr>
          <w:t xml:space="preserve"> 259 lacustrine source-rock extract from Triassic Cacheuta Shale, Cuyo basin, Argentina. B: 414 </w:t>
        </w:r>
        <w:r w:rsidRPr="00713F3D">
          <w:rPr>
            <w:rStyle w:val="Hyperlink"/>
            <w:rFonts w:ascii="Segoe UI Symbol" w:eastAsia="MS Mincho" w:hAnsi="Segoe UI Symbol" w:cs="Segoe UI Symbol"/>
          </w:rPr>
          <w:t>➔</w:t>
        </w:r>
        <w:r w:rsidRPr="00713F3D">
          <w:rPr>
            <w:rStyle w:val="Hyperlink"/>
            <w:rFonts w:eastAsia="MS Mincho"/>
          </w:rPr>
          <w:t xml:space="preserve"> 259 from Jurassic marine oil, Ekofisk field, North Sea, Norway. C: 358 </w:t>
        </w:r>
        <w:r w:rsidRPr="00713F3D">
          <w:rPr>
            <w:rStyle w:val="Hyperlink"/>
            <w:rFonts w:ascii="Segoe UI Symbol" w:eastAsia="MS Mincho" w:hAnsi="Segoe UI Symbol" w:cs="Segoe UI Symbol"/>
          </w:rPr>
          <w:t>➔</w:t>
        </w:r>
        <w:r w:rsidRPr="00713F3D">
          <w:rPr>
            <w:rStyle w:val="Hyperlink"/>
            <w:rFonts w:eastAsia="MS Mincho"/>
          </w:rPr>
          <w:t xml:space="preserve"> 217 norcholestanes from Jurassic marine oil, Cook Inlet, Alaska. Compound structures and nomenclature: compound 1, peaks a = C</w:t>
        </w:r>
        <w:r w:rsidRPr="00713F3D">
          <w:rPr>
            <w:rStyle w:val="Hyperlink"/>
            <w:rFonts w:eastAsia="MS Mincho"/>
            <w:vertAlign w:val="subscript"/>
          </w:rPr>
          <w:t>30</w:t>
        </w:r>
        <w:r w:rsidRPr="00713F3D">
          <w:rPr>
            <w:rStyle w:val="Hyperlink"/>
            <w:rFonts w:eastAsia="MS Mincho"/>
          </w:rPr>
          <w:t xml:space="preserve"> TPP 18α(h),21R; b = C</w:t>
        </w:r>
        <w:r w:rsidRPr="00713F3D">
          <w:rPr>
            <w:rStyle w:val="Hyperlink"/>
            <w:rFonts w:eastAsia="MS Mincho"/>
            <w:vertAlign w:val="subscript"/>
          </w:rPr>
          <w:t>30</w:t>
        </w:r>
        <w:r w:rsidRPr="00713F3D">
          <w:rPr>
            <w:rStyle w:val="Hyperlink"/>
            <w:rFonts w:eastAsia="MS Mincho"/>
          </w:rPr>
          <w:t xml:space="preserve"> TPP 18α(h),21S; c = 14α,17α,20S-3β-propylcholestane; d = 14β,17β,20R-3β-propylcholestane; e = 14β,17β,20S-3β-propylcholestane, f = 14α,17α,20R-3β-propylcholestane. For compound 2: g = 13β,17α,20S-27-nordiacholestane; h = 13β,17α,20R-27-nordiacholestane. For compound 3: peaks i = 5α,14α,17α,20S-27-norcholestane; j = 5α,14β,17β,20R-27-norcholestane; k = 5α, 14β, 17β, 20S-27-norcholestane; l = 5α, 14α, 17α, 20R-27-norcholestane. Modified from Holba et al. (2003).</w:t>
        </w:r>
        <w:r>
          <w:rPr>
            <w:webHidden/>
          </w:rPr>
          <w:tab/>
        </w:r>
        <w:r>
          <w:rPr>
            <w:webHidden/>
          </w:rPr>
          <w:fldChar w:fldCharType="begin"/>
        </w:r>
        <w:r>
          <w:rPr>
            <w:webHidden/>
          </w:rPr>
          <w:instrText xml:space="preserve"> PAGEREF _Toc35861219 \h </w:instrText>
        </w:r>
        <w:r>
          <w:rPr>
            <w:webHidden/>
          </w:rPr>
        </w:r>
        <w:r>
          <w:rPr>
            <w:webHidden/>
          </w:rPr>
          <w:fldChar w:fldCharType="separate"/>
        </w:r>
        <w:r>
          <w:rPr>
            <w:webHidden/>
          </w:rPr>
          <w:t>145</w:t>
        </w:r>
        <w:r>
          <w:rPr>
            <w:webHidden/>
          </w:rPr>
          <w:fldChar w:fldCharType="end"/>
        </w:r>
      </w:hyperlink>
    </w:p>
    <w:p w14:paraId="03C5DD45" w14:textId="5F06456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0" w:history="1">
        <w:r w:rsidRPr="00713F3D">
          <w:rPr>
            <w:rStyle w:val="Hyperlink"/>
            <w:rFonts w:eastAsia="MS Mincho"/>
            <w:b/>
          </w:rPr>
          <w:t>Figure 3.34.</w:t>
        </w:r>
        <w:r w:rsidRPr="00713F3D">
          <w:rPr>
            <w:rStyle w:val="Hyperlink"/>
            <w:rFonts w:eastAsia="MS Mincho"/>
          </w:rPr>
          <w:t xml:space="preserve"> GC-MS saturate fraction of one sample in the Upper, one in the Middle, and one in the Lower Woodford members for screening in the m/z 259.3 the possible presence of TPP, confirmed with GC-MS/MS in Figure 3.37 – 3.39.</w:t>
        </w:r>
        <w:r>
          <w:rPr>
            <w:webHidden/>
          </w:rPr>
          <w:tab/>
        </w:r>
        <w:r>
          <w:rPr>
            <w:webHidden/>
          </w:rPr>
          <w:fldChar w:fldCharType="begin"/>
        </w:r>
        <w:r>
          <w:rPr>
            <w:webHidden/>
          </w:rPr>
          <w:instrText xml:space="preserve"> PAGEREF _Toc35861220 \h </w:instrText>
        </w:r>
        <w:r>
          <w:rPr>
            <w:webHidden/>
          </w:rPr>
        </w:r>
        <w:r>
          <w:rPr>
            <w:webHidden/>
          </w:rPr>
          <w:fldChar w:fldCharType="separate"/>
        </w:r>
        <w:r>
          <w:rPr>
            <w:webHidden/>
          </w:rPr>
          <w:t>146</w:t>
        </w:r>
        <w:r>
          <w:rPr>
            <w:webHidden/>
          </w:rPr>
          <w:fldChar w:fldCharType="end"/>
        </w:r>
      </w:hyperlink>
    </w:p>
    <w:p w14:paraId="58C65111" w14:textId="2287E04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1" w:history="1">
        <w:r w:rsidRPr="00713F3D">
          <w:rPr>
            <w:rStyle w:val="Hyperlink"/>
            <w:rFonts w:eastAsia="MS Mincho"/>
            <w:b/>
          </w:rPr>
          <w:t xml:space="preserve">Figure 3.35. </w:t>
        </w:r>
        <w:r w:rsidRPr="00713F3D">
          <w:rPr>
            <w:rStyle w:val="Hyperlink"/>
            <w:rFonts w:eastAsia="MS Mincho"/>
          </w:rPr>
          <w:t>Plots of biomarker indicators of depositional environment and biological input (Holba et al., 2003). Holba et al. (2000 and 2003) proposed the TPP ratio (an indicator of fresh/ brackish water algal input) vs. %C</w:t>
        </w:r>
        <w:r w:rsidRPr="00713F3D">
          <w:rPr>
            <w:rStyle w:val="Hyperlink"/>
            <w:rFonts w:eastAsia="MS Mincho"/>
            <w:vertAlign w:val="subscript"/>
          </w:rPr>
          <w:t>30</w:t>
        </w:r>
        <w:r w:rsidRPr="00713F3D">
          <w:rPr>
            <w:rStyle w:val="Hyperlink"/>
            <w:rFonts w:eastAsia="MS Mincho"/>
          </w:rPr>
          <w:t xml:space="preserve"> 24-propylcholestanes (an indicator of marine algal input).</w:t>
        </w:r>
        <w:r>
          <w:rPr>
            <w:webHidden/>
          </w:rPr>
          <w:tab/>
        </w:r>
        <w:r>
          <w:rPr>
            <w:webHidden/>
          </w:rPr>
          <w:fldChar w:fldCharType="begin"/>
        </w:r>
        <w:r>
          <w:rPr>
            <w:webHidden/>
          </w:rPr>
          <w:instrText xml:space="preserve"> PAGEREF _Toc35861221 \h </w:instrText>
        </w:r>
        <w:r>
          <w:rPr>
            <w:webHidden/>
          </w:rPr>
        </w:r>
        <w:r>
          <w:rPr>
            <w:webHidden/>
          </w:rPr>
          <w:fldChar w:fldCharType="separate"/>
        </w:r>
        <w:r>
          <w:rPr>
            <w:webHidden/>
          </w:rPr>
          <w:t>147</w:t>
        </w:r>
        <w:r>
          <w:rPr>
            <w:webHidden/>
          </w:rPr>
          <w:fldChar w:fldCharType="end"/>
        </w:r>
      </w:hyperlink>
    </w:p>
    <w:p w14:paraId="4B20F16F" w14:textId="3A76278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2" w:history="1">
        <w:r w:rsidRPr="00713F3D">
          <w:rPr>
            <w:rStyle w:val="Hyperlink"/>
            <w:rFonts w:eastAsia="MS Mincho"/>
            <w:b/>
          </w:rPr>
          <w:t xml:space="preserve">Figure 3.36. </w:t>
        </w:r>
        <w:r w:rsidRPr="00713F3D">
          <w:rPr>
            <w:rStyle w:val="Hyperlink"/>
            <w:rFonts w:eastAsia="MS Mincho"/>
          </w:rPr>
          <w:t>Plots of biomarker indicators of depositional environment and biological input for the SR using TPPs (Holba et al., 2003). Note that no samples yield in the lacustrine interval proposed by Holba et al. (2000 and 2003). Some upper Woodford and Middle Woodford samples are in the mixed organic matter according to this plot modified after Holba et al. (2003).</w:t>
        </w:r>
        <w:r>
          <w:rPr>
            <w:webHidden/>
          </w:rPr>
          <w:tab/>
        </w:r>
        <w:r>
          <w:rPr>
            <w:webHidden/>
          </w:rPr>
          <w:fldChar w:fldCharType="begin"/>
        </w:r>
        <w:r>
          <w:rPr>
            <w:webHidden/>
          </w:rPr>
          <w:instrText xml:space="preserve"> PAGEREF _Toc35861222 \h </w:instrText>
        </w:r>
        <w:r>
          <w:rPr>
            <w:webHidden/>
          </w:rPr>
        </w:r>
        <w:r>
          <w:rPr>
            <w:webHidden/>
          </w:rPr>
          <w:fldChar w:fldCharType="separate"/>
        </w:r>
        <w:r>
          <w:rPr>
            <w:webHidden/>
          </w:rPr>
          <w:t>147</w:t>
        </w:r>
        <w:r>
          <w:rPr>
            <w:webHidden/>
          </w:rPr>
          <w:fldChar w:fldCharType="end"/>
        </w:r>
      </w:hyperlink>
    </w:p>
    <w:p w14:paraId="49DB1D9E" w14:textId="465A42E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3" w:history="1">
        <w:r w:rsidRPr="00713F3D">
          <w:rPr>
            <w:rStyle w:val="Hyperlink"/>
            <w:rFonts w:eastAsia="MS Mincho"/>
            <w:b/>
          </w:rPr>
          <w:t>Figure 3.37.</w:t>
        </w:r>
        <w:r w:rsidRPr="00713F3D">
          <w:rPr>
            <w:rStyle w:val="Hyperlink"/>
            <w:rFonts w:eastAsia="MS Mincho"/>
          </w:rPr>
          <w:t xml:space="preserve"> GC-MS/MS in a Middle Woodford Shale sample, 220.5 ft. M/z 414→259 and m/z 358→217 for recognizing the presence of tetracyclic polyprenoids (TPP) and the TPP ratio when compared to the 27-norcholestanes using the methodology of Holba et al. (2000 and 2003). TPP Ratio of 0.18. Compound structures in Figure 3.30.</w:t>
        </w:r>
        <w:r>
          <w:rPr>
            <w:webHidden/>
          </w:rPr>
          <w:tab/>
        </w:r>
        <w:r>
          <w:rPr>
            <w:webHidden/>
          </w:rPr>
          <w:fldChar w:fldCharType="begin"/>
        </w:r>
        <w:r>
          <w:rPr>
            <w:webHidden/>
          </w:rPr>
          <w:instrText xml:space="preserve"> PAGEREF _Toc35861223 \h </w:instrText>
        </w:r>
        <w:r>
          <w:rPr>
            <w:webHidden/>
          </w:rPr>
        </w:r>
        <w:r>
          <w:rPr>
            <w:webHidden/>
          </w:rPr>
          <w:fldChar w:fldCharType="separate"/>
        </w:r>
        <w:r>
          <w:rPr>
            <w:webHidden/>
          </w:rPr>
          <w:t>148</w:t>
        </w:r>
        <w:r>
          <w:rPr>
            <w:webHidden/>
          </w:rPr>
          <w:fldChar w:fldCharType="end"/>
        </w:r>
      </w:hyperlink>
    </w:p>
    <w:p w14:paraId="760C1E9F" w14:textId="77B9694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4" w:history="1">
        <w:r w:rsidRPr="00713F3D">
          <w:rPr>
            <w:rStyle w:val="Hyperlink"/>
            <w:rFonts w:eastAsia="MS Mincho"/>
            <w:b/>
          </w:rPr>
          <w:t>Figure 3.38.</w:t>
        </w:r>
        <w:r w:rsidRPr="00713F3D">
          <w:rPr>
            <w:rStyle w:val="Hyperlink"/>
            <w:rFonts w:eastAsia="MS Mincho"/>
          </w:rPr>
          <w:t xml:space="preserve"> GC-MS/MS in a Middle Woodford Shale sample, 134.5 ft. M/z 414→259 and m/z 358→217 for recognizing the presence of tetracyclic polyprenoids (TPP) and the TPP ratio when compared to the 27-norcholestanes using the methodology of Holba et al. (2000 and 2003). TPP ratio 0.55, is the highest found in the Speake Ranch. Compound structures in Figure 3.30.</w:t>
        </w:r>
        <w:r>
          <w:rPr>
            <w:webHidden/>
          </w:rPr>
          <w:tab/>
        </w:r>
        <w:r>
          <w:rPr>
            <w:webHidden/>
          </w:rPr>
          <w:fldChar w:fldCharType="begin"/>
        </w:r>
        <w:r>
          <w:rPr>
            <w:webHidden/>
          </w:rPr>
          <w:instrText xml:space="preserve"> PAGEREF _Toc35861224 \h </w:instrText>
        </w:r>
        <w:r>
          <w:rPr>
            <w:webHidden/>
          </w:rPr>
        </w:r>
        <w:r>
          <w:rPr>
            <w:webHidden/>
          </w:rPr>
          <w:fldChar w:fldCharType="separate"/>
        </w:r>
        <w:r>
          <w:rPr>
            <w:webHidden/>
          </w:rPr>
          <w:t>149</w:t>
        </w:r>
        <w:r>
          <w:rPr>
            <w:webHidden/>
          </w:rPr>
          <w:fldChar w:fldCharType="end"/>
        </w:r>
      </w:hyperlink>
    </w:p>
    <w:p w14:paraId="49FFAD00" w14:textId="1E638DF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5" w:history="1">
        <w:r w:rsidRPr="00713F3D">
          <w:rPr>
            <w:rStyle w:val="Hyperlink"/>
            <w:rFonts w:eastAsia="MS Mincho"/>
            <w:b/>
          </w:rPr>
          <w:t>Figure 3.39.</w:t>
        </w:r>
        <w:r w:rsidRPr="00713F3D">
          <w:rPr>
            <w:rStyle w:val="Hyperlink"/>
            <w:rFonts w:eastAsia="MS Mincho"/>
          </w:rPr>
          <w:t xml:space="preserve"> GC-MS/MS in a Lower Woodford Shale sample, 28.0 ft. M/z 414→259 and m/z 358→217 for recognizing the presence of tetracyclic polyprenoids (TPP) and the TPP ratio when compared to the 27-norcholestanes using the methodology of Holba et al. (2000 and 2003). TPP ratio 0.004, is the lowest found in the Speake Ranch. Compound structures in Figure 3.30.</w:t>
        </w:r>
        <w:r>
          <w:rPr>
            <w:webHidden/>
          </w:rPr>
          <w:tab/>
        </w:r>
        <w:r>
          <w:rPr>
            <w:webHidden/>
          </w:rPr>
          <w:fldChar w:fldCharType="begin"/>
        </w:r>
        <w:r>
          <w:rPr>
            <w:webHidden/>
          </w:rPr>
          <w:instrText xml:space="preserve"> PAGEREF _Toc35861225 \h </w:instrText>
        </w:r>
        <w:r>
          <w:rPr>
            <w:webHidden/>
          </w:rPr>
        </w:r>
        <w:r>
          <w:rPr>
            <w:webHidden/>
          </w:rPr>
          <w:fldChar w:fldCharType="separate"/>
        </w:r>
        <w:r>
          <w:rPr>
            <w:webHidden/>
          </w:rPr>
          <w:t>150</w:t>
        </w:r>
        <w:r>
          <w:rPr>
            <w:webHidden/>
          </w:rPr>
          <w:fldChar w:fldCharType="end"/>
        </w:r>
      </w:hyperlink>
    </w:p>
    <w:p w14:paraId="709CC0EC" w14:textId="7D213AA2"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6" w:history="1">
        <w:r w:rsidRPr="00713F3D">
          <w:rPr>
            <w:rStyle w:val="Hyperlink"/>
            <w:rFonts w:eastAsia="MS Mincho"/>
            <w:b/>
          </w:rPr>
          <w:t>Figure 3.40.</w:t>
        </w:r>
        <w:r w:rsidRPr="00713F3D">
          <w:rPr>
            <w:rStyle w:val="Hyperlink"/>
            <w:rFonts w:eastAsia="MS Mincho"/>
          </w:rPr>
          <w:t xml:space="preserve"> GC-MS/MS of the m/z 414→259 for recognizing the presence of tetracyclic polyprenoids (TPP) in eight samples of the Speake Ranch. Peak recognition criteria from Holba et </w:t>
        </w:r>
        <w:r w:rsidRPr="00713F3D">
          <w:rPr>
            <w:rStyle w:val="Hyperlink"/>
            <w:rFonts w:eastAsia="MS Mincho"/>
          </w:rPr>
          <w:lastRenderedPageBreak/>
          <w:t>al. (2000 and 2003): a = C</w:t>
        </w:r>
        <w:r w:rsidRPr="00713F3D">
          <w:rPr>
            <w:rStyle w:val="Hyperlink"/>
            <w:rFonts w:eastAsia="MS Mincho"/>
            <w:vertAlign w:val="subscript"/>
          </w:rPr>
          <w:t>30</w:t>
        </w:r>
        <w:r w:rsidRPr="00713F3D">
          <w:rPr>
            <w:rStyle w:val="Hyperlink"/>
            <w:rFonts w:eastAsia="MS Mincho"/>
          </w:rPr>
          <w:t xml:space="preserve"> TPP 18α(h),21R; b =  C</w:t>
        </w:r>
        <w:r w:rsidRPr="00713F3D">
          <w:rPr>
            <w:rStyle w:val="Hyperlink"/>
            <w:rFonts w:eastAsia="MS Mincho"/>
            <w:vertAlign w:val="subscript"/>
          </w:rPr>
          <w:t>30</w:t>
        </w:r>
        <w:r w:rsidRPr="00713F3D">
          <w:rPr>
            <w:rStyle w:val="Hyperlink"/>
            <w:rFonts w:eastAsia="MS Mincho"/>
          </w:rPr>
          <w:t xml:space="preserve"> TPP 18α(h),21S; c = 14α,17α,20S-3β-propylcholestane; d = 14β,17β,20R-3β-propylcholestane; e = 14β,17β,20S-3β-propylcholestane. Upper Woodford samples are the X7b and 271b; the Lower Woodford sample is the 28a. Others correspond to the Middle Woodford member. Compound structures in Figure 3.30.</w:t>
        </w:r>
        <w:r>
          <w:rPr>
            <w:webHidden/>
          </w:rPr>
          <w:tab/>
        </w:r>
        <w:r>
          <w:rPr>
            <w:webHidden/>
          </w:rPr>
          <w:fldChar w:fldCharType="begin"/>
        </w:r>
        <w:r>
          <w:rPr>
            <w:webHidden/>
          </w:rPr>
          <w:instrText xml:space="preserve"> PAGEREF _Toc35861226 \h </w:instrText>
        </w:r>
        <w:r>
          <w:rPr>
            <w:webHidden/>
          </w:rPr>
        </w:r>
        <w:r>
          <w:rPr>
            <w:webHidden/>
          </w:rPr>
          <w:fldChar w:fldCharType="separate"/>
        </w:r>
        <w:r>
          <w:rPr>
            <w:webHidden/>
          </w:rPr>
          <w:t>151</w:t>
        </w:r>
        <w:r>
          <w:rPr>
            <w:webHidden/>
          </w:rPr>
          <w:fldChar w:fldCharType="end"/>
        </w:r>
      </w:hyperlink>
    </w:p>
    <w:p w14:paraId="48A21B77" w14:textId="549F73B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7" w:history="1">
        <w:r w:rsidRPr="00713F3D">
          <w:rPr>
            <w:rStyle w:val="Hyperlink"/>
            <w:rFonts w:eastAsia="MS Mincho"/>
            <w:b/>
          </w:rPr>
          <w:t>Figure 3.41.</w:t>
        </w:r>
        <w:r w:rsidRPr="00713F3D">
          <w:rPr>
            <w:rStyle w:val="Hyperlink"/>
            <w:rFonts w:eastAsia="MS Mincho"/>
          </w:rPr>
          <w:t xml:space="preserve"> GC-MS/MS of the m/z 358→217 for recognizing the presence of tetracyclic polyprenoids (TPP) in eight samples of the Speake Ranch. Peak recognition criteria from Holba et al. (2000 and 2003): g = 13β,17α,20S-27-nordiacholestane; h = 13β,17α,20R-27-nordiacholestane; i = 5α,14α,17α,20S-27-norcholestane; j = 5α,14β,17β,20R-27-norcholestane; k = 5α, 14β, 17β, 20S-27-norcholestane; l = 5α, 14α, 17α, 20R-27-norcholestane.  Upper Woodford samples are the X7b and 271b; the Lower Woodford sample is the 28a. Others correspond to the Middle Woodford member. Compound structures in Figure 3.30.</w:t>
        </w:r>
        <w:r>
          <w:rPr>
            <w:webHidden/>
          </w:rPr>
          <w:tab/>
        </w:r>
        <w:r>
          <w:rPr>
            <w:webHidden/>
          </w:rPr>
          <w:fldChar w:fldCharType="begin"/>
        </w:r>
        <w:r>
          <w:rPr>
            <w:webHidden/>
          </w:rPr>
          <w:instrText xml:space="preserve"> PAGEREF _Toc35861227 \h </w:instrText>
        </w:r>
        <w:r>
          <w:rPr>
            <w:webHidden/>
          </w:rPr>
        </w:r>
        <w:r>
          <w:rPr>
            <w:webHidden/>
          </w:rPr>
          <w:fldChar w:fldCharType="separate"/>
        </w:r>
        <w:r>
          <w:rPr>
            <w:webHidden/>
          </w:rPr>
          <w:t>152</w:t>
        </w:r>
        <w:r>
          <w:rPr>
            <w:webHidden/>
          </w:rPr>
          <w:fldChar w:fldCharType="end"/>
        </w:r>
      </w:hyperlink>
    </w:p>
    <w:p w14:paraId="0E047648" w14:textId="62E3C66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8" w:history="1">
        <w:r w:rsidRPr="00713F3D">
          <w:rPr>
            <w:rStyle w:val="Hyperlink"/>
            <w:rFonts w:eastAsia="MS Mincho"/>
            <w:b/>
          </w:rPr>
          <w:t xml:space="preserve">Figure 3.42. </w:t>
        </w:r>
        <w:r w:rsidRPr="00713F3D">
          <w:rPr>
            <w:rStyle w:val="Hyperlink"/>
            <w:rFonts w:eastAsia="MS Mincho"/>
          </w:rPr>
          <w:t>Comparison of tricyclic polyprenoid (TPP) abundance (calculated as TPP ratio, with the methodology of Holba et al., 2000 and 2003) from the GC-MS/MS m/z 414→259 and m/z 358→217 ions. TPP ratio as compared to Gamma-Ray log, %TOC (classified by the mechanical stratigraphy of the rock layers, soft vs. hard; Galvis et al., 2017a), Rock-Eval pyrolysis S1 peak, and TPP ratio to C</w:t>
        </w:r>
        <w:r w:rsidRPr="00713F3D">
          <w:rPr>
            <w:rStyle w:val="Hyperlink"/>
            <w:rFonts w:eastAsia="MS Mincho"/>
            <w:vertAlign w:val="subscript"/>
          </w:rPr>
          <w:t>30</w:t>
        </w:r>
        <w:r w:rsidRPr="00713F3D">
          <w:rPr>
            <w:rStyle w:val="Hyperlink"/>
            <w:rFonts w:eastAsia="MS Mincho"/>
          </w:rPr>
          <w:t xml:space="preserve"> steranes from the GC-MS /z 191 and m/z 217 ions. Note the low TPP ratio in the Lower Woodford Shale for both TPP ratio points and TPP/C</w:t>
        </w:r>
        <w:r w:rsidRPr="00713F3D">
          <w:rPr>
            <w:rStyle w:val="Hyperlink"/>
            <w:rFonts w:eastAsia="MS Mincho"/>
            <w:vertAlign w:val="subscript"/>
          </w:rPr>
          <w:t>30</w:t>
        </w:r>
        <w:r w:rsidRPr="00713F3D">
          <w:rPr>
            <w:rStyle w:val="Hyperlink"/>
            <w:rFonts w:eastAsia="MS Mincho"/>
          </w:rPr>
          <w:t xml:space="preserve"> steranes curve, then both TPP ratio and TPP/C</w:t>
        </w:r>
        <w:r w:rsidRPr="00713F3D">
          <w:rPr>
            <w:rStyle w:val="Hyperlink"/>
            <w:rFonts w:eastAsia="MS Mincho"/>
            <w:vertAlign w:val="subscript"/>
          </w:rPr>
          <w:t>30</w:t>
        </w:r>
        <w:r w:rsidRPr="00713F3D">
          <w:rPr>
            <w:rStyle w:val="Hyperlink"/>
            <w:rFonts w:eastAsia="MS Mincho"/>
          </w:rPr>
          <w:t xml:space="preserve"> steranes are increasing from the start of the Middle Woodford member, and the values of the TPP ratio are higher in the uppermost portion of the Upper Woodford member.</w:t>
        </w:r>
        <w:r>
          <w:rPr>
            <w:webHidden/>
          </w:rPr>
          <w:tab/>
        </w:r>
        <w:r>
          <w:rPr>
            <w:webHidden/>
          </w:rPr>
          <w:fldChar w:fldCharType="begin"/>
        </w:r>
        <w:r>
          <w:rPr>
            <w:webHidden/>
          </w:rPr>
          <w:instrText xml:space="preserve"> PAGEREF _Toc35861228 \h </w:instrText>
        </w:r>
        <w:r>
          <w:rPr>
            <w:webHidden/>
          </w:rPr>
        </w:r>
        <w:r>
          <w:rPr>
            <w:webHidden/>
          </w:rPr>
          <w:fldChar w:fldCharType="separate"/>
        </w:r>
        <w:r>
          <w:rPr>
            <w:webHidden/>
          </w:rPr>
          <w:t>153</w:t>
        </w:r>
        <w:r>
          <w:rPr>
            <w:webHidden/>
          </w:rPr>
          <w:fldChar w:fldCharType="end"/>
        </w:r>
      </w:hyperlink>
    </w:p>
    <w:p w14:paraId="5C3A57A9" w14:textId="5415BA2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29" w:history="1">
        <w:r w:rsidRPr="00713F3D">
          <w:rPr>
            <w:rStyle w:val="Hyperlink"/>
            <w:rFonts w:eastAsia="MS Mincho"/>
            <w:b/>
          </w:rPr>
          <w:t xml:space="preserve">Figure 3.43. </w:t>
        </w:r>
        <w:r w:rsidRPr="00713F3D">
          <w:rPr>
            <w:rStyle w:val="Hyperlink"/>
            <w:rFonts w:eastAsia="MS Mincho"/>
          </w:rPr>
          <w:t>Water column biological composition and structure during periods of euxinia proposed by Connock (2015). Jones (2017) and Connock et al. (2018) mentioned that for the Woodford Shale, the invasion of the photic zone by H</w:t>
        </w:r>
        <w:r w:rsidRPr="00713F3D">
          <w:rPr>
            <w:rStyle w:val="Hyperlink"/>
            <w:rFonts w:eastAsia="MS Mincho"/>
            <w:vertAlign w:val="subscript"/>
          </w:rPr>
          <w:t>2</w:t>
        </w:r>
        <w:r w:rsidRPr="00713F3D">
          <w:rPr>
            <w:rStyle w:val="Hyperlink"/>
            <w:rFonts w:eastAsia="MS Mincho"/>
          </w:rPr>
          <w:t>S (PZE) could be identified with the C</w:t>
        </w:r>
        <w:r w:rsidRPr="00713F3D">
          <w:rPr>
            <w:rStyle w:val="Hyperlink"/>
            <w:rFonts w:eastAsia="MS Mincho"/>
            <w:vertAlign w:val="subscript"/>
          </w:rPr>
          <w:t>40</w:t>
        </w:r>
        <w:r w:rsidRPr="00713F3D">
          <w:rPr>
            <w:rStyle w:val="Hyperlink"/>
            <w:rFonts w:eastAsia="MS Mincho"/>
          </w:rPr>
          <w:t xml:space="preserve"> carotenoids. The persistent PZE conditions are proposed to be indicators of enclosed mini-basin fills for the SR.</w:t>
        </w:r>
        <w:r>
          <w:rPr>
            <w:webHidden/>
          </w:rPr>
          <w:tab/>
        </w:r>
        <w:r>
          <w:rPr>
            <w:webHidden/>
          </w:rPr>
          <w:fldChar w:fldCharType="begin"/>
        </w:r>
        <w:r>
          <w:rPr>
            <w:webHidden/>
          </w:rPr>
          <w:instrText xml:space="preserve"> PAGEREF _Toc35861229 \h </w:instrText>
        </w:r>
        <w:r>
          <w:rPr>
            <w:webHidden/>
          </w:rPr>
        </w:r>
        <w:r>
          <w:rPr>
            <w:webHidden/>
          </w:rPr>
          <w:fldChar w:fldCharType="separate"/>
        </w:r>
        <w:r>
          <w:rPr>
            <w:webHidden/>
          </w:rPr>
          <w:t>156</w:t>
        </w:r>
        <w:r>
          <w:rPr>
            <w:webHidden/>
          </w:rPr>
          <w:fldChar w:fldCharType="end"/>
        </w:r>
      </w:hyperlink>
    </w:p>
    <w:p w14:paraId="4541CE61" w14:textId="44DD8CD2"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0" w:history="1">
        <w:r w:rsidRPr="00713F3D">
          <w:rPr>
            <w:rStyle w:val="Hyperlink"/>
            <w:rFonts w:eastAsia="MS Mincho"/>
            <w:b/>
          </w:rPr>
          <w:t xml:space="preserve">Figure 3.44. </w:t>
        </w:r>
        <w:r w:rsidRPr="00713F3D">
          <w:rPr>
            <w:rStyle w:val="Hyperlink"/>
            <w:rFonts w:eastAsia="MS Mincho"/>
          </w:rPr>
          <w:t>C</w:t>
        </w:r>
        <w:r w:rsidRPr="00713F3D">
          <w:rPr>
            <w:rStyle w:val="Hyperlink"/>
            <w:rFonts w:eastAsia="MS Mincho"/>
            <w:vertAlign w:val="subscript"/>
          </w:rPr>
          <w:t>40</w:t>
        </w:r>
        <w:r w:rsidRPr="00713F3D">
          <w:rPr>
            <w:rStyle w:val="Hyperlink"/>
            <w:rFonts w:eastAsia="MS Mincho"/>
          </w:rPr>
          <w:t xml:space="preserve"> carotenoid molecular structure. From Connock, 2015.</w:t>
        </w:r>
        <w:r>
          <w:rPr>
            <w:webHidden/>
          </w:rPr>
          <w:tab/>
        </w:r>
        <w:r>
          <w:rPr>
            <w:webHidden/>
          </w:rPr>
          <w:fldChar w:fldCharType="begin"/>
        </w:r>
        <w:r>
          <w:rPr>
            <w:webHidden/>
          </w:rPr>
          <w:instrText xml:space="preserve"> PAGEREF _Toc35861230 \h </w:instrText>
        </w:r>
        <w:r>
          <w:rPr>
            <w:webHidden/>
          </w:rPr>
        </w:r>
        <w:r>
          <w:rPr>
            <w:webHidden/>
          </w:rPr>
          <w:fldChar w:fldCharType="separate"/>
        </w:r>
        <w:r>
          <w:rPr>
            <w:webHidden/>
          </w:rPr>
          <w:t>157</w:t>
        </w:r>
        <w:r>
          <w:rPr>
            <w:webHidden/>
          </w:rPr>
          <w:fldChar w:fldCharType="end"/>
        </w:r>
      </w:hyperlink>
    </w:p>
    <w:p w14:paraId="08972CDE" w14:textId="3AFFBFE7"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1" w:history="1">
        <w:r w:rsidRPr="00713F3D">
          <w:rPr>
            <w:rStyle w:val="Hyperlink"/>
            <w:rFonts w:eastAsia="MS Mincho"/>
            <w:b/>
          </w:rPr>
          <w:t xml:space="preserve">Figure 3.45. </w:t>
        </w:r>
        <w:r w:rsidRPr="00713F3D">
          <w:rPr>
            <w:rStyle w:val="Hyperlink"/>
            <w:rFonts w:eastAsia="MS Mincho"/>
          </w:rPr>
          <w:t>Summed mass chromatogram m/z 133 + 134 of the organic-rich Devonian shale sample in Marynowski and Filipiak (2007), showing the distribution of isorenieratane (filled triangle), 2,3,6-/3,4,5-TM substituted diaryl-isoprenoid (white triangle) and their related derivatives including aryl isoprenoids (numbers identify individual carbon number pseudohomologues).</w:t>
        </w:r>
        <w:r>
          <w:rPr>
            <w:webHidden/>
          </w:rPr>
          <w:tab/>
        </w:r>
        <w:r>
          <w:rPr>
            <w:webHidden/>
          </w:rPr>
          <w:fldChar w:fldCharType="begin"/>
        </w:r>
        <w:r>
          <w:rPr>
            <w:webHidden/>
          </w:rPr>
          <w:instrText xml:space="preserve"> PAGEREF _Toc35861231 \h </w:instrText>
        </w:r>
        <w:r>
          <w:rPr>
            <w:webHidden/>
          </w:rPr>
        </w:r>
        <w:r>
          <w:rPr>
            <w:webHidden/>
          </w:rPr>
          <w:fldChar w:fldCharType="separate"/>
        </w:r>
        <w:r>
          <w:rPr>
            <w:webHidden/>
          </w:rPr>
          <w:t>159</w:t>
        </w:r>
        <w:r>
          <w:rPr>
            <w:webHidden/>
          </w:rPr>
          <w:fldChar w:fldCharType="end"/>
        </w:r>
      </w:hyperlink>
    </w:p>
    <w:p w14:paraId="2AA0FB05" w14:textId="7CCC0C0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2" w:history="1">
        <w:r w:rsidRPr="00713F3D">
          <w:rPr>
            <w:rStyle w:val="Hyperlink"/>
            <w:rFonts w:eastAsia="MS Mincho"/>
            <w:b/>
          </w:rPr>
          <w:t xml:space="preserve">Figure 3.46. </w:t>
        </w:r>
        <w:r w:rsidRPr="00713F3D">
          <w:rPr>
            <w:rStyle w:val="Hyperlink"/>
            <w:rFonts w:eastAsia="MS Mincho"/>
          </w:rPr>
          <w:t>Identification of aryl isoprenoids, and C</w:t>
        </w:r>
        <w:r w:rsidRPr="00713F3D">
          <w:rPr>
            <w:rStyle w:val="Hyperlink"/>
            <w:rFonts w:eastAsia="MS Mincho"/>
            <w:vertAlign w:val="subscript"/>
          </w:rPr>
          <w:t xml:space="preserve">40 </w:t>
        </w:r>
        <w:r w:rsidRPr="00713F3D">
          <w:rPr>
            <w:rStyle w:val="Hyperlink"/>
            <w:rFonts w:eastAsia="MS Mincho"/>
          </w:rPr>
          <w:t>carotenoids using m/z 133 + 134. Depth 28.0, Lower Woodford member.</w:t>
        </w:r>
        <w:r>
          <w:rPr>
            <w:webHidden/>
          </w:rPr>
          <w:tab/>
        </w:r>
        <w:r>
          <w:rPr>
            <w:webHidden/>
          </w:rPr>
          <w:fldChar w:fldCharType="begin"/>
        </w:r>
        <w:r>
          <w:rPr>
            <w:webHidden/>
          </w:rPr>
          <w:instrText xml:space="preserve"> PAGEREF _Toc35861232 \h </w:instrText>
        </w:r>
        <w:r>
          <w:rPr>
            <w:webHidden/>
          </w:rPr>
        </w:r>
        <w:r>
          <w:rPr>
            <w:webHidden/>
          </w:rPr>
          <w:fldChar w:fldCharType="separate"/>
        </w:r>
        <w:r>
          <w:rPr>
            <w:webHidden/>
          </w:rPr>
          <w:t>161</w:t>
        </w:r>
        <w:r>
          <w:rPr>
            <w:webHidden/>
          </w:rPr>
          <w:fldChar w:fldCharType="end"/>
        </w:r>
      </w:hyperlink>
    </w:p>
    <w:p w14:paraId="7CCAB565" w14:textId="29D6B77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3" w:history="1">
        <w:r w:rsidRPr="00713F3D">
          <w:rPr>
            <w:rStyle w:val="Hyperlink"/>
            <w:rFonts w:eastAsia="MS Mincho"/>
            <w:b/>
          </w:rPr>
          <w:t>Figure 3.47.</w:t>
        </w:r>
        <w:r w:rsidRPr="00713F3D">
          <w:rPr>
            <w:rStyle w:val="Hyperlink"/>
            <w:rFonts w:eastAsia="MS Mincho"/>
          </w:rPr>
          <w:t xml:space="preserve"> Aryl-isoprenoids and C</w:t>
        </w:r>
        <w:r w:rsidRPr="00713F3D">
          <w:rPr>
            <w:rStyle w:val="Hyperlink"/>
            <w:rFonts w:eastAsia="MS Mincho"/>
            <w:vertAlign w:val="subscript"/>
          </w:rPr>
          <w:t>40</w:t>
        </w:r>
        <w:r w:rsidRPr="00713F3D">
          <w:rPr>
            <w:rStyle w:val="Hyperlink"/>
            <w:rFonts w:eastAsia="MS Mincho"/>
          </w:rPr>
          <w:t xml:space="preserve"> carotenoids identified in the m/z 133+134 fraction of different Woodford member samples.</w:t>
        </w:r>
        <w:r>
          <w:rPr>
            <w:webHidden/>
          </w:rPr>
          <w:tab/>
        </w:r>
        <w:r>
          <w:rPr>
            <w:webHidden/>
          </w:rPr>
          <w:fldChar w:fldCharType="begin"/>
        </w:r>
        <w:r>
          <w:rPr>
            <w:webHidden/>
          </w:rPr>
          <w:instrText xml:space="preserve"> PAGEREF _Toc35861233 \h </w:instrText>
        </w:r>
        <w:r>
          <w:rPr>
            <w:webHidden/>
          </w:rPr>
        </w:r>
        <w:r>
          <w:rPr>
            <w:webHidden/>
          </w:rPr>
          <w:fldChar w:fldCharType="separate"/>
        </w:r>
        <w:r>
          <w:rPr>
            <w:webHidden/>
          </w:rPr>
          <w:t>162</w:t>
        </w:r>
        <w:r>
          <w:rPr>
            <w:webHidden/>
          </w:rPr>
          <w:fldChar w:fldCharType="end"/>
        </w:r>
      </w:hyperlink>
    </w:p>
    <w:p w14:paraId="079DE7F2" w14:textId="6CF1004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4" w:history="1">
        <w:r w:rsidRPr="00713F3D">
          <w:rPr>
            <w:rStyle w:val="Hyperlink"/>
            <w:rFonts w:eastAsia="MS Mincho"/>
            <w:b/>
          </w:rPr>
          <w:t xml:space="preserve">Figure 3.48. </w:t>
        </w:r>
        <w:r w:rsidRPr="00713F3D">
          <w:rPr>
            <w:rStyle w:val="Hyperlink"/>
            <w:rFonts w:eastAsia="MS Mincho"/>
          </w:rPr>
          <w:t>Comparison of gammacerane index and C</w:t>
        </w:r>
        <w:r w:rsidRPr="00713F3D">
          <w:rPr>
            <w:rStyle w:val="Hyperlink"/>
            <w:rFonts w:eastAsia="MS Mincho"/>
            <w:vertAlign w:val="subscript"/>
          </w:rPr>
          <w:t>40</w:t>
        </w:r>
        <w:r w:rsidRPr="00713F3D">
          <w:rPr>
            <w:rStyle w:val="Hyperlink"/>
            <w:rFonts w:eastAsia="MS Mincho"/>
          </w:rPr>
          <w:t xml:space="preserve"> carotenoids abundance, as compared to Gamma-Ray log and %TOC classified by the mechanical stratigraphy of the rock layers (soft vs. hard; Galvis, 2017).</w:t>
        </w:r>
        <w:r>
          <w:rPr>
            <w:webHidden/>
          </w:rPr>
          <w:tab/>
        </w:r>
        <w:r>
          <w:rPr>
            <w:webHidden/>
          </w:rPr>
          <w:fldChar w:fldCharType="begin"/>
        </w:r>
        <w:r>
          <w:rPr>
            <w:webHidden/>
          </w:rPr>
          <w:instrText xml:space="preserve"> PAGEREF _Toc35861234 \h </w:instrText>
        </w:r>
        <w:r>
          <w:rPr>
            <w:webHidden/>
          </w:rPr>
        </w:r>
        <w:r>
          <w:rPr>
            <w:webHidden/>
          </w:rPr>
          <w:fldChar w:fldCharType="separate"/>
        </w:r>
        <w:r>
          <w:rPr>
            <w:webHidden/>
          </w:rPr>
          <w:t>163</w:t>
        </w:r>
        <w:r>
          <w:rPr>
            <w:webHidden/>
          </w:rPr>
          <w:fldChar w:fldCharType="end"/>
        </w:r>
      </w:hyperlink>
    </w:p>
    <w:p w14:paraId="4FD7D2F4" w14:textId="575208D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5" w:history="1">
        <w:r w:rsidRPr="00713F3D">
          <w:rPr>
            <w:rStyle w:val="Hyperlink"/>
            <w:rFonts w:eastAsia="MS Mincho"/>
            <w:b/>
          </w:rPr>
          <w:t xml:space="preserve">Figure 3.49. </w:t>
        </w:r>
        <w:r w:rsidRPr="00713F3D">
          <w:rPr>
            <w:rStyle w:val="Hyperlink"/>
            <w:rFonts w:eastAsia="MS Mincho"/>
          </w:rPr>
          <w:t>GC-MS identification of fluoranthene, pyrene, benzofluoranthenes, benzopyrenes, and perylene, by comparing previously identified peaks for the coal tar standard with peaks in the Lower, Middle, and Upper Woodford member samples. M/z 202+252+276</w:t>
        </w:r>
        <w:r>
          <w:rPr>
            <w:webHidden/>
          </w:rPr>
          <w:tab/>
        </w:r>
        <w:r>
          <w:rPr>
            <w:webHidden/>
          </w:rPr>
          <w:fldChar w:fldCharType="begin"/>
        </w:r>
        <w:r>
          <w:rPr>
            <w:webHidden/>
          </w:rPr>
          <w:instrText xml:space="preserve"> PAGEREF _Toc35861235 \h </w:instrText>
        </w:r>
        <w:r>
          <w:rPr>
            <w:webHidden/>
          </w:rPr>
        </w:r>
        <w:r>
          <w:rPr>
            <w:webHidden/>
          </w:rPr>
          <w:fldChar w:fldCharType="separate"/>
        </w:r>
        <w:r>
          <w:rPr>
            <w:webHidden/>
          </w:rPr>
          <w:t>168</w:t>
        </w:r>
        <w:r>
          <w:rPr>
            <w:webHidden/>
          </w:rPr>
          <w:fldChar w:fldCharType="end"/>
        </w:r>
      </w:hyperlink>
    </w:p>
    <w:p w14:paraId="25C4C2A5" w14:textId="1AFCB32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6" w:history="1">
        <w:r w:rsidRPr="00713F3D">
          <w:rPr>
            <w:rStyle w:val="Hyperlink"/>
            <w:rFonts w:eastAsia="MS Mincho"/>
            <w:b/>
          </w:rPr>
          <w:t>Figure 3.50.</w:t>
        </w:r>
        <w:r w:rsidRPr="00713F3D">
          <w:rPr>
            <w:rStyle w:val="Hyperlink"/>
            <w:rFonts w:eastAsia="MS Mincho"/>
          </w:rPr>
          <w:t xml:space="preserve"> GC-MS identification of dibenzofuran and fluorene by comparing previously identified peaks for the coal tar standard reference material #1597 with peaks in the Lower, Middle, and Upper Woodford members samples. M/z 166.3+168.3 ions. Retention times of the compounds shown with their relative abundance.   Differences in the retention times of the standard vs. the samples are related to a change of the GC column length that affected in a difference of 0.3 minutes of  the retention times.</w:t>
        </w:r>
        <w:r>
          <w:rPr>
            <w:webHidden/>
          </w:rPr>
          <w:tab/>
        </w:r>
        <w:r>
          <w:rPr>
            <w:webHidden/>
          </w:rPr>
          <w:fldChar w:fldCharType="begin"/>
        </w:r>
        <w:r>
          <w:rPr>
            <w:webHidden/>
          </w:rPr>
          <w:instrText xml:space="preserve"> PAGEREF _Toc35861236 \h </w:instrText>
        </w:r>
        <w:r>
          <w:rPr>
            <w:webHidden/>
          </w:rPr>
        </w:r>
        <w:r>
          <w:rPr>
            <w:webHidden/>
          </w:rPr>
          <w:fldChar w:fldCharType="separate"/>
        </w:r>
        <w:r>
          <w:rPr>
            <w:webHidden/>
          </w:rPr>
          <w:t>169</w:t>
        </w:r>
        <w:r>
          <w:rPr>
            <w:webHidden/>
          </w:rPr>
          <w:fldChar w:fldCharType="end"/>
        </w:r>
      </w:hyperlink>
    </w:p>
    <w:p w14:paraId="086BEBEB" w14:textId="462E5A7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7" w:history="1">
        <w:r w:rsidRPr="00713F3D">
          <w:rPr>
            <w:rStyle w:val="Hyperlink"/>
            <w:rFonts w:eastAsia="MS Mincho"/>
            <w:b/>
          </w:rPr>
          <w:t xml:space="preserve">Figure 3.51. </w:t>
        </w:r>
        <w:r w:rsidRPr="00713F3D">
          <w:rPr>
            <w:rStyle w:val="Hyperlink"/>
            <w:rFonts w:eastAsia="MS Mincho"/>
          </w:rPr>
          <w:t>Comparison of polycyclic aromatic hydrocarbons (PAHs) concentrations to the Gamma-ray log and %TOC classified by the mechanical stratigraphy of the rock layers (soft vs. hard; Galvis, 2017).</w:t>
        </w:r>
        <w:r>
          <w:rPr>
            <w:webHidden/>
          </w:rPr>
          <w:tab/>
        </w:r>
        <w:r>
          <w:rPr>
            <w:webHidden/>
          </w:rPr>
          <w:fldChar w:fldCharType="begin"/>
        </w:r>
        <w:r>
          <w:rPr>
            <w:webHidden/>
          </w:rPr>
          <w:instrText xml:space="preserve"> PAGEREF _Toc35861237 \h </w:instrText>
        </w:r>
        <w:r>
          <w:rPr>
            <w:webHidden/>
          </w:rPr>
        </w:r>
        <w:r>
          <w:rPr>
            <w:webHidden/>
          </w:rPr>
          <w:fldChar w:fldCharType="separate"/>
        </w:r>
        <w:r>
          <w:rPr>
            <w:webHidden/>
          </w:rPr>
          <w:t>170</w:t>
        </w:r>
        <w:r>
          <w:rPr>
            <w:webHidden/>
          </w:rPr>
          <w:fldChar w:fldCharType="end"/>
        </w:r>
      </w:hyperlink>
    </w:p>
    <w:p w14:paraId="2F463DC9" w14:textId="55912B1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8" w:history="1">
        <w:r w:rsidRPr="00713F3D">
          <w:rPr>
            <w:rStyle w:val="Hyperlink"/>
            <w:rFonts w:eastAsia="MS Mincho"/>
            <w:b/>
          </w:rPr>
          <w:t>Figure 3.52.</w:t>
        </w:r>
        <w:r w:rsidRPr="00713F3D">
          <w:rPr>
            <w:rStyle w:val="Hyperlink"/>
            <w:rFonts w:eastAsia="MS Mincho"/>
          </w:rPr>
          <w:t xml:space="preserve"> Ranking of biodegradation levels proposed by Wenger et al. (2002). This chart represents the extent of biodegradation of mature crude oil based on differing resistance of compound classes to microbial attack. Dashed lines indicate where compound classes are initially altered, the solid gray lines indicate substantial depletion, and the black arrows indicate those that indicate complete depletion.</w:t>
        </w:r>
        <w:r>
          <w:rPr>
            <w:webHidden/>
          </w:rPr>
          <w:tab/>
        </w:r>
        <w:r>
          <w:rPr>
            <w:webHidden/>
          </w:rPr>
          <w:fldChar w:fldCharType="begin"/>
        </w:r>
        <w:r>
          <w:rPr>
            <w:webHidden/>
          </w:rPr>
          <w:instrText xml:space="preserve"> PAGEREF _Toc35861238 \h </w:instrText>
        </w:r>
        <w:r>
          <w:rPr>
            <w:webHidden/>
          </w:rPr>
        </w:r>
        <w:r>
          <w:rPr>
            <w:webHidden/>
          </w:rPr>
          <w:fldChar w:fldCharType="separate"/>
        </w:r>
        <w:r>
          <w:rPr>
            <w:webHidden/>
          </w:rPr>
          <w:t>175</w:t>
        </w:r>
        <w:r>
          <w:rPr>
            <w:webHidden/>
          </w:rPr>
          <w:fldChar w:fldCharType="end"/>
        </w:r>
      </w:hyperlink>
    </w:p>
    <w:p w14:paraId="34BD1054" w14:textId="6EFDC4B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39" w:history="1">
        <w:r w:rsidRPr="00713F3D">
          <w:rPr>
            <w:rStyle w:val="Hyperlink"/>
            <w:rFonts w:eastAsia="MS Mincho"/>
            <w:b/>
          </w:rPr>
          <w:t xml:space="preserve">Figure 3.53. </w:t>
        </w:r>
        <w:r w:rsidRPr="00713F3D">
          <w:rPr>
            <w:rStyle w:val="Hyperlink"/>
            <w:rFonts w:eastAsia="MS Mincho"/>
          </w:rPr>
          <w:t>The stratigraphic cross-section in the Speake Ranch subsurface areas. The outcrop corresponds to the yellow star. The location map of this section is in Figure 3.56. When flattened on the Woodford stratigraphic top, the thickness variation of the Woodford Shale is highlighted where the Hunton Group thins.  This area in the south of Oklahoma likely corresponds with the basal Woodford deposits being in an enclosed mini-basin fills paleo-topographic setting (erosion of Hunton Group and accumulation of high %TOC and restricted anoxic strata).</w:t>
        </w:r>
        <w:r>
          <w:rPr>
            <w:webHidden/>
          </w:rPr>
          <w:tab/>
        </w:r>
        <w:r>
          <w:rPr>
            <w:webHidden/>
          </w:rPr>
          <w:fldChar w:fldCharType="begin"/>
        </w:r>
        <w:r>
          <w:rPr>
            <w:webHidden/>
          </w:rPr>
          <w:instrText xml:space="preserve"> PAGEREF _Toc35861239 \h </w:instrText>
        </w:r>
        <w:r>
          <w:rPr>
            <w:webHidden/>
          </w:rPr>
        </w:r>
        <w:r>
          <w:rPr>
            <w:webHidden/>
          </w:rPr>
          <w:fldChar w:fldCharType="separate"/>
        </w:r>
        <w:r>
          <w:rPr>
            <w:webHidden/>
          </w:rPr>
          <w:t>179</w:t>
        </w:r>
        <w:r>
          <w:rPr>
            <w:webHidden/>
          </w:rPr>
          <w:fldChar w:fldCharType="end"/>
        </w:r>
      </w:hyperlink>
    </w:p>
    <w:p w14:paraId="542824DB" w14:textId="0901E2A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0" w:history="1">
        <w:r w:rsidRPr="00713F3D">
          <w:rPr>
            <w:rStyle w:val="Hyperlink"/>
            <w:rFonts w:eastAsia="MS Mincho"/>
            <w:b/>
          </w:rPr>
          <w:t xml:space="preserve">Figure 3.54. </w:t>
        </w:r>
        <w:r w:rsidRPr="00713F3D">
          <w:rPr>
            <w:rStyle w:val="Hyperlink"/>
            <w:rFonts w:eastAsia="MS Mincho"/>
          </w:rPr>
          <w:t xml:space="preserve">Geomechanical characterization of dynamic properties (the methodology is detailed in </w:t>
        </w:r>
        <w:r w:rsidRPr="00713F3D">
          <w:rPr>
            <w:rStyle w:val="Hyperlink"/>
            <w:rFonts w:eastAsia="MS Mincho"/>
            <w:b/>
          </w:rPr>
          <w:t>Appendix 8.1</w:t>
        </w:r>
        <w:r w:rsidRPr="00713F3D">
          <w:rPr>
            <w:rStyle w:val="Hyperlink"/>
            <w:rFonts w:eastAsia="MS Mincho"/>
          </w:rPr>
          <w:t>.) of the Woodford Shale strata nearby the Speake Ranch. Speake-1 well is the subsurface reference of the ranch outcrop, as is referenced in the image (similar Woodford thickness in the Speake Ranch outcrop and Speake-1 well).</w:t>
        </w:r>
        <w:r>
          <w:rPr>
            <w:webHidden/>
          </w:rPr>
          <w:tab/>
        </w:r>
        <w:r>
          <w:rPr>
            <w:webHidden/>
          </w:rPr>
          <w:fldChar w:fldCharType="begin"/>
        </w:r>
        <w:r>
          <w:rPr>
            <w:webHidden/>
          </w:rPr>
          <w:instrText xml:space="preserve"> PAGEREF _Toc35861240 \h </w:instrText>
        </w:r>
        <w:r>
          <w:rPr>
            <w:webHidden/>
          </w:rPr>
        </w:r>
        <w:r>
          <w:rPr>
            <w:webHidden/>
          </w:rPr>
          <w:fldChar w:fldCharType="separate"/>
        </w:r>
        <w:r>
          <w:rPr>
            <w:webHidden/>
          </w:rPr>
          <w:t>180</w:t>
        </w:r>
        <w:r>
          <w:rPr>
            <w:webHidden/>
          </w:rPr>
          <w:fldChar w:fldCharType="end"/>
        </w:r>
      </w:hyperlink>
    </w:p>
    <w:p w14:paraId="231AC432" w14:textId="3DCE7E42"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1" w:history="1">
        <w:r w:rsidRPr="00713F3D">
          <w:rPr>
            <w:rStyle w:val="Hyperlink"/>
            <w:rFonts w:eastAsia="MS Mincho"/>
            <w:b/>
          </w:rPr>
          <w:t xml:space="preserve">Figure 3.55. </w:t>
        </w:r>
        <w:r w:rsidRPr="00713F3D">
          <w:rPr>
            <w:rStyle w:val="Hyperlink"/>
            <w:rFonts w:eastAsia="MS Mincho"/>
          </w:rPr>
          <w:t xml:space="preserve">Geomechanical characterization of dynamic properties (Methodology is detailed in </w:t>
        </w:r>
        <w:r w:rsidRPr="00713F3D">
          <w:rPr>
            <w:rStyle w:val="Hyperlink"/>
            <w:rFonts w:eastAsia="MS Mincho"/>
            <w:b/>
          </w:rPr>
          <w:t xml:space="preserve">Appendix 8.1.) </w:t>
        </w:r>
        <w:r w:rsidRPr="00713F3D">
          <w:rPr>
            <w:rStyle w:val="Hyperlink"/>
            <w:rFonts w:eastAsia="MS Mincho"/>
          </w:rPr>
          <w:t>of the Mississippian strata nearby the Speake Ranch. Speake-1 well is the subsurface reference of the Ranch outcrop. Sycamore subdivision and labeling based on the intervals described in Milad (2019) for the southern Oklahoma I-35 Sycamore outcrop.</w:t>
        </w:r>
        <w:r>
          <w:rPr>
            <w:webHidden/>
          </w:rPr>
          <w:tab/>
        </w:r>
        <w:r>
          <w:rPr>
            <w:webHidden/>
          </w:rPr>
          <w:fldChar w:fldCharType="begin"/>
        </w:r>
        <w:r>
          <w:rPr>
            <w:webHidden/>
          </w:rPr>
          <w:instrText xml:space="preserve"> PAGEREF _Toc35861241 \h </w:instrText>
        </w:r>
        <w:r>
          <w:rPr>
            <w:webHidden/>
          </w:rPr>
        </w:r>
        <w:r>
          <w:rPr>
            <w:webHidden/>
          </w:rPr>
          <w:fldChar w:fldCharType="separate"/>
        </w:r>
        <w:r>
          <w:rPr>
            <w:webHidden/>
          </w:rPr>
          <w:t>181</w:t>
        </w:r>
        <w:r>
          <w:rPr>
            <w:webHidden/>
          </w:rPr>
          <w:fldChar w:fldCharType="end"/>
        </w:r>
      </w:hyperlink>
    </w:p>
    <w:p w14:paraId="54E57573" w14:textId="79712FB2"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2" w:history="1">
        <w:r w:rsidRPr="00713F3D">
          <w:rPr>
            <w:rStyle w:val="Hyperlink"/>
            <w:rFonts w:eastAsia="MS Mincho"/>
            <w:b/>
          </w:rPr>
          <w:t>Figure 3.56</w:t>
        </w:r>
        <w:r w:rsidRPr="00713F3D">
          <w:rPr>
            <w:rStyle w:val="Hyperlink"/>
            <w:rFonts w:eastAsia="MS Mincho"/>
          </w:rPr>
          <w:t>. Woodford Shale structure map [TVD-feet] in the regional areas nearby the Speake Ranch. The Speake Ranch location is highlighted in the yellow spot.  White diamonds and values correspond to average T-max [℃] maturity values for the Woodford Shale from the IRC Woodford-Mississippian consortium database.</w:t>
        </w:r>
        <w:r>
          <w:rPr>
            <w:webHidden/>
          </w:rPr>
          <w:tab/>
        </w:r>
        <w:r>
          <w:rPr>
            <w:webHidden/>
          </w:rPr>
          <w:fldChar w:fldCharType="begin"/>
        </w:r>
        <w:r>
          <w:rPr>
            <w:webHidden/>
          </w:rPr>
          <w:instrText xml:space="preserve"> PAGEREF _Toc35861242 \h </w:instrText>
        </w:r>
        <w:r>
          <w:rPr>
            <w:webHidden/>
          </w:rPr>
        </w:r>
        <w:r>
          <w:rPr>
            <w:webHidden/>
          </w:rPr>
          <w:fldChar w:fldCharType="separate"/>
        </w:r>
        <w:r>
          <w:rPr>
            <w:webHidden/>
          </w:rPr>
          <w:t>182</w:t>
        </w:r>
        <w:r>
          <w:rPr>
            <w:webHidden/>
          </w:rPr>
          <w:fldChar w:fldCharType="end"/>
        </w:r>
      </w:hyperlink>
    </w:p>
    <w:p w14:paraId="01D79AF7" w14:textId="04FCCE7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3" w:history="1">
        <w:r w:rsidRPr="00713F3D">
          <w:rPr>
            <w:rStyle w:val="Hyperlink"/>
            <w:rFonts w:eastAsia="MS Mincho"/>
            <w:b/>
          </w:rPr>
          <w:t>Figure 3.57</w:t>
        </w:r>
        <w:r w:rsidRPr="00713F3D">
          <w:rPr>
            <w:rStyle w:val="Hyperlink"/>
            <w:rFonts w:eastAsia="MS Mincho"/>
          </w:rPr>
          <w:t>. Woodford Shale thickness [feet] map in the regional areas nearby the Speake Ranch. The Speake Ranch location is highlighted in the yellow spot.  White diamonds and values correspond to average T-max [℃] maturity values for the Woodford Shale from the IRC Woodford-Mississippian consortium database. Thickness values from 0 to 400 ft.</w:t>
        </w:r>
        <w:r>
          <w:rPr>
            <w:webHidden/>
          </w:rPr>
          <w:tab/>
        </w:r>
        <w:r>
          <w:rPr>
            <w:webHidden/>
          </w:rPr>
          <w:fldChar w:fldCharType="begin"/>
        </w:r>
        <w:r>
          <w:rPr>
            <w:webHidden/>
          </w:rPr>
          <w:instrText xml:space="preserve"> PAGEREF _Toc35861243 \h </w:instrText>
        </w:r>
        <w:r>
          <w:rPr>
            <w:webHidden/>
          </w:rPr>
        </w:r>
        <w:r>
          <w:rPr>
            <w:webHidden/>
          </w:rPr>
          <w:fldChar w:fldCharType="separate"/>
        </w:r>
        <w:r>
          <w:rPr>
            <w:webHidden/>
          </w:rPr>
          <w:t>183</w:t>
        </w:r>
        <w:r>
          <w:rPr>
            <w:webHidden/>
          </w:rPr>
          <w:fldChar w:fldCharType="end"/>
        </w:r>
      </w:hyperlink>
    </w:p>
    <w:p w14:paraId="4760B592" w14:textId="4D4802E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4" w:history="1">
        <w:r w:rsidRPr="00713F3D">
          <w:rPr>
            <w:rStyle w:val="Hyperlink"/>
            <w:rFonts w:eastAsia="MS Mincho"/>
            <w:b/>
          </w:rPr>
          <w:t>Figure 3.58</w:t>
        </w:r>
        <w:r w:rsidRPr="00713F3D">
          <w:rPr>
            <w:rStyle w:val="Hyperlink"/>
            <w:rFonts w:eastAsia="MS Mincho"/>
          </w:rPr>
          <w:t>. Hunton group thickness [feet] map in the regional areas nearby the Speake Ranch. The Speake Ranch location is highlighted in the yellow spot.  White diamonds and values correspond to average T-max [℃] maturity values for the Woodford Shale from the IRC Woodford-Mississippian consortium database. Thickness values from 0 to 700 ft.</w:t>
        </w:r>
        <w:r>
          <w:rPr>
            <w:webHidden/>
          </w:rPr>
          <w:tab/>
        </w:r>
        <w:r>
          <w:rPr>
            <w:webHidden/>
          </w:rPr>
          <w:fldChar w:fldCharType="begin"/>
        </w:r>
        <w:r>
          <w:rPr>
            <w:webHidden/>
          </w:rPr>
          <w:instrText xml:space="preserve"> PAGEREF _Toc35861244 \h </w:instrText>
        </w:r>
        <w:r>
          <w:rPr>
            <w:webHidden/>
          </w:rPr>
        </w:r>
        <w:r>
          <w:rPr>
            <w:webHidden/>
          </w:rPr>
          <w:fldChar w:fldCharType="separate"/>
        </w:r>
        <w:r>
          <w:rPr>
            <w:webHidden/>
          </w:rPr>
          <w:t>184</w:t>
        </w:r>
        <w:r>
          <w:rPr>
            <w:webHidden/>
          </w:rPr>
          <w:fldChar w:fldCharType="end"/>
        </w:r>
      </w:hyperlink>
    </w:p>
    <w:p w14:paraId="64227296" w14:textId="1DFD0ACE"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5" w:history="1">
        <w:r w:rsidRPr="00713F3D">
          <w:rPr>
            <w:rStyle w:val="Hyperlink"/>
            <w:rFonts w:eastAsia="MS Mincho"/>
            <w:b/>
          </w:rPr>
          <w:t>Figure 3.59</w:t>
        </w:r>
        <w:r w:rsidRPr="00713F3D">
          <w:rPr>
            <w:rStyle w:val="Hyperlink"/>
            <w:rFonts w:eastAsia="MS Mincho"/>
          </w:rPr>
          <w:t>. Woodford Shale average total organic carbon [%TOC] map on the regional scale of Oklahoma. The Speake Ranch location is highlighted in the yellow spot.  White diamonds and values correspond to average T-max [℃] maturity values for the Woodford Shale from the IRC Woodford-Mississippian consortium database.</w:t>
        </w:r>
        <w:r>
          <w:rPr>
            <w:webHidden/>
          </w:rPr>
          <w:tab/>
        </w:r>
        <w:r>
          <w:rPr>
            <w:webHidden/>
          </w:rPr>
          <w:fldChar w:fldCharType="begin"/>
        </w:r>
        <w:r>
          <w:rPr>
            <w:webHidden/>
          </w:rPr>
          <w:instrText xml:space="preserve"> PAGEREF _Toc35861245 \h </w:instrText>
        </w:r>
        <w:r>
          <w:rPr>
            <w:webHidden/>
          </w:rPr>
        </w:r>
        <w:r>
          <w:rPr>
            <w:webHidden/>
          </w:rPr>
          <w:fldChar w:fldCharType="separate"/>
        </w:r>
        <w:r>
          <w:rPr>
            <w:webHidden/>
          </w:rPr>
          <w:t>185</w:t>
        </w:r>
        <w:r>
          <w:rPr>
            <w:webHidden/>
          </w:rPr>
          <w:fldChar w:fldCharType="end"/>
        </w:r>
      </w:hyperlink>
    </w:p>
    <w:p w14:paraId="1892DF74" w14:textId="43F6828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6" w:history="1">
        <w:r w:rsidRPr="00713F3D">
          <w:rPr>
            <w:rStyle w:val="Hyperlink"/>
            <w:rFonts w:eastAsia="MS Mincho"/>
            <w:b/>
          </w:rPr>
          <w:t>Figure 3.60</w:t>
        </w:r>
        <w:r w:rsidRPr="00713F3D">
          <w:rPr>
            <w:rStyle w:val="Hyperlink"/>
            <w:rFonts w:eastAsia="MS Mincho"/>
          </w:rPr>
          <w:t>. Woodford Shale average Tmax maturity [℃] map on the regional scale of Oklahoma. The Speake Ranch location is highlighted in the yellow spot.  White diamonds and values correspond to average T-max maturity values for the Woodford Shale from the IRC Woodford-Mississippian consortium database.</w:t>
        </w:r>
        <w:r>
          <w:rPr>
            <w:webHidden/>
          </w:rPr>
          <w:tab/>
        </w:r>
        <w:r>
          <w:rPr>
            <w:webHidden/>
          </w:rPr>
          <w:fldChar w:fldCharType="begin"/>
        </w:r>
        <w:r>
          <w:rPr>
            <w:webHidden/>
          </w:rPr>
          <w:instrText xml:space="preserve"> PAGEREF _Toc35861246 \h </w:instrText>
        </w:r>
        <w:r>
          <w:rPr>
            <w:webHidden/>
          </w:rPr>
        </w:r>
        <w:r>
          <w:rPr>
            <w:webHidden/>
          </w:rPr>
          <w:fldChar w:fldCharType="separate"/>
        </w:r>
        <w:r>
          <w:rPr>
            <w:webHidden/>
          </w:rPr>
          <w:t>186</w:t>
        </w:r>
        <w:r>
          <w:rPr>
            <w:webHidden/>
          </w:rPr>
          <w:fldChar w:fldCharType="end"/>
        </w:r>
      </w:hyperlink>
    </w:p>
    <w:p w14:paraId="55931B63" w14:textId="15088D9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7" w:history="1">
        <w:r w:rsidRPr="00713F3D">
          <w:rPr>
            <w:rStyle w:val="Hyperlink"/>
            <w:rFonts w:eastAsia="MS Mincho"/>
            <w:b/>
          </w:rPr>
          <w:t>Figure 4.1.</w:t>
        </w:r>
        <w:r w:rsidRPr="00713F3D">
          <w:rPr>
            <w:rStyle w:val="Hyperlink"/>
            <w:rFonts w:eastAsia="MS Mincho"/>
          </w:rPr>
          <w:t xml:space="preserve"> State of Oklahoma geological provinces and sedimentary basins (modified after Northcutt et al. [2001], Liborius et al. [2018] and Energy Information Administration [2016]). The study area is a 3D seismic survey in the Anadarko basin, Oklahoma.</w:t>
        </w:r>
        <w:r>
          <w:rPr>
            <w:webHidden/>
          </w:rPr>
          <w:tab/>
        </w:r>
        <w:r>
          <w:rPr>
            <w:webHidden/>
          </w:rPr>
          <w:fldChar w:fldCharType="begin"/>
        </w:r>
        <w:r>
          <w:rPr>
            <w:webHidden/>
          </w:rPr>
          <w:instrText xml:space="preserve"> PAGEREF _Toc35861247 \h </w:instrText>
        </w:r>
        <w:r>
          <w:rPr>
            <w:webHidden/>
          </w:rPr>
        </w:r>
        <w:r>
          <w:rPr>
            <w:webHidden/>
          </w:rPr>
          <w:fldChar w:fldCharType="separate"/>
        </w:r>
        <w:r>
          <w:rPr>
            <w:webHidden/>
          </w:rPr>
          <w:t>213</w:t>
        </w:r>
        <w:r>
          <w:rPr>
            <w:webHidden/>
          </w:rPr>
          <w:fldChar w:fldCharType="end"/>
        </w:r>
      </w:hyperlink>
    </w:p>
    <w:p w14:paraId="078E924A" w14:textId="2E8B604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8" w:history="1">
        <w:r w:rsidRPr="00713F3D">
          <w:rPr>
            <w:rStyle w:val="Hyperlink"/>
            <w:rFonts w:eastAsia="MS Mincho"/>
            <w:b/>
          </w:rPr>
          <w:t xml:space="preserve">Figure 4.2. </w:t>
        </w:r>
        <w:r w:rsidRPr="00713F3D">
          <w:rPr>
            <w:rStyle w:val="Hyperlink"/>
            <w:rFonts w:eastAsia="MS Mincho"/>
          </w:rPr>
          <w:t>A general stratigraphic chart that highlights the significant unconformities at the base of the Woodford Shale in the Oklahoman basins (modified after Liborius et al. [2018] and Slatt [2016]).</w:t>
        </w:r>
        <w:r>
          <w:rPr>
            <w:webHidden/>
          </w:rPr>
          <w:tab/>
        </w:r>
        <w:r>
          <w:rPr>
            <w:webHidden/>
          </w:rPr>
          <w:fldChar w:fldCharType="begin"/>
        </w:r>
        <w:r>
          <w:rPr>
            <w:webHidden/>
          </w:rPr>
          <w:instrText xml:space="preserve"> PAGEREF _Toc35861248 \h </w:instrText>
        </w:r>
        <w:r>
          <w:rPr>
            <w:webHidden/>
          </w:rPr>
        </w:r>
        <w:r>
          <w:rPr>
            <w:webHidden/>
          </w:rPr>
          <w:fldChar w:fldCharType="separate"/>
        </w:r>
        <w:r>
          <w:rPr>
            <w:webHidden/>
          </w:rPr>
          <w:t>215</w:t>
        </w:r>
        <w:r>
          <w:rPr>
            <w:webHidden/>
          </w:rPr>
          <w:fldChar w:fldCharType="end"/>
        </w:r>
      </w:hyperlink>
    </w:p>
    <w:p w14:paraId="038ED4E3" w14:textId="6F20D9B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49" w:history="1">
        <w:r w:rsidRPr="00713F3D">
          <w:rPr>
            <w:rStyle w:val="Hyperlink"/>
            <w:rFonts w:eastAsia="MS Mincho"/>
            <w:b/>
          </w:rPr>
          <w:t xml:space="preserve">Figure 4.3. </w:t>
        </w:r>
        <w:r w:rsidRPr="00713F3D">
          <w:rPr>
            <w:rStyle w:val="Hyperlink"/>
            <w:rFonts w:eastAsia="MS Mincho"/>
          </w:rPr>
          <w:t>Depositional model of the Woodford Shale through one eustatic sea-level cycle (Torres-Parada et al., 2017; modified after Bauernfeind [1990], Grotzinger and Jordan [2010] and Slatt [2016]). The early stage of falling sea level may result in water mass isolation and restricted water circulation over topographic depressions left by karst/incised valley development on the underlying carbonate surface (Hunton limestone in the case of the Woodford). TSE= Transgressive surface of erosion; SB= Sequence boundary.</w:t>
        </w:r>
        <w:r>
          <w:rPr>
            <w:webHidden/>
          </w:rPr>
          <w:tab/>
        </w:r>
        <w:r>
          <w:rPr>
            <w:webHidden/>
          </w:rPr>
          <w:fldChar w:fldCharType="begin"/>
        </w:r>
        <w:r>
          <w:rPr>
            <w:webHidden/>
          </w:rPr>
          <w:instrText xml:space="preserve"> PAGEREF _Toc35861249 \h </w:instrText>
        </w:r>
        <w:r>
          <w:rPr>
            <w:webHidden/>
          </w:rPr>
        </w:r>
        <w:r>
          <w:rPr>
            <w:webHidden/>
          </w:rPr>
          <w:fldChar w:fldCharType="separate"/>
        </w:r>
        <w:r>
          <w:rPr>
            <w:webHidden/>
          </w:rPr>
          <w:t>217</w:t>
        </w:r>
        <w:r>
          <w:rPr>
            <w:webHidden/>
          </w:rPr>
          <w:fldChar w:fldCharType="end"/>
        </w:r>
      </w:hyperlink>
    </w:p>
    <w:p w14:paraId="1989BE31" w14:textId="78A5CBC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0" w:history="1">
        <w:r w:rsidRPr="00713F3D">
          <w:rPr>
            <w:rStyle w:val="Hyperlink"/>
            <w:rFonts w:eastAsia="MS Mincho"/>
            <w:b/>
          </w:rPr>
          <w:t>Figure 4.4.</w:t>
        </w:r>
        <w:r w:rsidRPr="00713F3D">
          <w:rPr>
            <w:rStyle w:val="Hyperlink"/>
            <w:rFonts w:eastAsia="MS Mincho"/>
          </w:rPr>
          <w:t xml:space="preserve"> Workflow used in this study. We compute the petrophysical and geomechanical properties from the density and P-wave well logs as described in Appendix A. We then use the seismic amplitude volume in two ways, first to define horizons and faults necessary to construct our geocellular model, and second as input for the post-stack seismic impedance inversion which we propagate with collocated cokriging to construct probability of  the geomechanical and petrophysical properties at each cell of the static model. These properties, along with the seismic amplitude volume, are input to SOM, GTM, and K-means clustering algorithms. We use the resulting clusters to define type curve areas for subsequent simulation.</w:t>
        </w:r>
        <w:r>
          <w:rPr>
            <w:webHidden/>
          </w:rPr>
          <w:tab/>
        </w:r>
        <w:r>
          <w:rPr>
            <w:webHidden/>
          </w:rPr>
          <w:fldChar w:fldCharType="begin"/>
        </w:r>
        <w:r>
          <w:rPr>
            <w:webHidden/>
          </w:rPr>
          <w:instrText xml:space="preserve"> PAGEREF _Toc35861250 \h </w:instrText>
        </w:r>
        <w:r>
          <w:rPr>
            <w:webHidden/>
          </w:rPr>
        </w:r>
        <w:r>
          <w:rPr>
            <w:webHidden/>
          </w:rPr>
          <w:fldChar w:fldCharType="separate"/>
        </w:r>
        <w:r>
          <w:rPr>
            <w:webHidden/>
          </w:rPr>
          <w:t>221</w:t>
        </w:r>
        <w:r>
          <w:rPr>
            <w:webHidden/>
          </w:rPr>
          <w:fldChar w:fldCharType="end"/>
        </w:r>
      </w:hyperlink>
    </w:p>
    <w:p w14:paraId="54521A58" w14:textId="17A072C5"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1" w:history="1">
        <w:r w:rsidRPr="00713F3D">
          <w:rPr>
            <w:rStyle w:val="Hyperlink"/>
            <w:rFonts w:eastAsia="MS Mincho"/>
            <w:b/>
          </w:rPr>
          <w:t>Figure 4.5.</w:t>
        </w:r>
        <w:r w:rsidRPr="00713F3D">
          <w:rPr>
            <w:rStyle w:val="Hyperlink"/>
            <w:rFonts w:eastAsia="MS Mincho"/>
          </w:rPr>
          <w:t xml:space="preserve"> Stratigraphic correlation of the Woodford Shale (WDFD) along the study area flattened on the Hunton (HNTN) group top. Well S-A has a cored section with measured %TOC [wt.%] that covers the entire Woodford Shale (black diamonds in well S-A). We used equation 4.11 to compute  %TOC at the wells lacking core data points. The %TOC calculations in the right log track in each well used both Passey et al. (1990; light green curve) and Schmoker (1979, 1981; dark blue %TOC curve) methodologies. Note that in the right track in well S-A, the Schmoker’s %TOC matches better the core points (black points), whereas the Passey curve (light green) overestimates %TOC below the Hunton top (HNTN horizon) and above the Woodford top (WDFD horizon), giving a better confidence in the Schmoker (1979, 1981) methodology for the study area.</w:t>
        </w:r>
        <w:r>
          <w:rPr>
            <w:webHidden/>
          </w:rPr>
          <w:tab/>
        </w:r>
        <w:r>
          <w:rPr>
            <w:webHidden/>
          </w:rPr>
          <w:fldChar w:fldCharType="begin"/>
        </w:r>
        <w:r>
          <w:rPr>
            <w:webHidden/>
          </w:rPr>
          <w:instrText xml:space="preserve"> PAGEREF _Toc35861251 \h </w:instrText>
        </w:r>
        <w:r>
          <w:rPr>
            <w:webHidden/>
          </w:rPr>
        </w:r>
        <w:r>
          <w:rPr>
            <w:webHidden/>
          </w:rPr>
          <w:fldChar w:fldCharType="separate"/>
        </w:r>
        <w:r>
          <w:rPr>
            <w:webHidden/>
          </w:rPr>
          <w:t>227</w:t>
        </w:r>
        <w:r>
          <w:rPr>
            <w:webHidden/>
          </w:rPr>
          <w:fldChar w:fldCharType="end"/>
        </w:r>
      </w:hyperlink>
    </w:p>
    <w:p w14:paraId="6CC972D0" w14:textId="61638C7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2" w:history="1">
        <w:r w:rsidRPr="00713F3D">
          <w:rPr>
            <w:rStyle w:val="Hyperlink"/>
            <w:rFonts w:eastAsia="MS Mincho"/>
            <w:b/>
          </w:rPr>
          <w:t>Figure 4.6.</w:t>
        </w:r>
        <w:r w:rsidRPr="00713F3D">
          <w:rPr>
            <w:rStyle w:val="Hyperlink"/>
            <w:rFonts w:eastAsia="MS Mincho"/>
          </w:rPr>
          <w:t xml:space="preserve"> (a) A representative vertical slice through the seismic data volume and (b) with interpretation showing the Woodford Shale top, tied with well S-A. The Woodford Shale top is a </w:t>
        </w:r>
        <w:r w:rsidRPr="00713F3D">
          <w:rPr>
            <w:rStyle w:val="Hyperlink"/>
            <w:rFonts w:eastAsia="MS Mincho"/>
          </w:rPr>
          <w:lastRenderedPageBreak/>
          <w:t>seismic trough (negative amplitude). The Woodford Shale base (Hunton Group top) is a bright, positive amplitude horizon. Location of the line shown in Figure 4.7.</w:t>
        </w:r>
        <w:r>
          <w:rPr>
            <w:webHidden/>
          </w:rPr>
          <w:tab/>
        </w:r>
        <w:r>
          <w:rPr>
            <w:webHidden/>
          </w:rPr>
          <w:fldChar w:fldCharType="begin"/>
        </w:r>
        <w:r>
          <w:rPr>
            <w:webHidden/>
          </w:rPr>
          <w:instrText xml:space="preserve"> PAGEREF _Toc35861252 \h </w:instrText>
        </w:r>
        <w:r>
          <w:rPr>
            <w:webHidden/>
          </w:rPr>
        </w:r>
        <w:r>
          <w:rPr>
            <w:webHidden/>
          </w:rPr>
          <w:fldChar w:fldCharType="separate"/>
        </w:r>
        <w:r>
          <w:rPr>
            <w:webHidden/>
          </w:rPr>
          <w:t>228</w:t>
        </w:r>
        <w:r>
          <w:rPr>
            <w:webHidden/>
          </w:rPr>
          <w:fldChar w:fldCharType="end"/>
        </w:r>
      </w:hyperlink>
    </w:p>
    <w:p w14:paraId="07469565" w14:textId="0CCF02C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3" w:history="1">
        <w:r w:rsidRPr="00713F3D">
          <w:rPr>
            <w:rStyle w:val="Hyperlink"/>
            <w:rFonts w:eastAsia="MS Mincho"/>
            <w:b/>
          </w:rPr>
          <w:t>Figure 4.7.</w:t>
        </w:r>
        <w:r w:rsidRPr="00713F3D">
          <w:rPr>
            <w:rStyle w:val="Hyperlink"/>
            <w:rFonts w:eastAsia="MS Mincho"/>
          </w:rPr>
          <w:t xml:space="preserve"> Woodford Shale time structure map [ms] in the study area. The time structure maps were converted to depth and used to define our geocellular model. The red line corresponds to the seismic vertical slice in Figure 4.6. Relative times used to protect data sensitivity.</w:t>
        </w:r>
        <w:r>
          <w:rPr>
            <w:webHidden/>
          </w:rPr>
          <w:tab/>
        </w:r>
        <w:r>
          <w:rPr>
            <w:webHidden/>
          </w:rPr>
          <w:fldChar w:fldCharType="begin"/>
        </w:r>
        <w:r>
          <w:rPr>
            <w:webHidden/>
          </w:rPr>
          <w:instrText xml:space="preserve"> PAGEREF _Toc35861253 \h </w:instrText>
        </w:r>
        <w:r>
          <w:rPr>
            <w:webHidden/>
          </w:rPr>
        </w:r>
        <w:r>
          <w:rPr>
            <w:webHidden/>
          </w:rPr>
          <w:fldChar w:fldCharType="separate"/>
        </w:r>
        <w:r>
          <w:rPr>
            <w:webHidden/>
          </w:rPr>
          <w:t>229</w:t>
        </w:r>
        <w:r>
          <w:rPr>
            <w:webHidden/>
          </w:rPr>
          <w:fldChar w:fldCharType="end"/>
        </w:r>
      </w:hyperlink>
    </w:p>
    <w:p w14:paraId="39DDF2AC" w14:textId="636EF0F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4" w:history="1">
        <w:r w:rsidRPr="00713F3D">
          <w:rPr>
            <w:rStyle w:val="Hyperlink"/>
            <w:rFonts w:eastAsia="MS Mincho"/>
            <w:b/>
          </w:rPr>
          <w:t>Figure 4.8.</w:t>
        </w:r>
        <w:r w:rsidRPr="00713F3D">
          <w:rPr>
            <w:rStyle w:val="Hyperlink"/>
            <w:rFonts w:eastAsia="MS Mincho"/>
          </w:rPr>
          <w:t xml:space="preserve"> Woodford Shale time thickness map [ms]. Note the increased thickness in the northeast and south of the study area (thickness higher than 45 ms). Wells from stratigraphic correlation shown in Figure 4.5.</w:t>
        </w:r>
        <w:r>
          <w:rPr>
            <w:webHidden/>
          </w:rPr>
          <w:tab/>
        </w:r>
        <w:r>
          <w:rPr>
            <w:webHidden/>
          </w:rPr>
          <w:fldChar w:fldCharType="begin"/>
        </w:r>
        <w:r>
          <w:rPr>
            <w:webHidden/>
          </w:rPr>
          <w:instrText xml:space="preserve"> PAGEREF _Toc35861254 \h </w:instrText>
        </w:r>
        <w:r>
          <w:rPr>
            <w:webHidden/>
          </w:rPr>
        </w:r>
        <w:r>
          <w:rPr>
            <w:webHidden/>
          </w:rPr>
          <w:fldChar w:fldCharType="separate"/>
        </w:r>
        <w:r>
          <w:rPr>
            <w:webHidden/>
          </w:rPr>
          <w:t>230</w:t>
        </w:r>
        <w:r>
          <w:rPr>
            <w:webHidden/>
          </w:rPr>
          <w:fldChar w:fldCharType="end"/>
        </w:r>
      </w:hyperlink>
    </w:p>
    <w:p w14:paraId="12B3860E" w14:textId="702043B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5" w:history="1">
        <w:r w:rsidRPr="00713F3D">
          <w:rPr>
            <w:rStyle w:val="Hyperlink"/>
            <w:rFonts w:eastAsia="MS Mincho"/>
            <w:b/>
          </w:rPr>
          <w:t>Figure 4.9.</w:t>
        </w:r>
        <w:r w:rsidRPr="00713F3D">
          <w:rPr>
            <w:rStyle w:val="Hyperlink"/>
            <w:rFonts w:eastAsia="MS Mincho"/>
          </w:rPr>
          <w:t xml:space="preserve"> A seismic vertical slice of the low-frequency acoustic impedance (P-impedance) background model in the S-A cored well obtained using a neural network and a suite of instantaneous attributes. The well log corresponds to the P-impedance (</w:t>
        </w:r>
        <w:r w:rsidRPr="00713F3D">
          <w:rPr>
            <w:rStyle w:val="Hyperlink"/>
            <w:rFonts w:eastAsia="MS Mincho"/>
            <w:i/>
            <w:iCs/>
          </w:rPr>
          <w:t>Z</w:t>
        </w:r>
        <w:r w:rsidRPr="00713F3D">
          <w:rPr>
            <w:rStyle w:val="Hyperlink"/>
            <w:rFonts w:eastAsia="MS Mincho"/>
            <w:i/>
            <w:iCs/>
            <w:vertAlign w:val="subscript"/>
          </w:rPr>
          <w:t>p</w:t>
        </w:r>
        <w:r w:rsidRPr="00713F3D">
          <w:rPr>
            <w:rStyle w:val="Hyperlink"/>
            <w:rFonts w:eastAsia="MS Mincho"/>
          </w:rPr>
          <w:t>) curve.</w:t>
        </w:r>
        <w:r>
          <w:rPr>
            <w:webHidden/>
          </w:rPr>
          <w:tab/>
        </w:r>
        <w:r>
          <w:rPr>
            <w:webHidden/>
          </w:rPr>
          <w:fldChar w:fldCharType="begin"/>
        </w:r>
        <w:r>
          <w:rPr>
            <w:webHidden/>
          </w:rPr>
          <w:instrText xml:space="preserve"> PAGEREF _Toc35861255 \h </w:instrText>
        </w:r>
        <w:r>
          <w:rPr>
            <w:webHidden/>
          </w:rPr>
        </w:r>
        <w:r>
          <w:rPr>
            <w:webHidden/>
          </w:rPr>
          <w:fldChar w:fldCharType="separate"/>
        </w:r>
        <w:r>
          <w:rPr>
            <w:webHidden/>
          </w:rPr>
          <w:t>231</w:t>
        </w:r>
        <w:r>
          <w:rPr>
            <w:webHidden/>
          </w:rPr>
          <w:fldChar w:fldCharType="end"/>
        </w:r>
      </w:hyperlink>
    </w:p>
    <w:p w14:paraId="0C2A8B33" w14:textId="54C4B0A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6" w:history="1">
        <w:r w:rsidRPr="00713F3D">
          <w:rPr>
            <w:rStyle w:val="Hyperlink"/>
            <w:rFonts w:eastAsia="MS Mincho"/>
            <w:b/>
          </w:rPr>
          <w:t xml:space="preserve">Figure 4.10. </w:t>
        </w:r>
        <w:r w:rsidRPr="00713F3D">
          <w:rPr>
            <w:rStyle w:val="Hyperlink"/>
            <w:rFonts w:eastAsia="MS Mincho"/>
          </w:rPr>
          <w:t>A seismic vertical slice of P-impedance volume using model-based inversion calculations. The well log corresponds to the P-impedance (Zp) curve in the projected cored S-A well.</w:t>
        </w:r>
        <w:r>
          <w:rPr>
            <w:webHidden/>
          </w:rPr>
          <w:tab/>
        </w:r>
        <w:r>
          <w:rPr>
            <w:webHidden/>
          </w:rPr>
          <w:fldChar w:fldCharType="begin"/>
        </w:r>
        <w:r>
          <w:rPr>
            <w:webHidden/>
          </w:rPr>
          <w:instrText xml:space="preserve"> PAGEREF _Toc35861256 \h </w:instrText>
        </w:r>
        <w:r>
          <w:rPr>
            <w:webHidden/>
          </w:rPr>
        </w:r>
        <w:r>
          <w:rPr>
            <w:webHidden/>
          </w:rPr>
          <w:fldChar w:fldCharType="separate"/>
        </w:r>
        <w:r>
          <w:rPr>
            <w:webHidden/>
          </w:rPr>
          <w:t>232</w:t>
        </w:r>
        <w:r>
          <w:rPr>
            <w:webHidden/>
          </w:rPr>
          <w:fldChar w:fldCharType="end"/>
        </w:r>
      </w:hyperlink>
    </w:p>
    <w:p w14:paraId="572ADB46" w14:textId="0FF1B28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7" w:history="1">
        <w:r w:rsidRPr="00713F3D">
          <w:rPr>
            <w:rStyle w:val="Hyperlink"/>
            <w:rFonts w:eastAsia="MS Mincho"/>
            <w:b/>
          </w:rPr>
          <w:t>Figure 4.11.</w:t>
        </w:r>
        <w:r w:rsidRPr="00713F3D">
          <w:rPr>
            <w:rStyle w:val="Hyperlink"/>
            <w:rFonts w:eastAsia="MS Mincho"/>
          </w:rPr>
          <w:t xml:space="preserve"> Average inverted P-impedance (</w:t>
        </w:r>
        <w:r w:rsidRPr="00713F3D">
          <w:rPr>
            <w:rStyle w:val="Hyperlink"/>
            <w:rFonts w:eastAsia="MS Mincho"/>
            <w:i/>
            <w:iCs/>
          </w:rPr>
          <w:t>Z</w:t>
        </w:r>
        <w:r w:rsidRPr="00713F3D">
          <w:rPr>
            <w:rStyle w:val="Hyperlink"/>
            <w:rFonts w:eastAsia="MS Mincho"/>
            <w:i/>
            <w:iCs/>
            <w:vertAlign w:val="subscript"/>
          </w:rPr>
          <w:t>p</w:t>
        </w:r>
        <w:r w:rsidRPr="00713F3D">
          <w:rPr>
            <w:rStyle w:val="Hyperlink"/>
            <w:rFonts w:eastAsia="MS Mincho"/>
          </w:rPr>
          <w:t>) for the entire Woodford Shale stratigraphic interval (From Woodford top to Hunton group top). Extracted and interpolated along with the Woodford seismic window (10 ms above the Woodford Shale seismic top, and 10 ms below the Woodford Shale seismic base). Each of the colored boxes corresponds to one type of curve area used for reservoir simulation.</w:t>
        </w:r>
        <w:r>
          <w:rPr>
            <w:webHidden/>
          </w:rPr>
          <w:tab/>
        </w:r>
        <w:r>
          <w:rPr>
            <w:webHidden/>
          </w:rPr>
          <w:fldChar w:fldCharType="begin"/>
        </w:r>
        <w:r>
          <w:rPr>
            <w:webHidden/>
          </w:rPr>
          <w:instrText xml:space="preserve"> PAGEREF _Toc35861257 \h </w:instrText>
        </w:r>
        <w:r>
          <w:rPr>
            <w:webHidden/>
          </w:rPr>
        </w:r>
        <w:r>
          <w:rPr>
            <w:webHidden/>
          </w:rPr>
          <w:fldChar w:fldCharType="separate"/>
        </w:r>
        <w:r>
          <w:rPr>
            <w:webHidden/>
          </w:rPr>
          <w:t>233</w:t>
        </w:r>
        <w:r>
          <w:rPr>
            <w:webHidden/>
          </w:rPr>
          <w:fldChar w:fldCharType="end"/>
        </w:r>
      </w:hyperlink>
    </w:p>
    <w:p w14:paraId="222AEBAA" w14:textId="75D4AD0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8" w:history="1">
        <w:r w:rsidRPr="00713F3D">
          <w:rPr>
            <w:rStyle w:val="Hyperlink"/>
            <w:rFonts w:eastAsia="MS Mincho"/>
            <w:b/>
          </w:rPr>
          <w:t>Figure 4.12</w:t>
        </w:r>
        <w:r w:rsidRPr="00713F3D">
          <w:rPr>
            <w:rStyle w:val="Hyperlink"/>
            <w:rFonts w:eastAsia="MS Mincho"/>
          </w:rPr>
          <w:t xml:space="preserve">. Horizon slice along the top of the Woodford Shale SOM classification volume.  Average values extracted in the Woodford Shale seismic window. Input attributes are GLCM homogeneity, GLCM entropy, peak frequency, peak magnitude and RMS amplitude. Similar colors correspond to similar seismic facies. We selected SOM over the K-means and GTM volumes because it is the one with less patchy clusters, less variability and more similarities to the </w:t>
        </w:r>
        <w:r w:rsidRPr="00713F3D">
          <w:rPr>
            <w:rStyle w:val="Hyperlink"/>
            <w:rFonts w:eastAsia="MS Mincho"/>
            <w:i/>
          </w:rPr>
          <w:t>Z</w:t>
        </w:r>
        <w:r w:rsidRPr="00713F3D">
          <w:rPr>
            <w:rStyle w:val="Hyperlink"/>
            <w:rFonts w:eastAsia="MS Mincho"/>
            <w:i/>
            <w:vertAlign w:val="subscript"/>
          </w:rPr>
          <w:t>p</w:t>
        </w:r>
        <w:r w:rsidRPr="00713F3D">
          <w:rPr>
            <w:rStyle w:val="Hyperlink"/>
            <w:rFonts w:eastAsia="MS Mincho"/>
          </w:rPr>
          <w:t xml:space="preserve"> volume in Figure 4.11.</w:t>
        </w:r>
        <w:r>
          <w:rPr>
            <w:webHidden/>
          </w:rPr>
          <w:tab/>
        </w:r>
        <w:r>
          <w:rPr>
            <w:webHidden/>
          </w:rPr>
          <w:fldChar w:fldCharType="begin"/>
        </w:r>
        <w:r>
          <w:rPr>
            <w:webHidden/>
          </w:rPr>
          <w:instrText xml:space="preserve"> PAGEREF _Toc35861258 \h </w:instrText>
        </w:r>
        <w:r>
          <w:rPr>
            <w:webHidden/>
          </w:rPr>
        </w:r>
        <w:r>
          <w:rPr>
            <w:webHidden/>
          </w:rPr>
          <w:fldChar w:fldCharType="separate"/>
        </w:r>
        <w:r>
          <w:rPr>
            <w:webHidden/>
          </w:rPr>
          <w:t>235</w:t>
        </w:r>
        <w:r>
          <w:rPr>
            <w:webHidden/>
          </w:rPr>
          <w:fldChar w:fldCharType="end"/>
        </w:r>
      </w:hyperlink>
    </w:p>
    <w:p w14:paraId="639FAD6D" w14:textId="766608F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59" w:history="1">
        <w:r w:rsidRPr="00713F3D">
          <w:rPr>
            <w:rStyle w:val="Hyperlink"/>
            <w:rFonts w:eastAsia="MS Mincho"/>
            <w:b/>
          </w:rPr>
          <w:t>Figure 4.13</w:t>
        </w:r>
        <w:r w:rsidRPr="00713F3D">
          <w:rPr>
            <w:rStyle w:val="Hyperlink"/>
            <w:rFonts w:eastAsia="MS Mincho"/>
          </w:rPr>
          <w:t>. Horizon slice along the top of the Woodford Shale unsupervised K-means cluster classification volume.  Average values extracted in the Woodford Shale seismic window. Input attributes are GLCM homogeneity, GLCM entropy, peak frequency, peak magnitude, RMS amplitude. Similar colors correspond to similar seismic facies.</w:t>
        </w:r>
        <w:r>
          <w:rPr>
            <w:webHidden/>
          </w:rPr>
          <w:tab/>
        </w:r>
        <w:r>
          <w:rPr>
            <w:webHidden/>
          </w:rPr>
          <w:fldChar w:fldCharType="begin"/>
        </w:r>
        <w:r>
          <w:rPr>
            <w:webHidden/>
          </w:rPr>
          <w:instrText xml:space="preserve"> PAGEREF _Toc35861259 \h </w:instrText>
        </w:r>
        <w:r>
          <w:rPr>
            <w:webHidden/>
          </w:rPr>
        </w:r>
        <w:r>
          <w:rPr>
            <w:webHidden/>
          </w:rPr>
          <w:fldChar w:fldCharType="separate"/>
        </w:r>
        <w:r>
          <w:rPr>
            <w:webHidden/>
          </w:rPr>
          <w:t>236</w:t>
        </w:r>
        <w:r>
          <w:rPr>
            <w:webHidden/>
          </w:rPr>
          <w:fldChar w:fldCharType="end"/>
        </w:r>
      </w:hyperlink>
    </w:p>
    <w:p w14:paraId="7FCD122C" w14:textId="3514C6A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0" w:history="1">
        <w:r w:rsidRPr="00713F3D">
          <w:rPr>
            <w:rStyle w:val="Hyperlink"/>
            <w:rFonts w:eastAsia="MS Mincho"/>
            <w:b/>
          </w:rPr>
          <w:t>Figure 4.14</w:t>
        </w:r>
        <w:r w:rsidRPr="00713F3D">
          <w:rPr>
            <w:rStyle w:val="Hyperlink"/>
            <w:rFonts w:eastAsia="MS Mincho"/>
          </w:rPr>
          <w:t>. Horizon slice along the top of the Woodford Shale GTM classification volume.  Average values extracted in the Woodford Shale seismic window. Input attributes are GLCM homogeneity, GLCM entropy, peak frequency, peak magnitude, RMS amplitude. Similar colors correspond to similar seismic facies.</w:t>
        </w:r>
        <w:r>
          <w:rPr>
            <w:webHidden/>
          </w:rPr>
          <w:tab/>
        </w:r>
        <w:r>
          <w:rPr>
            <w:webHidden/>
          </w:rPr>
          <w:fldChar w:fldCharType="begin"/>
        </w:r>
        <w:r>
          <w:rPr>
            <w:webHidden/>
          </w:rPr>
          <w:instrText xml:space="preserve"> PAGEREF _Toc35861260 \h </w:instrText>
        </w:r>
        <w:r>
          <w:rPr>
            <w:webHidden/>
          </w:rPr>
        </w:r>
        <w:r>
          <w:rPr>
            <w:webHidden/>
          </w:rPr>
          <w:fldChar w:fldCharType="separate"/>
        </w:r>
        <w:r>
          <w:rPr>
            <w:webHidden/>
          </w:rPr>
          <w:t>237</w:t>
        </w:r>
        <w:r>
          <w:rPr>
            <w:webHidden/>
          </w:rPr>
          <w:fldChar w:fldCharType="end"/>
        </w:r>
      </w:hyperlink>
    </w:p>
    <w:p w14:paraId="793F318B" w14:textId="6196FDA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1" w:history="1">
        <w:r w:rsidRPr="00713F3D">
          <w:rPr>
            <w:rStyle w:val="Hyperlink"/>
            <w:rFonts w:eastAsia="MS Mincho"/>
            <w:b/>
          </w:rPr>
          <w:t>Figure 4.15.</w:t>
        </w:r>
        <w:r w:rsidRPr="00713F3D">
          <w:rPr>
            <w:rStyle w:val="Hyperlink"/>
            <w:rFonts w:eastAsia="MS Mincho"/>
          </w:rPr>
          <w:t xml:space="preserve"> Woodford reservoir model 3D grid. Wells displayed in the study area have bulk shear and compressional sonic logs. Reservoir grid from seismic-well tie and depth domain conversion of Woodford seismic top and bottom maps. Vertical exaggeration 1:10.</w:t>
        </w:r>
        <w:r>
          <w:rPr>
            <w:webHidden/>
          </w:rPr>
          <w:tab/>
        </w:r>
        <w:r>
          <w:rPr>
            <w:webHidden/>
          </w:rPr>
          <w:fldChar w:fldCharType="begin"/>
        </w:r>
        <w:r>
          <w:rPr>
            <w:webHidden/>
          </w:rPr>
          <w:instrText xml:space="preserve"> PAGEREF _Toc35861261 \h </w:instrText>
        </w:r>
        <w:r>
          <w:rPr>
            <w:webHidden/>
          </w:rPr>
        </w:r>
        <w:r>
          <w:rPr>
            <w:webHidden/>
          </w:rPr>
          <w:fldChar w:fldCharType="separate"/>
        </w:r>
        <w:r>
          <w:rPr>
            <w:webHidden/>
          </w:rPr>
          <w:t>238</w:t>
        </w:r>
        <w:r>
          <w:rPr>
            <w:webHidden/>
          </w:rPr>
          <w:fldChar w:fldCharType="end"/>
        </w:r>
      </w:hyperlink>
    </w:p>
    <w:p w14:paraId="085CA29A" w14:textId="59542CC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2" w:history="1">
        <w:r w:rsidRPr="00713F3D">
          <w:rPr>
            <w:rStyle w:val="Hyperlink"/>
            <w:rFonts w:eastAsia="MS Mincho"/>
            <w:b/>
          </w:rPr>
          <w:t>Figure 4.16.</w:t>
        </w:r>
        <w:r w:rsidRPr="00713F3D">
          <w:rPr>
            <w:rStyle w:val="Hyperlink"/>
            <w:rFonts w:eastAsia="MS Mincho"/>
          </w:rPr>
          <w:t xml:space="preserve"> Average values of the middle Woodford member interval of interest shown in Figure 4.5 of density-porosity, calculated Young’s modulus, Poisson’s ratio, and fracture toughness. We </w:t>
        </w:r>
        <w:r w:rsidRPr="00713F3D">
          <w:rPr>
            <w:rStyle w:val="Hyperlink"/>
            <w:rFonts w:eastAsia="MS Mincho"/>
          </w:rPr>
          <w:lastRenderedPageBreak/>
          <w:t xml:space="preserve">calculate the lateral property variation using collocated cokriging using SOM classification volume and </w:t>
        </w:r>
        <w:r w:rsidRPr="00713F3D">
          <w:rPr>
            <w:rStyle w:val="Hyperlink"/>
            <w:rFonts w:eastAsia="MS Mincho"/>
            <w:i/>
            <w:iCs/>
          </w:rPr>
          <w:t>Z</w:t>
        </w:r>
        <w:r w:rsidRPr="00713F3D">
          <w:rPr>
            <w:rStyle w:val="Hyperlink"/>
            <w:rFonts w:eastAsia="MS Mincho"/>
            <w:i/>
            <w:iCs/>
            <w:vertAlign w:val="subscript"/>
          </w:rPr>
          <w:t>p</w:t>
        </w:r>
        <w:r w:rsidRPr="00713F3D">
          <w:rPr>
            <w:rStyle w:val="Hyperlink"/>
            <w:rFonts w:eastAsia="MS Mincho"/>
          </w:rPr>
          <w:t xml:space="preserve"> inversion volumes as probability maps.</w:t>
        </w:r>
        <w:r>
          <w:rPr>
            <w:webHidden/>
          </w:rPr>
          <w:tab/>
        </w:r>
        <w:r>
          <w:rPr>
            <w:webHidden/>
          </w:rPr>
          <w:fldChar w:fldCharType="begin"/>
        </w:r>
        <w:r>
          <w:rPr>
            <w:webHidden/>
          </w:rPr>
          <w:instrText xml:space="preserve"> PAGEREF _Toc35861262 \h </w:instrText>
        </w:r>
        <w:r>
          <w:rPr>
            <w:webHidden/>
          </w:rPr>
        </w:r>
        <w:r>
          <w:rPr>
            <w:webHidden/>
          </w:rPr>
          <w:fldChar w:fldCharType="separate"/>
        </w:r>
        <w:r>
          <w:rPr>
            <w:webHidden/>
          </w:rPr>
          <w:t>239</w:t>
        </w:r>
        <w:r>
          <w:rPr>
            <w:webHidden/>
          </w:rPr>
          <w:fldChar w:fldCharType="end"/>
        </w:r>
      </w:hyperlink>
    </w:p>
    <w:p w14:paraId="64D6A038" w14:textId="1CF7177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3" w:history="1">
        <w:r w:rsidRPr="00713F3D">
          <w:rPr>
            <w:rStyle w:val="Hyperlink"/>
            <w:rFonts w:eastAsia="MS Mincho"/>
            <w:b/>
          </w:rPr>
          <w:t>Figure 4.18.</w:t>
        </w:r>
        <w:r w:rsidRPr="00713F3D">
          <w:rPr>
            <w:rStyle w:val="Hyperlink"/>
            <w:rFonts w:eastAsia="MS Mincho"/>
          </w:rPr>
          <w:t xml:space="preserve"> Conceptual implementation of Barton – Bandis model (after Tran et al., 2009). Initially, the bottom hole conditions are at the beginning point. As injection continues, the effective stress decreases, and at a certain point, when it reaches the minimum stress, the natural fracture opens, and the permeability increases. As injection stops and well is put on production, due to fluid withdrawal, the permeability decreases again due to a rise in stress. The well ultimately reaches a permeability of K</w:t>
        </w:r>
        <w:r w:rsidRPr="00713F3D">
          <w:rPr>
            <w:rStyle w:val="Hyperlink"/>
            <w:rFonts w:eastAsia="MS Mincho"/>
            <w:vertAlign w:val="subscript"/>
          </w:rPr>
          <w:t>fmin</w:t>
        </w:r>
        <w:r w:rsidRPr="00713F3D">
          <w:rPr>
            <w:rStyle w:val="Hyperlink"/>
            <w:rFonts w:eastAsia="MS Mincho"/>
          </w:rPr>
          <w:t xml:space="preserve"> and continues to produce at that permeability. In our case, we keep the K</w:t>
        </w:r>
        <w:r w:rsidRPr="00713F3D">
          <w:rPr>
            <w:rStyle w:val="Hyperlink"/>
            <w:rFonts w:eastAsia="MS Mincho"/>
            <w:vertAlign w:val="subscript"/>
          </w:rPr>
          <w:t xml:space="preserve">fmin </w:t>
        </w:r>
        <w:r w:rsidRPr="00713F3D">
          <w:rPr>
            <w:rStyle w:val="Hyperlink"/>
            <w:rFonts w:eastAsia="MS Mincho"/>
          </w:rPr>
          <w:t>= 25 mD for the fractures.</w:t>
        </w:r>
        <w:r>
          <w:rPr>
            <w:webHidden/>
          </w:rPr>
          <w:tab/>
        </w:r>
        <w:r>
          <w:rPr>
            <w:webHidden/>
          </w:rPr>
          <w:fldChar w:fldCharType="begin"/>
        </w:r>
        <w:r>
          <w:rPr>
            <w:webHidden/>
          </w:rPr>
          <w:instrText xml:space="preserve"> PAGEREF _Toc35861263 \h </w:instrText>
        </w:r>
        <w:r>
          <w:rPr>
            <w:webHidden/>
          </w:rPr>
        </w:r>
        <w:r>
          <w:rPr>
            <w:webHidden/>
          </w:rPr>
          <w:fldChar w:fldCharType="separate"/>
        </w:r>
        <w:r>
          <w:rPr>
            <w:webHidden/>
          </w:rPr>
          <w:t>242</w:t>
        </w:r>
        <w:r>
          <w:rPr>
            <w:webHidden/>
          </w:rPr>
          <w:fldChar w:fldCharType="end"/>
        </w:r>
      </w:hyperlink>
    </w:p>
    <w:p w14:paraId="18CD7FFA" w14:textId="18C11ED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4" w:history="1">
        <w:r w:rsidRPr="00713F3D">
          <w:rPr>
            <w:rStyle w:val="Hyperlink"/>
            <w:rFonts w:eastAsia="MS Mincho"/>
            <w:b/>
          </w:rPr>
          <w:t>Figure 4.19.</w:t>
        </w:r>
        <w:r w:rsidRPr="00713F3D">
          <w:rPr>
            <w:rStyle w:val="Hyperlink"/>
            <w:rFonts w:eastAsia="MS Mincho"/>
          </w:rPr>
          <w:t xml:space="preserve"> Well bottom-hole pressure for the injection. Notice that when a crack occurs at 0 months in time, the stimulated pressure falls rapidly.</w:t>
        </w:r>
        <w:r>
          <w:rPr>
            <w:webHidden/>
          </w:rPr>
          <w:tab/>
        </w:r>
        <w:r>
          <w:rPr>
            <w:webHidden/>
          </w:rPr>
          <w:fldChar w:fldCharType="begin"/>
        </w:r>
        <w:r>
          <w:rPr>
            <w:webHidden/>
          </w:rPr>
          <w:instrText xml:space="preserve"> PAGEREF _Toc35861264 \h </w:instrText>
        </w:r>
        <w:r>
          <w:rPr>
            <w:webHidden/>
          </w:rPr>
        </w:r>
        <w:r>
          <w:rPr>
            <w:webHidden/>
          </w:rPr>
          <w:fldChar w:fldCharType="separate"/>
        </w:r>
        <w:r>
          <w:rPr>
            <w:webHidden/>
          </w:rPr>
          <w:t>243</w:t>
        </w:r>
        <w:r>
          <w:rPr>
            <w:webHidden/>
          </w:rPr>
          <w:fldChar w:fldCharType="end"/>
        </w:r>
      </w:hyperlink>
    </w:p>
    <w:p w14:paraId="1EB3686C" w14:textId="7F77709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5" w:history="1">
        <w:r w:rsidRPr="00713F3D">
          <w:rPr>
            <w:rStyle w:val="Hyperlink"/>
            <w:rFonts w:eastAsia="MS Mincho"/>
            <w:b/>
          </w:rPr>
          <w:t>Figure 4.20.</w:t>
        </w:r>
        <w:r w:rsidRPr="00713F3D">
          <w:rPr>
            <w:rStyle w:val="Hyperlink"/>
            <w:rFonts w:eastAsia="MS Mincho"/>
          </w:rPr>
          <w:t xml:space="preserve"> (A) Gas rate, bottom-hole pressure (BHP) and (B) cumulative gas for a simulated well EUR in type curve area 1.</w:t>
        </w:r>
        <w:r>
          <w:rPr>
            <w:webHidden/>
          </w:rPr>
          <w:tab/>
        </w:r>
        <w:r>
          <w:rPr>
            <w:webHidden/>
          </w:rPr>
          <w:fldChar w:fldCharType="begin"/>
        </w:r>
        <w:r>
          <w:rPr>
            <w:webHidden/>
          </w:rPr>
          <w:instrText xml:space="preserve"> PAGEREF _Toc35861265 \h </w:instrText>
        </w:r>
        <w:r>
          <w:rPr>
            <w:webHidden/>
          </w:rPr>
        </w:r>
        <w:r>
          <w:rPr>
            <w:webHidden/>
          </w:rPr>
          <w:fldChar w:fldCharType="separate"/>
        </w:r>
        <w:r>
          <w:rPr>
            <w:webHidden/>
          </w:rPr>
          <w:t>244</w:t>
        </w:r>
        <w:r>
          <w:rPr>
            <w:webHidden/>
          </w:rPr>
          <w:fldChar w:fldCharType="end"/>
        </w:r>
      </w:hyperlink>
    </w:p>
    <w:p w14:paraId="63B9BF77" w14:textId="127C411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6" w:history="1">
        <w:r w:rsidRPr="00713F3D">
          <w:rPr>
            <w:rStyle w:val="Hyperlink"/>
            <w:rFonts w:eastAsia="MS Mincho"/>
            <w:b/>
          </w:rPr>
          <w:t>Figure B.1.</w:t>
        </w:r>
        <w:r w:rsidRPr="00713F3D">
          <w:rPr>
            <w:rStyle w:val="Hyperlink"/>
            <w:rFonts w:eastAsia="MS Mincho"/>
          </w:rPr>
          <w:t xml:space="preserve"> Schematic workflow used in the laboratory analysis. Methodology from the OU Organic Geochemistry Group (OG2). Diagram modified from Miceli-Romero (2014).</w:t>
        </w:r>
        <w:r>
          <w:rPr>
            <w:webHidden/>
          </w:rPr>
          <w:tab/>
        </w:r>
        <w:r>
          <w:rPr>
            <w:webHidden/>
          </w:rPr>
          <w:fldChar w:fldCharType="begin"/>
        </w:r>
        <w:r>
          <w:rPr>
            <w:webHidden/>
          </w:rPr>
          <w:instrText xml:space="preserve"> PAGEREF _Toc35861266 \h </w:instrText>
        </w:r>
        <w:r>
          <w:rPr>
            <w:webHidden/>
          </w:rPr>
        </w:r>
        <w:r>
          <w:rPr>
            <w:webHidden/>
          </w:rPr>
          <w:fldChar w:fldCharType="separate"/>
        </w:r>
        <w:r>
          <w:rPr>
            <w:webHidden/>
          </w:rPr>
          <w:t>276</w:t>
        </w:r>
        <w:r>
          <w:rPr>
            <w:webHidden/>
          </w:rPr>
          <w:fldChar w:fldCharType="end"/>
        </w:r>
      </w:hyperlink>
    </w:p>
    <w:p w14:paraId="67F315F7" w14:textId="5947244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7" w:history="1">
        <w:r w:rsidRPr="00713F3D">
          <w:rPr>
            <w:rStyle w:val="Hyperlink"/>
            <w:rFonts w:eastAsia="MS Mincho"/>
            <w:b/>
          </w:rPr>
          <w:t>Figure B.2</w:t>
        </w:r>
        <w:r w:rsidRPr="00713F3D">
          <w:rPr>
            <w:rStyle w:val="Hyperlink"/>
            <w:rFonts w:eastAsia="MS Mincho"/>
          </w:rPr>
          <w:t>. Chrysene of 107 ppm as an external standard, recognized in ion m/z 228.3</w:t>
        </w:r>
        <w:r>
          <w:rPr>
            <w:webHidden/>
          </w:rPr>
          <w:tab/>
        </w:r>
        <w:r>
          <w:rPr>
            <w:webHidden/>
          </w:rPr>
          <w:fldChar w:fldCharType="begin"/>
        </w:r>
        <w:r>
          <w:rPr>
            <w:webHidden/>
          </w:rPr>
          <w:instrText xml:space="preserve"> PAGEREF _Toc35861267 \h </w:instrText>
        </w:r>
        <w:r>
          <w:rPr>
            <w:webHidden/>
          </w:rPr>
        </w:r>
        <w:r>
          <w:rPr>
            <w:webHidden/>
          </w:rPr>
          <w:fldChar w:fldCharType="separate"/>
        </w:r>
        <w:r>
          <w:rPr>
            <w:webHidden/>
          </w:rPr>
          <w:t>277</w:t>
        </w:r>
        <w:r>
          <w:rPr>
            <w:webHidden/>
          </w:rPr>
          <w:fldChar w:fldCharType="end"/>
        </w:r>
      </w:hyperlink>
    </w:p>
    <w:p w14:paraId="739E877C" w14:textId="73C7C00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8" w:history="1">
        <w:r w:rsidRPr="00713F3D">
          <w:rPr>
            <w:rStyle w:val="Hyperlink"/>
            <w:rFonts w:eastAsia="MS Mincho"/>
            <w:b/>
          </w:rPr>
          <w:t xml:space="preserve">Figure B.3. </w:t>
        </w:r>
        <w:r w:rsidRPr="00713F3D">
          <w:rPr>
            <w:rStyle w:val="Hyperlink"/>
            <w:rFonts w:eastAsia="MS Mincho"/>
          </w:rPr>
          <w:t>Location of the different masters and doctorate theses where the Rock-Eval pyrolysis data was gathered and organized for an organic facies’ analysis of the Woodford Shale in Oklahoma.</w:t>
        </w:r>
        <w:r>
          <w:rPr>
            <w:webHidden/>
          </w:rPr>
          <w:tab/>
        </w:r>
        <w:r>
          <w:rPr>
            <w:webHidden/>
          </w:rPr>
          <w:fldChar w:fldCharType="begin"/>
        </w:r>
        <w:r>
          <w:rPr>
            <w:webHidden/>
          </w:rPr>
          <w:instrText xml:space="preserve"> PAGEREF _Toc35861268 \h </w:instrText>
        </w:r>
        <w:r>
          <w:rPr>
            <w:webHidden/>
          </w:rPr>
        </w:r>
        <w:r>
          <w:rPr>
            <w:webHidden/>
          </w:rPr>
          <w:fldChar w:fldCharType="separate"/>
        </w:r>
        <w:r>
          <w:rPr>
            <w:webHidden/>
          </w:rPr>
          <w:t>285</w:t>
        </w:r>
        <w:r>
          <w:rPr>
            <w:webHidden/>
          </w:rPr>
          <w:fldChar w:fldCharType="end"/>
        </w:r>
      </w:hyperlink>
    </w:p>
    <w:p w14:paraId="23C08953" w14:textId="18AA7E7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69" w:history="1">
        <w:r w:rsidRPr="00713F3D">
          <w:rPr>
            <w:rStyle w:val="Hyperlink"/>
            <w:rFonts w:eastAsia="MS Mincho"/>
            <w:b/>
          </w:rPr>
          <w:t xml:space="preserve">Figure B.4. </w:t>
        </w:r>
        <w:r w:rsidRPr="00713F3D">
          <w:rPr>
            <w:rStyle w:val="Hyperlink"/>
            <w:rFonts w:eastAsia="MS Mincho"/>
          </w:rPr>
          <w:t>Modified pseudo van Krevelen diagram for all the 553 Woodford Shale core, cuttings, and outcrop samples. The diagram shows that the source rock intervals are dominated by apparent type I and type II kerogen. Some intervals are in the type III zone because of the type of organic matter and also due to the high thermal maturity, such as the well Ridenour 1-20H. Tmax average of 435 ⁰C.</w:t>
        </w:r>
        <w:r>
          <w:rPr>
            <w:webHidden/>
          </w:rPr>
          <w:tab/>
        </w:r>
        <w:r>
          <w:rPr>
            <w:webHidden/>
          </w:rPr>
          <w:fldChar w:fldCharType="begin"/>
        </w:r>
        <w:r>
          <w:rPr>
            <w:webHidden/>
          </w:rPr>
          <w:instrText xml:space="preserve"> PAGEREF _Toc35861269 \h </w:instrText>
        </w:r>
        <w:r>
          <w:rPr>
            <w:webHidden/>
          </w:rPr>
        </w:r>
        <w:r>
          <w:rPr>
            <w:webHidden/>
          </w:rPr>
          <w:fldChar w:fldCharType="separate"/>
        </w:r>
        <w:r>
          <w:rPr>
            <w:webHidden/>
          </w:rPr>
          <w:t>286</w:t>
        </w:r>
        <w:r>
          <w:rPr>
            <w:webHidden/>
          </w:rPr>
          <w:fldChar w:fldCharType="end"/>
        </w:r>
      </w:hyperlink>
    </w:p>
    <w:p w14:paraId="2C60F092" w14:textId="02A5D9F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0" w:history="1">
        <w:r w:rsidRPr="00713F3D">
          <w:rPr>
            <w:rStyle w:val="Hyperlink"/>
            <w:rFonts w:eastAsia="MS Mincho"/>
            <w:b/>
          </w:rPr>
          <w:t xml:space="preserve">Figure B.5. </w:t>
        </w:r>
        <w:r w:rsidRPr="00713F3D">
          <w:rPr>
            <w:rStyle w:val="Hyperlink"/>
            <w:rFonts w:eastAsia="MS Mincho"/>
          </w:rPr>
          <w:t>S1 vs. TOC plot for identifying the hydrocarbon staining and contamination for all the 553 Woodford Shale samples. The wells Ridenour 1-20H and Cassell 1-25H are the only ones that seem to have been affected by contamination with the drilling mud fluids.  Plot modified from Miceli-Romero (2010) and Albaghdady (2013).</w:t>
        </w:r>
        <w:r>
          <w:rPr>
            <w:webHidden/>
          </w:rPr>
          <w:tab/>
        </w:r>
        <w:r>
          <w:rPr>
            <w:webHidden/>
          </w:rPr>
          <w:fldChar w:fldCharType="begin"/>
        </w:r>
        <w:r>
          <w:rPr>
            <w:webHidden/>
          </w:rPr>
          <w:instrText xml:space="preserve"> PAGEREF _Toc35861270 \h </w:instrText>
        </w:r>
        <w:r>
          <w:rPr>
            <w:webHidden/>
          </w:rPr>
        </w:r>
        <w:r>
          <w:rPr>
            <w:webHidden/>
          </w:rPr>
          <w:fldChar w:fldCharType="separate"/>
        </w:r>
        <w:r>
          <w:rPr>
            <w:webHidden/>
          </w:rPr>
          <w:t>287</w:t>
        </w:r>
        <w:r>
          <w:rPr>
            <w:webHidden/>
          </w:rPr>
          <w:fldChar w:fldCharType="end"/>
        </w:r>
      </w:hyperlink>
    </w:p>
    <w:p w14:paraId="1DF9EC74" w14:textId="6974CFC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1" w:history="1">
        <w:r w:rsidRPr="00713F3D">
          <w:rPr>
            <w:rStyle w:val="Hyperlink"/>
            <w:rFonts w:eastAsia="MS Mincho"/>
            <w:b/>
          </w:rPr>
          <w:t xml:space="preserve">Figure B.6. </w:t>
        </w:r>
        <w:r w:rsidRPr="00713F3D">
          <w:rPr>
            <w:rStyle w:val="Hyperlink"/>
            <w:rFonts w:eastAsia="MS Mincho"/>
          </w:rPr>
          <w:t>Tmax vs. Production Index (PI) plot for estimating thermal maturity for all the 553 Woodford Shale core, cuttings, and outcrop samples. The only samples with high maturity levels are from the Ridenour 1-20H well. All other samples are immature or in the early oil generation window. Plot modified from Miceli-Romero (2010) and Albaghdady (2013).</w:t>
        </w:r>
        <w:r>
          <w:rPr>
            <w:webHidden/>
          </w:rPr>
          <w:tab/>
        </w:r>
        <w:r>
          <w:rPr>
            <w:webHidden/>
          </w:rPr>
          <w:fldChar w:fldCharType="begin"/>
        </w:r>
        <w:r>
          <w:rPr>
            <w:webHidden/>
          </w:rPr>
          <w:instrText xml:space="preserve"> PAGEREF _Toc35861271 \h </w:instrText>
        </w:r>
        <w:r>
          <w:rPr>
            <w:webHidden/>
          </w:rPr>
        </w:r>
        <w:r>
          <w:rPr>
            <w:webHidden/>
          </w:rPr>
          <w:fldChar w:fldCharType="separate"/>
        </w:r>
        <w:r>
          <w:rPr>
            <w:webHidden/>
          </w:rPr>
          <w:t>288</w:t>
        </w:r>
        <w:r>
          <w:rPr>
            <w:webHidden/>
          </w:rPr>
          <w:fldChar w:fldCharType="end"/>
        </w:r>
      </w:hyperlink>
    </w:p>
    <w:p w14:paraId="17F0E8B2" w14:textId="1B3AFA5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2" w:history="1">
        <w:r w:rsidRPr="00713F3D">
          <w:rPr>
            <w:rStyle w:val="Hyperlink"/>
            <w:rFonts w:eastAsia="MS Mincho"/>
            <w:b/>
          </w:rPr>
          <w:t xml:space="preserve">Figure B.7. </w:t>
        </w:r>
        <w:r w:rsidRPr="00713F3D">
          <w:rPr>
            <w:rStyle w:val="Hyperlink"/>
            <w:rFonts w:eastAsia="MS Mincho"/>
          </w:rPr>
          <w:t>Diagram of TOC vs. total generation potential (S1+S2), which illustrates the source rock intervals that reached the hydrocarbon generation conditions (potential or active source rocks). All locations analyzed have rock intervals that reached the conditions of enough organic matter and maturity to generate hydrocarbons.</w:t>
        </w:r>
        <w:r>
          <w:rPr>
            <w:webHidden/>
          </w:rPr>
          <w:tab/>
        </w:r>
        <w:r>
          <w:rPr>
            <w:webHidden/>
          </w:rPr>
          <w:fldChar w:fldCharType="begin"/>
        </w:r>
        <w:r>
          <w:rPr>
            <w:webHidden/>
          </w:rPr>
          <w:instrText xml:space="preserve"> PAGEREF _Toc35861272 \h </w:instrText>
        </w:r>
        <w:r>
          <w:rPr>
            <w:webHidden/>
          </w:rPr>
        </w:r>
        <w:r>
          <w:rPr>
            <w:webHidden/>
          </w:rPr>
          <w:fldChar w:fldCharType="separate"/>
        </w:r>
        <w:r>
          <w:rPr>
            <w:webHidden/>
          </w:rPr>
          <w:t>289</w:t>
        </w:r>
        <w:r>
          <w:rPr>
            <w:webHidden/>
          </w:rPr>
          <w:fldChar w:fldCharType="end"/>
        </w:r>
      </w:hyperlink>
    </w:p>
    <w:p w14:paraId="101BC43E" w14:textId="0981CDE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3" w:history="1">
        <w:r w:rsidRPr="00713F3D">
          <w:rPr>
            <w:rStyle w:val="Hyperlink"/>
            <w:rFonts w:eastAsia="MS Mincho"/>
            <w:b/>
          </w:rPr>
          <w:t>Figure B.8.</w:t>
        </w:r>
        <w:r w:rsidRPr="00713F3D">
          <w:rPr>
            <w:rStyle w:val="Hyperlink"/>
            <w:rFonts w:eastAsia="MS Mincho"/>
          </w:rPr>
          <w:t xml:space="preserve"> HI vs. Tmax plot showing maturity and kerogen type for all the 553 Woodford Shale core, cuttings, and outcrop samples. Most of the samples plot on the type II kerogen yield, some </w:t>
        </w:r>
        <w:r w:rsidRPr="00713F3D">
          <w:rPr>
            <w:rStyle w:val="Hyperlink"/>
            <w:rFonts w:eastAsia="MS Mincho"/>
          </w:rPr>
          <w:lastRenderedPageBreak/>
          <w:t>in the type I kerogen, some in type III. The Ridenour 1-20H well shows a high maturity level and apparent type III kerogen because of the depletion of HI by thermal cracking.</w:t>
        </w:r>
        <w:r>
          <w:rPr>
            <w:webHidden/>
          </w:rPr>
          <w:tab/>
        </w:r>
        <w:r>
          <w:rPr>
            <w:webHidden/>
          </w:rPr>
          <w:fldChar w:fldCharType="begin"/>
        </w:r>
        <w:r>
          <w:rPr>
            <w:webHidden/>
          </w:rPr>
          <w:instrText xml:space="preserve"> PAGEREF _Toc35861273 \h </w:instrText>
        </w:r>
        <w:r>
          <w:rPr>
            <w:webHidden/>
          </w:rPr>
        </w:r>
        <w:r>
          <w:rPr>
            <w:webHidden/>
          </w:rPr>
          <w:fldChar w:fldCharType="separate"/>
        </w:r>
        <w:r>
          <w:rPr>
            <w:webHidden/>
          </w:rPr>
          <w:t>290</w:t>
        </w:r>
        <w:r>
          <w:rPr>
            <w:webHidden/>
          </w:rPr>
          <w:fldChar w:fldCharType="end"/>
        </w:r>
      </w:hyperlink>
    </w:p>
    <w:p w14:paraId="14442E41" w14:textId="2743A4A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4" w:history="1">
        <w:r w:rsidRPr="00713F3D">
          <w:rPr>
            <w:rStyle w:val="Hyperlink"/>
            <w:rFonts w:eastAsia="MS Mincho"/>
            <w:b/>
          </w:rPr>
          <w:t xml:space="preserve">Figure B.9. </w:t>
        </w:r>
        <w:r w:rsidRPr="00713F3D">
          <w:rPr>
            <w:rStyle w:val="Hyperlink"/>
            <w:rFonts w:eastAsia="MS Mincho"/>
          </w:rPr>
          <w:t>Rock-Eval remaining hydrocarbon potential (S</w:t>
        </w:r>
        <w:r w:rsidRPr="00713F3D">
          <w:rPr>
            <w:rStyle w:val="Hyperlink"/>
            <w:rFonts w:eastAsia="MS Mincho"/>
            <w:vertAlign w:val="subscript"/>
          </w:rPr>
          <w:t>2</w:t>
        </w:r>
        <w:r w:rsidRPr="00713F3D">
          <w:rPr>
            <w:rStyle w:val="Hyperlink"/>
            <w:rFonts w:eastAsia="MS Mincho"/>
          </w:rPr>
          <w:t>) vs. TOC plot for determination of kerogen type and maturity for all the 553 Woodford Shale core, cuttings, and outcrop samples. Note that most of the samples plot in the type II Kerogen area, but some are in the type I kerogen yield. The Ridenour 1-20H well shows a high maturity level and apparent type III kerogen because of the depletion of S2 by thermal cracking.</w:t>
        </w:r>
        <w:r>
          <w:rPr>
            <w:webHidden/>
          </w:rPr>
          <w:tab/>
        </w:r>
        <w:r>
          <w:rPr>
            <w:webHidden/>
          </w:rPr>
          <w:fldChar w:fldCharType="begin"/>
        </w:r>
        <w:r>
          <w:rPr>
            <w:webHidden/>
          </w:rPr>
          <w:instrText xml:space="preserve"> PAGEREF _Toc35861274 \h </w:instrText>
        </w:r>
        <w:r>
          <w:rPr>
            <w:webHidden/>
          </w:rPr>
        </w:r>
        <w:r>
          <w:rPr>
            <w:webHidden/>
          </w:rPr>
          <w:fldChar w:fldCharType="separate"/>
        </w:r>
        <w:r>
          <w:rPr>
            <w:webHidden/>
          </w:rPr>
          <w:t>291</w:t>
        </w:r>
        <w:r>
          <w:rPr>
            <w:webHidden/>
          </w:rPr>
          <w:fldChar w:fldCharType="end"/>
        </w:r>
      </w:hyperlink>
    </w:p>
    <w:p w14:paraId="16AF4224" w14:textId="16D8F30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5" w:history="1">
        <w:r w:rsidRPr="00713F3D">
          <w:rPr>
            <w:rStyle w:val="Hyperlink"/>
            <w:rFonts w:eastAsia="MS Mincho"/>
            <w:b/>
          </w:rPr>
          <w:t xml:space="preserve">Figure B.10. </w:t>
        </w:r>
        <w:r w:rsidRPr="00713F3D">
          <w:rPr>
            <w:rStyle w:val="Hyperlink"/>
            <w:rFonts w:eastAsia="MS Mincho"/>
          </w:rPr>
          <w:t>TOC, relative hydrocarbon potential (RHP), and Tmax maturity variations along with the Wyche-1 core. The purple dashed horizontal lines correspond to Woodford Shale member tops, and brown dashed horizontal line corresponds to the top of a maximum flooding surface (SB) and start of the highstand system tract (HST) facies towards the Woodford Shale top. All samples are immature (Tmax &lt; 435 °C) with an average of 422°C of Tmax.</w:t>
        </w:r>
        <w:r>
          <w:rPr>
            <w:webHidden/>
          </w:rPr>
          <w:tab/>
        </w:r>
        <w:r>
          <w:rPr>
            <w:webHidden/>
          </w:rPr>
          <w:fldChar w:fldCharType="begin"/>
        </w:r>
        <w:r>
          <w:rPr>
            <w:webHidden/>
          </w:rPr>
          <w:instrText xml:space="preserve"> PAGEREF _Toc35861275 \h </w:instrText>
        </w:r>
        <w:r>
          <w:rPr>
            <w:webHidden/>
          </w:rPr>
        </w:r>
        <w:r>
          <w:rPr>
            <w:webHidden/>
          </w:rPr>
          <w:fldChar w:fldCharType="separate"/>
        </w:r>
        <w:r>
          <w:rPr>
            <w:webHidden/>
          </w:rPr>
          <w:t>293</w:t>
        </w:r>
        <w:r>
          <w:rPr>
            <w:webHidden/>
          </w:rPr>
          <w:fldChar w:fldCharType="end"/>
        </w:r>
      </w:hyperlink>
    </w:p>
    <w:p w14:paraId="5C892057" w14:textId="7094AB2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6" w:history="1">
        <w:r w:rsidRPr="00713F3D">
          <w:rPr>
            <w:rStyle w:val="Hyperlink"/>
            <w:rFonts w:eastAsia="MS Mincho"/>
            <w:b/>
          </w:rPr>
          <w:t xml:space="preserve">Figure B.11. </w:t>
        </w:r>
        <w:r w:rsidRPr="00713F3D">
          <w:rPr>
            <w:rStyle w:val="Hyperlink"/>
            <w:rFonts w:eastAsia="MS Mincho"/>
          </w:rPr>
          <w:t>Modified pseudo van Krevelen diagram for all the 59 core samples of Woodford Shale Wyche-1 core. The diagram shows that the source rock intervals are dominated by apparent type I and type II kerogen. There are no samples which plot in the type III area, maybe because the core is immature and usually the hydrogen index gets depleted with thermal cracking, and these core samples are showing original conditions of the organic matter types. All three Woodford Shale members have apparent type I kerogen samples. Tmax average of 422 ⁰C.</w:t>
        </w:r>
        <w:r>
          <w:rPr>
            <w:webHidden/>
          </w:rPr>
          <w:tab/>
        </w:r>
        <w:r>
          <w:rPr>
            <w:webHidden/>
          </w:rPr>
          <w:fldChar w:fldCharType="begin"/>
        </w:r>
        <w:r>
          <w:rPr>
            <w:webHidden/>
          </w:rPr>
          <w:instrText xml:space="preserve"> PAGEREF _Toc35861276 \h </w:instrText>
        </w:r>
        <w:r>
          <w:rPr>
            <w:webHidden/>
          </w:rPr>
        </w:r>
        <w:r>
          <w:rPr>
            <w:webHidden/>
          </w:rPr>
          <w:fldChar w:fldCharType="separate"/>
        </w:r>
        <w:r>
          <w:rPr>
            <w:webHidden/>
          </w:rPr>
          <w:t>294</w:t>
        </w:r>
        <w:r>
          <w:rPr>
            <w:webHidden/>
          </w:rPr>
          <w:fldChar w:fldCharType="end"/>
        </w:r>
      </w:hyperlink>
    </w:p>
    <w:p w14:paraId="13AA8B77" w14:textId="15B88A8C"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7" w:history="1">
        <w:r w:rsidRPr="00713F3D">
          <w:rPr>
            <w:rStyle w:val="Hyperlink"/>
            <w:rFonts w:eastAsia="MS Mincho"/>
            <w:b/>
          </w:rPr>
          <w:t xml:space="preserve">Figure B.12. </w:t>
        </w:r>
        <w:r w:rsidRPr="00713F3D">
          <w:rPr>
            <w:rStyle w:val="Hyperlink"/>
            <w:rFonts w:eastAsia="MS Mincho"/>
          </w:rPr>
          <w:t>Rock-Eval remaining hydrocarbon potential (S2) vs. TOC plot for determination of kerogen type and maturity for all the 59 Wyche-1 Woodford Shale core samples. Note that most of the samples plot in the type II kerogen area, but some are in the type I kerogen yield, mainly for the Upper Woodford member and one for the Middle and one sample for the Lower member. There is not any apparent type III kerogen because of the depletion of S2 by the thermal cracking. Also, no samples plot in the lean organic area.</w:t>
        </w:r>
        <w:r>
          <w:rPr>
            <w:webHidden/>
          </w:rPr>
          <w:tab/>
        </w:r>
        <w:r>
          <w:rPr>
            <w:webHidden/>
          </w:rPr>
          <w:fldChar w:fldCharType="begin"/>
        </w:r>
        <w:r>
          <w:rPr>
            <w:webHidden/>
          </w:rPr>
          <w:instrText xml:space="preserve"> PAGEREF _Toc35861277 \h </w:instrText>
        </w:r>
        <w:r>
          <w:rPr>
            <w:webHidden/>
          </w:rPr>
        </w:r>
        <w:r>
          <w:rPr>
            <w:webHidden/>
          </w:rPr>
          <w:fldChar w:fldCharType="separate"/>
        </w:r>
        <w:r>
          <w:rPr>
            <w:webHidden/>
          </w:rPr>
          <w:t>295</w:t>
        </w:r>
        <w:r>
          <w:rPr>
            <w:webHidden/>
          </w:rPr>
          <w:fldChar w:fldCharType="end"/>
        </w:r>
      </w:hyperlink>
    </w:p>
    <w:p w14:paraId="10B51040" w14:textId="40DBE7F6"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8" w:history="1">
        <w:r w:rsidRPr="00713F3D">
          <w:rPr>
            <w:rStyle w:val="Hyperlink"/>
            <w:rFonts w:eastAsia="MS Mincho"/>
            <w:b/>
          </w:rPr>
          <w:t xml:space="preserve">Figure B.13. </w:t>
        </w:r>
        <w:r w:rsidRPr="00713F3D">
          <w:rPr>
            <w:rStyle w:val="Hyperlink"/>
            <w:rFonts w:eastAsia="MS Mincho"/>
          </w:rPr>
          <w:t>TOC, relative hydrocarbon potential (RHP), and Tmax maturity variations along with the East Fitts 9-41 well core. The purple dashed horizontal lines correspond to Woodford Shale's Lower member. All samples are immature (Tmax &lt; 435 °C), with an average of 425.63°C of Tmax.</w:t>
        </w:r>
        <w:r>
          <w:rPr>
            <w:webHidden/>
          </w:rPr>
          <w:tab/>
        </w:r>
        <w:r>
          <w:rPr>
            <w:webHidden/>
          </w:rPr>
          <w:fldChar w:fldCharType="begin"/>
        </w:r>
        <w:r>
          <w:rPr>
            <w:webHidden/>
          </w:rPr>
          <w:instrText xml:space="preserve"> PAGEREF _Toc35861278 \h </w:instrText>
        </w:r>
        <w:r>
          <w:rPr>
            <w:webHidden/>
          </w:rPr>
        </w:r>
        <w:r>
          <w:rPr>
            <w:webHidden/>
          </w:rPr>
          <w:fldChar w:fldCharType="separate"/>
        </w:r>
        <w:r>
          <w:rPr>
            <w:webHidden/>
          </w:rPr>
          <w:t>296</w:t>
        </w:r>
        <w:r>
          <w:rPr>
            <w:webHidden/>
          </w:rPr>
          <w:fldChar w:fldCharType="end"/>
        </w:r>
      </w:hyperlink>
    </w:p>
    <w:p w14:paraId="0D3D2DB0" w14:textId="1938346A"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79" w:history="1">
        <w:r w:rsidRPr="00713F3D">
          <w:rPr>
            <w:rStyle w:val="Hyperlink"/>
            <w:rFonts w:eastAsia="MS Mincho"/>
            <w:b/>
          </w:rPr>
          <w:t xml:space="preserve">Figure B.14. </w:t>
        </w:r>
        <w:r w:rsidRPr="00713F3D">
          <w:rPr>
            <w:rStyle w:val="Hyperlink"/>
            <w:rFonts w:eastAsia="MS Mincho"/>
          </w:rPr>
          <w:t>Modified pseudo van Krevelen diagram for all the 59 core samples of Woodford Shale East Fitts 9-41 core. Note that all the samples plot in an apparent type I kerogen.</w:t>
        </w:r>
        <w:r>
          <w:rPr>
            <w:webHidden/>
          </w:rPr>
          <w:tab/>
        </w:r>
        <w:r>
          <w:rPr>
            <w:webHidden/>
          </w:rPr>
          <w:fldChar w:fldCharType="begin"/>
        </w:r>
        <w:r>
          <w:rPr>
            <w:webHidden/>
          </w:rPr>
          <w:instrText xml:space="preserve"> PAGEREF _Toc35861279 \h </w:instrText>
        </w:r>
        <w:r>
          <w:rPr>
            <w:webHidden/>
          </w:rPr>
        </w:r>
        <w:r>
          <w:rPr>
            <w:webHidden/>
          </w:rPr>
          <w:fldChar w:fldCharType="separate"/>
        </w:r>
        <w:r>
          <w:rPr>
            <w:webHidden/>
          </w:rPr>
          <w:t>297</w:t>
        </w:r>
        <w:r>
          <w:rPr>
            <w:webHidden/>
          </w:rPr>
          <w:fldChar w:fldCharType="end"/>
        </w:r>
      </w:hyperlink>
    </w:p>
    <w:p w14:paraId="7F0E6285" w14:textId="12B9AAA7"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0" w:history="1">
        <w:r w:rsidRPr="00713F3D">
          <w:rPr>
            <w:rStyle w:val="Hyperlink"/>
            <w:rFonts w:eastAsia="MS Mincho"/>
            <w:b/>
          </w:rPr>
          <w:t xml:space="preserve">Figure B.15. </w:t>
        </w:r>
        <w:r w:rsidRPr="00713F3D">
          <w:rPr>
            <w:rStyle w:val="Hyperlink"/>
            <w:rFonts w:eastAsia="MS Mincho"/>
          </w:rPr>
          <w:t>Rock-Eval remaining hydrocarbon potential (S2) vs. TOC plot for determination of kerogen type and maturity for all the 22 East Fitts 9-41 Woodford Shale core samples. Note that most of the samples plot in the type I kerogen for the Lower Woodford member, and type II kerogen yield mainly for the Middle Woodford member. There is not any apparent type III kerogen because the depletion of S2 by the thermal cracking is absent due to the low maturity of the samples. Also, there is one sample that plots in the lean organic area of the Lower Woodford member.</w:t>
        </w:r>
        <w:r>
          <w:rPr>
            <w:webHidden/>
          </w:rPr>
          <w:tab/>
        </w:r>
        <w:r>
          <w:rPr>
            <w:webHidden/>
          </w:rPr>
          <w:fldChar w:fldCharType="begin"/>
        </w:r>
        <w:r>
          <w:rPr>
            <w:webHidden/>
          </w:rPr>
          <w:instrText xml:space="preserve"> PAGEREF _Toc35861280 \h </w:instrText>
        </w:r>
        <w:r>
          <w:rPr>
            <w:webHidden/>
          </w:rPr>
        </w:r>
        <w:r>
          <w:rPr>
            <w:webHidden/>
          </w:rPr>
          <w:fldChar w:fldCharType="separate"/>
        </w:r>
        <w:r>
          <w:rPr>
            <w:webHidden/>
          </w:rPr>
          <w:t>297</w:t>
        </w:r>
        <w:r>
          <w:rPr>
            <w:webHidden/>
          </w:rPr>
          <w:fldChar w:fldCharType="end"/>
        </w:r>
      </w:hyperlink>
    </w:p>
    <w:p w14:paraId="65E68140" w14:textId="01ACA18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1" w:history="1">
        <w:r w:rsidRPr="00713F3D">
          <w:rPr>
            <w:rStyle w:val="Hyperlink"/>
            <w:rFonts w:eastAsia="MS Mincho"/>
            <w:b/>
          </w:rPr>
          <w:t xml:space="preserve">Figure B.16. </w:t>
        </w:r>
        <w:r w:rsidRPr="00713F3D">
          <w:rPr>
            <w:rStyle w:val="Hyperlink"/>
            <w:rFonts w:eastAsia="MS Mincho"/>
          </w:rPr>
          <w:t>TOC, relative hydrocarbon potential (RHP), and Tmax maturity variations along with the Ridenour Hill 1-20H well core. The purple dashed horizontal lines correspond to Woodford Shale member tops and at the base to the contact with the Hunton group. All samples are over-mature (Tmax &gt; 470 °C) with an average of close to 480°C of Tmax.</w:t>
        </w:r>
        <w:r>
          <w:rPr>
            <w:webHidden/>
          </w:rPr>
          <w:tab/>
        </w:r>
        <w:r>
          <w:rPr>
            <w:webHidden/>
          </w:rPr>
          <w:fldChar w:fldCharType="begin"/>
        </w:r>
        <w:r>
          <w:rPr>
            <w:webHidden/>
          </w:rPr>
          <w:instrText xml:space="preserve"> PAGEREF _Toc35861281 \h </w:instrText>
        </w:r>
        <w:r>
          <w:rPr>
            <w:webHidden/>
          </w:rPr>
        </w:r>
        <w:r>
          <w:rPr>
            <w:webHidden/>
          </w:rPr>
          <w:fldChar w:fldCharType="separate"/>
        </w:r>
        <w:r>
          <w:rPr>
            <w:webHidden/>
          </w:rPr>
          <w:t>298</w:t>
        </w:r>
        <w:r>
          <w:rPr>
            <w:webHidden/>
          </w:rPr>
          <w:fldChar w:fldCharType="end"/>
        </w:r>
      </w:hyperlink>
    </w:p>
    <w:p w14:paraId="56F954AE" w14:textId="4FD1A1E3"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2" w:history="1">
        <w:r w:rsidRPr="00713F3D">
          <w:rPr>
            <w:rStyle w:val="Hyperlink"/>
            <w:rFonts w:eastAsia="MS Mincho"/>
            <w:b/>
          </w:rPr>
          <w:t xml:space="preserve">Figure B.17. </w:t>
        </w:r>
        <w:r w:rsidRPr="00713F3D">
          <w:rPr>
            <w:rStyle w:val="Hyperlink"/>
            <w:rFonts w:eastAsia="MS Mincho"/>
          </w:rPr>
          <w:t>Modified pseudo van Krevelen diagram for the core samples of Woodford Shale Ridenour Hill 1-20H core. The diagram shows the source rock intervals are dominated by apparent type III kerogen, but this is an artifact due to the high thermal maturity level reached in this location.  Usually, the hydrogen index becomes depleted with thermal cracking, and these core samples are not showing original conditions of the organic matter types. For this reason, the Rock-Eval pyrolysis analysis is not a good indicator of organic facies within this core.</w:t>
        </w:r>
        <w:r>
          <w:rPr>
            <w:webHidden/>
          </w:rPr>
          <w:tab/>
        </w:r>
        <w:r>
          <w:rPr>
            <w:webHidden/>
          </w:rPr>
          <w:fldChar w:fldCharType="begin"/>
        </w:r>
        <w:r>
          <w:rPr>
            <w:webHidden/>
          </w:rPr>
          <w:instrText xml:space="preserve"> PAGEREF _Toc35861282 \h </w:instrText>
        </w:r>
        <w:r>
          <w:rPr>
            <w:webHidden/>
          </w:rPr>
        </w:r>
        <w:r>
          <w:rPr>
            <w:webHidden/>
          </w:rPr>
          <w:fldChar w:fldCharType="separate"/>
        </w:r>
        <w:r>
          <w:rPr>
            <w:webHidden/>
          </w:rPr>
          <w:t>299</w:t>
        </w:r>
        <w:r>
          <w:rPr>
            <w:webHidden/>
          </w:rPr>
          <w:fldChar w:fldCharType="end"/>
        </w:r>
      </w:hyperlink>
    </w:p>
    <w:p w14:paraId="36328EA6" w14:textId="15A2431D"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3" w:history="1">
        <w:r w:rsidRPr="00713F3D">
          <w:rPr>
            <w:rStyle w:val="Hyperlink"/>
            <w:rFonts w:eastAsia="MS Mincho"/>
            <w:b/>
          </w:rPr>
          <w:t xml:space="preserve">Figure B.18. </w:t>
        </w:r>
        <w:r w:rsidRPr="00713F3D">
          <w:rPr>
            <w:rStyle w:val="Hyperlink"/>
            <w:rFonts w:eastAsia="MS Mincho"/>
          </w:rPr>
          <w:t>TOC, relative hydrocarbon potential (RHP), and Tmax maturity variations along the McAlister quarry outcrop. The purple dashed horizontal lines correspond to Woodford Shale member tops and at the base to the contact with the Hunton group. All samples are immature (Tmax &lt;435 °C) with an average of close to 420°C of Tmax.</w:t>
        </w:r>
        <w:r>
          <w:rPr>
            <w:webHidden/>
          </w:rPr>
          <w:tab/>
        </w:r>
        <w:r>
          <w:rPr>
            <w:webHidden/>
          </w:rPr>
          <w:fldChar w:fldCharType="begin"/>
        </w:r>
        <w:r>
          <w:rPr>
            <w:webHidden/>
          </w:rPr>
          <w:instrText xml:space="preserve"> PAGEREF _Toc35861283 \h </w:instrText>
        </w:r>
        <w:r>
          <w:rPr>
            <w:webHidden/>
          </w:rPr>
        </w:r>
        <w:r>
          <w:rPr>
            <w:webHidden/>
          </w:rPr>
          <w:fldChar w:fldCharType="separate"/>
        </w:r>
        <w:r>
          <w:rPr>
            <w:webHidden/>
          </w:rPr>
          <w:t>300</w:t>
        </w:r>
        <w:r>
          <w:rPr>
            <w:webHidden/>
          </w:rPr>
          <w:fldChar w:fldCharType="end"/>
        </w:r>
      </w:hyperlink>
    </w:p>
    <w:p w14:paraId="4C973E4F" w14:textId="18EF8DB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4" w:history="1">
        <w:r w:rsidRPr="00713F3D">
          <w:rPr>
            <w:rStyle w:val="Hyperlink"/>
            <w:rFonts w:eastAsia="MS Mincho"/>
            <w:b/>
          </w:rPr>
          <w:t xml:space="preserve">Figure B.19. </w:t>
        </w:r>
        <w:r w:rsidRPr="00713F3D">
          <w:rPr>
            <w:rStyle w:val="Hyperlink"/>
            <w:rFonts w:eastAsia="MS Mincho"/>
          </w:rPr>
          <w:t>Modified pseudo van Krevelen diagram for the outcrop samples of Woodford Shale McAlister quarry. The diagram shows the source rock intervals are dominated by apparent type I and type II kerogen. Also, type III kerogen occurs primarily in the Upper member is not an artifact due to the high thermal maturity level reached in this location because samples are immature.   Usually, the hydrogen index becomes depleted with thermal cracking, and these core samples are not showing original conditions of the organic matter types. For this reason, the rock eval pyrolysis analysis is a good indicator of organic facies within this outcrop section.</w:t>
        </w:r>
        <w:r>
          <w:rPr>
            <w:webHidden/>
          </w:rPr>
          <w:tab/>
        </w:r>
        <w:r>
          <w:rPr>
            <w:webHidden/>
          </w:rPr>
          <w:fldChar w:fldCharType="begin"/>
        </w:r>
        <w:r>
          <w:rPr>
            <w:webHidden/>
          </w:rPr>
          <w:instrText xml:space="preserve"> PAGEREF _Toc35861284 \h </w:instrText>
        </w:r>
        <w:r>
          <w:rPr>
            <w:webHidden/>
          </w:rPr>
        </w:r>
        <w:r>
          <w:rPr>
            <w:webHidden/>
          </w:rPr>
          <w:fldChar w:fldCharType="separate"/>
        </w:r>
        <w:r>
          <w:rPr>
            <w:webHidden/>
          </w:rPr>
          <w:t>301</w:t>
        </w:r>
        <w:r>
          <w:rPr>
            <w:webHidden/>
          </w:rPr>
          <w:fldChar w:fldCharType="end"/>
        </w:r>
      </w:hyperlink>
    </w:p>
    <w:p w14:paraId="613E4BE4" w14:textId="434E2191"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5" w:history="1">
        <w:r w:rsidRPr="00713F3D">
          <w:rPr>
            <w:rStyle w:val="Hyperlink"/>
            <w:rFonts w:eastAsia="MS Mincho"/>
            <w:b/>
          </w:rPr>
          <w:t xml:space="preserve">Figure B.20. </w:t>
        </w:r>
        <w:r w:rsidRPr="00713F3D">
          <w:rPr>
            <w:rStyle w:val="Hyperlink"/>
            <w:rFonts w:eastAsia="MS Mincho"/>
          </w:rPr>
          <w:t>Rock-Eval remaining hydrocarbon potential (S2) vs. TOC plot for determination of kerogen type and maturity for all the 47 McAlister quarry Woodford Shale outcrop samples. Note that most of the samples plot in the type II Kerogen range for the Lower and Middle Woodford members, and some type I kerogen yield mainly for the Middle Woodford and Upper member. There are not many apparent type III kerogen samples because of a lack of depletion of S2 by thermal cracking, due to the low maturity of the samples. Also, a few samples are plotting in the lean organic area of the Upper Woodford member.</w:t>
        </w:r>
        <w:r>
          <w:rPr>
            <w:webHidden/>
          </w:rPr>
          <w:tab/>
        </w:r>
        <w:r>
          <w:rPr>
            <w:webHidden/>
          </w:rPr>
          <w:fldChar w:fldCharType="begin"/>
        </w:r>
        <w:r>
          <w:rPr>
            <w:webHidden/>
          </w:rPr>
          <w:instrText xml:space="preserve"> PAGEREF _Toc35861285 \h </w:instrText>
        </w:r>
        <w:r>
          <w:rPr>
            <w:webHidden/>
          </w:rPr>
        </w:r>
        <w:r>
          <w:rPr>
            <w:webHidden/>
          </w:rPr>
          <w:fldChar w:fldCharType="separate"/>
        </w:r>
        <w:r>
          <w:rPr>
            <w:webHidden/>
          </w:rPr>
          <w:t>302</w:t>
        </w:r>
        <w:r>
          <w:rPr>
            <w:webHidden/>
          </w:rPr>
          <w:fldChar w:fldCharType="end"/>
        </w:r>
      </w:hyperlink>
    </w:p>
    <w:p w14:paraId="2DF258F3" w14:textId="74905420"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6" w:history="1">
        <w:r w:rsidRPr="00713F3D">
          <w:rPr>
            <w:rStyle w:val="Hyperlink"/>
            <w:rFonts w:eastAsia="MS Mincho"/>
            <w:b/>
          </w:rPr>
          <w:t xml:space="preserve">Figure B.21. </w:t>
        </w:r>
        <w:r w:rsidRPr="00713F3D">
          <w:rPr>
            <w:rStyle w:val="Hyperlink"/>
            <w:rFonts w:eastAsia="MS Mincho"/>
          </w:rPr>
          <w:t>TOC, relative hydrocarbon potential (RHP), and Tmax maturity variations along with the West Star Ray 1013 core. The purple dashed horizontal lines correspond to Woodford Shale member tops and at the base to the contact with the Hunton group. Most of the samples are immature (Tmax &lt;435 °C), with an average of 430°C of Tmax. Some samples show new oil generation thermal maturity.</w:t>
        </w:r>
        <w:r>
          <w:rPr>
            <w:webHidden/>
          </w:rPr>
          <w:tab/>
        </w:r>
        <w:r>
          <w:rPr>
            <w:webHidden/>
          </w:rPr>
          <w:fldChar w:fldCharType="begin"/>
        </w:r>
        <w:r>
          <w:rPr>
            <w:webHidden/>
          </w:rPr>
          <w:instrText xml:space="preserve"> PAGEREF _Toc35861286 \h </w:instrText>
        </w:r>
        <w:r>
          <w:rPr>
            <w:webHidden/>
          </w:rPr>
        </w:r>
        <w:r>
          <w:rPr>
            <w:webHidden/>
          </w:rPr>
          <w:fldChar w:fldCharType="separate"/>
        </w:r>
        <w:r>
          <w:rPr>
            <w:webHidden/>
          </w:rPr>
          <w:t>303</w:t>
        </w:r>
        <w:r>
          <w:rPr>
            <w:webHidden/>
          </w:rPr>
          <w:fldChar w:fldCharType="end"/>
        </w:r>
      </w:hyperlink>
    </w:p>
    <w:p w14:paraId="454B2410" w14:textId="59E71D2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7" w:history="1">
        <w:r w:rsidRPr="00713F3D">
          <w:rPr>
            <w:rStyle w:val="Hyperlink"/>
            <w:rFonts w:eastAsia="MS Mincho"/>
            <w:b/>
          </w:rPr>
          <w:t xml:space="preserve">Figure B.22. </w:t>
        </w:r>
        <w:r w:rsidRPr="00713F3D">
          <w:rPr>
            <w:rStyle w:val="Hyperlink"/>
            <w:rFonts w:eastAsia="MS Mincho"/>
          </w:rPr>
          <w:t>Modified pseudo van Krevelen diagram for the samples of Woodford Shale West Star Ray 1-13 core. The diagram shows the source rock intervals are dominated by apparent type I kerogen. This apparent type I yield is due to the very low oxygen index content that plots the samples on the type I yield. Special consideration must be considered to see if these samples are correct to type I kerogen, or there is a possibility of high molecular sulfur within the organic matter which sequestrates the atomic oxygen, therefore, obtaining low OI values from the Rock-Eval pyrolysis analyses.</w:t>
        </w:r>
        <w:r>
          <w:rPr>
            <w:webHidden/>
          </w:rPr>
          <w:tab/>
        </w:r>
        <w:r>
          <w:rPr>
            <w:webHidden/>
          </w:rPr>
          <w:fldChar w:fldCharType="begin"/>
        </w:r>
        <w:r>
          <w:rPr>
            <w:webHidden/>
          </w:rPr>
          <w:instrText xml:space="preserve"> PAGEREF _Toc35861287 \h </w:instrText>
        </w:r>
        <w:r>
          <w:rPr>
            <w:webHidden/>
          </w:rPr>
        </w:r>
        <w:r>
          <w:rPr>
            <w:webHidden/>
          </w:rPr>
          <w:fldChar w:fldCharType="separate"/>
        </w:r>
        <w:r>
          <w:rPr>
            <w:webHidden/>
          </w:rPr>
          <w:t>304</w:t>
        </w:r>
        <w:r>
          <w:rPr>
            <w:webHidden/>
          </w:rPr>
          <w:fldChar w:fldCharType="end"/>
        </w:r>
      </w:hyperlink>
    </w:p>
    <w:p w14:paraId="6EB36615" w14:textId="276A43D2" w:rsidR="00BD7E1A" w:rsidRDefault="00BD7E1A">
      <w:pPr>
        <w:pStyle w:val="TableofFigures"/>
        <w:tabs>
          <w:tab w:val="left" w:pos="1540"/>
          <w:tab w:val="right" w:leader="dot" w:pos="9350"/>
        </w:tabs>
        <w:rPr>
          <w:rFonts w:asciiTheme="minorHAnsi" w:eastAsiaTheme="minorEastAsia" w:hAnsiTheme="minorHAnsi" w:cstheme="minorBidi"/>
          <w:bCs w:val="0"/>
          <w:sz w:val="22"/>
          <w:szCs w:val="22"/>
          <w:lang w:eastAsia="en-US" w:bidi="ar-SA"/>
        </w:rPr>
      </w:pPr>
      <w:hyperlink w:anchor="_Toc35861288" w:history="1">
        <w:r w:rsidRPr="00713F3D">
          <w:rPr>
            <w:rStyle w:val="Hyperlink"/>
            <w:rFonts w:eastAsia="MS Mincho"/>
            <w:b/>
          </w:rPr>
          <w:t>Figure B.23.</w:t>
        </w:r>
        <w:r>
          <w:rPr>
            <w:rFonts w:asciiTheme="minorHAnsi" w:eastAsiaTheme="minorEastAsia" w:hAnsiTheme="minorHAnsi" w:cstheme="minorBidi"/>
            <w:bCs w:val="0"/>
            <w:sz w:val="22"/>
            <w:szCs w:val="22"/>
            <w:lang w:eastAsia="en-US" w:bidi="ar-SA"/>
          </w:rPr>
          <w:tab/>
        </w:r>
        <w:r w:rsidRPr="00713F3D">
          <w:rPr>
            <w:rStyle w:val="Hyperlink"/>
            <w:rFonts w:eastAsia="MS Mincho"/>
          </w:rPr>
          <w:t>HI vs. Tmax plot showing maturity and kerogen type for all the 24 Woodford Shale core samples of the West Star Ray 1-13 well. Most of the samples plot on the type II kerogen yield, some in the type I kerogen, most of which are from the Lower Woodford member. All samples are of low thermal maturity; therefore, the kerogen type yields might illustrate depositional organic facies conditions.</w:t>
        </w:r>
        <w:r>
          <w:rPr>
            <w:webHidden/>
          </w:rPr>
          <w:tab/>
        </w:r>
        <w:r>
          <w:rPr>
            <w:webHidden/>
          </w:rPr>
          <w:fldChar w:fldCharType="begin"/>
        </w:r>
        <w:r>
          <w:rPr>
            <w:webHidden/>
          </w:rPr>
          <w:instrText xml:space="preserve"> PAGEREF _Toc35861288 \h </w:instrText>
        </w:r>
        <w:r>
          <w:rPr>
            <w:webHidden/>
          </w:rPr>
        </w:r>
        <w:r>
          <w:rPr>
            <w:webHidden/>
          </w:rPr>
          <w:fldChar w:fldCharType="separate"/>
        </w:r>
        <w:r>
          <w:rPr>
            <w:webHidden/>
          </w:rPr>
          <w:t>305</w:t>
        </w:r>
        <w:r>
          <w:rPr>
            <w:webHidden/>
          </w:rPr>
          <w:fldChar w:fldCharType="end"/>
        </w:r>
      </w:hyperlink>
    </w:p>
    <w:p w14:paraId="73601F86" w14:textId="2361E23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89" w:history="1">
        <w:r w:rsidRPr="00713F3D">
          <w:rPr>
            <w:rStyle w:val="Hyperlink"/>
            <w:rFonts w:eastAsia="MS Mincho"/>
            <w:b/>
          </w:rPr>
          <w:t xml:space="preserve">Figure B.24. </w:t>
        </w:r>
        <w:r w:rsidRPr="00713F3D">
          <w:rPr>
            <w:rStyle w:val="Hyperlink"/>
            <w:rFonts w:eastAsia="MS Mincho"/>
          </w:rPr>
          <w:t>Rock-Eval remaining hydrocarbon potential (S2) vs. TOC plot for determination of kerogen type and maturity for all the 47 West Star Ray 1-13 Woodford Shale outcrop samples. Note that most of the samples plot in the type II kerogen yield for the Lower and Middle Woodford members, and some type I kerogen yield mainly for the Middle Woodford and Upper member. There are not many apparent type III kerogen samples because of the lack of depletion of S2 by thermal cracking and the low maturity of the samples. Also, there are a few samples that plot in the lean organic area of the Upper Woodford member.</w:t>
        </w:r>
        <w:r>
          <w:rPr>
            <w:webHidden/>
          </w:rPr>
          <w:tab/>
        </w:r>
        <w:r>
          <w:rPr>
            <w:webHidden/>
          </w:rPr>
          <w:fldChar w:fldCharType="begin"/>
        </w:r>
        <w:r>
          <w:rPr>
            <w:webHidden/>
          </w:rPr>
          <w:instrText xml:space="preserve"> PAGEREF _Toc35861289 \h </w:instrText>
        </w:r>
        <w:r>
          <w:rPr>
            <w:webHidden/>
          </w:rPr>
        </w:r>
        <w:r>
          <w:rPr>
            <w:webHidden/>
          </w:rPr>
          <w:fldChar w:fldCharType="separate"/>
        </w:r>
        <w:r>
          <w:rPr>
            <w:webHidden/>
          </w:rPr>
          <w:t>306</w:t>
        </w:r>
        <w:r>
          <w:rPr>
            <w:webHidden/>
          </w:rPr>
          <w:fldChar w:fldCharType="end"/>
        </w:r>
      </w:hyperlink>
    </w:p>
    <w:p w14:paraId="49A64719" w14:textId="43C3012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0" w:history="1">
        <w:r w:rsidRPr="00713F3D">
          <w:rPr>
            <w:rStyle w:val="Hyperlink"/>
            <w:rFonts w:eastAsia="MS Mincho"/>
            <w:b/>
          </w:rPr>
          <w:t xml:space="preserve">Figure B.25. </w:t>
        </w:r>
        <w:r w:rsidRPr="00713F3D">
          <w:rPr>
            <w:rStyle w:val="Hyperlink"/>
            <w:rFonts w:eastAsia="MS Mincho"/>
          </w:rPr>
          <w:t>TOC, relative hydrocarbon potential (RHP), and Tmax maturity variations along the I-35 Upper Woodford member outcrop. Most of the samples are immature (Tmax &lt;435 °C), with an average of 431°C of Tmax. Some samples show early oil generation thermal maturity, especially towards the top.</w:t>
        </w:r>
        <w:r>
          <w:rPr>
            <w:webHidden/>
          </w:rPr>
          <w:tab/>
        </w:r>
        <w:r>
          <w:rPr>
            <w:webHidden/>
          </w:rPr>
          <w:fldChar w:fldCharType="begin"/>
        </w:r>
        <w:r>
          <w:rPr>
            <w:webHidden/>
          </w:rPr>
          <w:instrText xml:space="preserve"> PAGEREF _Toc35861290 \h </w:instrText>
        </w:r>
        <w:r>
          <w:rPr>
            <w:webHidden/>
          </w:rPr>
        </w:r>
        <w:r>
          <w:rPr>
            <w:webHidden/>
          </w:rPr>
          <w:fldChar w:fldCharType="separate"/>
        </w:r>
        <w:r>
          <w:rPr>
            <w:webHidden/>
          </w:rPr>
          <w:t>307</w:t>
        </w:r>
        <w:r>
          <w:rPr>
            <w:webHidden/>
          </w:rPr>
          <w:fldChar w:fldCharType="end"/>
        </w:r>
      </w:hyperlink>
    </w:p>
    <w:p w14:paraId="0B0267D2" w14:textId="0ED4997F" w:rsidR="00BD7E1A" w:rsidRDefault="00BD7E1A">
      <w:pPr>
        <w:pStyle w:val="TableofFigures"/>
        <w:tabs>
          <w:tab w:val="left" w:pos="1540"/>
          <w:tab w:val="right" w:leader="dot" w:pos="9350"/>
        </w:tabs>
        <w:rPr>
          <w:rFonts w:asciiTheme="minorHAnsi" w:eastAsiaTheme="minorEastAsia" w:hAnsiTheme="minorHAnsi" w:cstheme="minorBidi"/>
          <w:bCs w:val="0"/>
          <w:sz w:val="22"/>
          <w:szCs w:val="22"/>
          <w:lang w:eastAsia="en-US" w:bidi="ar-SA"/>
        </w:rPr>
      </w:pPr>
      <w:hyperlink w:anchor="_Toc35861291" w:history="1">
        <w:r w:rsidRPr="00713F3D">
          <w:rPr>
            <w:rStyle w:val="Hyperlink"/>
            <w:rFonts w:eastAsia="MS Mincho"/>
            <w:b/>
          </w:rPr>
          <w:t>Figure B.26.</w:t>
        </w:r>
        <w:r>
          <w:rPr>
            <w:rFonts w:asciiTheme="minorHAnsi" w:eastAsiaTheme="minorEastAsia" w:hAnsiTheme="minorHAnsi" w:cstheme="minorBidi"/>
            <w:bCs w:val="0"/>
            <w:sz w:val="22"/>
            <w:szCs w:val="22"/>
            <w:lang w:eastAsia="en-US" w:bidi="ar-SA"/>
          </w:rPr>
          <w:tab/>
        </w:r>
        <w:r w:rsidRPr="00713F3D">
          <w:rPr>
            <w:rStyle w:val="Hyperlink"/>
            <w:rFonts w:eastAsia="MS Mincho"/>
          </w:rPr>
          <w:t>HI vs. Tmax plot showing maturity and kerogen type for all 20 Woodford shale outcrop samples of the I-35 section. Most of the samples plot on the type II kerogen yield, and two in the type I kerogen. All samples are of low thermal maturity; therefore, the kerogen type yields might illustrate depositional organic facies conditions.</w:t>
        </w:r>
        <w:r>
          <w:rPr>
            <w:webHidden/>
          </w:rPr>
          <w:tab/>
        </w:r>
        <w:r>
          <w:rPr>
            <w:webHidden/>
          </w:rPr>
          <w:fldChar w:fldCharType="begin"/>
        </w:r>
        <w:r>
          <w:rPr>
            <w:webHidden/>
          </w:rPr>
          <w:instrText xml:space="preserve"> PAGEREF _Toc35861291 \h </w:instrText>
        </w:r>
        <w:r>
          <w:rPr>
            <w:webHidden/>
          </w:rPr>
        </w:r>
        <w:r>
          <w:rPr>
            <w:webHidden/>
          </w:rPr>
          <w:fldChar w:fldCharType="separate"/>
        </w:r>
        <w:r>
          <w:rPr>
            <w:webHidden/>
          </w:rPr>
          <w:t>308</w:t>
        </w:r>
        <w:r>
          <w:rPr>
            <w:webHidden/>
          </w:rPr>
          <w:fldChar w:fldCharType="end"/>
        </w:r>
      </w:hyperlink>
    </w:p>
    <w:p w14:paraId="76559FAE" w14:textId="3C08E9E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2" w:history="1">
        <w:r w:rsidRPr="00713F3D">
          <w:rPr>
            <w:rStyle w:val="Hyperlink"/>
            <w:rFonts w:eastAsia="MS Mincho"/>
            <w:b/>
          </w:rPr>
          <w:t xml:space="preserve">Figure B.27. </w:t>
        </w:r>
        <w:r w:rsidRPr="00713F3D">
          <w:rPr>
            <w:rStyle w:val="Hyperlink"/>
            <w:rFonts w:eastAsia="MS Mincho"/>
          </w:rPr>
          <w:t>Rock-Eval remaining hydrocarbon potential (S2) vs. TOC plot for determination of kerogen type and maturity for all the 20 I-35 Woodford Shale outcrop samples. Note that most of the samples plot in the type II kerogen yield, and some are close to the type I kerogen yield. There are some type III kerogen samples attributed to being part of mixed organic matter, because of the lack of depletion of S2 by the thermal cracking and the low maturity of the samples. Also, some samples plot in the lean organic area of the Upper Woodford member.</w:t>
        </w:r>
        <w:r>
          <w:rPr>
            <w:webHidden/>
          </w:rPr>
          <w:tab/>
        </w:r>
        <w:r>
          <w:rPr>
            <w:webHidden/>
          </w:rPr>
          <w:fldChar w:fldCharType="begin"/>
        </w:r>
        <w:r>
          <w:rPr>
            <w:webHidden/>
          </w:rPr>
          <w:instrText xml:space="preserve"> PAGEREF _Toc35861292 \h </w:instrText>
        </w:r>
        <w:r>
          <w:rPr>
            <w:webHidden/>
          </w:rPr>
        </w:r>
        <w:r>
          <w:rPr>
            <w:webHidden/>
          </w:rPr>
          <w:fldChar w:fldCharType="separate"/>
        </w:r>
        <w:r>
          <w:rPr>
            <w:webHidden/>
          </w:rPr>
          <w:t>309</w:t>
        </w:r>
        <w:r>
          <w:rPr>
            <w:webHidden/>
          </w:rPr>
          <w:fldChar w:fldCharType="end"/>
        </w:r>
      </w:hyperlink>
    </w:p>
    <w:p w14:paraId="4DDBBF7C" w14:textId="49067A04"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3" w:history="1">
        <w:r w:rsidRPr="00713F3D">
          <w:rPr>
            <w:rStyle w:val="Hyperlink"/>
            <w:rFonts w:eastAsia="MS Mincho"/>
            <w:b/>
          </w:rPr>
          <w:t xml:space="preserve">Figure B.28. </w:t>
        </w:r>
        <w:r w:rsidRPr="00713F3D">
          <w:rPr>
            <w:rStyle w:val="Hyperlink"/>
            <w:rFonts w:eastAsia="MS Mincho"/>
          </w:rPr>
          <w:t>TOC, relative hydrocarbon potential (RHP), and Tmax maturity variations along the Hladik 23 horizontal well. Horizontal well geosteering profile was not available; it was difficult to understand if the horizontal trajectory kept the wellbore most of the time inside the target zone and therefore, the variations in TOC, RHP, and Tmax can be attributed to lateral facies change, or if this observed changes when increasing the measured depth (MD) correspond to a vertical disparity of the wellbore horizontal section that crosses the Woodford Shale vertical stratigraphic variations. Most of the samples are mature (Tmax &gt;435 °C), with an average of 443.5°C of Tmax. All the samples show early oil generation thermal maturity to peak oil maturity, especially towards the end of the horizontal wellbore.</w:t>
        </w:r>
        <w:r>
          <w:rPr>
            <w:webHidden/>
          </w:rPr>
          <w:tab/>
        </w:r>
        <w:r>
          <w:rPr>
            <w:webHidden/>
          </w:rPr>
          <w:fldChar w:fldCharType="begin"/>
        </w:r>
        <w:r>
          <w:rPr>
            <w:webHidden/>
          </w:rPr>
          <w:instrText xml:space="preserve"> PAGEREF _Toc35861293 \h </w:instrText>
        </w:r>
        <w:r>
          <w:rPr>
            <w:webHidden/>
          </w:rPr>
        </w:r>
        <w:r>
          <w:rPr>
            <w:webHidden/>
          </w:rPr>
          <w:fldChar w:fldCharType="separate"/>
        </w:r>
        <w:r>
          <w:rPr>
            <w:webHidden/>
          </w:rPr>
          <w:t>310</w:t>
        </w:r>
        <w:r>
          <w:rPr>
            <w:webHidden/>
          </w:rPr>
          <w:fldChar w:fldCharType="end"/>
        </w:r>
      </w:hyperlink>
    </w:p>
    <w:p w14:paraId="024DD9D5" w14:textId="79DDC84B"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4" w:history="1">
        <w:r w:rsidRPr="00713F3D">
          <w:rPr>
            <w:rStyle w:val="Hyperlink"/>
            <w:rFonts w:eastAsia="MS Mincho"/>
            <w:b/>
          </w:rPr>
          <w:t xml:space="preserve">Figure B.29.  </w:t>
        </w:r>
        <w:r w:rsidRPr="00713F3D">
          <w:rPr>
            <w:rStyle w:val="Hyperlink"/>
            <w:rFonts w:eastAsia="MS Mincho"/>
          </w:rPr>
          <w:t>Modified pseudo van Krevelen diagram for the cutting samples of the horizontal well Hladik 23. The diagram shows the source rock intervals are dominated by apparent type II kerogen — some samples plot in the type III area.</w:t>
        </w:r>
        <w:r>
          <w:rPr>
            <w:webHidden/>
          </w:rPr>
          <w:tab/>
        </w:r>
        <w:r>
          <w:rPr>
            <w:webHidden/>
          </w:rPr>
          <w:fldChar w:fldCharType="begin"/>
        </w:r>
        <w:r>
          <w:rPr>
            <w:webHidden/>
          </w:rPr>
          <w:instrText xml:space="preserve"> PAGEREF _Toc35861294 \h </w:instrText>
        </w:r>
        <w:r>
          <w:rPr>
            <w:webHidden/>
          </w:rPr>
        </w:r>
        <w:r>
          <w:rPr>
            <w:webHidden/>
          </w:rPr>
          <w:fldChar w:fldCharType="separate"/>
        </w:r>
        <w:r>
          <w:rPr>
            <w:webHidden/>
          </w:rPr>
          <w:t>311</w:t>
        </w:r>
        <w:r>
          <w:rPr>
            <w:webHidden/>
          </w:rPr>
          <w:fldChar w:fldCharType="end"/>
        </w:r>
      </w:hyperlink>
    </w:p>
    <w:p w14:paraId="7FAA756D" w14:textId="5BEF6559"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5" w:history="1">
        <w:r w:rsidRPr="00713F3D">
          <w:rPr>
            <w:rStyle w:val="Hyperlink"/>
            <w:rFonts w:eastAsia="MS Mincho"/>
            <w:b/>
          </w:rPr>
          <w:t xml:space="preserve">Figure B.30. </w:t>
        </w:r>
        <w:r w:rsidRPr="00713F3D">
          <w:rPr>
            <w:rStyle w:val="Hyperlink"/>
            <w:rFonts w:eastAsia="MS Mincho"/>
          </w:rPr>
          <w:t>Regional Woodford Shale structure map [TVDSS ft]. Magenta lines correspond to Mississippian reservoir horizontal wells. Brown lines correspond to Woodford Shale horizontal wells.</w:t>
        </w:r>
        <w:r>
          <w:rPr>
            <w:webHidden/>
          </w:rPr>
          <w:tab/>
        </w:r>
        <w:r>
          <w:rPr>
            <w:webHidden/>
          </w:rPr>
          <w:fldChar w:fldCharType="begin"/>
        </w:r>
        <w:r>
          <w:rPr>
            <w:webHidden/>
          </w:rPr>
          <w:instrText xml:space="preserve"> PAGEREF _Toc35861295 \h </w:instrText>
        </w:r>
        <w:r>
          <w:rPr>
            <w:webHidden/>
          </w:rPr>
        </w:r>
        <w:r>
          <w:rPr>
            <w:webHidden/>
          </w:rPr>
          <w:fldChar w:fldCharType="separate"/>
        </w:r>
        <w:r>
          <w:rPr>
            <w:webHidden/>
          </w:rPr>
          <w:t>312</w:t>
        </w:r>
        <w:r>
          <w:rPr>
            <w:webHidden/>
          </w:rPr>
          <w:fldChar w:fldCharType="end"/>
        </w:r>
      </w:hyperlink>
    </w:p>
    <w:p w14:paraId="4967C784" w14:textId="19089C08"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6" w:history="1">
        <w:r w:rsidRPr="00713F3D">
          <w:rPr>
            <w:rStyle w:val="Hyperlink"/>
            <w:rFonts w:eastAsia="MS Mincho"/>
            <w:b/>
          </w:rPr>
          <w:t xml:space="preserve">Figure B.31. </w:t>
        </w:r>
        <w:r w:rsidRPr="00713F3D">
          <w:rPr>
            <w:rStyle w:val="Hyperlink"/>
            <w:rFonts w:eastAsia="MS Mincho"/>
          </w:rPr>
          <w:t>Regional Woodford Shale gross thickness map [ft]. Magenta lines correspond to Mississippian reservoir horizontal wells. Brown lines correspond to Woodford Shale horizontal wells.</w:t>
        </w:r>
        <w:r>
          <w:rPr>
            <w:webHidden/>
          </w:rPr>
          <w:tab/>
        </w:r>
        <w:r>
          <w:rPr>
            <w:webHidden/>
          </w:rPr>
          <w:fldChar w:fldCharType="begin"/>
        </w:r>
        <w:r>
          <w:rPr>
            <w:webHidden/>
          </w:rPr>
          <w:instrText xml:space="preserve"> PAGEREF _Toc35861296 \h </w:instrText>
        </w:r>
        <w:r>
          <w:rPr>
            <w:webHidden/>
          </w:rPr>
        </w:r>
        <w:r>
          <w:rPr>
            <w:webHidden/>
          </w:rPr>
          <w:fldChar w:fldCharType="separate"/>
        </w:r>
        <w:r>
          <w:rPr>
            <w:webHidden/>
          </w:rPr>
          <w:t>313</w:t>
        </w:r>
        <w:r>
          <w:rPr>
            <w:webHidden/>
          </w:rPr>
          <w:fldChar w:fldCharType="end"/>
        </w:r>
      </w:hyperlink>
    </w:p>
    <w:p w14:paraId="2D5DF988" w14:textId="0C85C67F" w:rsidR="00BD7E1A" w:rsidRDefault="00BD7E1A">
      <w:pPr>
        <w:pStyle w:val="TableofFigures"/>
        <w:tabs>
          <w:tab w:val="right" w:leader="dot" w:pos="9350"/>
        </w:tabs>
        <w:rPr>
          <w:rFonts w:asciiTheme="minorHAnsi" w:eastAsiaTheme="minorEastAsia" w:hAnsiTheme="minorHAnsi" w:cstheme="minorBidi"/>
          <w:bCs w:val="0"/>
          <w:sz w:val="22"/>
          <w:szCs w:val="22"/>
          <w:lang w:eastAsia="en-US" w:bidi="ar-SA"/>
        </w:rPr>
      </w:pPr>
      <w:hyperlink w:anchor="_Toc35861297" w:history="1">
        <w:r w:rsidRPr="00713F3D">
          <w:rPr>
            <w:rStyle w:val="Hyperlink"/>
            <w:rFonts w:eastAsia="MS Mincho"/>
            <w:b/>
          </w:rPr>
          <w:t>Figure B.32.</w:t>
        </w:r>
        <w:r w:rsidRPr="00713F3D">
          <w:rPr>
            <w:rStyle w:val="Hyperlink"/>
            <w:rFonts w:eastAsia="MS Mincho"/>
          </w:rPr>
          <w:t xml:space="preserve"> Regional Hunton group (pre-Woodford Shale) gross thickness map [ft]. Magenta lines correspond to Mississippian reservoir horizontal wells. Brown lines correspond to Woodford Shale horizontal wells.</w:t>
        </w:r>
        <w:r>
          <w:rPr>
            <w:webHidden/>
          </w:rPr>
          <w:tab/>
        </w:r>
        <w:r>
          <w:rPr>
            <w:webHidden/>
          </w:rPr>
          <w:fldChar w:fldCharType="begin"/>
        </w:r>
        <w:r>
          <w:rPr>
            <w:webHidden/>
          </w:rPr>
          <w:instrText xml:space="preserve"> PAGEREF _Toc35861297 \h </w:instrText>
        </w:r>
        <w:r>
          <w:rPr>
            <w:webHidden/>
          </w:rPr>
        </w:r>
        <w:r>
          <w:rPr>
            <w:webHidden/>
          </w:rPr>
          <w:fldChar w:fldCharType="separate"/>
        </w:r>
        <w:r>
          <w:rPr>
            <w:webHidden/>
          </w:rPr>
          <w:t>314</w:t>
        </w:r>
        <w:r>
          <w:rPr>
            <w:webHidden/>
          </w:rPr>
          <w:fldChar w:fldCharType="end"/>
        </w:r>
      </w:hyperlink>
    </w:p>
    <w:p w14:paraId="103A095F" w14:textId="093AA370" w:rsidR="006144FC" w:rsidRDefault="00772A14" w:rsidP="009349D2">
      <w:pPr>
        <w:rPr>
          <w:lang w:eastAsia="ja-JP"/>
        </w:rPr>
      </w:pPr>
      <w:r>
        <w:rPr>
          <w:lang w:eastAsia="ja-JP"/>
        </w:rPr>
        <w:fldChar w:fldCharType="end"/>
      </w:r>
    </w:p>
    <w:p w14:paraId="58358399" w14:textId="7D45910D" w:rsidR="00F5746A" w:rsidRDefault="006144FC" w:rsidP="00DD25CB">
      <w:pPr>
        <w:pStyle w:val="Heading1"/>
      </w:pPr>
      <w:r>
        <w:br w:type="page"/>
      </w:r>
      <w:bookmarkStart w:id="11" w:name="_Toc35861072"/>
      <w:r w:rsidR="008A5E33" w:rsidRPr="008A5E33">
        <w:lastRenderedPageBreak/>
        <w:t xml:space="preserve">List of </w:t>
      </w:r>
      <w:r w:rsidR="00D2065A">
        <w:t>t</w:t>
      </w:r>
      <w:r w:rsidR="008A5E33" w:rsidRPr="008A5E33">
        <w:t>ables</w:t>
      </w:r>
      <w:bookmarkEnd w:id="11"/>
    </w:p>
    <w:p w14:paraId="70DA88C5" w14:textId="77777777" w:rsidR="0054027F" w:rsidRDefault="0054027F" w:rsidP="006144FC">
      <w:pPr>
        <w:spacing w:after="0" w:line="240" w:lineRule="auto"/>
        <w:jc w:val="left"/>
        <w:rPr>
          <w:b/>
          <w:lang w:eastAsia="ja-JP"/>
        </w:rPr>
      </w:pPr>
    </w:p>
    <w:p w14:paraId="45CC6568" w14:textId="5A532605" w:rsidR="00C04F28" w:rsidRPr="00C04F28" w:rsidRDefault="00C04F28" w:rsidP="00C04F28">
      <w:pPr>
        <w:pStyle w:val="TableofFigures"/>
        <w:tabs>
          <w:tab w:val="right" w:leader="dot" w:pos="8486"/>
        </w:tabs>
        <w:rPr>
          <w:rFonts w:eastAsiaTheme="minorEastAsia" w:cstheme="minorBidi"/>
          <w:sz w:val="22"/>
          <w:szCs w:val="22"/>
          <w:lang w:bidi="ar-SA"/>
        </w:rPr>
      </w:pPr>
      <w:r w:rsidRPr="00C04F28">
        <w:rPr>
          <w:b/>
        </w:rPr>
        <w:t>Table 3.1.</w:t>
      </w:r>
      <w:r w:rsidRPr="00C04F28">
        <w:t xml:space="preserve"> EF Factors of international standards for calculating the enrichment factors of trace elements. Modified after Tribovillard et al. (2006).</w:t>
      </w:r>
      <w:r w:rsidRPr="00C04F28">
        <w:tab/>
        <w:t>1</w:t>
      </w:r>
      <w:r w:rsidR="00CF7EF3">
        <w:t>4</w:t>
      </w:r>
      <w:r w:rsidR="00182756">
        <w:t>2</w:t>
      </w:r>
    </w:p>
    <w:p w14:paraId="4D5B2258" w14:textId="1EC40B71" w:rsidR="00C04F28" w:rsidRPr="00C04F28" w:rsidRDefault="00C04F28" w:rsidP="00C04F28">
      <w:pPr>
        <w:pStyle w:val="TableofFigures"/>
        <w:tabs>
          <w:tab w:val="right" w:leader="dot" w:pos="8486"/>
        </w:tabs>
        <w:rPr>
          <w:rFonts w:eastAsiaTheme="minorEastAsia" w:cstheme="minorBidi"/>
          <w:sz w:val="22"/>
          <w:szCs w:val="22"/>
          <w:lang w:bidi="ar-SA"/>
        </w:rPr>
      </w:pPr>
      <w:r w:rsidRPr="00C04F28">
        <w:rPr>
          <w:b/>
        </w:rPr>
        <w:t>Table 3.2.</w:t>
      </w:r>
      <w:r w:rsidRPr="00C04F28">
        <w:t xml:space="preserve"> Samples selected for biomarker analysis. Total of forty-five samples representing the different ten K-means facies along with the Woodford Shale Speake Ranch vertical stratigraphic variability. Data selection by the integration of Rock-Eval </w:t>
      </w:r>
      <w:r w:rsidR="00B148D8">
        <w:t>p</w:t>
      </w:r>
      <w:r w:rsidRPr="00C04F28">
        <w:t>yrolysis data, X-</w:t>
      </w:r>
      <w:r w:rsidR="00B148D8">
        <w:t>r</w:t>
      </w:r>
      <w:r w:rsidRPr="00C04F28">
        <w:t xml:space="preserve">ay </w:t>
      </w:r>
      <w:r w:rsidR="00B148D8">
        <w:t>f</w:t>
      </w:r>
      <w:r w:rsidRPr="00C04F28">
        <w:t xml:space="preserve">luorescence (XRF) major elements analysis, </w:t>
      </w:r>
      <w:r w:rsidR="00B148D8">
        <w:t>o</w:t>
      </w:r>
      <w:r w:rsidRPr="00C04F28">
        <w:t xml:space="preserve">utcrop </w:t>
      </w:r>
      <w:r w:rsidR="00B148D8">
        <w:t>m</w:t>
      </w:r>
      <w:r w:rsidRPr="00C04F28">
        <w:t xml:space="preserve">easured </w:t>
      </w:r>
      <w:r w:rsidR="00B148D8">
        <w:t>g</w:t>
      </w:r>
      <w:r w:rsidRPr="00C04F28">
        <w:t>amma</w:t>
      </w:r>
      <w:r w:rsidR="00B148D8">
        <w:t>-r</w:t>
      </w:r>
      <w:r w:rsidRPr="00C04F28">
        <w:t>ay log, and hardness measurements by Galvis (2017)</w:t>
      </w:r>
      <w:r w:rsidRPr="00C04F28">
        <w:tab/>
        <w:t>1</w:t>
      </w:r>
      <w:r w:rsidR="00CF7EF3">
        <w:t>4</w:t>
      </w:r>
      <w:r w:rsidR="00182756">
        <w:t>8</w:t>
      </w:r>
    </w:p>
    <w:p w14:paraId="3C416276" w14:textId="4A7273B8" w:rsidR="00C04F28" w:rsidRPr="00C04F28" w:rsidRDefault="00C04F28" w:rsidP="00C04F28">
      <w:pPr>
        <w:pStyle w:val="TableofFigures"/>
        <w:tabs>
          <w:tab w:val="right" w:leader="dot" w:pos="8486"/>
        </w:tabs>
        <w:rPr>
          <w:rFonts w:eastAsiaTheme="minorEastAsia" w:cstheme="minorBidi"/>
          <w:sz w:val="22"/>
          <w:szCs w:val="22"/>
          <w:lang w:bidi="ar-SA"/>
        </w:rPr>
      </w:pPr>
      <w:r w:rsidRPr="00C04F28">
        <w:rPr>
          <w:b/>
        </w:rPr>
        <w:t>Table 3.3.</w:t>
      </w:r>
      <w:r w:rsidRPr="00C04F28">
        <w:t xml:space="preserve"> Identification of steranes in the m/z 217 fragmentogram.</w:t>
      </w:r>
      <w:r w:rsidRPr="00C04F28">
        <w:tab/>
        <w:t>1</w:t>
      </w:r>
      <w:r w:rsidR="00CF7EF3">
        <w:t>5</w:t>
      </w:r>
      <w:r w:rsidR="00182756">
        <w:t>5</w:t>
      </w:r>
    </w:p>
    <w:p w14:paraId="336B1033" w14:textId="376E0016" w:rsidR="00C04F28" w:rsidRPr="00C04F28" w:rsidRDefault="00C04F28" w:rsidP="00C04F28">
      <w:pPr>
        <w:pStyle w:val="TableofFigures"/>
        <w:tabs>
          <w:tab w:val="right" w:leader="dot" w:pos="8486"/>
        </w:tabs>
        <w:rPr>
          <w:rFonts w:eastAsiaTheme="minorEastAsia" w:cstheme="minorBidi"/>
          <w:sz w:val="22"/>
          <w:szCs w:val="22"/>
          <w:lang w:bidi="ar-SA"/>
        </w:rPr>
      </w:pPr>
      <w:r w:rsidRPr="00C04F28">
        <w:rPr>
          <w:b/>
        </w:rPr>
        <w:t>Table 3.4.</w:t>
      </w:r>
      <w:r w:rsidRPr="00C04F28">
        <w:t xml:space="preserve">  Identification of monoaromatic steroids (MAS) in the m/z 253</w:t>
      </w:r>
      <w:r w:rsidRPr="00C04F28">
        <w:tab/>
        <w:t>1</w:t>
      </w:r>
      <w:r w:rsidR="00CF7EF3">
        <w:t>6</w:t>
      </w:r>
      <w:r w:rsidR="00182756">
        <w:t>1</w:t>
      </w:r>
    </w:p>
    <w:p w14:paraId="2D594B5F" w14:textId="0DEC7053" w:rsidR="00C04F28" w:rsidRDefault="00C04F28" w:rsidP="00C04F28">
      <w:pPr>
        <w:pStyle w:val="TableofFigures"/>
        <w:tabs>
          <w:tab w:val="right" w:leader="dot" w:pos="8486"/>
        </w:tabs>
      </w:pPr>
      <w:r w:rsidRPr="00C04F28">
        <w:rPr>
          <w:b/>
        </w:rPr>
        <w:t>Table 3.5.</w:t>
      </w:r>
      <w:r w:rsidRPr="00C04F28">
        <w:t xml:space="preserve">  Identification of terpanes in the</w:t>
      </w:r>
      <w:r w:rsidR="00B148D8">
        <w:t xml:space="preserve"> </w:t>
      </w:r>
      <w:r w:rsidRPr="00C04F28">
        <w:t>m/z 191 fragmentograms</w:t>
      </w:r>
      <w:r w:rsidRPr="00C04F28">
        <w:tab/>
      </w:r>
      <w:r w:rsidR="001638A2">
        <w:t>1</w:t>
      </w:r>
      <w:r w:rsidR="00CF7EF3">
        <w:t>6</w:t>
      </w:r>
      <w:r w:rsidR="00182756">
        <w:t>5</w:t>
      </w:r>
    </w:p>
    <w:p w14:paraId="69162183" w14:textId="3E6A5B07" w:rsidR="0054027F" w:rsidRPr="0054027F" w:rsidRDefault="0054027F" w:rsidP="0054027F">
      <w:pPr>
        <w:pStyle w:val="TableofFigures"/>
        <w:tabs>
          <w:tab w:val="right" w:leader="dot" w:pos="8486"/>
        </w:tabs>
        <w:rPr>
          <w:rFonts w:eastAsiaTheme="minorEastAsia" w:cstheme="minorBidi"/>
          <w:sz w:val="22"/>
          <w:szCs w:val="22"/>
          <w:lang w:bidi="ar-SA"/>
        </w:rPr>
      </w:pPr>
      <w:r w:rsidRPr="0054027F">
        <w:rPr>
          <w:b/>
        </w:rPr>
        <w:t>Table 3.6.</w:t>
      </w:r>
      <w:r w:rsidRPr="0054027F">
        <w:t xml:space="preserve">  Sterane, terpane</w:t>
      </w:r>
      <w:r w:rsidR="004C2472">
        <w:t>,</w:t>
      </w:r>
      <w:r w:rsidRPr="0054027F">
        <w:t xml:space="preserve"> and hopane ratios in the Speake Ranch Woodford 314 ft stratigraphic section with the respective K-means facies and TOC% (Leco column)</w:t>
      </w:r>
      <w:r w:rsidRPr="0054027F">
        <w:tab/>
        <w:t>1</w:t>
      </w:r>
      <w:r w:rsidR="00CF7EF3">
        <w:t>6</w:t>
      </w:r>
      <w:r w:rsidR="00182756">
        <w:t>6</w:t>
      </w:r>
    </w:p>
    <w:p w14:paraId="11108E3C" w14:textId="6AC024FD" w:rsidR="0054027F" w:rsidRPr="0054027F" w:rsidRDefault="0054027F" w:rsidP="0054027F">
      <w:pPr>
        <w:pStyle w:val="TableofFigures"/>
        <w:tabs>
          <w:tab w:val="right" w:leader="dot" w:pos="8486"/>
        </w:tabs>
        <w:rPr>
          <w:rFonts w:eastAsiaTheme="minorEastAsia" w:cstheme="minorBidi"/>
          <w:sz w:val="22"/>
          <w:szCs w:val="22"/>
          <w:lang w:bidi="ar-SA"/>
        </w:rPr>
      </w:pPr>
      <w:r w:rsidRPr="0054027F">
        <w:rPr>
          <w:b/>
        </w:rPr>
        <w:t>Table 3.7.</w:t>
      </w:r>
      <w:r w:rsidRPr="0054027F">
        <w:t xml:space="preserve">  Aryl-isoprenoid and C</w:t>
      </w:r>
      <w:r w:rsidRPr="007F4E1F">
        <w:rPr>
          <w:vertAlign w:val="subscript"/>
        </w:rPr>
        <w:t>40</w:t>
      </w:r>
      <w:r w:rsidRPr="0054027F">
        <w:t xml:space="preserve"> carotenoid concentrations in the Speake Ranch Woodford 314 ft stratigraphic section with the respective K-means facies and TOC% (Leco column). C</w:t>
      </w:r>
      <w:r w:rsidRPr="00B148D8">
        <w:rPr>
          <w:vertAlign w:val="subscript"/>
        </w:rPr>
        <w:t>40</w:t>
      </w:r>
      <w:r w:rsidRPr="0054027F">
        <w:t xml:space="preserve"> carotenoid concentration normalized with amounts of extracted organic matter (EOM) after </w:t>
      </w:r>
      <w:r w:rsidR="00B148D8">
        <w:t>s</w:t>
      </w:r>
      <w:r w:rsidRPr="0054027F">
        <w:t>oxhlet extractions (not to TOC g)</w:t>
      </w:r>
      <w:r w:rsidRPr="0054027F">
        <w:tab/>
        <w:t>1</w:t>
      </w:r>
      <w:r w:rsidR="00CF7EF3">
        <w:t>9</w:t>
      </w:r>
      <w:r w:rsidR="00182756">
        <w:t>6</w:t>
      </w:r>
    </w:p>
    <w:p w14:paraId="432D6000" w14:textId="0E640242" w:rsidR="0054027F" w:rsidRDefault="0054027F" w:rsidP="0054027F">
      <w:pPr>
        <w:pStyle w:val="TableofFigures"/>
        <w:tabs>
          <w:tab w:val="right" w:leader="dot" w:pos="8486"/>
        </w:tabs>
      </w:pPr>
      <w:r w:rsidRPr="0054027F">
        <w:rPr>
          <w:b/>
        </w:rPr>
        <w:t>Table 3.8.</w:t>
      </w:r>
      <w:r w:rsidRPr="0054027F">
        <w:t xml:space="preserve">  Applied polycyclic aromatic hydrocarbons (PAHs) in the Speake Ranch Woodford 314 ft stratigraphic section with the respective K-means facies and TOC% (Leco column) for identifying progadational terrestrial organic matter inputs towards deeper basinal deposits of the Woodford Shale. PAHs concentrations in μg/g EOM.</w:t>
      </w:r>
      <w:r w:rsidRPr="0054027F">
        <w:tab/>
      </w:r>
      <w:r w:rsidR="00CF7EF3">
        <w:t>20</w:t>
      </w:r>
      <w:r w:rsidR="00182756">
        <w:t>3</w:t>
      </w:r>
    </w:p>
    <w:p w14:paraId="694657FD" w14:textId="350C7327" w:rsidR="008054AB" w:rsidRPr="00C04F28" w:rsidRDefault="008054AB" w:rsidP="008054AB">
      <w:pPr>
        <w:pStyle w:val="TableofFigures"/>
        <w:tabs>
          <w:tab w:val="right" w:leader="dot" w:pos="8486"/>
        </w:tabs>
      </w:pPr>
      <w:r w:rsidRPr="00C04F28">
        <w:rPr>
          <w:b/>
        </w:rPr>
        <w:t xml:space="preserve">Table </w:t>
      </w:r>
      <w:r>
        <w:rPr>
          <w:b/>
        </w:rPr>
        <w:t>3.9</w:t>
      </w:r>
      <w:r w:rsidRPr="00C04F28">
        <w:rPr>
          <w:b/>
        </w:rPr>
        <w:t>.</w:t>
      </w:r>
      <w:r w:rsidRPr="00C04F28">
        <w:t xml:space="preserve">  </w:t>
      </w:r>
      <w:r>
        <w:rPr>
          <w:color w:val="000000"/>
        </w:rPr>
        <w:t>Summary of biomarker characteristics in the SR interval interpreted as an enclosed mini-basin fill setting.</w:t>
      </w:r>
      <w:r w:rsidRPr="00C04F28">
        <w:tab/>
      </w:r>
      <w:r w:rsidR="00CF7EF3">
        <w:t>22</w:t>
      </w:r>
      <w:r w:rsidR="00182756">
        <w:t>6</w:t>
      </w:r>
    </w:p>
    <w:p w14:paraId="408015D8" w14:textId="3DA969A9" w:rsidR="00C04F28" w:rsidRPr="00C04F28" w:rsidRDefault="00C04F28" w:rsidP="00C04F28">
      <w:pPr>
        <w:pStyle w:val="TableofFigures"/>
        <w:tabs>
          <w:tab w:val="right" w:leader="dot" w:pos="8486"/>
        </w:tabs>
      </w:pPr>
      <w:r w:rsidRPr="00C04F28">
        <w:rPr>
          <w:b/>
        </w:rPr>
        <w:t xml:space="preserve">Table </w:t>
      </w:r>
      <w:r w:rsidR="008054AB">
        <w:rPr>
          <w:b/>
        </w:rPr>
        <w:t>4</w:t>
      </w:r>
      <w:r w:rsidRPr="00C04F28">
        <w:rPr>
          <w:b/>
        </w:rPr>
        <w:t>.1.</w:t>
      </w:r>
      <w:r w:rsidRPr="00C04F28">
        <w:t xml:space="preserve">  Cumulative oil EUR in million of barr</w:t>
      </w:r>
      <w:r w:rsidR="008E671A">
        <w:t>el</w:t>
      </w:r>
      <w:r w:rsidRPr="00C04F28">
        <w:t>s for the four simulated areas</w:t>
      </w:r>
      <w:r w:rsidRPr="00C04F28">
        <w:tab/>
      </w:r>
      <w:r w:rsidR="00082747">
        <w:t>28</w:t>
      </w:r>
      <w:r w:rsidR="00B70D5B">
        <w:t>0</w:t>
      </w:r>
    </w:p>
    <w:p w14:paraId="0CD2E91F" w14:textId="77F684C6" w:rsidR="00C04F28" w:rsidRDefault="00C04F28" w:rsidP="00C04F28">
      <w:pPr>
        <w:pStyle w:val="TableofFigures"/>
        <w:tabs>
          <w:tab w:val="right" w:leader="dot" w:pos="8486"/>
        </w:tabs>
      </w:pPr>
      <w:r w:rsidRPr="00C04F28">
        <w:rPr>
          <w:b/>
        </w:rPr>
        <w:t xml:space="preserve">Table </w:t>
      </w:r>
      <w:r w:rsidR="005F3265">
        <w:rPr>
          <w:b/>
        </w:rPr>
        <w:t>C</w:t>
      </w:r>
      <w:r w:rsidRPr="00C04F28">
        <w:rPr>
          <w:b/>
        </w:rPr>
        <w:t>.1.</w:t>
      </w:r>
      <w:r w:rsidRPr="00C04F28">
        <w:t xml:space="preserve">  Parameters and terms derived from Rock-Eval pyrolysis (modified from Peters and Cassa, 1994; Jarvie et al., 2005</w:t>
      </w:r>
      <w:r w:rsidR="00B148D8">
        <w:t xml:space="preserve">, </w:t>
      </w:r>
      <w:r w:rsidRPr="00C04F28">
        <w:t>2007)</w:t>
      </w:r>
      <w:r w:rsidRPr="00C04F28">
        <w:tab/>
        <w:t>3</w:t>
      </w:r>
      <w:r w:rsidR="00CF7EF3">
        <w:t>1</w:t>
      </w:r>
      <w:r w:rsidR="00B70D5B">
        <w:t>4</w:t>
      </w:r>
    </w:p>
    <w:p w14:paraId="6F55EF56" w14:textId="4ECBA729" w:rsidR="0041763C" w:rsidRDefault="0041763C" w:rsidP="0041763C">
      <w:pPr>
        <w:pStyle w:val="TOCHeading"/>
        <w:rPr>
          <w:lang w:eastAsia="ja-JP" w:bidi="en-US"/>
        </w:rPr>
      </w:pPr>
    </w:p>
    <w:p w14:paraId="75D89F8A" w14:textId="79275CCA" w:rsidR="0041763C" w:rsidRDefault="0041763C" w:rsidP="0041763C">
      <w:pPr>
        <w:rPr>
          <w:lang w:eastAsia="ja-JP" w:bidi="en-US"/>
        </w:rPr>
      </w:pPr>
    </w:p>
    <w:p w14:paraId="761FA9A4" w14:textId="37BBE6F3" w:rsidR="008054AB" w:rsidRDefault="008054AB" w:rsidP="0041763C">
      <w:pPr>
        <w:rPr>
          <w:lang w:eastAsia="ja-JP" w:bidi="en-US"/>
        </w:rPr>
      </w:pPr>
    </w:p>
    <w:p w14:paraId="3E97C12F" w14:textId="58A6F85C" w:rsidR="008054AB" w:rsidRDefault="008054AB" w:rsidP="0041763C">
      <w:pPr>
        <w:rPr>
          <w:lang w:eastAsia="ja-JP" w:bidi="en-US"/>
        </w:rPr>
      </w:pPr>
    </w:p>
    <w:p w14:paraId="1892C9CD" w14:textId="77777777" w:rsidR="008054AB" w:rsidRDefault="008054AB" w:rsidP="0041763C">
      <w:pPr>
        <w:rPr>
          <w:lang w:eastAsia="ja-JP" w:bidi="en-US"/>
        </w:rPr>
      </w:pPr>
    </w:p>
    <w:p w14:paraId="5DAF7E82" w14:textId="364FA704" w:rsidR="005623F2" w:rsidRPr="006D613B" w:rsidRDefault="00315EF3" w:rsidP="005623F2">
      <w:pPr>
        <w:pStyle w:val="Heading1"/>
        <w:rPr>
          <w:lang w:bidi="en-US"/>
        </w:rPr>
      </w:pPr>
      <w:bookmarkStart w:id="12" w:name="_Hlk27653266"/>
      <w:r>
        <w:rPr>
          <w:lang w:bidi="en-US"/>
        </w:rPr>
        <w:lastRenderedPageBreak/>
        <w:t xml:space="preserve">    </w:t>
      </w:r>
      <w:bookmarkStart w:id="13" w:name="_Hlk27893875"/>
      <w:bookmarkStart w:id="14" w:name="_Toc35861073"/>
      <w:r w:rsidR="005623F2" w:rsidRPr="006D613B">
        <w:rPr>
          <w:lang w:bidi="en-US"/>
        </w:rPr>
        <w:t>Abstract</w:t>
      </w:r>
      <w:bookmarkEnd w:id="14"/>
    </w:p>
    <w:p w14:paraId="07B15DD5" w14:textId="5604B89C" w:rsidR="000C43D6" w:rsidRDefault="000C43D6" w:rsidP="000C43D6">
      <w:pPr>
        <w:ind w:firstLine="360"/>
        <w:rPr>
          <w:lang w:eastAsia="ja-JP" w:bidi="en-US"/>
        </w:rPr>
      </w:pPr>
      <w:r w:rsidRPr="006D613B">
        <w:rPr>
          <w:lang w:eastAsia="ja-JP" w:bidi="en-US"/>
        </w:rPr>
        <w:t>Th</w:t>
      </w:r>
      <w:r>
        <w:rPr>
          <w:lang w:eastAsia="ja-JP" w:bidi="en-US"/>
        </w:rPr>
        <w:t xml:space="preserve">e exploration of unconventional hydrocarbon resources of the </w:t>
      </w:r>
      <w:r w:rsidRPr="006D613B">
        <w:rPr>
          <w:lang w:eastAsia="ja-JP" w:bidi="en-US"/>
        </w:rPr>
        <w:t>Woodford Shale in Oklahoma (USA</w:t>
      </w:r>
      <w:r>
        <w:rPr>
          <w:lang w:eastAsia="ja-JP" w:bidi="en-US"/>
        </w:rPr>
        <w:t xml:space="preserve">) has focused on characterizing this formation as an entirely open marine deposit.  The impact of recognizing the </w:t>
      </w:r>
      <w:r w:rsidRPr="006D613B">
        <w:rPr>
          <w:lang w:eastAsia="ja-JP" w:bidi="en-US"/>
        </w:rPr>
        <w:t>enclosed mini-basin fill</w:t>
      </w:r>
      <w:r>
        <w:rPr>
          <w:lang w:eastAsia="ja-JP" w:bidi="en-US"/>
        </w:rPr>
        <w:t xml:space="preserve"> settings remains under-explored</w:t>
      </w:r>
      <w:r w:rsidRPr="006D613B">
        <w:rPr>
          <w:lang w:eastAsia="ja-JP" w:bidi="en-US"/>
        </w:rPr>
        <w:t>. To better understand th</w:t>
      </w:r>
      <w:r>
        <w:rPr>
          <w:lang w:eastAsia="ja-JP" w:bidi="en-US"/>
        </w:rPr>
        <w:t>ese effects</w:t>
      </w:r>
      <w:r w:rsidRPr="006D613B">
        <w:rPr>
          <w:lang w:eastAsia="ja-JP" w:bidi="en-US"/>
        </w:rPr>
        <w:t xml:space="preserve">, I </w:t>
      </w:r>
      <w:r>
        <w:rPr>
          <w:lang w:eastAsia="ja-JP" w:bidi="en-US"/>
        </w:rPr>
        <w:t>propose a detailed integrated study</w:t>
      </w:r>
      <w:r w:rsidRPr="006D613B">
        <w:rPr>
          <w:lang w:eastAsia="ja-JP" w:bidi="en-US"/>
        </w:rPr>
        <w:t xml:space="preserve"> </w:t>
      </w:r>
      <w:r>
        <w:rPr>
          <w:lang w:eastAsia="ja-JP" w:bidi="en-US"/>
        </w:rPr>
        <w:t xml:space="preserve">to highlight </w:t>
      </w:r>
      <w:r w:rsidRPr="006D613B">
        <w:rPr>
          <w:lang w:eastAsia="ja-JP" w:bidi="en-US"/>
        </w:rPr>
        <w:t>how th</w:t>
      </w:r>
      <w:r>
        <w:rPr>
          <w:lang w:eastAsia="ja-JP" w:bidi="en-US"/>
        </w:rPr>
        <w:t xml:space="preserve">ese depositional variations occur.  </w:t>
      </w:r>
      <w:r w:rsidRPr="006D613B">
        <w:rPr>
          <w:lang w:eastAsia="ja-JP" w:bidi="en-US"/>
        </w:rPr>
        <w:t xml:space="preserve">It </w:t>
      </w:r>
      <w:r>
        <w:rPr>
          <w:lang w:eastAsia="ja-JP" w:bidi="en-US"/>
        </w:rPr>
        <w:t>is</w:t>
      </w:r>
      <w:r w:rsidRPr="006D613B">
        <w:rPr>
          <w:lang w:eastAsia="ja-JP" w:bidi="en-US"/>
        </w:rPr>
        <w:t xml:space="preserve"> necessary to p</w:t>
      </w:r>
      <w:r>
        <w:rPr>
          <w:lang w:eastAsia="ja-JP" w:bidi="en-US"/>
        </w:rPr>
        <w:t>erform</w:t>
      </w:r>
      <w:r w:rsidRPr="006D613B">
        <w:rPr>
          <w:lang w:eastAsia="ja-JP" w:bidi="en-US"/>
        </w:rPr>
        <w:t xml:space="preserve"> a workflow that involves multidisciplinary integration of geological, geochemical (both organic and inorganic) and geophysical characterizations to identify the characteristics of these deposits</w:t>
      </w:r>
      <w:r>
        <w:rPr>
          <w:lang w:eastAsia="ja-JP" w:bidi="en-US"/>
        </w:rPr>
        <w:t xml:space="preserve">, how they vary vertically in the </w:t>
      </w:r>
      <w:r w:rsidRPr="006D613B">
        <w:rPr>
          <w:lang w:eastAsia="ja-JP" w:bidi="en-US"/>
        </w:rPr>
        <w:t>stratigraphic section of the Woodford Shale</w:t>
      </w:r>
      <w:r>
        <w:rPr>
          <w:lang w:eastAsia="ja-JP" w:bidi="en-US"/>
        </w:rPr>
        <w:t xml:space="preserve"> </w:t>
      </w:r>
      <w:r w:rsidRPr="006D613B">
        <w:rPr>
          <w:lang w:eastAsia="ja-JP" w:bidi="en-US"/>
        </w:rPr>
        <w:t>(</w:t>
      </w:r>
      <w:r>
        <w:rPr>
          <w:lang w:eastAsia="ja-JP" w:bidi="en-US"/>
        </w:rPr>
        <w:t xml:space="preserve">internal variations in organic matter content and type; variability of the </w:t>
      </w:r>
      <w:r w:rsidRPr="006D613B">
        <w:rPr>
          <w:lang w:eastAsia="ja-JP" w:bidi="en-US"/>
        </w:rPr>
        <w:t>major h</w:t>
      </w:r>
      <w:r>
        <w:rPr>
          <w:lang w:eastAsia="ja-JP" w:bidi="en-US"/>
        </w:rPr>
        <w:t>eavy elements; and differences in mineralogy),</w:t>
      </w:r>
      <w:r w:rsidRPr="006D613B">
        <w:rPr>
          <w:lang w:eastAsia="ja-JP" w:bidi="en-US"/>
        </w:rPr>
        <w:t xml:space="preserve"> </w:t>
      </w:r>
      <w:r>
        <w:rPr>
          <w:lang w:eastAsia="ja-JP" w:bidi="en-US"/>
        </w:rPr>
        <w:t>and how they are laterally dissimilar by analyzing and comparing different Woodford locations in the Oklahoman</w:t>
      </w:r>
      <w:r w:rsidRPr="006D613B">
        <w:rPr>
          <w:lang w:eastAsia="ja-JP" w:bidi="en-US"/>
        </w:rPr>
        <w:t xml:space="preserve"> </w:t>
      </w:r>
      <w:r>
        <w:rPr>
          <w:lang w:eastAsia="ja-JP" w:bidi="en-US"/>
        </w:rPr>
        <w:t>petroleum provinces</w:t>
      </w:r>
      <w:r w:rsidRPr="006D613B">
        <w:rPr>
          <w:lang w:eastAsia="ja-JP" w:bidi="en-US"/>
        </w:rPr>
        <w:t>.</w:t>
      </w:r>
      <w:r>
        <w:rPr>
          <w:lang w:eastAsia="ja-JP" w:bidi="en-US"/>
        </w:rPr>
        <w:t xml:space="preserve"> </w:t>
      </w:r>
    </w:p>
    <w:p w14:paraId="3A6959C5" w14:textId="617CB13E" w:rsidR="000C43D6" w:rsidRDefault="000326AF" w:rsidP="000C43D6">
      <w:pPr>
        <w:ind w:firstLine="360"/>
        <w:rPr>
          <w:lang w:eastAsia="ja-JP" w:bidi="en-US"/>
        </w:rPr>
      </w:pPr>
      <w:r>
        <w:rPr>
          <w:lang w:eastAsia="ja-JP" w:bidi="en-US"/>
        </w:rPr>
        <w:t>T</w:t>
      </w:r>
      <w:r w:rsidR="000C43D6">
        <w:rPr>
          <w:lang w:eastAsia="ja-JP" w:bidi="en-US"/>
        </w:rPr>
        <w:t xml:space="preserve">he </w:t>
      </w:r>
      <w:r w:rsidR="000C43D6" w:rsidRPr="006D613B">
        <w:rPr>
          <w:lang w:eastAsia="ja-JP" w:bidi="en-US"/>
        </w:rPr>
        <w:t>enclosed mini-basin fill</w:t>
      </w:r>
      <w:r w:rsidR="000C43D6">
        <w:rPr>
          <w:lang w:eastAsia="ja-JP" w:bidi="en-US"/>
        </w:rPr>
        <w:t xml:space="preserve"> settings occur locally </w:t>
      </w:r>
      <w:r w:rsidR="000C43D6" w:rsidRPr="006D613B">
        <w:rPr>
          <w:lang w:eastAsia="ja-JP" w:bidi="en-US"/>
        </w:rPr>
        <w:t>in</w:t>
      </w:r>
      <w:r w:rsidR="000C43D6">
        <w:rPr>
          <w:lang w:eastAsia="ja-JP" w:bidi="en-US"/>
        </w:rPr>
        <w:t xml:space="preserve"> a</w:t>
      </w:r>
      <w:r w:rsidR="000C43D6" w:rsidRPr="006D613B">
        <w:rPr>
          <w:lang w:eastAsia="ja-JP" w:bidi="en-US"/>
        </w:rPr>
        <w:t>reas of thicker (gross thickness greater than 200 ft) and more organic-rich Woodford Shale (greater than 5.5</w:t>
      </w:r>
      <w:r w:rsidR="000C43D6">
        <w:rPr>
          <w:lang w:eastAsia="ja-JP" w:bidi="en-US"/>
        </w:rPr>
        <w:t xml:space="preserve"> </w:t>
      </w:r>
      <w:r w:rsidR="000C43D6" w:rsidRPr="006D613B">
        <w:rPr>
          <w:lang w:eastAsia="ja-JP" w:bidi="en-US"/>
        </w:rPr>
        <w:t xml:space="preserve">% </w:t>
      </w:r>
      <w:r w:rsidR="00DF6234">
        <w:rPr>
          <w:lang w:eastAsia="ja-JP" w:bidi="en-US"/>
        </w:rPr>
        <w:t>o</w:t>
      </w:r>
      <w:r w:rsidR="000C43D6" w:rsidRPr="006D613B">
        <w:rPr>
          <w:lang w:eastAsia="ja-JP" w:bidi="en-US"/>
        </w:rPr>
        <w:t xml:space="preserve">n average </w:t>
      </w:r>
      <w:r w:rsidR="000C43D6">
        <w:rPr>
          <w:lang w:eastAsia="ja-JP" w:bidi="en-US"/>
        </w:rPr>
        <w:t xml:space="preserve">of </w:t>
      </w:r>
      <w:r w:rsidR="000C43D6" w:rsidRPr="006D613B">
        <w:rPr>
          <w:lang w:eastAsia="ja-JP" w:bidi="en-US"/>
        </w:rPr>
        <w:t xml:space="preserve">total organic carbon TOC). </w:t>
      </w:r>
      <w:r>
        <w:rPr>
          <w:lang w:eastAsia="ja-JP" w:bidi="en-US"/>
        </w:rPr>
        <w:t xml:space="preserve">By </w:t>
      </w:r>
      <w:r w:rsidR="000C43D6">
        <w:rPr>
          <w:lang w:eastAsia="ja-JP" w:bidi="en-US"/>
        </w:rPr>
        <w:t>understanding the context of regional sea-level fluctuations in the Upper Devonian time,</w:t>
      </w:r>
      <w:r w:rsidR="000C43D6" w:rsidRPr="006D613B">
        <w:rPr>
          <w:lang w:eastAsia="ja-JP" w:bidi="en-US"/>
        </w:rPr>
        <w:t xml:space="preserve"> </w:t>
      </w:r>
      <w:r>
        <w:rPr>
          <w:lang w:eastAsia="ja-JP" w:bidi="en-US"/>
        </w:rPr>
        <w:t xml:space="preserve">it is observed that </w:t>
      </w:r>
      <w:r w:rsidR="000C43D6" w:rsidRPr="006D613B">
        <w:rPr>
          <w:lang w:eastAsia="ja-JP" w:bidi="en-US"/>
        </w:rPr>
        <w:t>t</w:t>
      </w:r>
      <w:r w:rsidR="000C43D6">
        <w:rPr>
          <w:lang w:eastAsia="ja-JP" w:bidi="en-US"/>
        </w:rPr>
        <w:t>he Woodford Shale is deposited upon a</w:t>
      </w:r>
      <w:r w:rsidR="000C43D6" w:rsidRPr="006D613B">
        <w:rPr>
          <w:lang w:eastAsia="ja-JP" w:bidi="en-US"/>
        </w:rPr>
        <w:t xml:space="preserve"> pre-existent carbonate platform</w:t>
      </w:r>
      <w:r w:rsidR="000C43D6">
        <w:rPr>
          <w:lang w:eastAsia="ja-JP" w:bidi="en-US"/>
        </w:rPr>
        <w:t xml:space="preserve">, where this platform </w:t>
      </w:r>
      <w:r w:rsidR="000C43D6" w:rsidRPr="006D613B">
        <w:rPr>
          <w:lang w:eastAsia="ja-JP" w:bidi="en-US"/>
        </w:rPr>
        <w:t xml:space="preserve">was </w:t>
      </w:r>
      <w:r w:rsidR="000C43D6">
        <w:rPr>
          <w:lang w:eastAsia="ja-JP" w:bidi="en-US"/>
        </w:rPr>
        <w:t xml:space="preserve">previously </w:t>
      </w:r>
      <w:r w:rsidR="000C43D6" w:rsidRPr="006D613B">
        <w:rPr>
          <w:lang w:eastAsia="ja-JP" w:bidi="en-US"/>
        </w:rPr>
        <w:t xml:space="preserve">eroded by karstification or incised valley development during regional sea level drops </w:t>
      </w:r>
      <w:r w:rsidR="000C43D6">
        <w:rPr>
          <w:lang w:eastAsia="ja-JP" w:bidi="en-US"/>
        </w:rPr>
        <w:t>at</w:t>
      </w:r>
      <w:r w:rsidR="000C43D6" w:rsidRPr="006D613B">
        <w:rPr>
          <w:lang w:eastAsia="ja-JP" w:bidi="en-US"/>
        </w:rPr>
        <w:t xml:space="preserve"> </w:t>
      </w:r>
      <w:r w:rsidR="000C43D6">
        <w:rPr>
          <w:lang w:eastAsia="ja-JP" w:bidi="en-US"/>
        </w:rPr>
        <w:t xml:space="preserve">the </w:t>
      </w:r>
      <w:r w:rsidR="000C43D6" w:rsidRPr="006D613B">
        <w:rPr>
          <w:lang w:eastAsia="ja-JP" w:bidi="en-US"/>
        </w:rPr>
        <w:t>pre-Woodford time. These karst/incised valley-forming processes formed a regional erosional unconformity, which allowed the development of sinkholes</w:t>
      </w:r>
      <w:r w:rsidR="000C43D6">
        <w:rPr>
          <w:lang w:eastAsia="ja-JP" w:bidi="en-US"/>
        </w:rPr>
        <w:t>, pockets,</w:t>
      </w:r>
      <w:r w:rsidR="000C43D6" w:rsidRPr="006D613B">
        <w:rPr>
          <w:lang w:eastAsia="ja-JP" w:bidi="en-US"/>
        </w:rPr>
        <w:t xml:space="preserve"> and pods with more accommodation space for Woodford Shale sediment deposition in enclosed mini-basin fill</w:t>
      </w:r>
      <w:r w:rsidR="000C43D6">
        <w:rPr>
          <w:lang w:eastAsia="ja-JP" w:bidi="en-US"/>
        </w:rPr>
        <w:t xml:space="preserve"> settings</w:t>
      </w:r>
      <w:r w:rsidR="000C43D6" w:rsidRPr="006D613B">
        <w:rPr>
          <w:lang w:eastAsia="ja-JP" w:bidi="en-US"/>
        </w:rPr>
        <w:t xml:space="preserve">. </w:t>
      </w:r>
      <w:r>
        <w:rPr>
          <w:lang w:eastAsia="ja-JP" w:bidi="en-US"/>
        </w:rPr>
        <w:t>T</w:t>
      </w:r>
      <w:r w:rsidR="000C43D6" w:rsidRPr="006D613B">
        <w:rPr>
          <w:lang w:eastAsia="ja-JP" w:bidi="en-US"/>
        </w:rPr>
        <w:t>he</w:t>
      </w:r>
      <w:r w:rsidR="000C43D6">
        <w:rPr>
          <w:lang w:eastAsia="ja-JP" w:bidi="en-US"/>
        </w:rPr>
        <w:t>se erosional unconformities</w:t>
      </w:r>
      <w:r w:rsidR="000C43D6" w:rsidRPr="006D613B">
        <w:rPr>
          <w:lang w:eastAsia="ja-JP" w:bidi="en-US"/>
        </w:rPr>
        <w:t xml:space="preserve"> can be identified in outcrops, cores, well logs, and on 3D seismic data sets. </w:t>
      </w:r>
      <w:r w:rsidR="000C43D6">
        <w:rPr>
          <w:lang w:eastAsia="ja-JP" w:bidi="en-US"/>
        </w:rPr>
        <w:t xml:space="preserve">I propose that </w:t>
      </w:r>
      <w:r w:rsidR="000C43D6" w:rsidRPr="00CD79E8">
        <w:rPr>
          <w:lang w:eastAsia="ja-JP" w:bidi="en-US"/>
        </w:rPr>
        <w:t>the</w:t>
      </w:r>
      <w:r w:rsidR="00CD79E8">
        <w:rPr>
          <w:lang w:eastAsia="ja-JP" w:bidi="en-US"/>
        </w:rPr>
        <w:t xml:space="preserve"> </w:t>
      </w:r>
      <w:r w:rsidR="000C43D6" w:rsidRPr="006D613B">
        <w:rPr>
          <w:lang w:eastAsia="ja-JP" w:bidi="en-US"/>
        </w:rPr>
        <w:t>localized and discont</w:t>
      </w:r>
      <w:r w:rsidR="000C43D6">
        <w:rPr>
          <w:lang w:eastAsia="ja-JP" w:bidi="en-US"/>
        </w:rPr>
        <w:t>inuous enclosed mini-basin fills</w:t>
      </w:r>
      <w:r w:rsidR="000C43D6" w:rsidRPr="006D613B">
        <w:rPr>
          <w:lang w:eastAsia="ja-JP" w:bidi="en-US"/>
        </w:rPr>
        <w:t xml:space="preserve"> </w:t>
      </w:r>
      <w:r w:rsidR="000C43D6">
        <w:rPr>
          <w:lang w:eastAsia="ja-JP" w:bidi="en-US"/>
        </w:rPr>
        <w:t xml:space="preserve">settings </w:t>
      </w:r>
      <w:r w:rsidR="000C43D6" w:rsidRPr="006D613B">
        <w:rPr>
          <w:lang w:eastAsia="ja-JP" w:bidi="en-US"/>
        </w:rPr>
        <w:t xml:space="preserve">represented silled constricted oceanic circulation </w:t>
      </w:r>
      <w:r w:rsidR="000C43D6">
        <w:rPr>
          <w:lang w:eastAsia="ja-JP" w:bidi="en-US"/>
        </w:rPr>
        <w:t xml:space="preserve">with higher </w:t>
      </w:r>
      <w:r w:rsidR="000C43D6" w:rsidRPr="006D613B">
        <w:rPr>
          <w:lang w:eastAsia="ja-JP" w:bidi="en-US"/>
        </w:rPr>
        <w:t xml:space="preserve">bottom-water </w:t>
      </w:r>
      <w:r w:rsidR="000C43D6">
        <w:rPr>
          <w:lang w:eastAsia="ja-JP" w:bidi="en-US"/>
        </w:rPr>
        <w:t>euxinia (high free sulfur), which</w:t>
      </w:r>
      <w:r w:rsidR="000C43D6" w:rsidRPr="006D613B">
        <w:rPr>
          <w:lang w:eastAsia="ja-JP" w:bidi="en-US"/>
        </w:rPr>
        <w:t xml:space="preserve"> had better conditions for accumulation </w:t>
      </w:r>
      <w:r w:rsidR="000C43D6" w:rsidRPr="006D613B">
        <w:rPr>
          <w:lang w:eastAsia="ja-JP" w:bidi="en-US"/>
        </w:rPr>
        <w:lastRenderedPageBreak/>
        <w:t xml:space="preserve">and preservation of clay and organic matter </w:t>
      </w:r>
      <w:r w:rsidR="000C43D6">
        <w:rPr>
          <w:lang w:eastAsia="ja-JP" w:bidi="en-US"/>
        </w:rPr>
        <w:t xml:space="preserve">particles </w:t>
      </w:r>
      <w:r w:rsidR="000C43D6" w:rsidRPr="006D613B">
        <w:rPr>
          <w:lang w:eastAsia="ja-JP" w:bidi="en-US"/>
        </w:rPr>
        <w:t>than did</w:t>
      </w:r>
      <w:r w:rsidR="000C43D6">
        <w:rPr>
          <w:lang w:eastAsia="ja-JP" w:bidi="en-US"/>
        </w:rPr>
        <w:t xml:space="preserve"> the</w:t>
      </w:r>
      <w:r w:rsidR="000C43D6" w:rsidRPr="006D613B">
        <w:rPr>
          <w:lang w:eastAsia="ja-JP" w:bidi="en-US"/>
        </w:rPr>
        <w:t xml:space="preserve"> well</w:t>
      </w:r>
      <w:r w:rsidR="000C43D6">
        <w:rPr>
          <w:lang w:eastAsia="ja-JP" w:bidi="en-US"/>
        </w:rPr>
        <w:t>-</w:t>
      </w:r>
      <w:r w:rsidR="000C43D6" w:rsidRPr="006D613B">
        <w:rPr>
          <w:lang w:eastAsia="ja-JP" w:bidi="en-US"/>
        </w:rPr>
        <w:t>circulated, open marine settings</w:t>
      </w:r>
      <w:r w:rsidR="000C43D6">
        <w:rPr>
          <w:lang w:eastAsia="ja-JP" w:bidi="en-US"/>
        </w:rPr>
        <w:t>. I interpret that these depositional differences provide recognizable patterns in bed thickness and organic matter variations inside the Woodford Shale. I propose that areas in Oklahoma with thicker Woodford</w:t>
      </w:r>
      <w:r w:rsidR="000C43D6" w:rsidRPr="003E13CE">
        <w:rPr>
          <w:lang w:eastAsia="ja-JP" w:bidi="en-US"/>
        </w:rPr>
        <w:t xml:space="preserve"> enclosed mini-basin fill</w:t>
      </w:r>
      <w:r w:rsidR="000C43D6">
        <w:rPr>
          <w:lang w:eastAsia="ja-JP" w:bidi="en-US"/>
        </w:rPr>
        <w:t xml:space="preserve"> </w:t>
      </w:r>
      <w:r w:rsidR="000C43D6" w:rsidRPr="003E13CE">
        <w:rPr>
          <w:lang w:eastAsia="ja-JP" w:bidi="en-US"/>
        </w:rPr>
        <w:t>s</w:t>
      </w:r>
      <w:r w:rsidR="000C43D6">
        <w:rPr>
          <w:lang w:eastAsia="ja-JP" w:bidi="en-US"/>
        </w:rPr>
        <w:t>ettings</w:t>
      </w:r>
      <w:r w:rsidR="000C43D6" w:rsidRPr="003E13CE">
        <w:rPr>
          <w:lang w:eastAsia="ja-JP" w:bidi="en-US"/>
        </w:rPr>
        <w:t xml:space="preserve"> are stratigraphical variations that could economically produce more oil </w:t>
      </w:r>
      <w:r w:rsidR="000C43D6">
        <w:rPr>
          <w:lang w:eastAsia="ja-JP" w:bidi="en-US"/>
        </w:rPr>
        <w:t xml:space="preserve">and gas </w:t>
      </w:r>
      <w:r w:rsidR="000C43D6" w:rsidRPr="003E13CE">
        <w:rPr>
          <w:lang w:eastAsia="ja-JP" w:bidi="en-US"/>
        </w:rPr>
        <w:t xml:space="preserve">than </w:t>
      </w:r>
      <w:r w:rsidR="000C43D6">
        <w:rPr>
          <w:lang w:eastAsia="ja-JP" w:bidi="en-US"/>
        </w:rPr>
        <w:t>other areas deposited under more open marine conditions or thinner enclose</w:t>
      </w:r>
      <w:r>
        <w:rPr>
          <w:lang w:eastAsia="ja-JP" w:bidi="en-US"/>
        </w:rPr>
        <w:t>d</w:t>
      </w:r>
      <w:r w:rsidR="000C43D6">
        <w:rPr>
          <w:lang w:eastAsia="ja-JP" w:bidi="en-US"/>
        </w:rPr>
        <w:t xml:space="preserve"> mini-basin fill intervals. I capture these intervals by determining </w:t>
      </w:r>
      <w:r w:rsidR="000C43D6" w:rsidRPr="003E13CE">
        <w:rPr>
          <w:lang w:eastAsia="ja-JP" w:bidi="en-US"/>
        </w:rPr>
        <w:t>which</w:t>
      </w:r>
      <w:r w:rsidR="000C43D6">
        <w:rPr>
          <w:lang w:eastAsia="ja-JP" w:bidi="en-US"/>
        </w:rPr>
        <w:t xml:space="preserve"> ones</w:t>
      </w:r>
      <w:r w:rsidR="000C43D6" w:rsidRPr="003E13CE">
        <w:rPr>
          <w:lang w:eastAsia="ja-JP" w:bidi="en-US"/>
        </w:rPr>
        <w:t xml:space="preserve"> contain </w:t>
      </w:r>
      <w:r w:rsidR="000C43D6">
        <w:rPr>
          <w:lang w:eastAsia="ja-JP" w:bidi="en-US"/>
        </w:rPr>
        <w:t xml:space="preserve">more organic matter, more hydrogen, lower oxygen, more </w:t>
      </w:r>
      <w:r w:rsidR="000C43D6" w:rsidRPr="003E13CE">
        <w:rPr>
          <w:lang w:eastAsia="ja-JP" w:bidi="en-US"/>
        </w:rPr>
        <w:t>amorphous organic matter</w:t>
      </w:r>
      <w:r w:rsidR="000C43D6">
        <w:rPr>
          <w:lang w:eastAsia="ja-JP" w:bidi="en-US"/>
        </w:rPr>
        <w:t xml:space="preserve"> (more oil-prone than gas prone)</w:t>
      </w:r>
      <w:r w:rsidR="000C43D6" w:rsidRPr="003E13CE">
        <w:rPr>
          <w:lang w:eastAsia="ja-JP" w:bidi="en-US"/>
        </w:rPr>
        <w:t xml:space="preserve">, </w:t>
      </w:r>
      <w:r w:rsidR="000C43D6">
        <w:rPr>
          <w:lang w:eastAsia="ja-JP" w:bidi="en-US"/>
        </w:rPr>
        <w:t>the differences in</w:t>
      </w:r>
      <w:r w:rsidR="000C43D6" w:rsidRPr="003E13CE">
        <w:rPr>
          <w:lang w:eastAsia="ja-JP" w:bidi="en-US"/>
        </w:rPr>
        <w:t xml:space="preserve"> </w:t>
      </w:r>
      <w:r w:rsidR="000C43D6">
        <w:rPr>
          <w:lang w:eastAsia="ja-JP" w:bidi="en-US"/>
        </w:rPr>
        <w:t xml:space="preserve">paleo water </w:t>
      </w:r>
      <w:r w:rsidR="000C43D6" w:rsidRPr="002C1DA7">
        <w:rPr>
          <w:lang w:eastAsia="ja-JP" w:bidi="en-US"/>
        </w:rPr>
        <w:t>chemistry (water column stratification, higher water salinity, higher levels of anoxia and euxinia). I recognize that these enclosed mini-basin fill geochemical characteristics are combined with the</w:t>
      </w:r>
      <w:r w:rsidR="000C43D6">
        <w:rPr>
          <w:lang w:eastAsia="ja-JP" w:bidi="en-US"/>
        </w:rPr>
        <w:t xml:space="preserve"> identification of enrichments</w:t>
      </w:r>
      <w:r w:rsidR="000C43D6" w:rsidRPr="003E13CE">
        <w:rPr>
          <w:lang w:eastAsia="ja-JP" w:bidi="en-US"/>
        </w:rPr>
        <w:t xml:space="preserve"> in</w:t>
      </w:r>
      <w:r w:rsidR="000C43D6">
        <w:rPr>
          <w:lang w:eastAsia="ja-JP" w:bidi="en-US"/>
        </w:rPr>
        <w:t xml:space="preserve"> detrital</w:t>
      </w:r>
      <w:r w:rsidR="000C43D6" w:rsidRPr="003E13CE">
        <w:rPr>
          <w:lang w:eastAsia="ja-JP" w:bidi="en-US"/>
        </w:rPr>
        <w:t xml:space="preserve"> quartz and relatively</w:t>
      </w:r>
      <w:r w:rsidR="000C43D6">
        <w:rPr>
          <w:lang w:eastAsia="ja-JP" w:bidi="en-US"/>
        </w:rPr>
        <w:t xml:space="preserve"> high depletions in the</w:t>
      </w:r>
      <w:r w:rsidR="000C43D6" w:rsidRPr="003E13CE">
        <w:rPr>
          <w:lang w:eastAsia="ja-JP" w:bidi="en-US"/>
        </w:rPr>
        <w:t xml:space="preserve"> clay content</w:t>
      </w:r>
      <w:r w:rsidR="000C43D6">
        <w:rPr>
          <w:lang w:eastAsia="ja-JP" w:bidi="en-US"/>
        </w:rPr>
        <w:t xml:space="preserve"> of the lithofacies. The enclosed mini-basin fill deposits not only accumulate more organic matter but present different petrophysical and mechanical characteristics that, when modeled, simulated and compared with reported production, recover higher volumes of hydrocarbons under the standard unconventional petroleum industry operational practices</w:t>
      </w:r>
      <w:r w:rsidR="000C43D6" w:rsidRPr="003E13CE">
        <w:rPr>
          <w:lang w:eastAsia="ja-JP" w:bidi="en-US"/>
        </w:rPr>
        <w:t>.</w:t>
      </w:r>
    </w:p>
    <w:p w14:paraId="033A0A26" w14:textId="1E673E38" w:rsidR="00ED4B56" w:rsidRDefault="00ED4B56" w:rsidP="004E4D87">
      <w:pPr>
        <w:ind w:firstLine="360"/>
        <w:rPr>
          <w:lang w:eastAsia="ja-JP" w:bidi="en-US"/>
        </w:rPr>
      </w:pPr>
    </w:p>
    <w:p w14:paraId="79CAA96E" w14:textId="17F57CA4" w:rsidR="00ED4B56" w:rsidRDefault="00ED4B56" w:rsidP="004E4D87">
      <w:pPr>
        <w:ind w:firstLine="360"/>
        <w:rPr>
          <w:lang w:eastAsia="ja-JP" w:bidi="en-US"/>
        </w:rPr>
      </w:pPr>
    </w:p>
    <w:p w14:paraId="3FBB53F4" w14:textId="36DA5CE3" w:rsidR="00ED4B56" w:rsidRDefault="00ED4B56" w:rsidP="004E4D87">
      <w:pPr>
        <w:ind w:firstLine="360"/>
        <w:rPr>
          <w:lang w:eastAsia="ja-JP" w:bidi="en-US"/>
        </w:rPr>
      </w:pPr>
    </w:p>
    <w:p w14:paraId="722A3AB7" w14:textId="701E17AD" w:rsidR="00ED4B56" w:rsidRDefault="00ED4B56" w:rsidP="004E4D87">
      <w:pPr>
        <w:ind w:firstLine="360"/>
        <w:rPr>
          <w:lang w:eastAsia="ja-JP" w:bidi="en-US"/>
        </w:rPr>
      </w:pPr>
    </w:p>
    <w:p w14:paraId="4D7F4C8C" w14:textId="5798A735" w:rsidR="00ED4B56" w:rsidRDefault="00ED4B56" w:rsidP="004E4D87">
      <w:pPr>
        <w:ind w:firstLine="360"/>
        <w:rPr>
          <w:lang w:eastAsia="ja-JP" w:bidi="en-US"/>
        </w:rPr>
      </w:pPr>
    </w:p>
    <w:p w14:paraId="16537DBD" w14:textId="2B51DEC8" w:rsidR="00ED4B56" w:rsidRDefault="00ED4B56" w:rsidP="004E4D87">
      <w:pPr>
        <w:ind w:firstLine="360"/>
        <w:rPr>
          <w:lang w:eastAsia="ja-JP" w:bidi="en-US"/>
        </w:rPr>
      </w:pPr>
    </w:p>
    <w:p w14:paraId="51100F1E" w14:textId="6FFF8F42" w:rsidR="00951298" w:rsidRPr="0041763C" w:rsidRDefault="00951298" w:rsidP="00951298">
      <w:pPr>
        <w:pStyle w:val="Heading1"/>
        <w:rPr>
          <w:lang w:bidi="en-US"/>
        </w:rPr>
      </w:pPr>
      <w:bookmarkStart w:id="15" w:name="_Toc35861074"/>
      <w:r>
        <w:rPr>
          <w:lang w:bidi="en-US"/>
        </w:rPr>
        <w:lastRenderedPageBreak/>
        <w:t>Introduction</w:t>
      </w:r>
      <w:bookmarkEnd w:id="15"/>
    </w:p>
    <w:p w14:paraId="0799E0D3" w14:textId="77777777" w:rsidR="000C43D6" w:rsidRDefault="00951298" w:rsidP="000C43D6">
      <w:pPr>
        <w:ind w:firstLine="360"/>
        <w:rPr>
          <w:lang w:eastAsia="ja-JP" w:bidi="en-US"/>
        </w:rPr>
      </w:pPr>
      <w:r>
        <w:rPr>
          <w:lang w:eastAsia="ja-JP" w:bidi="en-US"/>
        </w:rPr>
        <w:t>F</w:t>
      </w:r>
      <w:r w:rsidR="000C43D6">
        <w:rPr>
          <w:lang w:eastAsia="ja-JP" w:bidi="en-US"/>
        </w:rPr>
        <w:t xml:space="preserve">our sections and integrated conclusions are presented in this manuscript. These represent the </w:t>
      </w:r>
      <w:r w:rsidR="000C43D6" w:rsidRPr="00B43394">
        <w:rPr>
          <w:lang w:eastAsia="ja-JP" w:bidi="en-US"/>
        </w:rPr>
        <w:t>description, interpretations, and</w:t>
      </w:r>
      <w:r w:rsidR="000C43D6">
        <w:rPr>
          <w:lang w:eastAsia="ja-JP" w:bidi="en-US"/>
        </w:rPr>
        <w:t xml:space="preserve"> applications of detailed </w:t>
      </w:r>
      <w:r w:rsidR="000C43D6" w:rsidRPr="00B43394">
        <w:rPr>
          <w:lang w:eastAsia="ja-JP" w:bidi="en-US"/>
        </w:rPr>
        <w:t>geological, geochemical</w:t>
      </w:r>
      <w:r w:rsidR="000C43D6">
        <w:rPr>
          <w:lang w:eastAsia="ja-JP" w:bidi="en-US"/>
        </w:rPr>
        <w:t>,</w:t>
      </w:r>
      <w:r w:rsidR="000C43D6" w:rsidRPr="00B43394">
        <w:rPr>
          <w:lang w:eastAsia="ja-JP" w:bidi="en-US"/>
        </w:rPr>
        <w:t xml:space="preserve"> and geophysical analys</w:t>
      </w:r>
      <w:r w:rsidR="000C43D6">
        <w:rPr>
          <w:lang w:eastAsia="ja-JP" w:bidi="en-US"/>
        </w:rPr>
        <w:t>e</w:t>
      </w:r>
      <w:r w:rsidR="000C43D6" w:rsidRPr="00B43394">
        <w:rPr>
          <w:lang w:eastAsia="ja-JP" w:bidi="en-US"/>
        </w:rPr>
        <w:t xml:space="preserve">s </w:t>
      </w:r>
      <w:r w:rsidR="000C43D6">
        <w:rPr>
          <w:lang w:eastAsia="ja-JP" w:bidi="en-US"/>
        </w:rPr>
        <w:t>of</w:t>
      </w:r>
      <w:r w:rsidR="000C43D6" w:rsidRPr="00B43394">
        <w:rPr>
          <w:lang w:eastAsia="ja-JP" w:bidi="en-US"/>
        </w:rPr>
        <w:t xml:space="preserve"> Woodford Shale</w:t>
      </w:r>
      <w:r w:rsidR="000C43D6">
        <w:rPr>
          <w:lang w:eastAsia="ja-JP" w:bidi="en-US"/>
        </w:rPr>
        <w:t>'s</w:t>
      </w:r>
      <w:r w:rsidR="000C43D6" w:rsidRPr="00B43394">
        <w:rPr>
          <w:lang w:eastAsia="ja-JP" w:bidi="en-US"/>
        </w:rPr>
        <w:t xml:space="preserve"> successions in different provinces of Oklahoma, USA. By integrating a series of discrete methodologies and data sets, </w:t>
      </w:r>
      <w:r w:rsidR="000C43D6">
        <w:rPr>
          <w:lang w:eastAsia="ja-JP" w:bidi="en-US"/>
        </w:rPr>
        <w:t xml:space="preserve">I </w:t>
      </w:r>
      <w:r w:rsidR="000C43D6" w:rsidRPr="00B43394">
        <w:rPr>
          <w:lang w:eastAsia="ja-JP" w:bidi="en-US"/>
        </w:rPr>
        <w:t xml:space="preserve">describe and interpret some of the Woodford </w:t>
      </w:r>
      <w:r w:rsidR="000C43D6">
        <w:rPr>
          <w:lang w:eastAsia="ja-JP" w:bidi="en-US"/>
        </w:rPr>
        <w:t xml:space="preserve">rock intervals </w:t>
      </w:r>
      <w:r w:rsidR="000C43D6" w:rsidRPr="00B43394">
        <w:rPr>
          <w:lang w:eastAsia="ja-JP" w:bidi="en-US"/>
        </w:rPr>
        <w:t xml:space="preserve">as </w:t>
      </w:r>
      <w:r w:rsidR="000C43D6">
        <w:rPr>
          <w:lang w:eastAsia="ja-JP" w:bidi="en-US"/>
        </w:rPr>
        <w:t>enclosed mini-basin fill</w:t>
      </w:r>
      <w:r w:rsidR="000C43D6" w:rsidRPr="00B43394">
        <w:rPr>
          <w:lang w:eastAsia="ja-JP" w:bidi="en-US"/>
        </w:rPr>
        <w:t xml:space="preserve"> deposits within an overall </w:t>
      </w:r>
      <w:r w:rsidR="000C43D6">
        <w:rPr>
          <w:lang w:eastAsia="ja-JP" w:bidi="en-US"/>
        </w:rPr>
        <w:t xml:space="preserve">open </w:t>
      </w:r>
      <w:r w:rsidR="000C43D6" w:rsidRPr="00B43394">
        <w:rPr>
          <w:lang w:eastAsia="ja-JP" w:bidi="en-US"/>
        </w:rPr>
        <w:t xml:space="preserve">marine setting. This document builds on the premise that the Woodford Shale is not entirely an open marine deposit and is not homogeneous in its vertical stratigraphy or lateral continuity. </w:t>
      </w:r>
      <w:r w:rsidR="000C43D6">
        <w:rPr>
          <w:lang w:eastAsia="ja-JP" w:bidi="en-US"/>
        </w:rPr>
        <w:t>I</w:t>
      </w:r>
      <w:r w:rsidR="000C43D6" w:rsidRPr="00B43394">
        <w:rPr>
          <w:lang w:eastAsia="ja-JP" w:bidi="en-US"/>
        </w:rPr>
        <w:t xml:space="preserve"> propose a consistent way to build robust, reliable geological</w:t>
      </w:r>
      <w:r w:rsidR="000C43D6">
        <w:rPr>
          <w:lang w:eastAsia="ja-JP" w:bidi="en-US"/>
        </w:rPr>
        <w:t>,</w:t>
      </w:r>
      <w:r w:rsidR="000C43D6" w:rsidRPr="00B43394">
        <w:rPr>
          <w:lang w:eastAsia="ja-JP" w:bidi="en-US"/>
        </w:rPr>
        <w:t xml:space="preserve"> geochemical</w:t>
      </w:r>
      <w:r w:rsidR="000C43D6">
        <w:rPr>
          <w:lang w:eastAsia="ja-JP" w:bidi="en-US"/>
        </w:rPr>
        <w:t>,</w:t>
      </w:r>
      <w:r w:rsidR="000C43D6" w:rsidRPr="00B43394">
        <w:rPr>
          <w:lang w:eastAsia="ja-JP" w:bidi="en-US"/>
        </w:rPr>
        <w:t xml:space="preserve"> </w:t>
      </w:r>
      <w:r w:rsidR="000C43D6">
        <w:rPr>
          <w:lang w:eastAsia="ja-JP" w:bidi="en-US"/>
        </w:rPr>
        <w:t>and petrophysical data sets</w:t>
      </w:r>
      <w:r w:rsidR="000C43D6" w:rsidRPr="00B43394">
        <w:rPr>
          <w:lang w:eastAsia="ja-JP" w:bidi="en-US"/>
        </w:rPr>
        <w:t xml:space="preserve"> and combine them with quantitative 3D seismic interpretations and estimations of inorganic composition, organic matter</w:t>
      </w:r>
      <w:r w:rsidR="000C43D6">
        <w:rPr>
          <w:lang w:eastAsia="ja-JP" w:bidi="en-US"/>
        </w:rPr>
        <w:t>,</w:t>
      </w:r>
      <w:r w:rsidR="000C43D6" w:rsidRPr="00B43394">
        <w:rPr>
          <w:lang w:eastAsia="ja-JP" w:bidi="en-US"/>
        </w:rPr>
        <w:t xml:space="preserve"> and rock mechanic properties. These data sets can be used to interpret </w:t>
      </w:r>
      <w:r w:rsidR="000C43D6">
        <w:rPr>
          <w:lang w:eastAsia="ja-JP" w:bidi="en-US"/>
        </w:rPr>
        <w:t>sequence</w:t>
      </w:r>
      <w:r w:rsidR="000C43D6" w:rsidRPr="00B43394">
        <w:rPr>
          <w:lang w:eastAsia="ja-JP" w:bidi="en-US"/>
        </w:rPr>
        <w:t xml:space="preserve"> s</w:t>
      </w:r>
      <w:r w:rsidR="000C43D6">
        <w:rPr>
          <w:lang w:eastAsia="ja-JP" w:bidi="en-US"/>
        </w:rPr>
        <w:t xml:space="preserve">tratigraphy </w:t>
      </w:r>
      <w:r w:rsidR="000C43D6" w:rsidRPr="00B43394">
        <w:rPr>
          <w:lang w:eastAsia="ja-JP" w:bidi="en-US"/>
        </w:rPr>
        <w:t>relationships, build regional sequence stratigraphic correlations, and highlight environmental conditions that can be used to identify targets for hydrocarbon exploration</w:t>
      </w:r>
      <w:r w:rsidR="000C43D6">
        <w:rPr>
          <w:lang w:eastAsia="ja-JP" w:bidi="en-US"/>
        </w:rPr>
        <w:t>. Also, the applicability is to</w:t>
      </w:r>
      <w:r w:rsidR="000C43D6" w:rsidRPr="00B43394">
        <w:rPr>
          <w:lang w:eastAsia="ja-JP" w:bidi="en-US"/>
        </w:rPr>
        <w:t xml:space="preserve"> evaluate how the depositional environment and resulting deposits changed through geologic time within a dominantly marine shale</w:t>
      </w:r>
      <w:r w:rsidR="000C43D6">
        <w:rPr>
          <w:lang w:eastAsia="ja-JP" w:bidi="en-US"/>
        </w:rPr>
        <w:t xml:space="preserve"> and simulate the hydrocarbon production and recovery in these areas under standard unconventional shale practices</w:t>
      </w:r>
      <w:r w:rsidR="000C43D6" w:rsidRPr="00B43394">
        <w:rPr>
          <w:lang w:eastAsia="ja-JP" w:bidi="en-US"/>
        </w:rPr>
        <w:t>.</w:t>
      </w:r>
    </w:p>
    <w:p w14:paraId="3552A252" w14:textId="77777777" w:rsidR="000C43D6" w:rsidRPr="000A159E" w:rsidRDefault="000C43D6" w:rsidP="000C43D6">
      <w:pPr>
        <w:ind w:firstLine="720"/>
        <w:rPr>
          <w:lang w:eastAsia="ja-JP" w:bidi="en-US"/>
        </w:rPr>
      </w:pPr>
      <w:r w:rsidRPr="00472D4B">
        <w:rPr>
          <w:b/>
          <w:lang w:eastAsia="ja-JP" w:bidi="en-US"/>
        </w:rPr>
        <w:t>Significance of Chapter I:</w:t>
      </w:r>
      <w:r>
        <w:rPr>
          <w:b/>
          <w:lang w:eastAsia="ja-JP" w:bidi="en-US"/>
        </w:rPr>
        <w:t xml:space="preserve"> </w:t>
      </w:r>
      <w:r>
        <w:rPr>
          <w:lang w:eastAsia="ja-JP" w:bidi="en-US"/>
        </w:rPr>
        <w:t xml:space="preserve">This </w:t>
      </w:r>
      <w:r w:rsidRPr="00B43394">
        <w:rPr>
          <w:lang w:eastAsia="ja-JP" w:bidi="en-US"/>
        </w:rPr>
        <w:t xml:space="preserve">section </w:t>
      </w:r>
      <w:r>
        <w:rPr>
          <w:lang w:eastAsia="ja-JP" w:bidi="en-US"/>
        </w:rPr>
        <w:t>is the introduction to</w:t>
      </w:r>
      <w:r w:rsidRPr="00B43394">
        <w:rPr>
          <w:lang w:eastAsia="ja-JP" w:bidi="en-US"/>
        </w:rPr>
        <w:t xml:space="preserve"> the Woodford Shale, the internal member subdivision</w:t>
      </w:r>
      <w:r>
        <w:rPr>
          <w:lang w:eastAsia="ja-JP" w:bidi="en-US"/>
        </w:rPr>
        <w:t>,</w:t>
      </w:r>
      <w:r w:rsidRPr="00B43394">
        <w:rPr>
          <w:lang w:eastAsia="ja-JP" w:bidi="en-US"/>
        </w:rPr>
        <w:t xml:space="preserve"> and previous </w:t>
      </w:r>
      <w:r>
        <w:rPr>
          <w:lang w:eastAsia="ja-JP" w:bidi="en-US"/>
        </w:rPr>
        <w:t>characterizations</w:t>
      </w:r>
      <w:r w:rsidRPr="00B43394">
        <w:rPr>
          <w:lang w:eastAsia="ja-JP" w:bidi="en-US"/>
        </w:rPr>
        <w:t xml:space="preserve"> of the Woodford Shale. It also presents the definition of </w:t>
      </w:r>
      <w:r>
        <w:rPr>
          <w:lang w:eastAsia="ja-JP" w:bidi="en-US"/>
        </w:rPr>
        <w:t>enclosed mini-basin fill</w:t>
      </w:r>
      <w:r w:rsidRPr="00B43394">
        <w:rPr>
          <w:lang w:eastAsia="ja-JP" w:bidi="en-US"/>
        </w:rPr>
        <w:t xml:space="preserve"> settings and their relationship within the depositional stages of the Woodford Shale under major marine conditions. </w:t>
      </w:r>
      <w:r>
        <w:rPr>
          <w:lang w:eastAsia="ja-JP" w:bidi="en-US"/>
        </w:rPr>
        <w:t xml:space="preserve">This section of the dissertation </w:t>
      </w:r>
      <w:r w:rsidRPr="00B43394">
        <w:rPr>
          <w:lang w:eastAsia="ja-JP" w:bidi="en-US"/>
        </w:rPr>
        <w:t xml:space="preserve">introduces </w:t>
      </w:r>
      <w:r>
        <w:rPr>
          <w:lang w:eastAsia="ja-JP" w:bidi="en-US"/>
        </w:rPr>
        <w:t>a critical component,</w:t>
      </w:r>
      <w:r w:rsidRPr="00B43394">
        <w:rPr>
          <w:lang w:eastAsia="ja-JP" w:bidi="en-US"/>
        </w:rPr>
        <w:t xml:space="preserve"> the scientific importance of identifying</w:t>
      </w:r>
      <w:r>
        <w:rPr>
          <w:lang w:eastAsia="ja-JP" w:bidi="en-US"/>
        </w:rPr>
        <w:t xml:space="preserve"> </w:t>
      </w:r>
      <w:r w:rsidRPr="00B43394">
        <w:rPr>
          <w:lang w:eastAsia="ja-JP" w:bidi="en-US"/>
        </w:rPr>
        <w:t xml:space="preserve">the features of the Woodford </w:t>
      </w:r>
      <w:r>
        <w:rPr>
          <w:lang w:eastAsia="ja-JP" w:bidi="en-US"/>
        </w:rPr>
        <w:t>enclosed mini-basin fill</w:t>
      </w:r>
      <w:r w:rsidRPr="00B43394">
        <w:rPr>
          <w:lang w:eastAsia="ja-JP" w:bidi="en-US"/>
        </w:rPr>
        <w:t xml:space="preserve"> deposits from commonly considered open marine deposits in the rock record.</w:t>
      </w:r>
      <w:r>
        <w:rPr>
          <w:lang w:eastAsia="ja-JP" w:bidi="en-US"/>
        </w:rPr>
        <w:t xml:space="preserve"> </w:t>
      </w:r>
      <w:r w:rsidRPr="00D60951">
        <w:rPr>
          <w:lang w:eastAsia="ja-JP" w:bidi="en-US"/>
        </w:rPr>
        <w:t xml:space="preserve">This research is the first to be made with an unconventional marine </w:t>
      </w:r>
      <w:r w:rsidRPr="00D60951">
        <w:rPr>
          <w:lang w:eastAsia="ja-JP" w:bidi="en-US"/>
        </w:rPr>
        <w:lastRenderedPageBreak/>
        <w:t xml:space="preserve">shale to evaluate the internal occurrence of </w:t>
      </w:r>
      <w:r>
        <w:rPr>
          <w:lang w:eastAsia="ja-JP" w:bidi="en-US"/>
        </w:rPr>
        <w:t>enclosed mini-basin fill</w:t>
      </w:r>
      <w:r w:rsidRPr="00D60951">
        <w:rPr>
          <w:lang w:eastAsia="ja-JP" w:bidi="en-US"/>
        </w:rPr>
        <w:t xml:space="preserve"> deposits and might lead </w:t>
      </w:r>
      <w:r>
        <w:rPr>
          <w:lang w:eastAsia="ja-JP" w:bidi="en-US"/>
        </w:rPr>
        <w:t xml:space="preserve">to </w:t>
      </w:r>
      <w:r w:rsidRPr="00D60951">
        <w:rPr>
          <w:lang w:eastAsia="ja-JP" w:bidi="en-US"/>
        </w:rPr>
        <w:t xml:space="preserve">the unconventional </w:t>
      </w:r>
      <w:r>
        <w:rPr>
          <w:lang w:eastAsia="ja-JP" w:bidi="en-US"/>
        </w:rPr>
        <w:t xml:space="preserve">shale resource </w:t>
      </w:r>
      <w:r w:rsidRPr="00D60951">
        <w:rPr>
          <w:lang w:eastAsia="ja-JP" w:bidi="en-US"/>
        </w:rPr>
        <w:t xml:space="preserve">assessment for further considerations of these </w:t>
      </w:r>
      <w:r>
        <w:rPr>
          <w:lang w:eastAsia="ja-JP" w:bidi="en-US"/>
        </w:rPr>
        <w:t>unconventional reservoirs</w:t>
      </w:r>
      <w:r w:rsidRPr="00D60951">
        <w:rPr>
          <w:lang w:eastAsia="ja-JP" w:bidi="en-US"/>
        </w:rPr>
        <w:t>.</w:t>
      </w:r>
    </w:p>
    <w:p w14:paraId="3E29E8F3" w14:textId="7D674301" w:rsidR="000C43D6" w:rsidRDefault="000C43D6" w:rsidP="000C43D6">
      <w:pPr>
        <w:ind w:firstLine="720"/>
        <w:rPr>
          <w:lang w:eastAsia="ja-JP" w:bidi="en-US"/>
        </w:rPr>
      </w:pPr>
      <w:r w:rsidRPr="00472D4B">
        <w:rPr>
          <w:b/>
          <w:lang w:eastAsia="ja-JP" w:bidi="en-US"/>
        </w:rPr>
        <w:t>Significance of Chapter II:</w:t>
      </w:r>
      <w:r>
        <w:rPr>
          <w:b/>
          <w:lang w:eastAsia="ja-JP" w:bidi="en-US"/>
        </w:rPr>
        <w:t xml:space="preserve"> </w:t>
      </w:r>
      <w:r>
        <w:rPr>
          <w:lang w:eastAsia="ja-JP" w:bidi="en-US"/>
        </w:rPr>
        <w:t xml:space="preserve">This section shows how stratigraphic sequence frameworks built from seismic data sets compare to sequence stratigraphic interpretations </w:t>
      </w:r>
      <w:r w:rsidR="00DF6234">
        <w:rPr>
          <w:lang w:eastAsia="ja-JP" w:bidi="en-US"/>
        </w:rPr>
        <w:t>made</w:t>
      </w:r>
      <w:r>
        <w:rPr>
          <w:lang w:eastAsia="ja-JP" w:bidi="en-US"/>
        </w:rPr>
        <w:t xml:space="preserve"> from lithostratigraphy and well log information in a study area with </w:t>
      </w:r>
      <w:r w:rsidRPr="00B43394">
        <w:rPr>
          <w:lang w:eastAsia="ja-JP" w:bidi="en-US"/>
        </w:rPr>
        <w:t>poor well control and unavailable core samples (drilling cutting samples were the only samples available). The study area is in the Cherokee platform, Seminole County, Oklahoma. This chapter explains the workflow for performing a detailed quantitative 3D seismic analysis that allows the identification of pre-Woodford eroded strata, and the calculation and quantification of</w:t>
      </w:r>
      <w:r>
        <w:rPr>
          <w:lang w:eastAsia="ja-JP" w:bidi="en-US"/>
        </w:rPr>
        <w:t xml:space="preserve"> total</w:t>
      </w:r>
      <w:r w:rsidRPr="00B43394">
        <w:rPr>
          <w:lang w:eastAsia="ja-JP" w:bidi="en-US"/>
        </w:rPr>
        <w:t xml:space="preserve"> organic matter (</w:t>
      </w:r>
      <w:r>
        <w:rPr>
          <w:lang w:eastAsia="ja-JP" w:bidi="en-US"/>
        </w:rPr>
        <w:t>%</w:t>
      </w:r>
      <w:r w:rsidRPr="00B43394">
        <w:rPr>
          <w:lang w:eastAsia="ja-JP" w:bidi="en-US"/>
        </w:rPr>
        <w:t xml:space="preserve">TOC) volumes using machine learning probabilistic workflows. The vertical and lateral variability of Woodford Shale </w:t>
      </w:r>
      <w:r>
        <w:rPr>
          <w:lang w:eastAsia="ja-JP" w:bidi="en-US"/>
        </w:rPr>
        <w:t>%</w:t>
      </w:r>
      <w:r w:rsidRPr="00B43394">
        <w:rPr>
          <w:lang w:eastAsia="ja-JP" w:bidi="en-US"/>
        </w:rPr>
        <w:t xml:space="preserve">TOC volumes, purely identified from high vertical resolution 3D seismic, combined with the interpreted lateral and vertical seismic stratigraphic variations, allowed to </w:t>
      </w:r>
      <w:r w:rsidR="00DF6234">
        <w:rPr>
          <w:lang w:eastAsia="ja-JP" w:bidi="en-US"/>
        </w:rPr>
        <w:t>understand</w:t>
      </w:r>
      <w:r w:rsidRPr="00B43394">
        <w:rPr>
          <w:lang w:eastAsia="ja-JP" w:bidi="en-US"/>
        </w:rPr>
        <w:t xml:space="preserve"> the areas where </w:t>
      </w:r>
      <w:r>
        <w:t>enclosed mini-basin fill</w:t>
      </w:r>
      <w:r w:rsidRPr="00F546EC">
        <w:t xml:space="preserve"> </w:t>
      </w:r>
      <w:r w:rsidRPr="00B43394">
        <w:rPr>
          <w:lang w:eastAsia="ja-JP" w:bidi="en-US"/>
        </w:rPr>
        <w:t>settings might occur at seismic scale</w:t>
      </w:r>
      <w:r>
        <w:rPr>
          <w:lang w:eastAsia="ja-JP" w:bidi="en-US"/>
        </w:rPr>
        <w:t>, and concentrate more %TOC</w:t>
      </w:r>
      <w:r w:rsidRPr="00B43394">
        <w:rPr>
          <w:lang w:eastAsia="ja-JP" w:bidi="en-US"/>
        </w:rPr>
        <w:t>.</w:t>
      </w:r>
      <w:r>
        <w:rPr>
          <w:lang w:eastAsia="ja-JP" w:bidi="en-US"/>
        </w:rPr>
        <w:t xml:space="preserve">  </w:t>
      </w:r>
    </w:p>
    <w:p w14:paraId="68DA7EDA" w14:textId="4AAAFE04" w:rsidR="000C43D6" w:rsidRPr="00B43394" w:rsidRDefault="000C43D6" w:rsidP="000C43D6">
      <w:pPr>
        <w:rPr>
          <w:lang w:eastAsia="ja-JP" w:bidi="en-US"/>
        </w:rPr>
      </w:pPr>
      <w:r w:rsidRPr="00472D4B">
        <w:rPr>
          <w:b/>
          <w:lang w:eastAsia="ja-JP" w:bidi="en-US"/>
        </w:rPr>
        <w:t>Significance of Chapter III:</w:t>
      </w:r>
      <w:r>
        <w:rPr>
          <w:b/>
          <w:lang w:eastAsia="ja-JP" w:bidi="en-US"/>
        </w:rPr>
        <w:t xml:space="preserve"> </w:t>
      </w:r>
      <w:r>
        <w:rPr>
          <w:lang w:eastAsia="ja-JP" w:bidi="en-US"/>
        </w:rPr>
        <w:t xml:space="preserve">This section is the detailed characterization of geological and </w:t>
      </w:r>
      <w:r w:rsidRPr="00B43394">
        <w:rPr>
          <w:lang w:eastAsia="ja-JP" w:bidi="en-US"/>
        </w:rPr>
        <w:t>geochemical (organic-inorganic) properties in a 314 ft type section of the Woodford Shale, named the Speake Ranch outcrop</w:t>
      </w:r>
      <w:r>
        <w:rPr>
          <w:lang w:eastAsia="ja-JP" w:bidi="en-US"/>
        </w:rPr>
        <w:t>. This outcrop is</w:t>
      </w:r>
      <w:r w:rsidRPr="00B43394">
        <w:rPr>
          <w:lang w:eastAsia="ja-JP" w:bidi="en-US"/>
        </w:rPr>
        <w:t xml:space="preserve"> in Murray County, at the south end of the SCOOP Oklahoma p</w:t>
      </w:r>
      <w:r>
        <w:rPr>
          <w:lang w:eastAsia="ja-JP" w:bidi="en-US"/>
        </w:rPr>
        <w:t>etroleum p</w:t>
      </w:r>
      <w:r w:rsidRPr="00B43394">
        <w:rPr>
          <w:lang w:eastAsia="ja-JP" w:bidi="en-US"/>
        </w:rPr>
        <w:t>rovince.</w:t>
      </w:r>
      <w:r>
        <w:rPr>
          <w:lang w:eastAsia="ja-JP" w:bidi="en-US"/>
        </w:rPr>
        <w:t xml:space="preserve"> I characterize in this section both open marine and enclosed mini-basin fill intervals. </w:t>
      </w:r>
      <w:r w:rsidRPr="00B43394">
        <w:rPr>
          <w:lang w:eastAsia="ja-JP" w:bidi="en-US"/>
        </w:rPr>
        <w:t xml:space="preserve"> The geological characterization in this part of the dissertation was complemented to that previously made in this outcrop by Becerra-Rondon (2017), Galvis (2017)</w:t>
      </w:r>
      <w:r>
        <w:rPr>
          <w:lang w:eastAsia="ja-JP" w:bidi="en-US"/>
        </w:rPr>
        <w:t>,</w:t>
      </w:r>
      <w:r w:rsidRPr="00B43394">
        <w:rPr>
          <w:lang w:eastAsia="ja-JP" w:bidi="en-US"/>
        </w:rPr>
        <w:t xml:space="preserve"> and Galvis et a</w:t>
      </w:r>
      <w:r>
        <w:rPr>
          <w:lang w:eastAsia="ja-JP" w:bidi="en-US"/>
        </w:rPr>
        <w:t>l.</w:t>
      </w:r>
      <w:r w:rsidRPr="00B43394">
        <w:rPr>
          <w:lang w:eastAsia="ja-JP" w:bidi="en-US"/>
        </w:rPr>
        <w:t xml:space="preserve"> (2017). This </w:t>
      </w:r>
      <w:r>
        <w:rPr>
          <w:lang w:eastAsia="ja-JP" w:bidi="en-US"/>
        </w:rPr>
        <w:t>chapter</w:t>
      </w:r>
      <w:r w:rsidRPr="00B43394">
        <w:rPr>
          <w:lang w:eastAsia="ja-JP" w:bidi="en-US"/>
        </w:rPr>
        <w:t xml:space="preserve"> helps to establish in detail the significance and relationship of different organic compounds (biomarkers), when </w:t>
      </w:r>
      <w:r>
        <w:rPr>
          <w:lang w:eastAsia="ja-JP" w:bidi="en-US"/>
        </w:rPr>
        <w:t>correct</w:t>
      </w:r>
      <w:r w:rsidRPr="00B43394">
        <w:rPr>
          <w:lang w:eastAsia="ja-JP" w:bidi="en-US"/>
        </w:rPr>
        <w:t xml:space="preserve">ly identified and measured, to the </w:t>
      </w:r>
      <w:r w:rsidRPr="00B43394">
        <w:rPr>
          <w:lang w:eastAsia="ja-JP" w:bidi="en-US"/>
        </w:rPr>
        <w:lastRenderedPageBreak/>
        <w:t xml:space="preserve">vertical variability within a stratigraphic profile. </w:t>
      </w:r>
      <w:r w:rsidR="000326AF">
        <w:rPr>
          <w:lang w:eastAsia="ja-JP" w:bidi="en-US"/>
        </w:rPr>
        <w:t>When</w:t>
      </w:r>
      <w:r w:rsidRPr="00B43394">
        <w:rPr>
          <w:lang w:eastAsia="ja-JP" w:bidi="en-US"/>
        </w:rPr>
        <w:t xml:space="preserve"> geochemistry is representative of basin conditions at the time of deposition</w:t>
      </w:r>
      <w:r>
        <w:rPr>
          <w:lang w:eastAsia="ja-JP" w:bidi="en-US"/>
        </w:rPr>
        <w:t>,</w:t>
      </w:r>
      <w:r w:rsidRPr="00B43394">
        <w:rPr>
          <w:lang w:eastAsia="ja-JP" w:bidi="en-US"/>
        </w:rPr>
        <w:t xml:space="preserve"> </w:t>
      </w:r>
      <w:r>
        <w:rPr>
          <w:lang w:eastAsia="ja-JP" w:bidi="en-US"/>
        </w:rPr>
        <w:t>it is useful</w:t>
      </w:r>
      <w:r w:rsidRPr="00B43394">
        <w:rPr>
          <w:lang w:eastAsia="ja-JP" w:bidi="en-US"/>
        </w:rPr>
        <w:t xml:space="preserve"> as the basis for a regional sequence stratigraphic framework of the Woodford Shale. </w:t>
      </w:r>
      <w:r>
        <w:rPr>
          <w:lang w:eastAsia="ja-JP" w:bidi="en-US"/>
        </w:rPr>
        <w:t>I correlate t</w:t>
      </w:r>
      <w:r w:rsidRPr="00B43394">
        <w:rPr>
          <w:lang w:eastAsia="ja-JP" w:bidi="en-US"/>
        </w:rPr>
        <w:t xml:space="preserve">he </w:t>
      </w:r>
      <w:r>
        <w:rPr>
          <w:lang w:eastAsia="ja-JP" w:bidi="en-US"/>
        </w:rPr>
        <w:t xml:space="preserve">outcrop </w:t>
      </w:r>
      <w:r w:rsidRPr="00B43394">
        <w:rPr>
          <w:lang w:eastAsia="ja-JP" w:bidi="en-US"/>
        </w:rPr>
        <w:t>rock mechanics characteristics and lateral extent of these geological</w:t>
      </w:r>
      <w:r>
        <w:rPr>
          <w:lang w:eastAsia="ja-JP" w:bidi="en-US"/>
        </w:rPr>
        <w:t>-</w:t>
      </w:r>
      <w:r w:rsidRPr="00B43394">
        <w:rPr>
          <w:lang w:eastAsia="ja-JP" w:bidi="en-US"/>
        </w:rPr>
        <w:t>geochemical profiles to subsurface wells</w:t>
      </w:r>
      <w:r>
        <w:rPr>
          <w:lang w:eastAsia="ja-JP" w:bidi="en-US"/>
        </w:rPr>
        <w:t xml:space="preserve">. Additionally, I present </w:t>
      </w:r>
      <w:r w:rsidRPr="00B43394">
        <w:rPr>
          <w:lang w:eastAsia="ja-JP" w:bidi="en-US"/>
        </w:rPr>
        <w:t>the regional state-wide</w:t>
      </w:r>
      <w:r>
        <w:rPr>
          <w:lang w:eastAsia="ja-JP" w:bidi="en-US"/>
        </w:rPr>
        <w:t xml:space="preserve"> mapping of subsea </w:t>
      </w:r>
      <w:r w:rsidRPr="00B43394">
        <w:rPr>
          <w:lang w:eastAsia="ja-JP" w:bidi="en-US"/>
        </w:rPr>
        <w:t xml:space="preserve">structure, gross thickness, </w:t>
      </w:r>
      <w:r>
        <w:rPr>
          <w:lang w:eastAsia="ja-JP" w:bidi="en-US"/>
        </w:rPr>
        <w:t xml:space="preserve">average </w:t>
      </w:r>
      <w:r w:rsidRPr="00B43394">
        <w:rPr>
          <w:lang w:eastAsia="ja-JP" w:bidi="en-US"/>
        </w:rPr>
        <w:t>organic matter content</w:t>
      </w:r>
      <w:r>
        <w:rPr>
          <w:lang w:eastAsia="ja-JP" w:bidi="en-US"/>
        </w:rPr>
        <w:t>,</w:t>
      </w:r>
      <w:r w:rsidRPr="00B43394">
        <w:rPr>
          <w:lang w:eastAsia="ja-JP" w:bidi="en-US"/>
        </w:rPr>
        <w:t xml:space="preserve"> and </w:t>
      </w:r>
      <w:r>
        <w:rPr>
          <w:lang w:eastAsia="ja-JP" w:bidi="en-US"/>
        </w:rPr>
        <w:t xml:space="preserve">average thermal maturity of thousands of sampled wells with Woodford Shale penetrations in Oklahoma. </w:t>
      </w:r>
    </w:p>
    <w:p w14:paraId="21416377" w14:textId="6F724944" w:rsidR="000C43D6" w:rsidRDefault="000C43D6" w:rsidP="000C43D6">
      <w:pPr>
        <w:rPr>
          <w:lang w:eastAsia="ja-JP" w:bidi="en-US"/>
        </w:rPr>
      </w:pPr>
      <w:r w:rsidRPr="00472D4B">
        <w:rPr>
          <w:b/>
          <w:lang w:eastAsia="ja-JP" w:bidi="en-US"/>
        </w:rPr>
        <w:t xml:space="preserve">Significance of Chapter </w:t>
      </w:r>
      <w:r>
        <w:rPr>
          <w:b/>
          <w:lang w:eastAsia="ja-JP" w:bidi="en-US"/>
        </w:rPr>
        <w:t>I</w:t>
      </w:r>
      <w:r w:rsidRPr="00472D4B">
        <w:rPr>
          <w:b/>
          <w:lang w:eastAsia="ja-JP" w:bidi="en-US"/>
        </w:rPr>
        <w:t xml:space="preserve">V: </w:t>
      </w:r>
      <w:r w:rsidRPr="00A65189">
        <w:rPr>
          <w:lang w:eastAsia="ja-JP" w:bidi="en-US"/>
        </w:rPr>
        <w:t xml:space="preserve">This </w:t>
      </w:r>
      <w:r>
        <w:rPr>
          <w:lang w:eastAsia="ja-JP" w:bidi="en-US"/>
        </w:rPr>
        <w:t>chapter</w:t>
      </w:r>
      <w:r w:rsidRPr="00A65189">
        <w:rPr>
          <w:lang w:eastAsia="ja-JP" w:bidi="en-US"/>
        </w:rPr>
        <w:t xml:space="preserve"> shows </w:t>
      </w:r>
      <w:r>
        <w:rPr>
          <w:lang w:eastAsia="ja-JP" w:bidi="en-US"/>
        </w:rPr>
        <w:t xml:space="preserve">the </w:t>
      </w:r>
      <w:r w:rsidRPr="00B43394">
        <w:rPr>
          <w:lang w:eastAsia="ja-JP" w:bidi="en-US"/>
        </w:rPr>
        <w:t xml:space="preserve">identification of </w:t>
      </w:r>
      <w:r>
        <w:rPr>
          <w:lang w:eastAsia="ja-JP" w:bidi="en-US"/>
        </w:rPr>
        <w:t xml:space="preserve">enclosed mini-basin fill settings in </w:t>
      </w:r>
      <w:r w:rsidRPr="00B43394">
        <w:rPr>
          <w:lang w:eastAsia="ja-JP" w:bidi="en-US"/>
        </w:rPr>
        <w:t xml:space="preserve">northern Oklahoma. Also, this </w:t>
      </w:r>
      <w:r>
        <w:rPr>
          <w:lang w:eastAsia="ja-JP" w:bidi="en-US"/>
        </w:rPr>
        <w:t>chapter</w:t>
      </w:r>
      <w:r w:rsidRPr="00B43394">
        <w:rPr>
          <w:lang w:eastAsia="ja-JP" w:bidi="en-US"/>
        </w:rPr>
        <w:t xml:space="preserve"> displays </w:t>
      </w:r>
      <w:r>
        <w:rPr>
          <w:lang w:eastAsia="ja-JP" w:bidi="en-US"/>
        </w:rPr>
        <w:t xml:space="preserve">how a </w:t>
      </w:r>
      <w:r w:rsidRPr="00B43394">
        <w:rPr>
          <w:lang w:eastAsia="ja-JP" w:bidi="en-US"/>
        </w:rPr>
        <w:t>detailed geological-geochemical-</w:t>
      </w:r>
      <w:r>
        <w:rPr>
          <w:lang w:eastAsia="ja-JP" w:bidi="en-US"/>
        </w:rPr>
        <w:t xml:space="preserve"> </w:t>
      </w:r>
      <w:r w:rsidRPr="00B43394">
        <w:rPr>
          <w:lang w:eastAsia="ja-JP" w:bidi="en-US"/>
        </w:rPr>
        <w:t>seismic-geomechanic</w:t>
      </w:r>
      <w:r>
        <w:rPr>
          <w:lang w:eastAsia="ja-JP" w:bidi="en-US"/>
        </w:rPr>
        <w:t>s</w:t>
      </w:r>
      <w:r w:rsidRPr="00B43394">
        <w:rPr>
          <w:lang w:eastAsia="ja-JP" w:bidi="en-US"/>
        </w:rPr>
        <w:t xml:space="preserve"> </w:t>
      </w:r>
      <w:r>
        <w:rPr>
          <w:lang w:eastAsia="ja-JP" w:bidi="en-US"/>
        </w:rPr>
        <w:t xml:space="preserve">machine learning-oriented characterization </w:t>
      </w:r>
      <w:r w:rsidRPr="00B43394">
        <w:rPr>
          <w:lang w:eastAsia="ja-JP" w:bidi="en-US"/>
        </w:rPr>
        <w:t xml:space="preserve">serves as the </w:t>
      </w:r>
      <w:r>
        <w:rPr>
          <w:lang w:eastAsia="ja-JP" w:bidi="en-US"/>
        </w:rPr>
        <w:t xml:space="preserve">guide of unconventional static reservoir models, and </w:t>
      </w:r>
      <w:r w:rsidRPr="00B43394">
        <w:rPr>
          <w:lang w:eastAsia="ja-JP" w:bidi="en-US"/>
        </w:rPr>
        <w:t xml:space="preserve">input for </w:t>
      </w:r>
      <w:r>
        <w:rPr>
          <w:lang w:eastAsia="ja-JP" w:bidi="en-US"/>
        </w:rPr>
        <w:t xml:space="preserve">the </w:t>
      </w:r>
      <w:r w:rsidRPr="00B43394">
        <w:rPr>
          <w:lang w:eastAsia="ja-JP" w:bidi="en-US"/>
        </w:rPr>
        <w:t>production simulation of Woodford</w:t>
      </w:r>
      <w:r>
        <w:rPr>
          <w:lang w:eastAsia="ja-JP" w:bidi="en-US"/>
        </w:rPr>
        <w:t xml:space="preserve"> Shale resources. The static reservoir model and simulation was performed in areas identified as restricted enclosed mini-basin fill</w:t>
      </w:r>
      <w:r w:rsidRPr="00B43394">
        <w:rPr>
          <w:lang w:eastAsia="ja-JP" w:bidi="en-US"/>
        </w:rPr>
        <w:t xml:space="preserve">, compared with areas </w:t>
      </w:r>
      <w:r w:rsidR="00DF6234">
        <w:rPr>
          <w:lang w:eastAsia="ja-JP" w:bidi="en-US"/>
        </w:rPr>
        <w:t>designat</w:t>
      </w:r>
      <w:r w:rsidRPr="00B43394">
        <w:rPr>
          <w:lang w:eastAsia="ja-JP" w:bidi="en-US"/>
        </w:rPr>
        <w:t xml:space="preserve">ed as open marine within the </w:t>
      </w:r>
      <w:r>
        <w:rPr>
          <w:lang w:eastAsia="ja-JP" w:bidi="en-US"/>
        </w:rPr>
        <w:t xml:space="preserve">3D </w:t>
      </w:r>
      <w:r w:rsidRPr="00B43394">
        <w:rPr>
          <w:lang w:eastAsia="ja-JP" w:bidi="en-US"/>
        </w:rPr>
        <w:t xml:space="preserve">seismic survey with known cumulative production data. </w:t>
      </w:r>
      <w:r>
        <w:rPr>
          <w:lang w:eastAsia="ja-JP" w:bidi="en-US"/>
        </w:rPr>
        <w:t>The simulation part supports current unconventional horizontal production and operation plans</w:t>
      </w:r>
      <w:r w:rsidRPr="00A65189">
        <w:rPr>
          <w:lang w:eastAsia="ja-JP" w:bidi="en-US"/>
        </w:rPr>
        <w:t xml:space="preserve">. The vertical and lateral variability of Woodford Shale </w:t>
      </w:r>
      <w:r>
        <w:rPr>
          <w:lang w:eastAsia="ja-JP" w:bidi="en-US"/>
        </w:rPr>
        <w:t xml:space="preserve">%TOC, density, and rock mechanics (Young’s modulus, Poisson ratio, shear modulus, Biot’s modulus, fracture gradient, fracture toughness) </w:t>
      </w:r>
      <w:r w:rsidRPr="00A65189">
        <w:rPr>
          <w:lang w:eastAsia="ja-JP" w:bidi="en-US"/>
        </w:rPr>
        <w:t xml:space="preserve">volumes, combined with the interpreted </w:t>
      </w:r>
      <w:r>
        <w:rPr>
          <w:lang w:eastAsia="ja-JP" w:bidi="en-US"/>
        </w:rPr>
        <w:t>seismic attribute</w:t>
      </w:r>
      <w:r w:rsidRPr="00A65189">
        <w:rPr>
          <w:lang w:eastAsia="ja-JP" w:bidi="en-US"/>
        </w:rPr>
        <w:t xml:space="preserve"> lateral and vertical stratigraphic variations, allowed to </w:t>
      </w:r>
      <w:r w:rsidR="00DF6234">
        <w:rPr>
          <w:lang w:eastAsia="ja-JP" w:bidi="en-US"/>
        </w:rPr>
        <w:t>understand</w:t>
      </w:r>
      <w:r w:rsidRPr="00A65189">
        <w:rPr>
          <w:lang w:eastAsia="ja-JP" w:bidi="en-US"/>
        </w:rPr>
        <w:t xml:space="preserve"> the areas where </w:t>
      </w:r>
      <w:r>
        <w:t>enclosed mini-basin fill</w:t>
      </w:r>
      <w:r w:rsidRPr="00F546EC">
        <w:t xml:space="preserve"> </w:t>
      </w:r>
      <w:r w:rsidRPr="00A65189">
        <w:rPr>
          <w:lang w:eastAsia="ja-JP" w:bidi="en-US"/>
        </w:rPr>
        <w:t>settings occur at seismic scale</w:t>
      </w:r>
      <w:r>
        <w:rPr>
          <w:lang w:eastAsia="ja-JP" w:bidi="en-US"/>
        </w:rPr>
        <w:t xml:space="preserve"> and where they produced more hydrocarbons under similar operational drilling and completion practices.</w:t>
      </w:r>
    </w:p>
    <w:p w14:paraId="64917FC7" w14:textId="77777777" w:rsidR="000C43D6" w:rsidRDefault="000C43D6" w:rsidP="000C43D6">
      <w:pPr>
        <w:ind w:firstLine="720"/>
        <w:rPr>
          <w:lang w:eastAsia="ja-JP" w:bidi="en-US"/>
        </w:rPr>
      </w:pPr>
      <w:r w:rsidRPr="00EC19F2">
        <w:rPr>
          <w:b/>
          <w:lang w:eastAsia="ja-JP" w:bidi="en-US"/>
        </w:rPr>
        <w:t>Ap</w:t>
      </w:r>
      <w:r>
        <w:rPr>
          <w:b/>
          <w:lang w:eastAsia="ja-JP" w:bidi="en-US"/>
        </w:rPr>
        <w:t>p</w:t>
      </w:r>
      <w:r w:rsidRPr="00EC19F2">
        <w:rPr>
          <w:b/>
          <w:lang w:eastAsia="ja-JP" w:bidi="en-US"/>
        </w:rPr>
        <w:t>endi</w:t>
      </w:r>
      <w:r>
        <w:rPr>
          <w:b/>
          <w:lang w:eastAsia="ja-JP" w:bidi="en-US"/>
        </w:rPr>
        <w:t xml:space="preserve">x A: </w:t>
      </w:r>
      <w:r>
        <w:rPr>
          <w:lang w:eastAsia="ja-JP" w:bidi="en-US"/>
        </w:rPr>
        <w:t xml:space="preserve">Refers to the methodology applied in Chapter III and Chapter V for estimating the dynamic rock mechanics properties in the Woodford Shale (Young’s modulus, </w:t>
      </w:r>
      <w:r>
        <w:rPr>
          <w:lang w:eastAsia="ja-JP" w:bidi="en-US"/>
        </w:rPr>
        <w:lastRenderedPageBreak/>
        <w:t>Poisson ratio, shear modulus, Biot’s modulus, fracture gradient, fracture toughness), from literature considerations using sonic and density well logs.</w:t>
      </w:r>
    </w:p>
    <w:p w14:paraId="3CDFF44C" w14:textId="77777777" w:rsidR="000C43D6" w:rsidRDefault="000C43D6" w:rsidP="000C43D6">
      <w:pPr>
        <w:rPr>
          <w:lang w:eastAsia="ja-JP" w:bidi="en-US"/>
        </w:rPr>
      </w:pPr>
      <w:r>
        <w:rPr>
          <w:lang w:eastAsia="ja-JP" w:bidi="en-US"/>
        </w:rPr>
        <w:tab/>
      </w:r>
      <w:r>
        <w:rPr>
          <w:b/>
          <w:lang w:eastAsia="ja-JP" w:bidi="en-US"/>
        </w:rPr>
        <w:t xml:space="preserve">Appendix B: </w:t>
      </w:r>
      <w:r>
        <w:rPr>
          <w:lang w:eastAsia="ja-JP" w:bidi="en-US"/>
        </w:rPr>
        <w:t xml:space="preserve">Explains the analytical techniques and workflows for the Chapter III organic matter extractions to Woodford Shale rock samples, the organic compound separation, and analysis of the different biomarker compounds. </w:t>
      </w:r>
    </w:p>
    <w:p w14:paraId="76ABDCE0" w14:textId="77777777" w:rsidR="000C43D6" w:rsidRDefault="000C43D6" w:rsidP="000C43D6">
      <w:pPr>
        <w:rPr>
          <w:lang w:eastAsia="ja-JP" w:bidi="en-US"/>
        </w:rPr>
      </w:pPr>
      <w:r>
        <w:rPr>
          <w:lang w:eastAsia="ja-JP" w:bidi="en-US"/>
        </w:rPr>
        <w:tab/>
      </w:r>
      <w:r>
        <w:rPr>
          <w:b/>
          <w:lang w:eastAsia="ja-JP" w:bidi="en-US"/>
        </w:rPr>
        <w:t xml:space="preserve">Appendix C: </w:t>
      </w:r>
      <w:r>
        <w:rPr>
          <w:lang w:eastAsia="ja-JP" w:bidi="en-US"/>
        </w:rPr>
        <w:t xml:space="preserve">This appendix corresponds to the Rock-Eval analysis of the Woodford Shale at different locations in the state of Oklahoma from masters and doctoral thesis data sets of the Institute of Reservoir Characterization (IRC) at The University of Oklahoma.  This characterization serves to compare the variability of the Woodford Shale organic matter content and maturity levels at different locations of the Oklahoman petroleum provinces. </w:t>
      </w:r>
    </w:p>
    <w:p w14:paraId="3A457257" w14:textId="77777777" w:rsidR="000C43D6" w:rsidRDefault="000C43D6" w:rsidP="000C43D6">
      <w:pPr>
        <w:rPr>
          <w:lang w:eastAsia="ja-JP" w:bidi="en-US"/>
        </w:rPr>
      </w:pPr>
      <w:r>
        <w:rPr>
          <w:lang w:eastAsia="ja-JP" w:bidi="en-US"/>
        </w:rPr>
        <w:tab/>
      </w:r>
      <w:r>
        <w:rPr>
          <w:b/>
          <w:lang w:eastAsia="ja-JP" w:bidi="en-US"/>
        </w:rPr>
        <w:t xml:space="preserve">Appendix D: </w:t>
      </w:r>
      <w:r>
        <w:rPr>
          <w:lang w:eastAsia="ja-JP" w:bidi="en-US"/>
        </w:rPr>
        <w:t xml:space="preserve">This appendix shows the organic compound structures of the applied biomarkers in Chapter III. </w:t>
      </w:r>
    </w:p>
    <w:p w14:paraId="3E74D385" w14:textId="22E35E00" w:rsidR="000C43D6" w:rsidRDefault="000C43D6" w:rsidP="00951298">
      <w:pPr>
        <w:ind w:firstLine="360"/>
        <w:rPr>
          <w:lang w:eastAsia="ja-JP" w:bidi="en-US"/>
        </w:rPr>
      </w:pPr>
    </w:p>
    <w:p w14:paraId="393F23E9" w14:textId="0E7F06FA" w:rsidR="008A07C9" w:rsidRDefault="008A07C9" w:rsidP="00951298">
      <w:pPr>
        <w:rPr>
          <w:lang w:eastAsia="ja-JP" w:bidi="en-US"/>
        </w:rPr>
      </w:pPr>
    </w:p>
    <w:p w14:paraId="3A3B694E" w14:textId="0D46F571" w:rsidR="008A07C9" w:rsidRDefault="008A07C9" w:rsidP="00951298">
      <w:pPr>
        <w:rPr>
          <w:lang w:eastAsia="ja-JP" w:bidi="en-US"/>
        </w:rPr>
      </w:pPr>
    </w:p>
    <w:p w14:paraId="76429B82" w14:textId="1D511DDC" w:rsidR="008A07C9" w:rsidRDefault="008A07C9" w:rsidP="00951298">
      <w:pPr>
        <w:rPr>
          <w:lang w:eastAsia="ja-JP" w:bidi="en-US"/>
        </w:rPr>
      </w:pPr>
    </w:p>
    <w:p w14:paraId="4BF33FF0" w14:textId="50079A42" w:rsidR="008A07C9" w:rsidRDefault="008A07C9" w:rsidP="00951298">
      <w:pPr>
        <w:rPr>
          <w:lang w:eastAsia="ja-JP" w:bidi="en-US"/>
        </w:rPr>
      </w:pPr>
    </w:p>
    <w:p w14:paraId="4EB5ADDE" w14:textId="04A21BE5" w:rsidR="008A07C9" w:rsidRDefault="008A07C9" w:rsidP="00951298">
      <w:pPr>
        <w:rPr>
          <w:lang w:eastAsia="ja-JP" w:bidi="en-US"/>
        </w:rPr>
      </w:pPr>
    </w:p>
    <w:p w14:paraId="5A14D9CF" w14:textId="31ABDDBB" w:rsidR="008A07C9" w:rsidRDefault="008A07C9" w:rsidP="00951298">
      <w:pPr>
        <w:rPr>
          <w:lang w:eastAsia="ja-JP" w:bidi="en-US"/>
        </w:rPr>
      </w:pPr>
    </w:p>
    <w:p w14:paraId="29662C85" w14:textId="7FD02BCF" w:rsidR="008A07C9" w:rsidRDefault="008A07C9" w:rsidP="00951298">
      <w:pPr>
        <w:rPr>
          <w:lang w:eastAsia="ja-JP" w:bidi="en-US"/>
        </w:rPr>
      </w:pPr>
    </w:p>
    <w:p w14:paraId="69AE2729" w14:textId="77777777" w:rsidR="00200D05" w:rsidRDefault="00200D05" w:rsidP="00DA74E5">
      <w:pPr>
        <w:pStyle w:val="Heading1"/>
        <w:sectPr w:rsidR="00200D05" w:rsidSect="0095456D">
          <w:headerReference w:type="default" r:id="rId14"/>
          <w:footerReference w:type="default" r:id="rId15"/>
          <w:footerReference w:type="first" r:id="rId16"/>
          <w:type w:val="continuous"/>
          <w:pgSz w:w="12240" w:h="15840"/>
          <w:pgMar w:top="1440" w:right="1440" w:bottom="1440" w:left="1440" w:header="720" w:footer="720" w:gutter="0"/>
          <w:cols w:space="720"/>
          <w:titlePg/>
          <w:docGrid w:linePitch="360"/>
        </w:sectPr>
      </w:pPr>
      <w:bookmarkStart w:id="16" w:name="_Toc25833515"/>
      <w:bookmarkEnd w:id="13"/>
    </w:p>
    <w:p w14:paraId="267B59B1" w14:textId="1608C65A" w:rsidR="003E4375" w:rsidRPr="007B261B" w:rsidRDefault="002313FD" w:rsidP="00DA74E5">
      <w:pPr>
        <w:pStyle w:val="Heading1"/>
      </w:pPr>
      <w:bookmarkStart w:id="17" w:name="_Toc35861075"/>
      <w:r>
        <w:lastRenderedPageBreak/>
        <w:t xml:space="preserve">Chapter </w:t>
      </w:r>
      <w:r w:rsidR="00FF0562">
        <w:t>I</w:t>
      </w:r>
      <w:r>
        <w:t xml:space="preserve">: </w:t>
      </w:r>
      <w:r w:rsidR="007B261B" w:rsidRPr="007B261B">
        <w:t>T</w:t>
      </w:r>
      <w:r w:rsidR="00413370" w:rsidRPr="007B261B">
        <w:t xml:space="preserve">he concept of </w:t>
      </w:r>
      <w:bookmarkEnd w:id="16"/>
      <w:r w:rsidR="00BD2D90">
        <w:t>enclosed mini-basin fill</w:t>
      </w:r>
      <w:bookmarkEnd w:id="17"/>
    </w:p>
    <w:p w14:paraId="0538DD49" w14:textId="48972CB9" w:rsidR="00BF17CE" w:rsidRDefault="003E4375" w:rsidP="00442D3B">
      <w:pPr>
        <w:spacing w:before="240" w:after="0"/>
        <w:ind w:firstLine="360"/>
        <w:rPr>
          <w:rFonts w:eastAsia="Times New Roman"/>
          <w:color w:val="000000"/>
        </w:rPr>
      </w:pPr>
      <w:r w:rsidRPr="00F546EC">
        <w:rPr>
          <w:rFonts w:eastAsia="Times New Roman"/>
          <w:color w:val="000000"/>
        </w:rPr>
        <w:t xml:space="preserve">Over the last decade, unconventional resources (coalbed methane, tight gas, shale gas, shale oil, gas hydrates, and deep-basin gas systems) have become significant providers of natural gas and oil in the United States basins (Figure </w:t>
      </w:r>
      <w:r w:rsidR="008C7C6A" w:rsidRPr="00F546EC">
        <w:rPr>
          <w:rFonts w:eastAsia="Times New Roman"/>
          <w:color w:val="000000"/>
        </w:rPr>
        <w:t>1.</w:t>
      </w:r>
      <w:r w:rsidRPr="00F546EC">
        <w:rPr>
          <w:rFonts w:eastAsia="Times New Roman"/>
          <w:color w:val="000000"/>
        </w:rPr>
        <w:t xml:space="preserve">1). The most </w:t>
      </w:r>
      <w:r w:rsidR="00305821" w:rsidRPr="00F546EC">
        <w:rPr>
          <w:rFonts w:eastAsia="Times New Roman"/>
          <w:color w:val="000000"/>
        </w:rPr>
        <w:t>useful</w:t>
      </w:r>
      <w:r w:rsidRPr="00F546EC">
        <w:rPr>
          <w:rFonts w:eastAsia="Times New Roman"/>
          <w:color w:val="000000"/>
        </w:rPr>
        <w:t xml:space="preserve"> resource, the gas/oil shale, has </w:t>
      </w:r>
      <w:r w:rsidR="007D0D7B">
        <w:rPr>
          <w:rFonts w:eastAsia="Times New Roman"/>
          <w:color w:val="000000"/>
        </w:rPr>
        <w:t xml:space="preserve">been </w:t>
      </w:r>
      <w:r w:rsidRPr="00F546EC">
        <w:rPr>
          <w:rFonts w:eastAsia="Times New Roman"/>
          <w:color w:val="000000"/>
        </w:rPr>
        <w:t>developed and</w:t>
      </w:r>
      <w:r w:rsidR="007D0D7B">
        <w:rPr>
          <w:rFonts w:eastAsia="Times New Roman"/>
          <w:color w:val="000000"/>
        </w:rPr>
        <w:t xml:space="preserve"> used to test</w:t>
      </w:r>
      <w:r w:rsidRPr="00F546EC">
        <w:rPr>
          <w:rFonts w:eastAsia="Times New Roman"/>
          <w:color w:val="000000"/>
        </w:rPr>
        <w:t xml:space="preserve"> exploratory concepts</w:t>
      </w:r>
      <w:r w:rsidR="00DA00FC">
        <w:rPr>
          <w:rFonts w:eastAsia="Times New Roman"/>
          <w:color w:val="000000"/>
        </w:rPr>
        <w:t>. Unconventional shale systems have</w:t>
      </w:r>
      <w:r w:rsidRPr="00F546EC">
        <w:rPr>
          <w:rFonts w:eastAsia="Times New Roman"/>
          <w:color w:val="000000"/>
        </w:rPr>
        <w:t xml:space="preserve"> proved that the generation of resources and storage occur within the same formation</w:t>
      </w:r>
      <w:r w:rsidR="00DA00FC">
        <w:rPr>
          <w:rFonts w:eastAsia="Times New Roman"/>
          <w:color w:val="000000"/>
        </w:rPr>
        <w:t xml:space="preserve"> (Cardott 2014)</w:t>
      </w:r>
      <w:r w:rsidRPr="00F546EC">
        <w:rPr>
          <w:rFonts w:eastAsia="Times New Roman"/>
          <w:color w:val="000000"/>
        </w:rPr>
        <w:t xml:space="preserve">, </w:t>
      </w:r>
      <w:r w:rsidR="008620C0">
        <w:rPr>
          <w:rFonts w:eastAsia="Times New Roman"/>
          <w:color w:val="000000"/>
        </w:rPr>
        <w:t>establishing the concept</w:t>
      </w:r>
      <w:r w:rsidRPr="00F546EC">
        <w:rPr>
          <w:rFonts w:eastAsia="Times New Roman"/>
          <w:color w:val="000000"/>
        </w:rPr>
        <w:t xml:space="preserve"> of a self-sourced system. These successful exploratory concepts have brought </w:t>
      </w:r>
      <w:r w:rsidR="00305821" w:rsidRPr="00F546EC">
        <w:rPr>
          <w:rFonts w:eastAsia="Times New Roman"/>
          <w:color w:val="000000"/>
        </w:rPr>
        <w:t>considerabl</w:t>
      </w:r>
      <w:r w:rsidRPr="00F546EC">
        <w:rPr>
          <w:rFonts w:eastAsia="Times New Roman"/>
          <w:color w:val="000000"/>
        </w:rPr>
        <w:t>e interest in hydrocarbon source rocks characteri</w:t>
      </w:r>
      <w:r w:rsidR="009617C4" w:rsidRPr="00F546EC">
        <w:rPr>
          <w:rFonts w:eastAsia="Times New Roman"/>
          <w:color w:val="000000"/>
        </w:rPr>
        <w:t>z</w:t>
      </w:r>
      <w:r w:rsidRPr="00F546EC">
        <w:rPr>
          <w:rFonts w:eastAsia="Times New Roman"/>
          <w:color w:val="000000"/>
        </w:rPr>
        <w:t>ation where these fine-grained</w:t>
      </w:r>
      <w:r w:rsidR="008A5BC9">
        <w:rPr>
          <w:rFonts w:eastAsia="Times New Roman"/>
          <w:color w:val="000000"/>
        </w:rPr>
        <w:t>,</w:t>
      </w:r>
      <w:r w:rsidRPr="00F546EC">
        <w:rPr>
          <w:rFonts w:eastAsia="Times New Roman"/>
          <w:color w:val="000000"/>
        </w:rPr>
        <w:t xml:space="preserve"> organic-rich rocks </w:t>
      </w:r>
      <w:r w:rsidR="00BA5866">
        <w:rPr>
          <w:rFonts w:eastAsia="Times New Roman"/>
          <w:color w:val="000000"/>
        </w:rPr>
        <w:t>are</w:t>
      </w:r>
      <w:r w:rsidRPr="00F546EC">
        <w:rPr>
          <w:rFonts w:eastAsia="Times New Roman"/>
          <w:color w:val="000000"/>
        </w:rPr>
        <w:t xml:space="preserve"> both </w:t>
      </w:r>
      <w:r w:rsidR="00BA5866">
        <w:rPr>
          <w:rFonts w:eastAsia="Times New Roman"/>
          <w:color w:val="000000"/>
        </w:rPr>
        <w:t xml:space="preserve">the </w:t>
      </w:r>
      <w:r w:rsidRPr="00F546EC">
        <w:rPr>
          <w:rFonts w:eastAsia="Times New Roman"/>
          <w:color w:val="000000"/>
        </w:rPr>
        <w:t xml:space="preserve">source and </w:t>
      </w:r>
      <w:r w:rsidR="00BA5866">
        <w:rPr>
          <w:rFonts w:eastAsia="Times New Roman"/>
          <w:color w:val="000000"/>
        </w:rPr>
        <w:t xml:space="preserve">the </w:t>
      </w:r>
      <w:r w:rsidRPr="00F546EC">
        <w:rPr>
          <w:rFonts w:eastAsia="Times New Roman"/>
          <w:color w:val="000000"/>
        </w:rPr>
        <w:t>reservoir</w:t>
      </w:r>
      <w:r w:rsidR="000908B8">
        <w:rPr>
          <w:rFonts w:eastAsia="Times New Roman"/>
          <w:color w:val="000000"/>
        </w:rPr>
        <w:t xml:space="preserve"> (EIA, 2016)</w:t>
      </w:r>
      <w:r w:rsidRPr="00F546EC">
        <w:rPr>
          <w:rFonts w:eastAsia="Times New Roman"/>
          <w:color w:val="000000"/>
        </w:rPr>
        <w:t>.</w:t>
      </w:r>
    </w:p>
    <w:p w14:paraId="718DEBDE" w14:textId="046BF154" w:rsidR="00BF17CE" w:rsidRPr="00F546EC" w:rsidRDefault="00BF17CE" w:rsidP="00BF17CE">
      <w:pPr>
        <w:ind w:firstLine="720"/>
        <w:rPr>
          <w:rFonts w:eastAsia="Times New Roman"/>
          <w:color w:val="000000"/>
        </w:rPr>
      </w:pPr>
      <w:r w:rsidRPr="00F546EC">
        <w:rPr>
          <w:rFonts w:eastAsia="Times New Roman"/>
          <w:color w:val="000000"/>
        </w:rPr>
        <w:t xml:space="preserve">Most of the North American resource shale systems </w:t>
      </w:r>
      <w:r w:rsidR="008A5BC9">
        <w:rPr>
          <w:rFonts w:eastAsia="Times New Roman"/>
          <w:color w:val="000000"/>
        </w:rPr>
        <w:t xml:space="preserve">are the </w:t>
      </w:r>
      <w:r w:rsidRPr="00F546EC">
        <w:rPr>
          <w:rFonts w:eastAsia="Times New Roman"/>
          <w:color w:val="000000"/>
        </w:rPr>
        <w:t>Marcellus, Utica-Point Pleasant, Eagle Ford, Barnett, Horn River, Niobrara,</w:t>
      </w:r>
      <w:r w:rsidR="009E15B2">
        <w:rPr>
          <w:rFonts w:eastAsia="Times New Roman"/>
          <w:color w:val="000000"/>
        </w:rPr>
        <w:t xml:space="preserve"> Mowry, </w:t>
      </w:r>
      <w:r w:rsidR="00FF702E">
        <w:rPr>
          <w:rFonts w:eastAsia="Times New Roman"/>
          <w:color w:val="000000"/>
        </w:rPr>
        <w:t xml:space="preserve">Spraberry, </w:t>
      </w:r>
      <w:r w:rsidR="009E15B2">
        <w:rPr>
          <w:rFonts w:eastAsia="Times New Roman"/>
          <w:color w:val="000000"/>
        </w:rPr>
        <w:t>Bone Spring,</w:t>
      </w:r>
      <w:r w:rsidRPr="00F546EC">
        <w:rPr>
          <w:rFonts w:eastAsia="Times New Roman"/>
          <w:color w:val="000000"/>
        </w:rPr>
        <w:t xml:space="preserve"> </w:t>
      </w:r>
      <w:r w:rsidR="008A5BC9">
        <w:rPr>
          <w:rFonts w:eastAsia="Times New Roman"/>
          <w:color w:val="000000"/>
        </w:rPr>
        <w:t xml:space="preserve">and </w:t>
      </w:r>
      <w:r w:rsidRPr="00F546EC">
        <w:rPr>
          <w:rFonts w:eastAsia="Times New Roman"/>
          <w:color w:val="000000"/>
        </w:rPr>
        <w:t xml:space="preserve">Wolfcamp </w:t>
      </w:r>
      <w:r w:rsidR="009E15B2">
        <w:rPr>
          <w:rFonts w:eastAsia="Times New Roman"/>
          <w:color w:val="000000"/>
        </w:rPr>
        <w:t xml:space="preserve">Shales </w:t>
      </w:r>
      <w:r w:rsidR="008A5BC9">
        <w:rPr>
          <w:rFonts w:eastAsia="Times New Roman"/>
          <w:color w:val="000000"/>
        </w:rPr>
        <w:t>(</w:t>
      </w:r>
      <w:r w:rsidRPr="00F546EC">
        <w:rPr>
          <w:rFonts w:eastAsia="Times New Roman"/>
          <w:color w:val="000000"/>
        </w:rPr>
        <w:t>Figure 1.1</w:t>
      </w:r>
      <w:r w:rsidR="000818A6">
        <w:rPr>
          <w:rFonts w:eastAsia="Times New Roman"/>
          <w:color w:val="000000"/>
        </w:rPr>
        <w:t>; EIA, 2016</w:t>
      </w:r>
      <w:r w:rsidR="008A5BC9">
        <w:rPr>
          <w:rFonts w:eastAsia="Times New Roman"/>
          <w:color w:val="000000"/>
        </w:rPr>
        <w:t>).</w:t>
      </w:r>
      <w:r>
        <w:rPr>
          <w:rFonts w:eastAsia="Times New Roman"/>
          <w:color w:val="000000"/>
        </w:rPr>
        <w:t xml:space="preserve"> The Woodford </w:t>
      </w:r>
      <w:r w:rsidR="005D5407">
        <w:rPr>
          <w:rFonts w:eastAsia="Times New Roman"/>
          <w:color w:val="000000"/>
        </w:rPr>
        <w:t>S</w:t>
      </w:r>
      <w:r>
        <w:rPr>
          <w:rFonts w:eastAsia="Times New Roman"/>
          <w:color w:val="000000"/>
        </w:rPr>
        <w:t>hale</w:t>
      </w:r>
      <w:r w:rsidR="00FF702E">
        <w:rPr>
          <w:rFonts w:eastAsia="Times New Roman"/>
          <w:color w:val="000000"/>
        </w:rPr>
        <w:t xml:space="preserve"> in the</w:t>
      </w:r>
      <w:r>
        <w:rPr>
          <w:rFonts w:eastAsia="Times New Roman"/>
          <w:color w:val="000000"/>
        </w:rPr>
        <w:t xml:space="preserve"> Oklahoman basins </w:t>
      </w:r>
      <w:r w:rsidR="00FF702E">
        <w:rPr>
          <w:rFonts w:eastAsia="Times New Roman"/>
          <w:color w:val="000000"/>
        </w:rPr>
        <w:t>(</w:t>
      </w:r>
      <w:r>
        <w:rPr>
          <w:rFonts w:eastAsia="Times New Roman"/>
          <w:color w:val="000000"/>
        </w:rPr>
        <w:t>Figure 1.2 and Figure 1.3</w:t>
      </w:r>
      <w:r w:rsidRPr="00F546EC">
        <w:rPr>
          <w:rFonts w:eastAsia="Times New Roman"/>
          <w:color w:val="000000"/>
        </w:rPr>
        <w:t>) ha</w:t>
      </w:r>
      <w:r w:rsidR="00FF702E">
        <w:rPr>
          <w:rFonts w:eastAsia="Times New Roman"/>
          <w:color w:val="000000"/>
        </w:rPr>
        <w:t>s</w:t>
      </w:r>
      <w:r w:rsidRPr="00F546EC">
        <w:rPr>
          <w:rFonts w:eastAsia="Times New Roman"/>
          <w:color w:val="000000"/>
        </w:rPr>
        <w:t xml:space="preserve"> been characterized as </w:t>
      </w:r>
      <w:r w:rsidR="00FF702E">
        <w:rPr>
          <w:rFonts w:eastAsia="Times New Roman"/>
          <w:color w:val="000000"/>
        </w:rPr>
        <w:t xml:space="preserve">a set of </w:t>
      </w:r>
      <w:r w:rsidRPr="00F546EC">
        <w:rPr>
          <w:rFonts w:eastAsia="Times New Roman"/>
          <w:color w:val="000000"/>
        </w:rPr>
        <w:t xml:space="preserve">marine </w:t>
      </w:r>
      <w:r w:rsidR="008A5BC9">
        <w:rPr>
          <w:rFonts w:eastAsia="Times New Roman"/>
          <w:color w:val="000000"/>
        </w:rPr>
        <w:t xml:space="preserve">unconventional shale </w:t>
      </w:r>
      <w:r w:rsidRPr="00F546EC">
        <w:rPr>
          <w:rFonts w:eastAsia="Times New Roman"/>
          <w:color w:val="000000"/>
        </w:rPr>
        <w:t xml:space="preserve">sequences with the common characteristic of being deposited above a carbonate formation where the paleo sea-level fluctuations allowed the </w:t>
      </w:r>
      <w:r w:rsidR="008A5BC9">
        <w:rPr>
          <w:rFonts w:eastAsia="Times New Roman"/>
          <w:color w:val="000000"/>
        </w:rPr>
        <w:t>formation</w:t>
      </w:r>
      <w:r w:rsidRPr="00F546EC">
        <w:rPr>
          <w:rFonts w:eastAsia="Times New Roman"/>
          <w:color w:val="000000"/>
        </w:rPr>
        <w:t xml:space="preserve"> of erosional surfaces</w:t>
      </w:r>
      <w:r w:rsidR="0010069A">
        <w:rPr>
          <w:rFonts w:eastAsia="Times New Roman"/>
          <w:color w:val="000000"/>
        </w:rPr>
        <w:t xml:space="preserve"> (Figure 1.4</w:t>
      </w:r>
      <w:r w:rsidR="009D3A5C">
        <w:rPr>
          <w:rFonts w:eastAsia="Times New Roman"/>
          <w:color w:val="000000"/>
        </w:rPr>
        <w:t xml:space="preserve">; </w:t>
      </w:r>
      <w:r w:rsidR="00F03FE3">
        <w:rPr>
          <w:rFonts w:eastAsia="Times New Roman"/>
          <w:color w:val="000000"/>
        </w:rPr>
        <w:t>Comer</w:t>
      </w:r>
      <w:r w:rsidR="009D3A5C">
        <w:rPr>
          <w:rFonts w:eastAsia="Times New Roman"/>
          <w:color w:val="000000"/>
        </w:rPr>
        <w:t xml:space="preserve"> and Hinch, 1987; </w:t>
      </w:r>
      <w:r w:rsidR="007A68D4">
        <w:rPr>
          <w:rFonts w:eastAsia="Times New Roman"/>
          <w:color w:val="000000"/>
        </w:rPr>
        <w:t xml:space="preserve">Johnson and Cardott, 1990; </w:t>
      </w:r>
      <w:r w:rsidR="009D3A5C">
        <w:rPr>
          <w:rFonts w:eastAsia="Times New Roman"/>
          <w:color w:val="000000"/>
        </w:rPr>
        <w:t>Comer 1992</w:t>
      </w:r>
      <w:r w:rsidR="00650EB6">
        <w:rPr>
          <w:rFonts w:eastAsia="Times New Roman"/>
          <w:color w:val="000000"/>
        </w:rPr>
        <w:t xml:space="preserve"> and</w:t>
      </w:r>
      <w:r w:rsidR="009D3A5C">
        <w:rPr>
          <w:rFonts w:eastAsia="Times New Roman"/>
          <w:color w:val="000000"/>
        </w:rPr>
        <w:t xml:space="preserve"> 2005)</w:t>
      </w:r>
      <w:r w:rsidR="008620C0">
        <w:rPr>
          <w:rFonts w:eastAsia="Times New Roman"/>
          <w:color w:val="000000"/>
        </w:rPr>
        <w:t xml:space="preserve">. The erosional events </w:t>
      </w:r>
      <w:r w:rsidR="00650EB6">
        <w:rPr>
          <w:rFonts w:eastAsia="Times New Roman"/>
          <w:color w:val="000000"/>
        </w:rPr>
        <w:t xml:space="preserve">which </w:t>
      </w:r>
      <w:r w:rsidR="008620C0">
        <w:rPr>
          <w:rFonts w:eastAsia="Times New Roman"/>
          <w:color w:val="000000"/>
        </w:rPr>
        <w:t>occurred before th</w:t>
      </w:r>
      <w:r w:rsidR="00DC1122">
        <w:rPr>
          <w:rFonts w:eastAsia="Times New Roman"/>
          <w:color w:val="000000"/>
        </w:rPr>
        <w:t>e</w:t>
      </w:r>
      <w:r w:rsidR="008620C0">
        <w:rPr>
          <w:rFonts w:eastAsia="Times New Roman"/>
          <w:color w:val="000000"/>
        </w:rPr>
        <w:t xml:space="preserve"> Woodford </w:t>
      </w:r>
      <w:r w:rsidR="005D5407">
        <w:rPr>
          <w:rFonts w:eastAsia="Times New Roman"/>
          <w:color w:val="000000"/>
        </w:rPr>
        <w:t>S</w:t>
      </w:r>
      <w:r w:rsidR="008620C0">
        <w:rPr>
          <w:rFonts w:eastAsia="Times New Roman"/>
          <w:color w:val="000000"/>
        </w:rPr>
        <w:t xml:space="preserve">hale layers </w:t>
      </w:r>
      <w:r w:rsidR="0010069A">
        <w:rPr>
          <w:rFonts w:eastAsia="Times New Roman"/>
          <w:color w:val="000000"/>
        </w:rPr>
        <w:t>were</w:t>
      </w:r>
      <w:r w:rsidR="008620C0">
        <w:rPr>
          <w:rFonts w:eastAsia="Times New Roman"/>
          <w:color w:val="000000"/>
        </w:rPr>
        <w:t xml:space="preserve"> deposited</w:t>
      </w:r>
      <w:r w:rsidR="000818A6">
        <w:rPr>
          <w:rFonts w:eastAsia="Times New Roman"/>
          <w:color w:val="000000"/>
        </w:rPr>
        <w:t xml:space="preserve"> </w:t>
      </w:r>
      <w:r w:rsidR="000818A6" w:rsidRPr="00F546EC">
        <w:rPr>
          <w:rFonts w:eastAsia="Times New Roman"/>
          <w:color w:val="000000"/>
        </w:rPr>
        <w:t>(Figure 1.4)</w:t>
      </w:r>
      <w:r w:rsidR="008620C0">
        <w:rPr>
          <w:rFonts w:eastAsia="Times New Roman"/>
          <w:color w:val="000000"/>
        </w:rPr>
        <w:t xml:space="preserve"> produced paleo depressions by the interactions of physical weathering, </w:t>
      </w:r>
      <w:r w:rsidR="00511BFA">
        <w:rPr>
          <w:rFonts w:eastAsia="Times New Roman"/>
          <w:color w:val="000000"/>
        </w:rPr>
        <w:t xml:space="preserve">incised valley formation, </w:t>
      </w:r>
      <w:r w:rsidR="008620C0">
        <w:rPr>
          <w:rFonts w:eastAsia="Times New Roman"/>
          <w:color w:val="000000"/>
        </w:rPr>
        <w:t>and karstification processes</w:t>
      </w:r>
      <w:r w:rsidR="009E15B2">
        <w:rPr>
          <w:rFonts w:eastAsia="Times New Roman"/>
          <w:color w:val="000000"/>
        </w:rPr>
        <w:t>,</w:t>
      </w:r>
      <w:r w:rsidR="00C4602F">
        <w:rPr>
          <w:rFonts w:eastAsia="Times New Roman"/>
          <w:color w:val="000000"/>
        </w:rPr>
        <w:t xml:space="preserve"> causing</w:t>
      </w:r>
      <w:r w:rsidR="009E15B2">
        <w:rPr>
          <w:rFonts w:eastAsia="Times New Roman"/>
          <w:color w:val="000000"/>
        </w:rPr>
        <w:t xml:space="preserve"> </w:t>
      </w:r>
      <w:r w:rsidR="008620C0">
        <w:rPr>
          <w:rFonts w:eastAsia="Times New Roman"/>
          <w:color w:val="000000"/>
        </w:rPr>
        <w:t xml:space="preserve">chemical reactions and de-watering effects of the carbonate (Hunton </w:t>
      </w:r>
      <w:r w:rsidR="0010069A">
        <w:rPr>
          <w:rFonts w:eastAsia="Times New Roman"/>
          <w:color w:val="000000"/>
        </w:rPr>
        <w:t>G</w:t>
      </w:r>
      <w:r w:rsidR="008620C0">
        <w:rPr>
          <w:rFonts w:eastAsia="Times New Roman"/>
          <w:color w:val="000000"/>
        </w:rPr>
        <w:t>roup) pre-existing strata</w:t>
      </w:r>
      <w:r w:rsidR="009D3A5C">
        <w:rPr>
          <w:rFonts w:eastAsia="Times New Roman"/>
          <w:color w:val="000000"/>
        </w:rPr>
        <w:t xml:space="preserve"> (</w:t>
      </w:r>
      <w:r w:rsidR="00A238AD">
        <w:rPr>
          <w:rFonts w:eastAsia="Times New Roman"/>
          <w:color w:val="000000"/>
        </w:rPr>
        <w:t xml:space="preserve">Johnson and Cardott, 1990; </w:t>
      </w:r>
      <w:r w:rsidR="009D3A5C">
        <w:rPr>
          <w:rFonts w:eastAsia="Times New Roman"/>
          <w:color w:val="000000"/>
        </w:rPr>
        <w:t>Comer, 2005; Slatt et al., 2012; Slatt, 2016)</w:t>
      </w:r>
      <w:r w:rsidR="009E15B2">
        <w:rPr>
          <w:rFonts w:eastAsia="Times New Roman"/>
          <w:color w:val="000000"/>
        </w:rPr>
        <w:t xml:space="preserve">. The combination of these processes </w:t>
      </w:r>
      <w:r w:rsidR="00C4602F">
        <w:rPr>
          <w:rFonts w:eastAsia="Times New Roman"/>
          <w:color w:val="000000"/>
        </w:rPr>
        <w:t>produced</w:t>
      </w:r>
      <w:r w:rsidR="008620C0">
        <w:rPr>
          <w:rFonts w:eastAsia="Times New Roman"/>
          <w:color w:val="000000"/>
        </w:rPr>
        <w:t xml:space="preserve"> a regional erosional surface maker at the base of the Woodford Shale, as is shown in Figure </w:t>
      </w:r>
      <w:r w:rsidR="00511BFA">
        <w:rPr>
          <w:rFonts w:eastAsia="Times New Roman"/>
          <w:color w:val="000000"/>
        </w:rPr>
        <w:t>1.</w:t>
      </w:r>
      <w:r w:rsidR="008620C0">
        <w:rPr>
          <w:rFonts w:eastAsia="Times New Roman"/>
          <w:color w:val="000000"/>
        </w:rPr>
        <w:t>4</w:t>
      </w:r>
      <w:r w:rsidR="009E15B2">
        <w:rPr>
          <w:rFonts w:eastAsia="Times New Roman"/>
          <w:color w:val="000000"/>
        </w:rPr>
        <w:t>, and these depocenters</w:t>
      </w:r>
      <w:r w:rsidR="00C4602F">
        <w:rPr>
          <w:rFonts w:eastAsia="Times New Roman"/>
          <w:color w:val="000000"/>
        </w:rPr>
        <w:t xml:space="preserve"> of water “pools”</w:t>
      </w:r>
      <w:r w:rsidR="009E15B2">
        <w:rPr>
          <w:rFonts w:eastAsia="Times New Roman"/>
          <w:color w:val="000000"/>
        </w:rPr>
        <w:t xml:space="preserve"> are </w:t>
      </w:r>
      <w:r w:rsidR="00C4602F">
        <w:rPr>
          <w:rFonts w:eastAsia="Times New Roman"/>
          <w:color w:val="000000"/>
        </w:rPr>
        <w:t>referred</w:t>
      </w:r>
      <w:r w:rsidR="00DF6234">
        <w:rPr>
          <w:rFonts w:eastAsia="Times New Roman"/>
          <w:color w:val="000000"/>
        </w:rPr>
        <w:t xml:space="preserve"> </w:t>
      </w:r>
      <w:r w:rsidR="00C4602F">
        <w:rPr>
          <w:rFonts w:eastAsia="Times New Roman"/>
          <w:color w:val="000000"/>
        </w:rPr>
        <w:t xml:space="preserve">in this study as </w:t>
      </w:r>
      <w:r w:rsidR="009E15B2">
        <w:rPr>
          <w:rFonts w:eastAsia="Times New Roman"/>
          <w:color w:val="000000"/>
        </w:rPr>
        <w:t>the enclosed mini-basin</w:t>
      </w:r>
      <w:r w:rsidR="00C4602F">
        <w:rPr>
          <w:rFonts w:eastAsia="Times New Roman"/>
          <w:color w:val="000000"/>
        </w:rPr>
        <w:t xml:space="preserve"> fill settings (</w:t>
      </w:r>
      <w:r w:rsidRPr="00F546EC">
        <w:rPr>
          <w:rFonts w:eastAsia="Times New Roman"/>
          <w:color w:val="000000"/>
        </w:rPr>
        <w:t>Figure 1.5</w:t>
      </w:r>
      <w:bookmarkEnd w:id="12"/>
      <w:r w:rsidRPr="00F546EC">
        <w:rPr>
          <w:rFonts w:eastAsia="Times New Roman"/>
          <w:color w:val="000000"/>
        </w:rPr>
        <w:t xml:space="preserve">). </w:t>
      </w:r>
    </w:p>
    <w:p w14:paraId="1A80E441" w14:textId="77777777" w:rsidR="00511BFA" w:rsidRDefault="00511BFA" w:rsidP="001E4003">
      <w:pPr>
        <w:spacing w:after="0"/>
        <w:ind w:firstLine="360"/>
        <w:jc w:val="center"/>
        <w:rPr>
          <w:noProof/>
        </w:rPr>
        <w:sectPr w:rsidR="00511BFA" w:rsidSect="0089520B">
          <w:footerReference w:type="default" r:id="rId17"/>
          <w:footerReference w:type="first" r:id="rId18"/>
          <w:pgSz w:w="12240" w:h="15840"/>
          <w:pgMar w:top="1440" w:right="1440" w:bottom="1440" w:left="1440" w:header="720" w:footer="720" w:gutter="0"/>
          <w:pgNumType w:start="1"/>
          <w:cols w:space="720"/>
          <w:docGrid w:linePitch="360"/>
        </w:sectPr>
      </w:pPr>
    </w:p>
    <w:p w14:paraId="58607F56" w14:textId="41D16E4A" w:rsidR="00DA74E5" w:rsidRDefault="00987AD1" w:rsidP="00511BFA">
      <w:pPr>
        <w:spacing w:after="0"/>
        <w:jc w:val="center"/>
        <w:rPr>
          <w:noProof/>
        </w:rPr>
      </w:pPr>
      <w:r w:rsidRPr="00027614">
        <w:rPr>
          <w:noProof/>
        </w:rPr>
        <w:lastRenderedPageBreak/>
        <w:drawing>
          <wp:inline distT="0" distB="0" distL="0" distR="0" wp14:anchorId="0F851C62" wp14:editId="09A007A6">
            <wp:extent cx="7868451" cy="5473356"/>
            <wp:effectExtent l="0" t="0" r="0" b="0"/>
            <wp:docPr id="275" name="Picture 1" descr="https://www.eia.gov/maps/images/shale_gas_lower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ia.gov/maps/images/shale_gas_lower4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88912" cy="5487589"/>
                    </a:xfrm>
                    <a:prstGeom prst="rect">
                      <a:avLst/>
                    </a:prstGeom>
                    <a:noFill/>
                    <a:ln>
                      <a:noFill/>
                    </a:ln>
                  </pic:spPr>
                </pic:pic>
              </a:graphicData>
            </a:graphic>
          </wp:inline>
        </w:drawing>
      </w:r>
    </w:p>
    <w:p w14:paraId="27D697DE" w14:textId="0F543871" w:rsidR="003E4375" w:rsidRPr="00F546EC" w:rsidRDefault="003E4375" w:rsidP="00DA74E5">
      <w:pPr>
        <w:pStyle w:val="Caption"/>
        <w:rPr>
          <w:noProof/>
        </w:rPr>
      </w:pPr>
      <w:bookmarkStart w:id="18" w:name="_Toc35861154"/>
      <w:r w:rsidRPr="00F546EC">
        <w:rPr>
          <w:b/>
        </w:rPr>
        <w:t>Figure 1</w:t>
      </w:r>
      <w:r w:rsidR="00CD3124" w:rsidRPr="00F546EC">
        <w:rPr>
          <w:b/>
        </w:rPr>
        <w:t>.1.</w:t>
      </w:r>
      <w:r w:rsidRPr="00F546EC">
        <w:rPr>
          <w:b/>
        </w:rPr>
        <w:t xml:space="preserve"> </w:t>
      </w:r>
      <w:r w:rsidRPr="00F546EC">
        <w:t xml:space="preserve">U.S. shale gas plays, </w:t>
      </w:r>
      <w:r w:rsidR="000D6242">
        <w:t>L</w:t>
      </w:r>
      <w:r w:rsidRPr="00F546EC">
        <w:t xml:space="preserve">ower 48 states (EIA </w:t>
      </w:r>
      <w:r w:rsidR="00660012" w:rsidRPr="00F546EC">
        <w:t>June 30, 2016</w:t>
      </w:r>
      <w:r w:rsidRPr="00F546EC">
        <w:t>). Source: Energy Information Administration</w:t>
      </w:r>
      <w:r w:rsidR="00C8187E">
        <w:t xml:space="preserve"> (EIA)</w:t>
      </w:r>
      <w:r w:rsidRPr="00F546EC">
        <w:t>, 201</w:t>
      </w:r>
      <w:r w:rsidR="00483A1E" w:rsidRPr="00F546EC">
        <w:t>6</w:t>
      </w:r>
      <w:r w:rsidRPr="00F546EC">
        <w:t>.</w:t>
      </w:r>
      <w:bookmarkEnd w:id="18"/>
    </w:p>
    <w:p w14:paraId="447F1CE9" w14:textId="77777777" w:rsidR="00BF17CE" w:rsidRDefault="00BF17CE" w:rsidP="009349D2">
      <w:pPr>
        <w:rPr>
          <w:rFonts w:eastAsia="Times New Roman"/>
          <w:color w:val="000000"/>
        </w:rPr>
        <w:sectPr w:rsidR="00BF17CE" w:rsidSect="0095456D">
          <w:pgSz w:w="15840" w:h="12240" w:orient="landscape"/>
          <w:pgMar w:top="1440" w:right="1440" w:bottom="1440" w:left="1440" w:header="720" w:footer="720" w:gutter="0"/>
          <w:cols w:space="720"/>
          <w:titlePg/>
          <w:docGrid w:linePitch="360"/>
        </w:sectPr>
      </w:pPr>
    </w:p>
    <w:p w14:paraId="1221710D" w14:textId="7B0D338A" w:rsidR="001454C1" w:rsidRPr="00F546EC" w:rsidRDefault="00987AD1" w:rsidP="009349D2">
      <w:pPr>
        <w:rPr>
          <w:rFonts w:eastAsia="Times New Roman"/>
          <w:color w:val="000000"/>
        </w:rPr>
      </w:pPr>
      <w:r w:rsidRPr="00027614">
        <w:rPr>
          <w:noProof/>
        </w:rPr>
        <w:lastRenderedPageBreak/>
        <w:drawing>
          <wp:inline distT="0" distB="0" distL="0" distR="0" wp14:anchorId="319BFA49" wp14:editId="00A06CDF">
            <wp:extent cx="8039100" cy="3402794"/>
            <wp:effectExtent l="76200" t="76200" r="133350" b="140970"/>
            <wp:docPr id="85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001" r="2051" b="26910"/>
                    <a:stretch/>
                  </pic:blipFill>
                  <pic:spPr bwMode="auto">
                    <a:xfrm>
                      <a:off x="0" y="0"/>
                      <a:ext cx="8043190" cy="3404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A597AD1" w14:textId="41B8CBEA" w:rsidR="005E0729" w:rsidRPr="00F546EC" w:rsidRDefault="005E0729" w:rsidP="00DA74E5">
      <w:pPr>
        <w:pStyle w:val="Caption"/>
      </w:pPr>
      <w:bookmarkStart w:id="19" w:name="_Toc35861155"/>
      <w:r w:rsidRPr="00F546EC">
        <w:rPr>
          <w:b/>
        </w:rPr>
        <w:t xml:space="preserve">Figure </w:t>
      </w:r>
      <w:r w:rsidR="008C7C6A" w:rsidRPr="00F546EC">
        <w:rPr>
          <w:b/>
        </w:rPr>
        <w:t>1.2</w:t>
      </w:r>
      <w:r w:rsidRPr="00F546EC">
        <w:rPr>
          <w:b/>
        </w:rPr>
        <w:t xml:space="preserve">. </w:t>
      </w:r>
      <w:r w:rsidR="00126FEF" w:rsidRPr="00F546EC">
        <w:t>State of Oklahom</w:t>
      </w:r>
      <w:r w:rsidR="00A46128">
        <w:t xml:space="preserve">a Sedimentary basins. Modified after </w:t>
      </w:r>
      <w:r w:rsidR="00C63E68" w:rsidRPr="00F546EC">
        <w:t>Energy Information Administration (201</w:t>
      </w:r>
      <w:r w:rsidR="009A3226">
        <w:t>6</w:t>
      </w:r>
      <w:r w:rsidR="00696EA3">
        <w:t>)</w:t>
      </w:r>
      <w:r w:rsidR="009A3226">
        <w:t xml:space="preserve">, and </w:t>
      </w:r>
      <w:r w:rsidR="009A3226" w:rsidRPr="00F546EC">
        <w:t>Liborius et al. (201</w:t>
      </w:r>
      <w:r w:rsidR="009A3226">
        <w:t>7</w:t>
      </w:r>
      <w:r w:rsidR="009A3226" w:rsidRPr="00F546EC">
        <w:t>)</w:t>
      </w:r>
      <w:r w:rsidR="00696EA3">
        <w:t>.</w:t>
      </w:r>
      <w:bookmarkEnd w:id="19"/>
    </w:p>
    <w:p w14:paraId="57BAAE43" w14:textId="77777777" w:rsidR="00967CCF" w:rsidRDefault="00967CCF" w:rsidP="00967CCF">
      <w:pPr>
        <w:jc w:val="center"/>
        <w:rPr>
          <w:noProof/>
        </w:rPr>
        <w:sectPr w:rsidR="00967CCF" w:rsidSect="0095456D">
          <w:pgSz w:w="15840" w:h="12240" w:orient="landscape"/>
          <w:pgMar w:top="1440" w:right="1440" w:bottom="1440" w:left="1440" w:header="720" w:footer="720" w:gutter="0"/>
          <w:cols w:space="720"/>
          <w:titlePg/>
          <w:docGrid w:linePitch="360"/>
        </w:sectPr>
      </w:pPr>
    </w:p>
    <w:p w14:paraId="691FDBD2" w14:textId="5DC83086" w:rsidR="00E90771" w:rsidRPr="00F546EC" w:rsidRDefault="005E20D4" w:rsidP="005E20D4">
      <w:pPr>
        <w:spacing w:after="0"/>
        <w:jc w:val="center"/>
        <w:rPr>
          <w:rFonts w:eastAsia="Times New Roman"/>
          <w:color w:val="000000"/>
        </w:rPr>
      </w:pPr>
      <w:r>
        <w:rPr>
          <w:noProof/>
        </w:rPr>
        <w:lastRenderedPageBreak/>
        <mc:AlternateContent>
          <mc:Choice Requires="wps">
            <w:drawing>
              <wp:anchor distT="0" distB="0" distL="114300" distR="114300" simplePos="0" relativeHeight="251720192" behindDoc="0" locked="0" layoutInCell="1" allowOverlap="1" wp14:anchorId="2E8A9C1C" wp14:editId="3E066DF3">
                <wp:simplePos x="0" y="0"/>
                <wp:positionH relativeFrom="column">
                  <wp:posOffset>3895256</wp:posOffset>
                </wp:positionH>
                <wp:positionV relativeFrom="paragraph">
                  <wp:posOffset>3013185</wp:posOffset>
                </wp:positionV>
                <wp:extent cx="580445" cy="731382"/>
                <wp:effectExtent l="0" t="0" r="0" b="0"/>
                <wp:wrapNone/>
                <wp:docPr id="96" name="Text Box 96"/>
                <wp:cNvGraphicFramePr/>
                <a:graphic xmlns:a="http://schemas.openxmlformats.org/drawingml/2006/main">
                  <a:graphicData uri="http://schemas.microsoft.com/office/word/2010/wordprocessingShape">
                    <wps:wsp>
                      <wps:cNvSpPr txBox="1"/>
                      <wps:spPr>
                        <a:xfrm>
                          <a:off x="0" y="0"/>
                          <a:ext cx="580445" cy="731382"/>
                        </a:xfrm>
                        <a:prstGeom prst="rect">
                          <a:avLst/>
                        </a:prstGeom>
                        <a:noFill/>
                        <a:ln w="6350">
                          <a:noFill/>
                        </a:ln>
                      </wps:spPr>
                      <wps:txbx>
                        <w:txbxContent>
                          <w:p w14:paraId="62E739D4" w14:textId="526104AE" w:rsidR="00EA43A0" w:rsidRPr="00511BFA" w:rsidRDefault="00EA43A0" w:rsidP="00511BFA">
                            <w:pPr>
                              <w:spacing w:after="0" w:line="240" w:lineRule="auto"/>
                              <w:jc w:val="center"/>
                              <w:rPr>
                                <w:b/>
                                <w:color w:val="FF00FF"/>
                                <w:sz w:val="18"/>
                              </w:rPr>
                            </w:pPr>
                            <w:r w:rsidRPr="00511BFA">
                              <w:rPr>
                                <w:b/>
                                <w:color w:val="FF00FF"/>
                                <w:sz w:val="18"/>
                              </w:rPr>
                              <w:t>Blaine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A9C1C" id="_x0000_t202" coordsize="21600,21600" o:spt="202" path="m,l,21600r21600,l21600,xe">
                <v:stroke joinstyle="miter"/>
                <v:path gradientshapeok="t" o:connecttype="rect"/>
              </v:shapetype>
              <v:shape id="Text Box 96" o:spid="_x0000_s1026" type="#_x0000_t202" style="position:absolute;left:0;text-align:left;margin-left:306.7pt;margin-top:237.25pt;width:45.7pt;height:57.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" filled="f" stroked="f" strokeweight=".5pt">
                <v:textbox>
                  <w:txbxContent>
                    <w:p w14:paraId="62E739D4" w14:textId="526104AE" w:rsidR="00EA43A0" w:rsidRPr="00511BFA" w:rsidRDefault="00EA43A0" w:rsidP="00511BFA">
                      <w:pPr>
                        <w:spacing w:after="0" w:line="240" w:lineRule="auto"/>
                        <w:jc w:val="center"/>
                        <w:rPr>
                          <w:b/>
                          <w:color w:val="FF00FF"/>
                          <w:sz w:val="18"/>
                        </w:rPr>
                      </w:pPr>
                      <w:r w:rsidRPr="00511BFA">
                        <w:rPr>
                          <w:b/>
                          <w:color w:val="FF00FF"/>
                          <w:sz w:val="18"/>
                        </w:rPr>
                        <w:t>Blaine</w:t>
                      </w:r>
                    </w:p>
                  </w:txbxContent>
                </v:textbox>
              </v:shape>
            </w:pict>
          </mc:Fallback>
        </mc:AlternateContent>
      </w:r>
      <w:r>
        <w:rPr>
          <w:noProof/>
        </w:rPr>
        <mc:AlternateContent>
          <mc:Choice Requires="wps">
            <w:drawing>
              <wp:anchor distT="0" distB="0" distL="114300" distR="114300" simplePos="0" relativeHeight="251716096" behindDoc="0" locked="0" layoutInCell="1" allowOverlap="1" wp14:anchorId="7784FCD5" wp14:editId="28652E3F">
                <wp:simplePos x="0" y="0"/>
                <wp:positionH relativeFrom="column">
                  <wp:posOffset>4341163</wp:posOffset>
                </wp:positionH>
                <wp:positionV relativeFrom="paragraph">
                  <wp:posOffset>2822603</wp:posOffset>
                </wp:positionV>
                <wp:extent cx="469127" cy="731382"/>
                <wp:effectExtent l="0" t="0" r="0" b="0"/>
                <wp:wrapNone/>
                <wp:docPr id="91" name="Text Box 91"/>
                <wp:cNvGraphicFramePr/>
                <a:graphic xmlns:a="http://schemas.openxmlformats.org/drawingml/2006/main">
                  <a:graphicData uri="http://schemas.microsoft.com/office/word/2010/wordprocessingShape">
                    <wps:wsp>
                      <wps:cNvSpPr txBox="1"/>
                      <wps:spPr>
                        <a:xfrm>
                          <a:off x="0" y="0"/>
                          <a:ext cx="469127" cy="731382"/>
                        </a:xfrm>
                        <a:prstGeom prst="rect">
                          <a:avLst/>
                        </a:prstGeom>
                        <a:noFill/>
                        <a:ln w="6350">
                          <a:noFill/>
                        </a:ln>
                      </wps:spPr>
                      <wps:txbx>
                        <w:txbxContent>
                          <w:p w14:paraId="206DE0AB" w14:textId="48EA1259" w:rsidR="00EA43A0" w:rsidRPr="00511BFA" w:rsidRDefault="00EA43A0" w:rsidP="00511BFA">
                            <w:pPr>
                              <w:spacing w:after="0" w:line="240" w:lineRule="auto"/>
                              <w:jc w:val="center"/>
                              <w:rPr>
                                <w:b/>
                                <w:color w:val="FF00FF"/>
                                <w:sz w:val="18"/>
                              </w:rPr>
                            </w:pPr>
                            <w:r w:rsidRPr="00511BFA">
                              <w:rPr>
                                <w:b/>
                                <w:color w:val="FF00FF"/>
                                <w:sz w:val="18"/>
                              </w:rPr>
                              <w:t>Kingfisher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4FCD5" id="Text Box 91" o:spid="_x0000_s1027" type="#_x0000_t202" style="position:absolute;left:0;text-align:left;margin-left:341.8pt;margin-top:222.25pt;width:36.95pt;height:57.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" filled="f" stroked="f" strokeweight=".5pt">
                <v:textbox>
                  <w:txbxContent>
                    <w:p w14:paraId="206DE0AB" w14:textId="48EA1259" w:rsidR="00EA43A0" w:rsidRPr="00511BFA" w:rsidRDefault="00EA43A0" w:rsidP="00511BFA">
                      <w:pPr>
                        <w:spacing w:after="0" w:line="240" w:lineRule="auto"/>
                        <w:jc w:val="center"/>
                        <w:rPr>
                          <w:b/>
                          <w:color w:val="FF00FF"/>
                          <w:sz w:val="18"/>
                        </w:rPr>
                      </w:pPr>
                      <w:r w:rsidRPr="00511BFA">
                        <w:rPr>
                          <w:b/>
                          <w:color w:val="FF00FF"/>
                          <w:sz w:val="18"/>
                        </w:rPr>
                        <w:t>Kingfisher</w:t>
                      </w:r>
                    </w:p>
                  </w:txbxContent>
                </v:textbox>
              </v:shape>
            </w:pict>
          </mc:Fallback>
        </mc:AlternateContent>
      </w:r>
      <w:r>
        <w:rPr>
          <w:noProof/>
        </w:rPr>
        <mc:AlternateContent>
          <mc:Choice Requires="wps">
            <w:drawing>
              <wp:anchor distT="0" distB="0" distL="114300" distR="114300" simplePos="0" relativeHeight="251724288" behindDoc="0" locked="0" layoutInCell="1" allowOverlap="1" wp14:anchorId="388142DF" wp14:editId="65CB6F2B">
                <wp:simplePos x="0" y="0"/>
                <wp:positionH relativeFrom="column">
                  <wp:posOffset>4245140</wp:posOffset>
                </wp:positionH>
                <wp:positionV relativeFrom="paragraph">
                  <wp:posOffset>3276351</wp:posOffset>
                </wp:positionV>
                <wp:extent cx="739472" cy="731382"/>
                <wp:effectExtent l="0" t="0" r="0" b="0"/>
                <wp:wrapNone/>
                <wp:docPr id="98" name="Text Box 98"/>
                <wp:cNvGraphicFramePr/>
                <a:graphic xmlns:a="http://schemas.openxmlformats.org/drawingml/2006/main">
                  <a:graphicData uri="http://schemas.microsoft.com/office/word/2010/wordprocessingShape">
                    <wps:wsp>
                      <wps:cNvSpPr txBox="1"/>
                      <wps:spPr>
                        <a:xfrm>
                          <a:off x="0" y="0"/>
                          <a:ext cx="739472" cy="731382"/>
                        </a:xfrm>
                        <a:prstGeom prst="rect">
                          <a:avLst/>
                        </a:prstGeom>
                        <a:noFill/>
                        <a:ln w="6350">
                          <a:noFill/>
                        </a:ln>
                      </wps:spPr>
                      <wps:txbx>
                        <w:txbxContent>
                          <w:p w14:paraId="1A6572A3" w14:textId="2755D4DD" w:rsidR="00EA43A0" w:rsidRPr="00511BFA" w:rsidRDefault="00EA43A0" w:rsidP="00511BFA">
                            <w:pPr>
                              <w:spacing w:after="0" w:line="240" w:lineRule="auto"/>
                              <w:jc w:val="center"/>
                              <w:rPr>
                                <w:b/>
                                <w:color w:val="FF00FF"/>
                                <w:sz w:val="18"/>
                              </w:rPr>
                            </w:pPr>
                            <w:r>
                              <w:rPr>
                                <w:b/>
                                <w:color w:val="FF00FF"/>
                                <w:sz w:val="18"/>
                              </w:rPr>
                              <w:t>Canadian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142DF" id="Text Box 98" o:spid="_x0000_s1028" type="#_x0000_t202" style="position:absolute;left:0;text-align:left;margin-left:334.25pt;margin-top:258pt;width:58.25pt;height:57.6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" filled="f" stroked="f" strokeweight=".5pt">
                <v:textbox>
                  <w:txbxContent>
                    <w:p w14:paraId="1A6572A3" w14:textId="2755D4DD" w:rsidR="00EA43A0" w:rsidRPr="00511BFA" w:rsidRDefault="00EA43A0" w:rsidP="00511BFA">
                      <w:pPr>
                        <w:spacing w:after="0" w:line="240" w:lineRule="auto"/>
                        <w:jc w:val="center"/>
                        <w:rPr>
                          <w:b/>
                          <w:color w:val="FF00FF"/>
                          <w:sz w:val="18"/>
                        </w:rPr>
                      </w:pPr>
                      <w:r>
                        <w:rPr>
                          <w:b/>
                          <w:color w:val="FF00FF"/>
                          <w:sz w:val="18"/>
                        </w:rPr>
                        <w:t>Canadian</w:t>
                      </w:r>
                    </w:p>
                  </w:txbxContent>
                </v:textbox>
              </v:shape>
            </w:pict>
          </mc:Fallback>
        </mc:AlternateContent>
      </w:r>
      <w:r>
        <w:rPr>
          <w:noProof/>
        </w:rPr>
        <mc:AlternateContent>
          <mc:Choice Requires="wps">
            <w:drawing>
              <wp:anchor distT="0" distB="0" distL="114300" distR="114300" simplePos="0" relativeHeight="251740672" behindDoc="0" locked="0" layoutInCell="1" allowOverlap="1" wp14:anchorId="4313C55A" wp14:editId="7169E1D4">
                <wp:simplePos x="0" y="0"/>
                <wp:positionH relativeFrom="column">
                  <wp:posOffset>3833743</wp:posOffset>
                </wp:positionH>
                <wp:positionV relativeFrom="paragraph">
                  <wp:posOffset>3679742</wp:posOffset>
                </wp:positionV>
                <wp:extent cx="739472" cy="731382"/>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739472" cy="731382"/>
                        </a:xfrm>
                        <a:prstGeom prst="rect">
                          <a:avLst/>
                        </a:prstGeom>
                        <a:noFill/>
                        <a:ln w="6350">
                          <a:noFill/>
                        </a:ln>
                      </wps:spPr>
                      <wps:txbx>
                        <w:txbxContent>
                          <w:p w14:paraId="1DA55EA3" w14:textId="4A3EE493" w:rsidR="00EA43A0" w:rsidRPr="00511BFA" w:rsidRDefault="00EA43A0" w:rsidP="00814006">
                            <w:pPr>
                              <w:spacing w:after="0" w:line="240" w:lineRule="auto"/>
                              <w:jc w:val="center"/>
                              <w:rPr>
                                <w:b/>
                                <w:color w:val="FF00FF"/>
                                <w:sz w:val="18"/>
                              </w:rPr>
                            </w:pPr>
                            <w:r>
                              <w:rPr>
                                <w:b/>
                                <w:color w:val="FF00FF"/>
                                <w:sz w:val="18"/>
                              </w:rPr>
                              <w:t>Caddo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3C55A" id="Text Box 124" o:spid="_x0000_s1029" type="#_x0000_t202" style="position:absolute;left:0;text-align:left;margin-left:301.85pt;margin-top:289.75pt;width:58.25pt;height:57.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" filled="f" stroked="f" strokeweight=".5pt">
                <v:textbox>
                  <w:txbxContent>
                    <w:p w14:paraId="1DA55EA3" w14:textId="4A3EE493" w:rsidR="00EA43A0" w:rsidRPr="00511BFA" w:rsidRDefault="00EA43A0" w:rsidP="00814006">
                      <w:pPr>
                        <w:spacing w:after="0" w:line="240" w:lineRule="auto"/>
                        <w:jc w:val="center"/>
                        <w:rPr>
                          <w:b/>
                          <w:color w:val="FF00FF"/>
                          <w:sz w:val="18"/>
                        </w:rPr>
                      </w:pPr>
                      <w:r>
                        <w:rPr>
                          <w:b/>
                          <w:color w:val="FF00FF"/>
                          <w:sz w:val="18"/>
                        </w:rPr>
                        <w:t>Caddo</w:t>
                      </w:r>
                    </w:p>
                  </w:txbxContent>
                </v:textbox>
              </v:shape>
            </w:pict>
          </mc:Fallback>
        </mc:AlternateContent>
      </w:r>
      <w:r>
        <w:rPr>
          <w:noProof/>
        </w:rPr>
        <mc:AlternateContent>
          <mc:Choice Requires="wps">
            <w:drawing>
              <wp:anchor distT="0" distB="0" distL="114300" distR="114300" simplePos="0" relativeHeight="251707904" behindDoc="0" locked="0" layoutInCell="1" allowOverlap="1" wp14:anchorId="7F81D726" wp14:editId="3642595D">
                <wp:simplePos x="0" y="0"/>
                <wp:positionH relativeFrom="column">
                  <wp:posOffset>4563525</wp:posOffset>
                </wp:positionH>
                <wp:positionV relativeFrom="paragraph">
                  <wp:posOffset>3186844</wp:posOffset>
                </wp:positionV>
                <wp:extent cx="1137036" cy="731382"/>
                <wp:effectExtent l="0" t="0" r="0" b="0"/>
                <wp:wrapNone/>
                <wp:docPr id="89" name="Text Box 89"/>
                <wp:cNvGraphicFramePr/>
                <a:graphic xmlns:a="http://schemas.openxmlformats.org/drawingml/2006/main">
                  <a:graphicData uri="http://schemas.microsoft.com/office/word/2010/wordprocessingShape">
                    <wps:wsp>
                      <wps:cNvSpPr txBox="1"/>
                      <wps:spPr>
                        <a:xfrm>
                          <a:off x="0" y="0"/>
                          <a:ext cx="1137036" cy="731382"/>
                        </a:xfrm>
                        <a:prstGeom prst="rect">
                          <a:avLst/>
                        </a:prstGeom>
                        <a:noFill/>
                        <a:ln w="6350">
                          <a:noFill/>
                        </a:ln>
                      </wps:spPr>
                      <wps:txbx>
                        <w:txbxContent>
                          <w:p w14:paraId="3CC1FBE6" w14:textId="77777777" w:rsidR="00EA43A0" w:rsidRPr="00511BFA" w:rsidRDefault="00EA43A0" w:rsidP="00511BFA">
                            <w:pPr>
                              <w:spacing w:after="0" w:line="240" w:lineRule="auto"/>
                              <w:jc w:val="center"/>
                              <w:rPr>
                                <w:b/>
                                <w:color w:val="FF00FF"/>
                                <w:sz w:val="18"/>
                              </w:rPr>
                            </w:pPr>
                            <w:r w:rsidRPr="00511BFA">
                              <w:rPr>
                                <w:b/>
                                <w:color w:val="FF00FF"/>
                                <w:sz w:val="18"/>
                              </w:rPr>
                              <w:t>Oklahoma</w:t>
                            </w:r>
                          </w:p>
                          <w:p w14:paraId="1C2EA328" w14:textId="79AEAA23" w:rsidR="00EA43A0" w:rsidRPr="00511BFA" w:rsidRDefault="00EA43A0" w:rsidP="00511BFA">
                            <w:pPr>
                              <w:spacing w:after="0" w:line="240" w:lineRule="auto"/>
                              <w:jc w:val="center"/>
                              <w:rPr>
                                <w:b/>
                                <w:color w:val="FF00FF"/>
                                <w:sz w:val="18"/>
                              </w:rPr>
                            </w:pPr>
                            <w:r w:rsidRPr="00511BFA">
                              <w:rPr>
                                <w:b/>
                                <w:color w:val="FF00FF"/>
                                <w:sz w:val="18"/>
                              </w:rPr>
                              <w:t xml:space="preserve"> 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1D726" id="Text Box 89" o:spid="_x0000_s1030" type="#_x0000_t202" style="position:absolute;left:0;text-align:left;margin-left:359.35pt;margin-top:250.95pt;width:89.55pt;height:57.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" filled="f" stroked="f" strokeweight=".5pt">
                <v:textbox>
                  <w:txbxContent>
                    <w:p w14:paraId="3CC1FBE6" w14:textId="77777777" w:rsidR="00EA43A0" w:rsidRPr="00511BFA" w:rsidRDefault="00EA43A0" w:rsidP="00511BFA">
                      <w:pPr>
                        <w:spacing w:after="0" w:line="240" w:lineRule="auto"/>
                        <w:jc w:val="center"/>
                        <w:rPr>
                          <w:b/>
                          <w:color w:val="FF00FF"/>
                          <w:sz w:val="18"/>
                        </w:rPr>
                      </w:pPr>
                      <w:r w:rsidRPr="00511BFA">
                        <w:rPr>
                          <w:b/>
                          <w:color w:val="FF00FF"/>
                          <w:sz w:val="18"/>
                        </w:rPr>
                        <w:t>Oklahoma</w:t>
                      </w:r>
                    </w:p>
                    <w:p w14:paraId="1C2EA328" w14:textId="79AEAA23" w:rsidR="00EA43A0" w:rsidRPr="00511BFA" w:rsidRDefault="00EA43A0" w:rsidP="00511BFA">
                      <w:pPr>
                        <w:spacing w:after="0" w:line="240" w:lineRule="auto"/>
                        <w:jc w:val="center"/>
                        <w:rPr>
                          <w:b/>
                          <w:color w:val="FF00FF"/>
                          <w:sz w:val="18"/>
                        </w:rPr>
                      </w:pPr>
                      <w:r w:rsidRPr="00511BFA">
                        <w:rPr>
                          <w:b/>
                          <w:color w:val="FF00FF"/>
                          <w:sz w:val="18"/>
                        </w:rPr>
                        <w:t xml:space="preserve"> Co.</w:t>
                      </w:r>
                    </w:p>
                  </w:txbxContent>
                </v:textbox>
              </v:shape>
            </w:pict>
          </mc:Fallback>
        </mc:AlternateContent>
      </w:r>
      <w:r>
        <w:rPr>
          <w:noProof/>
        </w:rPr>
        <mc:AlternateContent>
          <mc:Choice Requires="wps">
            <w:drawing>
              <wp:anchor distT="0" distB="0" distL="114300" distR="114300" simplePos="0" relativeHeight="251712000" behindDoc="0" locked="0" layoutInCell="1" allowOverlap="1" wp14:anchorId="1B9D2BF7" wp14:editId="567E0047">
                <wp:simplePos x="0" y="0"/>
                <wp:positionH relativeFrom="column">
                  <wp:posOffset>4635943</wp:posOffset>
                </wp:positionH>
                <wp:positionV relativeFrom="paragraph">
                  <wp:posOffset>3491699</wp:posOffset>
                </wp:positionV>
                <wp:extent cx="1137036" cy="731382"/>
                <wp:effectExtent l="0" t="0" r="0" b="0"/>
                <wp:wrapNone/>
                <wp:docPr id="90" name="Text Box 90"/>
                <wp:cNvGraphicFramePr/>
                <a:graphic xmlns:a="http://schemas.openxmlformats.org/drawingml/2006/main">
                  <a:graphicData uri="http://schemas.microsoft.com/office/word/2010/wordprocessingShape">
                    <wps:wsp>
                      <wps:cNvSpPr txBox="1"/>
                      <wps:spPr>
                        <a:xfrm>
                          <a:off x="0" y="0"/>
                          <a:ext cx="1137036" cy="731382"/>
                        </a:xfrm>
                        <a:prstGeom prst="rect">
                          <a:avLst/>
                        </a:prstGeom>
                        <a:noFill/>
                        <a:ln w="6350">
                          <a:noFill/>
                        </a:ln>
                      </wps:spPr>
                      <wps:txbx>
                        <w:txbxContent>
                          <w:p w14:paraId="3F77CB8F" w14:textId="29E1FA87" w:rsidR="00EA43A0" w:rsidRPr="00511BFA" w:rsidRDefault="00EA43A0" w:rsidP="00511BFA">
                            <w:pPr>
                              <w:spacing w:after="0" w:line="240" w:lineRule="auto"/>
                              <w:jc w:val="center"/>
                              <w:rPr>
                                <w:b/>
                                <w:color w:val="FF00FF"/>
                                <w:sz w:val="18"/>
                              </w:rPr>
                            </w:pPr>
                            <w:r w:rsidRPr="00511BFA">
                              <w:rPr>
                                <w:b/>
                                <w:color w:val="FF00FF"/>
                                <w:sz w:val="18"/>
                              </w:rPr>
                              <w:t>Cleveland</w:t>
                            </w:r>
                          </w:p>
                          <w:p w14:paraId="71C91206" w14:textId="77777777" w:rsidR="00EA43A0" w:rsidRPr="00511BFA" w:rsidRDefault="00EA43A0" w:rsidP="00511BFA">
                            <w:pPr>
                              <w:spacing w:after="0" w:line="240" w:lineRule="auto"/>
                              <w:jc w:val="center"/>
                              <w:rPr>
                                <w:b/>
                                <w:color w:val="FF00FF"/>
                                <w:sz w:val="18"/>
                              </w:rPr>
                            </w:pPr>
                            <w:r w:rsidRPr="00511BFA">
                              <w:rPr>
                                <w:b/>
                                <w:color w:val="FF00FF"/>
                                <w:sz w:val="18"/>
                              </w:rPr>
                              <w:t xml:space="preserve"> 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D2BF7" id="Text Box 90" o:spid="_x0000_s1031" type="#_x0000_t202" style="position:absolute;left:0;text-align:left;margin-left:365.05pt;margin-top:274.95pt;width:89.55pt;height:57.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" filled="f" stroked="f" strokeweight=".5pt">
                <v:textbox>
                  <w:txbxContent>
                    <w:p w14:paraId="3F77CB8F" w14:textId="29E1FA87" w:rsidR="00EA43A0" w:rsidRPr="00511BFA" w:rsidRDefault="00EA43A0" w:rsidP="00511BFA">
                      <w:pPr>
                        <w:spacing w:after="0" w:line="240" w:lineRule="auto"/>
                        <w:jc w:val="center"/>
                        <w:rPr>
                          <w:b/>
                          <w:color w:val="FF00FF"/>
                          <w:sz w:val="18"/>
                        </w:rPr>
                      </w:pPr>
                      <w:r w:rsidRPr="00511BFA">
                        <w:rPr>
                          <w:b/>
                          <w:color w:val="FF00FF"/>
                          <w:sz w:val="18"/>
                        </w:rPr>
                        <w:t>Cleveland</w:t>
                      </w:r>
                    </w:p>
                    <w:p w14:paraId="71C91206" w14:textId="77777777" w:rsidR="00EA43A0" w:rsidRPr="00511BFA" w:rsidRDefault="00EA43A0" w:rsidP="00511BFA">
                      <w:pPr>
                        <w:spacing w:after="0" w:line="240" w:lineRule="auto"/>
                        <w:jc w:val="center"/>
                        <w:rPr>
                          <w:b/>
                          <w:color w:val="FF00FF"/>
                          <w:sz w:val="18"/>
                        </w:rPr>
                      </w:pPr>
                      <w:r w:rsidRPr="00511BFA">
                        <w:rPr>
                          <w:b/>
                          <w:color w:val="FF00FF"/>
                          <w:sz w:val="18"/>
                        </w:rPr>
                        <w:t xml:space="preserve"> Co.</w:t>
                      </w:r>
                    </w:p>
                  </w:txbxContent>
                </v:textbox>
              </v:shape>
            </w:pict>
          </mc:Fallback>
        </mc:AlternateContent>
      </w:r>
      <w:r>
        <w:rPr>
          <w:noProof/>
        </w:rPr>
        <mc:AlternateContent>
          <mc:Choice Requires="wps">
            <w:drawing>
              <wp:anchor distT="0" distB="0" distL="114300" distR="114300" simplePos="0" relativeHeight="251728384" behindDoc="0" locked="0" layoutInCell="1" allowOverlap="1" wp14:anchorId="3EEBB002" wp14:editId="7807F935">
                <wp:simplePos x="0" y="0"/>
                <wp:positionH relativeFrom="column">
                  <wp:posOffset>4270707</wp:posOffset>
                </wp:positionH>
                <wp:positionV relativeFrom="paragraph">
                  <wp:posOffset>3840756</wp:posOffset>
                </wp:positionV>
                <wp:extent cx="739472" cy="731382"/>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739472" cy="731382"/>
                        </a:xfrm>
                        <a:prstGeom prst="rect">
                          <a:avLst/>
                        </a:prstGeom>
                        <a:noFill/>
                        <a:ln w="6350">
                          <a:noFill/>
                        </a:ln>
                      </wps:spPr>
                      <wps:txbx>
                        <w:txbxContent>
                          <w:p w14:paraId="39F71047" w14:textId="0762E956" w:rsidR="00EA43A0" w:rsidRPr="00511BFA" w:rsidRDefault="00EA43A0" w:rsidP="00814006">
                            <w:pPr>
                              <w:spacing w:after="0" w:line="240" w:lineRule="auto"/>
                              <w:jc w:val="center"/>
                              <w:rPr>
                                <w:b/>
                                <w:color w:val="FF00FF"/>
                                <w:sz w:val="18"/>
                              </w:rPr>
                            </w:pPr>
                            <w:r>
                              <w:rPr>
                                <w:b/>
                                <w:color w:val="FF00FF"/>
                                <w:sz w:val="18"/>
                              </w:rPr>
                              <w:t>Grady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BB002" id="Text Box 106" o:spid="_x0000_s1032" type="#_x0000_t202" style="position:absolute;left:0;text-align:left;margin-left:336.3pt;margin-top:302.4pt;width:58.25pt;height:57.6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" filled="f" stroked="f" strokeweight=".5pt">
                <v:textbox>
                  <w:txbxContent>
                    <w:p w14:paraId="39F71047" w14:textId="0762E956" w:rsidR="00EA43A0" w:rsidRPr="00511BFA" w:rsidRDefault="00EA43A0" w:rsidP="00814006">
                      <w:pPr>
                        <w:spacing w:after="0" w:line="240" w:lineRule="auto"/>
                        <w:jc w:val="center"/>
                        <w:rPr>
                          <w:b/>
                          <w:color w:val="FF00FF"/>
                          <w:sz w:val="18"/>
                        </w:rPr>
                      </w:pPr>
                      <w:r>
                        <w:rPr>
                          <w:b/>
                          <w:color w:val="FF00FF"/>
                          <w:sz w:val="18"/>
                        </w:rPr>
                        <w:t>Grady</w:t>
                      </w:r>
                    </w:p>
                  </w:txbxContent>
                </v:textbox>
              </v:shape>
            </w:pict>
          </mc:Fallback>
        </mc:AlternateContent>
      </w:r>
      <w:r>
        <w:rPr>
          <w:noProof/>
        </w:rPr>
        <mc:AlternateContent>
          <mc:Choice Requires="wps">
            <w:drawing>
              <wp:anchor distT="0" distB="0" distL="114300" distR="114300" simplePos="0" relativeHeight="251736576" behindDoc="0" locked="0" layoutInCell="1" allowOverlap="1" wp14:anchorId="22B9E3C2" wp14:editId="12D08DCC">
                <wp:simplePos x="0" y="0"/>
                <wp:positionH relativeFrom="column">
                  <wp:posOffset>4880721</wp:posOffset>
                </wp:positionH>
                <wp:positionV relativeFrom="paragraph">
                  <wp:posOffset>4008368</wp:posOffset>
                </wp:positionV>
                <wp:extent cx="739472" cy="731382"/>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739472" cy="731382"/>
                        </a:xfrm>
                        <a:prstGeom prst="rect">
                          <a:avLst/>
                        </a:prstGeom>
                        <a:noFill/>
                        <a:ln w="6350">
                          <a:noFill/>
                        </a:ln>
                      </wps:spPr>
                      <wps:txbx>
                        <w:txbxContent>
                          <w:p w14:paraId="75F6F83B" w14:textId="7095990D" w:rsidR="00EA43A0" w:rsidRPr="00511BFA" w:rsidRDefault="00EA43A0" w:rsidP="00814006">
                            <w:pPr>
                              <w:spacing w:after="0" w:line="240" w:lineRule="auto"/>
                              <w:jc w:val="center"/>
                              <w:rPr>
                                <w:b/>
                                <w:color w:val="FF00FF"/>
                                <w:sz w:val="18"/>
                              </w:rPr>
                            </w:pPr>
                            <w:r>
                              <w:rPr>
                                <w:b/>
                                <w:color w:val="FF00FF"/>
                                <w:sz w:val="18"/>
                              </w:rPr>
                              <w:t>Garvin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9E3C2" id="Text Box 112" o:spid="_x0000_s1033" type="#_x0000_t202" style="position:absolute;left:0;text-align:left;margin-left:384.3pt;margin-top:315.6pt;width:58.25pt;height:57.6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" filled="f" stroked="f" strokeweight=".5pt">
                <v:textbox>
                  <w:txbxContent>
                    <w:p w14:paraId="75F6F83B" w14:textId="7095990D" w:rsidR="00EA43A0" w:rsidRPr="00511BFA" w:rsidRDefault="00EA43A0" w:rsidP="00814006">
                      <w:pPr>
                        <w:spacing w:after="0" w:line="240" w:lineRule="auto"/>
                        <w:jc w:val="center"/>
                        <w:rPr>
                          <w:b/>
                          <w:color w:val="FF00FF"/>
                          <w:sz w:val="18"/>
                        </w:rPr>
                      </w:pPr>
                      <w:r>
                        <w:rPr>
                          <w:b/>
                          <w:color w:val="FF00FF"/>
                          <w:sz w:val="18"/>
                        </w:rPr>
                        <w:t>Garvin</w:t>
                      </w:r>
                    </w:p>
                  </w:txbxContent>
                </v:textbox>
              </v:shape>
            </w:pict>
          </mc:Fallback>
        </mc:AlternateContent>
      </w:r>
      <w:r>
        <w:rPr>
          <w:noProof/>
        </w:rPr>
        <mc:AlternateContent>
          <mc:Choice Requires="wps">
            <w:drawing>
              <wp:anchor distT="0" distB="0" distL="114300" distR="114300" simplePos="0" relativeHeight="251757056" behindDoc="0" locked="0" layoutInCell="1" allowOverlap="1" wp14:anchorId="1A9A44A7" wp14:editId="1461BB7D">
                <wp:simplePos x="0" y="0"/>
                <wp:positionH relativeFrom="column">
                  <wp:posOffset>5448481</wp:posOffset>
                </wp:positionH>
                <wp:positionV relativeFrom="paragraph">
                  <wp:posOffset>3597033</wp:posOffset>
                </wp:positionV>
                <wp:extent cx="739472" cy="262393"/>
                <wp:effectExtent l="66992" t="0" r="51753" b="0"/>
                <wp:wrapNone/>
                <wp:docPr id="1039" name="Text Box 1039"/>
                <wp:cNvGraphicFramePr/>
                <a:graphic xmlns:a="http://schemas.openxmlformats.org/drawingml/2006/main">
                  <a:graphicData uri="http://schemas.microsoft.com/office/word/2010/wordprocessingShape">
                    <wps:wsp>
                      <wps:cNvSpPr txBox="1"/>
                      <wps:spPr>
                        <a:xfrm rot="18591639">
                          <a:off x="0" y="0"/>
                          <a:ext cx="739472" cy="262393"/>
                        </a:xfrm>
                        <a:prstGeom prst="rect">
                          <a:avLst/>
                        </a:prstGeom>
                        <a:noFill/>
                        <a:ln w="6350">
                          <a:noFill/>
                        </a:ln>
                      </wps:spPr>
                      <wps:txbx>
                        <w:txbxContent>
                          <w:p w14:paraId="65C51A80" w14:textId="2DF24B9C" w:rsidR="00EA43A0" w:rsidRPr="00511BFA" w:rsidRDefault="00EA43A0" w:rsidP="008C609A">
                            <w:pPr>
                              <w:spacing w:after="0" w:line="240" w:lineRule="auto"/>
                              <w:jc w:val="center"/>
                              <w:rPr>
                                <w:b/>
                                <w:color w:val="FF00FF"/>
                                <w:sz w:val="18"/>
                              </w:rPr>
                            </w:pPr>
                            <w:r>
                              <w:rPr>
                                <w:b/>
                                <w:color w:val="FF00FF"/>
                                <w:sz w:val="18"/>
                              </w:rPr>
                              <w:t>Seminole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A44A7" id="Text Box 1039" o:spid="_x0000_s1034" type="#_x0000_t202" style="position:absolute;left:0;text-align:left;margin-left:429pt;margin-top:283.25pt;width:58.25pt;height:20.65pt;rotation:-3285932fd;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" filled="f" stroked="f" strokeweight=".5pt">
                <v:textbox>
                  <w:txbxContent>
                    <w:p w14:paraId="65C51A80" w14:textId="2DF24B9C" w:rsidR="00EA43A0" w:rsidRPr="00511BFA" w:rsidRDefault="00EA43A0" w:rsidP="008C609A">
                      <w:pPr>
                        <w:spacing w:after="0" w:line="240" w:lineRule="auto"/>
                        <w:jc w:val="center"/>
                        <w:rPr>
                          <w:b/>
                          <w:color w:val="FF00FF"/>
                          <w:sz w:val="18"/>
                        </w:rPr>
                      </w:pPr>
                      <w:r>
                        <w:rPr>
                          <w:b/>
                          <w:color w:val="FF00FF"/>
                          <w:sz w:val="18"/>
                        </w:rPr>
                        <w:t>Seminole</w:t>
                      </w:r>
                    </w:p>
                  </w:txbxContent>
                </v:textbox>
              </v:shape>
            </w:pict>
          </mc:Fallback>
        </mc:AlternateContent>
      </w:r>
      <w:r>
        <w:rPr>
          <w:noProof/>
        </w:rPr>
        <mc:AlternateContent>
          <mc:Choice Requires="wps">
            <w:drawing>
              <wp:anchor distT="0" distB="0" distL="114300" distR="114300" simplePos="0" relativeHeight="251752960" behindDoc="0" locked="0" layoutInCell="1" allowOverlap="1" wp14:anchorId="7C6FFDAD" wp14:editId="3CAB2062">
                <wp:simplePos x="0" y="0"/>
                <wp:positionH relativeFrom="column">
                  <wp:posOffset>5377701</wp:posOffset>
                </wp:positionH>
                <wp:positionV relativeFrom="paragraph">
                  <wp:posOffset>4005331</wp:posOffset>
                </wp:positionV>
                <wp:extent cx="739472" cy="262393"/>
                <wp:effectExtent l="0" t="0" r="0" b="4445"/>
                <wp:wrapNone/>
                <wp:docPr id="1038" name="Text Box 1038"/>
                <wp:cNvGraphicFramePr/>
                <a:graphic xmlns:a="http://schemas.openxmlformats.org/drawingml/2006/main">
                  <a:graphicData uri="http://schemas.microsoft.com/office/word/2010/wordprocessingShape">
                    <wps:wsp>
                      <wps:cNvSpPr txBox="1"/>
                      <wps:spPr>
                        <a:xfrm>
                          <a:off x="0" y="0"/>
                          <a:ext cx="739472" cy="262393"/>
                        </a:xfrm>
                        <a:prstGeom prst="rect">
                          <a:avLst/>
                        </a:prstGeom>
                        <a:noFill/>
                        <a:ln w="6350">
                          <a:noFill/>
                        </a:ln>
                      </wps:spPr>
                      <wps:txbx>
                        <w:txbxContent>
                          <w:p w14:paraId="57EAA2B2" w14:textId="4D5C0B59" w:rsidR="00EA43A0" w:rsidRPr="00511BFA" w:rsidRDefault="00EA43A0" w:rsidP="008C609A">
                            <w:pPr>
                              <w:spacing w:after="0" w:line="240" w:lineRule="auto"/>
                              <w:jc w:val="center"/>
                              <w:rPr>
                                <w:b/>
                                <w:color w:val="FF00FF"/>
                                <w:sz w:val="18"/>
                              </w:rPr>
                            </w:pPr>
                            <w:r>
                              <w:rPr>
                                <w:b/>
                                <w:color w:val="FF00FF"/>
                                <w:sz w:val="18"/>
                              </w:rPr>
                              <w:t>Pontotoc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FFDAD" id="Text Box 1038" o:spid="_x0000_s1035" type="#_x0000_t202" style="position:absolute;left:0;text-align:left;margin-left:423.45pt;margin-top:315.4pt;width:58.25pt;height:20.6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" filled="f" stroked="f" strokeweight=".5pt">
                <v:textbox>
                  <w:txbxContent>
                    <w:p w14:paraId="57EAA2B2" w14:textId="4D5C0B59" w:rsidR="00EA43A0" w:rsidRPr="00511BFA" w:rsidRDefault="00EA43A0" w:rsidP="008C609A">
                      <w:pPr>
                        <w:spacing w:after="0" w:line="240" w:lineRule="auto"/>
                        <w:jc w:val="center"/>
                        <w:rPr>
                          <w:b/>
                          <w:color w:val="FF00FF"/>
                          <w:sz w:val="18"/>
                        </w:rPr>
                      </w:pPr>
                      <w:r>
                        <w:rPr>
                          <w:b/>
                          <w:color w:val="FF00FF"/>
                          <w:sz w:val="18"/>
                        </w:rPr>
                        <w:t>Pontotoc</w:t>
                      </w:r>
                    </w:p>
                  </w:txbxContent>
                </v:textbox>
              </v:shape>
            </w:pict>
          </mc:Fallback>
        </mc:AlternateContent>
      </w:r>
      <w:r>
        <w:rPr>
          <w:noProof/>
        </w:rPr>
        <mc:AlternateContent>
          <mc:Choice Requires="wps">
            <w:drawing>
              <wp:anchor distT="0" distB="0" distL="114300" distR="114300" simplePos="0" relativeHeight="251748864" behindDoc="0" locked="0" layoutInCell="1" allowOverlap="1" wp14:anchorId="60BEA68B" wp14:editId="20E46E11">
                <wp:simplePos x="0" y="0"/>
                <wp:positionH relativeFrom="column">
                  <wp:posOffset>5009349</wp:posOffset>
                </wp:positionH>
                <wp:positionV relativeFrom="paragraph">
                  <wp:posOffset>4269022</wp:posOffset>
                </wp:positionV>
                <wp:extent cx="739472" cy="238539"/>
                <wp:effectExtent l="0" t="0" r="0" b="0"/>
                <wp:wrapNone/>
                <wp:docPr id="1036" name="Text Box 1036"/>
                <wp:cNvGraphicFramePr/>
                <a:graphic xmlns:a="http://schemas.openxmlformats.org/drawingml/2006/main">
                  <a:graphicData uri="http://schemas.microsoft.com/office/word/2010/wordprocessingShape">
                    <wps:wsp>
                      <wps:cNvSpPr txBox="1"/>
                      <wps:spPr>
                        <a:xfrm>
                          <a:off x="0" y="0"/>
                          <a:ext cx="739472" cy="238539"/>
                        </a:xfrm>
                        <a:prstGeom prst="rect">
                          <a:avLst/>
                        </a:prstGeom>
                        <a:noFill/>
                        <a:ln w="6350">
                          <a:noFill/>
                        </a:ln>
                      </wps:spPr>
                      <wps:txbx>
                        <w:txbxContent>
                          <w:p w14:paraId="1BB5009E" w14:textId="4B36A60D" w:rsidR="00EA43A0" w:rsidRPr="00511BFA" w:rsidRDefault="00EA43A0" w:rsidP="00814006">
                            <w:pPr>
                              <w:spacing w:after="0" w:line="240" w:lineRule="auto"/>
                              <w:jc w:val="center"/>
                              <w:rPr>
                                <w:b/>
                                <w:color w:val="FF00FF"/>
                                <w:sz w:val="18"/>
                              </w:rPr>
                            </w:pPr>
                            <w:r>
                              <w:rPr>
                                <w:b/>
                                <w:color w:val="FF00FF"/>
                                <w:sz w:val="18"/>
                              </w:rPr>
                              <w:t>Murray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A68B" id="Text Box 1036" o:spid="_x0000_s1036" type="#_x0000_t202" style="position:absolute;left:0;text-align:left;margin-left:394.45pt;margin-top:336.15pt;width:58.25pt;height:18.8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" filled="f" stroked="f" strokeweight=".5pt">
                <v:textbox>
                  <w:txbxContent>
                    <w:p w14:paraId="1BB5009E" w14:textId="4B36A60D" w:rsidR="00EA43A0" w:rsidRPr="00511BFA" w:rsidRDefault="00EA43A0" w:rsidP="00814006">
                      <w:pPr>
                        <w:spacing w:after="0" w:line="240" w:lineRule="auto"/>
                        <w:jc w:val="center"/>
                        <w:rPr>
                          <w:b/>
                          <w:color w:val="FF00FF"/>
                          <w:sz w:val="18"/>
                        </w:rPr>
                      </w:pPr>
                      <w:r>
                        <w:rPr>
                          <w:b/>
                          <w:color w:val="FF00FF"/>
                          <w:sz w:val="18"/>
                        </w:rPr>
                        <w:t>Murray</w:t>
                      </w:r>
                    </w:p>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4DED8CCE" wp14:editId="4F86A11A">
                <wp:simplePos x="0" y="0"/>
                <wp:positionH relativeFrom="column">
                  <wp:posOffset>4350467</wp:posOffset>
                </wp:positionH>
                <wp:positionV relativeFrom="paragraph">
                  <wp:posOffset>4269657</wp:posOffset>
                </wp:positionV>
                <wp:extent cx="739472" cy="731382"/>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739472" cy="731382"/>
                        </a:xfrm>
                        <a:prstGeom prst="rect">
                          <a:avLst/>
                        </a:prstGeom>
                        <a:noFill/>
                        <a:ln w="6350">
                          <a:noFill/>
                        </a:ln>
                      </wps:spPr>
                      <wps:txbx>
                        <w:txbxContent>
                          <w:p w14:paraId="12987099" w14:textId="03DBB6EB" w:rsidR="00EA43A0" w:rsidRPr="00511BFA" w:rsidRDefault="00EA43A0" w:rsidP="00814006">
                            <w:pPr>
                              <w:spacing w:after="0" w:line="240" w:lineRule="auto"/>
                              <w:jc w:val="center"/>
                              <w:rPr>
                                <w:b/>
                                <w:color w:val="FF00FF"/>
                                <w:sz w:val="18"/>
                              </w:rPr>
                            </w:pPr>
                            <w:r>
                              <w:rPr>
                                <w:b/>
                                <w:color w:val="FF00FF"/>
                                <w:sz w:val="18"/>
                              </w:rPr>
                              <w:t>Stephens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D8CCE" id="Text Box 109" o:spid="_x0000_s1037" type="#_x0000_t202" style="position:absolute;left:0;text-align:left;margin-left:342.55pt;margin-top:336.2pt;width:58.25pt;height:57.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" filled="f" stroked="f" strokeweight=".5pt">
                <v:textbox>
                  <w:txbxContent>
                    <w:p w14:paraId="12987099" w14:textId="03DBB6EB" w:rsidR="00EA43A0" w:rsidRPr="00511BFA" w:rsidRDefault="00EA43A0" w:rsidP="00814006">
                      <w:pPr>
                        <w:spacing w:after="0" w:line="240" w:lineRule="auto"/>
                        <w:jc w:val="center"/>
                        <w:rPr>
                          <w:b/>
                          <w:color w:val="FF00FF"/>
                          <w:sz w:val="18"/>
                        </w:rPr>
                      </w:pPr>
                      <w:r>
                        <w:rPr>
                          <w:b/>
                          <w:color w:val="FF00FF"/>
                          <w:sz w:val="18"/>
                        </w:rPr>
                        <w:t>Stephens</w:t>
                      </w:r>
                    </w:p>
                  </w:txbxContent>
                </v:textbox>
              </v:shape>
            </w:pict>
          </mc:Fallback>
        </mc:AlternateContent>
      </w:r>
      <w:r>
        <w:rPr>
          <w:noProof/>
        </w:rPr>
        <mc:AlternateContent>
          <mc:Choice Requires="wps">
            <w:drawing>
              <wp:anchor distT="0" distB="0" distL="114300" distR="114300" simplePos="0" relativeHeight="251744768" behindDoc="0" locked="0" layoutInCell="1" allowOverlap="1" wp14:anchorId="35F77905" wp14:editId="5C3AA76F">
                <wp:simplePos x="0" y="0"/>
                <wp:positionH relativeFrom="column">
                  <wp:posOffset>4881080</wp:posOffset>
                </wp:positionH>
                <wp:positionV relativeFrom="paragraph">
                  <wp:posOffset>4682131</wp:posOffset>
                </wp:positionV>
                <wp:extent cx="739472" cy="238539"/>
                <wp:effectExtent l="0" t="0" r="0" b="0"/>
                <wp:wrapNone/>
                <wp:docPr id="1024" name="Text Box 1024"/>
                <wp:cNvGraphicFramePr/>
                <a:graphic xmlns:a="http://schemas.openxmlformats.org/drawingml/2006/main">
                  <a:graphicData uri="http://schemas.microsoft.com/office/word/2010/wordprocessingShape">
                    <wps:wsp>
                      <wps:cNvSpPr txBox="1"/>
                      <wps:spPr>
                        <a:xfrm>
                          <a:off x="0" y="0"/>
                          <a:ext cx="739472" cy="238539"/>
                        </a:xfrm>
                        <a:prstGeom prst="rect">
                          <a:avLst/>
                        </a:prstGeom>
                        <a:noFill/>
                        <a:ln w="6350">
                          <a:noFill/>
                        </a:ln>
                      </wps:spPr>
                      <wps:txbx>
                        <w:txbxContent>
                          <w:p w14:paraId="3CBDB86D" w14:textId="5D1EC109" w:rsidR="00EA43A0" w:rsidRPr="00511BFA" w:rsidRDefault="00EA43A0" w:rsidP="00814006">
                            <w:pPr>
                              <w:spacing w:after="0" w:line="240" w:lineRule="auto"/>
                              <w:jc w:val="center"/>
                              <w:rPr>
                                <w:b/>
                                <w:color w:val="FF00FF"/>
                                <w:sz w:val="18"/>
                              </w:rPr>
                            </w:pPr>
                            <w:r>
                              <w:rPr>
                                <w:b/>
                                <w:color w:val="FF00FF"/>
                                <w:sz w:val="18"/>
                              </w:rPr>
                              <w:t>Love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77905" id="Text Box 1024" o:spid="_x0000_s1038" type="#_x0000_t202" style="position:absolute;left:0;text-align:left;margin-left:384.35pt;margin-top:368.65pt;width:58.25pt;height:18.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" filled="f" stroked="f" strokeweight=".5pt">
                <v:textbox>
                  <w:txbxContent>
                    <w:p w14:paraId="3CBDB86D" w14:textId="5D1EC109" w:rsidR="00EA43A0" w:rsidRPr="00511BFA" w:rsidRDefault="00EA43A0" w:rsidP="00814006">
                      <w:pPr>
                        <w:spacing w:after="0" w:line="240" w:lineRule="auto"/>
                        <w:jc w:val="center"/>
                        <w:rPr>
                          <w:b/>
                          <w:color w:val="FF00FF"/>
                          <w:sz w:val="18"/>
                        </w:rPr>
                      </w:pPr>
                      <w:r>
                        <w:rPr>
                          <w:b/>
                          <w:color w:val="FF00FF"/>
                          <w:sz w:val="18"/>
                        </w:rPr>
                        <w:t>Love</w:t>
                      </w:r>
                    </w:p>
                  </w:txbxContent>
                </v:textbox>
              </v:shape>
            </w:pict>
          </mc:Fallback>
        </mc:AlternateContent>
      </w:r>
      <w:r w:rsidR="00987AD1" w:rsidRPr="00027614">
        <w:rPr>
          <w:noProof/>
        </w:rPr>
        <w:drawing>
          <wp:inline distT="0" distB="0" distL="0" distR="0" wp14:anchorId="55A40F54" wp14:editId="5D2FCC5F">
            <wp:extent cx="7842558" cy="5203466"/>
            <wp:effectExtent l="76200" t="76200" r="139700" b="130810"/>
            <wp:docPr id="2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a:fillRect/>
                    </a:stretch>
                  </pic:blipFill>
                  <pic:spPr>
                    <a:xfrm>
                      <a:off x="0" y="0"/>
                      <a:ext cx="7854553" cy="52114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F7605D" w14:textId="7BA35DDE" w:rsidR="00967CCF" w:rsidRDefault="005C77EF" w:rsidP="005E20D4">
      <w:pPr>
        <w:pStyle w:val="Caption"/>
        <w:rPr>
          <w:noProof/>
        </w:rPr>
        <w:sectPr w:rsidR="00967CCF" w:rsidSect="0095456D">
          <w:pgSz w:w="15840" w:h="12240" w:orient="landscape"/>
          <w:pgMar w:top="1440" w:right="1440" w:bottom="1440" w:left="1440" w:header="720" w:footer="720" w:gutter="0"/>
          <w:cols w:space="720"/>
          <w:titlePg/>
          <w:docGrid w:linePitch="360"/>
        </w:sectPr>
      </w:pPr>
      <w:bookmarkStart w:id="20" w:name="_Toc35861156"/>
      <w:r w:rsidRPr="00F546EC">
        <w:rPr>
          <w:b/>
        </w:rPr>
        <w:t xml:space="preserve">Figure </w:t>
      </w:r>
      <w:r w:rsidR="008C7C6A" w:rsidRPr="00F546EC">
        <w:rPr>
          <w:b/>
        </w:rPr>
        <w:t>1.</w:t>
      </w:r>
      <w:r w:rsidRPr="00F546EC">
        <w:rPr>
          <w:b/>
        </w:rPr>
        <w:t>3</w:t>
      </w:r>
      <w:r w:rsidRPr="00F546EC">
        <w:t>. Mid-Con</w:t>
      </w:r>
      <w:r w:rsidR="00C35D24" w:rsidRPr="00F546EC">
        <w:t>tinent</w:t>
      </w:r>
      <w:r w:rsidRPr="00F546EC">
        <w:t xml:space="preserve"> USA</w:t>
      </w:r>
      <w:r w:rsidR="00C3216C">
        <w:t xml:space="preserve">, Oklahoman </w:t>
      </w:r>
      <w:r w:rsidRPr="00F546EC">
        <w:t>petroleum provinces. T</w:t>
      </w:r>
      <w:r w:rsidR="00C35D24" w:rsidRPr="00F546EC">
        <w:t xml:space="preserve">his </w:t>
      </w:r>
      <w:r w:rsidR="00BE3D40" w:rsidRPr="00F546EC">
        <w:t>s</w:t>
      </w:r>
      <w:r w:rsidR="00C35D24" w:rsidRPr="00F546EC">
        <w:t xml:space="preserve">tudy </w:t>
      </w:r>
      <w:r w:rsidR="00BE3D40" w:rsidRPr="00F546EC">
        <w:t>mainly r</w:t>
      </w:r>
      <w:r w:rsidR="00C35D24" w:rsidRPr="00F546EC">
        <w:t xml:space="preserve">elies on </w:t>
      </w:r>
      <w:r w:rsidR="00AC2FBB">
        <w:t xml:space="preserve">the </w:t>
      </w:r>
      <w:r w:rsidR="00C35D24" w:rsidRPr="00F546EC">
        <w:t>STACK</w:t>
      </w:r>
      <w:r w:rsidR="00BE3D40" w:rsidRPr="00F546EC">
        <w:t>-</w:t>
      </w:r>
      <w:r w:rsidR="00C35D24" w:rsidRPr="00F546EC">
        <w:t>SCOOP</w:t>
      </w:r>
      <w:r w:rsidR="008B07A3" w:rsidRPr="00F546EC">
        <w:t xml:space="preserve">-Cherokee </w:t>
      </w:r>
      <w:r w:rsidR="001E4003">
        <w:t>p</w:t>
      </w:r>
      <w:r w:rsidR="008B07A3" w:rsidRPr="00F546EC">
        <w:t>latform</w:t>
      </w:r>
      <w:r w:rsidR="00C35D24" w:rsidRPr="00F546EC">
        <w:t xml:space="preserve"> areas.</w:t>
      </w:r>
      <w:r w:rsidR="005E20D4">
        <w:t xml:space="preserve"> </w:t>
      </w:r>
      <w:r w:rsidR="005E20D4" w:rsidRPr="00F546EC">
        <w:t xml:space="preserve">Modified from Liborius et al. </w:t>
      </w:r>
      <w:r w:rsidR="005E20D4">
        <w:t>(</w:t>
      </w:r>
      <w:r w:rsidR="005E20D4" w:rsidRPr="00F546EC">
        <w:t>201</w:t>
      </w:r>
      <w:r w:rsidR="00696EA3">
        <w:t>7</w:t>
      </w:r>
      <w:r w:rsidR="005E20D4">
        <w:t>).</w:t>
      </w:r>
      <w:bookmarkEnd w:id="20"/>
    </w:p>
    <w:p w14:paraId="4B4B97E1" w14:textId="74FE4F6B" w:rsidR="00B53A0C" w:rsidRPr="00F546EC" w:rsidRDefault="00987AD1" w:rsidP="00967CCF">
      <w:pPr>
        <w:jc w:val="center"/>
        <w:rPr>
          <w:rFonts w:eastAsia="Times New Roman"/>
          <w:color w:val="000000"/>
        </w:rPr>
      </w:pPr>
      <w:r w:rsidRPr="00027614">
        <w:rPr>
          <w:noProof/>
        </w:rPr>
        <w:drawing>
          <wp:inline distT="0" distB="0" distL="0" distR="0" wp14:anchorId="63B7E0FC" wp14:editId="50B61988">
            <wp:extent cx="5651500" cy="7200900"/>
            <wp:effectExtent l="0" t="0" r="0" b="0"/>
            <wp:docPr id="2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1500" cy="7200900"/>
                    </a:xfrm>
                    <a:prstGeom prst="rect">
                      <a:avLst/>
                    </a:prstGeom>
                    <a:noFill/>
                    <a:ln>
                      <a:noFill/>
                    </a:ln>
                  </pic:spPr>
                </pic:pic>
              </a:graphicData>
            </a:graphic>
          </wp:inline>
        </w:drawing>
      </w:r>
    </w:p>
    <w:p w14:paraId="2E0E7F50" w14:textId="736DF7CD" w:rsidR="00B53A0C" w:rsidRPr="00F546EC" w:rsidRDefault="00B53A0C" w:rsidP="00967CCF">
      <w:pPr>
        <w:pStyle w:val="Caption"/>
      </w:pPr>
      <w:bookmarkStart w:id="21" w:name="_Toc35861157"/>
      <w:r w:rsidRPr="00F546EC">
        <w:rPr>
          <w:b/>
        </w:rPr>
        <w:t xml:space="preserve">Figure </w:t>
      </w:r>
      <w:r w:rsidR="008C7C6A" w:rsidRPr="00F546EC">
        <w:rPr>
          <w:b/>
        </w:rPr>
        <w:t>1.</w:t>
      </w:r>
      <w:r w:rsidRPr="00F546EC">
        <w:rPr>
          <w:b/>
        </w:rPr>
        <w:t>4.</w:t>
      </w:r>
      <w:r w:rsidRPr="00F546EC">
        <w:t xml:space="preserve"> Woodford Shale general stratigraphic chart that highlights the </w:t>
      </w:r>
      <w:r w:rsidR="00FE0DE5" w:rsidRPr="00F546EC">
        <w:t>significant</w:t>
      </w:r>
      <w:r w:rsidRPr="00F546EC">
        <w:t xml:space="preserve"> unconformities at the base of the formation in the Oklahoman basins</w:t>
      </w:r>
      <w:r w:rsidR="000A5512">
        <w:t xml:space="preserve">. </w:t>
      </w:r>
      <w:r w:rsidRPr="00F546EC">
        <w:t>Modified from</w:t>
      </w:r>
      <w:r w:rsidR="00696EA3">
        <w:t xml:space="preserve"> </w:t>
      </w:r>
      <w:r w:rsidR="00696EA3" w:rsidRPr="00F546EC">
        <w:t xml:space="preserve">Slatt </w:t>
      </w:r>
      <w:r w:rsidR="000A5512">
        <w:t>(</w:t>
      </w:r>
      <w:r w:rsidR="00696EA3" w:rsidRPr="00F546EC">
        <w:t>2016</w:t>
      </w:r>
      <w:r w:rsidR="000A5512">
        <w:t>)</w:t>
      </w:r>
      <w:r w:rsidR="00696EA3">
        <w:t xml:space="preserve">, and </w:t>
      </w:r>
      <w:r w:rsidRPr="00F546EC">
        <w:t>Liborius</w:t>
      </w:r>
      <w:r w:rsidR="005878EE" w:rsidRPr="00F546EC">
        <w:t xml:space="preserve"> et al.</w:t>
      </w:r>
      <w:r w:rsidRPr="00F546EC">
        <w:t xml:space="preserve"> </w:t>
      </w:r>
      <w:r w:rsidR="000A5512">
        <w:t>(</w:t>
      </w:r>
      <w:r w:rsidRPr="00F546EC">
        <w:t>201</w:t>
      </w:r>
      <w:r w:rsidR="00696EA3">
        <w:t>7).</w:t>
      </w:r>
      <w:bookmarkEnd w:id="21"/>
    </w:p>
    <w:p w14:paraId="7D079191" w14:textId="09C4ACE7" w:rsidR="00C55557" w:rsidRPr="00671B88" w:rsidRDefault="00632253" w:rsidP="00530D25">
      <w:pPr>
        <w:pStyle w:val="Heading2"/>
        <w:numPr>
          <w:ilvl w:val="1"/>
          <w:numId w:val="2"/>
        </w:numPr>
      </w:pPr>
      <w:bookmarkStart w:id="22" w:name="_Toc25833516"/>
      <w:bookmarkStart w:id="23" w:name="_Toc35861076"/>
      <w:r w:rsidRPr="00671B88">
        <w:lastRenderedPageBreak/>
        <w:t xml:space="preserve">Geological </w:t>
      </w:r>
      <w:r w:rsidR="00CD6202">
        <w:t>d</w:t>
      </w:r>
      <w:r w:rsidR="00C55557" w:rsidRPr="00671B88">
        <w:t xml:space="preserve">efinition </w:t>
      </w:r>
      <w:bookmarkEnd w:id="22"/>
      <w:r w:rsidR="00FE40FD">
        <w:t xml:space="preserve">of </w:t>
      </w:r>
      <w:r w:rsidR="008022A5">
        <w:t>mini-basin fill</w:t>
      </w:r>
      <w:bookmarkEnd w:id="23"/>
      <w:r w:rsidR="008022A5">
        <w:t xml:space="preserve"> </w:t>
      </w:r>
    </w:p>
    <w:p w14:paraId="4C254441" w14:textId="16DEB7CD" w:rsidR="00C55557" w:rsidRPr="00F546EC" w:rsidRDefault="00C55557" w:rsidP="00ED2A26">
      <w:pPr>
        <w:ind w:firstLine="720"/>
        <w:rPr>
          <w:color w:val="000000"/>
          <w:shd w:val="clear" w:color="auto" w:fill="FFFFFF"/>
        </w:rPr>
      </w:pPr>
      <w:r w:rsidRPr="00F546EC">
        <w:rPr>
          <w:color w:val="000000"/>
          <w:shd w:val="clear" w:color="auto" w:fill="FFFFFF"/>
        </w:rPr>
        <w:t xml:space="preserve">The geological definition of </w:t>
      </w:r>
      <w:r w:rsidR="00AD1ACA">
        <w:rPr>
          <w:color w:val="000000"/>
          <w:shd w:val="clear" w:color="auto" w:fill="FFFFFF"/>
        </w:rPr>
        <w:t>a mini-basin depression</w:t>
      </w:r>
      <w:r w:rsidR="00C8187E">
        <w:rPr>
          <w:color w:val="000000"/>
          <w:shd w:val="clear" w:color="auto" w:fill="FFFFFF"/>
        </w:rPr>
        <w:t xml:space="preserve"> formed</w:t>
      </w:r>
      <w:r w:rsidR="00AD1ACA">
        <w:rPr>
          <w:color w:val="000000"/>
          <w:shd w:val="clear" w:color="auto" w:fill="FFFFFF"/>
        </w:rPr>
        <w:t xml:space="preserve"> on a carbonate shelf</w:t>
      </w:r>
      <w:r w:rsidR="00461F54" w:rsidRPr="00F546EC">
        <w:rPr>
          <w:color w:val="000000"/>
          <w:shd w:val="clear" w:color="auto" w:fill="FFFFFF"/>
        </w:rPr>
        <w:t xml:space="preserve"> was</w:t>
      </w:r>
      <w:r w:rsidRPr="00F546EC">
        <w:rPr>
          <w:color w:val="000000"/>
          <w:shd w:val="clear" w:color="auto" w:fill="FFFFFF"/>
        </w:rPr>
        <w:t xml:space="preserve"> </w:t>
      </w:r>
      <w:r w:rsidR="00CA353D" w:rsidRPr="00F546EC">
        <w:rPr>
          <w:color w:val="000000"/>
          <w:shd w:val="clear" w:color="auto" w:fill="FFFFFF"/>
        </w:rPr>
        <w:t xml:space="preserve">provided by the American Geological </w:t>
      </w:r>
      <w:r w:rsidR="0016364E" w:rsidRPr="00F546EC">
        <w:rPr>
          <w:color w:val="000000"/>
          <w:shd w:val="clear" w:color="auto" w:fill="FFFFFF"/>
        </w:rPr>
        <w:t>Institute</w:t>
      </w:r>
      <w:r w:rsidR="00CA353D" w:rsidRPr="00F546EC">
        <w:rPr>
          <w:color w:val="000000"/>
          <w:shd w:val="clear" w:color="auto" w:fill="FFFFFF"/>
        </w:rPr>
        <w:t xml:space="preserve"> (AGI</w:t>
      </w:r>
      <w:r w:rsidR="0016364E" w:rsidRPr="00F546EC">
        <w:rPr>
          <w:color w:val="000000"/>
          <w:shd w:val="clear" w:color="auto" w:fill="FFFFFF"/>
        </w:rPr>
        <w:t>, 1960)</w:t>
      </w:r>
      <w:r w:rsidR="00461F54" w:rsidRPr="00F546EC">
        <w:rPr>
          <w:color w:val="000000"/>
          <w:shd w:val="clear" w:color="auto" w:fill="FFFFFF"/>
        </w:rPr>
        <w:t>. This concept</w:t>
      </w:r>
      <w:r w:rsidR="0016364E" w:rsidRPr="00F546EC">
        <w:rPr>
          <w:color w:val="000000"/>
          <w:shd w:val="clear" w:color="auto" w:fill="FFFFFF"/>
        </w:rPr>
        <w:t xml:space="preserve"> </w:t>
      </w:r>
      <w:r w:rsidRPr="00F546EC">
        <w:rPr>
          <w:color w:val="000000"/>
          <w:shd w:val="clear" w:color="auto" w:fill="FFFFFF"/>
        </w:rPr>
        <w:t>mentions that</w:t>
      </w:r>
      <w:r w:rsidR="00846724" w:rsidRPr="00F546EC">
        <w:rPr>
          <w:color w:val="000000"/>
          <w:shd w:val="clear" w:color="auto" w:fill="FFFFFF"/>
        </w:rPr>
        <w:t xml:space="preserve"> it</w:t>
      </w:r>
      <w:r w:rsidRPr="00F546EC">
        <w:rPr>
          <w:color w:val="000000"/>
          <w:shd w:val="clear" w:color="auto" w:fill="FFFFFF"/>
        </w:rPr>
        <w:t xml:space="preserve"> corresponds to </w:t>
      </w:r>
      <w:r w:rsidR="003A7990" w:rsidRPr="00F546EC">
        <w:rPr>
          <w:color w:val="000000"/>
          <w:shd w:val="clear" w:color="auto" w:fill="FFFFFF"/>
        </w:rPr>
        <w:t>“</w:t>
      </w:r>
      <w:r w:rsidR="003A7990" w:rsidRPr="00F546EC">
        <w:rPr>
          <w:i/>
          <w:iCs/>
          <w:color w:val="000000"/>
          <w:shd w:val="clear" w:color="auto" w:fill="FFFFFF"/>
        </w:rPr>
        <w:t>A</w:t>
      </w:r>
      <w:r w:rsidRPr="00F546EC">
        <w:rPr>
          <w:color w:val="000000"/>
          <w:shd w:val="clear" w:color="auto" w:fill="FFFFFF"/>
        </w:rPr>
        <w:t xml:space="preserve"> </w:t>
      </w:r>
      <w:r w:rsidRPr="00F546EC">
        <w:rPr>
          <w:i/>
          <w:iCs/>
          <w:color w:val="000000"/>
          <w:shd w:val="clear" w:color="auto" w:fill="FFFFFF"/>
        </w:rPr>
        <w:t>down-warped area containing stratified rocks, either sedimentary or volcanic or both, that extends into a terrain of other rocks, e.g., the Mississippi</w:t>
      </w:r>
      <w:r w:rsidR="002E7CEE">
        <w:rPr>
          <w:i/>
          <w:iCs/>
          <w:color w:val="000000"/>
          <w:shd w:val="clear" w:color="auto" w:fill="FFFFFF"/>
        </w:rPr>
        <w:t xml:space="preserve"> sinkhole </w:t>
      </w:r>
      <w:r w:rsidR="00A22E4E">
        <w:rPr>
          <w:i/>
          <w:iCs/>
          <w:color w:val="000000"/>
          <w:shd w:val="clear" w:color="auto" w:fill="FFFFFF"/>
        </w:rPr>
        <w:t>fill</w:t>
      </w:r>
      <w:r w:rsidR="002E7CEE">
        <w:rPr>
          <w:i/>
          <w:iCs/>
          <w:color w:val="000000"/>
          <w:shd w:val="clear" w:color="auto" w:fill="FFFFFF"/>
        </w:rPr>
        <w:t xml:space="preserve"> over the carbonate platforms </w:t>
      </w:r>
      <w:r w:rsidRPr="00F546EC">
        <w:rPr>
          <w:i/>
          <w:iCs/>
          <w:color w:val="000000"/>
          <w:shd w:val="clear" w:color="auto" w:fill="FFFFFF"/>
        </w:rPr>
        <w:t>of</w:t>
      </w:r>
      <w:r w:rsidR="002E7CEE">
        <w:rPr>
          <w:i/>
          <w:iCs/>
          <w:color w:val="000000"/>
          <w:shd w:val="clear" w:color="auto" w:fill="FFFFFF"/>
        </w:rPr>
        <w:t xml:space="preserve"> </w:t>
      </w:r>
      <w:r w:rsidR="00460281">
        <w:rPr>
          <w:i/>
          <w:iCs/>
          <w:color w:val="000000"/>
          <w:shd w:val="clear" w:color="auto" w:fill="FFFFFF"/>
        </w:rPr>
        <w:t xml:space="preserve">the </w:t>
      </w:r>
      <w:r w:rsidR="00460281" w:rsidRPr="00F546EC">
        <w:rPr>
          <w:i/>
          <w:iCs/>
          <w:color w:val="000000"/>
          <w:shd w:val="clear" w:color="auto" w:fill="FFFFFF"/>
        </w:rPr>
        <w:t>U.S.</w:t>
      </w:r>
      <w:r w:rsidRPr="00F546EC">
        <w:rPr>
          <w:i/>
          <w:iCs/>
          <w:color w:val="000000"/>
          <w:shd w:val="clear" w:color="auto" w:fill="FFFFFF"/>
        </w:rPr>
        <w:t xml:space="preserve"> Gulf Coast</w:t>
      </w:r>
      <w:r w:rsidR="009617C4" w:rsidRPr="00F546EC">
        <w:rPr>
          <w:color w:val="000000"/>
          <w:shd w:val="clear" w:color="auto" w:fill="FFFFFF"/>
        </w:rPr>
        <w:t>.”</w:t>
      </w:r>
      <w:r w:rsidR="003A7990" w:rsidRPr="00F546EC">
        <w:rPr>
          <w:color w:val="000000"/>
          <w:shd w:val="clear" w:color="auto" w:fill="FFFFFF"/>
        </w:rPr>
        <w:t xml:space="preserve"> </w:t>
      </w:r>
      <w:r w:rsidR="00933367" w:rsidRPr="00F546EC">
        <w:rPr>
          <w:color w:val="000000"/>
          <w:shd w:val="clear" w:color="auto" w:fill="FFFFFF"/>
        </w:rPr>
        <w:t>In this study</w:t>
      </w:r>
      <w:r w:rsidR="00F40FEF" w:rsidRPr="00F546EC">
        <w:rPr>
          <w:color w:val="000000"/>
          <w:shd w:val="clear" w:color="auto" w:fill="FFFFFF"/>
        </w:rPr>
        <w:t>,</w:t>
      </w:r>
      <w:r w:rsidR="00933367" w:rsidRPr="00F546EC">
        <w:rPr>
          <w:color w:val="000000"/>
          <w:shd w:val="clear" w:color="auto" w:fill="FFFFFF"/>
        </w:rPr>
        <w:t xml:space="preserve"> we </w:t>
      </w:r>
      <w:r w:rsidR="004B46A2">
        <w:rPr>
          <w:color w:val="000000"/>
          <w:shd w:val="clear" w:color="auto" w:fill="FFFFFF"/>
        </w:rPr>
        <w:t>interpret base</w:t>
      </w:r>
      <w:r w:rsidR="002328DE">
        <w:rPr>
          <w:color w:val="000000"/>
          <w:shd w:val="clear" w:color="auto" w:fill="FFFFFF"/>
        </w:rPr>
        <w:t>d</w:t>
      </w:r>
      <w:r w:rsidR="004B46A2">
        <w:rPr>
          <w:color w:val="000000"/>
          <w:shd w:val="clear" w:color="auto" w:fill="FFFFFF"/>
        </w:rPr>
        <w:t xml:space="preserve"> on </w:t>
      </w:r>
      <w:r w:rsidR="004B46A2" w:rsidRPr="002328DE">
        <w:rPr>
          <w:color w:val="000000"/>
          <w:shd w:val="clear" w:color="auto" w:fill="FFFFFF"/>
        </w:rPr>
        <w:t xml:space="preserve">Pyles </w:t>
      </w:r>
      <w:r w:rsidR="009956F0">
        <w:rPr>
          <w:color w:val="000000"/>
          <w:shd w:val="clear" w:color="auto" w:fill="FFFFFF"/>
        </w:rPr>
        <w:t>and Slatt</w:t>
      </w:r>
      <w:r w:rsidR="004B46A2" w:rsidRPr="002328DE">
        <w:rPr>
          <w:color w:val="000000"/>
          <w:shd w:val="clear" w:color="auto" w:fill="FFFFFF"/>
        </w:rPr>
        <w:t xml:space="preserve"> (200</w:t>
      </w:r>
      <w:r w:rsidR="009956F0">
        <w:rPr>
          <w:color w:val="000000"/>
          <w:shd w:val="clear" w:color="auto" w:fill="FFFFFF"/>
        </w:rPr>
        <w:t>0</w:t>
      </w:r>
      <w:r w:rsidR="004B46A2" w:rsidRPr="002328DE">
        <w:rPr>
          <w:color w:val="000000"/>
          <w:shd w:val="clear" w:color="auto" w:fill="FFFFFF"/>
        </w:rPr>
        <w:t>)</w:t>
      </w:r>
      <w:r w:rsidR="004B46A2">
        <w:rPr>
          <w:color w:val="000000"/>
          <w:shd w:val="clear" w:color="auto" w:fill="FFFFFF"/>
        </w:rPr>
        <w:t xml:space="preserve"> </w:t>
      </w:r>
      <w:r w:rsidR="00933367" w:rsidRPr="00F546EC">
        <w:rPr>
          <w:color w:val="000000"/>
          <w:shd w:val="clear" w:color="auto" w:fill="FFFFFF"/>
        </w:rPr>
        <w:t xml:space="preserve">that </w:t>
      </w:r>
      <w:r w:rsidR="00FE5A3D">
        <w:rPr>
          <w:color w:val="000000"/>
          <w:shd w:val="clear" w:color="auto" w:fill="FFFFFF"/>
        </w:rPr>
        <w:t xml:space="preserve">in </w:t>
      </w:r>
      <w:r w:rsidR="00682DB5">
        <w:rPr>
          <w:color w:val="000000"/>
          <w:shd w:val="clear" w:color="auto" w:fill="FFFFFF"/>
        </w:rPr>
        <w:t>the</w:t>
      </w:r>
      <w:r w:rsidR="00275885">
        <w:rPr>
          <w:color w:val="000000"/>
          <w:shd w:val="clear" w:color="auto" w:fill="FFFFFF"/>
        </w:rPr>
        <w:t xml:space="preserve"> marine </w:t>
      </w:r>
      <w:r w:rsidR="00682DB5">
        <w:rPr>
          <w:color w:val="000000"/>
          <w:shd w:val="clear" w:color="auto" w:fill="FFFFFF"/>
        </w:rPr>
        <w:t>settin</w:t>
      </w:r>
      <w:r w:rsidR="00AD1ACA">
        <w:rPr>
          <w:color w:val="000000"/>
          <w:shd w:val="clear" w:color="auto" w:fill="FFFFFF"/>
        </w:rPr>
        <w:t>g</w:t>
      </w:r>
      <w:r w:rsidR="00682DB5">
        <w:rPr>
          <w:color w:val="000000"/>
          <w:shd w:val="clear" w:color="auto" w:fill="FFFFFF"/>
        </w:rPr>
        <w:t>s</w:t>
      </w:r>
      <w:r w:rsidR="00AD0EF4">
        <w:rPr>
          <w:color w:val="000000"/>
          <w:shd w:val="clear" w:color="auto" w:fill="FFFFFF"/>
        </w:rPr>
        <w:t>,</w:t>
      </w:r>
      <w:r w:rsidR="00682DB5">
        <w:rPr>
          <w:color w:val="000000"/>
          <w:shd w:val="clear" w:color="auto" w:fill="FFFFFF"/>
        </w:rPr>
        <w:t xml:space="preserve"> the </w:t>
      </w:r>
      <w:r w:rsidR="00AD1ACA">
        <w:rPr>
          <w:color w:val="000000"/>
          <w:shd w:val="clear" w:color="auto" w:fill="FFFFFF"/>
        </w:rPr>
        <w:t>enclosed mini-basin fill</w:t>
      </w:r>
      <w:r w:rsidR="00933367" w:rsidRPr="00F546EC">
        <w:rPr>
          <w:color w:val="000000"/>
          <w:shd w:val="clear" w:color="auto" w:fill="FFFFFF"/>
        </w:rPr>
        <w:t xml:space="preserve"> </w:t>
      </w:r>
      <w:r w:rsidR="00C8187E">
        <w:rPr>
          <w:color w:val="000000"/>
          <w:shd w:val="clear" w:color="auto" w:fill="FFFFFF"/>
        </w:rPr>
        <w:t xml:space="preserve">settings </w:t>
      </w:r>
      <w:r w:rsidR="00682DB5">
        <w:rPr>
          <w:color w:val="000000"/>
          <w:shd w:val="clear" w:color="auto" w:fill="FFFFFF"/>
        </w:rPr>
        <w:t xml:space="preserve">can </w:t>
      </w:r>
      <w:r w:rsidR="00933367" w:rsidRPr="00F546EC">
        <w:rPr>
          <w:color w:val="000000"/>
          <w:shd w:val="clear" w:color="auto" w:fill="FFFFFF"/>
        </w:rPr>
        <w:t>occur in water depth</w:t>
      </w:r>
      <w:r w:rsidR="00C8187E">
        <w:rPr>
          <w:color w:val="000000"/>
          <w:shd w:val="clear" w:color="auto" w:fill="FFFFFF"/>
        </w:rPr>
        <w:t>s</w:t>
      </w:r>
      <w:r w:rsidR="00933367" w:rsidRPr="00F546EC">
        <w:rPr>
          <w:color w:val="000000"/>
          <w:shd w:val="clear" w:color="auto" w:fill="FFFFFF"/>
        </w:rPr>
        <w:t xml:space="preserve"> below </w:t>
      </w:r>
      <w:r w:rsidR="00C8187E">
        <w:rPr>
          <w:color w:val="000000"/>
          <w:shd w:val="clear" w:color="auto" w:fill="FFFFFF"/>
        </w:rPr>
        <w:t xml:space="preserve">the </w:t>
      </w:r>
      <w:r w:rsidR="00933367" w:rsidRPr="00F546EC">
        <w:rPr>
          <w:color w:val="000000"/>
          <w:shd w:val="clear" w:color="auto" w:fill="FFFFFF"/>
        </w:rPr>
        <w:t xml:space="preserve">sea wave </w:t>
      </w:r>
      <w:r w:rsidR="00275885">
        <w:rPr>
          <w:color w:val="000000"/>
          <w:shd w:val="clear" w:color="auto" w:fill="FFFFFF"/>
        </w:rPr>
        <w:t xml:space="preserve">base </w:t>
      </w:r>
      <w:r w:rsidR="00933367" w:rsidRPr="00F546EC">
        <w:rPr>
          <w:color w:val="000000"/>
          <w:shd w:val="clear" w:color="auto" w:fill="FFFFFF"/>
        </w:rPr>
        <w:t>level</w:t>
      </w:r>
      <w:r w:rsidR="002E7CEE">
        <w:rPr>
          <w:color w:val="000000"/>
          <w:shd w:val="clear" w:color="auto" w:fill="FFFFFF"/>
        </w:rPr>
        <w:t xml:space="preserve"> </w:t>
      </w:r>
      <w:r w:rsidR="00460281">
        <w:rPr>
          <w:color w:val="000000"/>
          <w:shd w:val="clear" w:color="auto" w:fill="FFFFFF"/>
        </w:rPr>
        <w:t>(</w:t>
      </w:r>
      <w:r w:rsidR="00460281" w:rsidRPr="00F546EC">
        <w:rPr>
          <w:color w:val="000000"/>
          <w:shd w:val="clear" w:color="auto" w:fill="FFFFFF"/>
        </w:rPr>
        <w:t>&gt;</w:t>
      </w:r>
      <w:r w:rsidR="00933367" w:rsidRPr="00F546EC">
        <w:rPr>
          <w:color w:val="000000"/>
          <w:shd w:val="clear" w:color="auto" w:fill="FFFFFF"/>
        </w:rPr>
        <w:t xml:space="preserve">500 ft </w:t>
      </w:r>
      <w:r w:rsidR="001E4003">
        <w:rPr>
          <w:color w:val="000000"/>
          <w:shd w:val="clear" w:color="auto" w:fill="FFFFFF"/>
        </w:rPr>
        <w:t>below the sea level</w:t>
      </w:r>
      <w:r w:rsidR="0094057C">
        <w:rPr>
          <w:color w:val="000000"/>
          <w:shd w:val="clear" w:color="auto" w:fill="FFFFFF"/>
        </w:rPr>
        <w:t>)</w:t>
      </w:r>
      <w:r w:rsidR="0094057C" w:rsidRPr="00F546EC">
        <w:rPr>
          <w:color w:val="000000"/>
          <w:shd w:val="clear" w:color="auto" w:fill="FFFFFF"/>
        </w:rPr>
        <w:t xml:space="preserve"> and</w:t>
      </w:r>
      <w:r w:rsidR="00933367" w:rsidRPr="00F546EC">
        <w:rPr>
          <w:color w:val="000000"/>
          <w:shd w:val="clear" w:color="auto" w:fill="FFFFFF"/>
        </w:rPr>
        <w:t xml:space="preserve"> are in a transitional paralic environment towards </w:t>
      </w:r>
      <w:r w:rsidR="00846724" w:rsidRPr="00F546EC">
        <w:rPr>
          <w:color w:val="000000"/>
          <w:shd w:val="clear" w:color="auto" w:fill="FFFFFF"/>
        </w:rPr>
        <w:t>the deeper</w:t>
      </w:r>
      <w:r w:rsidR="00933367" w:rsidRPr="00F546EC">
        <w:rPr>
          <w:color w:val="000000"/>
          <w:shd w:val="clear" w:color="auto" w:fill="FFFFFF"/>
        </w:rPr>
        <w:t xml:space="preserve"> ocean. </w:t>
      </w:r>
    </w:p>
    <w:p w14:paraId="22D6AB76" w14:textId="4D115029" w:rsidR="00113AC5" w:rsidRDefault="00113AC5" w:rsidP="00530D25">
      <w:pPr>
        <w:pStyle w:val="Heading2"/>
        <w:numPr>
          <w:ilvl w:val="1"/>
          <w:numId w:val="2"/>
        </w:numPr>
      </w:pPr>
      <w:bookmarkStart w:id="24" w:name="_Toc25833517"/>
      <w:bookmarkStart w:id="25" w:name="_Toc35861077"/>
      <w:r w:rsidRPr="00671B88">
        <w:t xml:space="preserve">Geological </w:t>
      </w:r>
      <w:r w:rsidR="00CD6202">
        <w:t>d</w:t>
      </w:r>
      <w:r w:rsidRPr="00671B88">
        <w:t xml:space="preserve">efinition of a </w:t>
      </w:r>
      <w:r w:rsidR="00CD6202">
        <w:t>p</w:t>
      </w:r>
      <w:r w:rsidRPr="00671B88">
        <w:t>aralic depositional environment</w:t>
      </w:r>
      <w:bookmarkEnd w:id="24"/>
      <w:bookmarkEnd w:id="25"/>
    </w:p>
    <w:p w14:paraId="33F1520E" w14:textId="2F1BE678" w:rsidR="00E8751A" w:rsidRPr="00F546EC" w:rsidRDefault="00ED63EB" w:rsidP="00ED2A26">
      <w:pPr>
        <w:ind w:firstLine="360"/>
        <w:rPr>
          <w:color w:val="000000"/>
          <w:shd w:val="clear" w:color="auto" w:fill="FFFFFF"/>
        </w:rPr>
      </w:pPr>
      <w:r w:rsidRPr="00F546EC">
        <w:rPr>
          <w:color w:val="000000"/>
          <w:shd w:val="clear" w:color="auto" w:fill="FFFFFF"/>
        </w:rPr>
        <w:t>The depositional environments referred</w:t>
      </w:r>
      <w:r w:rsidR="00E71462" w:rsidRPr="00F546EC">
        <w:rPr>
          <w:color w:val="000000"/>
          <w:shd w:val="clear" w:color="auto" w:fill="FFFFFF"/>
        </w:rPr>
        <w:t xml:space="preserve"> to</w:t>
      </w:r>
      <w:r w:rsidRPr="00F546EC">
        <w:rPr>
          <w:color w:val="000000"/>
          <w:shd w:val="clear" w:color="auto" w:fill="FFFFFF"/>
        </w:rPr>
        <w:t xml:space="preserve"> as paralic correspond to c</w:t>
      </w:r>
      <w:r w:rsidR="003F1C08" w:rsidRPr="00F546EC">
        <w:rPr>
          <w:color w:val="000000"/>
          <w:shd w:val="clear" w:color="auto" w:fill="FFFFFF"/>
        </w:rPr>
        <w:t xml:space="preserve">oastal and marine siliciclastic settings </w:t>
      </w:r>
      <w:r w:rsidR="008D334C" w:rsidRPr="00F546EC">
        <w:rPr>
          <w:color w:val="000000"/>
          <w:shd w:val="clear" w:color="auto" w:fill="FFFFFF"/>
        </w:rPr>
        <w:t>where</w:t>
      </w:r>
      <w:r w:rsidR="003F1C08" w:rsidRPr="00F546EC">
        <w:rPr>
          <w:color w:val="000000"/>
          <w:shd w:val="clear" w:color="auto" w:fill="FFFFFF"/>
        </w:rPr>
        <w:t xml:space="preserve"> sediments accumulate under </w:t>
      </w:r>
      <w:r w:rsidR="008D334C" w:rsidRPr="00F546EC">
        <w:rPr>
          <w:color w:val="000000"/>
          <w:shd w:val="clear" w:color="auto" w:fill="FFFFFF"/>
        </w:rPr>
        <w:t xml:space="preserve">a </w:t>
      </w:r>
      <w:r w:rsidR="00E71462" w:rsidRPr="00F546EC">
        <w:rPr>
          <w:color w:val="000000"/>
          <w:shd w:val="clear" w:color="auto" w:fill="FFFFFF"/>
        </w:rPr>
        <w:t>significant</w:t>
      </w:r>
      <w:r w:rsidR="008D334C" w:rsidRPr="00F546EC">
        <w:rPr>
          <w:color w:val="000000"/>
          <w:shd w:val="clear" w:color="auto" w:fill="FFFFFF"/>
        </w:rPr>
        <w:t xml:space="preserve"> </w:t>
      </w:r>
      <w:r w:rsidR="003F1C08" w:rsidRPr="00F546EC">
        <w:rPr>
          <w:color w:val="000000"/>
          <w:shd w:val="clear" w:color="auto" w:fill="FFFFFF"/>
        </w:rPr>
        <w:t>marine influence</w:t>
      </w:r>
      <w:r w:rsidR="00AC4D50">
        <w:rPr>
          <w:color w:val="000000"/>
          <w:shd w:val="clear" w:color="auto" w:fill="FFFFFF"/>
        </w:rPr>
        <w:t xml:space="preserve"> (</w:t>
      </w:r>
      <w:r w:rsidR="00AC4D50" w:rsidRPr="002328DE">
        <w:rPr>
          <w:color w:val="000000"/>
          <w:shd w:val="clear" w:color="auto" w:fill="FFFFFF"/>
        </w:rPr>
        <w:t xml:space="preserve">Pyles </w:t>
      </w:r>
      <w:r w:rsidR="00AC4D50">
        <w:rPr>
          <w:color w:val="000000"/>
          <w:shd w:val="clear" w:color="auto" w:fill="FFFFFF"/>
        </w:rPr>
        <w:t xml:space="preserve">and Slatt, </w:t>
      </w:r>
      <w:r w:rsidR="00AC4D50" w:rsidRPr="002328DE">
        <w:rPr>
          <w:color w:val="000000"/>
          <w:shd w:val="clear" w:color="auto" w:fill="FFFFFF"/>
        </w:rPr>
        <w:t>200</w:t>
      </w:r>
      <w:r w:rsidR="00AC4D50">
        <w:rPr>
          <w:color w:val="000000"/>
          <w:shd w:val="clear" w:color="auto" w:fill="FFFFFF"/>
        </w:rPr>
        <w:t>0</w:t>
      </w:r>
      <w:r w:rsidR="00AC4D50" w:rsidRPr="002328DE">
        <w:rPr>
          <w:color w:val="000000"/>
          <w:shd w:val="clear" w:color="auto" w:fill="FFFFFF"/>
        </w:rPr>
        <w:t>)</w:t>
      </w:r>
      <w:r w:rsidR="003F1C08" w:rsidRPr="00F546EC">
        <w:rPr>
          <w:color w:val="000000"/>
          <w:shd w:val="clear" w:color="auto" w:fill="FFFFFF"/>
        </w:rPr>
        <w:t>.</w:t>
      </w:r>
      <w:r w:rsidRPr="00F546EC">
        <w:rPr>
          <w:color w:val="000000"/>
          <w:shd w:val="clear" w:color="auto" w:fill="FFFFFF"/>
        </w:rPr>
        <w:t xml:space="preserve"> </w:t>
      </w:r>
      <w:r w:rsidR="007E0335" w:rsidRPr="00337F1E">
        <w:rPr>
          <w:color w:val="000000"/>
          <w:shd w:val="clear" w:color="auto" w:fill="FFFFFF"/>
        </w:rPr>
        <w:t>H</w:t>
      </w:r>
      <w:r w:rsidR="00275885" w:rsidRPr="00337F1E">
        <w:rPr>
          <w:color w:val="000000"/>
          <w:shd w:val="clear" w:color="auto" w:fill="FFFFFF"/>
        </w:rPr>
        <w:t>ampson et al.</w:t>
      </w:r>
      <w:r w:rsidR="007E0335" w:rsidRPr="00337F1E">
        <w:rPr>
          <w:color w:val="000000"/>
          <w:shd w:val="clear" w:color="auto" w:fill="FFFFFF"/>
        </w:rPr>
        <w:t xml:space="preserve"> (201</w:t>
      </w:r>
      <w:r w:rsidR="00275885" w:rsidRPr="00337F1E">
        <w:rPr>
          <w:color w:val="000000"/>
          <w:shd w:val="clear" w:color="auto" w:fill="FFFFFF"/>
        </w:rPr>
        <w:t>7</w:t>
      </w:r>
      <w:r w:rsidR="007E0335" w:rsidRPr="00337F1E">
        <w:rPr>
          <w:color w:val="000000"/>
          <w:shd w:val="clear" w:color="auto" w:fill="FFFFFF"/>
        </w:rPr>
        <w:t>)</w:t>
      </w:r>
      <w:r w:rsidR="007E0335" w:rsidRPr="00F546EC">
        <w:rPr>
          <w:color w:val="000000"/>
          <w:shd w:val="clear" w:color="auto" w:fill="FFFFFF"/>
        </w:rPr>
        <w:t xml:space="preserve"> mention that the </w:t>
      </w:r>
      <w:r w:rsidR="004B46A2">
        <w:rPr>
          <w:color w:val="000000"/>
          <w:shd w:val="clear" w:color="auto" w:fill="FFFFFF"/>
        </w:rPr>
        <w:t>p</w:t>
      </w:r>
      <w:r w:rsidR="007E0335" w:rsidRPr="00F546EC">
        <w:rPr>
          <w:color w:val="000000"/>
          <w:shd w:val="clear" w:color="auto" w:fill="FFFFFF"/>
        </w:rPr>
        <w:t>aralic environments include coastal settings characteri</w:t>
      </w:r>
      <w:r w:rsidR="009617C4" w:rsidRPr="00F546EC">
        <w:rPr>
          <w:color w:val="000000"/>
          <w:shd w:val="clear" w:color="auto" w:fill="FFFFFF"/>
        </w:rPr>
        <w:t>z</w:t>
      </w:r>
      <w:r w:rsidR="007E0335" w:rsidRPr="00F546EC">
        <w:rPr>
          <w:color w:val="000000"/>
          <w:shd w:val="clear" w:color="auto" w:fill="FFFFFF"/>
        </w:rPr>
        <w:t>ed by both marine and freshwater influence</w:t>
      </w:r>
      <w:r w:rsidR="00931CC5" w:rsidRPr="00F546EC">
        <w:rPr>
          <w:color w:val="000000"/>
          <w:shd w:val="clear" w:color="auto" w:fill="FFFFFF"/>
        </w:rPr>
        <w:t>s</w:t>
      </w:r>
      <w:r w:rsidR="007E0335" w:rsidRPr="00F546EC">
        <w:rPr>
          <w:color w:val="000000"/>
          <w:shd w:val="clear" w:color="auto" w:fill="FFFFFF"/>
        </w:rPr>
        <w:t xml:space="preserve">, specifically </w:t>
      </w:r>
      <w:r w:rsidR="00931CC5" w:rsidRPr="00F546EC">
        <w:rPr>
          <w:color w:val="000000"/>
          <w:shd w:val="clear" w:color="auto" w:fill="FFFFFF"/>
        </w:rPr>
        <w:t xml:space="preserve">to transitional </w:t>
      </w:r>
      <w:r w:rsidR="007E0335" w:rsidRPr="00F546EC">
        <w:rPr>
          <w:color w:val="000000"/>
          <w:shd w:val="clear" w:color="auto" w:fill="FFFFFF"/>
        </w:rPr>
        <w:t>estuary/bay environments and lagoonal environments</w:t>
      </w:r>
      <w:r w:rsidR="008C7C6A" w:rsidRPr="00F546EC">
        <w:rPr>
          <w:color w:val="000000"/>
          <w:shd w:val="clear" w:color="auto" w:fill="FFFFFF"/>
        </w:rPr>
        <w:t xml:space="preserve"> (Figure 1.5)</w:t>
      </w:r>
      <w:r w:rsidR="007E0335" w:rsidRPr="00F546EC">
        <w:rPr>
          <w:color w:val="000000"/>
          <w:shd w:val="clear" w:color="auto" w:fill="FFFFFF"/>
        </w:rPr>
        <w:t>.</w:t>
      </w:r>
      <w:r w:rsidR="00C10F64" w:rsidRPr="00F546EC">
        <w:rPr>
          <w:color w:val="000000"/>
          <w:shd w:val="clear" w:color="auto" w:fill="FFFFFF"/>
        </w:rPr>
        <w:t xml:space="preserve"> </w:t>
      </w:r>
      <w:r w:rsidR="00490983" w:rsidRPr="00F546EC">
        <w:rPr>
          <w:color w:val="000000"/>
          <w:shd w:val="clear" w:color="auto" w:fill="FFFFFF"/>
        </w:rPr>
        <w:t>It is essential to mention that t</w:t>
      </w:r>
      <w:r w:rsidR="00C10F64" w:rsidRPr="00F546EC">
        <w:rPr>
          <w:color w:val="000000"/>
          <w:shd w:val="clear" w:color="auto" w:fill="FFFFFF"/>
        </w:rPr>
        <w:t>hese</w:t>
      </w:r>
      <w:r w:rsidR="00490983" w:rsidRPr="00F546EC">
        <w:rPr>
          <w:color w:val="000000"/>
          <w:shd w:val="clear" w:color="auto" w:fill="FFFFFF"/>
        </w:rPr>
        <w:t xml:space="preserve"> settings</w:t>
      </w:r>
      <w:r w:rsidR="00C10F64" w:rsidRPr="00F546EC">
        <w:rPr>
          <w:color w:val="000000"/>
          <w:shd w:val="clear" w:color="auto" w:fill="FFFFFF"/>
        </w:rPr>
        <w:t xml:space="preserve"> can form a mixture of lagoons </w:t>
      </w:r>
      <w:r w:rsidR="00D467FA" w:rsidRPr="00F546EC">
        <w:rPr>
          <w:color w:val="000000"/>
          <w:shd w:val="clear" w:color="auto" w:fill="FFFFFF"/>
        </w:rPr>
        <w:t>and</w:t>
      </w:r>
      <w:r w:rsidR="00C10F64" w:rsidRPr="00F546EC">
        <w:rPr>
          <w:color w:val="000000"/>
          <w:shd w:val="clear" w:color="auto" w:fill="FFFFFF"/>
        </w:rPr>
        <w:t xml:space="preserve"> enclosed bodies of water </w:t>
      </w:r>
      <w:r w:rsidR="00C8187E">
        <w:rPr>
          <w:color w:val="000000"/>
          <w:shd w:val="clear" w:color="auto" w:fill="FFFFFF"/>
        </w:rPr>
        <w:t xml:space="preserve">capable </w:t>
      </w:r>
      <w:r w:rsidR="00DF6234">
        <w:rPr>
          <w:color w:val="000000"/>
          <w:shd w:val="clear" w:color="auto" w:fill="FFFFFF"/>
        </w:rPr>
        <w:t>of hosting</w:t>
      </w:r>
      <w:r w:rsidR="00BF149F" w:rsidRPr="00F546EC">
        <w:rPr>
          <w:color w:val="000000"/>
          <w:shd w:val="clear" w:color="auto" w:fill="FFFFFF"/>
        </w:rPr>
        <w:t xml:space="preserve"> deposition in </w:t>
      </w:r>
      <w:r w:rsidR="00C10F64" w:rsidRPr="00F546EC">
        <w:rPr>
          <w:color w:val="000000"/>
          <w:shd w:val="clear" w:color="auto" w:fill="FFFFFF"/>
        </w:rPr>
        <w:t>parallel</w:t>
      </w:r>
      <w:r w:rsidR="00BF149F" w:rsidRPr="00F546EC">
        <w:rPr>
          <w:color w:val="000000"/>
          <w:shd w:val="clear" w:color="auto" w:fill="FFFFFF"/>
        </w:rPr>
        <w:t xml:space="preserve"> </w:t>
      </w:r>
      <w:r w:rsidR="00C10F64" w:rsidRPr="00F546EC">
        <w:rPr>
          <w:color w:val="000000"/>
          <w:shd w:val="clear" w:color="auto" w:fill="FFFFFF"/>
        </w:rPr>
        <w:t xml:space="preserve">to </w:t>
      </w:r>
      <w:r w:rsidR="00926363">
        <w:rPr>
          <w:color w:val="000000"/>
          <w:shd w:val="clear" w:color="auto" w:fill="FFFFFF"/>
        </w:rPr>
        <w:t xml:space="preserve">the </w:t>
      </w:r>
      <w:r w:rsidR="00C10F64" w:rsidRPr="00F546EC">
        <w:rPr>
          <w:color w:val="000000"/>
          <w:shd w:val="clear" w:color="auto" w:fill="FFFFFF"/>
        </w:rPr>
        <w:t>shore</w:t>
      </w:r>
      <w:r w:rsidR="00FC51C6">
        <w:rPr>
          <w:color w:val="000000"/>
          <w:shd w:val="clear" w:color="auto" w:fill="FFFFFF"/>
        </w:rPr>
        <w:t>,</w:t>
      </w:r>
      <w:r w:rsidR="00C10F64" w:rsidRPr="00F546EC">
        <w:rPr>
          <w:color w:val="000000"/>
          <w:shd w:val="clear" w:color="auto" w:fill="FFFFFF"/>
        </w:rPr>
        <w:t xml:space="preserve"> </w:t>
      </w:r>
      <w:r w:rsidR="00427759" w:rsidRPr="00F546EC">
        <w:rPr>
          <w:color w:val="000000"/>
          <w:shd w:val="clear" w:color="auto" w:fill="FFFFFF"/>
        </w:rPr>
        <w:t>or</w:t>
      </w:r>
      <w:r w:rsidR="00C10F64" w:rsidRPr="00F546EC">
        <w:rPr>
          <w:color w:val="000000"/>
          <w:shd w:val="clear" w:color="auto" w:fill="FFFFFF"/>
        </w:rPr>
        <w:t xml:space="preserve"> estuaries </w:t>
      </w:r>
      <w:r w:rsidR="00427759" w:rsidRPr="00F546EC">
        <w:rPr>
          <w:color w:val="000000"/>
          <w:shd w:val="clear" w:color="auto" w:fill="FFFFFF"/>
        </w:rPr>
        <w:t>w</w:t>
      </w:r>
      <w:r w:rsidR="003038B7" w:rsidRPr="00F546EC">
        <w:rPr>
          <w:color w:val="000000"/>
          <w:shd w:val="clear" w:color="auto" w:fill="FFFFFF"/>
        </w:rPr>
        <w:t>here the deposits</w:t>
      </w:r>
      <w:r w:rsidR="00427759" w:rsidRPr="00F546EC">
        <w:rPr>
          <w:color w:val="000000"/>
          <w:shd w:val="clear" w:color="auto" w:fill="FFFFFF"/>
        </w:rPr>
        <w:t xml:space="preserve"> are</w:t>
      </w:r>
      <w:r w:rsidR="00C10F64" w:rsidRPr="00F546EC">
        <w:rPr>
          <w:color w:val="000000"/>
          <w:shd w:val="clear" w:color="auto" w:fill="FFFFFF"/>
        </w:rPr>
        <w:t xml:space="preserve"> elongate</w:t>
      </w:r>
      <w:r w:rsidR="00427759" w:rsidRPr="00F546EC">
        <w:rPr>
          <w:color w:val="000000"/>
          <w:shd w:val="clear" w:color="auto" w:fill="FFFFFF"/>
        </w:rPr>
        <w:t>d</w:t>
      </w:r>
      <w:r w:rsidR="00C10F64" w:rsidRPr="00F546EC">
        <w:rPr>
          <w:color w:val="000000"/>
          <w:shd w:val="clear" w:color="auto" w:fill="FFFFFF"/>
        </w:rPr>
        <w:t xml:space="preserve"> </w:t>
      </w:r>
      <w:r w:rsidR="00684B80" w:rsidRPr="00F546EC">
        <w:rPr>
          <w:color w:val="000000"/>
          <w:shd w:val="clear" w:color="auto" w:fill="FFFFFF"/>
        </w:rPr>
        <w:t>mainly</w:t>
      </w:r>
      <w:r w:rsidR="00C10F64" w:rsidRPr="00F546EC">
        <w:rPr>
          <w:color w:val="000000"/>
          <w:shd w:val="clear" w:color="auto" w:fill="FFFFFF"/>
        </w:rPr>
        <w:t xml:space="preserve"> perpendicular to </w:t>
      </w:r>
      <w:r w:rsidR="00427759" w:rsidRPr="00F546EC">
        <w:rPr>
          <w:color w:val="000000"/>
          <w:shd w:val="clear" w:color="auto" w:fill="FFFFFF"/>
        </w:rPr>
        <w:t xml:space="preserve">the </w:t>
      </w:r>
      <w:r w:rsidR="00054B8B" w:rsidRPr="00F546EC">
        <w:rPr>
          <w:color w:val="000000"/>
          <w:shd w:val="clear" w:color="auto" w:fill="FFFFFF"/>
        </w:rPr>
        <w:t>shoreline</w:t>
      </w:r>
      <w:r w:rsidR="00E32A45">
        <w:rPr>
          <w:color w:val="000000"/>
          <w:shd w:val="clear" w:color="auto" w:fill="FFFFFF"/>
        </w:rPr>
        <w:t xml:space="preserve"> (Hampson et al., 2017)</w:t>
      </w:r>
      <w:r w:rsidR="00AB19B0" w:rsidRPr="00F546EC">
        <w:rPr>
          <w:color w:val="000000"/>
          <w:shd w:val="clear" w:color="auto" w:fill="FFFFFF"/>
        </w:rPr>
        <w:t>.</w:t>
      </w:r>
      <w:r w:rsidR="00427759" w:rsidRPr="00F546EC">
        <w:rPr>
          <w:color w:val="000000"/>
          <w:shd w:val="clear" w:color="auto" w:fill="FFFFFF"/>
        </w:rPr>
        <w:t xml:space="preserve"> </w:t>
      </w:r>
    </w:p>
    <w:p w14:paraId="4BBD8220" w14:textId="1744B391" w:rsidR="00113AC5" w:rsidRDefault="005568B2" w:rsidP="00967CCF">
      <w:pPr>
        <w:ind w:firstLine="360"/>
        <w:rPr>
          <w:color w:val="000000"/>
          <w:shd w:val="clear" w:color="auto" w:fill="FFFFFF"/>
        </w:rPr>
      </w:pPr>
      <w:r w:rsidRPr="00F546EC">
        <w:rPr>
          <w:color w:val="000000"/>
          <w:shd w:val="clear" w:color="auto" w:fill="FFFFFF"/>
        </w:rPr>
        <w:t xml:space="preserve">The </w:t>
      </w:r>
      <w:r w:rsidR="008D3CD0">
        <w:rPr>
          <w:color w:val="000000"/>
          <w:shd w:val="clear" w:color="auto" w:fill="FFFFFF"/>
        </w:rPr>
        <w:t>d</w:t>
      </w:r>
      <w:r w:rsidR="00170CCA" w:rsidRPr="00F546EC">
        <w:rPr>
          <w:color w:val="000000"/>
          <w:shd w:val="clear" w:color="auto" w:fill="FFFFFF"/>
        </w:rPr>
        <w:t>irect identification</w:t>
      </w:r>
      <w:r w:rsidR="004A6633" w:rsidRPr="00F546EC">
        <w:rPr>
          <w:color w:val="000000"/>
          <w:shd w:val="clear" w:color="auto" w:fill="FFFFFF"/>
        </w:rPr>
        <w:t xml:space="preserve"> of these deposits</w:t>
      </w:r>
      <w:r w:rsidR="00170CCA" w:rsidRPr="00F546EC">
        <w:rPr>
          <w:color w:val="000000"/>
          <w:shd w:val="clear" w:color="auto" w:fill="FFFFFF"/>
        </w:rPr>
        <w:t xml:space="preserve"> is </w:t>
      </w:r>
      <w:r w:rsidR="004A6633" w:rsidRPr="00F546EC">
        <w:rPr>
          <w:color w:val="000000"/>
          <w:shd w:val="clear" w:color="auto" w:fill="FFFFFF"/>
        </w:rPr>
        <w:t>tricky</w:t>
      </w:r>
      <w:r w:rsidR="00170CCA" w:rsidRPr="00F546EC">
        <w:rPr>
          <w:color w:val="000000"/>
          <w:shd w:val="clear" w:color="auto" w:fill="FFFFFF"/>
        </w:rPr>
        <w:t xml:space="preserve"> to </w:t>
      </w:r>
      <w:r w:rsidR="004A6633" w:rsidRPr="00F546EC">
        <w:rPr>
          <w:color w:val="000000"/>
          <w:shd w:val="clear" w:color="auto" w:fill="FFFFFF"/>
        </w:rPr>
        <w:t>recogni</w:t>
      </w:r>
      <w:r w:rsidR="009617C4" w:rsidRPr="00F546EC">
        <w:rPr>
          <w:color w:val="000000"/>
          <w:shd w:val="clear" w:color="auto" w:fill="FFFFFF"/>
        </w:rPr>
        <w:t>z</w:t>
      </w:r>
      <w:r w:rsidR="004A6633" w:rsidRPr="00F546EC">
        <w:rPr>
          <w:color w:val="000000"/>
          <w:shd w:val="clear" w:color="auto" w:fill="FFFFFF"/>
        </w:rPr>
        <w:t>e</w:t>
      </w:r>
      <w:r w:rsidR="00054B8B" w:rsidRPr="00F546EC">
        <w:rPr>
          <w:color w:val="000000"/>
          <w:shd w:val="clear" w:color="auto" w:fill="FFFFFF"/>
        </w:rPr>
        <w:t xml:space="preserve"> in the rock </w:t>
      </w:r>
      <w:r w:rsidR="00460281" w:rsidRPr="00F546EC">
        <w:rPr>
          <w:color w:val="000000"/>
          <w:shd w:val="clear" w:color="auto" w:fill="FFFFFF"/>
        </w:rPr>
        <w:t>record because</w:t>
      </w:r>
      <w:r w:rsidR="007C59A9" w:rsidRPr="00F546EC">
        <w:rPr>
          <w:color w:val="000000"/>
          <w:shd w:val="clear" w:color="auto" w:fill="FFFFFF"/>
        </w:rPr>
        <w:t xml:space="preserve"> </w:t>
      </w:r>
      <w:r w:rsidR="00E4458C" w:rsidRPr="00F546EC">
        <w:rPr>
          <w:color w:val="000000"/>
          <w:shd w:val="clear" w:color="auto" w:fill="FFFFFF"/>
        </w:rPr>
        <w:t>the</w:t>
      </w:r>
      <w:r w:rsidR="008A4F12" w:rsidRPr="00F546EC">
        <w:rPr>
          <w:color w:val="000000"/>
          <w:shd w:val="clear" w:color="auto" w:fill="FFFFFF"/>
        </w:rPr>
        <w:t xml:space="preserve"> estuary/bay and </w:t>
      </w:r>
      <w:r w:rsidR="008A2C5A">
        <w:rPr>
          <w:color w:val="000000"/>
          <w:shd w:val="clear" w:color="auto" w:fill="FFFFFF"/>
        </w:rPr>
        <w:t xml:space="preserve">platform </w:t>
      </w:r>
      <w:r w:rsidR="008A4F12" w:rsidRPr="00F546EC">
        <w:rPr>
          <w:color w:val="000000"/>
          <w:shd w:val="clear" w:color="auto" w:fill="FFFFFF"/>
        </w:rPr>
        <w:t>systems are tripartite</w:t>
      </w:r>
      <w:r w:rsidR="00C8187E">
        <w:rPr>
          <w:color w:val="000000"/>
          <w:shd w:val="clear" w:color="auto" w:fill="FFFFFF"/>
        </w:rPr>
        <w:t xml:space="preserve"> (have </w:t>
      </w:r>
      <w:r w:rsidR="00F03FE3">
        <w:rPr>
          <w:color w:val="000000"/>
          <w:shd w:val="clear" w:color="auto" w:fill="FFFFFF"/>
        </w:rPr>
        <w:t>an</w:t>
      </w:r>
      <w:r w:rsidR="00C8187E">
        <w:rPr>
          <w:color w:val="000000"/>
          <w:shd w:val="clear" w:color="auto" w:fill="FFFFFF"/>
        </w:rPr>
        <w:t xml:space="preserve"> inner, middle and outer zone)</w:t>
      </w:r>
      <w:r w:rsidR="008A4F12" w:rsidRPr="00F546EC">
        <w:rPr>
          <w:color w:val="000000"/>
          <w:shd w:val="clear" w:color="auto" w:fill="FFFFFF"/>
        </w:rPr>
        <w:t xml:space="preserve">, with an outer zone dominated by </w:t>
      </w:r>
      <w:r w:rsidR="00F22330" w:rsidRPr="00F546EC">
        <w:rPr>
          <w:color w:val="000000"/>
          <w:shd w:val="clear" w:color="auto" w:fill="FFFFFF"/>
        </w:rPr>
        <w:t xml:space="preserve">the </w:t>
      </w:r>
      <w:r w:rsidR="008A4F12" w:rsidRPr="00F546EC">
        <w:rPr>
          <w:color w:val="000000"/>
          <w:shd w:val="clear" w:color="auto" w:fill="FFFFFF"/>
        </w:rPr>
        <w:t>strong wave and tidal currents</w:t>
      </w:r>
      <w:r w:rsidR="00C8187E">
        <w:rPr>
          <w:color w:val="000000"/>
          <w:shd w:val="clear" w:color="auto" w:fill="FFFFFF"/>
        </w:rPr>
        <w:t xml:space="preserve"> (Hampson et al., 2017). The paralic deposits have an</w:t>
      </w:r>
      <w:r w:rsidR="005A751B">
        <w:rPr>
          <w:color w:val="000000"/>
          <w:shd w:val="clear" w:color="auto" w:fill="FFFFFF"/>
        </w:rPr>
        <w:t xml:space="preserve"> extensive mud deposition</w:t>
      </w:r>
      <w:r w:rsidR="004B46A2">
        <w:rPr>
          <w:color w:val="000000"/>
          <w:shd w:val="clear" w:color="auto" w:fill="FFFFFF"/>
        </w:rPr>
        <w:t xml:space="preserve"> </w:t>
      </w:r>
      <w:r w:rsidR="00C8187E">
        <w:rPr>
          <w:color w:val="000000"/>
          <w:shd w:val="clear" w:color="auto" w:fill="FFFFFF"/>
        </w:rPr>
        <w:t xml:space="preserve">typically in the </w:t>
      </w:r>
      <w:r w:rsidR="005A751B">
        <w:rPr>
          <w:color w:val="000000"/>
          <w:shd w:val="clear" w:color="auto" w:fill="FFFFFF"/>
        </w:rPr>
        <w:t>middle reg</w:t>
      </w:r>
      <w:r w:rsidR="008A4F12" w:rsidRPr="00F546EC">
        <w:rPr>
          <w:color w:val="000000"/>
          <w:shd w:val="clear" w:color="auto" w:fill="FFFFFF"/>
        </w:rPr>
        <w:t>ion</w:t>
      </w:r>
      <w:r w:rsidR="00C8187E">
        <w:rPr>
          <w:color w:val="000000"/>
          <w:shd w:val="clear" w:color="auto" w:fill="FFFFFF"/>
        </w:rPr>
        <w:t xml:space="preserve"> of the system</w:t>
      </w:r>
      <w:r w:rsidR="008A4F12" w:rsidRPr="00F546EC">
        <w:rPr>
          <w:color w:val="000000"/>
          <w:shd w:val="clear" w:color="auto" w:fill="FFFFFF"/>
        </w:rPr>
        <w:t>, and</w:t>
      </w:r>
      <w:r w:rsidR="00FC51C6">
        <w:rPr>
          <w:color w:val="000000"/>
          <w:shd w:val="clear" w:color="auto" w:fill="FFFFFF"/>
        </w:rPr>
        <w:t xml:space="preserve"> </w:t>
      </w:r>
      <w:r w:rsidR="00C8187E">
        <w:rPr>
          <w:color w:val="000000"/>
          <w:shd w:val="clear" w:color="auto" w:fill="FFFFFF"/>
        </w:rPr>
        <w:t>the</w:t>
      </w:r>
      <w:r w:rsidR="008A4F12" w:rsidRPr="00F546EC">
        <w:rPr>
          <w:color w:val="000000"/>
          <w:shd w:val="clear" w:color="auto" w:fill="FFFFFF"/>
        </w:rPr>
        <w:t xml:space="preserve"> inner </w:t>
      </w:r>
      <w:r w:rsidR="007C59A9" w:rsidRPr="00F546EC">
        <w:rPr>
          <w:color w:val="000000"/>
          <w:shd w:val="clear" w:color="auto" w:fill="FFFFFF"/>
        </w:rPr>
        <w:t>area</w:t>
      </w:r>
      <w:r w:rsidR="008A4F12" w:rsidRPr="00F546EC">
        <w:rPr>
          <w:color w:val="000000"/>
          <w:shd w:val="clear" w:color="auto" w:fill="FFFFFF"/>
        </w:rPr>
        <w:t xml:space="preserve"> </w:t>
      </w:r>
      <w:r w:rsidR="00C8187E">
        <w:rPr>
          <w:color w:val="000000"/>
          <w:shd w:val="clear" w:color="auto" w:fill="FFFFFF"/>
        </w:rPr>
        <w:t xml:space="preserve">is commonly </w:t>
      </w:r>
      <w:r w:rsidR="008A4F12" w:rsidRPr="00F546EC">
        <w:rPr>
          <w:color w:val="000000"/>
          <w:shd w:val="clear" w:color="auto" w:fill="FFFFFF"/>
        </w:rPr>
        <w:t xml:space="preserve">dominated by fluvial </w:t>
      </w:r>
      <w:r w:rsidR="007C59A9" w:rsidRPr="00F546EC">
        <w:rPr>
          <w:color w:val="000000"/>
          <w:shd w:val="clear" w:color="auto" w:fill="FFFFFF"/>
        </w:rPr>
        <w:t>flow</w:t>
      </w:r>
      <w:r w:rsidR="008A4F12" w:rsidRPr="00F546EC">
        <w:rPr>
          <w:color w:val="000000"/>
          <w:shd w:val="clear" w:color="auto" w:fill="FFFFFF"/>
        </w:rPr>
        <w:t>s within bayhead deltas</w:t>
      </w:r>
      <w:r w:rsidR="007579DD">
        <w:rPr>
          <w:color w:val="000000"/>
          <w:shd w:val="clear" w:color="auto" w:fill="FFFFFF"/>
        </w:rPr>
        <w:t xml:space="preserve"> (Pyles and Slatt, 2000; </w:t>
      </w:r>
      <w:r w:rsidR="007579DD">
        <w:rPr>
          <w:color w:val="000000"/>
          <w:shd w:val="clear" w:color="auto" w:fill="FFFFFF"/>
        </w:rPr>
        <w:lastRenderedPageBreak/>
        <w:t>Hampson et al., 2017)</w:t>
      </w:r>
      <w:r w:rsidR="008A4F12" w:rsidRPr="00F546EC">
        <w:rPr>
          <w:color w:val="000000"/>
          <w:shd w:val="clear" w:color="auto" w:fill="FFFFFF"/>
        </w:rPr>
        <w:t xml:space="preserve">. These distinctions are currently not </w:t>
      </w:r>
      <w:r w:rsidR="008D334C" w:rsidRPr="00F546EC">
        <w:rPr>
          <w:color w:val="000000"/>
          <w:shd w:val="clear" w:color="auto" w:fill="FFFFFF"/>
        </w:rPr>
        <w:t xml:space="preserve">used </w:t>
      </w:r>
      <w:r w:rsidR="008D3CD0">
        <w:rPr>
          <w:color w:val="000000"/>
          <w:shd w:val="clear" w:color="auto" w:fill="FFFFFF"/>
        </w:rPr>
        <w:t>to describe</w:t>
      </w:r>
      <w:r w:rsidR="008D334C" w:rsidRPr="00F546EC">
        <w:rPr>
          <w:color w:val="000000"/>
          <w:shd w:val="clear" w:color="auto" w:fill="FFFFFF"/>
        </w:rPr>
        <w:t xml:space="preserve"> the Woodford </w:t>
      </w:r>
      <w:r w:rsidR="004B46A2">
        <w:rPr>
          <w:color w:val="000000"/>
          <w:shd w:val="clear" w:color="auto" w:fill="FFFFFF"/>
        </w:rPr>
        <w:t>S</w:t>
      </w:r>
      <w:r w:rsidR="008D334C" w:rsidRPr="00F546EC">
        <w:rPr>
          <w:color w:val="000000"/>
          <w:shd w:val="clear" w:color="auto" w:fill="FFFFFF"/>
        </w:rPr>
        <w:t xml:space="preserve">hale, but the transition </w:t>
      </w:r>
      <w:r w:rsidR="00CA76A8" w:rsidRPr="00F546EC">
        <w:rPr>
          <w:color w:val="000000"/>
          <w:shd w:val="clear" w:color="auto" w:fill="FFFFFF"/>
        </w:rPr>
        <w:t>between an open marine environment towards shallower waters lead</w:t>
      </w:r>
      <w:r w:rsidR="00E4194A" w:rsidRPr="00F546EC">
        <w:rPr>
          <w:color w:val="000000"/>
          <w:shd w:val="clear" w:color="auto" w:fill="FFFFFF"/>
        </w:rPr>
        <w:t>s</w:t>
      </w:r>
      <w:r w:rsidR="00CA76A8" w:rsidRPr="00F546EC">
        <w:rPr>
          <w:color w:val="000000"/>
          <w:shd w:val="clear" w:color="auto" w:fill="FFFFFF"/>
        </w:rPr>
        <w:t xml:space="preserve"> into</w:t>
      </w:r>
      <w:r w:rsidR="008D3CD0">
        <w:rPr>
          <w:color w:val="000000"/>
          <w:shd w:val="clear" w:color="auto" w:fill="FFFFFF"/>
        </w:rPr>
        <w:t xml:space="preserve"> </w:t>
      </w:r>
      <w:r w:rsidR="00CA76A8" w:rsidRPr="00F546EC">
        <w:rPr>
          <w:color w:val="000000"/>
          <w:shd w:val="clear" w:color="auto" w:fill="FFFFFF"/>
        </w:rPr>
        <w:t>sediment and organic-matter supply from the continent</w:t>
      </w:r>
      <w:r w:rsidR="00833ACE">
        <w:rPr>
          <w:color w:val="000000"/>
          <w:shd w:val="clear" w:color="auto" w:fill="FFFFFF"/>
        </w:rPr>
        <w:t xml:space="preserve"> (Zhang and Slatt, 2019)</w:t>
      </w:r>
      <w:r w:rsidR="008A4F12" w:rsidRPr="00F546EC">
        <w:rPr>
          <w:color w:val="000000"/>
          <w:shd w:val="clear" w:color="auto" w:fill="FFFFFF"/>
        </w:rPr>
        <w:t xml:space="preserve">. Both estuary/bay and lagoon systems can range in salinity from hypersaline to </w:t>
      </w:r>
      <w:r w:rsidR="007C59A9" w:rsidRPr="00F546EC">
        <w:rPr>
          <w:color w:val="000000"/>
          <w:shd w:val="clear" w:color="auto" w:fill="FFFFFF"/>
        </w:rPr>
        <w:t>regular</w:t>
      </w:r>
      <w:r w:rsidR="008A4F12" w:rsidRPr="00F546EC">
        <w:rPr>
          <w:color w:val="000000"/>
          <w:shd w:val="clear" w:color="auto" w:fill="FFFFFF"/>
        </w:rPr>
        <w:t xml:space="preserve"> marine, to hyposaline</w:t>
      </w:r>
      <w:r w:rsidR="00E4194A" w:rsidRPr="00F546EC">
        <w:rPr>
          <w:color w:val="000000"/>
          <w:shd w:val="clear" w:color="auto" w:fill="FFFFFF"/>
        </w:rPr>
        <w:t>,</w:t>
      </w:r>
      <w:r w:rsidR="00CA76A8" w:rsidRPr="00F546EC">
        <w:rPr>
          <w:color w:val="000000"/>
          <w:shd w:val="clear" w:color="auto" w:fill="FFFFFF"/>
        </w:rPr>
        <w:t xml:space="preserve"> and its variations </w:t>
      </w:r>
      <w:r w:rsidR="00AE13AB" w:rsidRPr="00F546EC">
        <w:rPr>
          <w:color w:val="000000"/>
          <w:shd w:val="clear" w:color="auto" w:fill="FFFFFF"/>
        </w:rPr>
        <w:t xml:space="preserve">in the stratigraphic record will reflect </w:t>
      </w:r>
      <w:r w:rsidR="007C59A9" w:rsidRPr="00F546EC">
        <w:rPr>
          <w:color w:val="000000"/>
          <w:shd w:val="clear" w:color="auto" w:fill="FFFFFF"/>
        </w:rPr>
        <w:t>critical</w:t>
      </w:r>
      <w:r w:rsidR="00AE13AB" w:rsidRPr="00F546EC">
        <w:rPr>
          <w:color w:val="000000"/>
          <w:shd w:val="clear" w:color="auto" w:fill="FFFFFF"/>
        </w:rPr>
        <w:t xml:space="preserve"> features in the organic matter facies</w:t>
      </w:r>
      <w:r w:rsidR="008A2C5A">
        <w:rPr>
          <w:color w:val="000000"/>
          <w:shd w:val="clear" w:color="auto" w:fill="FFFFFF"/>
        </w:rPr>
        <w:t xml:space="preserve"> (Hampson et al., 2017)</w:t>
      </w:r>
      <w:r w:rsidR="00AE13AB" w:rsidRPr="00F546EC">
        <w:rPr>
          <w:color w:val="000000"/>
          <w:shd w:val="clear" w:color="auto" w:fill="FFFFFF"/>
        </w:rPr>
        <w:t xml:space="preserve">. </w:t>
      </w:r>
      <w:r w:rsidR="005D770A">
        <w:rPr>
          <w:color w:val="000000"/>
          <w:shd w:val="clear" w:color="auto" w:fill="FFFFFF"/>
        </w:rPr>
        <w:t xml:space="preserve">The organic matter, minerals, and heavy elements formed under these paralic environments can be transported towards the deeper basin where the Woodford Shale enclosed mini-basin fill </w:t>
      </w:r>
      <w:r w:rsidR="00DF6234">
        <w:rPr>
          <w:color w:val="000000"/>
          <w:shd w:val="clear" w:color="auto" w:fill="FFFFFF"/>
        </w:rPr>
        <w:t xml:space="preserve">settings </w:t>
      </w:r>
      <w:r w:rsidR="005D770A">
        <w:rPr>
          <w:color w:val="000000"/>
          <w:shd w:val="clear" w:color="auto" w:fill="FFFFFF"/>
        </w:rPr>
        <w:t xml:space="preserve">are formed by </w:t>
      </w:r>
      <w:r w:rsidR="00C8187E">
        <w:rPr>
          <w:color w:val="000000"/>
          <w:shd w:val="clear" w:color="auto" w:fill="FFFFFF"/>
        </w:rPr>
        <w:t>cycles of</w:t>
      </w:r>
      <w:r w:rsidR="00393C58">
        <w:rPr>
          <w:color w:val="000000"/>
          <w:shd w:val="clear" w:color="auto" w:fill="FFFFFF"/>
        </w:rPr>
        <w:t xml:space="preserve"> </w:t>
      </w:r>
      <w:r w:rsidR="005D770A">
        <w:rPr>
          <w:color w:val="000000"/>
          <w:shd w:val="clear" w:color="auto" w:fill="FFFFFF"/>
        </w:rPr>
        <w:t>seaward stepping</w:t>
      </w:r>
      <w:r w:rsidR="008A2C5A">
        <w:rPr>
          <w:color w:val="000000"/>
          <w:shd w:val="clear" w:color="auto" w:fill="FFFFFF"/>
        </w:rPr>
        <w:t xml:space="preserve"> (Slatt, 2016)</w:t>
      </w:r>
      <w:r w:rsidR="005D770A">
        <w:rPr>
          <w:color w:val="000000"/>
          <w:shd w:val="clear" w:color="auto" w:fill="FFFFFF"/>
        </w:rPr>
        <w:t xml:space="preserve">. </w:t>
      </w:r>
    </w:p>
    <w:p w14:paraId="2E5DE4A0" w14:textId="19871652" w:rsidR="00632253" w:rsidRDefault="00E8751A" w:rsidP="00530D25">
      <w:pPr>
        <w:pStyle w:val="Heading2"/>
        <w:numPr>
          <w:ilvl w:val="1"/>
          <w:numId w:val="2"/>
        </w:numPr>
      </w:pPr>
      <w:bookmarkStart w:id="26" w:name="_Toc25833518"/>
      <w:bookmarkStart w:id="27" w:name="_Toc35861078"/>
      <w:r w:rsidRPr="00671B88">
        <w:t>T</w:t>
      </w:r>
      <w:r w:rsidR="009F3D7A" w:rsidRPr="00671B88">
        <w:t xml:space="preserve">he </w:t>
      </w:r>
      <w:r w:rsidR="003A23B1">
        <w:rPr>
          <w:color w:val="000000"/>
          <w:shd w:val="clear" w:color="auto" w:fill="FFFFFF"/>
        </w:rPr>
        <w:t>enclosed mini-basin fill</w:t>
      </w:r>
      <w:r w:rsidR="00A22E4E">
        <w:rPr>
          <w:color w:val="000000"/>
          <w:shd w:val="clear" w:color="auto" w:fill="FFFFFF"/>
        </w:rPr>
        <w:t xml:space="preserve"> </w:t>
      </w:r>
      <w:r w:rsidR="009F3D7A" w:rsidRPr="00671B88">
        <w:t>system</w:t>
      </w:r>
      <w:bookmarkEnd w:id="26"/>
      <w:bookmarkEnd w:id="27"/>
    </w:p>
    <w:p w14:paraId="34356C94" w14:textId="3BF3AF64" w:rsidR="00890414" w:rsidRDefault="008D3CD0" w:rsidP="00890414">
      <w:pPr>
        <w:spacing w:after="0"/>
        <w:ind w:firstLine="720"/>
        <w:rPr>
          <w:color w:val="000000"/>
          <w:shd w:val="clear" w:color="auto" w:fill="FFFFFF"/>
        </w:rPr>
      </w:pPr>
      <w:r>
        <w:rPr>
          <w:color w:val="000000"/>
          <w:shd w:val="clear" w:color="auto" w:fill="FFFFFF"/>
        </w:rPr>
        <w:t>In the present</w:t>
      </w:r>
      <w:r w:rsidR="00461F54" w:rsidRPr="00F546EC">
        <w:rPr>
          <w:color w:val="000000"/>
          <w:shd w:val="clear" w:color="auto" w:fill="FFFFFF"/>
        </w:rPr>
        <w:t xml:space="preserve"> study, the definition of a</w:t>
      </w:r>
      <w:r w:rsidR="00393C58">
        <w:rPr>
          <w:color w:val="000000"/>
          <w:shd w:val="clear" w:color="auto" w:fill="FFFFFF"/>
        </w:rPr>
        <w:t>n</w:t>
      </w:r>
      <w:r w:rsidR="00632253" w:rsidRPr="00F546EC">
        <w:rPr>
          <w:color w:val="000000"/>
          <w:shd w:val="clear" w:color="auto" w:fill="FFFFFF"/>
        </w:rPr>
        <w:t xml:space="preserve"> </w:t>
      </w:r>
      <w:r w:rsidR="008E6922" w:rsidRPr="00F546EC">
        <w:rPr>
          <w:color w:val="000000"/>
          <w:shd w:val="clear" w:color="auto" w:fill="FFFFFF"/>
        </w:rPr>
        <w:t>“</w:t>
      </w:r>
      <w:r w:rsidR="003A23B1">
        <w:rPr>
          <w:color w:val="000000"/>
          <w:shd w:val="clear" w:color="auto" w:fill="FFFFFF"/>
        </w:rPr>
        <w:t xml:space="preserve">enclosed mini-basin fill” </w:t>
      </w:r>
      <w:r w:rsidR="00632253" w:rsidRPr="00F546EC">
        <w:rPr>
          <w:color w:val="000000"/>
          <w:shd w:val="clear" w:color="auto" w:fill="FFFFFF"/>
        </w:rPr>
        <w:t>consist</w:t>
      </w:r>
      <w:r w:rsidR="00A25DEB" w:rsidRPr="00F546EC">
        <w:rPr>
          <w:color w:val="000000"/>
          <w:shd w:val="clear" w:color="auto" w:fill="FFFFFF"/>
        </w:rPr>
        <w:t>s</w:t>
      </w:r>
      <w:r w:rsidR="00632253" w:rsidRPr="00F546EC">
        <w:rPr>
          <w:color w:val="000000"/>
          <w:shd w:val="clear" w:color="auto" w:fill="FFFFFF"/>
        </w:rPr>
        <w:t xml:space="preserve"> of a </w:t>
      </w:r>
      <w:r w:rsidR="00461F54" w:rsidRPr="00F546EC">
        <w:rPr>
          <w:color w:val="000000"/>
          <w:shd w:val="clear" w:color="auto" w:fill="FFFFFF"/>
        </w:rPr>
        <w:t xml:space="preserve">geological area with </w:t>
      </w:r>
      <w:r w:rsidR="00890414">
        <w:rPr>
          <w:color w:val="000000"/>
          <w:shd w:val="clear" w:color="auto" w:fill="FFFFFF"/>
        </w:rPr>
        <w:t>a</w:t>
      </w:r>
      <w:r w:rsidR="00461F54" w:rsidRPr="00F546EC">
        <w:rPr>
          <w:color w:val="000000"/>
          <w:shd w:val="clear" w:color="auto" w:fill="FFFFFF"/>
        </w:rPr>
        <w:t xml:space="preserve"> </w:t>
      </w:r>
      <w:r w:rsidR="00632253" w:rsidRPr="00F546EC">
        <w:rPr>
          <w:color w:val="000000"/>
          <w:shd w:val="clear" w:color="auto" w:fill="FFFFFF"/>
        </w:rPr>
        <w:t xml:space="preserve">shape resembling a </w:t>
      </w:r>
      <w:r w:rsidR="00640FBB" w:rsidRPr="00F546EC">
        <w:rPr>
          <w:rFonts w:eastAsia="Times New Roman"/>
          <w:color w:val="000000"/>
        </w:rPr>
        <w:t xml:space="preserve">concave downward pod-shaped </w:t>
      </w:r>
      <w:r w:rsidR="00393C58">
        <w:rPr>
          <w:color w:val="000000"/>
          <w:shd w:val="clear" w:color="auto" w:fill="FFFFFF"/>
        </w:rPr>
        <w:t>structure</w:t>
      </w:r>
      <w:r w:rsidR="003C111E">
        <w:rPr>
          <w:color w:val="000000"/>
          <w:shd w:val="clear" w:color="auto" w:fill="FFFFFF"/>
        </w:rPr>
        <w:t xml:space="preserve"> </w:t>
      </w:r>
      <w:r w:rsidR="003C111E" w:rsidRPr="00F546EC">
        <w:rPr>
          <w:color w:val="000000"/>
          <w:shd w:val="clear" w:color="auto" w:fill="FFFFFF"/>
        </w:rPr>
        <w:t xml:space="preserve">with </w:t>
      </w:r>
      <w:r w:rsidR="003C111E">
        <w:rPr>
          <w:color w:val="000000"/>
          <w:shd w:val="clear" w:color="auto" w:fill="FFFFFF"/>
        </w:rPr>
        <w:t xml:space="preserve">a </w:t>
      </w:r>
      <w:r w:rsidR="003C111E" w:rsidRPr="00F546EC">
        <w:rPr>
          <w:color w:val="000000"/>
          <w:shd w:val="clear" w:color="auto" w:fill="FFFFFF"/>
        </w:rPr>
        <w:t>deeper water level than</w:t>
      </w:r>
      <w:r w:rsidR="003C111E">
        <w:rPr>
          <w:color w:val="000000"/>
          <w:shd w:val="clear" w:color="auto" w:fill="FFFFFF"/>
        </w:rPr>
        <w:t xml:space="preserve"> most</w:t>
      </w:r>
      <w:r w:rsidR="003C111E" w:rsidRPr="00F546EC">
        <w:rPr>
          <w:color w:val="000000"/>
          <w:shd w:val="clear" w:color="auto" w:fill="FFFFFF"/>
        </w:rPr>
        <w:t xml:space="preserve"> estuaries</w:t>
      </w:r>
      <w:r w:rsidR="003C111E">
        <w:rPr>
          <w:color w:val="000000"/>
          <w:shd w:val="clear" w:color="auto" w:fill="FFFFFF"/>
        </w:rPr>
        <w:t xml:space="preserve"> and embayment deposits</w:t>
      </w:r>
      <w:r w:rsidR="0019503B">
        <w:rPr>
          <w:color w:val="000000"/>
          <w:shd w:val="clear" w:color="auto" w:fill="FFFFFF"/>
        </w:rPr>
        <w:t xml:space="preserve"> (Slatt, 2016)</w:t>
      </w:r>
      <w:r w:rsidR="003C111E">
        <w:rPr>
          <w:color w:val="000000"/>
          <w:shd w:val="clear" w:color="auto" w:fill="FFFFFF"/>
        </w:rPr>
        <w:t xml:space="preserve">. The enclosed mini-basin fill settings correspond to the </w:t>
      </w:r>
      <w:r w:rsidR="0057225B" w:rsidRPr="00F546EC">
        <w:rPr>
          <w:color w:val="000000"/>
          <w:shd w:val="clear" w:color="auto" w:fill="FFFFFF"/>
        </w:rPr>
        <w:t>formation of isolated-restricted saline water masses</w:t>
      </w:r>
      <w:r w:rsidR="00E51DCB" w:rsidRPr="00F546EC">
        <w:rPr>
          <w:color w:val="000000"/>
          <w:shd w:val="clear" w:color="auto" w:fill="FFFFFF"/>
        </w:rPr>
        <w:t xml:space="preserve"> in the middle to </w:t>
      </w:r>
      <w:r w:rsidR="00DF6234">
        <w:rPr>
          <w:color w:val="000000"/>
          <w:shd w:val="clear" w:color="auto" w:fill="FFFFFF"/>
        </w:rPr>
        <w:t xml:space="preserve">the </w:t>
      </w:r>
      <w:r w:rsidR="00E51DCB" w:rsidRPr="00F546EC">
        <w:rPr>
          <w:color w:val="000000"/>
          <w:shd w:val="clear" w:color="auto" w:fill="FFFFFF"/>
        </w:rPr>
        <w:t>outer shelf</w:t>
      </w:r>
      <w:r w:rsidR="003C111E">
        <w:rPr>
          <w:color w:val="000000"/>
          <w:shd w:val="clear" w:color="auto" w:fill="FFFFFF"/>
        </w:rPr>
        <w:t xml:space="preserve"> of the paralic environment (</w:t>
      </w:r>
      <w:r w:rsidR="0057225B" w:rsidRPr="00F546EC">
        <w:rPr>
          <w:color w:val="000000"/>
          <w:shd w:val="clear" w:color="auto" w:fill="FFFFFF"/>
        </w:rPr>
        <w:t xml:space="preserve">Figure </w:t>
      </w:r>
      <w:r w:rsidR="00C87E8E" w:rsidRPr="00F546EC">
        <w:rPr>
          <w:color w:val="000000"/>
          <w:shd w:val="clear" w:color="auto" w:fill="FFFFFF"/>
        </w:rPr>
        <w:t>1.</w:t>
      </w:r>
      <w:r w:rsidR="0057225B" w:rsidRPr="00F546EC">
        <w:rPr>
          <w:color w:val="000000"/>
          <w:shd w:val="clear" w:color="auto" w:fill="FFFFFF"/>
        </w:rPr>
        <w:t>5)</w:t>
      </w:r>
      <w:r w:rsidR="00890414">
        <w:rPr>
          <w:color w:val="000000"/>
          <w:shd w:val="clear" w:color="auto" w:fill="FFFFFF"/>
        </w:rPr>
        <w:t>. T</w:t>
      </w:r>
      <w:r w:rsidR="00340CD2" w:rsidRPr="00F546EC">
        <w:rPr>
          <w:color w:val="000000"/>
          <w:shd w:val="clear" w:color="auto" w:fill="FFFFFF"/>
        </w:rPr>
        <w:t>hese</w:t>
      </w:r>
      <w:r w:rsidR="003A23B1">
        <w:rPr>
          <w:color w:val="000000"/>
          <w:shd w:val="clear" w:color="auto" w:fill="FFFFFF"/>
        </w:rPr>
        <w:t xml:space="preserve"> depression</w:t>
      </w:r>
      <w:r w:rsidR="00340CD2" w:rsidRPr="00F546EC">
        <w:rPr>
          <w:color w:val="000000"/>
          <w:shd w:val="clear" w:color="auto" w:fill="FFFFFF"/>
        </w:rPr>
        <w:t xml:space="preserve"> </w:t>
      </w:r>
      <w:r w:rsidR="00890414">
        <w:rPr>
          <w:color w:val="000000"/>
          <w:shd w:val="clear" w:color="auto" w:fill="FFFFFF"/>
        </w:rPr>
        <w:t>shapes</w:t>
      </w:r>
      <w:r w:rsidR="007E37DF" w:rsidRPr="00F546EC">
        <w:rPr>
          <w:color w:val="000000"/>
          <w:shd w:val="clear" w:color="auto" w:fill="FFFFFF"/>
        </w:rPr>
        <w:t xml:space="preserve"> </w:t>
      </w:r>
      <w:r w:rsidR="006077C4" w:rsidRPr="00F546EC">
        <w:rPr>
          <w:color w:val="000000"/>
          <w:shd w:val="clear" w:color="auto" w:fill="FFFFFF"/>
        </w:rPr>
        <w:t xml:space="preserve">are </w:t>
      </w:r>
      <w:r w:rsidR="007E37DF" w:rsidRPr="00F546EC">
        <w:rPr>
          <w:color w:val="000000"/>
          <w:shd w:val="clear" w:color="auto" w:fill="FFFFFF"/>
        </w:rPr>
        <w:t>due to the aerial/subaerial exposure of the pre-existing strata</w:t>
      </w:r>
      <w:r w:rsidR="003C111E">
        <w:rPr>
          <w:color w:val="000000"/>
          <w:shd w:val="clear" w:color="auto" w:fill="FFFFFF"/>
        </w:rPr>
        <w:t>, commonly an eroded/karstified carbonate platform</w:t>
      </w:r>
      <w:r w:rsidR="00890414">
        <w:rPr>
          <w:color w:val="000000"/>
          <w:shd w:val="clear" w:color="auto" w:fill="FFFFFF"/>
        </w:rPr>
        <w:t>,</w:t>
      </w:r>
      <w:r w:rsidR="007E37DF" w:rsidRPr="00F546EC">
        <w:rPr>
          <w:color w:val="000000"/>
          <w:shd w:val="clear" w:color="auto" w:fill="FFFFFF"/>
        </w:rPr>
        <w:t xml:space="preserve"> </w:t>
      </w:r>
      <w:r w:rsidR="00890414">
        <w:rPr>
          <w:color w:val="000000"/>
          <w:shd w:val="clear" w:color="auto" w:fill="FFFFFF"/>
        </w:rPr>
        <w:t xml:space="preserve">which </w:t>
      </w:r>
      <w:r w:rsidR="00340CD2" w:rsidRPr="00F546EC">
        <w:rPr>
          <w:color w:val="000000"/>
          <w:shd w:val="clear" w:color="auto" w:fill="FFFFFF"/>
        </w:rPr>
        <w:t xml:space="preserve">allow the </w:t>
      </w:r>
      <w:r w:rsidR="006B4907" w:rsidRPr="00F546EC">
        <w:rPr>
          <w:color w:val="000000"/>
          <w:shd w:val="clear" w:color="auto" w:fill="FFFFFF"/>
        </w:rPr>
        <w:t>creation</w:t>
      </w:r>
      <w:r w:rsidR="00340CD2" w:rsidRPr="00F546EC">
        <w:rPr>
          <w:color w:val="000000"/>
          <w:shd w:val="clear" w:color="auto" w:fill="FFFFFF"/>
        </w:rPr>
        <w:t xml:space="preserve"> of downhole depression</w:t>
      </w:r>
      <w:r w:rsidR="00C80AF5" w:rsidRPr="00F546EC">
        <w:rPr>
          <w:color w:val="000000"/>
          <w:shd w:val="clear" w:color="auto" w:fill="FFFFFF"/>
        </w:rPr>
        <w:t>s</w:t>
      </w:r>
      <w:r w:rsidR="00340CD2" w:rsidRPr="00F546EC">
        <w:rPr>
          <w:color w:val="000000"/>
          <w:shd w:val="clear" w:color="auto" w:fill="FFFFFF"/>
        </w:rPr>
        <w:t xml:space="preserve"> that subsequently permit</w:t>
      </w:r>
      <w:r w:rsidR="007E37DF" w:rsidRPr="00F546EC">
        <w:rPr>
          <w:color w:val="000000"/>
          <w:shd w:val="clear" w:color="auto" w:fill="FFFFFF"/>
        </w:rPr>
        <w:t xml:space="preserve"> water and sediments to concentrate</w:t>
      </w:r>
      <w:r w:rsidR="0019503B">
        <w:rPr>
          <w:color w:val="000000"/>
          <w:shd w:val="clear" w:color="auto" w:fill="FFFFFF"/>
        </w:rPr>
        <w:t xml:space="preserve"> (McCullough and Slatt, 2014</w:t>
      </w:r>
      <w:r w:rsidR="00833ACE">
        <w:rPr>
          <w:color w:val="000000"/>
          <w:shd w:val="clear" w:color="auto" w:fill="FFFFFF"/>
        </w:rPr>
        <w:t>; Zhang and Slatt, 2019</w:t>
      </w:r>
      <w:r w:rsidR="0019503B">
        <w:rPr>
          <w:color w:val="000000"/>
          <w:shd w:val="clear" w:color="auto" w:fill="FFFFFF"/>
        </w:rPr>
        <w:t>)</w:t>
      </w:r>
      <w:r w:rsidR="003C111E">
        <w:rPr>
          <w:color w:val="000000"/>
          <w:shd w:val="clear" w:color="auto" w:fill="FFFFFF"/>
        </w:rPr>
        <w:t>. These mini-basins are then filled</w:t>
      </w:r>
      <w:r w:rsidR="00890414">
        <w:rPr>
          <w:color w:val="000000"/>
          <w:shd w:val="clear" w:color="auto" w:fill="FFFFFF"/>
        </w:rPr>
        <w:t xml:space="preserve"> paleo depressions in an initial </w:t>
      </w:r>
      <w:r w:rsidR="002A3B6D">
        <w:rPr>
          <w:color w:val="000000"/>
          <w:shd w:val="clear" w:color="auto" w:fill="FFFFFF"/>
        </w:rPr>
        <w:t xml:space="preserve">transgressive </w:t>
      </w:r>
      <w:r w:rsidR="00890414">
        <w:rPr>
          <w:color w:val="000000"/>
          <w:shd w:val="clear" w:color="auto" w:fill="FFFFFF"/>
        </w:rPr>
        <w:t>stage</w:t>
      </w:r>
      <w:r w:rsidR="00393C58">
        <w:rPr>
          <w:color w:val="000000"/>
          <w:shd w:val="clear" w:color="auto" w:fill="FFFFFF"/>
        </w:rPr>
        <w:t xml:space="preserve"> (sea level landward stepping from the deeper basin). O</w:t>
      </w:r>
      <w:r w:rsidR="00890414">
        <w:rPr>
          <w:color w:val="000000"/>
          <w:shd w:val="clear" w:color="auto" w:fill="FFFFFF"/>
        </w:rPr>
        <w:t xml:space="preserve">nce these </w:t>
      </w:r>
      <w:r w:rsidR="00393C58">
        <w:rPr>
          <w:color w:val="000000"/>
          <w:shd w:val="clear" w:color="auto" w:fill="FFFFFF"/>
        </w:rPr>
        <w:t xml:space="preserve">enclosed depocenters </w:t>
      </w:r>
      <w:r w:rsidR="00890414">
        <w:rPr>
          <w:color w:val="000000"/>
          <w:shd w:val="clear" w:color="auto" w:fill="FFFFFF"/>
        </w:rPr>
        <w:t xml:space="preserve">are filled, the shale deposits occur in a widespread blanket manner, as </w:t>
      </w:r>
      <w:r w:rsidR="002A3B6D">
        <w:rPr>
          <w:color w:val="000000"/>
          <w:shd w:val="clear" w:color="auto" w:fill="FFFFFF"/>
        </w:rPr>
        <w:t>is</w:t>
      </w:r>
      <w:r w:rsidR="00890414">
        <w:rPr>
          <w:color w:val="000000"/>
          <w:shd w:val="clear" w:color="auto" w:fill="FFFFFF"/>
        </w:rPr>
        <w:t xml:space="preserve"> typical</w:t>
      </w:r>
      <w:r w:rsidR="002A3B6D">
        <w:rPr>
          <w:color w:val="000000"/>
          <w:shd w:val="clear" w:color="auto" w:fill="FFFFFF"/>
        </w:rPr>
        <w:t xml:space="preserve"> of an</w:t>
      </w:r>
      <w:r w:rsidR="00890414">
        <w:rPr>
          <w:color w:val="000000"/>
          <w:shd w:val="clear" w:color="auto" w:fill="FFFFFF"/>
        </w:rPr>
        <w:t xml:space="preserve"> open marine system</w:t>
      </w:r>
      <w:r w:rsidR="0019503B">
        <w:rPr>
          <w:color w:val="000000"/>
          <w:shd w:val="clear" w:color="auto" w:fill="FFFFFF"/>
        </w:rPr>
        <w:t xml:space="preserve"> (McCullough and Slatt, 2014</w:t>
      </w:r>
      <w:r w:rsidR="00833ACE">
        <w:rPr>
          <w:color w:val="000000"/>
          <w:shd w:val="clear" w:color="auto" w:fill="FFFFFF"/>
        </w:rPr>
        <w:t>; Slatt, 2016</w:t>
      </w:r>
      <w:r w:rsidR="0019503B">
        <w:rPr>
          <w:color w:val="000000"/>
          <w:shd w:val="clear" w:color="auto" w:fill="FFFFFF"/>
        </w:rPr>
        <w:t>)</w:t>
      </w:r>
      <w:r w:rsidR="00890414">
        <w:rPr>
          <w:color w:val="000000"/>
          <w:shd w:val="clear" w:color="auto" w:fill="FFFFFF"/>
        </w:rPr>
        <w:t xml:space="preserve">. </w:t>
      </w:r>
      <w:r w:rsidR="007E37DF" w:rsidRPr="00F546EC">
        <w:rPr>
          <w:color w:val="000000"/>
          <w:shd w:val="clear" w:color="auto" w:fill="FFFFFF"/>
        </w:rPr>
        <w:t xml:space="preserve">In this </w:t>
      </w:r>
      <w:r w:rsidR="00890414">
        <w:rPr>
          <w:color w:val="000000"/>
          <w:shd w:val="clear" w:color="auto" w:fill="FFFFFF"/>
        </w:rPr>
        <w:t>study</w:t>
      </w:r>
      <w:r w:rsidR="00242CAC" w:rsidRPr="00F546EC">
        <w:rPr>
          <w:color w:val="000000"/>
          <w:shd w:val="clear" w:color="auto" w:fill="FFFFFF"/>
        </w:rPr>
        <w:t>,</w:t>
      </w:r>
      <w:r w:rsidR="007E37DF" w:rsidRPr="00F546EC">
        <w:rPr>
          <w:color w:val="000000"/>
          <w:shd w:val="clear" w:color="auto" w:fill="FFFFFF"/>
        </w:rPr>
        <w:t xml:space="preserve"> the </w:t>
      </w:r>
      <w:r w:rsidR="003A23B1">
        <w:rPr>
          <w:color w:val="000000"/>
          <w:shd w:val="clear" w:color="auto" w:fill="FFFFFF"/>
        </w:rPr>
        <w:t>enclosed mini-basin fill</w:t>
      </w:r>
      <w:r w:rsidR="003A23B1" w:rsidRPr="00F546EC">
        <w:rPr>
          <w:color w:val="000000"/>
          <w:shd w:val="clear" w:color="auto" w:fill="FFFFFF"/>
        </w:rPr>
        <w:t xml:space="preserve"> </w:t>
      </w:r>
      <w:r w:rsidR="007E37DF" w:rsidRPr="00F546EC">
        <w:rPr>
          <w:color w:val="000000"/>
          <w:shd w:val="clear" w:color="auto" w:fill="FFFFFF"/>
        </w:rPr>
        <w:t xml:space="preserve">system is </w:t>
      </w:r>
      <w:r w:rsidR="0040746A" w:rsidRPr="00F546EC">
        <w:rPr>
          <w:color w:val="000000"/>
          <w:shd w:val="clear" w:color="auto" w:fill="FFFFFF"/>
        </w:rPr>
        <w:t>presented</w:t>
      </w:r>
      <w:r w:rsidR="007E37DF" w:rsidRPr="00F546EC">
        <w:rPr>
          <w:color w:val="000000"/>
          <w:shd w:val="clear" w:color="auto" w:fill="FFFFFF"/>
        </w:rPr>
        <w:t xml:space="preserve"> as </w:t>
      </w:r>
      <w:r w:rsidR="007E4EBA" w:rsidRPr="00F546EC">
        <w:rPr>
          <w:color w:val="000000"/>
          <w:shd w:val="clear" w:color="auto" w:fill="FFFFFF"/>
        </w:rPr>
        <w:t xml:space="preserve">a distal </w:t>
      </w:r>
      <w:r w:rsidR="008852EC" w:rsidRPr="00F546EC">
        <w:rPr>
          <w:color w:val="000000"/>
          <w:shd w:val="clear" w:color="auto" w:fill="FFFFFF"/>
        </w:rPr>
        <w:t xml:space="preserve">part of the </w:t>
      </w:r>
      <w:r w:rsidR="00FB449E">
        <w:rPr>
          <w:color w:val="000000"/>
          <w:shd w:val="clear" w:color="auto" w:fill="FFFFFF"/>
        </w:rPr>
        <w:t>p</w:t>
      </w:r>
      <w:r w:rsidR="00CE53AD" w:rsidRPr="00F546EC">
        <w:rPr>
          <w:color w:val="000000"/>
          <w:shd w:val="clear" w:color="auto" w:fill="FFFFFF"/>
        </w:rPr>
        <w:t>aralic</w:t>
      </w:r>
      <w:r w:rsidR="00F6011D" w:rsidRPr="00F546EC">
        <w:rPr>
          <w:color w:val="000000"/>
          <w:shd w:val="clear" w:color="auto" w:fill="FFFFFF"/>
        </w:rPr>
        <w:t xml:space="preserve"> </w:t>
      </w:r>
      <w:r w:rsidR="007E37DF" w:rsidRPr="00F546EC">
        <w:rPr>
          <w:color w:val="000000"/>
          <w:shd w:val="clear" w:color="auto" w:fill="FFFFFF"/>
        </w:rPr>
        <w:t>system because this</w:t>
      </w:r>
      <w:r w:rsidR="00461F54" w:rsidRPr="00F546EC">
        <w:rPr>
          <w:color w:val="000000"/>
          <w:shd w:val="clear" w:color="auto" w:fill="FFFFFF"/>
        </w:rPr>
        <w:t xml:space="preserve"> is also </w:t>
      </w:r>
      <w:r w:rsidR="005010B8" w:rsidRPr="00F546EC">
        <w:rPr>
          <w:color w:val="000000"/>
          <w:shd w:val="clear" w:color="auto" w:fill="FFFFFF"/>
        </w:rPr>
        <w:t xml:space="preserve">a </w:t>
      </w:r>
      <w:r w:rsidR="007E37DF" w:rsidRPr="00F546EC">
        <w:rPr>
          <w:color w:val="000000"/>
          <w:shd w:val="clear" w:color="auto" w:fill="FFFFFF"/>
        </w:rPr>
        <w:t xml:space="preserve">marine deposit that occurs in the transitional parts from the </w:t>
      </w:r>
      <w:r w:rsidR="0002657F">
        <w:rPr>
          <w:color w:val="000000"/>
          <w:shd w:val="clear" w:color="auto" w:fill="FFFFFF"/>
        </w:rPr>
        <w:lastRenderedPageBreak/>
        <w:t>platform</w:t>
      </w:r>
      <w:r w:rsidR="005010B8" w:rsidRPr="00F546EC">
        <w:rPr>
          <w:color w:val="000000"/>
          <w:shd w:val="clear" w:color="auto" w:fill="FFFFFF"/>
        </w:rPr>
        <w:t xml:space="preserve"> </w:t>
      </w:r>
      <w:r w:rsidR="00C80AF5" w:rsidRPr="00F546EC">
        <w:rPr>
          <w:color w:val="000000"/>
          <w:shd w:val="clear" w:color="auto" w:fill="FFFFFF"/>
        </w:rPr>
        <w:t xml:space="preserve">towards the open ocean </w:t>
      </w:r>
      <w:r w:rsidR="005010B8" w:rsidRPr="00F546EC">
        <w:rPr>
          <w:color w:val="000000"/>
          <w:shd w:val="clear" w:color="auto" w:fill="FFFFFF"/>
        </w:rPr>
        <w:t>(</w:t>
      </w:r>
      <w:r w:rsidR="00C80AF5" w:rsidRPr="00F546EC">
        <w:rPr>
          <w:color w:val="000000"/>
          <w:shd w:val="clear" w:color="auto" w:fill="FFFFFF"/>
        </w:rPr>
        <w:t xml:space="preserve">middle to </w:t>
      </w:r>
      <w:r w:rsidR="005010B8" w:rsidRPr="00F546EC">
        <w:rPr>
          <w:color w:val="000000"/>
          <w:shd w:val="clear" w:color="auto" w:fill="FFFFFF"/>
        </w:rPr>
        <w:t xml:space="preserve">outer </w:t>
      </w:r>
      <w:r w:rsidR="00CE53AD" w:rsidRPr="00F546EC">
        <w:rPr>
          <w:color w:val="000000"/>
          <w:shd w:val="clear" w:color="auto" w:fill="FFFFFF"/>
        </w:rPr>
        <w:t>shelf, before the shelf break</w:t>
      </w:r>
      <w:r w:rsidR="00393C58">
        <w:rPr>
          <w:color w:val="000000"/>
          <w:shd w:val="clear" w:color="auto" w:fill="FFFFFF"/>
        </w:rPr>
        <w:t>;</w:t>
      </w:r>
      <w:r w:rsidR="00FD3AD0" w:rsidRPr="00F546EC">
        <w:rPr>
          <w:color w:val="000000"/>
          <w:shd w:val="clear" w:color="auto" w:fill="FFFFFF"/>
        </w:rPr>
        <w:t xml:space="preserve"> Figure </w:t>
      </w:r>
      <w:r w:rsidR="007D5A9C" w:rsidRPr="00F546EC">
        <w:rPr>
          <w:color w:val="000000"/>
          <w:shd w:val="clear" w:color="auto" w:fill="FFFFFF"/>
        </w:rPr>
        <w:t>1.</w:t>
      </w:r>
      <w:r w:rsidR="00FD3AD0" w:rsidRPr="00F546EC">
        <w:rPr>
          <w:color w:val="000000"/>
          <w:shd w:val="clear" w:color="auto" w:fill="FFFFFF"/>
        </w:rPr>
        <w:t>5</w:t>
      </w:r>
      <w:r w:rsidR="005010B8" w:rsidRPr="00F546EC">
        <w:rPr>
          <w:color w:val="000000"/>
          <w:shd w:val="clear" w:color="auto" w:fill="FFFFFF"/>
        </w:rPr>
        <w:t>)</w:t>
      </w:r>
      <w:r w:rsidR="00600425">
        <w:rPr>
          <w:color w:val="000000"/>
          <w:shd w:val="clear" w:color="auto" w:fill="FFFFFF"/>
        </w:rPr>
        <w:t xml:space="preserve"> but without a s</w:t>
      </w:r>
      <w:r w:rsidR="00DF6234">
        <w:rPr>
          <w:color w:val="000000"/>
          <w:shd w:val="clear" w:color="auto" w:fill="FFFFFF"/>
        </w:rPr>
        <w:t>ubstantial</w:t>
      </w:r>
      <w:r w:rsidR="00600425">
        <w:rPr>
          <w:color w:val="000000"/>
          <w:shd w:val="clear" w:color="auto" w:fill="FFFFFF"/>
        </w:rPr>
        <w:t xml:space="preserve"> detrital coarse-grained sediment input</w:t>
      </w:r>
      <w:r w:rsidR="00D03564" w:rsidRPr="00F546EC">
        <w:rPr>
          <w:color w:val="000000"/>
          <w:shd w:val="clear" w:color="auto" w:fill="FFFFFF"/>
        </w:rPr>
        <w:t xml:space="preserve">. </w:t>
      </w:r>
    </w:p>
    <w:p w14:paraId="2530EA28" w14:textId="77777777" w:rsidR="00890414" w:rsidRPr="00F546EC" w:rsidRDefault="00890414" w:rsidP="003A23B1">
      <w:pPr>
        <w:spacing w:after="0" w:line="240" w:lineRule="auto"/>
        <w:jc w:val="center"/>
        <w:rPr>
          <w:b/>
          <w:bCs/>
          <w:color w:val="000000"/>
          <w:shd w:val="clear" w:color="auto" w:fill="FFFFFF"/>
        </w:rPr>
      </w:pPr>
      <w:r w:rsidRPr="00027614">
        <w:rPr>
          <w:noProof/>
        </w:rPr>
        <w:drawing>
          <wp:inline distT="0" distB="0" distL="0" distR="0" wp14:anchorId="21BBE0CE" wp14:editId="4916C819">
            <wp:extent cx="5645074" cy="2400300"/>
            <wp:effectExtent l="190500" t="190500" r="184785" b="190500"/>
            <wp:docPr id="8592"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ell phone&#10;&#10;Description automatically generated"/>
                    <pic:cNvPicPr/>
                  </pic:nvPicPr>
                  <pic:blipFill rotWithShape="1">
                    <a:blip r:embed="rId23"/>
                    <a:srcRect t="31929" b="11144"/>
                    <a:stretch/>
                  </pic:blipFill>
                  <pic:spPr bwMode="auto">
                    <a:xfrm>
                      <a:off x="0" y="0"/>
                      <a:ext cx="5710271" cy="24280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093D0BE" w14:textId="796095F4" w:rsidR="00890414" w:rsidRPr="00F546EC" w:rsidRDefault="00890414" w:rsidP="00890414">
      <w:pPr>
        <w:pStyle w:val="Caption"/>
        <w:rPr>
          <w:shd w:val="clear" w:color="auto" w:fill="FFFFFF"/>
        </w:rPr>
      </w:pPr>
      <w:bookmarkStart w:id="28" w:name="_Toc35861158"/>
      <w:r w:rsidRPr="00F546EC">
        <w:rPr>
          <w:b/>
          <w:shd w:val="clear" w:color="auto" w:fill="FFFFFF"/>
        </w:rPr>
        <w:t>Figure 1.5.</w:t>
      </w:r>
      <w:r w:rsidRPr="00F546EC">
        <w:rPr>
          <w:shd w:val="clear" w:color="auto" w:fill="FFFFFF"/>
        </w:rPr>
        <w:t xml:space="preserve"> A schematic cross-section that shows the transition of a marine platform from shoreface deposits (more sand, mud, and gravel content), towards the transitional shelf (more mud deposits) and deeper open ocean waters beyond the shelf break.</w:t>
      </w:r>
      <w:r w:rsidR="003C111E">
        <w:rPr>
          <w:shd w:val="clear" w:color="auto" w:fill="FFFFFF"/>
        </w:rPr>
        <w:t xml:space="preserve"> </w:t>
      </w:r>
      <w:r w:rsidR="003C111E">
        <w:rPr>
          <w:color w:val="000000"/>
          <w:shd w:val="clear" w:color="auto" w:fill="FFFFFF"/>
        </w:rPr>
        <w:t>Hampson et al. (2017).</w:t>
      </w:r>
      <w:bookmarkEnd w:id="28"/>
    </w:p>
    <w:p w14:paraId="1805D5B8" w14:textId="0B9979A3" w:rsidR="005A4A57" w:rsidRDefault="00FB449E" w:rsidP="005A4A57">
      <w:pPr>
        <w:spacing w:before="240"/>
        <w:ind w:firstLine="720"/>
        <w:rPr>
          <w:rFonts w:eastAsia="Times New Roman"/>
          <w:color w:val="000000"/>
        </w:rPr>
      </w:pPr>
      <w:r>
        <w:rPr>
          <w:color w:val="000000"/>
          <w:shd w:val="clear" w:color="auto" w:fill="FFFFFF"/>
        </w:rPr>
        <w:t xml:space="preserve">For the </w:t>
      </w:r>
      <w:r w:rsidR="0002657F">
        <w:rPr>
          <w:color w:val="000000"/>
          <w:shd w:val="clear" w:color="auto" w:fill="FFFFFF"/>
        </w:rPr>
        <w:t>enclosed mini-basin fill</w:t>
      </w:r>
      <w:r>
        <w:rPr>
          <w:color w:val="000000"/>
          <w:shd w:val="clear" w:color="auto" w:fill="FFFFFF"/>
        </w:rPr>
        <w:t>, t</w:t>
      </w:r>
      <w:r w:rsidR="00ED27D6" w:rsidRPr="00F546EC">
        <w:rPr>
          <w:color w:val="000000"/>
          <w:shd w:val="clear" w:color="auto" w:fill="FFFFFF"/>
        </w:rPr>
        <w:t>hese specific characteristics</w:t>
      </w:r>
      <w:r w:rsidR="00890414">
        <w:rPr>
          <w:color w:val="000000"/>
          <w:shd w:val="clear" w:color="auto" w:fill="FFFFFF"/>
        </w:rPr>
        <w:t xml:space="preserve"> of confinement by a silled barrier</w:t>
      </w:r>
      <w:r w:rsidR="00ED27D6" w:rsidRPr="00F546EC">
        <w:rPr>
          <w:color w:val="000000"/>
          <w:shd w:val="clear" w:color="auto" w:fill="FFFFFF"/>
        </w:rPr>
        <w:t xml:space="preserve"> allow</w:t>
      </w:r>
      <w:r w:rsidR="00632253" w:rsidRPr="00F546EC">
        <w:rPr>
          <w:color w:val="000000"/>
          <w:shd w:val="clear" w:color="auto" w:fill="FFFFFF"/>
        </w:rPr>
        <w:t xml:space="preserve"> </w:t>
      </w:r>
      <w:r>
        <w:rPr>
          <w:color w:val="000000"/>
          <w:shd w:val="clear" w:color="auto" w:fill="FFFFFF"/>
        </w:rPr>
        <w:t xml:space="preserve">the concentration of </w:t>
      </w:r>
      <w:r w:rsidR="00632253" w:rsidRPr="00F546EC">
        <w:rPr>
          <w:color w:val="000000"/>
          <w:shd w:val="clear" w:color="auto" w:fill="FFFFFF"/>
        </w:rPr>
        <w:t>a large body of salt</w:t>
      </w:r>
      <w:r w:rsidR="000D1373" w:rsidRPr="00F546EC">
        <w:rPr>
          <w:color w:val="000000"/>
          <w:shd w:val="clear" w:color="auto" w:fill="FFFFFF"/>
        </w:rPr>
        <w:t>-</w:t>
      </w:r>
      <w:r w:rsidR="00632253" w:rsidRPr="00F546EC">
        <w:rPr>
          <w:color w:val="000000"/>
          <w:shd w:val="clear" w:color="auto" w:fill="FFFFFF"/>
        </w:rPr>
        <w:t>water</w:t>
      </w:r>
      <w:r w:rsidR="00926363">
        <w:rPr>
          <w:color w:val="000000"/>
          <w:shd w:val="clear" w:color="auto" w:fill="FFFFFF"/>
        </w:rPr>
        <w:t>,</w:t>
      </w:r>
      <w:r w:rsidR="00200F18">
        <w:rPr>
          <w:color w:val="000000"/>
          <w:shd w:val="clear" w:color="auto" w:fill="FFFFFF"/>
        </w:rPr>
        <w:t xml:space="preserve"> which is</w:t>
      </w:r>
      <w:r w:rsidR="00632253" w:rsidRPr="00F546EC">
        <w:rPr>
          <w:color w:val="000000"/>
          <w:shd w:val="clear" w:color="auto" w:fill="FFFFFF"/>
        </w:rPr>
        <w:t xml:space="preserve"> partially enclosed by land </w:t>
      </w:r>
      <w:r w:rsidR="005010B8" w:rsidRPr="00F546EC">
        <w:rPr>
          <w:color w:val="000000"/>
          <w:shd w:val="clear" w:color="auto" w:fill="FFFFFF"/>
        </w:rPr>
        <w:t>(eroded pre-strata</w:t>
      </w:r>
      <w:r w:rsidR="00833ACE">
        <w:rPr>
          <w:color w:val="000000"/>
          <w:shd w:val="clear" w:color="auto" w:fill="FFFFFF"/>
        </w:rPr>
        <w:t xml:space="preserve">; </w:t>
      </w:r>
      <w:r w:rsidR="009D30E8">
        <w:rPr>
          <w:color w:val="000000"/>
          <w:shd w:val="clear" w:color="auto" w:fill="FFFFFF"/>
        </w:rPr>
        <w:t>Slatt, 2016</w:t>
      </w:r>
      <w:r w:rsidR="00833ACE">
        <w:rPr>
          <w:color w:val="000000"/>
          <w:shd w:val="clear" w:color="auto" w:fill="FFFFFF"/>
        </w:rPr>
        <w:t>; Zhang and Slatt, 2019</w:t>
      </w:r>
      <w:r w:rsidR="009D30E8">
        <w:rPr>
          <w:color w:val="000000"/>
          <w:shd w:val="clear" w:color="auto" w:fill="FFFFFF"/>
        </w:rPr>
        <w:t>)</w:t>
      </w:r>
      <w:r w:rsidR="003C111E">
        <w:rPr>
          <w:color w:val="000000"/>
          <w:shd w:val="clear" w:color="auto" w:fill="FFFFFF"/>
        </w:rPr>
        <w:t>. These sills and barriers</w:t>
      </w:r>
      <w:r w:rsidR="002A3B6D">
        <w:rPr>
          <w:color w:val="000000"/>
          <w:shd w:val="clear" w:color="auto" w:fill="FFFFFF"/>
        </w:rPr>
        <w:t xml:space="preserve"> </w:t>
      </w:r>
      <w:r w:rsidR="005010B8" w:rsidRPr="00F546EC">
        <w:rPr>
          <w:color w:val="000000"/>
          <w:shd w:val="clear" w:color="auto" w:fill="FFFFFF"/>
        </w:rPr>
        <w:t>prevent</w:t>
      </w:r>
      <w:r w:rsidR="009E5E9B">
        <w:rPr>
          <w:color w:val="000000"/>
          <w:shd w:val="clear" w:color="auto" w:fill="FFFFFF"/>
        </w:rPr>
        <w:t xml:space="preserve"> the</w:t>
      </w:r>
      <w:r w:rsidR="005010B8" w:rsidRPr="00F546EC">
        <w:rPr>
          <w:color w:val="000000"/>
          <w:shd w:val="clear" w:color="auto" w:fill="FFFFFF"/>
        </w:rPr>
        <w:t xml:space="preserve"> high energy open water circulation and oxidation processes</w:t>
      </w:r>
      <w:r w:rsidR="00294625" w:rsidRPr="00F546EC">
        <w:rPr>
          <w:color w:val="000000"/>
          <w:shd w:val="clear" w:color="auto" w:fill="FFFFFF"/>
        </w:rPr>
        <w:t xml:space="preserve"> (Figure </w:t>
      </w:r>
      <w:r w:rsidR="007D5A9C" w:rsidRPr="00F546EC">
        <w:rPr>
          <w:color w:val="000000"/>
          <w:shd w:val="clear" w:color="auto" w:fill="FFFFFF"/>
        </w:rPr>
        <w:t>1.6</w:t>
      </w:r>
      <w:r w:rsidR="00294625" w:rsidRPr="00F546EC">
        <w:rPr>
          <w:color w:val="000000"/>
          <w:shd w:val="clear" w:color="auto" w:fill="FFFFFF"/>
        </w:rPr>
        <w:t>)</w:t>
      </w:r>
      <w:r w:rsidR="005010B8" w:rsidRPr="00F546EC">
        <w:rPr>
          <w:color w:val="000000"/>
          <w:shd w:val="clear" w:color="auto" w:fill="FFFFFF"/>
        </w:rPr>
        <w:t xml:space="preserve">. </w:t>
      </w:r>
      <w:r w:rsidR="00055795" w:rsidRPr="00F546EC">
        <w:rPr>
          <w:color w:val="000000"/>
          <w:shd w:val="clear" w:color="auto" w:fill="FFFFFF"/>
        </w:rPr>
        <w:t>This study</w:t>
      </w:r>
      <w:r w:rsidR="003172DD" w:rsidRPr="00F546EC">
        <w:rPr>
          <w:color w:val="000000"/>
          <w:shd w:val="clear" w:color="auto" w:fill="FFFFFF"/>
        </w:rPr>
        <w:t xml:space="preserve"> propose</w:t>
      </w:r>
      <w:r w:rsidR="00D45B63" w:rsidRPr="00F546EC">
        <w:rPr>
          <w:color w:val="000000"/>
          <w:shd w:val="clear" w:color="auto" w:fill="FFFFFF"/>
        </w:rPr>
        <w:t>s</w:t>
      </w:r>
      <w:r w:rsidR="003172DD" w:rsidRPr="00F546EC">
        <w:rPr>
          <w:color w:val="000000"/>
          <w:shd w:val="clear" w:color="auto" w:fill="FFFFFF"/>
        </w:rPr>
        <w:t xml:space="preserve"> that t</w:t>
      </w:r>
      <w:r w:rsidR="00C80AF5" w:rsidRPr="00F546EC">
        <w:rPr>
          <w:color w:val="000000"/>
          <w:shd w:val="clear" w:color="auto" w:fill="FFFFFF"/>
        </w:rPr>
        <w:t xml:space="preserve">hese </w:t>
      </w:r>
      <w:r w:rsidR="0040746A" w:rsidRPr="00F546EC">
        <w:rPr>
          <w:color w:val="000000"/>
          <w:shd w:val="clear" w:color="auto" w:fill="FFFFFF"/>
        </w:rPr>
        <w:t xml:space="preserve">factors </w:t>
      </w:r>
      <w:r w:rsidR="00C83521" w:rsidRPr="00F546EC">
        <w:rPr>
          <w:color w:val="000000"/>
          <w:shd w:val="clear" w:color="auto" w:fill="FFFFFF"/>
        </w:rPr>
        <w:t xml:space="preserve">provide </w:t>
      </w:r>
      <w:r w:rsidR="00C80AF5" w:rsidRPr="00F546EC">
        <w:rPr>
          <w:color w:val="000000"/>
          <w:shd w:val="clear" w:color="auto" w:fill="FFFFFF"/>
        </w:rPr>
        <w:t xml:space="preserve">areas of organic matter </w:t>
      </w:r>
      <w:r w:rsidR="00B47B32" w:rsidRPr="00F546EC">
        <w:rPr>
          <w:color w:val="000000"/>
          <w:shd w:val="clear" w:color="auto" w:fill="FFFFFF"/>
        </w:rPr>
        <w:t>and sediments</w:t>
      </w:r>
      <w:r w:rsidR="00C80AF5" w:rsidRPr="00F546EC">
        <w:rPr>
          <w:color w:val="000000"/>
          <w:shd w:val="clear" w:color="auto" w:fill="FFFFFF"/>
        </w:rPr>
        <w:t xml:space="preserve"> that concentrate when sea level rises and </w:t>
      </w:r>
      <w:r w:rsidR="00A22E4E">
        <w:rPr>
          <w:color w:val="000000"/>
          <w:shd w:val="clear" w:color="auto" w:fill="FFFFFF"/>
        </w:rPr>
        <w:t>fill</w:t>
      </w:r>
      <w:r w:rsidR="00C80AF5" w:rsidRPr="00F546EC">
        <w:rPr>
          <w:color w:val="000000"/>
          <w:shd w:val="clear" w:color="auto" w:fill="FFFFFF"/>
        </w:rPr>
        <w:t xml:space="preserve"> these depressions</w:t>
      </w:r>
      <w:r w:rsidR="00E40749" w:rsidRPr="00F546EC">
        <w:rPr>
          <w:color w:val="000000"/>
          <w:shd w:val="clear" w:color="auto" w:fill="FFFFFF"/>
        </w:rPr>
        <w:t xml:space="preserve">, or when influxes from the continent reach these depressions with higher </w:t>
      </w:r>
      <w:r w:rsidR="00200F18" w:rsidRPr="00F546EC">
        <w:rPr>
          <w:color w:val="000000"/>
          <w:shd w:val="clear" w:color="auto" w:fill="FFFFFF"/>
        </w:rPr>
        <w:t xml:space="preserve">availability </w:t>
      </w:r>
      <w:r w:rsidR="00200F18">
        <w:rPr>
          <w:color w:val="000000"/>
          <w:shd w:val="clear" w:color="auto" w:fill="FFFFFF"/>
        </w:rPr>
        <w:t xml:space="preserve">of </w:t>
      </w:r>
      <w:r w:rsidR="00E40749" w:rsidRPr="00F546EC">
        <w:rPr>
          <w:color w:val="000000"/>
          <w:shd w:val="clear" w:color="auto" w:fill="FFFFFF"/>
        </w:rPr>
        <w:t>accommodation space</w:t>
      </w:r>
      <w:r w:rsidR="00336F5F">
        <w:rPr>
          <w:color w:val="000000"/>
          <w:shd w:val="clear" w:color="auto" w:fill="FFFFFF"/>
        </w:rPr>
        <w:t xml:space="preserve"> (Figure 1.6</w:t>
      </w:r>
      <w:r w:rsidR="009D30E8">
        <w:rPr>
          <w:color w:val="000000"/>
          <w:shd w:val="clear" w:color="auto" w:fill="FFFFFF"/>
        </w:rPr>
        <w:t>; McCullough and Slatt, 2014</w:t>
      </w:r>
      <w:r w:rsidR="00336F5F">
        <w:rPr>
          <w:color w:val="000000"/>
          <w:shd w:val="clear" w:color="auto" w:fill="FFFFFF"/>
        </w:rPr>
        <w:t>)</w:t>
      </w:r>
      <w:r w:rsidR="00E40749" w:rsidRPr="00F546EC">
        <w:rPr>
          <w:color w:val="000000"/>
          <w:shd w:val="clear" w:color="auto" w:fill="FFFFFF"/>
        </w:rPr>
        <w:t>.</w:t>
      </w:r>
      <w:r w:rsidR="00967CCF">
        <w:rPr>
          <w:color w:val="000000"/>
          <w:shd w:val="clear" w:color="auto" w:fill="FFFFFF"/>
        </w:rPr>
        <w:t xml:space="preserve"> </w:t>
      </w:r>
      <w:r w:rsidR="003E4375" w:rsidRPr="00F546EC">
        <w:rPr>
          <w:rFonts w:eastAsia="Times New Roman"/>
          <w:color w:val="000000"/>
        </w:rPr>
        <w:t xml:space="preserve">To date, the exploration and development of </w:t>
      </w:r>
      <w:r w:rsidR="009B30F4" w:rsidRPr="00F546EC">
        <w:rPr>
          <w:rFonts w:eastAsia="Times New Roman"/>
          <w:color w:val="000000"/>
        </w:rPr>
        <w:t>all unconventional resource</w:t>
      </w:r>
      <w:r w:rsidR="003E4375" w:rsidRPr="00F546EC">
        <w:rPr>
          <w:rFonts w:eastAsia="Times New Roman"/>
          <w:color w:val="000000"/>
        </w:rPr>
        <w:t xml:space="preserve"> shale</w:t>
      </w:r>
      <w:r w:rsidR="009B30F4" w:rsidRPr="00F546EC">
        <w:rPr>
          <w:rFonts w:eastAsia="Times New Roman"/>
          <w:color w:val="000000"/>
        </w:rPr>
        <w:t xml:space="preserve"> systems</w:t>
      </w:r>
      <w:r w:rsidR="003E4375" w:rsidRPr="00F546EC">
        <w:rPr>
          <w:rFonts w:eastAsia="Times New Roman"/>
          <w:color w:val="000000"/>
        </w:rPr>
        <w:t xml:space="preserve"> have focused on </w:t>
      </w:r>
      <w:r w:rsidR="009F26A1" w:rsidRPr="00F546EC">
        <w:rPr>
          <w:rFonts w:eastAsia="Times New Roman"/>
          <w:color w:val="000000"/>
        </w:rPr>
        <w:t xml:space="preserve">shales interpreted as </w:t>
      </w:r>
      <w:r w:rsidR="003E4375" w:rsidRPr="00F546EC">
        <w:rPr>
          <w:rFonts w:eastAsia="Times New Roman"/>
          <w:color w:val="000000"/>
        </w:rPr>
        <w:t xml:space="preserve">predominantly </w:t>
      </w:r>
      <w:r w:rsidR="00B20944">
        <w:rPr>
          <w:rFonts w:eastAsia="Times New Roman"/>
          <w:color w:val="000000"/>
        </w:rPr>
        <w:t xml:space="preserve">open </w:t>
      </w:r>
      <w:r w:rsidR="003E4375" w:rsidRPr="00F546EC">
        <w:rPr>
          <w:rFonts w:eastAsia="Times New Roman"/>
          <w:color w:val="000000"/>
        </w:rPr>
        <w:t>marine</w:t>
      </w:r>
      <w:r w:rsidR="00FF4FBD" w:rsidRPr="00F546EC">
        <w:rPr>
          <w:rFonts w:eastAsia="Times New Roman"/>
          <w:color w:val="000000"/>
        </w:rPr>
        <w:t xml:space="preserve"> depositional</w:t>
      </w:r>
      <w:r w:rsidR="003E4375" w:rsidRPr="00F546EC">
        <w:rPr>
          <w:rFonts w:eastAsia="Times New Roman"/>
          <w:color w:val="000000"/>
        </w:rPr>
        <w:t xml:space="preserve"> systems, </w:t>
      </w:r>
      <w:r w:rsidR="001E4966">
        <w:rPr>
          <w:rFonts w:eastAsia="Times New Roman"/>
          <w:color w:val="000000"/>
        </w:rPr>
        <w:t>deposited in a wide-spread blanket manner. T</w:t>
      </w:r>
      <w:r w:rsidR="003E4375" w:rsidRPr="00F546EC">
        <w:rPr>
          <w:rFonts w:eastAsia="Times New Roman"/>
          <w:color w:val="000000"/>
        </w:rPr>
        <w:t xml:space="preserve">he occurrence and </w:t>
      </w:r>
      <w:r w:rsidR="00B20944">
        <w:rPr>
          <w:rFonts w:eastAsia="Times New Roman"/>
          <w:color w:val="000000"/>
        </w:rPr>
        <w:t>the detailed characterization of the</w:t>
      </w:r>
      <w:r w:rsidR="003E4375" w:rsidRPr="00F546EC">
        <w:rPr>
          <w:rFonts w:eastAsia="Times New Roman"/>
          <w:color w:val="000000"/>
        </w:rPr>
        <w:t xml:space="preserve"> </w:t>
      </w:r>
      <w:r w:rsidR="00B20944">
        <w:rPr>
          <w:color w:val="000000"/>
          <w:shd w:val="clear" w:color="auto" w:fill="FFFFFF"/>
        </w:rPr>
        <w:t>enclosed mini-basin fill</w:t>
      </w:r>
      <w:r w:rsidR="00B20944" w:rsidRPr="00F546EC">
        <w:rPr>
          <w:color w:val="000000"/>
          <w:shd w:val="clear" w:color="auto" w:fill="FFFFFF"/>
        </w:rPr>
        <w:t xml:space="preserve"> </w:t>
      </w:r>
      <w:r w:rsidR="003E4375" w:rsidRPr="00F546EC">
        <w:rPr>
          <w:rFonts w:eastAsia="Times New Roman"/>
          <w:color w:val="000000"/>
        </w:rPr>
        <w:t xml:space="preserve">under </w:t>
      </w:r>
      <w:r w:rsidR="00176CA6" w:rsidRPr="00F546EC">
        <w:rPr>
          <w:rFonts w:eastAsia="Times New Roman"/>
          <w:color w:val="000000"/>
        </w:rPr>
        <w:t>mos</w:t>
      </w:r>
      <w:r w:rsidR="003E4375" w:rsidRPr="00F546EC">
        <w:rPr>
          <w:rFonts w:eastAsia="Times New Roman"/>
          <w:color w:val="000000"/>
        </w:rPr>
        <w:t xml:space="preserve">tly </w:t>
      </w:r>
      <w:r w:rsidR="00B20944">
        <w:rPr>
          <w:rFonts w:eastAsia="Times New Roman"/>
          <w:color w:val="000000"/>
        </w:rPr>
        <w:t xml:space="preserve">open </w:t>
      </w:r>
      <w:r w:rsidR="003E4375" w:rsidRPr="00F546EC">
        <w:rPr>
          <w:rFonts w:eastAsia="Times New Roman"/>
          <w:color w:val="000000"/>
        </w:rPr>
        <w:t>marine conditions ha</w:t>
      </w:r>
      <w:r w:rsidR="001E4966">
        <w:rPr>
          <w:rFonts w:eastAsia="Times New Roman"/>
          <w:color w:val="000000"/>
        </w:rPr>
        <w:t>ve</w:t>
      </w:r>
      <w:r w:rsidR="003E4375" w:rsidRPr="00F546EC">
        <w:rPr>
          <w:rFonts w:eastAsia="Times New Roman"/>
          <w:color w:val="000000"/>
        </w:rPr>
        <w:t xml:space="preserve"> been untested. </w:t>
      </w:r>
    </w:p>
    <w:p w14:paraId="04C464D5" w14:textId="04884D78" w:rsidR="003E4375" w:rsidRPr="00F546EC" w:rsidRDefault="003E4375" w:rsidP="00967CCF">
      <w:pPr>
        <w:ind w:firstLine="720"/>
        <w:rPr>
          <w:rFonts w:eastAsia="Times New Roman"/>
          <w:color w:val="000000"/>
        </w:rPr>
      </w:pPr>
      <w:r w:rsidRPr="00F546EC">
        <w:rPr>
          <w:rFonts w:eastAsia="Times New Roman"/>
          <w:color w:val="000000"/>
        </w:rPr>
        <w:lastRenderedPageBreak/>
        <w:t xml:space="preserve">These </w:t>
      </w:r>
      <w:r w:rsidR="0040746A" w:rsidRPr="00F546EC">
        <w:rPr>
          <w:rFonts w:eastAsia="Times New Roman"/>
          <w:color w:val="000000"/>
        </w:rPr>
        <w:t>type</w:t>
      </w:r>
      <w:r w:rsidR="00E12808" w:rsidRPr="00F546EC">
        <w:rPr>
          <w:rFonts w:eastAsia="Times New Roman"/>
          <w:color w:val="000000"/>
        </w:rPr>
        <w:t>s</w:t>
      </w:r>
      <w:r w:rsidR="0040746A" w:rsidRPr="00F546EC">
        <w:rPr>
          <w:rFonts w:eastAsia="Times New Roman"/>
          <w:color w:val="000000"/>
        </w:rPr>
        <w:t xml:space="preserve"> of </w:t>
      </w:r>
      <w:r w:rsidRPr="00F546EC">
        <w:rPr>
          <w:rFonts w:eastAsia="Times New Roman"/>
          <w:color w:val="000000"/>
        </w:rPr>
        <w:t xml:space="preserve">intervals within the shales might be bypassed or not </w:t>
      </w:r>
      <w:r w:rsidR="00B20944">
        <w:rPr>
          <w:rFonts w:eastAsia="Times New Roman"/>
          <w:color w:val="000000"/>
        </w:rPr>
        <w:t xml:space="preserve">focused </w:t>
      </w:r>
      <w:r w:rsidRPr="00F546EC">
        <w:rPr>
          <w:rFonts w:eastAsia="Times New Roman"/>
          <w:color w:val="000000"/>
        </w:rPr>
        <w:t>during the application of the screening techniques in the exploration phase</w:t>
      </w:r>
      <w:r w:rsidR="009F26A1" w:rsidRPr="00F546EC">
        <w:rPr>
          <w:rFonts w:eastAsia="Times New Roman"/>
          <w:color w:val="000000"/>
        </w:rPr>
        <w:t xml:space="preserve"> of these rocks</w:t>
      </w:r>
      <w:r w:rsidR="009D30E8">
        <w:rPr>
          <w:rFonts w:eastAsia="Times New Roman"/>
          <w:color w:val="000000"/>
        </w:rPr>
        <w:t xml:space="preserve"> (Slatt, 2016)</w:t>
      </w:r>
      <w:r w:rsidRPr="00F546EC">
        <w:rPr>
          <w:rFonts w:eastAsia="Times New Roman"/>
          <w:color w:val="000000"/>
        </w:rPr>
        <w:t xml:space="preserve">. </w:t>
      </w:r>
      <w:r w:rsidRPr="003A62E9">
        <w:rPr>
          <w:rFonts w:eastAsia="Times New Roman"/>
          <w:color w:val="000000"/>
        </w:rPr>
        <w:t xml:space="preserve">The significance about </w:t>
      </w:r>
      <w:r w:rsidR="00176CA6" w:rsidRPr="003A62E9">
        <w:rPr>
          <w:rFonts w:eastAsia="Times New Roman"/>
          <w:color w:val="000000"/>
        </w:rPr>
        <w:t>understand</w:t>
      </w:r>
      <w:r w:rsidRPr="003A62E9">
        <w:rPr>
          <w:rFonts w:eastAsia="Times New Roman"/>
          <w:color w:val="000000"/>
        </w:rPr>
        <w:t xml:space="preserve">ing the marine shale variation into </w:t>
      </w:r>
      <w:r w:rsidR="00620700" w:rsidRPr="003A62E9">
        <w:rPr>
          <w:color w:val="000000"/>
          <w:shd w:val="clear" w:color="auto" w:fill="FFFFFF"/>
        </w:rPr>
        <w:t xml:space="preserve">enclosed mini-basin fill </w:t>
      </w:r>
      <w:r w:rsidRPr="003A62E9">
        <w:rPr>
          <w:rFonts w:eastAsia="Times New Roman"/>
          <w:color w:val="000000"/>
        </w:rPr>
        <w:t>is that the marine organic matter is oil and gas prone</w:t>
      </w:r>
      <w:r w:rsidR="000326AF">
        <w:rPr>
          <w:rFonts w:eastAsia="Times New Roman"/>
          <w:color w:val="000000"/>
        </w:rPr>
        <w:t xml:space="preserve">, and </w:t>
      </w:r>
      <w:r w:rsidR="00620700" w:rsidRPr="003A62E9">
        <w:rPr>
          <w:rFonts w:eastAsia="Times New Roman"/>
          <w:color w:val="000000"/>
        </w:rPr>
        <w:t xml:space="preserve">possible deposition and preservation of </w:t>
      </w:r>
      <w:r w:rsidR="00D6532D" w:rsidRPr="003A62E9">
        <w:rPr>
          <w:rFonts w:eastAsia="Times New Roman"/>
          <w:color w:val="000000"/>
        </w:rPr>
        <w:t>amorphous</w:t>
      </w:r>
      <w:r w:rsidRPr="003A62E9">
        <w:rPr>
          <w:rFonts w:eastAsia="Times New Roman"/>
          <w:color w:val="000000"/>
        </w:rPr>
        <w:t xml:space="preserve"> organic matter</w:t>
      </w:r>
      <w:r w:rsidR="00D6532D" w:rsidRPr="003A62E9">
        <w:rPr>
          <w:rFonts w:eastAsia="Times New Roman"/>
          <w:color w:val="000000"/>
        </w:rPr>
        <w:t xml:space="preserve"> </w:t>
      </w:r>
      <w:r w:rsidR="000326AF" w:rsidRPr="003A62E9">
        <w:rPr>
          <w:rFonts w:eastAsia="Times New Roman"/>
          <w:color w:val="000000"/>
        </w:rPr>
        <w:t>(lacustrine, type I kerogen</w:t>
      </w:r>
      <w:r w:rsidR="000326AF">
        <w:rPr>
          <w:rFonts w:eastAsia="Times New Roman"/>
          <w:color w:val="000000"/>
        </w:rPr>
        <w:t>) inside the enclosed mini-basin fills can lead into the generation of more oil than gas</w:t>
      </w:r>
      <w:r w:rsidR="00833ACE">
        <w:rPr>
          <w:rFonts w:eastAsia="Times New Roman"/>
          <w:color w:val="000000"/>
        </w:rPr>
        <w:t xml:space="preserve"> </w:t>
      </w:r>
      <w:r w:rsidR="000326AF">
        <w:rPr>
          <w:rFonts w:eastAsia="Times New Roman"/>
          <w:color w:val="000000"/>
        </w:rPr>
        <w:t>for some Woodford Shale intervals (</w:t>
      </w:r>
      <w:r w:rsidR="00833ACE">
        <w:rPr>
          <w:rFonts w:eastAsia="Times New Roman"/>
          <w:color w:val="000000"/>
        </w:rPr>
        <w:t>Cardott, 2012</w:t>
      </w:r>
      <w:r w:rsidR="000326AF">
        <w:rPr>
          <w:rFonts w:eastAsia="Times New Roman"/>
          <w:color w:val="000000"/>
        </w:rPr>
        <w:t>; Katz and Lin, 2014</w:t>
      </w:r>
      <w:r w:rsidR="00E64D62">
        <w:rPr>
          <w:rFonts w:eastAsia="Times New Roman"/>
          <w:color w:val="000000"/>
        </w:rPr>
        <w:t>; Slatt, 2016</w:t>
      </w:r>
      <w:r w:rsidR="00D6532D" w:rsidRPr="003A62E9">
        <w:rPr>
          <w:rFonts w:eastAsia="Times New Roman"/>
          <w:color w:val="000000"/>
        </w:rPr>
        <w:t>)</w:t>
      </w:r>
      <w:r w:rsidR="00833ACE">
        <w:rPr>
          <w:rFonts w:eastAsia="Times New Roman"/>
          <w:color w:val="000000"/>
        </w:rPr>
        <w:t xml:space="preserve">. The organic matter of terrestrial and lacustrine origin </w:t>
      </w:r>
      <w:r w:rsidR="00D6532D" w:rsidRPr="003A62E9">
        <w:rPr>
          <w:rFonts w:eastAsia="Times New Roman"/>
          <w:color w:val="000000"/>
        </w:rPr>
        <w:t>can be transported f</w:t>
      </w:r>
      <w:r w:rsidR="00DC1122" w:rsidRPr="003A62E9">
        <w:rPr>
          <w:rFonts w:eastAsia="Times New Roman"/>
          <w:color w:val="000000"/>
        </w:rPr>
        <w:t>ro</w:t>
      </w:r>
      <w:r w:rsidR="00D6532D" w:rsidRPr="003A62E9">
        <w:rPr>
          <w:rFonts w:eastAsia="Times New Roman"/>
          <w:color w:val="000000"/>
        </w:rPr>
        <w:t>m the continent towards the</w:t>
      </w:r>
      <w:r w:rsidR="00620700" w:rsidRPr="003A62E9">
        <w:rPr>
          <w:rFonts w:eastAsia="Times New Roman"/>
          <w:color w:val="000000"/>
        </w:rPr>
        <w:t xml:space="preserve"> </w:t>
      </w:r>
      <w:r w:rsidR="00620700" w:rsidRPr="003A62E9">
        <w:rPr>
          <w:color w:val="000000"/>
          <w:shd w:val="clear" w:color="auto" w:fill="FFFFFF"/>
        </w:rPr>
        <w:t xml:space="preserve">enclosed mini-basin </w:t>
      </w:r>
      <w:r w:rsidR="00A22E4E">
        <w:rPr>
          <w:color w:val="000000"/>
          <w:shd w:val="clear" w:color="auto" w:fill="FFFFFF"/>
        </w:rPr>
        <w:t>fill</w:t>
      </w:r>
      <w:r w:rsidR="00D6532D" w:rsidRPr="003A62E9">
        <w:rPr>
          <w:color w:val="000000"/>
          <w:shd w:val="clear" w:color="auto" w:fill="FFFFFF"/>
        </w:rPr>
        <w:t>,</w:t>
      </w:r>
      <w:r w:rsidR="00833ACE">
        <w:rPr>
          <w:color w:val="000000"/>
          <w:shd w:val="clear" w:color="auto" w:fill="FFFFFF"/>
        </w:rPr>
        <w:t xml:space="preserve"> and the deposits with this type of organic matter, </w:t>
      </w:r>
      <w:r w:rsidR="00E64D62">
        <w:rPr>
          <w:color w:val="000000"/>
          <w:shd w:val="clear" w:color="auto" w:fill="FFFFFF"/>
        </w:rPr>
        <w:t>e</w:t>
      </w:r>
      <w:r w:rsidR="00833ACE">
        <w:rPr>
          <w:color w:val="000000"/>
          <w:shd w:val="clear" w:color="auto" w:fill="FFFFFF"/>
        </w:rPr>
        <w:t>specially for the lacustrine sourced one,</w:t>
      </w:r>
      <w:r w:rsidRPr="003A62E9">
        <w:rPr>
          <w:rFonts w:eastAsia="Times New Roman"/>
          <w:color w:val="000000"/>
        </w:rPr>
        <w:t xml:space="preserve"> might generate higher prospectivity for these </w:t>
      </w:r>
      <w:r w:rsidR="00620700" w:rsidRPr="003A62E9">
        <w:rPr>
          <w:rFonts w:eastAsia="Times New Roman"/>
          <w:color w:val="000000"/>
        </w:rPr>
        <w:t>intervals</w:t>
      </w:r>
      <w:r w:rsidR="00833ACE">
        <w:rPr>
          <w:rFonts w:eastAsia="Times New Roman"/>
          <w:color w:val="000000"/>
        </w:rPr>
        <w:t xml:space="preserve"> (Slatt, 2016). Lacustrine kerogens typically</w:t>
      </w:r>
      <w:r w:rsidRPr="003A62E9">
        <w:rPr>
          <w:rFonts w:eastAsia="Times New Roman"/>
          <w:color w:val="000000"/>
        </w:rPr>
        <w:t xml:space="preserve"> highlig</w:t>
      </w:r>
      <w:r w:rsidR="00833ACE">
        <w:rPr>
          <w:rFonts w:eastAsia="Times New Roman"/>
          <w:color w:val="000000"/>
        </w:rPr>
        <w:t>ht</w:t>
      </w:r>
      <w:r w:rsidRPr="003A62E9">
        <w:rPr>
          <w:rFonts w:eastAsia="Times New Roman"/>
          <w:color w:val="000000"/>
        </w:rPr>
        <w:t xml:space="preserve"> more oil-prone source intervals</w:t>
      </w:r>
      <w:r w:rsidR="00620700" w:rsidRPr="003A62E9">
        <w:rPr>
          <w:rFonts w:eastAsia="Times New Roman"/>
          <w:color w:val="000000"/>
        </w:rPr>
        <w:t xml:space="preserve"> from the amorphous organic matter</w:t>
      </w:r>
      <w:r w:rsidRPr="003A62E9">
        <w:rPr>
          <w:rFonts w:eastAsia="Times New Roman"/>
          <w:color w:val="000000"/>
        </w:rPr>
        <w:t>, which are more resistant to thermal cracking and degradation</w:t>
      </w:r>
      <w:r w:rsidR="00F84777" w:rsidRPr="003A62E9">
        <w:rPr>
          <w:rFonts w:eastAsia="Times New Roman"/>
          <w:color w:val="000000"/>
        </w:rPr>
        <w:t xml:space="preserve"> </w:t>
      </w:r>
      <w:r w:rsidR="00D6532D" w:rsidRPr="003A62E9">
        <w:rPr>
          <w:rFonts w:eastAsia="Times New Roman"/>
          <w:color w:val="000000"/>
        </w:rPr>
        <w:t xml:space="preserve">than the open marine </w:t>
      </w:r>
      <w:r w:rsidR="00833ACE">
        <w:rPr>
          <w:rFonts w:eastAsia="Times New Roman"/>
          <w:color w:val="000000"/>
        </w:rPr>
        <w:t xml:space="preserve"> sourced </w:t>
      </w:r>
      <w:r w:rsidR="00D6532D" w:rsidRPr="003A62E9">
        <w:rPr>
          <w:rFonts w:eastAsia="Times New Roman"/>
          <w:color w:val="000000"/>
        </w:rPr>
        <w:t>organic m</w:t>
      </w:r>
      <w:r w:rsidR="00DC1122" w:rsidRPr="003A62E9">
        <w:rPr>
          <w:rFonts w:eastAsia="Times New Roman"/>
          <w:color w:val="000000"/>
        </w:rPr>
        <w:t>at</w:t>
      </w:r>
      <w:r w:rsidR="00D6532D" w:rsidRPr="003A62E9">
        <w:rPr>
          <w:rFonts w:eastAsia="Times New Roman"/>
          <w:color w:val="000000"/>
        </w:rPr>
        <w:t xml:space="preserve">ter </w:t>
      </w:r>
      <w:r w:rsidR="00F84777" w:rsidRPr="003A62E9">
        <w:rPr>
          <w:rFonts w:eastAsia="Times New Roman"/>
          <w:color w:val="000000"/>
        </w:rPr>
        <w:t>(</w:t>
      </w:r>
      <w:r w:rsidR="00F84777">
        <w:rPr>
          <w:rFonts w:eastAsia="Times New Roman"/>
          <w:color w:val="000000"/>
        </w:rPr>
        <w:t>Katz and Lin, 2014)</w:t>
      </w:r>
      <w:r w:rsidRPr="00F546EC">
        <w:rPr>
          <w:rFonts w:eastAsia="Times New Roman"/>
          <w:color w:val="000000"/>
        </w:rPr>
        <w:t xml:space="preserve">. </w:t>
      </w:r>
    </w:p>
    <w:p w14:paraId="7D5CE657" w14:textId="614EEA03" w:rsidR="003E4375" w:rsidRPr="00F546EC" w:rsidRDefault="009202F4" w:rsidP="002F793A">
      <w:pPr>
        <w:spacing w:after="0" w:line="240" w:lineRule="auto"/>
        <w:jc w:val="center"/>
        <w:rPr>
          <w:rFonts w:eastAsia="Times New Roman"/>
          <w:color w:val="000000"/>
        </w:rPr>
      </w:pPr>
      <w:r>
        <w:rPr>
          <w:noProof/>
        </w:rPr>
        <w:lastRenderedPageBreak/>
        <mc:AlternateContent>
          <mc:Choice Requires="wps">
            <w:drawing>
              <wp:anchor distT="0" distB="0" distL="114300" distR="114300" simplePos="0" relativeHeight="251762176" behindDoc="0" locked="0" layoutInCell="1" allowOverlap="1" wp14:anchorId="2B7451B4" wp14:editId="0D4DD85B">
                <wp:simplePos x="0" y="0"/>
                <wp:positionH relativeFrom="column">
                  <wp:posOffset>5422265</wp:posOffset>
                </wp:positionH>
                <wp:positionV relativeFrom="paragraph">
                  <wp:posOffset>2990215</wp:posOffset>
                </wp:positionV>
                <wp:extent cx="564542" cy="1160891"/>
                <wp:effectExtent l="0" t="0" r="26035" b="20320"/>
                <wp:wrapNone/>
                <wp:docPr id="1040" name="Rectangle 1040"/>
                <wp:cNvGraphicFramePr/>
                <a:graphic xmlns:a="http://schemas.openxmlformats.org/drawingml/2006/main">
                  <a:graphicData uri="http://schemas.microsoft.com/office/word/2010/wordprocessingShape">
                    <wps:wsp>
                      <wps:cNvSpPr/>
                      <wps:spPr>
                        <a:xfrm>
                          <a:off x="0" y="0"/>
                          <a:ext cx="564542" cy="11608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6E6507" id="Rectangle 1040" o:spid="_x0000_s1026" style="position:absolute;margin-left:426.95pt;margin-top:235.45pt;width:44.45pt;height:91.4pt;z-index:25176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" fillcolor="white [3212]" strokecolor="white [3212]" strokeweight="1pt"/>
            </w:pict>
          </mc:Fallback>
        </mc:AlternateContent>
      </w:r>
      <w:r w:rsidR="00987AD1" w:rsidRPr="00027614">
        <w:rPr>
          <w:noProof/>
        </w:rPr>
        <w:drawing>
          <wp:inline distT="0" distB="0" distL="0" distR="0" wp14:anchorId="306BFA68" wp14:editId="755FC95A">
            <wp:extent cx="5701030" cy="5248275"/>
            <wp:effectExtent l="0" t="0" r="0" b="9525"/>
            <wp:docPr id="2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extLst>
                        <a:ext uri="{28A0092B-C50C-407E-A947-70E740481C1C}">
                          <a14:useLocalDpi xmlns:a14="http://schemas.microsoft.com/office/drawing/2010/main" val="0"/>
                        </a:ext>
                      </a:extLst>
                    </a:blip>
                    <a:srcRect t="2708" r="8758" b="2477"/>
                    <a:stretch/>
                  </pic:blipFill>
                  <pic:spPr bwMode="auto">
                    <a:xfrm>
                      <a:off x="0" y="0"/>
                      <a:ext cx="5704351" cy="5251332"/>
                    </a:xfrm>
                    <a:prstGeom prst="rect">
                      <a:avLst/>
                    </a:prstGeom>
                    <a:noFill/>
                    <a:ln>
                      <a:noFill/>
                    </a:ln>
                    <a:extLst>
                      <a:ext uri="{53640926-AAD7-44D8-BBD7-CCE9431645EC}">
                        <a14:shadowObscured xmlns:a14="http://schemas.microsoft.com/office/drawing/2010/main"/>
                      </a:ext>
                    </a:extLst>
                  </pic:spPr>
                </pic:pic>
              </a:graphicData>
            </a:graphic>
          </wp:inline>
        </w:drawing>
      </w:r>
    </w:p>
    <w:p w14:paraId="6FFD82D3" w14:textId="589A973E" w:rsidR="003E4375" w:rsidRPr="00F546EC" w:rsidRDefault="003E4375" w:rsidP="00967CCF">
      <w:pPr>
        <w:pStyle w:val="Caption"/>
      </w:pPr>
      <w:bookmarkStart w:id="29" w:name="_Toc35861159"/>
      <w:r w:rsidRPr="00F546EC">
        <w:rPr>
          <w:b/>
        </w:rPr>
        <w:t xml:space="preserve">Figure </w:t>
      </w:r>
      <w:r w:rsidR="007D5A9C" w:rsidRPr="00F546EC">
        <w:rPr>
          <w:b/>
        </w:rPr>
        <w:t>1.6</w:t>
      </w:r>
      <w:r w:rsidRPr="00F546EC">
        <w:rPr>
          <w:b/>
        </w:rPr>
        <w:t>.</w:t>
      </w:r>
      <w:r w:rsidRPr="00F546EC">
        <w:t xml:space="preserve"> Depositional Model of the Woodford </w:t>
      </w:r>
      <w:r w:rsidR="002A3B6D">
        <w:t>S</w:t>
      </w:r>
      <w:r w:rsidRPr="00F546EC">
        <w:t xml:space="preserve">hale through </w:t>
      </w:r>
      <w:r w:rsidR="006578AF" w:rsidRPr="00F546EC">
        <w:t>the Devonian</w:t>
      </w:r>
      <w:r w:rsidRPr="00F546EC">
        <w:t xml:space="preserve"> </w:t>
      </w:r>
      <w:r w:rsidR="002A3B6D">
        <w:t>s</w:t>
      </w:r>
      <w:r w:rsidRPr="00F546EC">
        <w:t>ea</w:t>
      </w:r>
      <w:r w:rsidR="00DC1122">
        <w:t>-</w:t>
      </w:r>
      <w:r w:rsidR="002A3B6D">
        <w:t>l</w:t>
      </w:r>
      <w:r w:rsidRPr="00F546EC">
        <w:t>evel variation (Slatt 201</w:t>
      </w:r>
      <w:r w:rsidR="00BF4326" w:rsidRPr="00F546EC">
        <w:t>6</w:t>
      </w:r>
      <w:r w:rsidR="00A2003D" w:rsidRPr="00F546EC">
        <w:t>; Torres</w:t>
      </w:r>
      <w:r w:rsidR="003E6FAE">
        <w:t>-Parada</w:t>
      </w:r>
      <w:r w:rsidR="00A2003D" w:rsidRPr="00F546EC">
        <w:t xml:space="preserve"> et al., 201</w:t>
      </w:r>
      <w:r w:rsidR="00BF4326" w:rsidRPr="00F546EC">
        <w:t>7</w:t>
      </w:r>
      <w:r w:rsidRPr="00F546EC">
        <w:t>). Note at the initial stages of falling sea levels the water isolation and restricted circulation over valley/karst filled areas.</w:t>
      </w:r>
      <w:r w:rsidR="00E85D49">
        <w:t xml:space="preserve"> SB = sequence boundary; TSE = transgressive surface of erosion.</w:t>
      </w:r>
      <w:r w:rsidR="002A3B6D">
        <w:t xml:space="preserve"> Modified from Bauernfeind (1980) and Slatt (2016).</w:t>
      </w:r>
      <w:bookmarkEnd w:id="29"/>
      <w:r w:rsidR="002A3B6D">
        <w:t xml:space="preserve"> </w:t>
      </w:r>
    </w:p>
    <w:p w14:paraId="5EB3FB42" w14:textId="7C109B2E" w:rsidR="00833ACE" w:rsidRDefault="003E4375" w:rsidP="00E64D62">
      <w:pPr>
        <w:spacing w:before="240"/>
        <w:ind w:firstLine="720"/>
        <w:rPr>
          <w:rFonts w:eastAsia="Times New Roman"/>
          <w:color w:val="000000"/>
        </w:rPr>
      </w:pPr>
      <w:r w:rsidRPr="00F546EC">
        <w:rPr>
          <w:rFonts w:eastAsia="Times New Roman"/>
          <w:color w:val="000000"/>
        </w:rPr>
        <w:t xml:space="preserve">The Woodford </w:t>
      </w:r>
      <w:r w:rsidR="001F5B8E" w:rsidRPr="00F546EC">
        <w:rPr>
          <w:rFonts w:eastAsia="Times New Roman"/>
          <w:color w:val="000000"/>
        </w:rPr>
        <w:t xml:space="preserve">Shale </w:t>
      </w:r>
      <w:r w:rsidR="00F80475">
        <w:rPr>
          <w:rFonts w:eastAsia="Times New Roman"/>
          <w:color w:val="000000"/>
        </w:rPr>
        <w:t>f</w:t>
      </w:r>
      <w:r w:rsidRPr="00F546EC">
        <w:rPr>
          <w:rFonts w:eastAsia="Times New Roman"/>
          <w:color w:val="000000"/>
        </w:rPr>
        <w:t xml:space="preserve">ormation </w:t>
      </w:r>
      <w:r w:rsidR="0021793F" w:rsidRPr="00F546EC">
        <w:rPr>
          <w:rFonts w:eastAsia="Times New Roman"/>
          <w:color w:val="000000"/>
        </w:rPr>
        <w:t>is</w:t>
      </w:r>
      <w:r w:rsidRPr="00F546EC">
        <w:rPr>
          <w:rFonts w:eastAsia="Times New Roman"/>
          <w:color w:val="000000"/>
        </w:rPr>
        <w:t xml:space="preserve"> </w:t>
      </w:r>
      <w:r w:rsidR="00CA15CF" w:rsidRPr="00F546EC">
        <w:rPr>
          <w:rFonts w:eastAsia="Times New Roman"/>
          <w:color w:val="000000"/>
        </w:rPr>
        <w:t>broadly</w:t>
      </w:r>
      <w:r w:rsidRPr="00F546EC">
        <w:rPr>
          <w:rFonts w:eastAsia="Times New Roman"/>
          <w:color w:val="000000"/>
        </w:rPr>
        <w:t xml:space="preserve"> stud</w:t>
      </w:r>
      <w:r w:rsidR="00272012" w:rsidRPr="00F546EC">
        <w:rPr>
          <w:rFonts w:eastAsia="Times New Roman"/>
          <w:color w:val="000000"/>
        </w:rPr>
        <w:t>ied</w:t>
      </w:r>
      <w:r w:rsidRPr="00F546EC">
        <w:rPr>
          <w:rFonts w:eastAsia="Times New Roman"/>
          <w:color w:val="000000"/>
        </w:rPr>
        <w:t xml:space="preserve"> at the University of Oklahoma, Institute of Reservoir Characterization (IRC). This formation is the starting point</w:t>
      </w:r>
      <w:r w:rsidR="00C72C57">
        <w:rPr>
          <w:rFonts w:eastAsia="Times New Roman"/>
          <w:color w:val="000000"/>
        </w:rPr>
        <w:t xml:space="preserve"> of </w:t>
      </w:r>
      <w:r w:rsidRPr="00F546EC">
        <w:rPr>
          <w:rFonts w:eastAsia="Times New Roman"/>
          <w:color w:val="000000"/>
        </w:rPr>
        <w:t xml:space="preserve">a marine unconventional shale system with the probable occurrence of </w:t>
      </w:r>
      <w:r w:rsidR="000E0CF9">
        <w:rPr>
          <w:color w:val="000000"/>
          <w:shd w:val="clear" w:color="auto" w:fill="FFFFFF"/>
        </w:rPr>
        <w:t xml:space="preserve">enclosed mini-basin </w:t>
      </w:r>
      <w:r w:rsidR="00A22E4E">
        <w:rPr>
          <w:color w:val="000000"/>
          <w:shd w:val="clear" w:color="auto" w:fill="FFFFFF"/>
        </w:rPr>
        <w:t>fill</w:t>
      </w:r>
      <w:r w:rsidRPr="00F546EC">
        <w:rPr>
          <w:rFonts w:eastAsia="Times New Roman"/>
          <w:color w:val="000000"/>
        </w:rPr>
        <w:t xml:space="preserve">. This study </w:t>
      </w:r>
      <w:r w:rsidR="001F5B8E" w:rsidRPr="00F546EC">
        <w:rPr>
          <w:rFonts w:eastAsia="Times New Roman"/>
          <w:color w:val="000000"/>
        </w:rPr>
        <w:t>focuses</w:t>
      </w:r>
      <w:r w:rsidRPr="00F546EC">
        <w:rPr>
          <w:rFonts w:eastAsia="Times New Roman"/>
          <w:color w:val="000000"/>
        </w:rPr>
        <w:t xml:space="preserve"> on identifying for this formation the </w:t>
      </w:r>
      <w:r w:rsidR="003E5B5A" w:rsidRPr="00F546EC">
        <w:rPr>
          <w:rFonts w:eastAsia="Times New Roman"/>
          <w:color w:val="000000"/>
        </w:rPr>
        <w:t>critical</w:t>
      </w:r>
      <w:r w:rsidRPr="00F546EC">
        <w:rPr>
          <w:rFonts w:eastAsia="Times New Roman"/>
          <w:color w:val="000000"/>
        </w:rPr>
        <w:t xml:space="preserve"> geological, stratigraphical</w:t>
      </w:r>
      <w:r w:rsidR="00E12808" w:rsidRPr="00F546EC">
        <w:rPr>
          <w:rFonts w:eastAsia="Times New Roman"/>
          <w:color w:val="000000"/>
        </w:rPr>
        <w:t>,</w:t>
      </w:r>
      <w:r w:rsidRPr="00F546EC">
        <w:rPr>
          <w:rFonts w:eastAsia="Times New Roman"/>
          <w:color w:val="000000"/>
        </w:rPr>
        <w:t xml:space="preserve"> geochemical (organic and inorganic)</w:t>
      </w:r>
      <w:r w:rsidR="00154B76">
        <w:rPr>
          <w:rFonts w:eastAsia="Times New Roman"/>
          <w:color w:val="000000"/>
        </w:rPr>
        <w:t>, and seismic characteristics</w:t>
      </w:r>
      <w:r w:rsidRPr="00F546EC">
        <w:rPr>
          <w:rFonts w:eastAsia="Times New Roman"/>
          <w:color w:val="000000"/>
        </w:rPr>
        <w:t xml:space="preserve"> that support the recognition of </w:t>
      </w:r>
      <w:r w:rsidR="000E0CF9">
        <w:rPr>
          <w:color w:val="000000"/>
          <w:shd w:val="clear" w:color="auto" w:fill="FFFFFF"/>
        </w:rPr>
        <w:t xml:space="preserve">enclosed mini-basin </w:t>
      </w:r>
      <w:r w:rsidR="00A22E4E">
        <w:rPr>
          <w:color w:val="000000"/>
          <w:shd w:val="clear" w:color="auto" w:fill="FFFFFF"/>
        </w:rPr>
        <w:t>fill</w:t>
      </w:r>
      <w:r w:rsidR="000E0CF9" w:rsidRPr="00F546EC">
        <w:rPr>
          <w:rFonts w:eastAsia="Times New Roman"/>
          <w:color w:val="000000"/>
        </w:rPr>
        <w:t xml:space="preserve"> </w:t>
      </w:r>
      <w:r w:rsidRPr="00F546EC">
        <w:rPr>
          <w:rFonts w:eastAsia="Times New Roman"/>
          <w:color w:val="000000"/>
        </w:rPr>
        <w:t>rock interval</w:t>
      </w:r>
      <w:r w:rsidR="00FB449E">
        <w:rPr>
          <w:rFonts w:eastAsia="Times New Roman"/>
          <w:color w:val="000000"/>
        </w:rPr>
        <w:t>s</w:t>
      </w:r>
      <w:r w:rsidRPr="00F546EC">
        <w:rPr>
          <w:rFonts w:eastAsia="Times New Roman"/>
          <w:color w:val="000000"/>
        </w:rPr>
        <w:t xml:space="preserve"> deposited within the formation</w:t>
      </w:r>
      <w:r w:rsidR="00833ACE">
        <w:rPr>
          <w:rFonts w:eastAsia="Times New Roman"/>
          <w:color w:val="000000"/>
        </w:rPr>
        <w:t xml:space="preserve"> (Slatt, 2016)</w:t>
      </w:r>
      <w:r w:rsidRPr="00F546EC">
        <w:rPr>
          <w:rFonts w:eastAsia="Times New Roman"/>
          <w:color w:val="000000"/>
        </w:rPr>
        <w:t xml:space="preserve">. </w:t>
      </w:r>
    </w:p>
    <w:p w14:paraId="2E749FF6" w14:textId="5CF42DFB" w:rsidR="003E4375" w:rsidRPr="00F546EC" w:rsidRDefault="00F373DC" w:rsidP="006C3A58">
      <w:pPr>
        <w:ind w:firstLine="720"/>
        <w:rPr>
          <w:rFonts w:eastAsia="Times New Roman"/>
          <w:color w:val="000000"/>
        </w:rPr>
      </w:pPr>
      <w:r w:rsidRPr="00F546EC">
        <w:rPr>
          <w:rFonts w:eastAsia="Times New Roman"/>
          <w:color w:val="000000"/>
        </w:rPr>
        <w:lastRenderedPageBreak/>
        <w:t xml:space="preserve">As stated by </w:t>
      </w:r>
      <w:r w:rsidR="00C165AB" w:rsidRPr="00F546EC">
        <w:rPr>
          <w:rFonts w:eastAsia="Times New Roman"/>
          <w:color w:val="000000"/>
        </w:rPr>
        <w:t>Slatt and Rodriguez (201</w:t>
      </w:r>
      <w:r w:rsidR="00BF4326" w:rsidRPr="00F546EC">
        <w:rPr>
          <w:rFonts w:eastAsia="Times New Roman"/>
          <w:color w:val="000000"/>
        </w:rPr>
        <w:t>2</w:t>
      </w:r>
      <w:r w:rsidR="00C165AB" w:rsidRPr="00F546EC">
        <w:rPr>
          <w:rFonts w:eastAsia="Times New Roman"/>
          <w:color w:val="000000"/>
        </w:rPr>
        <w:t>)</w:t>
      </w:r>
      <w:r w:rsidR="00F80475">
        <w:rPr>
          <w:rFonts w:eastAsia="Times New Roman"/>
          <w:color w:val="000000"/>
        </w:rPr>
        <w:t>,</w:t>
      </w:r>
      <w:r w:rsidR="00C165AB" w:rsidRPr="00F546EC">
        <w:rPr>
          <w:rFonts w:eastAsia="Times New Roman"/>
          <w:color w:val="000000"/>
        </w:rPr>
        <w:t xml:space="preserve"> </w:t>
      </w:r>
      <w:r w:rsidR="00154B76">
        <w:rPr>
          <w:rFonts w:eastAsia="Times New Roman"/>
          <w:color w:val="000000"/>
        </w:rPr>
        <w:t xml:space="preserve">Slatt (2016), </w:t>
      </w:r>
      <w:r w:rsidR="00C165AB" w:rsidRPr="00F546EC">
        <w:rPr>
          <w:rFonts w:eastAsia="Times New Roman"/>
          <w:color w:val="000000"/>
        </w:rPr>
        <w:t xml:space="preserve">and </w:t>
      </w:r>
      <w:r w:rsidRPr="00F546EC">
        <w:rPr>
          <w:rFonts w:eastAsia="Times New Roman"/>
          <w:color w:val="000000"/>
        </w:rPr>
        <w:t>Zhang and Slatt (2019), t</w:t>
      </w:r>
      <w:r w:rsidR="003E4375" w:rsidRPr="00F546EC">
        <w:rPr>
          <w:rFonts w:eastAsia="Times New Roman"/>
          <w:color w:val="000000"/>
        </w:rPr>
        <w:t>hese</w:t>
      </w:r>
      <w:r w:rsidR="007F6FF3" w:rsidRPr="00F546EC">
        <w:rPr>
          <w:rFonts w:eastAsia="Times New Roman"/>
          <w:color w:val="000000"/>
        </w:rPr>
        <w:t xml:space="preserve"> highly restricted depositional</w:t>
      </w:r>
      <w:r w:rsidR="003E4375" w:rsidRPr="00F546EC">
        <w:rPr>
          <w:rFonts w:eastAsia="Times New Roman"/>
          <w:color w:val="000000"/>
        </w:rPr>
        <w:t xml:space="preserve"> parameters </w:t>
      </w:r>
      <w:r w:rsidRPr="00F546EC">
        <w:rPr>
          <w:rFonts w:eastAsia="Times New Roman"/>
          <w:color w:val="000000"/>
        </w:rPr>
        <w:t>can</w:t>
      </w:r>
      <w:r w:rsidR="003E4375" w:rsidRPr="00F546EC">
        <w:rPr>
          <w:rFonts w:eastAsia="Times New Roman"/>
          <w:color w:val="000000"/>
        </w:rPr>
        <w:t xml:space="preserve"> also be related to other marine shale systems</w:t>
      </w:r>
      <w:r w:rsidR="000E0CF9">
        <w:rPr>
          <w:rFonts w:eastAsia="Times New Roman"/>
          <w:color w:val="000000"/>
        </w:rPr>
        <w:t xml:space="preserve"> which have been deposited on a carbonate shelf. Th</w:t>
      </w:r>
      <w:r w:rsidR="00293D92">
        <w:rPr>
          <w:rFonts w:eastAsia="Times New Roman"/>
          <w:color w:val="000000"/>
        </w:rPr>
        <w:t>e identification of the erosional processes over the carbonate platform</w:t>
      </w:r>
      <w:r w:rsidR="000E0CF9">
        <w:rPr>
          <w:rFonts w:eastAsia="Times New Roman"/>
          <w:color w:val="000000"/>
        </w:rPr>
        <w:t xml:space="preserve"> </w:t>
      </w:r>
      <w:r w:rsidR="00293D92">
        <w:rPr>
          <w:rFonts w:eastAsia="Times New Roman"/>
          <w:color w:val="000000"/>
        </w:rPr>
        <w:t xml:space="preserve">is </w:t>
      </w:r>
      <w:r w:rsidR="000E0CF9">
        <w:rPr>
          <w:rFonts w:eastAsia="Times New Roman"/>
          <w:color w:val="000000"/>
        </w:rPr>
        <w:t>crucial</w:t>
      </w:r>
      <w:r w:rsidR="003E4375" w:rsidRPr="00F546EC">
        <w:rPr>
          <w:rFonts w:eastAsia="Times New Roman"/>
          <w:color w:val="000000"/>
        </w:rPr>
        <w:t xml:space="preserve"> for evaluating the applicability and impact in other unconventional systems such as the </w:t>
      </w:r>
      <w:r w:rsidR="00C165AB" w:rsidRPr="00F546EC">
        <w:rPr>
          <w:rFonts w:eastAsia="Times New Roman"/>
          <w:color w:val="000000"/>
        </w:rPr>
        <w:t xml:space="preserve">Eagle </w:t>
      </w:r>
      <w:r w:rsidR="00EE504B" w:rsidRPr="00F546EC">
        <w:rPr>
          <w:rFonts w:eastAsia="Times New Roman"/>
          <w:color w:val="000000"/>
        </w:rPr>
        <w:t>F</w:t>
      </w:r>
      <w:r w:rsidR="00C165AB" w:rsidRPr="00F546EC">
        <w:rPr>
          <w:rFonts w:eastAsia="Times New Roman"/>
          <w:color w:val="000000"/>
        </w:rPr>
        <w:t>ord</w:t>
      </w:r>
      <w:r w:rsidR="003E4375" w:rsidRPr="00F546EC">
        <w:rPr>
          <w:rFonts w:eastAsia="Times New Roman"/>
          <w:color w:val="000000"/>
        </w:rPr>
        <w:t xml:space="preserve">, </w:t>
      </w:r>
      <w:r w:rsidR="00315A1A" w:rsidRPr="00F546EC">
        <w:rPr>
          <w:rFonts w:eastAsia="Times New Roman"/>
          <w:color w:val="000000"/>
        </w:rPr>
        <w:t xml:space="preserve">Niobrara, Wolfcamp, </w:t>
      </w:r>
      <w:r w:rsidR="003E4375" w:rsidRPr="00F546EC">
        <w:rPr>
          <w:rFonts w:eastAsia="Times New Roman"/>
          <w:color w:val="000000"/>
        </w:rPr>
        <w:t>Haynesville, Horn River</w:t>
      </w:r>
      <w:r w:rsidR="007A2F25">
        <w:rPr>
          <w:rFonts w:eastAsia="Times New Roman"/>
          <w:color w:val="000000"/>
        </w:rPr>
        <w:t>,</w:t>
      </w:r>
      <w:r w:rsidR="003E4375" w:rsidRPr="00F546EC">
        <w:rPr>
          <w:rFonts w:eastAsia="Times New Roman"/>
          <w:color w:val="000000"/>
        </w:rPr>
        <w:t xml:space="preserve"> and Marcellus</w:t>
      </w:r>
      <w:r w:rsidR="00DC1122">
        <w:rPr>
          <w:rFonts w:eastAsia="Times New Roman"/>
          <w:color w:val="000000"/>
        </w:rPr>
        <w:t>,</w:t>
      </w:r>
      <w:r w:rsidR="003E4375" w:rsidRPr="00F546EC">
        <w:rPr>
          <w:rFonts w:eastAsia="Times New Roman"/>
          <w:color w:val="000000"/>
        </w:rPr>
        <w:t xml:space="preserve"> which are recognized to be predominantly</w:t>
      </w:r>
      <w:r w:rsidR="000E0CF9">
        <w:rPr>
          <w:rFonts w:eastAsia="Times New Roman"/>
          <w:color w:val="000000"/>
        </w:rPr>
        <w:t xml:space="preserve"> open</w:t>
      </w:r>
      <w:r w:rsidR="003E4375" w:rsidRPr="00F546EC">
        <w:rPr>
          <w:rFonts w:eastAsia="Times New Roman"/>
          <w:color w:val="000000"/>
        </w:rPr>
        <w:t xml:space="preserve"> marine deposits</w:t>
      </w:r>
      <w:r w:rsidR="006C3A58">
        <w:rPr>
          <w:rFonts w:eastAsia="Times New Roman"/>
          <w:color w:val="000000"/>
        </w:rPr>
        <w:t xml:space="preserve"> (Slatt and Rodriguez, 2012; Slatt and Zhang, 2019)</w:t>
      </w:r>
      <w:r w:rsidR="003E4375" w:rsidRPr="00F546EC">
        <w:rPr>
          <w:rFonts w:eastAsia="Times New Roman"/>
          <w:color w:val="000000"/>
        </w:rPr>
        <w:t xml:space="preserve">. </w:t>
      </w:r>
    </w:p>
    <w:p w14:paraId="4B297BB4" w14:textId="09A1A7B4" w:rsidR="003E4375" w:rsidRPr="00D0691F" w:rsidRDefault="003E4375" w:rsidP="00530D25">
      <w:pPr>
        <w:pStyle w:val="Heading2"/>
        <w:numPr>
          <w:ilvl w:val="1"/>
          <w:numId w:val="2"/>
        </w:numPr>
      </w:pPr>
      <w:bookmarkStart w:id="30" w:name="_Toc25833519"/>
      <w:bookmarkStart w:id="31" w:name="_Toc35861079"/>
      <w:r w:rsidRPr="00D0691F">
        <w:t xml:space="preserve">Geological and </w:t>
      </w:r>
      <w:r w:rsidR="00CD6202">
        <w:t>g</w:t>
      </w:r>
      <w:r w:rsidRPr="00D0691F">
        <w:t xml:space="preserve">eochemical </w:t>
      </w:r>
      <w:r w:rsidR="00CD6202">
        <w:t>c</w:t>
      </w:r>
      <w:r w:rsidRPr="00D0691F">
        <w:t xml:space="preserve">haracterization of </w:t>
      </w:r>
      <w:r w:rsidR="00CD6202">
        <w:t>u</w:t>
      </w:r>
      <w:r w:rsidRPr="00D0691F">
        <w:t>nconventional systems</w:t>
      </w:r>
      <w:bookmarkEnd w:id="30"/>
      <w:bookmarkEnd w:id="31"/>
    </w:p>
    <w:p w14:paraId="117B9258" w14:textId="44CEB493" w:rsidR="003E4375" w:rsidRPr="00F546EC" w:rsidRDefault="003E4375" w:rsidP="003D3912">
      <w:pPr>
        <w:ind w:firstLine="360"/>
        <w:rPr>
          <w:rFonts w:eastAsia="Times New Roman"/>
          <w:color w:val="000000"/>
        </w:rPr>
      </w:pPr>
      <w:r w:rsidRPr="00F546EC">
        <w:rPr>
          <w:rFonts w:eastAsia="Times New Roman"/>
          <w:color w:val="000000"/>
        </w:rPr>
        <w:t xml:space="preserve">The comparison of geochemical characteristics (organic and inorganic) of unconventional systems has revealed </w:t>
      </w:r>
      <w:r w:rsidR="003C7B80">
        <w:rPr>
          <w:rFonts w:eastAsia="Times New Roman"/>
          <w:color w:val="000000"/>
        </w:rPr>
        <w:t>that all unconventional resource shales present a</w:t>
      </w:r>
      <w:r w:rsidR="008E671A">
        <w:rPr>
          <w:rFonts w:eastAsia="Times New Roman"/>
          <w:color w:val="000000"/>
        </w:rPr>
        <w:t xml:space="preserve"> different unique</w:t>
      </w:r>
      <w:r w:rsidRPr="00F546EC">
        <w:rPr>
          <w:rFonts w:eastAsia="Times New Roman"/>
          <w:color w:val="000000"/>
        </w:rPr>
        <w:t xml:space="preserve"> set of </w:t>
      </w:r>
      <w:r w:rsidR="00176CA6" w:rsidRPr="00F546EC">
        <w:rPr>
          <w:rFonts w:eastAsia="Times New Roman"/>
          <w:color w:val="000000"/>
        </w:rPr>
        <w:t>feature</w:t>
      </w:r>
      <w:r w:rsidRPr="00F546EC">
        <w:rPr>
          <w:rFonts w:eastAsia="Times New Roman"/>
          <w:color w:val="000000"/>
        </w:rPr>
        <w:t xml:space="preserve">s </w:t>
      </w:r>
      <w:r w:rsidR="003C7B80">
        <w:rPr>
          <w:rFonts w:eastAsia="Times New Roman"/>
          <w:color w:val="000000"/>
        </w:rPr>
        <w:t>that make each oil and gas system distinctive</w:t>
      </w:r>
      <w:r w:rsidR="009D30E8">
        <w:rPr>
          <w:rFonts w:eastAsia="Times New Roman"/>
          <w:color w:val="000000"/>
        </w:rPr>
        <w:t xml:space="preserve"> (</w:t>
      </w:r>
      <w:r w:rsidR="00D30F35">
        <w:rPr>
          <w:rFonts w:eastAsia="Times New Roman"/>
          <w:color w:val="000000"/>
        </w:rPr>
        <w:t xml:space="preserve">Slatt and Rodriguez, 2012; </w:t>
      </w:r>
      <w:r w:rsidR="009D30E8">
        <w:rPr>
          <w:rFonts w:eastAsia="Times New Roman"/>
          <w:color w:val="000000"/>
        </w:rPr>
        <w:t>Slatt, 2016)</w:t>
      </w:r>
      <w:r w:rsidRPr="00F546EC">
        <w:rPr>
          <w:rFonts w:eastAsia="Times New Roman"/>
          <w:color w:val="000000"/>
        </w:rPr>
        <w:t>. The key aspects this research</w:t>
      </w:r>
      <w:r w:rsidR="00C41492" w:rsidRPr="00F546EC">
        <w:rPr>
          <w:rFonts w:eastAsia="Times New Roman"/>
          <w:color w:val="000000"/>
        </w:rPr>
        <w:t xml:space="preserve"> considers</w:t>
      </w:r>
      <w:r w:rsidRPr="00F546EC">
        <w:rPr>
          <w:rFonts w:eastAsia="Times New Roman"/>
          <w:color w:val="000000"/>
        </w:rPr>
        <w:t xml:space="preserve"> </w:t>
      </w:r>
      <w:r w:rsidR="000E0CF9">
        <w:rPr>
          <w:rFonts w:eastAsia="Times New Roman"/>
          <w:color w:val="000000"/>
        </w:rPr>
        <w:t xml:space="preserve">for characterizing the </w:t>
      </w:r>
      <w:r w:rsidR="000E0CF9">
        <w:rPr>
          <w:color w:val="000000"/>
          <w:shd w:val="clear" w:color="auto" w:fill="FFFFFF"/>
        </w:rPr>
        <w:t>enclosed mini-basin fill are</w:t>
      </w:r>
      <w:r w:rsidRPr="00F546EC">
        <w:rPr>
          <w:rFonts w:eastAsia="Times New Roman"/>
          <w:color w:val="000000"/>
        </w:rPr>
        <w:t xml:space="preserve">: </w:t>
      </w:r>
    </w:p>
    <w:p w14:paraId="2CB3A2C2" w14:textId="4848F762" w:rsidR="00B010D3" w:rsidRPr="003D3912" w:rsidRDefault="00D8171F" w:rsidP="00530D25">
      <w:pPr>
        <w:pStyle w:val="Heading3"/>
        <w:numPr>
          <w:ilvl w:val="2"/>
          <w:numId w:val="2"/>
        </w:numPr>
      </w:pPr>
      <w:r w:rsidRPr="003D3912">
        <w:t xml:space="preserve"> </w:t>
      </w:r>
      <w:bookmarkStart w:id="32" w:name="_Toc25833520"/>
      <w:bookmarkStart w:id="33" w:name="_Toc35861080"/>
      <w:r w:rsidR="003E4375" w:rsidRPr="003D3912">
        <w:t>Organic richness and type</w:t>
      </w:r>
      <w:bookmarkEnd w:id="32"/>
      <w:bookmarkEnd w:id="33"/>
      <w:r w:rsidR="00C876C4" w:rsidRPr="003D3912">
        <w:t xml:space="preserve"> </w:t>
      </w:r>
    </w:p>
    <w:p w14:paraId="0B0D3A5A" w14:textId="122F4711" w:rsidR="003E4375" w:rsidRPr="00F546EC" w:rsidRDefault="003E4375" w:rsidP="00661294">
      <w:pPr>
        <w:spacing w:before="240"/>
        <w:ind w:firstLine="720"/>
        <w:rPr>
          <w:rFonts w:eastAsia="Times New Roman"/>
          <w:color w:val="000000"/>
        </w:rPr>
      </w:pPr>
      <w:r w:rsidRPr="00F546EC">
        <w:rPr>
          <w:rFonts w:eastAsia="Times New Roman"/>
          <w:color w:val="000000"/>
        </w:rPr>
        <w:t>Slatt and Rodriguez (2012)</w:t>
      </w:r>
      <w:r w:rsidR="00D14472" w:rsidRPr="00F546EC">
        <w:rPr>
          <w:rFonts w:eastAsia="Times New Roman"/>
          <w:color w:val="000000"/>
        </w:rPr>
        <w:t xml:space="preserve"> characteri</w:t>
      </w:r>
      <w:r w:rsidR="00E12808" w:rsidRPr="00F546EC">
        <w:rPr>
          <w:rFonts w:eastAsia="Times New Roman"/>
          <w:color w:val="000000"/>
        </w:rPr>
        <w:t>z</w:t>
      </w:r>
      <w:r w:rsidR="00D14472" w:rsidRPr="00F546EC">
        <w:rPr>
          <w:rFonts w:eastAsia="Times New Roman"/>
          <w:color w:val="000000"/>
        </w:rPr>
        <w:t>e</w:t>
      </w:r>
      <w:r w:rsidR="0069722F" w:rsidRPr="00F546EC">
        <w:rPr>
          <w:rFonts w:eastAsia="Times New Roman"/>
          <w:color w:val="000000"/>
        </w:rPr>
        <w:t>d</w:t>
      </w:r>
      <w:r w:rsidRPr="00F546EC">
        <w:rPr>
          <w:rFonts w:eastAsia="Times New Roman"/>
          <w:color w:val="000000"/>
        </w:rPr>
        <w:t xml:space="preserve"> the prolific unconventional marine shale systems </w:t>
      </w:r>
      <w:r w:rsidR="00D14472" w:rsidRPr="00F546EC">
        <w:rPr>
          <w:rFonts w:eastAsia="Times New Roman"/>
          <w:color w:val="000000"/>
        </w:rPr>
        <w:t xml:space="preserve">having </w:t>
      </w:r>
      <w:r w:rsidR="000826C9" w:rsidRPr="00F546EC">
        <w:rPr>
          <w:rFonts w:eastAsia="Times New Roman"/>
          <w:color w:val="000000"/>
        </w:rPr>
        <w:t xml:space="preserve">a </w:t>
      </w:r>
      <w:r w:rsidRPr="00F546EC">
        <w:rPr>
          <w:rFonts w:eastAsia="Times New Roman"/>
          <w:color w:val="000000"/>
        </w:rPr>
        <w:t xml:space="preserve">high organic </w:t>
      </w:r>
      <w:r w:rsidR="000826C9" w:rsidRPr="00F546EC">
        <w:rPr>
          <w:rFonts w:eastAsia="Times New Roman"/>
          <w:color w:val="000000"/>
        </w:rPr>
        <w:t>abundance</w:t>
      </w:r>
      <w:r w:rsidRPr="00F546EC">
        <w:rPr>
          <w:rFonts w:eastAsia="Times New Roman"/>
          <w:color w:val="000000"/>
        </w:rPr>
        <w:t xml:space="preserve"> (usually greater than 3% </w:t>
      </w:r>
      <w:r w:rsidR="00F80475">
        <w:rPr>
          <w:rFonts w:eastAsia="Times New Roman"/>
          <w:color w:val="000000"/>
        </w:rPr>
        <w:t>t</w:t>
      </w:r>
      <w:r w:rsidRPr="00F546EC">
        <w:rPr>
          <w:rFonts w:eastAsia="Times New Roman"/>
          <w:color w:val="000000"/>
        </w:rPr>
        <w:t xml:space="preserve">otal </w:t>
      </w:r>
      <w:r w:rsidR="00F80475">
        <w:rPr>
          <w:rFonts w:eastAsia="Times New Roman"/>
          <w:color w:val="000000"/>
        </w:rPr>
        <w:t>o</w:t>
      </w:r>
      <w:r w:rsidRPr="00F546EC">
        <w:rPr>
          <w:rFonts w:eastAsia="Times New Roman"/>
          <w:color w:val="000000"/>
        </w:rPr>
        <w:t xml:space="preserve">rganic </w:t>
      </w:r>
      <w:r w:rsidR="00F80475">
        <w:rPr>
          <w:rFonts w:eastAsia="Times New Roman"/>
          <w:color w:val="000000"/>
        </w:rPr>
        <w:t>c</w:t>
      </w:r>
      <w:r w:rsidRPr="00F546EC">
        <w:rPr>
          <w:rFonts w:eastAsia="Times New Roman"/>
          <w:color w:val="000000"/>
        </w:rPr>
        <w:t>arbon –</w:t>
      </w:r>
      <w:r w:rsidR="00856C6A">
        <w:rPr>
          <w:rFonts w:eastAsia="Times New Roman"/>
          <w:color w:val="000000"/>
        </w:rPr>
        <w:t>%</w:t>
      </w:r>
      <w:r w:rsidRPr="00F546EC">
        <w:rPr>
          <w:rFonts w:eastAsia="Times New Roman"/>
          <w:color w:val="000000"/>
        </w:rPr>
        <w:t>TOC-)</w:t>
      </w:r>
      <w:r w:rsidR="008E671A">
        <w:rPr>
          <w:rFonts w:eastAsia="Times New Roman"/>
          <w:color w:val="000000"/>
        </w:rPr>
        <w:t>,</w:t>
      </w:r>
      <w:r w:rsidRPr="00F546EC">
        <w:rPr>
          <w:rFonts w:eastAsia="Times New Roman"/>
          <w:color w:val="000000"/>
        </w:rPr>
        <w:t xml:space="preserve"> and </w:t>
      </w:r>
      <w:r w:rsidR="00F80475">
        <w:rPr>
          <w:rFonts w:eastAsia="Times New Roman"/>
          <w:color w:val="000000"/>
        </w:rPr>
        <w:t>h</w:t>
      </w:r>
      <w:r w:rsidRPr="00F546EC">
        <w:rPr>
          <w:rFonts w:eastAsia="Times New Roman"/>
          <w:color w:val="000000"/>
        </w:rPr>
        <w:t xml:space="preserve">ydrogen </w:t>
      </w:r>
      <w:r w:rsidR="00F80475">
        <w:rPr>
          <w:rFonts w:eastAsia="Times New Roman"/>
          <w:color w:val="000000"/>
        </w:rPr>
        <w:t>i</w:t>
      </w:r>
      <w:r w:rsidRPr="00F546EC">
        <w:rPr>
          <w:rFonts w:eastAsia="Times New Roman"/>
          <w:color w:val="000000"/>
        </w:rPr>
        <w:t xml:space="preserve">ndex (HI) values greater than 350 mg HC/g. These values are </w:t>
      </w:r>
      <w:r w:rsidR="00D14472" w:rsidRPr="00F546EC">
        <w:rPr>
          <w:rFonts w:eastAsia="Times New Roman"/>
          <w:color w:val="000000"/>
        </w:rPr>
        <w:t>more significant</w:t>
      </w:r>
      <w:r w:rsidRPr="00F546EC">
        <w:rPr>
          <w:rFonts w:eastAsia="Times New Roman"/>
          <w:color w:val="000000"/>
        </w:rPr>
        <w:t xml:space="preserve"> than the threshold values typical of gas generation from conventional gas-prone source rocks and </w:t>
      </w:r>
      <w:r w:rsidR="00FB449E">
        <w:rPr>
          <w:rFonts w:eastAsia="Times New Roman"/>
          <w:color w:val="000000"/>
        </w:rPr>
        <w:t xml:space="preserve">are more </w:t>
      </w:r>
      <w:r w:rsidR="00706D20">
        <w:rPr>
          <w:rFonts w:eastAsia="Times New Roman"/>
          <w:color w:val="000000"/>
        </w:rPr>
        <w:t>similar to</w:t>
      </w:r>
      <w:r w:rsidR="00C72C57">
        <w:rPr>
          <w:rFonts w:eastAsia="Times New Roman"/>
          <w:color w:val="000000"/>
        </w:rPr>
        <w:t xml:space="preserve"> typical</w:t>
      </w:r>
      <w:r w:rsidRPr="00F546EC">
        <w:rPr>
          <w:rFonts w:eastAsia="Times New Roman"/>
          <w:color w:val="000000"/>
        </w:rPr>
        <w:t xml:space="preserve"> characteristics of </w:t>
      </w:r>
      <w:r w:rsidR="00C72C57">
        <w:rPr>
          <w:rFonts w:eastAsia="Times New Roman"/>
          <w:color w:val="000000"/>
        </w:rPr>
        <w:t>t</w:t>
      </w:r>
      <w:r w:rsidRPr="00F546EC">
        <w:rPr>
          <w:rFonts w:eastAsia="Times New Roman"/>
          <w:color w:val="000000"/>
        </w:rPr>
        <w:t>ype II kerogen-rich, oil</w:t>
      </w:r>
      <w:r w:rsidR="008B7FB4" w:rsidRPr="00F546EC">
        <w:rPr>
          <w:rFonts w:eastAsia="Times New Roman"/>
          <w:color w:val="000000"/>
        </w:rPr>
        <w:t>,</w:t>
      </w:r>
      <w:r w:rsidRPr="00F546EC">
        <w:rPr>
          <w:rFonts w:eastAsia="Times New Roman"/>
          <w:color w:val="000000"/>
        </w:rPr>
        <w:t xml:space="preserve"> and gas prone source rocks. The </w:t>
      </w:r>
      <w:r w:rsidR="00856C6A">
        <w:rPr>
          <w:rFonts w:eastAsia="Times New Roman"/>
          <w:color w:val="000000"/>
        </w:rPr>
        <w:t>%</w:t>
      </w:r>
      <w:r w:rsidRPr="00F546EC">
        <w:rPr>
          <w:rFonts w:eastAsia="Times New Roman"/>
          <w:color w:val="000000"/>
        </w:rPr>
        <w:t>TOC values generally track well log API gamma-ray log values</w:t>
      </w:r>
      <w:r w:rsidR="00D30F35">
        <w:rPr>
          <w:rFonts w:eastAsia="Times New Roman"/>
          <w:color w:val="000000"/>
        </w:rPr>
        <w:t xml:space="preserve"> (Cardott, 2012)</w:t>
      </w:r>
      <w:r w:rsidRPr="00F546EC">
        <w:rPr>
          <w:rFonts w:eastAsia="Times New Roman"/>
          <w:color w:val="000000"/>
        </w:rPr>
        <w:t xml:space="preserve">.  Visual kerogen analyses of several shales indicate a predominance of </w:t>
      </w:r>
      <w:r w:rsidR="00C72C57">
        <w:rPr>
          <w:rFonts w:eastAsia="Times New Roman"/>
          <w:color w:val="000000"/>
        </w:rPr>
        <w:t>t</w:t>
      </w:r>
      <w:r w:rsidRPr="00F546EC">
        <w:rPr>
          <w:rFonts w:eastAsia="Times New Roman"/>
          <w:color w:val="000000"/>
        </w:rPr>
        <w:t>ype II kerogen (marine)</w:t>
      </w:r>
      <w:r w:rsidR="00DE1263" w:rsidRPr="00F546EC">
        <w:rPr>
          <w:rFonts w:eastAsia="Times New Roman"/>
          <w:color w:val="000000"/>
        </w:rPr>
        <w:t xml:space="preserve"> within marine deposits</w:t>
      </w:r>
      <w:r w:rsidR="009D30E8">
        <w:rPr>
          <w:rFonts w:eastAsia="Times New Roman"/>
          <w:color w:val="000000"/>
        </w:rPr>
        <w:t xml:space="preserve"> (Cardott 2009 and 2012)</w:t>
      </w:r>
      <w:r w:rsidRPr="00F546EC">
        <w:rPr>
          <w:rFonts w:eastAsia="Times New Roman"/>
          <w:color w:val="000000"/>
        </w:rPr>
        <w:t>. Amorphous (</w:t>
      </w:r>
      <w:r w:rsidR="00F80475">
        <w:rPr>
          <w:rFonts w:eastAsia="Times New Roman"/>
          <w:color w:val="000000"/>
        </w:rPr>
        <w:t>l</w:t>
      </w:r>
      <w:r w:rsidRPr="00F546EC">
        <w:rPr>
          <w:rFonts w:eastAsia="Times New Roman"/>
          <w:color w:val="000000"/>
        </w:rPr>
        <w:t>acustrine</w:t>
      </w:r>
      <w:r w:rsidR="00E21398" w:rsidRPr="00F546EC">
        <w:rPr>
          <w:rFonts w:eastAsia="Times New Roman"/>
          <w:color w:val="000000"/>
        </w:rPr>
        <w:t xml:space="preserve"> related</w:t>
      </w:r>
      <w:r w:rsidRPr="00F546EC">
        <w:rPr>
          <w:rFonts w:eastAsia="Times New Roman"/>
          <w:color w:val="000000"/>
        </w:rPr>
        <w:t>) organic matter content of up to 93% and H/C ratio</w:t>
      </w:r>
      <w:r w:rsidR="00FB449E">
        <w:rPr>
          <w:rFonts w:eastAsia="Times New Roman"/>
          <w:color w:val="000000"/>
        </w:rPr>
        <w:t>s</w:t>
      </w:r>
      <w:r w:rsidRPr="00F546EC">
        <w:rPr>
          <w:rFonts w:eastAsia="Times New Roman"/>
          <w:color w:val="000000"/>
        </w:rPr>
        <w:t xml:space="preserve"> of 1.41 ha</w:t>
      </w:r>
      <w:r w:rsidR="00FB449E">
        <w:rPr>
          <w:rFonts w:eastAsia="Times New Roman"/>
          <w:color w:val="000000"/>
        </w:rPr>
        <w:t>ve</w:t>
      </w:r>
      <w:r w:rsidRPr="00F546EC">
        <w:rPr>
          <w:rFonts w:eastAsia="Times New Roman"/>
          <w:color w:val="000000"/>
        </w:rPr>
        <w:t xml:space="preserve"> been reported for the Barnett </w:t>
      </w:r>
      <w:r w:rsidR="00F80475">
        <w:rPr>
          <w:rFonts w:eastAsia="Times New Roman"/>
          <w:color w:val="000000"/>
        </w:rPr>
        <w:t>S</w:t>
      </w:r>
      <w:r w:rsidRPr="00F546EC">
        <w:rPr>
          <w:rFonts w:eastAsia="Times New Roman"/>
          <w:color w:val="000000"/>
        </w:rPr>
        <w:t xml:space="preserve">hale (Hill et al., 2007). Likewise, </w:t>
      </w:r>
      <w:r w:rsidRPr="00F546EC">
        <w:rPr>
          <w:rFonts w:eastAsia="Times New Roman"/>
          <w:color w:val="000000"/>
        </w:rPr>
        <w:lastRenderedPageBreak/>
        <w:t>values of up to 80% amorphous organic matter were reported by Lewan (1987) for</w:t>
      </w:r>
      <w:r w:rsidR="00AD4340">
        <w:rPr>
          <w:rFonts w:eastAsia="Times New Roman"/>
          <w:color w:val="000000"/>
        </w:rPr>
        <w:t xml:space="preserve"> some</w:t>
      </w:r>
      <w:r w:rsidRPr="00F546EC">
        <w:rPr>
          <w:rFonts w:eastAsia="Times New Roman"/>
          <w:color w:val="000000"/>
        </w:rPr>
        <w:t xml:space="preserve"> immature Woodford </w:t>
      </w:r>
      <w:r w:rsidR="00F80475">
        <w:rPr>
          <w:rFonts w:eastAsia="Times New Roman"/>
          <w:color w:val="000000"/>
        </w:rPr>
        <w:t>S</w:t>
      </w:r>
      <w:r w:rsidRPr="00F546EC">
        <w:rPr>
          <w:rFonts w:eastAsia="Times New Roman"/>
          <w:color w:val="000000"/>
        </w:rPr>
        <w:t xml:space="preserve">hale samples. </w:t>
      </w:r>
    </w:p>
    <w:p w14:paraId="00EC4BB8" w14:textId="4B23399A" w:rsidR="003E4375" w:rsidRPr="00F546EC" w:rsidRDefault="003E4375" w:rsidP="00530D25">
      <w:pPr>
        <w:pStyle w:val="Heading3"/>
        <w:numPr>
          <w:ilvl w:val="2"/>
          <w:numId w:val="2"/>
        </w:numPr>
      </w:pPr>
      <w:bookmarkStart w:id="34" w:name="_Toc25833522"/>
      <w:bookmarkStart w:id="35" w:name="_Toc35861081"/>
      <w:r w:rsidRPr="00F546EC">
        <w:t xml:space="preserve">Biomarker </w:t>
      </w:r>
      <w:r w:rsidR="00EC39C1" w:rsidRPr="00F546EC">
        <w:t xml:space="preserve">characterization that serves </w:t>
      </w:r>
      <w:r w:rsidRPr="00F546EC">
        <w:t>as</w:t>
      </w:r>
      <w:r w:rsidR="0083493C" w:rsidRPr="00F546EC">
        <w:t xml:space="preserve"> </w:t>
      </w:r>
      <w:r w:rsidR="00F76FB4">
        <w:t>indicators</w:t>
      </w:r>
      <w:r w:rsidRPr="00F546EC">
        <w:t xml:space="preserve"> of anoxic and oxic depositional environmental conditions.</w:t>
      </w:r>
      <w:bookmarkEnd w:id="34"/>
      <w:bookmarkEnd w:id="35"/>
      <w:r w:rsidRPr="00F546EC">
        <w:t xml:space="preserve"> </w:t>
      </w:r>
    </w:p>
    <w:p w14:paraId="04217211" w14:textId="59A96ECF" w:rsidR="003E4375" w:rsidRPr="00F546EC" w:rsidRDefault="00DA668C" w:rsidP="00661294">
      <w:pPr>
        <w:spacing w:before="240" w:after="0"/>
        <w:ind w:firstLine="720"/>
        <w:rPr>
          <w:rFonts w:eastAsia="Times New Roman"/>
          <w:color w:val="000000"/>
        </w:rPr>
      </w:pPr>
      <w:r w:rsidRPr="00F546EC">
        <w:rPr>
          <w:rFonts w:eastAsia="Times New Roman"/>
          <w:color w:val="000000"/>
        </w:rPr>
        <w:t>Miceli</w:t>
      </w:r>
      <w:r w:rsidR="00BC0E71">
        <w:rPr>
          <w:rFonts w:eastAsia="Times New Roman"/>
          <w:color w:val="000000"/>
        </w:rPr>
        <w:t>-Romero</w:t>
      </w:r>
      <w:r w:rsidRPr="00F546EC">
        <w:rPr>
          <w:rFonts w:eastAsia="Times New Roman"/>
          <w:color w:val="000000"/>
        </w:rPr>
        <w:t xml:space="preserve"> (2010), Rodriguez and Philp (2010), </w:t>
      </w:r>
      <w:r w:rsidR="00BC0E71">
        <w:rPr>
          <w:rFonts w:eastAsia="Times New Roman"/>
          <w:color w:val="000000"/>
        </w:rPr>
        <w:t xml:space="preserve">Miceli-Romero and Philp (2012), </w:t>
      </w:r>
      <w:r w:rsidR="003E4375" w:rsidRPr="00F546EC">
        <w:rPr>
          <w:rFonts w:eastAsia="Times New Roman"/>
          <w:color w:val="000000"/>
        </w:rPr>
        <w:t>Slatt and Rodriguez (2012),</w:t>
      </w:r>
      <w:r w:rsidRPr="00F546EC">
        <w:rPr>
          <w:rFonts w:eastAsia="Times New Roman"/>
          <w:color w:val="000000"/>
        </w:rPr>
        <w:t xml:space="preserve"> </w:t>
      </w:r>
      <w:r w:rsidR="00382331" w:rsidRPr="00F546EC">
        <w:rPr>
          <w:rFonts w:eastAsia="Times New Roman"/>
          <w:color w:val="000000"/>
        </w:rPr>
        <w:t>Jones (2017)</w:t>
      </w:r>
      <w:r w:rsidR="00BC0E71">
        <w:rPr>
          <w:rFonts w:eastAsia="Times New Roman"/>
          <w:color w:val="000000"/>
        </w:rPr>
        <w:t>, Connock et al. (2018)</w:t>
      </w:r>
      <w:r w:rsidR="00856C6A">
        <w:rPr>
          <w:rFonts w:eastAsia="Times New Roman"/>
          <w:color w:val="000000"/>
        </w:rPr>
        <w:t xml:space="preserve"> and</w:t>
      </w:r>
      <w:r w:rsidR="00382331" w:rsidRPr="00F546EC">
        <w:rPr>
          <w:rFonts w:eastAsia="Times New Roman"/>
          <w:color w:val="000000"/>
        </w:rPr>
        <w:t xml:space="preserve"> </w:t>
      </w:r>
      <w:r w:rsidR="00856C6A">
        <w:rPr>
          <w:rFonts w:eastAsia="Times New Roman"/>
          <w:color w:val="000000"/>
        </w:rPr>
        <w:t xml:space="preserve">Philp and DeGarmo (2020), </w:t>
      </w:r>
      <w:r w:rsidR="003E4375" w:rsidRPr="00F546EC">
        <w:rPr>
          <w:rFonts w:eastAsia="Times New Roman"/>
          <w:color w:val="000000"/>
        </w:rPr>
        <w:t>propose</w:t>
      </w:r>
      <w:r w:rsidR="00F76FB4">
        <w:rPr>
          <w:rFonts w:eastAsia="Times New Roman"/>
          <w:color w:val="000000"/>
        </w:rPr>
        <w:t>d</w:t>
      </w:r>
      <w:r w:rsidR="003E4375" w:rsidRPr="00F546EC">
        <w:rPr>
          <w:rFonts w:eastAsia="Times New Roman"/>
          <w:color w:val="000000"/>
        </w:rPr>
        <w:t xml:space="preserve"> that biomarker analyses are also in agreement with the hypothesis of fluctuating oxic conditions during deposition of </w:t>
      </w:r>
      <w:r w:rsidR="00274E0E" w:rsidRPr="00F546EC">
        <w:rPr>
          <w:rFonts w:eastAsia="Times New Roman"/>
          <w:color w:val="000000"/>
        </w:rPr>
        <w:t xml:space="preserve">the Woodford </w:t>
      </w:r>
      <w:r w:rsidR="005D5407">
        <w:rPr>
          <w:rFonts w:eastAsia="Times New Roman"/>
          <w:color w:val="000000"/>
        </w:rPr>
        <w:t>S</w:t>
      </w:r>
      <w:r w:rsidR="003E4375" w:rsidRPr="00F546EC">
        <w:rPr>
          <w:rFonts w:eastAsia="Times New Roman"/>
          <w:color w:val="000000"/>
        </w:rPr>
        <w:t xml:space="preserve">hale. </w:t>
      </w:r>
      <w:r w:rsidR="000151F6" w:rsidRPr="00F546EC">
        <w:rPr>
          <w:rFonts w:eastAsia="Times New Roman"/>
          <w:color w:val="000000"/>
        </w:rPr>
        <w:t>In general</w:t>
      </w:r>
      <w:r w:rsidR="00AA73B9" w:rsidRPr="00F546EC">
        <w:rPr>
          <w:rFonts w:eastAsia="Times New Roman"/>
          <w:color w:val="000000"/>
        </w:rPr>
        <w:t>,</w:t>
      </w:r>
      <w:r w:rsidR="000151F6" w:rsidRPr="00F546EC">
        <w:rPr>
          <w:rFonts w:eastAsia="Times New Roman"/>
          <w:color w:val="000000"/>
        </w:rPr>
        <w:t xml:space="preserve"> for unconventional resource shales, </w:t>
      </w:r>
      <w:r w:rsidR="003E4375" w:rsidRPr="00F546EC">
        <w:rPr>
          <w:rFonts w:eastAsia="Times New Roman"/>
          <w:color w:val="000000"/>
        </w:rPr>
        <w:t>Rodriguez (2007)</w:t>
      </w:r>
      <w:r w:rsidR="00CD0B30" w:rsidRPr="00F546EC">
        <w:rPr>
          <w:rFonts w:eastAsia="Times New Roman"/>
          <w:color w:val="000000"/>
        </w:rPr>
        <w:t xml:space="preserve"> and Slatt and Rodriguez (201</w:t>
      </w:r>
      <w:r w:rsidR="00BF4326" w:rsidRPr="00F546EC">
        <w:rPr>
          <w:rFonts w:eastAsia="Times New Roman"/>
          <w:color w:val="000000"/>
        </w:rPr>
        <w:t>2</w:t>
      </w:r>
      <w:r w:rsidR="00CD0B30" w:rsidRPr="00F546EC">
        <w:rPr>
          <w:rFonts w:eastAsia="Times New Roman"/>
          <w:color w:val="000000"/>
        </w:rPr>
        <w:t>)</w:t>
      </w:r>
      <w:r w:rsidR="003E4375" w:rsidRPr="00F546EC">
        <w:rPr>
          <w:rFonts w:eastAsia="Times New Roman"/>
          <w:color w:val="000000"/>
        </w:rPr>
        <w:t xml:space="preserve"> suggested that variations in the pristane/phytane ratio (Pr/Ph) and C</w:t>
      </w:r>
      <w:r w:rsidR="003E4375" w:rsidRPr="00F546EC">
        <w:rPr>
          <w:rFonts w:eastAsia="Times New Roman"/>
          <w:color w:val="000000"/>
          <w:vertAlign w:val="subscript"/>
        </w:rPr>
        <w:t>13</w:t>
      </w:r>
      <w:r w:rsidR="003E4375" w:rsidRPr="00F546EC">
        <w:rPr>
          <w:rFonts w:eastAsia="Times New Roman"/>
          <w:color w:val="000000"/>
        </w:rPr>
        <w:t>-C</w:t>
      </w:r>
      <w:r w:rsidR="003E4375" w:rsidRPr="00F546EC">
        <w:rPr>
          <w:rFonts w:eastAsia="Times New Roman"/>
          <w:color w:val="000000"/>
          <w:vertAlign w:val="subscript"/>
        </w:rPr>
        <w:t>20</w:t>
      </w:r>
      <w:r w:rsidR="003E4375" w:rsidRPr="00F546EC">
        <w:rPr>
          <w:rFonts w:eastAsia="Times New Roman"/>
          <w:color w:val="000000"/>
        </w:rPr>
        <w:t xml:space="preserve"> regular isoprenoids measured in core extracts are associated with changes in redox conditions as well as variations in terrigenous input during deposition of the Barnett Shale. Similarly, Miceli-Romero</w:t>
      </w:r>
      <w:r w:rsidR="000D3F7D">
        <w:rPr>
          <w:rFonts w:eastAsia="Times New Roman"/>
          <w:color w:val="000000"/>
        </w:rPr>
        <w:t xml:space="preserve"> and Philp</w:t>
      </w:r>
      <w:r w:rsidR="003E4375" w:rsidRPr="00F546EC">
        <w:rPr>
          <w:rFonts w:eastAsia="Times New Roman"/>
          <w:color w:val="000000"/>
        </w:rPr>
        <w:t xml:space="preserve"> (201</w:t>
      </w:r>
      <w:r w:rsidR="000D3F7D">
        <w:rPr>
          <w:rFonts w:eastAsia="Times New Roman"/>
          <w:color w:val="000000"/>
        </w:rPr>
        <w:t>2</w:t>
      </w:r>
      <w:r w:rsidR="003E4375" w:rsidRPr="00F546EC">
        <w:rPr>
          <w:rFonts w:eastAsia="Times New Roman"/>
          <w:color w:val="000000"/>
        </w:rPr>
        <w:t xml:space="preserve">) differentiated the </w:t>
      </w:r>
      <w:r w:rsidR="00F216D5">
        <w:rPr>
          <w:rFonts w:eastAsia="Times New Roman"/>
          <w:color w:val="000000"/>
        </w:rPr>
        <w:t>U</w:t>
      </w:r>
      <w:r w:rsidR="003E4375" w:rsidRPr="00F546EC">
        <w:rPr>
          <w:rFonts w:eastAsia="Times New Roman"/>
          <w:color w:val="000000"/>
        </w:rPr>
        <w:t xml:space="preserve">pper and </w:t>
      </w:r>
      <w:r w:rsidR="00F216D5">
        <w:rPr>
          <w:rFonts w:eastAsia="Times New Roman"/>
          <w:color w:val="000000"/>
        </w:rPr>
        <w:t>M</w:t>
      </w:r>
      <w:r w:rsidR="003E4375" w:rsidRPr="00F546EC">
        <w:rPr>
          <w:rFonts w:eastAsia="Times New Roman"/>
          <w:color w:val="000000"/>
        </w:rPr>
        <w:t>iddle Woodford Shale members based on the distribution of several biomarker ratios: pristane/phytane, hopanes/steranes, C</w:t>
      </w:r>
      <w:r w:rsidR="003E4375" w:rsidRPr="00F546EC">
        <w:rPr>
          <w:rFonts w:eastAsia="Times New Roman"/>
          <w:color w:val="000000"/>
          <w:vertAlign w:val="subscript"/>
        </w:rPr>
        <w:t>23</w:t>
      </w:r>
      <w:r w:rsidR="003E4375" w:rsidRPr="00F546EC">
        <w:rPr>
          <w:rFonts w:eastAsia="Times New Roman"/>
          <w:color w:val="000000"/>
        </w:rPr>
        <w:t xml:space="preserve"> tricyclic/C</w:t>
      </w:r>
      <w:r w:rsidR="003E4375" w:rsidRPr="00F546EC">
        <w:rPr>
          <w:rFonts w:eastAsia="Times New Roman"/>
          <w:color w:val="000000"/>
          <w:vertAlign w:val="subscript"/>
        </w:rPr>
        <w:t>30</w:t>
      </w:r>
      <w:r w:rsidR="003E4375" w:rsidRPr="00F546EC">
        <w:rPr>
          <w:rFonts w:eastAsia="Times New Roman"/>
          <w:color w:val="000000"/>
        </w:rPr>
        <w:t xml:space="preserve"> hopane, and C</w:t>
      </w:r>
      <w:r w:rsidR="003E4375" w:rsidRPr="00F546EC">
        <w:rPr>
          <w:rFonts w:eastAsia="Times New Roman"/>
          <w:color w:val="000000"/>
          <w:vertAlign w:val="subscript"/>
        </w:rPr>
        <w:t>18</w:t>
      </w:r>
      <w:r w:rsidR="003E4375" w:rsidRPr="00F546EC">
        <w:rPr>
          <w:rFonts w:eastAsia="Times New Roman"/>
          <w:color w:val="000000"/>
        </w:rPr>
        <w:t xml:space="preserve"> aryl isoprenoids (Fig</w:t>
      </w:r>
      <w:r w:rsidR="00F22073" w:rsidRPr="00F546EC">
        <w:rPr>
          <w:rFonts w:eastAsia="Times New Roman"/>
          <w:color w:val="000000"/>
        </w:rPr>
        <w:t>ure</w:t>
      </w:r>
      <w:r w:rsidR="003E4375" w:rsidRPr="00F546EC">
        <w:rPr>
          <w:rFonts w:eastAsia="Times New Roman"/>
          <w:color w:val="000000"/>
        </w:rPr>
        <w:t xml:space="preserve"> </w:t>
      </w:r>
      <w:r w:rsidR="007D5A9C" w:rsidRPr="00F546EC">
        <w:rPr>
          <w:rFonts w:eastAsia="Times New Roman"/>
          <w:color w:val="000000"/>
        </w:rPr>
        <w:t>1.7</w:t>
      </w:r>
      <w:r w:rsidR="003E4375" w:rsidRPr="00F546EC">
        <w:rPr>
          <w:rFonts w:eastAsia="Times New Roman"/>
          <w:color w:val="000000"/>
        </w:rPr>
        <w:t xml:space="preserve">). </w:t>
      </w:r>
      <w:r w:rsidR="008266B7" w:rsidRPr="00F546EC">
        <w:rPr>
          <w:rFonts w:eastAsia="Times New Roman"/>
          <w:color w:val="000000"/>
        </w:rPr>
        <w:t>Miceli</w:t>
      </w:r>
      <w:r w:rsidR="00EF6008">
        <w:rPr>
          <w:rFonts w:eastAsia="Times New Roman"/>
          <w:color w:val="000000"/>
        </w:rPr>
        <w:t>-</w:t>
      </w:r>
      <w:r w:rsidR="008266B7" w:rsidRPr="00F546EC">
        <w:rPr>
          <w:rFonts w:eastAsia="Times New Roman"/>
          <w:color w:val="000000"/>
        </w:rPr>
        <w:t xml:space="preserve">Romero (2010) </w:t>
      </w:r>
      <w:r w:rsidR="00EF6008">
        <w:rPr>
          <w:rFonts w:eastAsia="Times New Roman"/>
          <w:color w:val="000000"/>
        </w:rPr>
        <w:t xml:space="preserve">and Miceli-Romero and Philp (2012) </w:t>
      </w:r>
      <w:r w:rsidR="00F76FB4">
        <w:rPr>
          <w:rFonts w:eastAsia="Times New Roman"/>
          <w:color w:val="000000"/>
        </w:rPr>
        <w:t>state</w:t>
      </w:r>
      <w:r w:rsidR="008266B7" w:rsidRPr="00F546EC">
        <w:rPr>
          <w:rFonts w:eastAsia="Times New Roman"/>
          <w:color w:val="000000"/>
        </w:rPr>
        <w:t xml:space="preserve"> that m</w:t>
      </w:r>
      <w:r w:rsidR="003E4375" w:rsidRPr="00F546EC">
        <w:rPr>
          <w:rFonts w:eastAsia="Times New Roman"/>
          <w:color w:val="000000"/>
        </w:rPr>
        <w:t xml:space="preserve">ore oxic conditions prevailed during </w:t>
      </w:r>
      <w:r w:rsidR="00E12808" w:rsidRPr="00F546EC">
        <w:rPr>
          <w:rFonts w:eastAsia="Times New Roman"/>
          <w:color w:val="000000"/>
        </w:rPr>
        <w:t xml:space="preserve">the </w:t>
      </w:r>
      <w:r w:rsidR="003E4375" w:rsidRPr="00F546EC">
        <w:rPr>
          <w:rFonts w:eastAsia="Times New Roman"/>
          <w:color w:val="000000"/>
        </w:rPr>
        <w:t xml:space="preserve">deposition of the ‘cleaner, organic poor' </w:t>
      </w:r>
      <w:r w:rsidR="00F216D5">
        <w:rPr>
          <w:rFonts w:eastAsia="Times New Roman"/>
          <w:color w:val="000000"/>
        </w:rPr>
        <w:t>U</w:t>
      </w:r>
      <w:r w:rsidR="003E4375" w:rsidRPr="00F546EC">
        <w:rPr>
          <w:rFonts w:eastAsia="Times New Roman"/>
          <w:color w:val="000000"/>
        </w:rPr>
        <w:t>pper Woodford</w:t>
      </w:r>
      <w:r w:rsidR="002F59E6" w:rsidRPr="00F546EC">
        <w:rPr>
          <w:rFonts w:eastAsia="Times New Roman"/>
          <w:color w:val="000000"/>
        </w:rPr>
        <w:t>,</w:t>
      </w:r>
      <w:r w:rsidR="003E4375" w:rsidRPr="00F546EC">
        <w:rPr>
          <w:rFonts w:eastAsia="Times New Roman"/>
          <w:color w:val="000000"/>
        </w:rPr>
        <w:t xml:space="preserve"> as indicated by higher concentrations of C</w:t>
      </w:r>
      <w:r w:rsidR="003E4375" w:rsidRPr="00F546EC">
        <w:rPr>
          <w:rFonts w:eastAsia="Times New Roman"/>
          <w:color w:val="000000"/>
          <w:vertAlign w:val="subscript"/>
        </w:rPr>
        <w:t>29</w:t>
      </w:r>
      <w:r w:rsidR="003E4375" w:rsidRPr="00F546EC">
        <w:rPr>
          <w:rFonts w:eastAsia="Times New Roman"/>
          <w:color w:val="000000"/>
        </w:rPr>
        <w:t xml:space="preserve"> steranes</w:t>
      </w:r>
      <w:r w:rsidR="008266B7" w:rsidRPr="00F546EC">
        <w:rPr>
          <w:rFonts w:eastAsia="Times New Roman"/>
          <w:color w:val="000000"/>
        </w:rPr>
        <w:t xml:space="preserve"> (Figure </w:t>
      </w:r>
      <w:r w:rsidR="007D5A9C" w:rsidRPr="00F546EC">
        <w:rPr>
          <w:rFonts w:eastAsia="Times New Roman"/>
          <w:color w:val="000000"/>
        </w:rPr>
        <w:t>1.7</w:t>
      </w:r>
      <w:r w:rsidR="008266B7" w:rsidRPr="00F546EC">
        <w:rPr>
          <w:rFonts w:eastAsia="Times New Roman"/>
          <w:color w:val="000000"/>
        </w:rPr>
        <w:t>)</w:t>
      </w:r>
      <w:r w:rsidR="003E4375" w:rsidRPr="00F546EC">
        <w:rPr>
          <w:rFonts w:eastAsia="Times New Roman"/>
          <w:color w:val="000000"/>
        </w:rPr>
        <w:t xml:space="preserve">. Dysaerobic to anaerobic environments prevailed during </w:t>
      </w:r>
      <w:r w:rsidR="008E671A">
        <w:rPr>
          <w:rFonts w:eastAsia="Times New Roman"/>
          <w:color w:val="000000"/>
        </w:rPr>
        <w:t xml:space="preserve">the </w:t>
      </w:r>
      <w:r w:rsidR="003E4375" w:rsidRPr="00F546EC">
        <w:rPr>
          <w:rFonts w:eastAsia="Times New Roman"/>
          <w:color w:val="000000"/>
        </w:rPr>
        <w:t xml:space="preserve">deposition of the </w:t>
      </w:r>
      <w:r w:rsidR="001F1BFF">
        <w:rPr>
          <w:rFonts w:eastAsia="Times New Roman"/>
          <w:color w:val="000000"/>
        </w:rPr>
        <w:t>M</w:t>
      </w:r>
      <w:r w:rsidR="003E4375" w:rsidRPr="00F546EC">
        <w:rPr>
          <w:rFonts w:eastAsia="Times New Roman"/>
          <w:color w:val="000000"/>
        </w:rPr>
        <w:t xml:space="preserve">iddle Woodford </w:t>
      </w:r>
      <w:r w:rsidR="00923B91">
        <w:rPr>
          <w:rFonts w:eastAsia="Times New Roman"/>
          <w:color w:val="000000"/>
        </w:rPr>
        <w:t>S</w:t>
      </w:r>
      <w:r w:rsidR="003E4375" w:rsidRPr="00F546EC">
        <w:rPr>
          <w:rFonts w:eastAsia="Times New Roman"/>
          <w:color w:val="000000"/>
        </w:rPr>
        <w:t>hale</w:t>
      </w:r>
      <w:r w:rsidR="001F1BFF">
        <w:rPr>
          <w:rFonts w:eastAsia="Times New Roman"/>
          <w:color w:val="000000"/>
        </w:rPr>
        <w:t xml:space="preserve"> member</w:t>
      </w:r>
      <w:r w:rsidR="003E4375" w:rsidRPr="00F546EC">
        <w:rPr>
          <w:rFonts w:eastAsia="Times New Roman"/>
          <w:color w:val="000000"/>
        </w:rPr>
        <w:t xml:space="preserve"> as indicated by higher </w:t>
      </w:r>
      <w:r w:rsidR="000826C9" w:rsidRPr="00F546EC">
        <w:rPr>
          <w:rFonts w:eastAsia="Times New Roman"/>
          <w:color w:val="000000"/>
        </w:rPr>
        <w:t>level</w:t>
      </w:r>
      <w:r w:rsidR="003E4375" w:rsidRPr="00F546EC">
        <w:rPr>
          <w:rFonts w:eastAsia="Times New Roman"/>
          <w:color w:val="000000"/>
        </w:rPr>
        <w:t xml:space="preserve">s of </w:t>
      </w:r>
      <w:r w:rsidR="00A639CE">
        <w:rPr>
          <w:rFonts w:eastAsia="Times New Roman"/>
          <w:color w:val="000000"/>
        </w:rPr>
        <w:t>a</w:t>
      </w:r>
      <w:r w:rsidR="003E4375" w:rsidRPr="00F546EC">
        <w:rPr>
          <w:rFonts w:eastAsia="Times New Roman"/>
          <w:color w:val="000000"/>
        </w:rPr>
        <w:t>ryl isoprenoids derived from the green sulfur bacteria</w:t>
      </w:r>
      <w:r w:rsidR="003E4375" w:rsidRPr="00A639CE">
        <w:rPr>
          <w:rFonts w:eastAsia="Times New Roman"/>
          <w:i/>
          <w:color w:val="000000"/>
        </w:rPr>
        <w:t xml:space="preserve"> </w:t>
      </w:r>
      <w:r w:rsidR="00856C6A">
        <w:rPr>
          <w:rFonts w:eastAsia="Times New Roman"/>
          <w:i/>
          <w:color w:val="000000"/>
        </w:rPr>
        <w:t>C</w:t>
      </w:r>
      <w:r w:rsidR="003E4375" w:rsidRPr="00A639CE">
        <w:rPr>
          <w:rFonts w:eastAsia="Times New Roman"/>
          <w:i/>
          <w:color w:val="000000"/>
        </w:rPr>
        <w:t>hlorobiaceae</w:t>
      </w:r>
      <w:r w:rsidR="003E4375" w:rsidRPr="00F546EC">
        <w:rPr>
          <w:rFonts w:eastAsia="Times New Roman"/>
          <w:color w:val="000000"/>
        </w:rPr>
        <w:t xml:space="preserve"> (</w:t>
      </w:r>
      <w:r w:rsidR="000D3F7D">
        <w:rPr>
          <w:rFonts w:eastAsia="Times New Roman"/>
          <w:color w:val="000000"/>
        </w:rPr>
        <w:t xml:space="preserve">Miceli-Romero and Philp, 2012; </w:t>
      </w:r>
      <w:r w:rsidR="00BC0E71">
        <w:rPr>
          <w:rFonts w:eastAsia="Times New Roman"/>
          <w:color w:val="000000"/>
        </w:rPr>
        <w:t xml:space="preserve">Connock et al., 2018; </w:t>
      </w:r>
      <w:r w:rsidR="003E4375" w:rsidRPr="00F546EC">
        <w:rPr>
          <w:rFonts w:eastAsia="Times New Roman"/>
          <w:color w:val="000000"/>
        </w:rPr>
        <w:t>Fig</w:t>
      </w:r>
      <w:r w:rsidR="008266B7" w:rsidRPr="00F546EC">
        <w:rPr>
          <w:rFonts w:eastAsia="Times New Roman"/>
          <w:color w:val="000000"/>
        </w:rPr>
        <w:t>ure</w:t>
      </w:r>
      <w:r w:rsidR="003E4375" w:rsidRPr="00F546EC">
        <w:rPr>
          <w:rFonts w:eastAsia="Times New Roman"/>
          <w:color w:val="000000"/>
        </w:rPr>
        <w:t xml:space="preserve"> </w:t>
      </w:r>
      <w:r w:rsidR="007D5A9C" w:rsidRPr="00F546EC">
        <w:rPr>
          <w:rFonts w:eastAsia="Times New Roman"/>
          <w:color w:val="000000"/>
        </w:rPr>
        <w:t>1.7</w:t>
      </w:r>
      <w:r w:rsidR="003E4375" w:rsidRPr="00F546EC">
        <w:rPr>
          <w:rFonts w:eastAsia="Times New Roman"/>
          <w:color w:val="000000"/>
        </w:rPr>
        <w:t xml:space="preserve">). Aryl isoprenoid ratios also indicated </w:t>
      </w:r>
      <w:r w:rsidR="00BA4CDC" w:rsidRPr="00F546EC">
        <w:rPr>
          <w:rFonts w:eastAsia="Times New Roman"/>
          <w:color w:val="000000"/>
        </w:rPr>
        <w:t xml:space="preserve">that </w:t>
      </w:r>
      <w:r w:rsidR="003E4375" w:rsidRPr="00F546EC">
        <w:rPr>
          <w:rFonts w:eastAsia="Times New Roman"/>
          <w:color w:val="000000"/>
        </w:rPr>
        <w:t>photic zone anoxia was episodic</w:t>
      </w:r>
      <w:r w:rsidR="00C14B1C">
        <w:rPr>
          <w:rFonts w:eastAsia="Times New Roman"/>
          <w:color w:val="000000"/>
        </w:rPr>
        <w:t xml:space="preserve"> in the Woodford Shale</w:t>
      </w:r>
      <w:r w:rsidR="00BC0E71">
        <w:rPr>
          <w:rFonts w:eastAsia="Times New Roman"/>
          <w:color w:val="000000"/>
        </w:rPr>
        <w:t xml:space="preserve"> (Miceli-Romero and Philp, 2012; Connock et al., 2018)</w:t>
      </w:r>
      <w:r w:rsidR="003E4375" w:rsidRPr="00F546EC">
        <w:rPr>
          <w:rFonts w:eastAsia="Times New Roman"/>
          <w:color w:val="000000"/>
        </w:rPr>
        <w:t>.</w:t>
      </w:r>
    </w:p>
    <w:p w14:paraId="1221ADB4" w14:textId="72F70A7B" w:rsidR="003E4375" w:rsidRPr="00F546EC" w:rsidRDefault="00125B02" w:rsidP="00EF7DAA">
      <w:pPr>
        <w:spacing w:after="0"/>
        <w:jc w:val="center"/>
        <w:rPr>
          <w:rFonts w:eastAsia="Times New Roman"/>
          <w:color w:val="000000"/>
        </w:rPr>
      </w:pPr>
      <w:r w:rsidRPr="0095377B">
        <w:rPr>
          <w:noProof/>
        </w:rPr>
        <w:lastRenderedPageBreak/>
        <w:drawing>
          <wp:inline distT="0" distB="0" distL="0" distR="0" wp14:anchorId="0A5A031A" wp14:editId="247AD3F1">
            <wp:extent cx="5943600" cy="3103880"/>
            <wp:effectExtent l="0" t="0" r="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103880"/>
                    </a:xfrm>
                    <a:prstGeom prst="rect">
                      <a:avLst/>
                    </a:prstGeom>
                    <a:noFill/>
                    <a:ln>
                      <a:noFill/>
                    </a:ln>
                  </pic:spPr>
                </pic:pic>
              </a:graphicData>
            </a:graphic>
          </wp:inline>
        </w:drawing>
      </w:r>
    </w:p>
    <w:p w14:paraId="311181DB" w14:textId="794A097B" w:rsidR="003E4375" w:rsidRDefault="003E4375" w:rsidP="00EF7DAA">
      <w:pPr>
        <w:pStyle w:val="Caption"/>
      </w:pPr>
      <w:bookmarkStart w:id="36" w:name="_Toc35861160"/>
      <w:r w:rsidRPr="00F546EC">
        <w:rPr>
          <w:b/>
        </w:rPr>
        <w:t xml:space="preserve">Figure </w:t>
      </w:r>
      <w:r w:rsidR="007D5A9C" w:rsidRPr="00F546EC">
        <w:rPr>
          <w:b/>
        </w:rPr>
        <w:t>1.7</w:t>
      </w:r>
      <w:r w:rsidRPr="00F546EC">
        <w:rPr>
          <w:b/>
        </w:rPr>
        <w:t>.</w:t>
      </w:r>
      <w:r w:rsidRPr="00F546EC">
        <w:t xml:space="preserve"> Stratigraphic variations in various biomarker ratios for the Woodford Shale in the Wyche Quarry, Oklahoma (Miceli-Romero, 2010).</w:t>
      </w:r>
      <w:bookmarkEnd w:id="36"/>
      <w:r w:rsidR="00923B91">
        <w:t xml:space="preserve"> </w:t>
      </w:r>
    </w:p>
    <w:p w14:paraId="285AA1D4" w14:textId="77777777" w:rsidR="00CD4014" w:rsidRPr="00CD4014" w:rsidRDefault="00CD4014" w:rsidP="00CD4014">
      <w:pPr>
        <w:rPr>
          <w:lang w:bidi="en-US"/>
        </w:rPr>
      </w:pPr>
    </w:p>
    <w:p w14:paraId="7072346B" w14:textId="6805648D" w:rsidR="003E4375" w:rsidRPr="00F546EC" w:rsidRDefault="003E4375" w:rsidP="00530D25">
      <w:pPr>
        <w:pStyle w:val="Heading2"/>
        <w:numPr>
          <w:ilvl w:val="1"/>
          <w:numId w:val="2"/>
        </w:numPr>
      </w:pPr>
      <w:bookmarkStart w:id="37" w:name="_Toc25833523"/>
      <w:bookmarkStart w:id="38" w:name="_Toc35861082"/>
      <w:r w:rsidRPr="00F546EC">
        <w:t xml:space="preserve">The Woodford </w:t>
      </w:r>
      <w:r w:rsidR="005D5407">
        <w:t>S</w:t>
      </w:r>
      <w:r w:rsidRPr="00F546EC">
        <w:t>hale</w:t>
      </w:r>
      <w:r w:rsidR="00815D5F" w:rsidRPr="00F546EC">
        <w:t xml:space="preserve"> in </w:t>
      </w:r>
      <w:r w:rsidRPr="00F546EC">
        <w:t>Oklahoma</w:t>
      </w:r>
      <w:r w:rsidR="00CD6202">
        <w:t>, USA.</w:t>
      </w:r>
      <w:bookmarkEnd w:id="37"/>
      <w:bookmarkEnd w:id="38"/>
    </w:p>
    <w:p w14:paraId="5A7440CD" w14:textId="149FAB22" w:rsidR="004E3DB0" w:rsidRPr="00F546EC" w:rsidRDefault="003E4375" w:rsidP="00987AD1">
      <w:pPr>
        <w:spacing w:after="0"/>
        <w:ind w:firstLine="360"/>
        <w:rPr>
          <w:rFonts w:eastAsia="Times New Roman"/>
          <w:color w:val="000000"/>
        </w:rPr>
      </w:pPr>
      <w:r w:rsidRPr="00F546EC">
        <w:rPr>
          <w:rFonts w:eastAsia="Times New Roman"/>
          <w:color w:val="000000"/>
        </w:rPr>
        <w:t xml:space="preserve">The </w:t>
      </w:r>
      <w:r w:rsidR="005B03AD">
        <w:rPr>
          <w:rFonts w:eastAsia="Times New Roman"/>
          <w:color w:val="000000"/>
        </w:rPr>
        <w:t>L</w:t>
      </w:r>
      <w:r w:rsidRPr="00F546EC">
        <w:rPr>
          <w:rFonts w:eastAsia="Times New Roman"/>
          <w:color w:val="000000"/>
        </w:rPr>
        <w:t>ate Devonian-</w:t>
      </w:r>
      <w:r w:rsidR="005B03AD">
        <w:rPr>
          <w:rFonts w:eastAsia="Times New Roman"/>
          <w:color w:val="000000"/>
        </w:rPr>
        <w:t>E</w:t>
      </w:r>
      <w:r w:rsidRPr="00F546EC">
        <w:rPr>
          <w:rFonts w:eastAsia="Times New Roman"/>
          <w:color w:val="000000"/>
        </w:rPr>
        <w:t>arly Mississippian Woodford Shale was deposited in the Anadarko-Arkoma-Ardmore basins,</w:t>
      </w:r>
      <w:r w:rsidR="005B03AD">
        <w:rPr>
          <w:rFonts w:eastAsia="Times New Roman"/>
          <w:color w:val="000000"/>
        </w:rPr>
        <w:t xml:space="preserve"> in the mid-continent </w:t>
      </w:r>
      <w:r w:rsidRPr="00F546EC">
        <w:rPr>
          <w:rFonts w:eastAsia="Times New Roman"/>
          <w:color w:val="000000"/>
        </w:rPr>
        <w:t>USA over a 33My (359-392My) time (Paxton et al., 2006</w:t>
      </w:r>
      <w:r w:rsidR="00550F18" w:rsidRPr="00F546EC">
        <w:rPr>
          <w:rFonts w:eastAsia="Times New Roman"/>
          <w:color w:val="000000"/>
        </w:rPr>
        <w:t>; Slatt et al., 201</w:t>
      </w:r>
      <w:r w:rsidR="00BF4326" w:rsidRPr="00F546EC">
        <w:rPr>
          <w:rFonts w:eastAsia="Times New Roman"/>
          <w:color w:val="000000"/>
        </w:rPr>
        <w:t>2</w:t>
      </w:r>
      <w:r w:rsidR="00550F18" w:rsidRPr="00F546EC">
        <w:rPr>
          <w:rFonts w:eastAsia="Times New Roman"/>
          <w:color w:val="000000"/>
        </w:rPr>
        <w:t>; Molinares, 2013</w:t>
      </w:r>
      <w:r w:rsidRPr="00F546EC">
        <w:rPr>
          <w:rFonts w:eastAsia="Times New Roman"/>
          <w:color w:val="000000"/>
        </w:rPr>
        <w:t>). It is comprised of three members</w:t>
      </w:r>
      <w:r w:rsidR="00673CB5" w:rsidRPr="00F546EC">
        <w:rPr>
          <w:rFonts w:eastAsia="Times New Roman"/>
          <w:color w:val="000000"/>
        </w:rPr>
        <w:t xml:space="preserve">: </w:t>
      </w:r>
      <w:r w:rsidR="00460281" w:rsidRPr="00F546EC">
        <w:rPr>
          <w:rFonts w:eastAsia="Times New Roman"/>
          <w:color w:val="000000"/>
        </w:rPr>
        <w:t>The</w:t>
      </w:r>
      <w:r w:rsidRPr="00F546EC">
        <w:rPr>
          <w:rFonts w:eastAsia="Times New Roman"/>
          <w:color w:val="000000"/>
        </w:rPr>
        <w:t xml:space="preserve"> </w:t>
      </w:r>
      <w:r w:rsidR="005B03AD">
        <w:rPr>
          <w:rFonts w:eastAsia="Times New Roman"/>
          <w:color w:val="000000"/>
        </w:rPr>
        <w:t>L</w:t>
      </w:r>
      <w:r w:rsidRPr="00F546EC">
        <w:rPr>
          <w:rFonts w:eastAsia="Times New Roman"/>
          <w:color w:val="000000"/>
        </w:rPr>
        <w:t>ower Woodford black shale</w:t>
      </w:r>
      <w:r w:rsidR="00B51485" w:rsidRPr="00F546EC">
        <w:rPr>
          <w:rFonts w:eastAsia="Times New Roman"/>
          <w:color w:val="000000"/>
        </w:rPr>
        <w:t>,</w:t>
      </w:r>
      <w:r w:rsidRPr="00F546EC">
        <w:rPr>
          <w:rFonts w:eastAsia="Times New Roman"/>
          <w:color w:val="000000"/>
        </w:rPr>
        <w:t xml:space="preserve"> which unconformably overlies Hunton </w:t>
      </w:r>
      <w:r w:rsidR="00923B91">
        <w:rPr>
          <w:rFonts w:eastAsia="Times New Roman"/>
          <w:color w:val="000000"/>
        </w:rPr>
        <w:t>g</w:t>
      </w:r>
      <w:r w:rsidRPr="00F546EC">
        <w:rPr>
          <w:rFonts w:eastAsia="Times New Roman"/>
          <w:color w:val="000000"/>
        </w:rPr>
        <w:t xml:space="preserve">roup carbonates, the </w:t>
      </w:r>
      <w:r w:rsidR="005B03AD">
        <w:rPr>
          <w:rFonts w:eastAsia="Times New Roman"/>
          <w:color w:val="000000"/>
        </w:rPr>
        <w:t>M</w:t>
      </w:r>
      <w:r w:rsidRPr="00F546EC">
        <w:rPr>
          <w:rFonts w:eastAsia="Times New Roman"/>
          <w:color w:val="000000"/>
        </w:rPr>
        <w:t xml:space="preserve">iddle Woodford organic-rich, black, pyritic shale, and the more quartzose-phosphatic </w:t>
      </w:r>
      <w:r w:rsidR="005B03AD">
        <w:rPr>
          <w:rFonts w:eastAsia="Times New Roman"/>
          <w:color w:val="000000"/>
        </w:rPr>
        <w:t>U</w:t>
      </w:r>
      <w:r w:rsidRPr="00F546EC">
        <w:rPr>
          <w:rFonts w:eastAsia="Times New Roman"/>
          <w:color w:val="000000"/>
        </w:rPr>
        <w:t>pper Woodford (Fig</w:t>
      </w:r>
      <w:r w:rsidR="00E01D9F" w:rsidRPr="00F546EC">
        <w:rPr>
          <w:rFonts w:eastAsia="Times New Roman"/>
          <w:color w:val="000000"/>
        </w:rPr>
        <w:t xml:space="preserve">ure </w:t>
      </w:r>
      <w:r w:rsidR="007D5A9C" w:rsidRPr="00F546EC">
        <w:rPr>
          <w:rFonts w:eastAsia="Times New Roman"/>
          <w:color w:val="000000"/>
        </w:rPr>
        <w:t>1.8</w:t>
      </w:r>
      <w:r w:rsidR="00D650BE">
        <w:rPr>
          <w:rFonts w:eastAsia="Times New Roman"/>
          <w:color w:val="000000"/>
        </w:rPr>
        <w:t xml:space="preserve">; </w:t>
      </w:r>
      <w:r w:rsidR="00D650BE" w:rsidRPr="00F546EC">
        <w:rPr>
          <w:rFonts w:eastAsia="Times New Roman"/>
          <w:color w:val="000000"/>
        </w:rPr>
        <w:t>Paxton et al., 2006</w:t>
      </w:r>
      <w:r w:rsidRPr="00F546EC">
        <w:rPr>
          <w:rFonts w:eastAsia="Times New Roman"/>
          <w:color w:val="000000"/>
        </w:rPr>
        <w:t xml:space="preserve">). </w:t>
      </w:r>
    </w:p>
    <w:p w14:paraId="03B7BD3D" w14:textId="7E43E6B5" w:rsidR="00E90771" w:rsidRPr="00F546EC" w:rsidRDefault="00E90771" w:rsidP="00981171">
      <w:pPr>
        <w:ind w:firstLine="720"/>
        <w:rPr>
          <w:rFonts w:eastAsia="Times New Roman"/>
          <w:color w:val="000000"/>
        </w:rPr>
      </w:pPr>
      <w:r w:rsidRPr="00F546EC">
        <w:rPr>
          <w:rFonts w:eastAsia="Times New Roman"/>
          <w:color w:val="000000"/>
        </w:rPr>
        <w:t xml:space="preserve">The </w:t>
      </w:r>
      <w:r w:rsidR="001E28B0">
        <w:rPr>
          <w:rFonts w:eastAsia="Times New Roman"/>
          <w:color w:val="000000"/>
        </w:rPr>
        <w:t>s</w:t>
      </w:r>
      <w:r w:rsidR="003E4375" w:rsidRPr="00F546EC">
        <w:rPr>
          <w:rFonts w:eastAsia="Times New Roman"/>
          <w:color w:val="000000"/>
        </w:rPr>
        <w:t>tratigraphic studies of the Woodford</w:t>
      </w:r>
      <w:r w:rsidR="00D238C5" w:rsidRPr="00F546EC">
        <w:rPr>
          <w:rFonts w:eastAsia="Times New Roman"/>
          <w:color w:val="000000"/>
        </w:rPr>
        <w:t xml:space="preserve"> conducted </w:t>
      </w:r>
      <w:r w:rsidR="003E4375" w:rsidRPr="00F546EC">
        <w:rPr>
          <w:rFonts w:eastAsia="Times New Roman"/>
          <w:color w:val="000000"/>
        </w:rPr>
        <w:t>by drilling a borehole just behind a quarry wall (</w:t>
      </w:r>
      <w:r w:rsidR="00BF4326" w:rsidRPr="00F546EC">
        <w:rPr>
          <w:rFonts w:eastAsia="Times New Roman"/>
          <w:color w:val="000000"/>
        </w:rPr>
        <w:t>Sierra-Perez, 201</w:t>
      </w:r>
      <w:r w:rsidR="00B94FA7" w:rsidRPr="00F546EC">
        <w:rPr>
          <w:rFonts w:eastAsia="Times New Roman"/>
          <w:color w:val="000000"/>
        </w:rPr>
        <w:t>1</w:t>
      </w:r>
      <w:r w:rsidR="00BF4326" w:rsidRPr="00F546EC">
        <w:rPr>
          <w:rFonts w:eastAsia="Times New Roman"/>
          <w:color w:val="000000"/>
        </w:rPr>
        <w:t xml:space="preserve">; </w:t>
      </w:r>
      <w:r w:rsidR="003E4375" w:rsidRPr="00F546EC">
        <w:rPr>
          <w:rFonts w:eastAsia="Times New Roman"/>
          <w:color w:val="000000"/>
        </w:rPr>
        <w:t>Slatt et al</w:t>
      </w:r>
      <w:r w:rsidR="0090522E" w:rsidRPr="00F546EC">
        <w:rPr>
          <w:rFonts w:eastAsia="Times New Roman"/>
          <w:color w:val="000000"/>
        </w:rPr>
        <w:t>.</w:t>
      </w:r>
      <w:r w:rsidR="003E4375" w:rsidRPr="00F546EC">
        <w:rPr>
          <w:rFonts w:eastAsia="Times New Roman"/>
          <w:color w:val="000000"/>
        </w:rPr>
        <w:t>, 201</w:t>
      </w:r>
      <w:r w:rsidR="00BF4326" w:rsidRPr="00F546EC">
        <w:rPr>
          <w:rFonts w:eastAsia="Times New Roman"/>
          <w:color w:val="000000"/>
        </w:rPr>
        <w:t>2</w:t>
      </w:r>
      <w:r w:rsidR="002C4CEA" w:rsidRPr="00F546EC">
        <w:rPr>
          <w:rFonts w:eastAsia="Times New Roman"/>
          <w:color w:val="000000"/>
        </w:rPr>
        <w:t>; Molinares, 2013; Turner</w:t>
      </w:r>
      <w:r w:rsidR="000A6E35" w:rsidRPr="00F546EC">
        <w:rPr>
          <w:rFonts w:eastAsia="Times New Roman"/>
          <w:color w:val="000000"/>
        </w:rPr>
        <w:t xml:space="preserve"> et al.</w:t>
      </w:r>
      <w:r w:rsidR="002C4CEA" w:rsidRPr="00F546EC">
        <w:rPr>
          <w:rFonts w:eastAsia="Times New Roman"/>
          <w:color w:val="000000"/>
        </w:rPr>
        <w:t>, 2015</w:t>
      </w:r>
      <w:r w:rsidR="003E4375" w:rsidRPr="00F546EC">
        <w:rPr>
          <w:rFonts w:eastAsia="Times New Roman"/>
          <w:color w:val="000000"/>
        </w:rPr>
        <w:t>) have provided excellent correlation with subsurface wells for improved understanding of both subsurface stratigraphy and natural fracture distribution. T</w:t>
      </w:r>
      <w:r w:rsidR="001E28B0">
        <w:rPr>
          <w:rFonts w:eastAsia="Times New Roman"/>
          <w:color w:val="000000"/>
        </w:rPr>
        <w:t>he Wyche-1</w:t>
      </w:r>
      <w:r w:rsidR="003E4375" w:rsidRPr="00F546EC">
        <w:rPr>
          <w:rFonts w:eastAsia="Times New Roman"/>
          <w:color w:val="000000"/>
        </w:rPr>
        <w:t xml:space="preserve"> core is characterized to be </w:t>
      </w:r>
      <w:r w:rsidR="003E4375" w:rsidRPr="00F546EC">
        <w:rPr>
          <w:rFonts w:eastAsia="Times New Roman"/>
          <w:color w:val="000000"/>
        </w:rPr>
        <w:lastRenderedPageBreak/>
        <w:t>at lower levels of thermal maturity, where the organic matter is c</w:t>
      </w:r>
      <w:r w:rsidR="0090522E" w:rsidRPr="00F546EC">
        <w:rPr>
          <w:rFonts w:eastAsia="Times New Roman"/>
          <w:color w:val="000000"/>
        </w:rPr>
        <w:t>areful</w:t>
      </w:r>
      <w:r w:rsidR="003E4375" w:rsidRPr="00F546EC">
        <w:rPr>
          <w:rFonts w:eastAsia="Times New Roman"/>
          <w:color w:val="000000"/>
        </w:rPr>
        <w:t>ly preserved close</w:t>
      </w:r>
      <w:r w:rsidR="001E28B0">
        <w:rPr>
          <w:rFonts w:eastAsia="Times New Roman"/>
          <w:color w:val="000000"/>
        </w:rPr>
        <w:t xml:space="preserve"> to</w:t>
      </w:r>
      <w:r w:rsidR="003E4375" w:rsidRPr="00F546EC">
        <w:rPr>
          <w:rFonts w:eastAsia="Times New Roman"/>
          <w:color w:val="000000"/>
        </w:rPr>
        <w:t xml:space="preserve"> original conditions and </w:t>
      </w:r>
      <w:r w:rsidR="007E7115" w:rsidRPr="00F546EC">
        <w:rPr>
          <w:rFonts w:eastAsia="Times New Roman"/>
          <w:color w:val="000000"/>
        </w:rPr>
        <w:t>in this dissertation is</w:t>
      </w:r>
      <w:r w:rsidR="003E4375" w:rsidRPr="00F546EC">
        <w:rPr>
          <w:rFonts w:eastAsia="Times New Roman"/>
          <w:color w:val="000000"/>
        </w:rPr>
        <w:t xml:space="preserve"> </w:t>
      </w:r>
      <w:r w:rsidR="00B349B0" w:rsidRPr="00F546EC">
        <w:rPr>
          <w:rFonts w:eastAsia="Times New Roman"/>
          <w:color w:val="000000"/>
        </w:rPr>
        <w:t>describ</w:t>
      </w:r>
      <w:r w:rsidR="003E4375" w:rsidRPr="00F546EC">
        <w:rPr>
          <w:rFonts w:eastAsia="Times New Roman"/>
          <w:color w:val="000000"/>
        </w:rPr>
        <w:t xml:space="preserve">ed as the starting stage for evaluating the </w:t>
      </w:r>
      <w:r w:rsidR="00804F72">
        <w:t xml:space="preserve">enclosed mini-basin </w:t>
      </w:r>
      <w:r w:rsidR="00A22E4E">
        <w:t>fill</w:t>
      </w:r>
      <w:r w:rsidR="00804F72" w:rsidRPr="00F546EC">
        <w:t xml:space="preserve"> </w:t>
      </w:r>
      <w:r w:rsidR="003E4375" w:rsidRPr="00F546EC">
        <w:rPr>
          <w:rFonts w:eastAsia="Times New Roman"/>
          <w:color w:val="000000"/>
        </w:rPr>
        <w:t>deposits within a marine system</w:t>
      </w:r>
      <w:r w:rsidR="00853BB1">
        <w:rPr>
          <w:rFonts w:eastAsia="Times New Roman"/>
          <w:color w:val="000000"/>
        </w:rPr>
        <w:t xml:space="preserve"> (</w:t>
      </w:r>
      <w:r w:rsidR="009B6AF6">
        <w:rPr>
          <w:rFonts w:eastAsia="Times New Roman"/>
          <w:color w:val="000000"/>
        </w:rPr>
        <w:t>F</w:t>
      </w:r>
      <w:r w:rsidR="00853BB1">
        <w:rPr>
          <w:rFonts w:eastAsia="Times New Roman"/>
          <w:color w:val="000000"/>
        </w:rPr>
        <w:t>igure 1.9</w:t>
      </w:r>
      <w:r w:rsidR="00E370DB">
        <w:rPr>
          <w:rFonts w:eastAsia="Times New Roman"/>
          <w:color w:val="000000"/>
        </w:rPr>
        <w:t>; Connock et al., 2018; Molinares, 2019</w:t>
      </w:r>
      <w:r w:rsidR="00853BB1">
        <w:rPr>
          <w:rFonts w:eastAsia="Times New Roman"/>
          <w:color w:val="000000"/>
        </w:rPr>
        <w:t>)</w:t>
      </w:r>
      <w:r w:rsidR="003E4375" w:rsidRPr="00F546EC">
        <w:rPr>
          <w:rFonts w:eastAsia="Times New Roman"/>
          <w:color w:val="000000"/>
        </w:rPr>
        <w:t xml:space="preserve">. </w:t>
      </w:r>
    </w:p>
    <w:p w14:paraId="580EE44D" w14:textId="04925BB5" w:rsidR="00E25B58" w:rsidRDefault="003E4375" w:rsidP="00E76CAD">
      <w:pPr>
        <w:spacing w:after="0"/>
        <w:ind w:firstLine="720"/>
        <w:rPr>
          <w:rFonts w:eastAsia="Times New Roman"/>
          <w:color w:val="000000"/>
        </w:rPr>
      </w:pPr>
      <w:r w:rsidRPr="00F546EC">
        <w:rPr>
          <w:rFonts w:eastAsia="Times New Roman"/>
          <w:color w:val="000000"/>
        </w:rPr>
        <w:t>According to Slatt et al</w:t>
      </w:r>
      <w:r w:rsidR="004341EB" w:rsidRPr="00F546EC">
        <w:rPr>
          <w:rFonts w:eastAsia="Times New Roman"/>
          <w:color w:val="000000"/>
        </w:rPr>
        <w:t>.</w:t>
      </w:r>
      <w:r w:rsidRPr="00F546EC">
        <w:rPr>
          <w:rFonts w:eastAsia="Times New Roman"/>
          <w:color w:val="000000"/>
        </w:rPr>
        <w:t xml:space="preserve"> (201</w:t>
      </w:r>
      <w:r w:rsidR="00E14DE8" w:rsidRPr="00F546EC">
        <w:rPr>
          <w:rFonts w:eastAsia="Times New Roman"/>
          <w:color w:val="000000"/>
        </w:rPr>
        <w:t>2</w:t>
      </w:r>
      <w:r w:rsidRPr="00F546EC">
        <w:rPr>
          <w:rFonts w:eastAsia="Times New Roman"/>
          <w:color w:val="000000"/>
        </w:rPr>
        <w:t>)</w:t>
      </w:r>
      <w:r w:rsidR="004C2472">
        <w:rPr>
          <w:rFonts w:eastAsia="Times New Roman"/>
          <w:color w:val="000000"/>
        </w:rPr>
        <w:t>,</w:t>
      </w:r>
      <w:r w:rsidRPr="00F546EC">
        <w:rPr>
          <w:rFonts w:eastAsia="Times New Roman"/>
          <w:color w:val="000000"/>
        </w:rPr>
        <w:t xml:space="preserve"> the Woodford Shale was deposited during a 2</w:t>
      </w:r>
      <w:r w:rsidRPr="00F546EC">
        <w:rPr>
          <w:rFonts w:eastAsia="Times New Roman"/>
          <w:color w:val="000000"/>
          <w:vertAlign w:val="superscript"/>
        </w:rPr>
        <w:t xml:space="preserve">nd </w:t>
      </w:r>
      <w:r w:rsidRPr="00F546EC">
        <w:rPr>
          <w:rFonts w:eastAsia="Times New Roman"/>
          <w:color w:val="000000"/>
        </w:rPr>
        <w:t>order sea-level cycle</w:t>
      </w:r>
      <w:r w:rsidR="005929A1" w:rsidRPr="00F546EC">
        <w:rPr>
          <w:rFonts w:eastAsia="Times New Roman"/>
          <w:color w:val="000000"/>
        </w:rPr>
        <w:t>,</w:t>
      </w:r>
      <w:r w:rsidRPr="00F546EC">
        <w:rPr>
          <w:rFonts w:eastAsia="Times New Roman"/>
          <w:color w:val="000000"/>
        </w:rPr>
        <w:t xml:space="preserve"> but a superimposed 3rd order sequence stratigraphic framework has been developed</w:t>
      </w:r>
      <w:r w:rsidR="004B4E37" w:rsidRPr="00F546EC">
        <w:rPr>
          <w:rFonts w:eastAsia="Times New Roman"/>
          <w:color w:val="000000"/>
        </w:rPr>
        <w:t>, which was iden</w:t>
      </w:r>
      <w:r w:rsidR="00463106" w:rsidRPr="00F546EC">
        <w:rPr>
          <w:rFonts w:eastAsia="Times New Roman"/>
          <w:color w:val="000000"/>
        </w:rPr>
        <w:t>tif</w:t>
      </w:r>
      <w:r w:rsidR="004B4E37" w:rsidRPr="00F546EC">
        <w:rPr>
          <w:rFonts w:eastAsia="Times New Roman"/>
          <w:color w:val="000000"/>
        </w:rPr>
        <w:t xml:space="preserve">ied </w:t>
      </w:r>
      <w:r w:rsidRPr="00F546EC">
        <w:rPr>
          <w:rFonts w:eastAsia="Times New Roman"/>
          <w:color w:val="000000"/>
        </w:rPr>
        <w:t xml:space="preserve">at the Henry </w:t>
      </w:r>
      <w:r w:rsidR="001E28B0">
        <w:rPr>
          <w:rFonts w:eastAsia="Times New Roman"/>
          <w:color w:val="000000"/>
        </w:rPr>
        <w:t>H</w:t>
      </w:r>
      <w:r w:rsidRPr="00F546EC">
        <w:rPr>
          <w:rFonts w:eastAsia="Times New Roman"/>
          <w:color w:val="000000"/>
        </w:rPr>
        <w:t>ouse Creek outcrop</w:t>
      </w:r>
      <w:r w:rsidR="00DB7D89" w:rsidRPr="00F546EC">
        <w:rPr>
          <w:rFonts w:eastAsia="Times New Roman"/>
          <w:color w:val="000000"/>
        </w:rPr>
        <w:t xml:space="preserve"> (Paxton et al., 2006)</w:t>
      </w:r>
      <w:r w:rsidR="00466339" w:rsidRPr="00F546EC">
        <w:rPr>
          <w:rFonts w:eastAsia="Times New Roman"/>
          <w:color w:val="000000"/>
        </w:rPr>
        <w:t>, Speake Ranch outcrop (Galvis, 2017)</w:t>
      </w:r>
      <w:r w:rsidR="001937F7" w:rsidRPr="00F546EC">
        <w:rPr>
          <w:rFonts w:eastAsia="Times New Roman"/>
          <w:color w:val="000000"/>
        </w:rPr>
        <w:t xml:space="preserve">, </w:t>
      </w:r>
      <w:r w:rsidR="00265D10" w:rsidRPr="00F546EC">
        <w:rPr>
          <w:rFonts w:eastAsia="Times New Roman"/>
          <w:color w:val="000000"/>
        </w:rPr>
        <w:t>I-35S outcrop (Becerra-</w:t>
      </w:r>
      <w:r w:rsidR="00D65250" w:rsidRPr="00F546EC">
        <w:rPr>
          <w:rFonts w:eastAsia="Times New Roman"/>
          <w:color w:val="000000"/>
        </w:rPr>
        <w:t>Rondon,</w:t>
      </w:r>
      <w:r w:rsidR="00265D10" w:rsidRPr="00F546EC">
        <w:rPr>
          <w:rFonts w:eastAsia="Times New Roman"/>
          <w:color w:val="000000"/>
        </w:rPr>
        <w:t xml:space="preserve"> 2017; Jones 2017), </w:t>
      </w:r>
      <w:r w:rsidR="001937F7" w:rsidRPr="00F546EC">
        <w:rPr>
          <w:rFonts w:eastAsia="Times New Roman"/>
          <w:color w:val="000000"/>
        </w:rPr>
        <w:t>Arbuckle Mountains</w:t>
      </w:r>
      <w:r w:rsidR="00C44F9A" w:rsidRPr="00F546EC">
        <w:rPr>
          <w:rFonts w:eastAsia="Times New Roman"/>
          <w:color w:val="000000"/>
        </w:rPr>
        <w:t xml:space="preserve"> Wilderness outcrop</w:t>
      </w:r>
      <w:r w:rsidR="001937F7" w:rsidRPr="00F546EC">
        <w:rPr>
          <w:rFonts w:eastAsia="Times New Roman"/>
          <w:color w:val="000000"/>
        </w:rPr>
        <w:t xml:space="preserve"> (</w:t>
      </w:r>
      <w:r w:rsidR="00F03FE3" w:rsidRPr="00F546EC">
        <w:rPr>
          <w:rFonts w:eastAsia="Times New Roman"/>
          <w:color w:val="000000"/>
        </w:rPr>
        <w:t>Bontempi</w:t>
      </w:r>
      <w:r w:rsidR="00C44F9A" w:rsidRPr="00F546EC">
        <w:rPr>
          <w:rFonts w:eastAsia="Times New Roman"/>
          <w:color w:val="000000"/>
        </w:rPr>
        <w:t>, 201</w:t>
      </w:r>
      <w:r w:rsidR="00E320D6" w:rsidRPr="00F546EC">
        <w:rPr>
          <w:rFonts w:eastAsia="Times New Roman"/>
          <w:color w:val="000000"/>
        </w:rPr>
        <w:t>5</w:t>
      </w:r>
      <w:r w:rsidR="00C44F9A" w:rsidRPr="00F546EC">
        <w:rPr>
          <w:rFonts w:eastAsia="Times New Roman"/>
          <w:color w:val="000000"/>
        </w:rPr>
        <w:t>; Ghosh 2017),</w:t>
      </w:r>
      <w:r w:rsidR="00466339" w:rsidRPr="00F546EC">
        <w:rPr>
          <w:rFonts w:eastAsia="Times New Roman"/>
          <w:color w:val="000000"/>
        </w:rPr>
        <w:t xml:space="preserve"> McAlester </w:t>
      </w:r>
      <w:r w:rsidR="00E76CAD">
        <w:rPr>
          <w:rFonts w:eastAsia="Times New Roman"/>
          <w:color w:val="000000"/>
        </w:rPr>
        <w:t>q</w:t>
      </w:r>
      <w:r w:rsidR="00466339" w:rsidRPr="00F546EC">
        <w:rPr>
          <w:rFonts w:eastAsia="Times New Roman"/>
          <w:color w:val="000000"/>
        </w:rPr>
        <w:t>uarry outcrop (</w:t>
      </w:r>
      <w:r w:rsidR="005D3796">
        <w:rPr>
          <w:rFonts w:eastAsia="Times New Roman"/>
          <w:color w:val="000000"/>
        </w:rPr>
        <w:t xml:space="preserve">Serna-Bernal, 2013; </w:t>
      </w:r>
      <w:r w:rsidR="00E5324C" w:rsidRPr="00F546EC">
        <w:rPr>
          <w:rFonts w:eastAsia="Times New Roman"/>
          <w:color w:val="000000"/>
        </w:rPr>
        <w:t>DeGarmo, 2015;</w:t>
      </w:r>
      <w:r w:rsidR="00466339" w:rsidRPr="00F546EC">
        <w:rPr>
          <w:rFonts w:eastAsia="Times New Roman"/>
          <w:color w:val="000000"/>
        </w:rPr>
        <w:t xml:space="preserve"> </w:t>
      </w:r>
      <w:r w:rsidR="00DB31ED">
        <w:rPr>
          <w:rFonts w:eastAsia="Times New Roman"/>
          <w:color w:val="000000"/>
        </w:rPr>
        <w:t>E</w:t>
      </w:r>
      <w:r w:rsidR="00466339" w:rsidRPr="00F546EC">
        <w:rPr>
          <w:rFonts w:eastAsia="Times New Roman"/>
          <w:color w:val="000000"/>
        </w:rPr>
        <w:t>kw</w:t>
      </w:r>
      <w:r w:rsidR="00DB31ED">
        <w:rPr>
          <w:rFonts w:eastAsia="Times New Roman"/>
          <w:color w:val="000000"/>
        </w:rPr>
        <w:t>u</w:t>
      </w:r>
      <w:r w:rsidR="00466339" w:rsidRPr="00F546EC">
        <w:rPr>
          <w:rFonts w:eastAsia="Times New Roman"/>
          <w:color w:val="000000"/>
        </w:rPr>
        <w:t>nife, 2017)</w:t>
      </w:r>
      <w:r w:rsidR="00946AE3" w:rsidRPr="00F546EC">
        <w:rPr>
          <w:rFonts w:eastAsia="Times New Roman"/>
          <w:color w:val="000000"/>
        </w:rPr>
        <w:t>, and Wyche</w:t>
      </w:r>
      <w:r w:rsidR="009B787B">
        <w:rPr>
          <w:rFonts w:eastAsia="Times New Roman"/>
          <w:color w:val="000000"/>
        </w:rPr>
        <w:t xml:space="preserve"> Farm q</w:t>
      </w:r>
      <w:r w:rsidR="00946AE3" w:rsidRPr="00F546EC">
        <w:rPr>
          <w:rFonts w:eastAsia="Times New Roman"/>
          <w:color w:val="000000"/>
        </w:rPr>
        <w:t>uarry (</w:t>
      </w:r>
      <w:r w:rsidR="00DA2A57" w:rsidRPr="00F546EC">
        <w:rPr>
          <w:rFonts w:eastAsia="Times New Roman"/>
          <w:color w:val="000000"/>
        </w:rPr>
        <w:t>Miceli</w:t>
      </w:r>
      <w:r w:rsidR="00881315">
        <w:rPr>
          <w:rFonts w:eastAsia="Times New Roman"/>
          <w:color w:val="000000"/>
        </w:rPr>
        <w:t>-Romero,</w:t>
      </w:r>
      <w:r w:rsidR="00DA2A57" w:rsidRPr="00F546EC">
        <w:rPr>
          <w:rFonts w:eastAsia="Times New Roman"/>
          <w:color w:val="000000"/>
        </w:rPr>
        <w:t xml:space="preserve"> 2010;</w:t>
      </w:r>
      <w:r w:rsidR="00881315">
        <w:rPr>
          <w:rFonts w:eastAsia="Times New Roman"/>
          <w:color w:val="000000"/>
        </w:rPr>
        <w:t xml:space="preserve"> Miceli-Romero and Philp, 2012;</w:t>
      </w:r>
      <w:r w:rsidR="00DA2A57" w:rsidRPr="00F546EC">
        <w:rPr>
          <w:rFonts w:eastAsia="Times New Roman"/>
          <w:color w:val="000000"/>
        </w:rPr>
        <w:t xml:space="preserve"> Sierra-Perez, 201</w:t>
      </w:r>
      <w:r w:rsidR="00B94FA7" w:rsidRPr="00F546EC">
        <w:rPr>
          <w:rFonts w:eastAsia="Times New Roman"/>
          <w:color w:val="000000"/>
        </w:rPr>
        <w:t>1</w:t>
      </w:r>
      <w:r w:rsidR="00DA2A57" w:rsidRPr="00F546EC">
        <w:rPr>
          <w:rFonts w:eastAsia="Times New Roman"/>
          <w:color w:val="000000"/>
        </w:rPr>
        <w:t xml:space="preserve">; </w:t>
      </w:r>
      <w:r w:rsidR="00D5229B" w:rsidRPr="00F546EC">
        <w:rPr>
          <w:rFonts w:eastAsia="Times New Roman"/>
          <w:color w:val="000000"/>
        </w:rPr>
        <w:t xml:space="preserve">Slatt et al., 2012; </w:t>
      </w:r>
      <w:r w:rsidR="00946AE3" w:rsidRPr="00F546EC">
        <w:rPr>
          <w:rFonts w:eastAsia="Times New Roman"/>
          <w:color w:val="000000"/>
        </w:rPr>
        <w:t>Molinares 2013; Turner</w:t>
      </w:r>
      <w:r w:rsidR="00881315">
        <w:rPr>
          <w:rFonts w:eastAsia="Times New Roman"/>
          <w:color w:val="000000"/>
        </w:rPr>
        <w:t xml:space="preserve"> et al.</w:t>
      </w:r>
      <w:r w:rsidR="00946AE3" w:rsidRPr="00F546EC">
        <w:rPr>
          <w:rFonts w:eastAsia="Times New Roman"/>
          <w:color w:val="000000"/>
        </w:rPr>
        <w:t>, 2015</w:t>
      </w:r>
      <w:r w:rsidR="00E5324C" w:rsidRPr="00F546EC">
        <w:rPr>
          <w:rFonts w:eastAsia="Times New Roman"/>
          <w:color w:val="000000"/>
        </w:rPr>
        <w:t>; Connock</w:t>
      </w:r>
      <w:r w:rsidR="00954F4F" w:rsidRPr="00F546EC">
        <w:rPr>
          <w:rFonts w:eastAsia="Times New Roman"/>
          <w:color w:val="000000"/>
        </w:rPr>
        <w:t xml:space="preserve"> et al.</w:t>
      </w:r>
      <w:r w:rsidR="00E5324C" w:rsidRPr="00F546EC">
        <w:rPr>
          <w:rFonts w:eastAsia="Times New Roman"/>
          <w:color w:val="000000"/>
        </w:rPr>
        <w:t>, 2018</w:t>
      </w:r>
      <w:r w:rsidR="00551EF7">
        <w:rPr>
          <w:rFonts w:eastAsia="Times New Roman"/>
          <w:color w:val="000000"/>
        </w:rPr>
        <w:t>; Molinares, 2019</w:t>
      </w:r>
      <w:r w:rsidR="00946AE3" w:rsidRPr="00F546EC">
        <w:rPr>
          <w:rFonts w:eastAsia="Times New Roman"/>
          <w:color w:val="000000"/>
        </w:rPr>
        <w:t>)</w:t>
      </w:r>
      <w:r w:rsidR="00F76FB4">
        <w:rPr>
          <w:rFonts w:eastAsia="Times New Roman"/>
          <w:color w:val="000000"/>
        </w:rPr>
        <w:t>. A</w:t>
      </w:r>
      <w:r w:rsidR="004B4E37" w:rsidRPr="00F546EC">
        <w:rPr>
          <w:rFonts w:eastAsia="Times New Roman"/>
          <w:color w:val="000000"/>
        </w:rPr>
        <w:t>ll of</w:t>
      </w:r>
      <w:r w:rsidR="00946AE3" w:rsidRPr="00F546EC">
        <w:rPr>
          <w:rFonts w:eastAsia="Times New Roman"/>
          <w:color w:val="000000"/>
        </w:rPr>
        <w:t xml:space="preserve"> these</w:t>
      </w:r>
      <w:r w:rsidR="008968DB" w:rsidRPr="00F546EC">
        <w:rPr>
          <w:rFonts w:eastAsia="Times New Roman"/>
          <w:color w:val="000000"/>
        </w:rPr>
        <w:t xml:space="preserve"> authors</w:t>
      </w:r>
      <w:r w:rsidRPr="00F546EC">
        <w:rPr>
          <w:rFonts w:eastAsia="Times New Roman"/>
          <w:color w:val="000000"/>
        </w:rPr>
        <w:t xml:space="preserve"> </w:t>
      </w:r>
      <w:r w:rsidR="004B4E37" w:rsidRPr="00F546EC">
        <w:rPr>
          <w:rFonts w:eastAsia="Times New Roman"/>
          <w:color w:val="000000"/>
        </w:rPr>
        <w:t xml:space="preserve">mentioned </w:t>
      </w:r>
      <w:r w:rsidR="008968DB" w:rsidRPr="00F546EC">
        <w:rPr>
          <w:rFonts w:eastAsia="Times New Roman"/>
          <w:color w:val="000000"/>
        </w:rPr>
        <w:t xml:space="preserve">that the </w:t>
      </w:r>
      <w:r w:rsidR="00946AE3" w:rsidRPr="00F546EC">
        <w:rPr>
          <w:rFonts w:eastAsia="Times New Roman"/>
          <w:color w:val="000000"/>
        </w:rPr>
        <w:t xml:space="preserve">Woodford </w:t>
      </w:r>
      <w:r w:rsidR="00923B91">
        <w:rPr>
          <w:rFonts w:eastAsia="Times New Roman"/>
          <w:color w:val="000000"/>
        </w:rPr>
        <w:t>S</w:t>
      </w:r>
      <w:r w:rsidR="00946AE3" w:rsidRPr="00F546EC">
        <w:rPr>
          <w:rFonts w:eastAsia="Times New Roman"/>
          <w:color w:val="000000"/>
        </w:rPr>
        <w:t xml:space="preserve">hale stratigraphic </w:t>
      </w:r>
      <w:r w:rsidRPr="00F546EC">
        <w:rPr>
          <w:rFonts w:eastAsia="Times New Roman"/>
          <w:color w:val="000000"/>
        </w:rPr>
        <w:t>section</w:t>
      </w:r>
      <w:r w:rsidR="00466339" w:rsidRPr="00F546EC">
        <w:rPr>
          <w:rFonts w:eastAsia="Times New Roman"/>
          <w:color w:val="000000"/>
        </w:rPr>
        <w:t>s</w:t>
      </w:r>
      <w:r w:rsidRPr="00F546EC">
        <w:rPr>
          <w:rFonts w:eastAsia="Times New Roman"/>
          <w:color w:val="000000"/>
        </w:rPr>
        <w:t xml:space="preserve"> consist of several parasequences composed of a basal, high API gamma-ray response </w:t>
      </w:r>
      <w:r w:rsidR="00787AE2" w:rsidRPr="00F546EC">
        <w:rPr>
          <w:rFonts w:eastAsia="Times New Roman"/>
          <w:color w:val="000000"/>
        </w:rPr>
        <w:t>[counts per second]</w:t>
      </w:r>
      <w:r w:rsidRPr="00F546EC">
        <w:rPr>
          <w:rFonts w:eastAsia="Times New Roman"/>
          <w:color w:val="000000"/>
        </w:rPr>
        <w:t xml:space="preserve"> overlain by a lower API</w:t>
      </w:r>
      <w:r w:rsidR="004B4E37" w:rsidRPr="00F546EC">
        <w:rPr>
          <w:rFonts w:eastAsia="Times New Roman"/>
          <w:color w:val="000000"/>
        </w:rPr>
        <w:t xml:space="preserve"> </w:t>
      </w:r>
      <w:r w:rsidR="00A6787B" w:rsidRPr="00F546EC">
        <w:rPr>
          <w:rFonts w:eastAsia="Times New Roman"/>
          <w:color w:val="000000"/>
        </w:rPr>
        <w:t>section</w:t>
      </w:r>
      <w:r w:rsidRPr="00F546EC">
        <w:rPr>
          <w:rFonts w:eastAsia="Times New Roman"/>
          <w:color w:val="000000"/>
        </w:rPr>
        <w:t xml:space="preserve"> (Fig</w:t>
      </w:r>
      <w:r w:rsidR="00A6787B" w:rsidRPr="00F546EC">
        <w:rPr>
          <w:rFonts w:eastAsia="Times New Roman"/>
          <w:color w:val="000000"/>
        </w:rPr>
        <w:t>ure</w:t>
      </w:r>
      <w:r w:rsidRPr="00F546EC">
        <w:rPr>
          <w:rFonts w:eastAsia="Times New Roman"/>
          <w:color w:val="000000"/>
        </w:rPr>
        <w:t xml:space="preserve"> </w:t>
      </w:r>
      <w:r w:rsidR="008B060F" w:rsidRPr="00F546EC">
        <w:rPr>
          <w:rFonts w:eastAsia="Times New Roman"/>
          <w:color w:val="000000"/>
        </w:rPr>
        <w:t>1.8</w:t>
      </w:r>
      <w:r w:rsidRPr="00F546EC">
        <w:rPr>
          <w:rFonts w:eastAsia="Times New Roman"/>
          <w:color w:val="000000"/>
        </w:rPr>
        <w:t>). Th</w:t>
      </w:r>
      <w:r w:rsidR="006E4911" w:rsidRPr="00F546EC">
        <w:rPr>
          <w:rFonts w:eastAsia="Times New Roman"/>
          <w:color w:val="000000"/>
        </w:rPr>
        <w:t>e interpreted outcrop</w:t>
      </w:r>
      <w:r w:rsidRPr="00F546EC">
        <w:rPr>
          <w:rFonts w:eastAsia="Times New Roman"/>
          <w:color w:val="000000"/>
        </w:rPr>
        <w:t xml:space="preserve"> stratigraphy was correlated to subsurface well</w:t>
      </w:r>
      <w:r w:rsidR="002077C8" w:rsidRPr="00F546EC">
        <w:rPr>
          <w:rFonts w:eastAsia="Times New Roman"/>
          <w:color w:val="000000"/>
        </w:rPr>
        <w:t>s initially</w:t>
      </w:r>
      <w:r w:rsidRPr="00F546EC">
        <w:rPr>
          <w:rFonts w:eastAsia="Times New Roman"/>
          <w:color w:val="000000"/>
        </w:rPr>
        <w:t xml:space="preserve"> by Paxton et al. (2006)</w:t>
      </w:r>
      <w:r w:rsidR="00F76FB4">
        <w:rPr>
          <w:rFonts w:eastAsia="Times New Roman"/>
          <w:color w:val="000000"/>
        </w:rPr>
        <w:t xml:space="preserve"> and</w:t>
      </w:r>
      <w:r w:rsidR="00A11E33" w:rsidRPr="00F546EC">
        <w:rPr>
          <w:rFonts w:eastAsia="Times New Roman"/>
          <w:color w:val="000000"/>
        </w:rPr>
        <w:t xml:space="preserve"> summarized in Slatt et al. (201</w:t>
      </w:r>
      <w:r w:rsidR="00261444" w:rsidRPr="00F546EC">
        <w:rPr>
          <w:rFonts w:eastAsia="Times New Roman"/>
          <w:color w:val="000000"/>
        </w:rPr>
        <w:t>2</w:t>
      </w:r>
      <w:r w:rsidR="00A11E33" w:rsidRPr="00F546EC">
        <w:rPr>
          <w:rFonts w:eastAsia="Times New Roman"/>
          <w:color w:val="000000"/>
        </w:rPr>
        <w:t xml:space="preserve">; </w:t>
      </w:r>
      <w:r w:rsidRPr="00F546EC">
        <w:rPr>
          <w:rFonts w:eastAsia="Times New Roman"/>
          <w:color w:val="000000"/>
        </w:rPr>
        <w:t>Fig</w:t>
      </w:r>
      <w:r w:rsidR="002077C8" w:rsidRPr="00F546EC">
        <w:rPr>
          <w:rFonts w:eastAsia="Times New Roman"/>
          <w:color w:val="000000"/>
        </w:rPr>
        <w:t>ure</w:t>
      </w:r>
      <w:r w:rsidRPr="00F546EC">
        <w:rPr>
          <w:rFonts w:eastAsia="Times New Roman"/>
          <w:color w:val="000000"/>
        </w:rPr>
        <w:t xml:space="preserve"> </w:t>
      </w:r>
      <w:r w:rsidR="007D5A9C" w:rsidRPr="00F546EC">
        <w:rPr>
          <w:rFonts w:eastAsia="Times New Roman"/>
          <w:color w:val="000000"/>
        </w:rPr>
        <w:t>1.8</w:t>
      </w:r>
      <w:r w:rsidRPr="00F546EC">
        <w:rPr>
          <w:rFonts w:eastAsia="Times New Roman"/>
          <w:color w:val="000000"/>
        </w:rPr>
        <w:t>)</w:t>
      </w:r>
      <w:r w:rsidR="00EF5126">
        <w:rPr>
          <w:rFonts w:eastAsia="Times New Roman"/>
          <w:color w:val="000000"/>
        </w:rPr>
        <w:t xml:space="preserve">. Paxton et al. (2006) emphasized that the </w:t>
      </w:r>
      <w:r w:rsidR="00F76FB4">
        <w:rPr>
          <w:rFonts w:eastAsia="Times New Roman"/>
          <w:color w:val="000000"/>
        </w:rPr>
        <w:t xml:space="preserve">outcrop features are very distinctive and </w:t>
      </w:r>
      <w:r w:rsidR="007E60AB">
        <w:rPr>
          <w:rFonts w:eastAsia="Times New Roman"/>
          <w:color w:val="000000"/>
        </w:rPr>
        <w:t xml:space="preserve">are </w:t>
      </w:r>
      <w:r w:rsidR="00F76FB4">
        <w:rPr>
          <w:rFonts w:eastAsia="Times New Roman"/>
          <w:color w:val="000000"/>
        </w:rPr>
        <w:t xml:space="preserve">similarly present </w:t>
      </w:r>
      <w:r w:rsidR="007E60AB">
        <w:rPr>
          <w:rFonts w:eastAsia="Times New Roman"/>
          <w:color w:val="000000"/>
        </w:rPr>
        <w:t>in</w:t>
      </w:r>
      <w:r w:rsidR="00F76FB4">
        <w:rPr>
          <w:rFonts w:eastAsia="Times New Roman"/>
          <w:color w:val="000000"/>
        </w:rPr>
        <w:t xml:space="preserve"> the geological characteristic of subsurface well logs and core samples</w:t>
      </w:r>
      <w:r w:rsidRPr="00F546EC">
        <w:rPr>
          <w:rFonts w:eastAsia="Times New Roman"/>
          <w:color w:val="000000"/>
        </w:rPr>
        <w:t>.  Similar sequence stratigraphy has been interpreted at the</w:t>
      </w:r>
      <w:r w:rsidR="000677D7" w:rsidRPr="00F546EC">
        <w:rPr>
          <w:rFonts w:eastAsia="Times New Roman"/>
          <w:color w:val="000000"/>
        </w:rPr>
        <w:t xml:space="preserve"> Wyche </w:t>
      </w:r>
      <w:r w:rsidR="00B35F28">
        <w:rPr>
          <w:rFonts w:eastAsia="Times New Roman"/>
          <w:color w:val="000000"/>
        </w:rPr>
        <w:t>F</w:t>
      </w:r>
      <w:r w:rsidR="00F76FB4">
        <w:rPr>
          <w:rFonts w:eastAsia="Times New Roman"/>
          <w:color w:val="000000"/>
        </w:rPr>
        <w:t>arm q</w:t>
      </w:r>
      <w:r w:rsidR="000677D7" w:rsidRPr="00F546EC">
        <w:rPr>
          <w:rFonts w:eastAsia="Times New Roman"/>
          <w:color w:val="000000"/>
        </w:rPr>
        <w:t>uarry by Slatt et al. (201</w:t>
      </w:r>
      <w:r w:rsidR="00261444" w:rsidRPr="00F546EC">
        <w:rPr>
          <w:rFonts w:eastAsia="Times New Roman"/>
          <w:color w:val="000000"/>
        </w:rPr>
        <w:t>2</w:t>
      </w:r>
      <w:r w:rsidR="000677D7" w:rsidRPr="00F546EC">
        <w:rPr>
          <w:rFonts w:eastAsia="Times New Roman"/>
          <w:color w:val="000000"/>
        </w:rPr>
        <w:t>) and Molinares (2013)</w:t>
      </w:r>
      <w:r w:rsidR="0090522E" w:rsidRPr="00F546EC">
        <w:rPr>
          <w:rFonts w:eastAsia="Times New Roman"/>
          <w:color w:val="000000"/>
        </w:rPr>
        <w:t>,</w:t>
      </w:r>
      <w:r w:rsidR="00F76FB4">
        <w:rPr>
          <w:rFonts w:eastAsia="Times New Roman"/>
          <w:color w:val="000000"/>
        </w:rPr>
        <w:t xml:space="preserve"> and for the Speake Ranch outcrop and subsurface wells by Galvis (2017)</w:t>
      </w:r>
      <w:r w:rsidR="00EF5126">
        <w:rPr>
          <w:rFonts w:eastAsia="Times New Roman"/>
          <w:color w:val="000000"/>
        </w:rPr>
        <w:t xml:space="preserve">. The Woodford Shale </w:t>
      </w:r>
      <w:r w:rsidRPr="00F546EC">
        <w:rPr>
          <w:rFonts w:eastAsia="Times New Roman"/>
          <w:color w:val="000000"/>
        </w:rPr>
        <w:t>downlapping clinoforms can sometimes be identified on seismic reflection records (</w:t>
      </w:r>
      <w:r w:rsidR="000677D7" w:rsidRPr="00F546EC">
        <w:rPr>
          <w:rFonts w:eastAsia="Times New Roman"/>
          <w:color w:val="000000"/>
        </w:rPr>
        <w:t xml:space="preserve">Althoff, 2012; </w:t>
      </w:r>
      <w:r w:rsidR="00E14DE8" w:rsidRPr="00F546EC">
        <w:rPr>
          <w:rFonts w:eastAsia="Times New Roman"/>
          <w:color w:val="000000"/>
        </w:rPr>
        <w:t xml:space="preserve">Amorocho-Sanchez, 2012; </w:t>
      </w:r>
      <w:r w:rsidR="000677D7" w:rsidRPr="00F546EC">
        <w:rPr>
          <w:rFonts w:eastAsia="Times New Roman"/>
          <w:color w:val="000000"/>
        </w:rPr>
        <w:t>Cardona</w:t>
      </w:r>
      <w:r w:rsidR="005123CB">
        <w:rPr>
          <w:rFonts w:eastAsia="Times New Roman"/>
          <w:color w:val="000000"/>
        </w:rPr>
        <w:t>-Valencia</w:t>
      </w:r>
      <w:r w:rsidR="000677D7" w:rsidRPr="00F546EC">
        <w:rPr>
          <w:rFonts w:eastAsia="Times New Roman"/>
          <w:color w:val="000000"/>
        </w:rPr>
        <w:t>, 2014; Infante-P</w:t>
      </w:r>
      <w:r w:rsidR="00514B08" w:rsidRPr="00F546EC">
        <w:rPr>
          <w:rFonts w:eastAsia="Times New Roman"/>
          <w:color w:val="000000"/>
        </w:rPr>
        <w:t>a</w:t>
      </w:r>
      <w:r w:rsidR="000677D7" w:rsidRPr="00F546EC">
        <w:rPr>
          <w:rFonts w:eastAsia="Times New Roman"/>
          <w:color w:val="000000"/>
        </w:rPr>
        <w:t>ez</w:t>
      </w:r>
      <w:r w:rsidR="00274D98" w:rsidRPr="00F546EC">
        <w:rPr>
          <w:rFonts w:eastAsia="Times New Roman"/>
          <w:color w:val="000000"/>
        </w:rPr>
        <w:t xml:space="preserve"> et al.</w:t>
      </w:r>
      <w:r w:rsidR="000677D7" w:rsidRPr="00F546EC">
        <w:rPr>
          <w:rFonts w:eastAsia="Times New Roman"/>
          <w:color w:val="000000"/>
        </w:rPr>
        <w:t>, 201</w:t>
      </w:r>
      <w:r w:rsidR="00274D98" w:rsidRPr="00F546EC">
        <w:rPr>
          <w:rFonts w:eastAsia="Times New Roman"/>
          <w:color w:val="000000"/>
        </w:rPr>
        <w:t>6</w:t>
      </w:r>
      <w:r w:rsidR="00514B08" w:rsidRPr="00F546EC">
        <w:rPr>
          <w:rFonts w:eastAsia="Times New Roman"/>
          <w:color w:val="000000"/>
        </w:rPr>
        <w:t>; Milad, 2019</w:t>
      </w:r>
      <w:r w:rsidR="000677D7" w:rsidRPr="00F546EC">
        <w:rPr>
          <w:rFonts w:eastAsia="Times New Roman"/>
          <w:color w:val="000000"/>
        </w:rPr>
        <w:t xml:space="preserve">; </w:t>
      </w:r>
      <w:r w:rsidRPr="00F546EC">
        <w:rPr>
          <w:rFonts w:eastAsia="Times New Roman"/>
          <w:color w:val="000000"/>
        </w:rPr>
        <w:t>Fig</w:t>
      </w:r>
      <w:r w:rsidR="00553932" w:rsidRPr="00F546EC">
        <w:rPr>
          <w:rFonts w:eastAsia="Times New Roman"/>
          <w:color w:val="000000"/>
        </w:rPr>
        <w:t>ure</w:t>
      </w:r>
      <w:r w:rsidRPr="00F546EC">
        <w:rPr>
          <w:rFonts w:eastAsia="Times New Roman"/>
          <w:color w:val="000000"/>
        </w:rPr>
        <w:t xml:space="preserve"> </w:t>
      </w:r>
      <w:r w:rsidR="007D5A9C" w:rsidRPr="00F546EC">
        <w:rPr>
          <w:rFonts w:eastAsia="Times New Roman"/>
          <w:color w:val="000000"/>
        </w:rPr>
        <w:t>1.</w:t>
      </w:r>
      <w:r w:rsidR="008B060F" w:rsidRPr="00F546EC">
        <w:rPr>
          <w:rFonts w:eastAsia="Times New Roman"/>
          <w:color w:val="000000"/>
        </w:rPr>
        <w:t>9</w:t>
      </w:r>
      <w:r w:rsidRPr="00F546EC">
        <w:rPr>
          <w:rFonts w:eastAsia="Times New Roman"/>
          <w:color w:val="000000"/>
        </w:rPr>
        <w:t xml:space="preserve">). </w:t>
      </w:r>
    </w:p>
    <w:p w14:paraId="2830F6A5" w14:textId="4FA99513" w:rsidR="0067304D" w:rsidRPr="00F546EC" w:rsidRDefault="003E4375" w:rsidP="00981171">
      <w:pPr>
        <w:ind w:firstLine="720"/>
        <w:rPr>
          <w:rFonts w:eastAsia="Times New Roman"/>
          <w:color w:val="000000"/>
        </w:rPr>
      </w:pPr>
      <w:r w:rsidRPr="00F546EC">
        <w:rPr>
          <w:rFonts w:eastAsia="Times New Roman"/>
          <w:color w:val="000000"/>
        </w:rPr>
        <w:lastRenderedPageBreak/>
        <w:t xml:space="preserve">At a smaller stratigraphic scale, some intervals contain interbedded chert and fissile shale, giving rise to a very </w:t>
      </w:r>
      <w:r w:rsidR="00BA7191" w:rsidRPr="00F546EC">
        <w:rPr>
          <w:rFonts w:eastAsia="Times New Roman"/>
          <w:color w:val="000000"/>
        </w:rPr>
        <w:t>intricate</w:t>
      </w:r>
      <w:r w:rsidRPr="00F546EC">
        <w:rPr>
          <w:rFonts w:eastAsia="Times New Roman"/>
          <w:color w:val="000000"/>
        </w:rPr>
        <w:t xml:space="preserve"> </w:t>
      </w:r>
      <w:r w:rsidR="00EF5126">
        <w:rPr>
          <w:rFonts w:eastAsia="Times New Roman"/>
          <w:color w:val="000000"/>
        </w:rPr>
        <w:t>G</w:t>
      </w:r>
      <w:r w:rsidRPr="00F546EC">
        <w:rPr>
          <w:rFonts w:eastAsia="Times New Roman"/>
          <w:color w:val="000000"/>
        </w:rPr>
        <w:t>amma-ray log pattern</w:t>
      </w:r>
      <w:r w:rsidR="00C641B0">
        <w:rPr>
          <w:rFonts w:eastAsia="Times New Roman"/>
          <w:color w:val="000000"/>
        </w:rPr>
        <w:t xml:space="preserve"> (Molinares, 2013; Turner et al., 2015)</w:t>
      </w:r>
      <w:r w:rsidRPr="00F546EC">
        <w:rPr>
          <w:rFonts w:eastAsia="Times New Roman"/>
          <w:color w:val="000000"/>
        </w:rPr>
        <w:t>. The chert beds are composed mainly of diagenetically-recrystallized radiolarians, providing a rigid, brittle framework, while the more ductile shale interbeds contain both detrital and authigenic quartz, clay (mainly illite), feldspar and &gt;10</w:t>
      </w:r>
      <w:r w:rsidR="00F532CB">
        <w:rPr>
          <w:rFonts w:eastAsia="Times New Roman"/>
          <w:color w:val="000000"/>
        </w:rPr>
        <w:t>wt</w:t>
      </w:r>
      <w:r w:rsidRPr="00F546EC">
        <w:rPr>
          <w:rFonts w:eastAsia="Times New Roman"/>
          <w:color w:val="000000"/>
        </w:rPr>
        <w:t xml:space="preserve"> %TOC</w:t>
      </w:r>
      <w:r w:rsidR="008D13B3">
        <w:rPr>
          <w:rFonts w:eastAsia="Times New Roman"/>
          <w:color w:val="000000"/>
        </w:rPr>
        <w:t xml:space="preserve">, contain more </w:t>
      </w:r>
      <w:r w:rsidRPr="00F546EC">
        <w:rPr>
          <w:rFonts w:eastAsia="Times New Roman"/>
          <w:color w:val="000000"/>
        </w:rPr>
        <w:t xml:space="preserve">amorphous organic matter and </w:t>
      </w:r>
      <w:r w:rsidR="00460281" w:rsidRPr="00EF5126">
        <w:rPr>
          <w:rFonts w:eastAsia="Times New Roman"/>
          <w:i/>
          <w:iCs/>
          <w:color w:val="000000"/>
        </w:rPr>
        <w:t>Tasmanites</w:t>
      </w:r>
      <w:r w:rsidRPr="00F546EC">
        <w:rPr>
          <w:rFonts w:eastAsia="Times New Roman"/>
          <w:color w:val="000000"/>
        </w:rPr>
        <w:t xml:space="preserve"> cysts</w:t>
      </w:r>
      <w:r w:rsidR="008D13B3">
        <w:rPr>
          <w:rFonts w:eastAsia="Times New Roman"/>
          <w:color w:val="000000"/>
        </w:rPr>
        <w:t xml:space="preserve"> (</w:t>
      </w:r>
      <w:r w:rsidRPr="00F546EC">
        <w:rPr>
          <w:rFonts w:eastAsia="Times New Roman"/>
          <w:color w:val="000000"/>
        </w:rPr>
        <w:t>Fishman et al., 201</w:t>
      </w:r>
      <w:r w:rsidR="00F74F87">
        <w:rPr>
          <w:rFonts w:eastAsia="Times New Roman"/>
          <w:color w:val="000000"/>
        </w:rPr>
        <w:t>3</w:t>
      </w:r>
      <w:r w:rsidR="00C641B0">
        <w:rPr>
          <w:rFonts w:eastAsia="Times New Roman"/>
          <w:color w:val="000000"/>
        </w:rPr>
        <w:t>; Cecil, 2016</w:t>
      </w:r>
      <w:r w:rsidR="00F532CB">
        <w:rPr>
          <w:rFonts w:eastAsia="Times New Roman"/>
          <w:color w:val="000000"/>
        </w:rPr>
        <w:t>;</w:t>
      </w:r>
      <w:r w:rsidR="00F532CB" w:rsidRPr="00F532CB">
        <w:t xml:space="preserve"> Molinares, 2013; Becerra-Rondon, 2017; Galvis</w:t>
      </w:r>
      <w:r w:rsidR="00F532CB">
        <w:t>,</w:t>
      </w:r>
      <w:r w:rsidR="00F532CB" w:rsidRPr="00F532CB">
        <w:t xml:space="preserve"> 2017). </w:t>
      </w:r>
      <w:r w:rsidRPr="00F546EC">
        <w:rPr>
          <w:rFonts w:eastAsia="Times New Roman"/>
          <w:color w:val="000000"/>
        </w:rPr>
        <w:t xml:space="preserve"> </w:t>
      </w:r>
    </w:p>
    <w:p w14:paraId="615DF134" w14:textId="248F8802" w:rsidR="00853BB1" w:rsidRDefault="00853BB1" w:rsidP="00853BB1">
      <w:pPr>
        <w:ind w:firstLine="360"/>
      </w:pPr>
      <w:r w:rsidRPr="00F546EC">
        <w:t>A 190</w:t>
      </w:r>
      <w:r>
        <w:t xml:space="preserve"> </w:t>
      </w:r>
      <w:r w:rsidRPr="00F546EC">
        <w:t xml:space="preserve">ft </w:t>
      </w:r>
      <w:r>
        <w:t>r</w:t>
      </w:r>
      <w:r w:rsidRPr="00F546EC">
        <w:t xml:space="preserve">esearch borehole drilled just behind a quarry wall </w:t>
      </w:r>
      <w:r w:rsidR="005C0ED0">
        <w:t>h</w:t>
      </w:r>
      <w:r w:rsidRPr="00F546EC">
        <w:t>as provided an excellent correlation with subsurface wells for improved understanding of both subsurface stratigraphy and natural fracture distribution</w:t>
      </w:r>
      <w:r w:rsidR="005C0ED0">
        <w:t xml:space="preserve"> (</w:t>
      </w:r>
      <w:r w:rsidR="005C0ED0" w:rsidRPr="00F546EC">
        <w:t>Portas, 2009; Slatt et al., 2012; Molinares, 2013</w:t>
      </w:r>
      <w:r w:rsidR="005C0ED0">
        <w:t>;</w:t>
      </w:r>
      <w:r w:rsidR="005C0ED0" w:rsidRPr="00F546EC">
        <w:t xml:space="preserve"> Figure 1.</w:t>
      </w:r>
      <w:r w:rsidR="005C0ED0">
        <w:t>9</w:t>
      </w:r>
      <w:r w:rsidR="005C0ED0" w:rsidRPr="00F546EC">
        <w:t>)</w:t>
      </w:r>
      <w:r w:rsidRPr="00F546EC">
        <w:t>. Geochemical analysis indicates this core is at lower levels of thermal maturity (vitrinite reflectance values –Ro%- &lt;0.60%) where the organic matter is preserved to its nearly original</w:t>
      </w:r>
      <w:r>
        <w:t xml:space="preserve"> thermal</w:t>
      </w:r>
      <w:r w:rsidRPr="00F546EC">
        <w:t xml:space="preserve"> condition (Miceli-Romero, 2010; Miceli-Romero and Philp, 2012</w:t>
      </w:r>
      <w:r w:rsidR="005C0ED0">
        <w:t>; Connock et al., 2018</w:t>
      </w:r>
      <w:r w:rsidRPr="00F546EC">
        <w:t>)</w:t>
      </w:r>
      <w:r w:rsidR="005C0ED0">
        <w:t>.</w:t>
      </w:r>
      <w:r>
        <w:t xml:space="preserve"> </w:t>
      </w:r>
      <w:r w:rsidR="00F532CB">
        <w:t>Because</w:t>
      </w:r>
      <w:r w:rsidR="005C0ED0">
        <w:t xml:space="preserve"> </w:t>
      </w:r>
      <w:r>
        <w:t>this quarry is a surface or close-to-surface exposure</w:t>
      </w:r>
      <w:r w:rsidR="005C0ED0">
        <w:t>, the rocks</w:t>
      </w:r>
      <w:r>
        <w:t xml:space="preserve"> can have suffered chemical and mechanical weathering that might alter the interpretation of </w:t>
      </w:r>
      <w:r w:rsidR="005C0ED0">
        <w:t>the</w:t>
      </w:r>
      <w:r w:rsidR="00F532CB">
        <w:t xml:space="preserve"> original</w:t>
      </w:r>
      <w:r w:rsidR="005C0ED0">
        <w:t xml:space="preserve"> organic matter </w:t>
      </w:r>
      <w:r>
        <w:t>conditions</w:t>
      </w:r>
      <w:r w:rsidR="005C0ED0">
        <w:t xml:space="preserve"> </w:t>
      </w:r>
      <w:r w:rsidR="00F532CB">
        <w:t>(</w:t>
      </w:r>
      <w:r w:rsidR="005C0ED0">
        <w:t>Miceli-Romero and Philp, 2012)</w:t>
      </w:r>
      <w:r>
        <w:t xml:space="preserve">. </w:t>
      </w:r>
      <w:r w:rsidRPr="00F546EC">
        <w:t xml:space="preserve">  </w:t>
      </w:r>
    </w:p>
    <w:p w14:paraId="289EE303" w14:textId="7277B2EA" w:rsidR="00853BB1" w:rsidRDefault="00853BB1" w:rsidP="00853BB1">
      <w:pPr>
        <w:ind w:firstLine="360"/>
      </w:pPr>
    </w:p>
    <w:p w14:paraId="26C1430B" w14:textId="77777777" w:rsidR="00853BB1" w:rsidRPr="00F546EC" w:rsidRDefault="00853BB1" w:rsidP="00853BB1">
      <w:pPr>
        <w:spacing w:after="0" w:line="276" w:lineRule="auto"/>
        <w:jc w:val="center"/>
        <w:rPr>
          <w:rFonts w:eastAsia="Times New Roman"/>
          <w:color w:val="000000"/>
        </w:rPr>
      </w:pPr>
      <w:r w:rsidRPr="00987AD1">
        <w:rPr>
          <w:noProof/>
        </w:rPr>
        <w:lastRenderedPageBreak/>
        <w:drawing>
          <wp:inline distT="0" distB="0" distL="0" distR="0" wp14:anchorId="2D51FA81" wp14:editId="7CF7F45D">
            <wp:extent cx="5205730" cy="5437848"/>
            <wp:effectExtent l="0" t="0" r="0" b="0"/>
            <wp:docPr id="8923" name="Picture 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3"/>
                    <pic:cNvPicPr>
                      <a:picLocks noChangeAspect="1" noChangeArrowheads="1"/>
                    </pic:cNvPicPr>
                  </pic:nvPicPr>
                  <pic:blipFill>
                    <a:blip r:embed="rId26" cstate="print">
                      <a:extLst>
                        <a:ext uri="{28A0092B-C50C-407E-A947-70E740481C1C}">
                          <a14:useLocalDpi xmlns:a14="http://schemas.microsoft.com/office/drawing/2010/main" val="0"/>
                        </a:ext>
                      </a:extLst>
                    </a:blip>
                    <a:srcRect l="4977" t="5305" r="9276" b="3714"/>
                    <a:stretch>
                      <a:fillRect/>
                    </a:stretch>
                  </pic:blipFill>
                  <pic:spPr bwMode="auto">
                    <a:xfrm>
                      <a:off x="0" y="0"/>
                      <a:ext cx="5207869" cy="5440082"/>
                    </a:xfrm>
                    <a:prstGeom prst="rect">
                      <a:avLst/>
                    </a:prstGeom>
                    <a:noFill/>
                    <a:ln>
                      <a:noFill/>
                    </a:ln>
                  </pic:spPr>
                </pic:pic>
              </a:graphicData>
            </a:graphic>
          </wp:inline>
        </w:drawing>
      </w:r>
      <w:r>
        <w:tab/>
      </w:r>
    </w:p>
    <w:p w14:paraId="5F35C84C" w14:textId="583A00DE" w:rsidR="00853BB1" w:rsidRDefault="00853BB1" w:rsidP="00853BB1">
      <w:pPr>
        <w:pStyle w:val="Caption"/>
      </w:pPr>
      <w:bookmarkStart w:id="39" w:name="_Toc35861161"/>
      <w:r w:rsidRPr="00F546EC">
        <w:rPr>
          <w:b/>
        </w:rPr>
        <w:t>Figure 1.8.</w:t>
      </w:r>
      <w:r w:rsidRPr="00F546EC">
        <w:t xml:space="preserve">  Gamma-ray, TOC profile, and sequence stratigraphy of the Woodford Shale from the Wyche </w:t>
      </w:r>
      <w:r>
        <w:t>q</w:t>
      </w:r>
      <w:r w:rsidRPr="00F546EC">
        <w:t>uarry, Oklahoma (modified from Slatt et al., 2012), correlated with a nearby subsurface well. The Woodford is a 2</w:t>
      </w:r>
      <w:r w:rsidRPr="005B03AD">
        <w:rPr>
          <w:vertAlign w:val="superscript"/>
        </w:rPr>
        <w:t>nd</w:t>
      </w:r>
      <w:r w:rsidRPr="00F546EC">
        <w:t xml:space="preserve"> order sequence with many higher frequency sequences superimposed. Inset shows the downlap pattern of the 2</w:t>
      </w:r>
      <w:r w:rsidRPr="005B03AD">
        <w:rPr>
          <w:vertAlign w:val="superscript"/>
        </w:rPr>
        <w:t>nd</w:t>
      </w:r>
      <w:r w:rsidRPr="00F546EC">
        <w:t xml:space="preserve"> order HST/RST onto the lowermost Woodford (after May and Anderson, 2010).</w:t>
      </w:r>
      <w:bookmarkEnd w:id="39"/>
    </w:p>
    <w:p w14:paraId="4440284E" w14:textId="77777777" w:rsidR="00853BB1" w:rsidRPr="00853BB1" w:rsidRDefault="00853BB1" w:rsidP="00853BB1">
      <w:pPr>
        <w:spacing w:after="0"/>
        <w:rPr>
          <w:lang w:bidi="en-US"/>
        </w:rPr>
      </w:pPr>
    </w:p>
    <w:p w14:paraId="6BFB3985" w14:textId="77777777" w:rsidR="00853BB1" w:rsidRPr="00F546EC" w:rsidRDefault="00853BB1" w:rsidP="00853BB1">
      <w:pPr>
        <w:spacing w:after="0"/>
        <w:jc w:val="center"/>
        <w:rPr>
          <w:b/>
          <w:i/>
        </w:rPr>
      </w:pPr>
      <w:r w:rsidRPr="00027614">
        <w:rPr>
          <w:noProof/>
        </w:rPr>
        <w:lastRenderedPageBreak/>
        <w:drawing>
          <wp:inline distT="0" distB="0" distL="0" distR="0" wp14:anchorId="042E7787" wp14:editId="412842F1">
            <wp:extent cx="5497830" cy="7286625"/>
            <wp:effectExtent l="19050" t="19050" r="26670" b="28575"/>
            <wp:docPr id="2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2221" cy="7305698"/>
                    </a:xfrm>
                    <a:prstGeom prst="rect">
                      <a:avLst/>
                    </a:prstGeom>
                    <a:noFill/>
                    <a:ln w="9525" cmpd="sng">
                      <a:solidFill>
                        <a:srgbClr val="0D0D0D"/>
                      </a:solidFill>
                      <a:miter lim="800000"/>
                      <a:headEnd/>
                      <a:tailEnd/>
                    </a:ln>
                    <a:effectLst/>
                  </pic:spPr>
                </pic:pic>
              </a:graphicData>
            </a:graphic>
          </wp:inline>
        </w:drawing>
      </w:r>
    </w:p>
    <w:p w14:paraId="1FDA9728" w14:textId="687D25C5" w:rsidR="00853BB1" w:rsidRPr="00F546EC" w:rsidRDefault="00853BB1" w:rsidP="00853BB1">
      <w:pPr>
        <w:pStyle w:val="Caption"/>
      </w:pPr>
      <w:bookmarkStart w:id="40" w:name="_Toc35861162"/>
      <w:r w:rsidRPr="00F546EC">
        <w:rPr>
          <w:b/>
          <w:iCs/>
        </w:rPr>
        <w:t>Figure 1.</w:t>
      </w:r>
      <w:r>
        <w:rPr>
          <w:b/>
          <w:iCs/>
        </w:rPr>
        <w:t>9</w:t>
      </w:r>
      <w:r w:rsidRPr="00F546EC">
        <w:rPr>
          <w:b/>
          <w:iCs/>
        </w:rPr>
        <w:t>.</w:t>
      </w:r>
      <w:r w:rsidRPr="00F546EC">
        <w:rPr>
          <w:i/>
        </w:rPr>
        <w:t xml:space="preserve">  </w:t>
      </w:r>
      <w:r w:rsidRPr="00F546EC">
        <w:rPr>
          <w:iCs/>
        </w:rPr>
        <w:t>Interpreted</w:t>
      </w:r>
      <w:r w:rsidRPr="00F546EC">
        <w:rPr>
          <w:i/>
        </w:rPr>
        <w:t xml:space="preserve"> </w:t>
      </w:r>
      <w:r>
        <w:t>s</w:t>
      </w:r>
      <w:r w:rsidRPr="00F546EC">
        <w:t xml:space="preserve">equence </w:t>
      </w:r>
      <w:r>
        <w:t>s</w:t>
      </w:r>
      <w:r w:rsidRPr="00F546EC">
        <w:t xml:space="preserve">tratigraphy and third-order cycles of the Woodford </w:t>
      </w:r>
      <w:r>
        <w:t>S</w:t>
      </w:r>
      <w:r w:rsidRPr="00F546EC">
        <w:t xml:space="preserve">hale in Pontotoc County, Oklahoma, proposed by </w:t>
      </w:r>
      <w:r>
        <w:t xml:space="preserve">Serna-Bernal (2012) and </w:t>
      </w:r>
      <w:r w:rsidRPr="00F546EC">
        <w:t>Molinares (2013).</w:t>
      </w:r>
      <w:r>
        <w:t xml:space="preserve"> SB= sequence boundary; TSE=transgressive surface of erosion; TST= transgressive system tract; HST= highstand system tracts; CS= condensed section; MFS= maximum flooding surface.</w:t>
      </w:r>
      <w:bookmarkEnd w:id="40"/>
      <w:r>
        <w:t xml:space="preserve"> </w:t>
      </w:r>
    </w:p>
    <w:p w14:paraId="1FE5AC7B" w14:textId="5B9548AD" w:rsidR="00853BB1" w:rsidRPr="00F546EC" w:rsidRDefault="00853BB1" w:rsidP="00853BB1">
      <w:pPr>
        <w:ind w:firstLine="720"/>
      </w:pPr>
      <w:r w:rsidRPr="00F546EC">
        <w:lastRenderedPageBreak/>
        <w:t xml:space="preserve">This </w:t>
      </w:r>
      <w:r w:rsidRPr="00F546EC">
        <w:rPr>
          <w:i/>
          <w:iCs/>
        </w:rPr>
        <w:t>Wych</w:t>
      </w:r>
      <w:r>
        <w:rPr>
          <w:i/>
          <w:iCs/>
        </w:rPr>
        <w:t>e</w:t>
      </w:r>
      <w:r w:rsidRPr="00F546EC">
        <w:rPr>
          <w:i/>
          <w:iCs/>
        </w:rPr>
        <w:t xml:space="preserve"> Farm</w:t>
      </w:r>
      <w:r w:rsidRPr="00F546EC">
        <w:t xml:space="preserve"> core served as the starting stage for evaluating the Woodford </w:t>
      </w:r>
      <w:r>
        <w:t>S</w:t>
      </w:r>
      <w:r w:rsidRPr="00F546EC">
        <w:t>hale at The University of Oklahoma, Institute of Reservoir Characterization (IRC). This Wyche-1 core was</w:t>
      </w:r>
      <w:r>
        <w:t xml:space="preserve"> also</w:t>
      </w:r>
      <w:r w:rsidRPr="00F546EC">
        <w:t xml:space="preserve"> the starting point to interpret whether the </w:t>
      </w:r>
      <w:r>
        <w:t xml:space="preserve">enclosed mini-basin </w:t>
      </w:r>
      <w:r w:rsidR="00A22E4E">
        <w:t>fill</w:t>
      </w:r>
      <w:r w:rsidRPr="00F546EC">
        <w:t xml:space="preserve"> deposits occur within this predominantly marine deposit. The Wyche-1 core stratigraphic framework (Figure 1.</w:t>
      </w:r>
      <w:r>
        <w:t>9</w:t>
      </w:r>
      <w:r w:rsidRPr="00F546EC">
        <w:t xml:space="preserve">) </w:t>
      </w:r>
      <w:r w:rsidR="007E60AB">
        <w:t xml:space="preserve">was </w:t>
      </w:r>
      <w:r w:rsidRPr="00F546EC">
        <w:t>develop</w:t>
      </w:r>
      <w:r>
        <w:t>ed</w:t>
      </w:r>
      <w:r w:rsidRPr="00F546EC">
        <w:t xml:space="preserve"> by Slatt et al. (2012</w:t>
      </w:r>
      <w:r>
        <w:t>, and</w:t>
      </w:r>
      <w:r w:rsidRPr="00F546EC">
        <w:t xml:space="preserve"> 2018), Molinares (2013), Connock (2015), Turner </w:t>
      </w:r>
      <w:r>
        <w:t xml:space="preserve">et al. </w:t>
      </w:r>
      <w:r w:rsidRPr="00F546EC">
        <w:t>(2015)</w:t>
      </w:r>
      <w:r>
        <w:t>, Galvis et al. (2017),</w:t>
      </w:r>
      <w:r w:rsidRPr="00F546EC">
        <w:t xml:space="preserve"> and Connock</w:t>
      </w:r>
      <w:r>
        <w:t xml:space="preserve"> et al.</w:t>
      </w:r>
      <w:r w:rsidRPr="00F546EC">
        <w:t xml:space="preserve"> (2018)</w:t>
      </w:r>
      <w:r w:rsidR="00D52CAE">
        <w:t>. Th</w:t>
      </w:r>
      <w:r w:rsidR="007E60AB">
        <w:t xml:space="preserve">ese </w:t>
      </w:r>
      <w:r w:rsidR="00D52CAE">
        <w:t xml:space="preserve">sequence stratigraphy interpretations are then </w:t>
      </w:r>
      <w:r w:rsidRPr="00F546EC">
        <w:t xml:space="preserve">correlated to the study areas of this dissertation (Cherokee Platform in Chapter </w:t>
      </w:r>
      <w:r>
        <w:t>II</w:t>
      </w:r>
      <w:r w:rsidRPr="00F546EC">
        <w:t xml:space="preserve">; </w:t>
      </w:r>
      <w:r>
        <w:t>s</w:t>
      </w:r>
      <w:r w:rsidRPr="00F546EC">
        <w:t xml:space="preserve">outh SCOOP in Chapter </w:t>
      </w:r>
      <w:r>
        <w:t>III</w:t>
      </w:r>
      <w:r w:rsidRPr="00F546EC">
        <w:t>;</w:t>
      </w:r>
      <w:r w:rsidRPr="003025A8">
        <w:t xml:space="preserve"> </w:t>
      </w:r>
      <w:r w:rsidRPr="00F546EC">
        <w:t>and</w:t>
      </w:r>
      <w:r>
        <w:t xml:space="preserve"> STACK</w:t>
      </w:r>
      <w:r w:rsidRPr="00F546EC">
        <w:t xml:space="preserve"> in Chapter </w:t>
      </w:r>
      <w:r w:rsidR="00D52CAE">
        <w:t>I</w:t>
      </w:r>
      <w:r>
        <w:t>V</w:t>
      </w:r>
      <w:r w:rsidRPr="00F546EC">
        <w:t xml:space="preserve">)  and served as a reference for the integrated stratigraphic analysis of </w:t>
      </w:r>
      <w:r w:rsidRPr="00D52CAE">
        <w:t>The Speake Ranch</w:t>
      </w:r>
      <w:r w:rsidR="00D52CAE">
        <w:t xml:space="preserve"> (SR)</w:t>
      </w:r>
      <w:r w:rsidRPr="00D52CAE">
        <w:t xml:space="preserve"> </w:t>
      </w:r>
      <w:r w:rsidRPr="00F546EC">
        <w:t xml:space="preserve">outcrop presented in Chapter </w:t>
      </w:r>
      <w:r>
        <w:t>III</w:t>
      </w:r>
      <w:r w:rsidRPr="00F546EC">
        <w:t>. As mentioned by Slatt et al. (2012), the Woodford Shale was deposited during a 2</w:t>
      </w:r>
      <w:r w:rsidRPr="00F546EC">
        <w:rPr>
          <w:vertAlign w:val="superscript"/>
        </w:rPr>
        <w:t>nd</w:t>
      </w:r>
      <w:r w:rsidRPr="00F546EC">
        <w:t xml:space="preserve"> order sea-level cycle. In the </w:t>
      </w:r>
      <w:r w:rsidR="00D52CAE" w:rsidRPr="00D52CAE">
        <w:t>SR</w:t>
      </w:r>
      <w:r w:rsidRPr="00D52CAE">
        <w:t>,</w:t>
      </w:r>
      <w:r w:rsidRPr="00F546EC">
        <w:t xml:space="preserve"> Galvis (2017) and Galvis et al. (2017) interpreted a superimposed </w:t>
      </w:r>
      <w:r>
        <w:t>thi</w:t>
      </w:r>
      <w:r w:rsidRPr="00FF62EC">
        <w:t>rd</w:t>
      </w:r>
      <w:r>
        <w:t>-</w:t>
      </w:r>
      <w:r w:rsidRPr="00F546EC">
        <w:t>order sequence stratigraphic framework which has been developed by several parasequences composed of a basal, high API gamma-ray response condensed section, overlain by a lower gamma-ray regressive systems tract</w:t>
      </w:r>
      <w:r>
        <w:t>. A</w:t>
      </w:r>
      <w:r w:rsidRPr="00F546EC">
        <w:t>ll of these stratigraphic features have been correlated to the subsurface (Paxton et al., 2006; Molinares 2013; Galvis, 2017; Galvis et al., 2017) and are common in all</w:t>
      </w:r>
      <w:r>
        <w:t xml:space="preserve"> of</w:t>
      </w:r>
      <w:r w:rsidRPr="00F546EC">
        <w:t xml:space="preserve"> the Oklahoma </w:t>
      </w:r>
      <w:r>
        <w:t>p</w:t>
      </w:r>
      <w:r w:rsidRPr="00F546EC">
        <w:t xml:space="preserve">etroleum </w:t>
      </w:r>
      <w:r>
        <w:t>p</w:t>
      </w:r>
      <w:r w:rsidRPr="00F546EC">
        <w:t xml:space="preserve">rovinces (Figure 1.3; Chapter </w:t>
      </w:r>
      <w:r>
        <w:t>II;</w:t>
      </w:r>
      <w:r w:rsidRPr="00F546EC">
        <w:t xml:space="preserve"> Chapter </w:t>
      </w:r>
      <w:r>
        <w:t>III</w:t>
      </w:r>
      <w:r w:rsidRPr="00F546EC">
        <w:t xml:space="preserve">; Chapter </w:t>
      </w:r>
      <w:r>
        <w:t>IV</w:t>
      </w:r>
      <w:r w:rsidRPr="00F546EC">
        <w:t xml:space="preserve">). </w:t>
      </w:r>
    </w:p>
    <w:p w14:paraId="3CB7573B" w14:textId="354DE140" w:rsidR="00853BB1" w:rsidRDefault="00853BB1" w:rsidP="00853BB1">
      <w:pPr>
        <w:ind w:firstLine="720"/>
        <w:rPr>
          <w:rFonts w:eastAsia="Times New Roman"/>
          <w:color w:val="000000"/>
        </w:rPr>
      </w:pPr>
      <w:r w:rsidRPr="00F546EC">
        <w:rPr>
          <w:rFonts w:eastAsia="Times New Roman"/>
          <w:color w:val="000000"/>
        </w:rPr>
        <w:t xml:space="preserve">The </w:t>
      </w:r>
      <w:r>
        <w:rPr>
          <w:rFonts w:eastAsia="Times New Roman"/>
          <w:color w:val="000000"/>
        </w:rPr>
        <w:t>r</w:t>
      </w:r>
      <w:r w:rsidRPr="00F546EC">
        <w:rPr>
          <w:rFonts w:eastAsia="Times New Roman"/>
          <w:color w:val="000000"/>
        </w:rPr>
        <w:t xml:space="preserve">egional thickness map of the Woodford Shale in the </w:t>
      </w:r>
      <w:r>
        <w:rPr>
          <w:rFonts w:eastAsia="Times New Roman"/>
          <w:color w:val="000000"/>
        </w:rPr>
        <w:t>s</w:t>
      </w:r>
      <w:r w:rsidRPr="00F546EC">
        <w:rPr>
          <w:rFonts w:eastAsia="Times New Roman"/>
          <w:color w:val="000000"/>
        </w:rPr>
        <w:t xml:space="preserve">tate of Oklahoma is </w:t>
      </w:r>
      <w:r>
        <w:rPr>
          <w:rFonts w:eastAsia="Times New Roman"/>
          <w:color w:val="000000"/>
        </w:rPr>
        <w:t xml:space="preserve">shown </w:t>
      </w:r>
      <w:r w:rsidRPr="00F546EC">
        <w:rPr>
          <w:rFonts w:eastAsia="Times New Roman"/>
          <w:color w:val="000000"/>
        </w:rPr>
        <w:t>in</w:t>
      </w:r>
      <w:r w:rsidRPr="004E7658">
        <w:rPr>
          <w:rFonts w:eastAsia="Times New Roman"/>
          <w:color w:val="000000"/>
        </w:rPr>
        <w:t xml:space="preserve"> </w:t>
      </w:r>
      <w:r>
        <w:rPr>
          <w:rFonts w:eastAsia="Times New Roman"/>
          <w:color w:val="000000"/>
        </w:rPr>
        <w:t>Chapter</w:t>
      </w:r>
      <w:r w:rsidRPr="00F546EC">
        <w:rPr>
          <w:rFonts w:eastAsia="Times New Roman"/>
          <w:color w:val="000000"/>
        </w:rPr>
        <w:t xml:space="preserve"> </w:t>
      </w:r>
      <w:r>
        <w:rPr>
          <w:rFonts w:eastAsia="Times New Roman"/>
          <w:color w:val="000000"/>
        </w:rPr>
        <w:t>III</w:t>
      </w:r>
      <w:r w:rsidRPr="00F546EC">
        <w:rPr>
          <w:rFonts w:eastAsia="Times New Roman"/>
          <w:color w:val="000000"/>
        </w:rPr>
        <w:t xml:space="preserve"> of this manuscript. In summary, this regional map shows that the Woodford strata tend to be thicker in paleotopographic lows upon the depositional sequence boundary (Hunton </w:t>
      </w:r>
      <w:r>
        <w:rPr>
          <w:rFonts w:eastAsia="Times New Roman"/>
          <w:color w:val="000000"/>
        </w:rPr>
        <w:t>G</w:t>
      </w:r>
      <w:r w:rsidRPr="00F546EC">
        <w:rPr>
          <w:rFonts w:eastAsia="Times New Roman"/>
          <w:color w:val="000000"/>
        </w:rPr>
        <w:t>roup thickness depressions by erosion and karstification processes</w:t>
      </w:r>
      <w:r>
        <w:rPr>
          <w:rFonts w:eastAsia="Times New Roman"/>
          <w:color w:val="000000"/>
        </w:rPr>
        <w:t>; Milad, 2019). This</w:t>
      </w:r>
      <w:r w:rsidRPr="00F546EC">
        <w:rPr>
          <w:rFonts w:eastAsia="Times New Roman"/>
          <w:color w:val="000000"/>
        </w:rPr>
        <w:t xml:space="preserve"> fact</w:t>
      </w:r>
      <w:r>
        <w:rPr>
          <w:rFonts w:eastAsia="Times New Roman"/>
          <w:color w:val="000000"/>
        </w:rPr>
        <w:t xml:space="preserve"> is</w:t>
      </w:r>
      <w:r w:rsidRPr="00F546EC">
        <w:rPr>
          <w:rFonts w:eastAsia="Times New Roman"/>
          <w:color w:val="000000"/>
        </w:rPr>
        <w:t xml:space="preserve"> coupled with the basal Woodford often being organic-rich (Figure 1.7 and Figure 1.</w:t>
      </w:r>
      <w:r>
        <w:rPr>
          <w:rFonts w:eastAsia="Times New Roman"/>
          <w:color w:val="000000"/>
        </w:rPr>
        <w:t>10</w:t>
      </w:r>
      <w:r w:rsidRPr="00F546EC">
        <w:rPr>
          <w:rFonts w:eastAsia="Times New Roman"/>
          <w:color w:val="000000"/>
        </w:rPr>
        <w:t xml:space="preserve">) </w:t>
      </w:r>
      <w:r>
        <w:rPr>
          <w:rFonts w:eastAsia="Times New Roman"/>
          <w:color w:val="000000"/>
        </w:rPr>
        <w:t xml:space="preserve">and </w:t>
      </w:r>
      <w:r w:rsidRPr="00F546EC">
        <w:rPr>
          <w:rFonts w:eastAsia="Times New Roman"/>
          <w:color w:val="000000"/>
        </w:rPr>
        <w:t xml:space="preserve">provides an opportunity for localized accumulation of highly restricted and highly anoxic prone facies, </w:t>
      </w:r>
      <w:r>
        <w:rPr>
          <w:rFonts w:eastAsia="Times New Roman"/>
          <w:color w:val="000000"/>
        </w:rPr>
        <w:lastRenderedPageBreak/>
        <w:t xml:space="preserve">proposed to be found in the </w:t>
      </w:r>
      <w:r>
        <w:rPr>
          <w:color w:val="000000"/>
          <w:shd w:val="clear" w:color="auto" w:fill="FFFFFF"/>
        </w:rPr>
        <w:t xml:space="preserve">enclosed mini-basin </w:t>
      </w:r>
      <w:r w:rsidR="00A22E4E">
        <w:rPr>
          <w:color w:val="000000"/>
          <w:shd w:val="clear" w:color="auto" w:fill="FFFFFF"/>
        </w:rPr>
        <w:t>fill</w:t>
      </w:r>
      <w:r>
        <w:rPr>
          <w:rFonts w:eastAsia="Times New Roman"/>
          <w:color w:val="000000"/>
        </w:rPr>
        <w:t xml:space="preserve">, and </w:t>
      </w:r>
      <w:r w:rsidRPr="00F546EC">
        <w:rPr>
          <w:rFonts w:eastAsia="Times New Roman"/>
          <w:color w:val="000000"/>
        </w:rPr>
        <w:t xml:space="preserve">which are different from an open marine depositional system. </w:t>
      </w:r>
    </w:p>
    <w:p w14:paraId="1302E92A" w14:textId="7F84F6EC" w:rsidR="003E4375" w:rsidRPr="00F546EC" w:rsidRDefault="003E4375" w:rsidP="00530D25">
      <w:pPr>
        <w:pStyle w:val="Heading2"/>
        <w:numPr>
          <w:ilvl w:val="1"/>
          <w:numId w:val="2"/>
        </w:numPr>
      </w:pPr>
      <w:bookmarkStart w:id="41" w:name="_Toc25833524"/>
      <w:bookmarkStart w:id="42" w:name="_Toc35861083"/>
      <w:r w:rsidRPr="00F546EC">
        <w:t xml:space="preserve">Geological </w:t>
      </w:r>
      <w:r w:rsidR="0021311E">
        <w:t>f</w:t>
      </w:r>
      <w:r w:rsidRPr="00F546EC">
        <w:t xml:space="preserve">ramework of </w:t>
      </w:r>
      <w:r w:rsidR="00D30BBD">
        <w:rPr>
          <w:color w:val="000000"/>
          <w:shd w:val="clear" w:color="auto" w:fill="FFFFFF"/>
        </w:rPr>
        <w:t xml:space="preserve">enclosed mini-basin </w:t>
      </w:r>
      <w:r w:rsidR="00A22E4E">
        <w:rPr>
          <w:color w:val="000000"/>
          <w:shd w:val="clear" w:color="auto" w:fill="FFFFFF"/>
        </w:rPr>
        <w:t>fill</w:t>
      </w:r>
      <w:r w:rsidR="00D30BBD" w:rsidRPr="00F546EC">
        <w:t xml:space="preserve"> </w:t>
      </w:r>
      <w:r w:rsidRPr="00F546EC">
        <w:t>in unconventional systems</w:t>
      </w:r>
      <w:bookmarkEnd w:id="41"/>
      <w:bookmarkEnd w:id="42"/>
    </w:p>
    <w:p w14:paraId="625413B9" w14:textId="030588B8" w:rsidR="00853BB1" w:rsidRDefault="0009369C" w:rsidP="000C0A7B">
      <w:pPr>
        <w:ind w:firstLine="720"/>
        <w:rPr>
          <w:rFonts w:eastAsia="Times New Roman"/>
          <w:color w:val="000000"/>
        </w:rPr>
      </w:pPr>
      <w:r w:rsidRPr="00F546EC">
        <w:rPr>
          <w:rFonts w:eastAsia="Times New Roman"/>
          <w:color w:val="000000"/>
        </w:rPr>
        <w:t xml:space="preserve">For his study, the </w:t>
      </w:r>
      <w:r w:rsidR="00995610" w:rsidRPr="00F546EC">
        <w:rPr>
          <w:rFonts w:eastAsia="Times New Roman"/>
          <w:color w:val="000000"/>
        </w:rPr>
        <w:t xml:space="preserve">characterization </w:t>
      </w:r>
      <w:r w:rsidRPr="00F546EC">
        <w:rPr>
          <w:rFonts w:eastAsia="Times New Roman"/>
          <w:color w:val="000000"/>
        </w:rPr>
        <w:t>of</w:t>
      </w:r>
      <w:r w:rsidR="002135C8" w:rsidRPr="00F546EC">
        <w:rPr>
          <w:rFonts w:eastAsia="Times New Roman"/>
          <w:color w:val="000000"/>
        </w:rPr>
        <w:t xml:space="preserve"> </w:t>
      </w:r>
      <w:r w:rsidR="00D30BBD">
        <w:rPr>
          <w:rFonts w:eastAsia="Times New Roman"/>
          <w:color w:val="000000"/>
        </w:rPr>
        <w:t>enclosed paleo depressions</w:t>
      </w:r>
      <w:r w:rsidR="002135C8" w:rsidRPr="00F546EC">
        <w:rPr>
          <w:rFonts w:eastAsia="Times New Roman"/>
          <w:color w:val="000000"/>
        </w:rPr>
        <w:t xml:space="preserve"> deposits </w:t>
      </w:r>
      <w:r w:rsidR="00460281">
        <w:rPr>
          <w:rFonts w:eastAsia="Times New Roman"/>
          <w:color w:val="000000"/>
        </w:rPr>
        <w:t>is</w:t>
      </w:r>
      <w:r w:rsidR="009402B2">
        <w:rPr>
          <w:rFonts w:eastAsia="Times New Roman"/>
          <w:color w:val="000000"/>
        </w:rPr>
        <w:t xml:space="preserve"> defined</w:t>
      </w:r>
      <w:r w:rsidR="002135C8" w:rsidRPr="00F546EC">
        <w:rPr>
          <w:rFonts w:eastAsia="Times New Roman"/>
          <w:color w:val="000000"/>
        </w:rPr>
        <w:t xml:space="preserve"> </w:t>
      </w:r>
      <w:r w:rsidR="00460281" w:rsidRPr="00F546EC">
        <w:rPr>
          <w:rFonts w:eastAsia="Times New Roman"/>
          <w:color w:val="000000"/>
        </w:rPr>
        <w:t>as “</w:t>
      </w:r>
      <w:r w:rsidR="00D30BBD" w:rsidRPr="00D30BBD">
        <w:rPr>
          <w:i/>
          <w:color w:val="000000"/>
          <w:shd w:val="clear" w:color="auto" w:fill="FFFFFF"/>
        </w:rPr>
        <w:t xml:space="preserve">enclosed mini-basin </w:t>
      </w:r>
      <w:r w:rsidR="00A22E4E">
        <w:rPr>
          <w:i/>
          <w:color w:val="000000"/>
          <w:shd w:val="clear" w:color="auto" w:fill="FFFFFF"/>
        </w:rPr>
        <w:t>fill</w:t>
      </w:r>
      <w:r w:rsidR="002135C8" w:rsidRPr="00F546EC">
        <w:rPr>
          <w:rFonts w:eastAsia="Times New Roman"/>
          <w:i/>
          <w:color w:val="000000"/>
        </w:rPr>
        <w:t>,”</w:t>
      </w:r>
      <w:r w:rsidR="00D30BBD">
        <w:rPr>
          <w:rFonts w:eastAsia="Times New Roman"/>
          <w:i/>
          <w:color w:val="000000"/>
        </w:rPr>
        <w:t xml:space="preserve"> </w:t>
      </w:r>
      <w:r w:rsidR="00D30BBD">
        <w:rPr>
          <w:rFonts w:eastAsia="Times New Roman"/>
          <w:color w:val="000000"/>
        </w:rPr>
        <w:t xml:space="preserve">which are hosts of marine organic matter, but can also </w:t>
      </w:r>
      <w:r w:rsidR="00C6776C">
        <w:rPr>
          <w:rFonts w:eastAsia="Times New Roman"/>
          <w:color w:val="000000"/>
        </w:rPr>
        <w:t xml:space="preserve">host continental and lacustrine organic matter and preserve these particles in a </w:t>
      </w:r>
      <w:r w:rsidR="00640FBB">
        <w:rPr>
          <w:rFonts w:eastAsia="Times New Roman"/>
          <w:color w:val="000000"/>
        </w:rPr>
        <w:t xml:space="preserve">better </w:t>
      </w:r>
      <w:r w:rsidR="00C6776C">
        <w:rPr>
          <w:rFonts w:eastAsia="Times New Roman"/>
          <w:color w:val="000000"/>
        </w:rPr>
        <w:t>manner than the open marine intervals</w:t>
      </w:r>
      <w:r w:rsidR="00902EAE">
        <w:rPr>
          <w:rFonts w:eastAsia="Times New Roman"/>
          <w:color w:val="000000"/>
        </w:rPr>
        <w:t xml:space="preserve"> (Slatt, 2016)</w:t>
      </w:r>
      <w:r w:rsidR="00E84BE0">
        <w:rPr>
          <w:rFonts w:eastAsia="Times New Roman"/>
          <w:color w:val="000000"/>
        </w:rPr>
        <w:t>. The higher preservation of the organic matter occurred when</w:t>
      </w:r>
      <w:r w:rsidR="00C6776C">
        <w:rPr>
          <w:rFonts w:eastAsia="Times New Roman"/>
          <w:color w:val="000000"/>
        </w:rPr>
        <w:t xml:space="preserve"> the barriers in the depressions act as sills that prevent open water circulation, oxidation</w:t>
      </w:r>
      <w:r w:rsidR="007A2F25">
        <w:rPr>
          <w:rFonts w:eastAsia="Times New Roman"/>
          <w:color w:val="000000"/>
        </w:rPr>
        <w:t>,</w:t>
      </w:r>
      <w:r w:rsidR="00C6776C">
        <w:rPr>
          <w:rFonts w:eastAsia="Times New Roman"/>
          <w:color w:val="000000"/>
        </w:rPr>
        <w:t xml:space="preserve"> and </w:t>
      </w:r>
      <w:r w:rsidR="00640FBB">
        <w:rPr>
          <w:rFonts w:eastAsia="Times New Roman"/>
          <w:color w:val="000000"/>
        </w:rPr>
        <w:t xml:space="preserve">physicochemical </w:t>
      </w:r>
      <w:r w:rsidR="00C6776C">
        <w:rPr>
          <w:rFonts w:eastAsia="Times New Roman"/>
          <w:color w:val="000000"/>
        </w:rPr>
        <w:t>destruction</w:t>
      </w:r>
      <w:r w:rsidR="00902EAE">
        <w:rPr>
          <w:rFonts w:eastAsia="Times New Roman"/>
          <w:color w:val="000000"/>
        </w:rPr>
        <w:t xml:space="preserve"> (McCullough and Slatt, 2014; Zhang and Slatt, 2019)</w:t>
      </w:r>
      <w:r w:rsidR="00C6776C">
        <w:rPr>
          <w:rFonts w:eastAsia="Times New Roman"/>
          <w:color w:val="000000"/>
        </w:rPr>
        <w:t xml:space="preserve">. When mentioning the </w:t>
      </w:r>
      <w:r w:rsidR="001355AB">
        <w:rPr>
          <w:rFonts w:eastAsia="Times New Roman"/>
          <w:color w:val="000000"/>
        </w:rPr>
        <w:t xml:space="preserve">occurrence of lacustrine and continental organic matter, it is </w:t>
      </w:r>
      <w:r w:rsidR="007A2F25">
        <w:rPr>
          <w:rFonts w:eastAsia="Times New Roman"/>
          <w:color w:val="000000"/>
        </w:rPr>
        <w:t xml:space="preserve">essential </w:t>
      </w:r>
      <w:r w:rsidR="001355AB">
        <w:rPr>
          <w:rFonts w:eastAsia="Times New Roman"/>
          <w:color w:val="000000"/>
        </w:rPr>
        <w:t xml:space="preserve">to highlight that the depositional environment is different </w:t>
      </w:r>
      <w:r w:rsidR="007A2F25">
        <w:rPr>
          <w:rFonts w:eastAsia="Times New Roman"/>
          <w:color w:val="000000"/>
        </w:rPr>
        <w:t>from</w:t>
      </w:r>
      <w:r w:rsidR="001355AB">
        <w:rPr>
          <w:rFonts w:eastAsia="Times New Roman"/>
          <w:color w:val="000000"/>
        </w:rPr>
        <w:t xml:space="preserve"> the </w:t>
      </w:r>
      <w:r w:rsidR="008E671A">
        <w:rPr>
          <w:rFonts w:eastAsia="Times New Roman"/>
          <w:color w:val="000000"/>
        </w:rPr>
        <w:t>frequent</w:t>
      </w:r>
      <w:r w:rsidR="00EF63B4" w:rsidRPr="00F546EC">
        <w:rPr>
          <w:rFonts w:eastAsia="Times New Roman"/>
          <w:color w:val="000000"/>
        </w:rPr>
        <w:t xml:space="preserve"> lacustrine freshwater deposits</w:t>
      </w:r>
      <w:r w:rsidR="001355AB">
        <w:rPr>
          <w:rFonts w:eastAsia="Times New Roman"/>
          <w:color w:val="000000"/>
        </w:rPr>
        <w:t xml:space="preserve">, </w:t>
      </w:r>
      <w:r w:rsidR="007A2F25">
        <w:rPr>
          <w:rFonts w:eastAsia="Times New Roman"/>
          <w:color w:val="000000"/>
        </w:rPr>
        <w:t>where the presence of this type of organic matter indicates</w:t>
      </w:r>
      <w:r w:rsidR="001355AB">
        <w:rPr>
          <w:rFonts w:eastAsia="Times New Roman"/>
          <w:color w:val="000000"/>
        </w:rPr>
        <w:t xml:space="preserve"> </w:t>
      </w:r>
      <w:r w:rsidR="00640FBB">
        <w:rPr>
          <w:rFonts w:eastAsia="Times New Roman"/>
          <w:color w:val="000000"/>
        </w:rPr>
        <w:t>that</w:t>
      </w:r>
      <w:r w:rsidR="001355AB">
        <w:rPr>
          <w:rFonts w:eastAsia="Times New Roman"/>
          <w:color w:val="000000"/>
        </w:rPr>
        <w:t xml:space="preserve"> these continental particles can be transported and deposited seaward</w:t>
      </w:r>
      <w:r w:rsidR="00640FBB">
        <w:rPr>
          <w:rFonts w:eastAsia="Times New Roman"/>
          <w:color w:val="000000"/>
        </w:rPr>
        <w:t>,</w:t>
      </w:r>
      <w:r w:rsidR="001355AB">
        <w:rPr>
          <w:rFonts w:eastAsia="Times New Roman"/>
          <w:color w:val="000000"/>
        </w:rPr>
        <w:t xml:space="preserve"> towar</w:t>
      </w:r>
      <w:r w:rsidR="0091270F">
        <w:rPr>
          <w:rFonts w:eastAsia="Times New Roman"/>
          <w:color w:val="000000"/>
        </w:rPr>
        <w:t>d</w:t>
      </w:r>
      <w:r w:rsidR="001355AB">
        <w:rPr>
          <w:rFonts w:eastAsia="Times New Roman"/>
          <w:color w:val="000000"/>
        </w:rPr>
        <w:t>s</w:t>
      </w:r>
      <w:r w:rsidR="00640FBB">
        <w:rPr>
          <w:rFonts w:eastAsia="Times New Roman"/>
          <w:color w:val="000000"/>
        </w:rPr>
        <w:t xml:space="preserve"> the</w:t>
      </w:r>
      <w:r w:rsidR="001355AB">
        <w:rPr>
          <w:rFonts w:eastAsia="Times New Roman"/>
          <w:color w:val="000000"/>
        </w:rPr>
        <w:t xml:space="preserve"> d</w:t>
      </w:r>
      <w:r w:rsidR="0091270F">
        <w:rPr>
          <w:rFonts w:eastAsia="Times New Roman"/>
          <w:color w:val="000000"/>
        </w:rPr>
        <w:t>e</w:t>
      </w:r>
      <w:r w:rsidR="001355AB">
        <w:rPr>
          <w:rFonts w:eastAsia="Times New Roman"/>
          <w:color w:val="000000"/>
        </w:rPr>
        <w:t>eper basinal areas</w:t>
      </w:r>
      <w:r w:rsidR="00902EAE">
        <w:rPr>
          <w:rFonts w:eastAsia="Times New Roman"/>
          <w:color w:val="000000"/>
        </w:rPr>
        <w:t xml:space="preserve"> (McCullough and Slatt, 2014; Brito, 2019)</w:t>
      </w:r>
      <w:r w:rsidR="000F1FE2">
        <w:rPr>
          <w:rFonts w:eastAsia="Times New Roman"/>
          <w:color w:val="000000"/>
        </w:rPr>
        <w:t>. According to Bohacs (2012) and Brito (2014), lacustrine deposits</w:t>
      </w:r>
      <w:r w:rsidR="00EF63B4" w:rsidRPr="00F546EC">
        <w:rPr>
          <w:rFonts w:eastAsia="Times New Roman"/>
          <w:color w:val="000000"/>
        </w:rPr>
        <w:t xml:space="preserve"> are entirely inland</w:t>
      </w:r>
      <w:r w:rsidR="008A542E">
        <w:rPr>
          <w:rFonts w:eastAsia="Times New Roman"/>
          <w:color w:val="000000"/>
        </w:rPr>
        <w:t>,</w:t>
      </w:r>
      <w:r w:rsidR="00EF63B4" w:rsidRPr="00F546EC">
        <w:rPr>
          <w:rFonts w:eastAsia="Times New Roman"/>
          <w:color w:val="000000"/>
        </w:rPr>
        <w:t xml:space="preserve"> and enclosed systems</w:t>
      </w:r>
      <w:r w:rsidR="002135C8" w:rsidRPr="00F546EC">
        <w:rPr>
          <w:rFonts w:eastAsia="Times New Roman"/>
          <w:color w:val="000000"/>
        </w:rPr>
        <w:t>, where the rate of water evaporation exceeds the</w:t>
      </w:r>
      <w:r w:rsidR="00DE3DB7" w:rsidRPr="00F546EC">
        <w:rPr>
          <w:rFonts w:eastAsia="Times New Roman"/>
          <w:color w:val="000000"/>
        </w:rPr>
        <w:t xml:space="preserve"> rates of</w:t>
      </w:r>
      <w:r w:rsidR="002135C8" w:rsidRPr="00F546EC">
        <w:rPr>
          <w:rFonts w:eastAsia="Times New Roman"/>
          <w:color w:val="000000"/>
        </w:rPr>
        <w:t xml:space="preserve"> water precipitation </w:t>
      </w:r>
      <w:r w:rsidR="000F1FE2">
        <w:rPr>
          <w:rFonts w:eastAsia="Times New Roman"/>
          <w:color w:val="000000"/>
        </w:rPr>
        <w:t>(</w:t>
      </w:r>
      <w:r w:rsidR="00DE3DB7" w:rsidRPr="00F546EC">
        <w:rPr>
          <w:rFonts w:eastAsia="Times New Roman"/>
          <w:color w:val="000000"/>
        </w:rPr>
        <w:t>water column recharge</w:t>
      </w:r>
      <w:r w:rsidR="000F1FE2">
        <w:rPr>
          <w:rFonts w:eastAsia="Times New Roman"/>
          <w:color w:val="000000"/>
        </w:rPr>
        <w:t>)</w:t>
      </w:r>
      <w:r w:rsidR="00DE3DB7" w:rsidRPr="00F546EC">
        <w:rPr>
          <w:rFonts w:eastAsia="Times New Roman"/>
          <w:color w:val="000000"/>
        </w:rPr>
        <w:t xml:space="preserve"> </w:t>
      </w:r>
      <w:r w:rsidR="002135C8" w:rsidRPr="00F546EC">
        <w:rPr>
          <w:rFonts w:eastAsia="Times New Roman"/>
          <w:color w:val="000000"/>
        </w:rPr>
        <w:t>and more continental strata and continental organic matter is deposited</w:t>
      </w:r>
      <w:r w:rsidR="00D96415" w:rsidRPr="00F546EC">
        <w:rPr>
          <w:rFonts w:eastAsia="Times New Roman"/>
          <w:color w:val="000000"/>
        </w:rPr>
        <w:t xml:space="preserve">. </w:t>
      </w:r>
    </w:p>
    <w:p w14:paraId="2B2231AC" w14:textId="5D917CE0" w:rsidR="008B31E4" w:rsidRPr="00F546EC" w:rsidRDefault="00D96415" w:rsidP="000C0A7B">
      <w:pPr>
        <w:ind w:firstLine="720"/>
        <w:rPr>
          <w:rFonts w:eastAsia="Times New Roman"/>
          <w:color w:val="000000"/>
        </w:rPr>
      </w:pPr>
      <w:r w:rsidRPr="00F546EC">
        <w:rPr>
          <w:rFonts w:eastAsia="Times New Roman"/>
          <w:color w:val="000000"/>
        </w:rPr>
        <w:t>Th</w:t>
      </w:r>
      <w:r w:rsidR="00043E26" w:rsidRPr="00F546EC">
        <w:rPr>
          <w:rFonts w:eastAsia="Times New Roman"/>
          <w:color w:val="000000"/>
        </w:rPr>
        <w:t>is</w:t>
      </w:r>
      <w:r w:rsidRPr="00F546EC">
        <w:rPr>
          <w:rFonts w:eastAsia="Times New Roman"/>
          <w:color w:val="000000"/>
        </w:rPr>
        <w:t xml:space="preserve"> </w:t>
      </w:r>
      <w:r w:rsidR="00572820">
        <w:rPr>
          <w:color w:val="000000"/>
          <w:shd w:val="clear" w:color="auto" w:fill="FFFFFF"/>
        </w:rPr>
        <w:t xml:space="preserve">enclosed mini-basin </w:t>
      </w:r>
      <w:r w:rsidR="00A22E4E">
        <w:rPr>
          <w:color w:val="000000"/>
          <w:shd w:val="clear" w:color="auto" w:fill="FFFFFF"/>
        </w:rPr>
        <w:t>fill</w:t>
      </w:r>
      <w:r w:rsidR="00572820" w:rsidRPr="00F546EC">
        <w:rPr>
          <w:rFonts w:eastAsia="Times New Roman"/>
          <w:color w:val="000000"/>
        </w:rPr>
        <w:t xml:space="preserve"> </w:t>
      </w:r>
      <w:r w:rsidR="00297B9E" w:rsidRPr="00F546EC">
        <w:rPr>
          <w:rFonts w:eastAsia="Times New Roman"/>
          <w:color w:val="000000"/>
        </w:rPr>
        <w:t xml:space="preserve">characterization </w:t>
      </w:r>
      <w:r w:rsidR="00995610" w:rsidRPr="00F546EC">
        <w:rPr>
          <w:rFonts w:eastAsia="Times New Roman"/>
          <w:color w:val="000000"/>
        </w:rPr>
        <w:t xml:space="preserve">focuses </w:t>
      </w:r>
      <w:r w:rsidR="0009369C" w:rsidRPr="00F546EC">
        <w:rPr>
          <w:rFonts w:eastAsia="Times New Roman"/>
          <w:color w:val="000000"/>
        </w:rPr>
        <w:t xml:space="preserve">on </w:t>
      </w:r>
      <w:r w:rsidR="002563F4" w:rsidRPr="00F546EC">
        <w:rPr>
          <w:rFonts w:eastAsia="Times New Roman"/>
          <w:color w:val="000000"/>
        </w:rPr>
        <w:t>oceanic environments where the sea level floor has accommodation space</w:t>
      </w:r>
      <w:r w:rsidR="00297B9E" w:rsidRPr="00F546EC">
        <w:rPr>
          <w:rFonts w:eastAsia="Times New Roman"/>
          <w:color w:val="000000"/>
        </w:rPr>
        <w:t xml:space="preserve"> </w:t>
      </w:r>
      <w:r w:rsidR="007D1D34" w:rsidRPr="00F546EC">
        <w:rPr>
          <w:rFonts w:eastAsia="Times New Roman"/>
          <w:color w:val="000000"/>
        </w:rPr>
        <w:t>in</w:t>
      </w:r>
      <w:r w:rsidR="002135C8" w:rsidRPr="00F546EC">
        <w:rPr>
          <w:rFonts w:eastAsia="Times New Roman"/>
          <w:color w:val="000000"/>
        </w:rPr>
        <w:t xml:space="preserve"> concave downward</w:t>
      </w:r>
      <w:r w:rsidR="002563F4" w:rsidRPr="00F546EC">
        <w:rPr>
          <w:rFonts w:eastAsia="Times New Roman"/>
          <w:color w:val="000000"/>
        </w:rPr>
        <w:t xml:space="preserve"> pod</w:t>
      </w:r>
      <w:r w:rsidR="002135C8" w:rsidRPr="00F546EC">
        <w:rPr>
          <w:rFonts w:eastAsia="Times New Roman"/>
          <w:color w:val="000000"/>
        </w:rPr>
        <w:t>-</w:t>
      </w:r>
      <w:r w:rsidR="002563F4" w:rsidRPr="00F546EC">
        <w:rPr>
          <w:rFonts w:eastAsia="Times New Roman"/>
          <w:color w:val="000000"/>
        </w:rPr>
        <w:t>shaped areas, which have restricted oceanic water circulation</w:t>
      </w:r>
      <w:r w:rsidR="00902EAE">
        <w:rPr>
          <w:rFonts w:eastAsia="Times New Roman"/>
          <w:color w:val="000000"/>
        </w:rPr>
        <w:t xml:space="preserve"> (Zhang and Slatt, 2019)</w:t>
      </w:r>
      <w:r w:rsidR="00F66A44">
        <w:rPr>
          <w:rFonts w:eastAsia="Times New Roman"/>
          <w:color w:val="000000"/>
        </w:rPr>
        <w:t>. Al</w:t>
      </w:r>
      <w:r w:rsidR="00855021" w:rsidRPr="00F546EC">
        <w:rPr>
          <w:rFonts w:eastAsia="Times New Roman"/>
          <w:color w:val="000000"/>
        </w:rPr>
        <w:t>so,</w:t>
      </w:r>
      <w:r w:rsidR="00043E26" w:rsidRPr="00F546EC">
        <w:rPr>
          <w:rFonts w:eastAsia="Times New Roman"/>
          <w:color w:val="000000"/>
        </w:rPr>
        <w:t xml:space="preserve"> </w:t>
      </w:r>
      <w:r w:rsidR="00855021" w:rsidRPr="00F546EC">
        <w:rPr>
          <w:rFonts w:eastAsia="Times New Roman"/>
          <w:color w:val="000000"/>
        </w:rPr>
        <w:t xml:space="preserve">where the </w:t>
      </w:r>
      <w:r w:rsidR="00043E26" w:rsidRPr="00F546EC">
        <w:rPr>
          <w:rFonts w:eastAsia="Times New Roman"/>
          <w:color w:val="000000"/>
        </w:rPr>
        <w:t>sediment and organic matter particle deposition occurs much deeper than the wave base level</w:t>
      </w:r>
      <w:r w:rsidR="00572820">
        <w:rPr>
          <w:rFonts w:eastAsia="Times New Roman"/>
          <w:color w:val="000000"/>
        </w:rPr>
        <w:t xml:space="preserve"> (&gt;500 ft). In this enclosed </w:t>
      </w:r>
      <w:r w:rsidR="00A22E4E">
        <w:rPr>
          <w:rFonts w:eastAsia="Times New Roman"/>
          <w:color w:val="000000"/>
        </w:rPr>
        <w:t>fill</w:t>
      </w:r>
      <w:r w:rsidR="000C63B0">
        <w:rPr>
          <w:rFonts w:eastAsia="Times New Roman"/>
          <w:color w:val="000000"/>
        </w:rPr>
        <w:t>,</w:t>
      </w:r>
      <w:r w:rsidR="002563F4" w:rsidRPr="00F546EC">
        <w:rPr>
          <w:rFonts w:eastAsia="Times New Roman"/>
          <w:color w:val="000000"/>
        </w:rPr>
        <w:t xml:space="preserve"> </w:t>
      </w:r>
      <w:r w:rsidR="00F66A44">
        <w:rPr>
          <w:rFonts w:eastAsia="Times New Roman"/>
          <w:color w:val="000000"/>
        </w:rPr>
        <w:t xml:space="preserve">it is proposed that </w:t>
      </w:r>
      <w:r w:rsidR="00043E26" w:rsidRPr="00F546EC">
        <w:rPr>
          <w:rFonts w:eastAsia="Times New Roman"/>
          <w:color w:val="000000"/>
        </w:rPr>
        <w:t xml:space="preserve">there are </w:t>
      </w:r>
      <w:r w:rsidR="002563F4" w:rsidRPr="00F546EC">
        <w:rPr>
          <w:rFonts w:eastAsia="Times New Roman"/>
          <w:color w:val="000000"/>
        </w:rPr>
        <w:t>restricted</w:t>
      </w:r>
      <w:r w:rsidR="00043E26" w:rsidRPr="00F546EC">
        <w:rPr>
          <w:rFonts w:eastAsia="Times New Roman"/>
          <w:color w:val="000000"/>
        </w:rPr>
        <w:t>-</w:t>
      </w:r>
      <w:r w:rsidR="002563F4" w:rsidRPr="00F546EC">
        <w:rPr>
          <w:rFonts w:eastAsia="Times New Roman"/>
          <w:color w:val="000000"/>
        </w:rPr>
        <w:t>energy variations</w:t>
      </w:r>
      <w:r w:rsidR="00572820">
        <w:rPr>
          <w:rFonts w:eastAsia="Times New Roman"/>
          <w:color w:val="000000"/>
        </w:rPr>
        <w:t>,</w:t>
      </w:r>
      <w:r w:rsidR="002135C8" w:rsidRPr="00F546EC">
        <w:rPr>
          <w:rFonts w:eastAsia="Times New Roman"/>
          <w:color w:val="000000"/>
        </w:rPr>
        <w:t xml:space="preserve"> </w:t>
      </w:r>
      <w:r w:rsidR="00043E26" w:rsidRPr="00F546EC">
        <w:rPr>
          <w:rFonts w:eastAsia="Times New Roman"/>
          <w:color w:val="000000"/>
        </w:rPr>
        <w:t>and</w:t>
      </w:r>
      <w:r w:rsidR="00F66A44">
        <w:rPr>
          <w:rFonts w:eastAsia="Times New Roman"/>
          <w:color w:val="000000"/>
        </w:rPr>
        <w:t xml:space="preserve"> </w:t>
      </w:r>
      <w:r w:rsidR="002135C8" w:rsidRPr="00F546EC">
        <w:rPr>
          <w:rFonts w:eastAsia="Times New Roman"/>
          <w:color w:val="000000"/>
        </w:rPr>
        <w:t xml:space="preserve">rapid and persistent development of anoxic conditions </w:t>
      </w:r>
      <w:r w:rsidR="007A2F25">
        <w:rPr>
          <w:rFonts w:eastAsia="Times New Roman"/>
          <w:color w:val="000000"/>
        </w:rPr>
        <w:t>is</w:t>
      </w:r>
      <w:r w:rsidR="00E26B30" w:rsidRPr="00F546EC">
        <w:rPr>
          <w:rFonts w:eastAsia="Times New Roman"/>
          <w:color w:val="000000"/>
        </w:rPr>
        <w:t xml:space="preserve"> present and crucial </w:t>
      </w:r>
      <w:r w:rsidR="002135C8" w:rsidRPr="00F546EC">
        <w:rPr>
          <w:rFonts w:eastAsia="Times New Roman"/>
          <w:color w:val="000000"/>
        </w:rPr>
        <w:t>to preserve the accumulation of organic matter</w:t>
      </w:r>
      <w:r w:rsidR="00855021" w:rsidRPr="00F546EC">
        <w:rPr>
          <w:rFonts w:eastAsia="Times New Roman"/>
          <w:color w:val="000000"/>
        </w:rPr>
        <w:t>. F</w:t>
      </w:r>
      <w:r w:rsidR="007D1D34" w:rsidRPr="00F546EC">
        <w:rPr>
          <w:rFonts w:eastAsia="Times New Roman"/>
          <w:color w:val="000000"/>
        </w:rPr>
        <w:t xml:space="preserve">or </w:t>
      </w:r>
      <w:r w:rsidR="00855021" w:rsidRPr="00F546EC">
        <w:rPr>
          <w:rFonts w:eastAsia="Times New Roman"/>
          <w:color w:val="000000"/>
        </w:rPr>
        <w:t xml:space="preserve">all these </w:t>
      </w:r>
      <w:r w:rsidR="00460281" w:rsidRPr="00F546EC">
        <w:rPr>
          <w:rFonts w:eastAsia="Times New Roman"/>
          <w:color w:val="000000"/>
        </w:rPr>
        <w:t>reasons, it</w:t>
      </w:r>
      <w:r w:rsidR="007D1D34" w:rsidRPr="00F546EC">
        <w:rPr>
          <w:rFonts w:eastAsia="Times New Roman"/>
          <w:color w:val="000000"/>
        </w:rPr>
        <w:t xml:space="preserve"> is essential to review the</w:t>
      </w:r>
      <w:r w:rsidR="002563F4" w:rsidRPr="00F546EC">
        <w:rPr>
          <w:rFonts w:eastAsia="Times New Roman"/>
          <w:color w:val="000000"/>
        </w:rPr>
        <w:t xml:space="preserve"> </w:t>
      </w:r>
      <w:r w:rsidR="00AB4C0A">
        <w:rPr>
          <w:rFonts w:eastAsia="Times New Roman"/>
          <w:color w:val="000000"/>
        </w:rPr>
        <w:t>literature</w:t>
      </w:r>
      <w:r w:rsidR="00995610" w:rsidRPr="00F546EC">
        <w:rPr>
          <w:rFonts w:eastAsia="Times New Roman"/>
          <w:color w:val="000000"/>
        </w:rPr>
        <w:t xml:space="preserve"> </w:t>
      </w:r>
      <w:r w:rsidR="00FC59AD" w:rsidRPr="00F546EC">
        <w:rPr>
          <w:rFonts w:eastAsia="Times New Roman"/>
          <w:color w:val="000000"/>
        </w:rPr>
        <w:t>for</w:t>
      </w:r>
      <w:r w:rsidR="00995610" w:rsidRPr="00F546EC">
        <w:rPr>
          <w:rFonts w:eastAsia="Times New Roman"/>
          <w:color w:val="000000"/>
        </w:rPr>
        <w:t xml:space="preserve"> the characteristics of</w:t>
      </w:r>
      <w:r w:rsidR="00AC490D" w:rsidRPr="00F546EC">
        <w:rPr>
          <w:rFonts w:eastAsia="Times New Roman"/>
          <w:color w:val="000000"/>
        </w:rPr>
        <w:t xml:space="preserve"> </w:t>
      </w:r>
      <w:r w:rsidR="00F66A44">
        <w:rPr>
          <w:rFonts w:eastAsia="Times New Roman"/>
          <w:color w:val="000000"/>
        </w:rPr>
        <w:t xml:space="preserve">common </w:t>
      </w:r>
      <w:r w:rsidR="00995610" w:rsidRPr="00F546EC">
        <w:rPr>
          <w:rFonts w:eastAsia="Times New Roman"/>
          <w:color w:val="000000"/>
        </w:rPr>
        <w:t xml:space="preserve">lacustrine </w:t>
      </w:r>
      <w:r w:rsidR="00995610" w:rsidRPr="00F546EC">
        <w:rPr>
          <w:rFonts w:eastAsia="Times New Roman"/>
          <w:color w:val="000000"/>
        </w:rPr>
        <w:lastRenderedPageBreak/>
        <w:t>geological deposits</w:t>
      </w:r>
      <w:r w:rsidR="007502CB" w:rsidRPr="00F546EC">
        <w:rPr>
          <w:rFonts w:eastAsia="Times New Roman"/>
          <w:color w:val="000000"/>
        </w:rPr>
        <w:t>,</w:t>
      </w:r>
      <w:r w:rsidR="00FB32DD" w:rsidRPr="00F546EC">
        <w:rPr>
          <w:rFonts w:eastAsia="Times New Roman"/>
          <w:color w:val="000000"/>
        </w:rPr>
        <w:t xml:space="preserve"> </w:t>
      </w:r>
      <w:r w:rsidR="00572820">
        <w:rPr>
          <w:rFonts w:eastAsia="Times New Roman"/>
          <w:color w:val="000000"/>
        </w:rPr>
        <w:t>and the type of organic matter that can be transported towar</w:t>
      </w:r>
      <w:r w:rsidR="00773798">
        <w:rPr>
          <w:rFonts w:eastAsia="Times New Roman"/>
          <w:color w:val="000000"/>
        </w:rPr>
        <w:t>d</w:t>
      </w:r>
      <w:r w:rsidR="00572820">
        <w:rPr>
          <w:rFonts w:eastAsia="Times New Roman"/>
          <w:color w:val="000000"/>
        </w:rPr>
        <w:t xml:space="preserve">s the </w:t>
      </w:r>
      <w:r w:rsidR="00572820">
        <w:rPr>
          <w:color w:val="000000"/>
          <w:shd w:val="clear" w:color="auto" w:fill="FFFFFF"/>
        </w:rPr>
        <w:t xml:space="preserve">enclosed mini-basin </w:t>
      </w:r>
      <w:r w:rsidR="00A22E4E">
        <w:rPr>
          <w:color w:val="000000"/>
          <w:shd w:val="clear" w:color="auto" w:fill="FFFFFF"/>
        </w:rPr>
        <w:t>fill</w:t>
      </w:r>
      <w:r w:rsidR="00D56394">
        <w:rPr>
          <w:color w:val="000000"/>
          <w:shd w:val="clear" w:color="auto" w:fill="FFFFFF"/>
        </w:rPr>
        <w:t xml:space="preserve">, which are proposed to occur in </w:t>
      </w:r>
      <w:r w:rsidR="00460281">
        <w:rPr>
          <w:color w:val="000000"/>
          <w:shd w:val="clear" w:color="auto" w:fill="FFFFFF"/>
        </w:rPr>
        <w:t xml:space="preserve">the </w:t>
      </w:r>
      <w:r w:rsidR="00460281" w:rsidRPr="00F546EC">
        <w:rPr>
          <w:rFonts w:eastAsia="Times New Roman"/>
          <w:color w:val="000000"/>
        </w:rPr>
        <w:t>transitional</w:t>
      </w:r>
      <w:r w:rsidR="007D1D34" w:rsidRPr="00F546EC">
        <w:rPr>
          <w:rFonts w:eastAsia="Times New Roman"/>
          <w:color w:val="000000"/>
        </w:rPr>
        <w:t xml:space="preserve"> paralic </w:t>
      </w:r>
      <w:r w:rsidR="00D56394">
        <w:rPr>
          <w:rFonts w:eastAsia="Times New Roman"/>
          <w:color w:val="000000"/>
        </w:rPr>
        <w:t>area</w:t>
      </w:r>
      <w:r w:rsidR="007D1D34" w:rsidRPr="00F546EC">
        <w:rPr>
          <w:rFonts w:eastAsia="Times New Roman"/>
          <w:color w:val="000000"/>
        </w:rPr>
        <w:t xml:space="preserve"> (</w:t>
      </w:r>
      <w:r w:rsidR="008B31E4" w:rsidRPr="00F546EC">
        <w:rPr>
          <w:rFonts w:eastAsia="Times New Roman"/>
          <w:color w:val="000000"/>
        </w:rPr>
        <w:t>mud shelf deposits</w:t>
      </w:r>
      <w:r w:rsidR="00E26B30" w:rsidRPr="00F546EC">
        <w:rPr>
          <w:rFonts w:eastAsia="Times New Roman"/>
          <w:color w:val="000000"/>
        </w:rPr>
        <w:t xml:space="preserve"> before the shelf</w:t>
      </w:r>
      <w:r w:rsidR="002608F0" w:rsidRPr="00F546EC">
        <w:rPr>
          <w:rFonts w:eastAsia="Times New Roman"/>
          <w:color w:val="000000"/>
        </w:rPr>
        <w:t>-</w:t>
      </w:r>
      <w:r w:rsidR="006C2EA9" w:rsidRPr="00F546EC">
        <w:rPr>
          <w:rFonts w:eastAsia="Times New Roman"/>
          <w:color w:val="000000"/>
        </w:rPr>
        <w:t>break</w:t>
      </w:r>
      <w:r w:rsidR="002A5639" w:rsidRPr="00F546EC">
        <w:rPr>
          <w:rFonts w:eastAsia="Times New Roman"/>
          <w:color w:val="000000"/>
        </w:rPr>
        <w:t>, toward</w:t>
      </w:r>
      <w:r w:rsidR="00855021" w:rsidRPr="00F546EC">
        <w:rPr>
          <w:rFonts w:eastAsia="Times New Roman"/>
          <w:color w:val="000000"/>
        </w:rPr>
        <w:t>s</w:t>
      </w:r>
      <w:r w:rsidR="002A5639" w:rsidRPr="00F546EC">
        <w:rPr>
          <w:rFonts w:eastAsia="Times New Roman"/>
          <w:color w:val="000000"/>
        </w:rPr>
        <w:t xml:space="preserve"> the deeper ocean</w:t>
      </w:r>
      <w:r w:rsidR="006C2EA9" w:rsidRPr="00F546EC">
        <w:rPr>
          <w:rFonts w:eastAsia="Times New Roman"/>
          <w:color w:val="000000"/>
        </w:rPr>
        <w:t xml:space="preserve"> slope</w:t>
      </w:r>
      <w:r w:rsidR="008B31E4" w:rsidRPr="00F546EC">
        <w:rPr>
          <w:rFonts w:eastAsia="Times New Roman"/>
          <w:color w:val="000000"/>
        </w:rPr>
        <w:t>) and</w:t>
      </w:r>
      <w:r w:rsidR="00AC490D" w:rsidRPr="00F546EC">
        <w:rPr>
          <w:rFonts w:eastAsia="Times New Roman"/>
          <w:color w:val="000000"/>
        </w:rPr>
        <w:t xml:space="preserve"> </w:t>
      </w:r>
      <w:r w:rsidR="00FB32DD" w:rsidRPr="00F546EC">
        <w:rPr>
          <w:rFonts w:eastAsia="Times New Roman"/>
          <w:color w:val="000000"/>
        </w:rPr>
        <w:t>different than</w:t>
      </w:r>
      <w:r w:rsidR="00AC490D" w:rsidRPr="00F546EC">
        <w:rPr>
          <w:rFonts w:eastAsia="Times New Roman"/>
          <w:color w:val="000000"/>
        </w:rPr>
        <w:t xml:space="preserve"> </w:t>
      </w:r>
      <w:r w:rsidR="008B31E4" w:rsidRPr="00F546EC">
        <w:rPr>
          <w:rFonts w:eastAsia="Times New Roman"/>
          <w:color w:val="000000"/>
        </w:rPr>
        <w:t xml:space="preserve">the </w:t>
      </w:r>
      <w:r w:rsidR="00AC490D" w:rsidRPr="00F546EC">
        <w:rPr>
          <w:rFonts w:eastAsia="Times New Roman"/>
          <w:color w:val="000000"/>
        </w:rPr>
        <w:t>open</w:t>
      </w:r>
      <w:r w:rsidR="00FB32DD" w:rsidRPr="00F546EC">
        <w:rPr>
          <w:rFonts w:eastAsia="Times New Roman"/>
          <w:color w:val="000000"/>
        </w:rPr>
        <w:t xml:space="preserve"> marine </w:t>
      </w:r>
      <w:r w:rsidR="00D56394">
        <w:rPr>
          <w:rFonts w:eastAsia="Times New Roman"/>
          <w:color w:val="000000"/>
        </w:rPr>
        <w:t xml:space="preserve">deep basinal </w:t>
      </w:r>
      <w:r w:rsidR="007502CB" w:rsidRPr="00F546EC">
        <w:rPr>
          <w:rFonts w:eastAsia="Times New Roman"/>
          <w:color w:val="000000"/>
        </w:rPr>
        <w:t>shale deposits</w:t>
      </w:r>
      <w:r w:rsidR="00024ECE">
        <w:rPr>
          <w:rFonts w:eastAsia="Times New Roman"/>
          <w:color w:val="000000"/>
        </w:rPr>
        <w:t xml:space="preserve"> (Slatt, 2016)</w:t>
      </w:r>
      <w:r w:rsidR="00D56394">
        <w:rPr>
          <w:rFonts w:eastAsia="Times New Roman"/>
          <w:color w:val="000000"/>
        </w:rPr>
        <w:t>.</w:t>
      </w:r>
    </w:p>
    <w:p w14:paraId="1A8C3642" w14:textId="5EBB9CB9" w:rsidR="00BB6564" w:rsidRDefault="0009369C" w:rsidP="00BB6564">
      <w:pPr>
        <w:rPr>
          <w:rFonts w:eastAsia="Times New Roman"/>
          <w:color w:val="000000"/>
        </w:rPr>
      </w:pPr>
      <w:r w:rsidRPr="00F546EC">
        <w:rPr>
          <w:rFonts w:eastAsia="Times New Roman"/>
          <w:color w:val="000000"/>
        </w:rPr>
        <w:t xml:space="preserve"> </w:t>
      </w:r>
      <w:r w:rsidR="00981171">
        <w:rPr>
          <w:rFonts w:eastAsia="Times New Roman"/>
          <w:color w:val="000000"/>
        </w:rPr>
        <w:tab/>
      </w:r>
      <w:r w:rsidR="00BC20E0">
        <w:rPr>
          <w:rFonts w:eastAsia="Times New Roman"/>
          <w:color w:val="000000"/>
        </w:rPr>
        <w:t>A</w:t>
      </w:r>
      <w:r w:rsidR="009402B2">
        <w:rPr>
          <w:rFonts w:eastAsia="Times New Roman"/>
          <w:color w:val="000000"/>
        </w:rPr>
        <w:t xml:space="preserve"> systematic</w:t>
      </w:r>
      <w:r w:rsidR="003E4375" w:rsidRPr="00F546EC">
        <w:rPr>
          <w:rFonts w:eastAsia="Times New Roman"/>
          <w:color w:val="000000"/>
        </w:rPr>
        <w:t xml:space="preserve"> exploration </w:t>
      </w:r>
      <w:r w:rsidR="009402B2">
        <w:rPr>
          <w:rFonts w:eastAsia="Times New Roman"/>
          <w:color w:val="000000"/>
        </w:rPr>
        <w:t xml:space="preserve">for recognizing the </w:t>
      </w:r>
      <w:r w:rsidR="00851B3B">
        <w:rPr>
          <w:color w:val="000000"/>
          <w:shd w:val="clear" w:color="auto" w:fill="FFFFFF"/>
        </w:rPr>
        <w:t xml:space="preserve">enclosed mini-basin </w:t>
      </w:r>
      <w:r w:rsidR="00A22E4E">
        <w:rPr>
          <w:color w:val="000000"/>
          <w:shd w:val="clear" w:color="auto" w:fill="FFFFFF"/>
        </w:rPr>
        <w:t>fill</w:t>
      </w:r>
      <w:r w:rsidR="00851B3B">
        <w:rPr>
          <w:rFonts w:eastAsia="Times New Roman"/>
          <w:color w:val="000000"/>
        </w:rPr>
        <w:t xml:space="preserve"> </w:t>
      </w:r>
      <w:r w:rsidR="009402B2">
        <w:rPr>
          <w:rFonts w:eastAsia="Times New Roman"/>
          <w:color w:val="000000"/>
        </w:rPr>
        <w:t>rock intervals</w:t>
      </w:r>
      <w:r w:rsidR="00BC20E0">
        <w:rPr>
          <w:rFonts w:eastAsia="Times New Roman"/>
          <w:color w:val="000000"/>
        </w:rPr>
        <w:t xml:space="preserve"> within the marine mudstone deposits has a starting point of</w:t>
      </w:r>
      <w:r w:rsidR="009402B2">
        <w:rPr>
          <w:rFonts w:eastAsia="Times New Roman"/>
          <w:color w:val="000000"/>
        </w:rPr>
        <w:t xml:space="preserve"> consider</w:t>
      </w:r>
      <w:r w:rsidR="00BC20E0">
        <w:rPr>
          <w:rFonts w:eastAsia="Times New Roman"/>
          <w:color w:val="000000"/>
        </w:rPr>
        <w:t>ing</w:t>
      </w:r>
      <w:r w:rsidR="009402B2">
        <w:rPr>
          <w:rFonts w:eastAsia="Times New Roman"/>
          <w:color w:val="000000"/>
        </w:rPr>
        <w:t xml:space="preserve"> these as</w:t>
      </w:r>
      <w:r w:rsidR="003E4375" w:rsidRPr="00F546EC">
        <w:rPr>
          <w:rFonts w:eastAsia="Times New Roman"/>
          <w:color w:val="000000"/>
        </w:rPr>
        <w:t xml:space="preserve"> </w:t>
      </w:r>
      <w:r w:rsidR="00851B3B">
        <w:rPr>
          <w:rFonts w:eastAsia="Times New Roman"/>
          <w:color w:val="000000"/>
        </w:rPr>
        <w:t>highly restricted</w:t>
      </w:r>
      <w:r w:rsidR="0005095C" w:rsidRPr="00F546EC">
        <w:rPr>
          <w:rFonts w:eastAsia="Times New Roman"/>
          <w:color w:val="000000"/>
        </w:rPr>
        <w:t xml:space="preserve"> </w:t>
      </w:r>
      <w:r w:rsidR="003E4375" w:rsidRPr="00F546EC">
        <w:rPr>
          <w:rFonts w:eastAsia="Times New Roman"/>
          <w:color w:val="000000"/>
        </w:rPr>
        <w:t xml:space="preserve">marine </w:t>
      </w:r>
      <w:r w:rsidR="009402B2">
        <w:rPr>
          <w:rFonts w:eastAsia="Times New Roman"/>
          <w:color w:val="000000"/>
        </w:rPr>
        <w:t xml:space="preserve">deposits </w:t>
      </w:r>
      <w:r w:rsidR="008B31E4" w:rsidRPr="00F546EC">
        <w:rPr>
          <w:rFonts w:eastAsia="Times New Roman"/>
          <w:color w:val="000000"/>
        </w:rPr>
        <w:t>with</w:t>
      </w:r>
      <w:r w:rsidR="003E4375" w:rsidRPr="00F546EC">
        <w:rPr>
          <w:rFonts w:eastAsia="Times New Roman"/>
          <w:color w:val="000000"/>
        </w:rPr>
        <w:t xml:space="preserve">in </w:t>
      </w:r>
      <w:r w:rsidR="00BC20E0">
        <w:rPr>
          <w:rFonts w:eastAsia="Times New Roman"/>
          <w:color w:val="000000"/>
        </w:rPr>
        <w:t>open marine depositional settings</w:t>
      </w:r>
      <w:r w:rsidR="00902EAE">
        <w:rPr>
          <w:rFonts w:eastAsia="Times New Roman"/>
          <w:color w:val="000000"/>
        </w:rPr>
        <w:t xml:space="preserve"> (Slatt, 2016)</w:t>
      </w:r>
      <w:r w:rsidR="009402B2">
        <w:rPr>
          <w:rFonts w:eastAsia="Times New Roman"/>
          <w:color w:val="000000"/>
        </w:rPr>
        <w:t>. This definition</w:t>
      </w:r>
      <w:r w:rsidR="003E4375" w:rsidRPr="00F546EC">
        <w:rPr>
          <w:rFonts w:eastAsia="Times New Roman"/>
          <w:color w:val="000000"/>
        </w:rPr>
        <w:t xml:space="preserve"> requires </w:t>
      </w:r>
      <w:r w:rsidR="009402B2">
        <w:rPr>
          <w:rFonts w:eastAsia="Times New Roman"/>
          <w:color w:val="000000"/>
        </w:rPr>
        <w:t>the</w:t>
      </w:r>
      <w:r w:rsidR="003E4375" w:rsidRPr="00F546EC">
        <w:rPr>
          <w:rFonts w:eastAsia="Times New Roman"/>
          <w:color w:val="000000"/>
        </w:rPr>
        <w:t xml:space="preserve"> understanding of </w:t>
      </w:r>
      <w:r w:rsidR="00BC20E0">
        <w:rPr>
          <w:rFonts w:eastAsia="Times New Roman"/>
          <w:color w:val="000000"/>
        </w:rPr>
        <w:t xml:space="preserve">both </w:t>
      </w:r>
      <w:r w:rsidR="0071152E">
        <w:rPr>
          <w:rFonts w:eastAsia="Times New Roman"/>
          <w:color w:val="000000"/>
        </w:rPr>
        <w:t xml:space="preserve">the stratigraphy and geochemistry </w:t>
      </w:r>
      <w:r w:rsidR="00D42056" w:rsidRPr="00F546EC">
        <w:rPr>
          <w:rFonts w:eastAsia="Times New Roman"/>
          <w:color w:val="000000"/>
        </w:rPr>
        <w:t xml:space="preserve">conditions </w:t>
      </w:r>
      <w:r w:rsidR="00AA2BB1" w:rsidRPr="00F546EC">
        <w:rPr>
          <w:rFonts w:eastAsia="Times New Roman"/>
          <w:color w:val="000000"/>
        </w:rPr>
        <w:t>of the minerals</w:t>
      </w:r>
      <w:r w:rsidR="009402B2">
        <w:rPr>
          <w:rFonts w:eastAsia="Times New Roman"/>
          <w:color w:val="000000"/>
        </w:rPr>
        <w:t xml:space="preserve"> and organic matter</w:t>
      </w:r>
      <w:r w:rsidR="00AA2BB1" w:rsidRPr="00F546EC">
        <w:rPr>
          <w:rFonts w:eastAsia="Times New Roman"/>
          <w:color w:val="000000"/>
        </w:rPr>
        <w:t xml:space="preserve"> that constitute the </w:t>
      </w:r>
      <w:r w:rsidR="00BC20E0">
        <w:rPr>
          <w:rFonts w:eastAsia="Times New Roman"/>
          <w:color w:val="000000"/>
        </w:rPr>
        <w:t>different</w:t>
      </w:r>
      <w:r w:rsidR="00AA2BB1" w:rsidRPr="00F546EC">
        <w:rPr>
          <w:rFonts w:eastAsia="Times New Roman"/>
          <w:color w:val="000000"/>
        </w:rPr>
        <w:t xml:space="preserve"> </w:t>
      </w:r>
      <w:r w:rsidR="00BC20E0">
        <w:rPr>
          <w:rFonts w:eastAsia="Times New Roman"/>
          <w:color w:val="000000"/>
        </w:rPr>
        <w:t>lithologie</w:t>
      </w:r>
      <w:r w:rsidR="00AA2BB1" w:rsidRPr="00F546EC">
        <w:rPr>
          <w:rFonts w:eastAsia="Times New Roman"/>
          <w:color w:val="000000"/>
        </w:rPr>
        <w:t>s</w:t>
      </w:r>
      <w:r w:rsidR="0071152E">
        <w:rPr>
          <w:rFonts w:eastAsia="Times New Roman"/>
          <w:color w:val="000000"/>
        </w:rPr>
        <w:t xml:space="preserve"> in the enclosed </w:t>
      </w:r>
      <w:r w:rsidR="00851B3B">
        <w:rPr>
          <w:rFonts w:eastAsia="Times New Roman"/>
          <w:color w:val="000000"/>
        </w:rPr>
        <w:t>fill</w:t>
      </w:r>
      <w:r w:rsidR="0071152E">
        <w:rPr>
          <w:rFonts w:eastAsia="Times New Roman"/>
          <w:color w:val="000000"/>
        </w:rPr>
        <w:t xml:space="preserve"> deposits </w:t>
      </w:r>
      <w:r w:rsidR="0071152E" w:rsidRPr="00F546EC">
        <w:rPr>
          <w:rFonts w:eastAsia="Times New Roman"/>
          <w:color w:val="000000"/>
        </w:rPr>
        <w:t>(sea-level variations</w:t>
      </w:r>
      <w:r w:rsidR="0071152E">
        <w:rPr>
          <w:rFonts w:eastAsia="Times New Roman"/>
          <w:color w:val="000000"/>
        </w:rPr>
        <w:t>, development of accommodation space, sediment supply, water chemistry, and heavy element</w:t>
      </w:r>
      <w:r w:rsidR="00F66A44">
        <w:rPr>
          <w:rFonts w:eastAsia="Times New Roman"/>
          <w:color w:val="000000"/>
        </w:rPr>
        <w:t>s</w:t>
      </w:r>
      <w:r w:rsidR="0071152E">
        <w:rPr>
          <w:rFonts w:eastAsia="Times New Roman"/>
          <w:color w:val="000000"/>
        </w:rPr>
        <w:t xml:space="preserve"> supply</w:t>
      </w:r>
      <w:r w:rsidR="00902EAE">
        <w:rPr>
          <w:rFonts w:eastAsia="Times New Roman"/>
          <w:color w:val="000000"/>
        </w:rPr>
        <w:t>; Slatt, 2016</w:t>
      </w:r>
      <w:r w:rsidR="0071152E" w:rsidRPr="00F546EC">
        <w:rPr>
          <w:rFonts w:eastAsia="Times New Roman"/>
          <w:color w:val="000000"/>
        </w:rPr>
        <w:t>)</w:t>
      </w:r>
      <w:r w:rsidR="009402B2">
        <w:rPr>
          <w:rFonts w:eastAsia="Times New Roman"/>
          <w:color w:val="000000"/>
        </w:rPr>
        <w:t xml:space="preserve">. It is essential to rely on the organic </w:t>
      </w:r>
      <w:r w:rsidR="00BC20E0">
        <w:rPr>
          <w:rFonts w:eastAsia="Times New Roman"/>
          <w:color w:val="000000"/>
        </w:rPr>
        <w:t>geochemistry</w:t>
      </w:r>
      <w:r w:rsidR="009402B2">
        <w:rPr>
          <w:rFonts w:eastAsia="Times New Roman"/>
          <w:color w:val="000000"/>
        </w:rPr>
        <w:t xml:space="preserve"> characterization for recognizing the</w:t>
      </w:r>
      <w:r w:rsidR="00876507" w:rsidRPr="00F546EC">
        <w:rPr>
          <w:rFonts w:eastAsia="Times New Roman"/>
          <w:color w:val="000000"/>
        </w:rPr>
        <w:t xml:space="preserve"> exist</w:t>
      </w:r>
      <w:r w:rsidR="00C91115" w:rsidRPr="00F546EC">
        <w:rPr>
          <w:rFonts w:eastAsia="Times New Roman"/>
          <w:color w:val="000000"/>
        </w:rPr>
        <w:t>e</w:t>
      </w:r>
      <w:r w:rsidR="00876507" w:rsidRPr="00F546EC">
        <w:rPr>
          <w:rFonts w:eastAsia="Times New Roman"/>
          <w:color w:val="000000"/>
        </w:rPr>
        <w:t>nce and persistence of different organisms that form</w:t>
      </w:r>
      <w:r w:rsidR="001A52EC" w:rsidRPr="00F546EC">
        <w:rPr>
          <w:rFonts w:eastAsia="Times New Roman"/>
          <w:color w:val="000000"/>
        </w:rPr>
        <w:t>ed</w:t>
      </w:r>
      <w:r w:rsidR="00876507" w:rsidRPr="00F546EC">
        <w:rPr>
          <w:rFonts w:eastAsia="Times New Roman"/>
          <w:color w:val="000000"/>
        </w:rPr>
        <w:t xml:space="preserve"> different types of organic matter</w:t>
      </w:r>
      <w:r w:rsidR="00DA28F7">
        <w:rPr>
          <w:rFonts w:eastAsia="Times New Roman"/>
          <w:color w:val="000000"/>
        </w:rPr>
        <w:t xml:space="preserve"> (organic facies), and inputs from the continent</w:t>
      </w:r>
      <w:r w:rsidR="00E84BE0">
        <w:rPr>
          <w:rFonts w:eastAsia="Times New Roman"/>
          <w:color w:val="000000"/>
        </w:rPr>
        <w:t xml:space="preserve"> (Chapter III)</w:t>
      </w:r>
      <w:r w:rsidR="00DA28F7">
        <w:rPr>
          <w:rFonts w:eastAsia="Times New Roman"/>
          <w:color w:val="000000"/>
        </w:rPr>
        <w:t xml:space="preserve">. </w:t>
      </w:r>
    </w:p>
    <w:p w14:paraId="71F28E91" w14:textId="32DF36EF" w:rsidR="00112FB9" w:rsidRDefault="00DA28F7" w:rsidP="00BB6564">
      <w:pPr>
        <w:spacing w:after="0"/>
        <w:ind w:firstLine="720"/>
        <w:rPr>
          <w:rFonts w:eastAsia="Times New Roman"/>
          <w:color w:val="000000"/>
        </w:rPr>
      </w:pPr>
      <w:r>
        <w:rPr>
          <w:rFonts w:eastAsia="Times New Roman"/>
          <w:color w:val="000000"/>
        </w:rPr>
        <w:t>Additionally</w:t>
      </w:r>
      <w:r w:rsidR="00BC20E0">
        <w:rPr>
          <w:rFonts w:eastAsia="Times New Roman"/>
          <w:color w:val="000000"/>
        </w:rPr>
        <w:t xml:space="preserve">, </w:t>
      </w:r>
      <w:r>
        <w:rPr>
          <w:rFonts w:eastAsia="Times New Roman"/>
          <w:color w:val="000000"/>
        </w:rPr>
        <w:t>t</w:t>
      </w:r>
      <w:r w:rsidR="00BC20E0">
        <w:rPr>
          <w:rFonts w:eastAsia="Times New Roman"/>
          <w:color w:val="000000"/>
        </w:rPr>
        <w:t>he integration with mineralogical and elemental concentration</w:t>
      </w:r>
      <w:r w:rsidR="00B41B1F">
        <w:rPr>
          <w:rFonts w:eastAsia="Times New Roman"/>
          <w:color w:val="000000"/>
        </w:rPr>
        <w:t>s</w:t>
      </w:r>
      <w:r w:rsidR="00BC20E0">
        <w:rPr>
          <w:rFonts w:eastAsia="Times New Roman"/>
          <w:color w:val="000000"/>
        </w:rPr>
        <w:t xml:space="preserve"> permit the recognition of </w:t>
      </w:r>
      <w:r>
        <w:rPr>
          <w:rFonts w:eastAsia="Times New Roman"/>
          <w:color w:val="000000"/>
        </w:rPr>
        <w:t>essential</w:t>
      </w:r>
      <w:r w:rsidR="00BC20E0">
        <w:rPr>
          <w:rFonts w:eastAsia="Times New Roman"/>
          <w:color w:val="000000"/>
        </w:rPr>
        <w:t xml:space="preserve"> character</w:t>
      </w:r>
      <w:r>
        <w:rPr>
          <w:rFonts w:eastAsia="Times New Roman"/>
          <w:color w:val="000000"/>
        </w:rPr>
        <w:t>is</w:t>
      </w:r>
      <w:r w:rsidR="00BC20E0">
        <w:rPr>
          <w:rFonts w:eastAsia="Times New Roman"/>
          <w:color w:val="000000"/>
        </w:rPr>
        <w:t xml:space="preserve">tics </w:t>
      </w:r>
      <w:r w:rsidR="001A52EC" w:rsidRPr="00F546EC">
        <w:rPr>
          <w:rFonts w:eastAsia="Times New Roman"/>
          <w:color w:val="000000"/>
        </w:rPr>
        <w:t xml:space="preserve">deposited </w:t>
      </w:r>
      <w:r w:rsidR="00876507" w:rsidRPr="00F546EC">
        <w:rPr>
          <w:rFonts w:eastAsia="Times New Roman"/>
          <w:color w:val="000000"/>
        </w:rPr>
        <w:t>in the stratigraphic intervals of these shale</w:t>
      </w:r>
      <w:r w:rsidR="00C91115" w:rsidRPr="00F546EC">
        <w:rPr>
          <w:rFonts w:eastAsia="Times New Roman"/>
          <w:color w:val="000000"/>
        </w:rPr>
        <w:t>s</w:t>
      </w:r>
      <w:r w:rsidR="00902EAE">
        <w:rPr>
          <w:rFonts w:eastAsia="Times New Roman"/>
          <w:color w:val="000000"/>
        </w:rPr>
        <w:t xml:space="preserve"> (Slatt, 2016)</w:t>
      </w:r>
      <w:r w:rsidR="00F66A44">
        <w:rPr>
          <w:rFonts w:eastAsia="Times New Roman"/>
          <w:color w:val="000000"/>
        </w:rPr>
        <w:t xml:space="preserve">. The </w:t>
      </w:r>
      <w:r w:rsidR="00C91115" w:rsidRPr="00F546EC">
        <w:rPr>
          <w:rFonts w:eastAsia="Times New Roman"/>
          <w:color w:val="000000"/>
        </w:rPr>
        <w:t>variations in organic matter content, type</w:t>
      </w:r>
      <w:r>
        <w:rPr>
          <w:rFonts w:eastAsia="Times New Roman"/>
          <w:color w:val="000000"/>
        </w:rPr>
        <w:t>,</w:t>
      </w:r>
      <w:r w:rsidR="00C91115" w:rsidRPr="00F546EC">
        <w:rPr>
          <w:rFonts w:eastAsia="Times New Roman"/>
          <w:color w:val="000000"/>
        </w:rPr>
        <w:t xml:space="preserve"> and alterations</w:t>
      </w:r>
      <w:r w:rsidR="003E4375" w:rsidRPr="00F546EC">
        <w:rPr>
          <w:rFonts w:eastAsia="Times New Roman"/>
          <w:color w:val="000000"/>
        </w:rPr>
        <w:t xml:space="preserve"> that support the development of</w:t>
      </w:r>
      <w:r w:rsidR="003E4375" w:rsidRPr="00F546EC">
        <w:rPr>
          <w:rFonts w:eastAsia="Times New Roman"/>
          <w:i/>
          <w:color w:val="000000"/>
        </w:rPr>
        <w:t xml:space="preserve"> </w:t>
      </w:r>
      <w:r w:rsidR="0005095C" w:rsidRPr="00F546EC">
        <w:rPr>
          <w:rFonts w:eastAsia="Times New Roman"/>
          <w:i/>
          <w:color w:val="000000"/>
        </w:rPr>
        <w:t>“</w:t>
      </w:r>
      <w:r w:rsidR="003E4375" w:rsidRPr="00F546EC">
        <w:rPr>
          <w:rFonts w:eastAsia="Times New Roman"/>
          <w:i/>
          <w:color w:val="000000"/>
        </w:rPr>
        <w:t>lacustrine</w:t>
      </w:r>
      <w:r w:rsidR="0005095C" w:rsidRPr="00F546EC">
        <w:rPr>
          <w:rFonts w:eastAsia="Times New Roman"/>
          <w:i/>
          <w:color w:val="000000"/>
        </w:rPr>
        <w:t>”</w:t>
      </w:r>
      <w:r w:rsidR="003E4375" w:rsidRPr="00F546EC">
        <w:rPr>
          <w:rFonts w:eastAsia="Times New Roman"/>
          <w:color w:val="000000"/>
        </w:rPr>
        <w:t xml:space="preserve"> type source intervals</w:t>
      </w:r>
      <w:r>
        <w:rPr>
          <w:rFonts w:eastAsia="Times New Roman"/>
          <w:color w:val="000000"/>
        </w:rPr>
        <w:t>, also</w:t>
      </w:r>
      <w:r w:rsidR="00AD2FD8">
        <w:rPr>
          <w:rFonts w:eastAsia="Times New Roman"/>
          <w:color w:val="000000"/>
        </w:rPr>
        <w:t xml:space="preserve"> </w:t>
      </w:r>
      <w:r w:rsidR="00460281">
        <w:rPr>
          <w:rFonts w:eastAsia="Times New Roman"/>
          <w:color w:val="000000"/>
        </w:rPr>
        <w:t>an indicator</w:t>
      </w:r>
      <w:r>
        <w:rPr>
          <w:rFonts w:eastAsia="Times New Roman"/>
          <w:color w:val="000000"/>
        </w:rPr>
        <w:t xml:space="preserve"> of supply of continental organic matter particles towards a deeper basin</w:t>
      </w:r>
      <w:r w:rsidR="007D4846">
        <w:rPr>
          <w:rFonts w:eastAsia="Times New Roman"/>
          <w:color w:val="000000"/>
        </w:rPr>
        <w:t xml:space="preserve"> </w:t>
      </w:r>
      <w:r w:rsidR="00F66A44">
        <w:rPr>
          <w:rFonts w:eastAsia="Times New Roman"/>
          <w:color w:val="000000"/>
        </w:rPr>
        <w:t>(</w:t>
      </w:r>
      <w:r w:rsidR="007D4846">
        <w:rPr>
          <w:rFonts w:eastAsia="Times New Roman"/>
          <w:color w:val="000000"/>
        </w:rPr>
        <w:t>Brito, 2014</w:t>
      </w:r>
      <w:r w:rsidR="00F66A44">
        <w:rPr>
          <w:rFonts w:eastAsia="Times New Roman"/>
          <w:color w:val="000000"/>
        </w:rPr>
        <w:t>)</w:t>
      </w:r>
      <w:r w:rsidR="001A52EC" w:rsidRPr="00F546EC">
        <w:rPr>
          <w:rFonts w:eastAsia="Times New Roman"/>
          <w:color w:val="000000"/>
        </w:rPr>
        <w:t>,</w:t>
      </w:r>
      <w:r>
        <w:rPr>
          <w:rFonts w:eastAsia="Times New Roman"/>
          <w:color w:val="000000"/>
        </w:rPr>
        <w:t xml:space="preserve"> which can be </w:t>
      </w:r>
      <w:r w:rsidR="001A52EC" w:rsidRPr="00F546EC">
        <w:rPr>
          <w:rFonts w:eastAsia="Times New Roman"/>
          <w:color w:val="000000"/>
        </w:rPr>
        <w:t xml:space="preserve">identified by different organic marker tracers in the sedimentary record </w:t>
      </w:r>
      <w:r w:rsidR="00F66A44">
        <w:rPr>
          <w:rFonts w:eastAsia="Times New Roman"/>
          <w:color w:val="000000"/>
        </w:rPr>
        <w:t>(</w:t>
      </w:r>
      <w:r w:rsidR="00B34769" w:rsidRPr="00F546EC">
        <w:rPr>
          <w:rFonts w:eastAsia="Times New Roman"/>
          <w:color w:val="000000"/>
        </w:rPr>
        <w:t>biomarkers</w:t>
      </w:r>
      <w:r w:rsidR="00932E48">
        <w:rPr>
          <w:rFonts w:eastAsia="Times New Roman"/>
          <w:color w:val="000000"/>
        </w:rPr>
        <w:t>; Chapter III</w:t>
      </w:r>
      <w:r w:rsidR="00C91115" w:rsidRPr="00F546EC">
        <w:rPr>
          <w:rFonts w:eastAsia="Times New Roman"/>
          <w:color w:val="000000"/>
        </w:rPr>
        <w:t>)</w:t>
      </w:r>
      <w:r w:rsidR="003E4375" w:rsidRPr="00F546EC">
        <w:rPr>
          <w:rFonts w:eastAsia="Times New Roman"/>
          <w:color w:val="000000"/>
        </w:rPr>
        <w:t>. Although quantitative predictions about th</w:t>
      </w:r>
      <w:r w:rsidR="00F66A44">
        <w:rPr>
          <w:rFonts w:eastAsia="Times New Roman"/>
          <w:color w:val="000000"/>
        </w:rPr>
        <w:t>is</w:t>
      </w:r>
      <w:r w:rsidR="003E4375" w:rsidRPr="00F546EC">
        <w:rPr>
          <w:rFonts w:eastAsia="Times New Roman"/>
          <w:color w:val="000000"/>
        </w:rPr>
        <w:t xml:space="preserve"> </w:t>
      </w:r>
      <w:r w:rsidR="00705B1F">
        <w:rPr>
          <w:rFonts w:eastAsia="Times New Roman"/>
          <w:color w:val="000000"/>
        </w:rPr>
        <w:t>en</w:t>
      </w:r>
      <w:r w:rsidR="00705B1F">
        <w:rPr>
          <w:color w:val="000000"/>
          <w:shd w:val="clear" w:color="auto" w:fill="FFFFFF"/>
        </w:rPr>
        <w:t xml:space="preserve">closed mini-basin </w:t>
      </w:r>
      <w:r w:rsidR="00A22E4E">
        <w:rPr>
          <w:color w:val="000000"/>
          <w:shd w:val="clear" w:color="auto" w:fill="FFFFFF"/>
        </w:rPr>
        <w:t>fill</w:t>
      </w:r>
      <w:r w:rsidR="00705B1F" w:rsidRPr="00F546EC">
        <w:rPr>
          <w:rFonts w:eastAsia="Times New Roman"/>
          <w:color w:val="000000"/>
        </w:rPr>
        <w:t xml:space="preserve"> </w:t>
      </w:r>
      <w:r w:rsidR="003E4375" w:rsidRPr="00F546EC">
        <w:rPr>
          <w:rFonts w:eastAsia="Times New Roman"/>
          <w:color w:val="000000"/>
        </w:rPr>
        <w:t xml:space="preserve">have not been conducted within the North American shale systems, </w:t>
      </w:r>
      <w:r w:rsidR="001C2BCC" w:rsidRPr="00F546EC">
        <w:rPr>
          <w:rFonts w:eastAsia="Times New Roman"/>
          <w:color w:val="000000"/>
        </w:rPr>
        <w:t>previous qualitative</w:t>
      </w:r>
      <w:r w:rsidR="003E4375" w:rsidRPr="00F546EC">
        <w:rPr>
          <w:rFonts w:eastAsia="Times New Roman"/>
          <w:color w:val="000000"/>
        </w:rPr>
        <w:t xml:space="preserve"> assessments might indicate the probability of </w:t>
      </w:r>
      <w:r w:rsidR="00CC7FAC" w:rsidRPr="00F546EC">
        <w:rPr>
          <w:rFonts w:eastAsia="Times New Roman"/>
          <w:color w:val="000000"/>
        </w:rPr>
        <w:t>these</w:t>
      </w:r>
      <w:r w:rsidR="003E4375" w:rsidRPr="00F546EC">
        <w:rPr>
          <w:rFonts w:eastAsia="Times New Roman"/>
          <w:color w:val="000000"/>
        </w:rPr>
        <w:t xml:space="preserve"> type of intervals to be present as isolated areas within the unconventional marine deposits </w:t>
      </w:r>
      <w:r w:rsidR="003260E3" w:rsidRPr="00F546EC">
        <w:rPr>
          <w:rFonts w:eastAsia="Times New Roman"/>
          <w:color w:val="000000"/>
        </w:rPr>
        <w:t xml:space="preserve">(Figure </w:t>
      </w:r>
      <w:r w:rsidR="00C11011" w:rsidRPr="00F546EC">
        <w:rPr>
          <w:rFonts w:eastAsia="Times New Roman"/>
          <w:color w:val="000000"/>
        </w:rPr>
        <w:t>1.</w:t>
      </w:r>
      <w:r w:rsidR="00853BB1">
        <w:rPr>
          <w:rFonts w:eastAsia="Times New Roman"/>
          <w:color w:val="000000"/>
        </w:rPr>
        <w:t>10</w:t>
      </w:r>
      <w:r w:rsidR="00E815DC" w:rsidRPr="00F546EC">
        <w:rPr>
          <w:rFonts w:eastAsia="Times New Roman"/>
          <w:color w:val="000000"/>
        </w:rPr>
        <w:t xml:space="preserve">; </w:t>
      </w:r>
      <w:r w:rsidR="00460281">
        <w:rPr>
          <w:rFonts w:eastAsia="Times New Roman"/>
          <w:color w:val="000000"/>
        </w:rPr>
        <w:t>Althoff</w:t>
      </w:r>
      <w:r w:rsidR="00F66A44">
        <w:rPr>
          <w:rFonts w:eastAsia="Times New Roman"/>
          <w:color w:val="000000"/>
        </w:rPr>
        <w:t xml:space="preserve">, 2012; </w:t>
      </w:r>
      <w:r w:rsidR="00E815DC" w:rsidRPr="00F546EC">
        <w:rPr>
          <w:rFonts w:eastAsia="Times New Roman"/>
          <w:color w:val="000000"/>
        </w:rPr>
        <w:t>Brito, 2014;</w:t>
      </w:r>
      <w:r w:rsidR="003260E3" w:rsidRPr="00F546EC">
        <w:rPr>
          <w:rFonts w:eastAsia="Times New Roman"/>
          <w:color w:val="000000"/>
        </w:rPr>
        <w:t xml:space="preserve"> Infante</w:t>
      </w:r>
      <w:r w:rsidR="00D16A06">
        <w:rPr>
          <w:rFonts w:eastAsia="Times New Roman"/>
          <w:color w:val="000000"/>
        </w:rPr>
        <w:t>-Paez</w:t>
      </w:r>
      <w:r w:rsidR="003260E3" w:rsidRPr="00F546EC">
        <w:rPr>
          <w:rFonts w:eastAsia="Times New Roman"/>
          <w:color w:val="000000"/>
        </w:rPr>
        <w:t xml:space="preserve"> et al</w:t>
      </w:r>
      <w:r w:rsidR="004C2472">
        <w:rPr>
          <w:rFonts w:eastAsia="Times New Roman"/>
          <w:color w:val="000000"/>
        </w:rPr>
        <w:t>.</w:t>
      </w:r>
      <w:r w:rsidR="003260E3" w:rsidRPr="00F546EC">
        <w:rPr>
          <w:rFonts w:eastAsia="Times New Roman"/>
          <w:color w:val="000000"/>
        </w:rPr>
        <w:t>, 201</w:t>
      </w:r>
      <w:r w:rsidR="009075CD">
        <w:rPr>
          <w:rFonts w:eastAsia="Times New Roman"/>
          <w:color w:val="000000"/>
        </w:rPr>
        <w:t>6</w:t>
      </w:r>
      <w:r w:rsidR="00E81BC7" w:rsidRPr="00F546EC">
        <w:rPr>
          <w:rFonts w:eastAsia="Times New Roman"/>
          <w:color w:val="000000"/>
        </w:rPr>
        <w:t>; Torres</w:t>
      </w:r>
      <w:r w:rsidR="009075CD">
        <w:rPr>
          <w:rFonts w:eastAsia="Times New Roman"/>
          <w:color w:val="000000"/>
        </w:rPr>
        <w:t>-Parada</w:t>
      </w:r>
      <w:r w:rsidR="00E81BC7" w:rsidRPr="00F546EC">
        <w:rPr>
          <w:rFonts w:eastAsia="Times New Roman"/>
          <w:color w:val="000000"/>
        </w:rPr>
        <w:t xml:space="preserve"> et al., 2017</w:t>
      </w:r>
      <w:r w:rsidR="003260E3" w:rsidRPr="00F546EC">
        <w:rPr>
          <w:rFonts w:eastAsia="Times New Roman"/>
          <w:color w:val="000000"/>
        </w:rPr>
        <w:t>)</w:t>
      </w:r>
      <w:r w:rsidR="00C63058" w:rsidRPr="00F546EC">
        <w:rPr>
          <w:rFonts w:eastAsia="Times New Roman"/>
          <w:color w:val="000000"/>
        </w:rPr>
        <w:t>.</w:t>
      </w:r>
      <w:r w:rsidR="00981171">
        <w:rPr>
          <w:rFonts w:eastAsia="Times New Roman"/>
          <w:color w:val="000000"/>
        </w:rPr>
        <w:t xml:space="preserve"> </w:t>
      </w:r>
    </w:p>
    <w:p w14:paraId="7D5ACC11" w14:textId="5A68F102" w:rsidR="00B719ED" w:rsidRPr="00F546EC" w:rsidRDefault="000C236F" w:rsidP="00BB6564">
      <w:pPr>
        <w:spacing w:after="0" w:line="360" w:lineRule="auto"/>
        <w:jc w:val="center"/>
        <w:rPr>
          <w:szCs w:val="20"/>
        </w:rPr>
      </w:pPr>
      <w:r>
        <w:rPr>
          <w:noProof/>
          <w:szCs w:val="20"/>
        </w:rPr>
        <w:lastRenderedPageBreak/>
        <mc:AlternateContent>
          <mc:Choice Requires="wps">
            <w:drawing>
              <wp:anchor distT="0" distB="0" distL="114300" distR="114300" simplePos="0" relativeHeight="251783680" behindDoc="0" locked="0" layoutInCell="1" allowOverlap="1" wp14:anchorId="56108414" wp14:editId="19F97207">
                <wp:simplePos x="0" y="0"/>
                <wp:positionH relativeFrom="column">
                  <wp:posOffset>4114800</wp:posOffset>
                </wp:positionH>
                <wp:positionV relativeFrom="paragraph">
                  <wp:posOffset>4123690</wp:posOffset>
                </wp:positionV>
                <wp:extent cx="238125" cy="200025"/>
                <wp:effectExtent l="19050" t="38100" r="47625" b="28575"/>
                <wp:wrapNone/>
                <wp:docPr id="144" name="Straight Arrow Connector 144"/>
                <wp:cNvGraphicFramePr/>
                <a:graphic xmlns:a="http://schemas.openxmlformats.org/drawingml/2006/main">
                  <a:graphicData uri="http://schemas.microsoft.com/office/word/2010/wordprocessingShape">
                    <wps:wsp>
                      <wps:cNvCnPr/>
                      <wps:spPr>
                        <a:xfrm flipV="1">
                          <a:off x="0" y="0"/>
                          <a:ext cx="238125" cy="200025"/>
                        </a:xfrm>
                        <a:prstGeom prst="straightConnector1">
                          <a:avLst/>
                        </a:prstGeom>
                        <a:ln w="38100">
                          <a:solidFill>
                            <a:srgbClr val="FF66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0ABC8E" id="_x0000_t32" coordsize="21600,21600" o:spt="32" o:oned="t" path="m,l21600,21600e" filled="f">
                <v:path arrowok="t" fillok="f" o:connecttype="none"/>
                <o:lock v:ext="edit" shapetype="t"/>
              </v:shapetype>
              <v:shape id="Straight Arrow Connector 144" o:spid="_x0000_s1026" type="#_x0000_t32" style="position:absolute;margin-left:324pt;margin-top:324.7pt;width:18.75pt;height:15.75pt;flip:y;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" strokecolor="#f60" strokeweight="3pt">
                <v:stroke endarrow="block" joinstyle="miter"/>
              </v:shape>
            </w:pict>
          </mc:Fallback>
        </mc:AlternateContent>
      </w:r>
      <w:r>
        <w:rPr>
          <w:noProof/>
          <w:szCs w:val="20"/>
        </w:rPr>
        <mc:AlternateContent>
          <mc:Choice Requires="wps">
            <w:drawing>
              <wp:anchor distT="0" distB="0" distL="114300" distR="114300" simplePos="0" relativeHeight="251785728" behindDoc="0" locked="0" layoutInCell="1" allowOverlap="1" wp14:anchorId="0E4CF3CB" wp14:editId="7731D5E7">
                <wp:simplePos x="0" y="0"/>
                <wp:positionH relativeFrom="column">
                  <wp:posOffset>4460240</wp:posOffset>
                </wp:positionH>
                <wp:positionV relativeFrom="paragraph">
                  <wp:posOffset>4112260</wp:posOffset>
                </wp:positionV>
                <wp:extent cx="302260" cy="257175"/>
                <wp:effectExtent l="19050" t="38100" r="40640" b="28575"/>
                <wp:wrapNone/>
                <wp:docPr id="145" name="Straight Arrow Connector 145"/>
                <wp:cNvGraphicFramePr/>
                <a:graphic xmlns:a="http://schemas.openxmlformats.org/drawingml/2006/main">
                  <a:graphicData uri="http://schemas.microsoft.com/office/word/2010/wordprocessingShape">
                    <wps:wsp>
                      <wps:cNvCnPr/>
                      <wps:spPr>
                        <a:xfrm flipV="1">
                          <a:off x="0" y="0"/>
                          <a:ext cx="302260" cy="257175"/>
                        </a:xfrm>
                        <a:prstGeom prst="straightConnector1">
                          <a:avLst/>
                        </a:prstGeom>
                        <a:ln w="38100">
                          <a:solidFill>
                            <a:srgbClr val="FF66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294D97" id="Straight Arrow Connector 145" o:spid="_x0000_s1026" type="#_x0000_t32" style="position:absolute;margin-left:351.2pt;margin-top:323.8pt;width:23.8pt;height:20.25pt;flip:y;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" strokecolor="#f60" strokeweight="3pt">
                <v:stroke endarrow="block" joinstyle="miter"/>
              </v:shape>
            </w:pict>
          </mc:Fallback>
        </mc:AlternateContent>
      </w:r>
      <w:r w:rsidR="000872C2">
        <w:rPr>
          <w:noProof/>
          <w:szCs w:val="20"/>
        </w:rPr>
        <mc:AlternateContent>
          <mc:Choice Requires="wps">
            <w:drawing>
              <wp:anchor distT="0" distB="0" distL="114300" distR="114300" simplePos="0" relativeHeight="251787776" behindDoc="0" locked="0" layoutInCell="1" allowOverlap="1" wp14:anchorId="19D40B43" wp14:editId="32025DE1">
                <wp:simplePos x="0" y="0"/>
                <wp:positionH relativeFrom="column">
                  <wp:posOffset>1790700</wp:posOffset>
                </wp:positionH>
                <wp:positionV relativeFrom="paragraph">
                  <wp:posOffset>4038600</wp:posOffset>
                </wp:positionV>
                <wp:extent cx="314325" cy="171450"/>
                <wp:effectExtent l="19050" t="19050" r="66675" b="38100"/>
                <wp:wrapNone/>
                <wp:docPr id="146" name="Straight Arrow Connector 146"/>
                <wp:cNvGraphicFramePr/>
                <a:graphic xmlns:a="http://schemas.openxmlformats.org/drawingml/2006/main">
                  <a:graphicData uri="http://schemas.microsoft.com/office/word/2010/wordprocessingShape">
                    <wps:wsp>
                      <wps:cNvCnPr/>
                      <wps:spPr>
                        <a:xfrm>
                          <a:off x="0" y="0"/>
                          <a:ext cx="314325" cy="171450"/>
                        </a:xfrm>
                        <a:prstGeom prst="straightConnector1">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47CF94" id="Straight Arrow Connector 146" o:spid="_x0000_s1026" type="#_x0000_t32" style="position:absolute;margin-left:141pt;margin-top:318pt;width:24.75pt;height:13.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" strokecolor="yellow" strokeweight="3pt">
                <v:stroke endarrow="block" joinstyle="miter"/>
              </v:shape>
            </w:pict>
          </mc:Fallback>
        </mc:AlternateContent>
      </w:r>
      <w:r w:rsidR="000872C2">
        <w:rPr>
          <w:noProof/>
          <w:szCs w:val="20"/>
        </w:rPr>
        <mc:AlternateContent>
          <mc:Choice Requires="wps">
            <w:drawing>
              <wp:anchor distT="0" distB="0" distL="114300" distR="114300" simplePos="0" relativeHeight="251781632" behindDoc="0" locked="0" layoutInCell="1" allowOverlap="1" wp14:anchorId="7860AB1C" wp14:editId="22D02176">
                <wp:simplePos x="0" y="0"/>
                <wp:positionH relativeFrom="column">
                  <wp:posOffset>2912110</wp:posOffset>
                </wp:positionH>
                <wp:positionV relativeFrom="paragraph">
                  <wp:posOffset>4255135</wp:posOffset>
                </wp:positionV>
                <wp:extent cx="412115" cy="66675"/>
                <wp:effectExtent l="0" t="76200" r="6985" b="66675"/>
                <wp:wrapNone/>
                <wp:docPr id="137" name="Straight Arrow Connector 137"/>
                <wp:cNvGraphicFramePr/>
                <a:graphic xmlns:a="http://schemas.openxmlformats.org/drawingml/2006/main">
                  <a:graphicData uri="http://schemas.microsoft.com/office/word/2010/wordprocessingShape">
                    <wps:wsp>
                      <wps:cNvCnPr/>
                      <wps:spPr>
                        <a:xfrm flipH="1" flipV="1">
                          <a:off x="0" y="0"/>
                          <a:ext cx="412115" cy="66675"/>
                        </a:xfrm>
                        <a:prstGeom prst="straightConnector1">
                          <a:avLst/>
                        </a:prstGeom>
                        <a:ln w="38100">
                          <a:solidFill>
                            <a:srgbClr val="FF66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94B3F5" id="Straight Arrow Connector 137" o:spid="_x0000_s1026" type="#_x0000_t32" style="position:absolute;margin-left:229.3pt;margin-top:335.05pt;width:32.45pt;height:5.25pt;flip:x 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" strokecolor="#f60" strokeweight="3pt">
                <v:stroke endarrow="block" joinstyle="miter"/>
              </v:shape>
            </w:pict>
          </mc:Fallback>
        </mc:AlternateContent>
      </w:r>
      <w:r w:rsidR="000872C2">
        <w:rPr>
          <w:noProof/>
          <w:szCs w:val="20"/>
        </w:rPr>
        <mc:AlternateContent>
          <mc:Choice Requires="wps">
            <w:drawing>
              <wp:anchor distT="0" distB="0" distL="114300" distR="114300" simplePos="0" relativeHeight="251779584" behindDoc="0" locked="0" layoutInCell="1" allowOverlap="1" wp14:anchorId="5216CE76" wp14:editId="6365A3D4">
                <wp:simplePos x="0" y="0"/>
                <wp:positionH relativeFrom="column">
                  <wp:posOffset>2200274</wp:posOffset>
                </wp:positionH>
                <wp:positionV relativeFrom="paragraph">
                  <wp:posOffset>4257675</wp:posOffset>
                </wp:positionV>
                <wp:extent cx="752475" cy="190500"/>
                <wp:effectExtent l="0" t="76200" r="9525" b="19050"/>
                <wp:wrapNone/>
                <wp:docPr id="136" name="Straight Arrow Connector 136"/>
                <wp:cNvGraphicFramePr/>
                <a:graphic xmlns:a="http://schemas.openxmlformats.org/drawingml/2006/main">
                  <a:graphicData uri="http://schemas.microsoft.com/office/word/2010/wordprocessingShape">
                    <wps:wsp>
                      <wps:cNvCnPr/>
                      <wps:spPr>
                        <a:xfrm flipH="1" flipV="1">
                          <a:off x="0" y="0"/>
                          <a:ext cx="752475" cy="190500"/>
                        </a:xfrm>
                        <a:prstGeom prst="straightConnector1">
                          <a:avLst/>
                        </a:prstGeom>
                        <a:ln w="38100">
                          <a:solidFill>
                            <a:srgbClr val="FF66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99D419" id="Straight Arrow Connector 136" o:spid="_x0000_s1026" type="#_x0000_t32" style="position:absolute;margin-left:173.25pt;margin-top:335.25pt;width:59.25pt;height:15pt;flip:x 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" strokecolor="#f60" strokeweight="3pt">
                <v:stroke endarrow="block" joinstyle="miter"/>
              </v:shape>
            </w:pict>
          </mc:Fallback>
        </mc:AlternateContent>
      </w:r>
      <w:r w:rsidR="000872C2">
        <w:rPr>
          <w:noProof/>
          <w:szCs w:val="20"/>
        </w:rPr>
        <mc:AlternateContent>
          <mc:Choice Requires="wps">
            <w:drawing>
              <wp:anchor distT="0" distB="0" distL="114300" distR="114300" simplePos="0" relativeHeight="251777536" behindDoc="0" locked="0" layoutInCell="1" allowOverlap="1" wp14:anchorId="16BD2BEC" wp14:editId="7E5CF433">
                <wp:simplePos x="0" y="0"/>
                <wp:positionH relativeFrom="column">
                  <wp:posOffset>1514474</wp:posOffset>
                </wp:positionH>
                <wp:positionV relativeFrom="paragraph">
                  <wp:posOffset>4257674</wp:posOffset>
                </wp:positionV>
                <wp:extent cx="1447800" cy="266700"/>
                <wp:effectExtent l="0" t="76200" r="19050" b="19050"/>
                <wp:wrapNone/>
                <wp:docPr id="135" name="Straight Arrow Connector 135"/>
                <wp:cNvGraphicFramePr/>
                <a:graphic xmlns:a="http://schemas.openxmlformats.org/drawingml/2006/main">
                  <a:graphicData uri="http://schemas.microsoft.com/office/word/2010/wordprocessingShape">
                    <wps:wsp>
                      <wps:cNvCnPr/>
                      <wps:spPr>
                        <a:xfrm flipH="1" flipV="1">
                          <a:off x="0" y="0"/>
                          <a:ext cx="1447800" cy="266700"/>
                        </a:xfrm>
                        <a:prstGeom prst="straightConnector1">
                          <a:avLst/>
                        </a:prstGeom>
                        <a:ln w="38100">
                          <a:solidFill>
                            <a:srgbClr val="FF66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DED1B1" id="Straight Arrow Connector 135" o:spid="_x0000_s1026" type="#_x0000_t32" style="position:absolute;margin-left:119.25pt;margin-top:335.25pt;width:114pt;height:21pt;flip:x 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" strokecolor="#f60" strokeweight="3pt">
                <v:stroke endarrow="block" joinstyle="miter"/>
              </v:shape>
            </w:pict>
          </mc:Fallback>
        </mc:AlternateContent>
      </w:r>
      <w:r w:rsidR="000872C2" w:rsidRPr="00EC3288">
        <w:rPr>
          <w:noProof/>
          <w:szCs w:val="20"/>
        </w:rPr>
        <mc:AlternateContent>
          <mc:Choice Requires="wps">
            <w:drawing>
              <wp:anchor distT="45720" distB="45720" distL="114300" distR="114300" simplePos="0" relativeHeight="251776512" behindDoc="0" locked="0" layoutInCell="1" allowOverlap="1" wp14:anchorId="6FBF9BFC" wp14:editId="344394B9">
                <wp:simplePos x="0" y="0"/>
                <wp:positionH relativeFrom="column">
                  <wp:posOffset>2961640</wp:posOffset>
                </wp:positionH>
                <wp:positionV relativeFrom="paragraph">
                  <wp:posOffset>4350385</wp:posOffset>
                </wp:positionV>
                <wp:extent cx="1612547" cy="220414"/>
                <wp:effectExtent l="0" t="0" r="6985" b="8255"/>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547" cy="220414"/>
                        </a:xfrm>
                        <a:prstGeom prst="rect">
                          <a:avLst/>
                        </a:prstGeom>
                        <a:solidFill>
                          <a:srgbClr val="FFFFFF"/>
                        </a:solidFill>
                        <a:ln w="9525">
                          <a:noFill/>
                          <a:miter lim="800000"/>
                          <a:headEnd/>
                          <a:tailEnd/>
                        </a:ln>
                      </wps:spPr>
                      <wps:txbx>
                        <w:txbxContent>
                          <w:p w14:paraId="0B8EB152" w14:textId="6A750B8F" w:rsidR="00EA43A0" w:rsidRPr="00EC3288" w:rsidRDefault="00EA43A0" w:rsidP="00EC3288">
                            <w:pPr>
                              <w:jc w:val="center"/>
                              <w:rPr>
                                <w:b/>
                                <w:bCs/>
                                <w:sz w:val="20"/>
                                <w:szCs w:val="18"/>
                              </w:rPr>
                            </w:pPr>
                            <w:r w:rsidRPr="00EC3288">
                              <w:rPr>
                                <w:b/>
                                <w:bCs/>
                                <w:sz w:val="20"/>
                                <w:szCs w:val="18"/>
                              </w:rPr>
                              <w:t xml:space="preserve">Enclosed mini-basin </w:t>
                            </w:r>
                            <w:r>
                              <w:rPr>
                                <w:b/>
                                <w:bCs/>
                                <w:sz w:val="20"/>
                                <w:szCs w:val="18"/>
                              </w:rPr>
                              <w:t>fill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F9BFC" id="Text Box 2" o:spid="_x0000_s1039" type="#_x0000_t202" style="position:absolute;left:0;text-align:left;margin-left:233.2pt;margin-top:342.55pt;width:126.95pt;height:17.35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" stroked="f">
                <v:textbox>
                  <w:txbxContent>
                    <w:p w14:paraId="0B8EB152" w14:textId="6A750B8F" w:rsidR="00EA43A0" w:rsidRPr="00EC3288" w:rsidRDefault="00EA43A0" w:rsidP="00EC3288">
                      <w:pPr>
                        <w:jc w:val="center"/>
                        <w:rPr>
                          <w:b/>
                          <w:bCs/>
                          <w:sz w:val="20"/>
                          <w:szCs w:val="18"/>
                        </w:rPr>
                      </w:pPr>
                      <w:r w:rsidRPr="00EC3288">
                        <w:rPr>
                          <w:b/>
                          <w:bCs/>
                          <w:sz w:val="20"/>
                          <w:szCs w:val="18"/>
                        </w:rPr>
                        <w:t xml:space="preserve">Enclosed mini-basin </w:t>
                      </w:r>
                      <w:r>
                        <w:rPr>
                          <w:b/>
                          <w:bCs/>
                          <w:sz w:val="20"/>
                          <w:szCs w:val="18"/>
                        </w:rPr>
                        <w:t>fill</w:t>
                      </w:r>
                    </w:p>
                  </w:txbxContent>
                </v:textbox>
              </v:shape>
            </w:pict>
          </mc:Fallback>
        </mc:AlternateContent>
      </w:r>
      <w:r w:rsidR="00B719ED" w:rsidRPr="001E7D67">
        <w:rPr>
          <w:noProof/>
          <w:szCs w:val="20"/>
        </w:rPr>
        <w:drawing>
          <wp:inline distT="0" distB="0" distL="0" distR="0" wp14:anchorId="645046F0" wp14:editId="6C7B127D">
            <wp:extent cx="5659755" cy="4572000"/>
            <wp:effectExtent l="0" t="0" r="0" b="0"/>
            <wp:docPr id="2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94553" cy="4600110"/>
                    </a:xfrm>
                    <a:prstGeom prst="rect">
                      <a:avLst/>
                    </a:prstGeom>
                    <a:noFill/>
                    <a:ln>
                      <a:noFill/>
                    </a:ln>
                  </pic:spPr>
                </pic:pic>
              </a:graphicData>
            </a:graphic>
          </wp:inline>
        </w:drawing>
      </w:r>
    </w:p>
    <w:p w14:paraId="1F53938D" w14:textId="4AAF8180" w:rsidR="00B719ED" w:rsidRPr="00F546EC" w:rsidRDefault="00B719ED" w:rsidP="00B719ED">
      <w:pPr>
        <w:pStyle w:val="Caption"/>
      </w:pPr>
      <w:bookmarkStart w:id="43" w:name="_Toc35861163"/>
      <w:r w:rsidRPr="00F546EC">
        <w:rPr>
          <w:b/>
        </w:rPr>
        <w:t>Figure 1.</w:t>
      </w:r>
      <w:r w:rsidR="00853BB1">
        <w:rPr>
          <w:b/>
        </w:rPr>
        <w:t>10</w:t>
      </w:r>
      <w:r w:rsidRPr="00F546EC">
        <w:rPr>
          <w:b/>
        </w:rPr>
        <w:t>.</w:t>
      </w:r>
      <w:r w:rsidRPr="00F546EC">
        <w:t xml:space="preserve"> Irregular unconformity surface at the base of the Woodford</w:t>
      </w:r>
      <w:r>
        <w:t xml:space="preserve"> Shale</w:t>
      </w:r>
      <w:r w:rsidRPr="00F546EC">
        <w:t xml:space="preserve"> (</w:t>
      </w:r>
      <w:r w:rsidR="000C236F">
        <w:t>t</w:t>
      </w:r>
      <w:r w:rsidRPr="00F546EC">
        <w:t xml:space="preserve">op of the Hunton), and an overlying incised valley or collapsed cave fill was sitting on the unconformity (purple color), identified by </w:t>
      </w:r>
      <w:r w:rsidR="00460281" w:rsidRPr="00F546EC">
        <w:t>Althoff</w:t>
      </w:r>
      <w:r w:rsidRPr="00F546EC">
        <w:t xml:space="preserve"> (2012) and Infante</w:t>
      </w:r>
      <w:r>
        <w:t xml:space="preserve">-Paez </w:t>
      </w:r>
      <w:r w:rsidRPr="00F546EC">
        <w:t>et al. (2016).</w:t>
      </w:r>
      <w:r w:rsidR="00EC3288">
        <w:t xml:space="preserve"> These local depocenters are proposed as mini-basin </w:t>
      </w:r>
      <w:r w:rsidR="00A22E4E">
        <w:t>fill</w:t>
      </w:r>
      <w:r w:rsidR="00EC3288">
        <w:t xml:space="preserve"> (indicated by the orange arrows).</w:t>
      </w:r>
      <w:bookmarkEnd w:id="43"/>
      <w:r w:rsidR="00EC3288">
        <w:t xml:space="preserve"> </w:t>
      </w:r>
    </w:p>
    <w:p w14:paraId="2A0B4943" w14:textId="0E9C6786" w:rsidR="00B572A7" w:rsidRDefault="00112FB9" w:rsidP="00BB6564">
      <w:pPr>
        <w:spacing w:before="240"/>
        <w:ind w:firstLine="720"/>
        <w:rPr>
          <w:rFonts w:eastAsia="Times New Roman"/>
          <w:color w:val="000000"/>
        </w:rPr>
      </w:pPr>
      <w:r>
        <w:rPr>
          <w:rFonts w:eastAsia="Times New Roman"/>
          <w:color w:val="000000"/>
        </w:rPr>
        <w:t xml:space="preserve">For characterizing the highly restricted deposits settings, the analog of a </w:t>
      </w:r>
      <w:r w:rsidR="00AF3EF1">
        <w:rPr>
          <w:rFonts w:eastAsia="Times New Roman"/>
          <w:color w:val="000000"/>
        </w:rPr>
        <w:t>restricted marine</w:t>
      </w:r>
      <w:r>
        <w:rPr>
          <w:rFonts w:eastAsia="Times New Roman"/>
          <w:color w:val="000000"/>
        </w:rPr>
        <w:t xml:space="preserve"> environment is proposed and based </w:t>
      </w:r>
      <w:r w:rsidR="004E4C92">
        <w:rPr>
          <w:rFonts w:eastAsia="Times New Roman"/>
          <w:color w:val="000000"/>
        </w:rPr>
        <w:t>on</w:t>
      </w:r>
      <w:r w:rsidR="003E4375" w:rsidRPr="00F546EC">
        <w:rPr>
          <w:rFonts w:eastAsia="Times New Roman"/>
          <w:color w:val="000000"/>
        </w:rPr>
        <w:t xml:space="preserve"> </w:t>
      </w:r>
      <w:r w:rsidR="00B41B1F" w:rsidRPr="00F546EC">
        <w:rPr>
          <w:rFonts w:eastAsia="Times New Roman"/>
          <w:color w:val="000000"/>
        </w:rPr>
        <w:t>Bohacs (2012</w:t>
      </w:r>
      <w:r w:rsidR="00B41B1F">
        <w:rPr>
          <w:rFonts w:eastAsia="Times New Roman"/>
          <w:color w:val="000000"/>
        </w:rPr>
        <w:t xml:space="preserve">), and </w:t>
      </w:r>
      <w:r w:rsidR="003E4375" w:rsidRPr="00F546EC">
        <w:rPr>
          <w:rFonts w:eastAsia="Times New Roman"/>
          <w:color w:val="000000"/>
        </w:rPr>
        <w:t>Katz and Lin (2014)</w:t>
      </w:r>
      <w:r w:rsidR="00CE4358">
        <w:rPr>
          <w:rFonts w:eastAsia="Times New Roman"/>
          <w:color w:val="000000"/>
        </w:rPr>
        <w:t xml:space="preserve">. </w:t>
      </w:r>
      <w:r w:rsidR="003E4375" w:rsidRPr="00F546EC">
        <w:rPr>
          <w:rFonts w:eastAsia="Times New Roman"/>
          <w:color w:val="000000"/>
        </w:rPr>
        <w:t xml:space="preserve"> </w:t>
      </w:r>
      <w:r w:rsidR="00EC4485">
        <w:rPr>
          <w:rFonts w:eastAsia="Times New Roman"/>
          <w:color w:val="000000"/>
        </w:rPr>
        <w:t>Bohacs (2012) mentioned that for defining a stratigraphic deposit as restricted,</w:t>
      </w:r>
      <w:r w:rsidR="003E4375" w:rsidRPr="00F546EC">
        <w:rPr>
          <w:rFonts w:eastAsia="Times New Roman"/>
          <w:color w:val="000000"/>
        </w:rPr>
        <w:t xml:space="preserve"> it requires </w:t>
      </w:r>
      <w:r w:rsidR="0023351F">
        <w:rPr>
          <w:rFonts w:eastAsia="Times New Roman"/>
          <w:color w:val="000000"/>
        </w:rPr>
        <w:t xml:space="preserve">the </w:t>
      </w:r>
      <w:r w:rsidR="003E4375" w:rsidRPr="00F546EC">
        <w:rPr>
          <w:rFonts w:eastAsia="Times New Roman"/>
          <w:color w:val="000000"/>
        </w:rPr>
        <w:t xml:space="preserve">understanding </w:t>
      </w:r>
      <w:r w:rsidR="00DF6234">
        <w:rPr>
          <w:rFonts w:eastAsia="Times New Roman"/>
          <w:color w:val="000000"/>
        </w:rPr>
        <w:t xml:space="preserve">of </w:t>
      </w:r>
      <w:r w:rsidR="003E4375" w:rsidRPr="00F546EC">
        <w:rPr>
          <w:rFonts w:eastAsia="Times New Roman"/>
          <w:color w:val="000000"/>
        </w:rPr>
        <w:t>the distribution of topographic depressions</w:t>
      </w:r>
      <w:r w:rsidR="00EC4485">
        <w:rPr>
          <w:rFonts w:eastAsia="Times New Roman"/>
          <w:color w:val="000000"/>
        </w:rPr>
        <w:t xml:space="preserve">, the </w:t>
      </w:r>
      <w:r w:rsidR="003E4375" w:rsidRPr="00F546EC">
        <w:rPr>
          <w:rFonts w:eastAsia="Times New Roman"/>
          <w:color w:val="000000"/>
        </w:rPr>
        <w:t xml:space="preserve">paleoclimate conditions </w:t>
      </w:r>
      <w:r w:rsidR="00B41B1F">
        <w:rPr>
          <w:rFonts w:eastAsia="Times New Roman"/>
          <w:color w:val="000000"/>
        </w:rPr>
        <w:t>and the</w:t>
      </w:r>
      <w:r w:rsidR="003E4375" w:rsidRPr="00F546EC">
        <w:rPr>
          <w:rFonts w:eastAsia="Times New Roman"/>
          <w:color w:val="000000"/>
        </w:rPr>
        <w:t xml:space="preserve"> paleo water chemistry. The </w:t>
      </w:r>
      <w:r w:rsidR="00CE4358">
        <w:rPr>
          <w:rFonts w:eastAsia="Times New Roman"/>
          <w:color w:val="000000"/>
        </w:rPr>
        <w:t>salt</w:t>
      </w:r>
      <w:r w:rsidR="003E4375" w:rsidRPr="00F546EC">
        <w:rPr>
          <w:rFonts w:eastAsia="Times New Roman"/>
          <w:color w:val="000000"/>
        </w:rPr>
        <w:t>water body</w:t>
      </w:r>
      <w:r w:rsidR="00CE4358">
        <w:rPr>
          <w:rFonts w:eastAsia="Times New Roman"/>
          <w:color w:val="000000"/>
        </w:rPr>
        <w:t xml:space="preserve"> </w:t>
      </w:r>
      <w:r w:rsidR="003E4375" w:rsidRPr="00F546EC">
        <w:rPr>
          <w:rFonts w:eastAsia="Times New Roman"/>
          <w:color w:val="000000"/>
        </w:rPr>
        <w:t>needs to be areally dispersed and long-lived to allow the development of significant volumes of organic-rich sediments</w:t>
      </w:r>
      <w:r w:rsidR="00CE4358">
        <w:rPr>
          <w:rFonts w:eastAsia="Times New Roman"/>
          <w:color w:val="000000"/>
        </w:rPr>
        <w:t xml:space="preserve"> </w:t>
      </w:r>
      <w:r w:rsidR="00932E48">
        <w:rPr>
          <w:rFonts w:eastAsia="Times New Roman"/>
          <w:color w:val="000000"/>
        </w:rPr>
        <w:t>(</w:t>
      </w:r>
      <w:r w:rsidR="00CE4358" w:rsidRPr="00F546EC">
        <w:rPr>
          <w:rFonts w:eastAsia="Times New Roman"/>
          <w:color w:val="000000"/>
        </w:rPr>
        <w:t>Bohacs</w:t>
      </w:r>
      <w:r w:rsidR="00932E48">
        <w:rPr>
          <w:rFonts w:eastAsia="Times New Roman"/>
          <w:color w:val="000000"/>
        </w:rPr>
        <w:t xml:space="preserve">, </w:t>
      </w:r>
      <w:r w:rsidR="00CE4358" w:rsidRPr="00F546EC">
        <w:rPr>
          <w:rFonts w:eastAsia="Times New Roman"/>
          <w:color w:val="000000"/>
        </w:rPr>
        <w:t>2012</w:t>
      </w:r>
      <w:r w:rsidR="00CE4358">
        <w:rPr>
          <w:rFonts w:eastAsia="Times New Roman"/>
          <w:color w:val="000000"/>
        </w:rPr>
        <w:t xml:space="preserve">). </w:t>
      </w:r>
      <w:r w:rsidR="003E4375" w:rsidRPr="00F546EC">
        <w:rPr>
          <w:rFonts w:eastAsia="Times New Roman"/>
          <w:color w:val="000000"/>
        </w:rPr>
        <w:t xml:space="preserve">Katz (1990) and Katz and Liro (1993) recognized that water chemistry controls the nature and level of organic </w:t>
      </w:r>
      <w:r w:rsidR="003E4375" w:rsidRPr="00F546EC">
        <w:rPr>
          <w:rFonts w:eastAsia="Times New Roman"/>
          <w:color w:val="000000"/>
        </w:rPr>
        <w:lastRenderedPageBreak/>
        <w:t>products</w:t>
      </w:r>
      <w:r w:rsidR="00CE4358">
        <w:rPr>
          <w:rFonts w:eastAsia="Times New Roman"/>
          <w:color w:val="000000"/>
        </w:rPr>
        <w:t xml:space="preserve"> in </w:t>
      </w:r>
      <w:r w:rsidR="0043205E">
        <w:rPr>
          <w:rFonts w:eastAsia="Times New Roman"/>
          <w:color w:val="000000"/>
        </w:rPr>
        <w:t>any depositional environment</w:t>
      </w:r>
      <w:r w:rsidR="00407D17">
        <w:rPr>
          <w:rFonts w:eastAsia="Times New Roman"/>
          <w:color w:val="000000"/>
        </w:rPr>
        <w:t>,</w:t>
      </w:r>
      <w:r w:rsidR="003E4375" w:rsidRPr="00F546EC">
        <w:rPr>
          <w:rFonts w:eastAsia="Times New Roman"/>
          <w:color w:val="000000"/>
        </w:rPr>
        <w:t xml:space="preserve"> which influence</w:t>
      </w:r>
      <w:r w:rsidR="00B41B1F">
        <w:rPr>
          <w:rFonts w:eastAsia="Times New Roman"/>
          <w:color w:val="000000"/>
        </w:rPr>
        <w:t>s</w:t>
      </w:r>
      <w:r w:rsidR="003E4375" w:rsidRPr="00F546EC">
        <w:rPr>
          <w:rFonts w:eastAsia="Times New Roman"/>
          <w:color w:val="000000"/>
        </w:rPr>
        <w:t xml:space="preserve"> the preservation </w:t>
      </w:r>
      <w:r w:rsidR="00407D17">
        <w:rPr>
          <w:rFonts w:eastAsia="Times New Roman"/>
          <w:color w:val="000000"/>
        </w:rPr>
        <w:t>or</w:t>
      </w:r>
      <w:r w:rsidR="003E4375" w:rsidRPr="00F546EC">
        <w:rPr>
          <w:rFonts w:eastAsia="Times New Roman"/>
          <w:color w:val="000000"/>
        </w:rPr>
        <w:t xml:space="preserve"> alteration of </w:t>
      </w:r>
      <w:r w:rsidR="0043205E">
        <w:rPr>
          <w:rFonts w:eastAsia="Times New Roman"/>
          <w:color w:val="000000"/>
        </w:rPr>
        <w:t xml:space="preserve">the </w:t>
      </w:r>
      <w:r w:rsidR="003E4375" w:rsidRPr="00F546EC">
        <w:rPr>
          <w:rFonts w:eastAsia="Times New Roman"/>
          <w:color w:val="000000"/>
        </w:rPr>
        <w:t>organic matter</w:t>
      </w:r>
      <w:r w:rsidR="00407D17">
        <w:rPr>
          <w:rFonts w:eastAsia="Times New Roman"/>
          <w:color w:val="000000"/>
        </w:rPr>
        <w:t xml:space="preserve">. </w:t>
      </w:r>
    </w:p>
    <w:p w14:paraId="00DEC6C5" w14:textId="65ADC838" w:rsidR="00B17AEB" w:rsidRPr="00F546EC" w:rsidRDefault="0023351F" w:rsidP="00BB6564">
      <w:pPr>
        <w:spacing w:before="240"/>
        <w:ind w:firstLine="720"/>
      </w:pPr>
      <w:r>
        <w:rPr>
          <w:rFonts w:eastAsia="Times New Roman"/>
          <w:color w:val="000000"/>
        </w:rPr>
        <w:t>O</w:t>
      </w:r>
      <w:r w:rsidR="00B572A7">
        <w:rPr>
          <w:rFonts w:eastAsia="Times New Roman"/>
          <w:color w:val="000000"/>
        </w:rPr>
        <w:t xml:space="preserve">rganic matter </w:t>
      </w:r>
      <w:r w:rsidR="00407D17">
        <w:rPr>
          <w:rFonts w:eastAsia="Times New Roman"/>
          <w:color w:val="000000"/>
        </w:rPr>
        <w:t>preservation or alteration occurs</w:t>
      </w:r>
      <w:r w:rsidR="003E4375" w:rsidRPr="00F546EC">
        <w:rPr>
          <w:rFonts w:eastAsia="Times New Roman"/>
          <w:color w:val="000000"/>
        </w:rPr>
        <w:t xml:space="preserve"> by alternating water density and oxygen solubility and the availability of other chemical oxidizing agents such </w:t>
      </w:r>
      <w:r w:rsidR="00407D17">
        <w:rPr>
          <w:rFonts w:eastAsia="Times New Roman"/>
          <w:color w:val="000000"/>
        </w:rPr>
        <w:t xml:space="preserve">as </w:t>
      </w:r>
      <w:r w:rsidR="003E4375" w:rsidRPr="00F546EC">
        <w:rPr>
          <w:rFonts w:eastAsia="Times New Roman"/>
          <w:color w:val="000000"/>
        </w:rPr>
        <w:t>sulfates and nitrates in the restricted system</w:t>
      </w:r>
      <w:r w:rsidR="00D779A2" w:rsidRPr="00F546EC">
        <w:rPr>
          <w:rFonts w:eastAsia="Times New Roman"/>
          <w:color w:val="000000"/>
        </w:rPr>
        <w:t xml:space="preserve">, where the identification of sulfur-rich conditions </w:t>
      </w:r>
      <w:r w:rsidR="0043205E">
        <w:rPr>
          <w:rFonts w:eastAsia="Times New Roman"/>
          <w:color w:val="000000"/>
        </w:rPr>
        <w:t xml:space="preserve">are </w:t>
      </w:r>
      <w:r w:rsidR="00D779A2" w:rsidRPr="00F546EC">
        <w:rPr>
          <w:rFonts w:eastAsia="Times New Roman"/>
          <w:color w:val="000000"/>
        </w:rPr>
        <w:t xml:space="preserve">crucial to address these </w:t>
      </w:r>
      <w:r w:rsidR="008A4982">
        <w:rPr>
          <w:rFonts w:eastAsia="Times New Roman"/>
          <w:color w:val="000000"/>
        </w:rPr>
        <w:t>highly restricted</w:t>
      </w:r>
      <w:r w:rsidR="00407D17">
        <w:rPr>
          <w:rFonts w:eastAsia="Times New Roman"/>
          <w:color w:val="000000"/>
        </w:rPr>
        <w:t xml:space="preserve"> deposit</w:t>
      </w:r>
      <w:r w:rsidR="00D779A2" w:rsidRPr="00F546EC">
        <w:rPr>
          <w:rFonts w:eastAsia="Times New Roman"/>
          <w:color w:val="000000"/>
        </w:rPr>
        <w:t xml:space="preserve"> characteristics</w:t>
      </w:r>
      <w:r w:rsidR="0043205E">
        <w:rPr>
          <w:rFonts w:eastAsia="Times New Roman"/>
          <w:color w:val="000000"/>
        </w:rPr>
        <w:t xml:space="preserve"> (Katz and</w:t>
      </w:r>
      <w:r w:rsidR="003C6257">
        <w:rPr>
          <w:rFonts w:eastAsia="Times New Roman"/>
          <w:color w:val="000000"/>
        </w:rPr>
        <w:t xml:space="preserve"> </w:t>
      </w:r>
      <w:r w:rsidR="0043205E">
        <w:rPr>
          <w:rFonts w:eastAsia="Times New Roman"/>
          <w:color w:val="000000"/>
        </w:rPr>
        <w:t>Liro, 1993)</w:t>
      </w:r>
      <w:r w:rsidR="003E4375" w:rsidRPr="00F546EC">
        <w:rPr>
          <w:rFonts w:eastAsia="Times New Roman"/>
          <w:color w:val="000000"/>
        </w:rPr>
        <w:t xml:space="preserve">. </w:t>
      </w:r>
      <w:r w:rsidR="006E2372">
        <w:rPr>
          <w:rFonts w:eastAsia="Times New Roman"/>
          <w:color w:val="000000"/>
        </w:rPr>
        <w:t xml:space="preserve">Slatt and Rodriguez (2012), </w:t>
      </w:r>
      <w:r w:rsidR="00BF1CBE" w:rsidRPr="00F546EC">
        <w:rPr>
          <w:rFonts w:eastAsia="Times New Roman"/>
          <w:color w:val="000000"/>
        </w:rPr>
        <w:t>Brito (2014)</w:t>
      </w:r>
      <w:r w:rsidR="00BF1CBE">
        <w:rPr>
          <w:rFonts w:eastAsia="Times New Roman"/>
          <w:color w:val="000000"/>
        </w:rPr>
        <w:t xml:space="preserve">, </w:t>
      </w:r>
      <w:r w:rsidR="003370C4" w:rsidRPr="00F546EC">
        <w:rPr>
          <w:rFonts w:eastAsia="Times New Roman"/>
          <w:color w:val="000000"/>
        </w:rPr>
        <w:t>Katz and Lin (2014)</w:t>
      </w:r>
      <w:r w:rsidR="00762F9C">
        <w:rPr>
          <w:rFonts w:eastAsia="Times New Roman"/>
          <w:color w:val="000000"/>
        </w:rPr>
        <w:t>, and Slatt (2016)</w:t>
      </w:r>
      <w:r w:rsidR="003370C4" w:rsidRPr="00F546EC">
        <w:rPr>
          <w:rFonts w:eastAsia="Times New Roman"/>
          <w:color w:val="000000"/>
        </w:rPr>
        <w:t xml:space="preserve"> mentioned that </w:t>
      </w:r>
      <w:r w:rsidR="006E2372">
        <w:rPr>
          <w:rFonts w:eastAsia="Times New Roman"/>
          <w:color w:val="000000"/>
        </w:rPr>
        <w:t>rapid sea</w:t>
      </w:r>
      <w:r w:rsidR="008A542E">
        <w:rPr>
          <w:rFonts w:eastAsia="Times New Roman"/>
          <w:color w:val="000000"/>
        </w:rPr>
        <w:t>-</w:t>
      </w:r>
      <w:r w:rsidR="006E2372">
        <w:rPr>
          <w:rFonts w:eastAsia="Times New Roman"/>
          <w:color w:val="000000"/>
        </w:rPr>
        <w:t xml:space="preserve">level fluctuations </w:t>
      </w:r>
      <w:r w:rsidR="008A542E">
        <w:rPr>
          <w:rFonts w:eastAsia="Times New Roman"/>
          <w:color w:val="000000"/>
        </w:rPr>
        <w:t>might</w:t>
      </w:r>
      <w:r w:rsidR="003370C4" w:rsidRPr="00F546EC">
        <w:rPr>
          <w:rFonts w:eastAsia="Times New Roman"/>
          <w:color w:val="000000"/>
        </w:rPr>
        <w:t xml:space="preserve"> lead to rapid changes in </w:t>
      </w:r>
      <w:r w:rsidR="006E2372">
        <w:rPr>
          <w:rFonts w:eastAsia="Times New Roman"/>
          <w:color w:val="000000"/>
        </w:rPr>
        <w:t xml:space="preserve">the filling </w:t>
      </w:r>
      <w:r w:rsidR="003370C4" w:rsidRPr="00F546EC">
        <w:rPr>
          <w:rFonts w:eastAsia="Times New Roman"/>
          <w:color w:val="000000"/>
        </w:rPr>
        <w:t>levels</w:t>
      </w:r>
      <w:r w:rsidR="00525720">
        <w:rPr>
          <w:rFonts w:eastAsia="Times New Roman"/>
          <w:color w:val="000000"/>
        </w:rPr>
        <w:t xml:space="preserve"> of a</w:t>
      </w:r>
      <w:r w:rsidR="008A542E">
        <w:rPr>
          <w:rFonts w:eastAsia="Times New Roman"/>
          <w:color w:val="000000"/>
        </w:rPr>
        <w:t>n</w:t>
      </w:r>
      <w:r w:rsidR="00525720">
        <w:rPr>
          <w:rFonts w:eastAsia="Times New Roman"/>
          <w:color w:val="000000"/>
        </w:rPr>
        <w:t xml:space="preserve"> open marine basin. These changes</w:t>
      </w:r>
      <w:r w:rsidR="003370C4" w:rsidRPr="00F546EC">
        <w:rPr>
          <w:rFonts w:eastAsia="Times New Roman"/>
          <w:color w:val="000000"/>
        </w:rPr>
        <w:t xml:space="preserve"> occur rapidly </w:t>
      </w:r>
      <w:r w:rsidR="0046672E">
        <w:rPr>
          <w:rFonts w:eastAsia="Times New Roman"/>
          <w:color w:val="000000"/>
        </w:rPr>
        <w:t xml:space="preserve">on a geological scale </w:t>
      </w:r>
      <w:r w:rsidR="003370C4" w:rsidRPr="00F546EC">
        <w:rPr>
          <w:rFonts w:eastAsia="Times New Roman"/>
          <w:color w:val="000000"/>
        </w:rPr>
        <w:t xml:space="preserve">and may reduce the areal extent of potentially thick source rock development to only the areas in a basin where permanent </w:t>
      </w:r>
      <w:r w:rsidR="006E2372">
        <w:rPr>
          <w:rFonts w:eastAsia="Times New Roman"/>
          <w:color w:val="000000"/>
        </w:rPr>
        <w:t>deep depression</w:t>
      </w:r>
      <w:r w:rsidR="00525720">
        <w:rPr>
          <w:rFonts w:eastAsia="Times New Roman"/>
          <w:color w:val="000000"/>
        </w:rPr>
        <w:t>s</w:t>
      </w:r>
      <w:r w:rsidR="003370C4" w:rsidRPr="00F546EC">
        <w:rPr>
          <w:rFonts w:eastAsia="Times New Roman"/>
          <w:color w:val="000000"/>
        </w:rPr>
        <w:t xml:space="preserve"> w</w:t>
      </w:r>
      <w:r w:rsidR="00525720">
        <w:rPr>
          <w:rFonts w:eastAsia="Times New Roman"/>
          <w:color w:val="000000"/>
        </w:rPr>
        <w:t xml:space="preserve">ere </w:t>
      </w:r>
      <w:r w:rsidR="003370C4" w:rsidRPr="00F546EC">
        <w:rPr>
          <w:rFonts w:eastAsia="Times New Roman"/>
          <w:color w:val="000000"/>
        </w:rPr>
        <w:t>present (pre-existing available accommodation space for sediments to accumulate</w:t>
      </w:r>
      <w:r w:rsidR="009C7EFE">
        <w:rPr>
          <w:rFonts w:eastAsia="Times New Roman"/>
          <w:color w:val="000000"/>
        </w:rPr>
        <w:t>; Katz and Lin, 2014</w:t>
      </w:r>
      <w:r w:rsidR="003370C4" w:rsidRPr="00F546EC">
        <w:rPr>
          <w:rFonts w:eastAsia="Times New Roman"/>
          <w:color w:val="000000"/>
        </w:rPr>
        <w:t xml:space="preserve">). The unconventional target area of the </w:t>
      </w:r>
      <w:r w:rsidR="006E2372">
        <w:rPr>
          <w:rFonts w:eastAsia="Times New Roman"/>
          <w:color w:val="000000"/>
        </w:rPr>
        <w:t xml:space="preserve">enclosed mini-basin </w:t>
      </w:r>
      <w:r w:rsidR="00A22E4E">
        <w:rPr>
          <w:rFonts w:eastAsia="Times New Roman"/>
          <w:color w:val="000000"/>
        </w:rPr>
        <w:t>fill</w:t>
      </w:r>
      <w:r w:rsidR="003370C4" w:rsidRPr="00F546EC">
        <w:rPr>
          <w:rFonts w:eastAsia="Times New Roman"/>
          <w:color w:val="000000"/>
        </w:rPr>
        <w:t xml:space="preserve"> might be geographically limited compared with </w:t>
      </w:r>
      <w:r w:rsidR="002D597D">
        <w:rPr>
          <w:rFonts w:eastAsia="Times New Roman"/>
          <w:color w:val="000000"/>
        </w:rPr>
        <w:t xml:space="preserve">entirely </w:t>
      </w:r>
      <w:r w:rsidR="003370C4" w:rsidRPr="00F546EC">
        <w:rPr>
          <w:rFonts w:eastAsia="Times New Roman"/>
          <w:color w:val="000000"/>
        </w:rPr>
        <w:t>marine deposit counterpart</w:t>
      </w:r>
      <w:r w:rsidR="0046672E">
        <w:rPr>
          <w:rFonts w:eastAsia="Times New Roman"/>
          <w:color w:val="000000"/>
        </w:rPr>
        <w:t>s</w:t>
      </w:r>
      <w:r w:rsidR="002D597D">
        <w:rPr>
          <w:rFonts w:eastAsia="Times New Roman"/>
          <w:color w:val="000000"/>
        </w:rPr>
        <w:t xml:space="preserve"> because these </w:t>
      </w:r>
      <w:r w:rsidR="00A606DF">
        <w:rPr>
          <w:rFonts w:eastAsia="Times New Roman"/>
          <w:color w:val="000000"/>
        </w:rPr>
        <w:t xml:space="preserve">open </w:t>
      </w:r>
      <w:r w:rsidR="002D597D">
        <w:rPr>
          <w:rFonts w:eastAsia="Times New Roman"/>
          <w:color w:val="000000"/>
        </w:rPr>
        <w:t>marine mudstones</w:t>
      </w:r>
      <w:r w:rsidR="00A606DF">
        <w:rPr>
          <w:rFonts w:eastAsia="Times New Roman"/>
          <w:color w:val="000000"/>
        </w:rPr>
        <w:t xml:space="preserve"> are</w:t>
      </w:r>
      <w:r w:rsidR="002D597D">
        <w:rPr>
          <w:rFonts w:eastAsia="Times New Roman"/>
          <w:color w:val="000000"/>
        </w:rPr>
        <w:t xml:space="preserve"> deposit</w:t>
      </w:r>
      <w:r w:rsidR="00A606DF">
        <w:rPr>
          <w:rFonts w:eastAsia="Times New Roman"/>
          <w:color w:val="000000"/>
        </w:rPr>
        <w:t>ed</w:t>
      </w:r>
      <w:r w:rsidR="002D597D">
        <w:rPr>
          <w:rFonts w:eastAsia="Times New Roman"/>
          <w:color w:val="000000"/>
        </w:rPr>
        <w:t xml:space="preserve"> in a more widespread blanket manner</w:t>
      </w:r>
      <w:r w:rsidR="00525720">
        <w:rPr>
          <w:rFonts w:eastAsia="Times New Roman"/>
          <w:color w:val="000000"/>
        </w:rPr>
        <w:t xml:space="preserve"> (Slatt, 2016)</w:t>
      </w:r>
      <w:r w:rsidR="002D597D">
        <w:rPr>
          <w:rFonts w:eastAsia="Times New Roman"/>
          <w:color w:val="000000"/>
        </w:rPr>
        <w:t xml:space="preserve">. </w:t>
      </w:r>
    </w:p>
    <w:p w14:paraId="7248047E" w14:textId="5DFD70AC" w:rsidR="00264327" w:rsidRDefault="000B69F9" w:rsidP="00981171">
      <w:pPr>
        <w:ind w:firstLine="720"/>
        <w:rPr>
          <w:rFonts w:eastAsia="Times New Roman"/>
          <w:color w:val="000000"/>
        </w:rPr>
      </w:pPr>
      <w:r>
        <w:rPr>
          <w:rFonts w:eastAsia="Times New Roman"/>
          <w:color w:val="000000"/>
        </w:rPr>
        <w:t xml:space="preserve">As the sea level fluctuates at the beginning of the deposition of the Woodford Shale, it is very probable that continental and lacustrine organic matter is deposited </w:t>
      </w:r>
      <w:r w:rsidR="0023351F">
        <w:rPr>
          <w:rFonts w:eastAsia="Times New Roman"/>
          <w:color w:val="000000"/>
        </w:rPr>
        <w:t>i</w:t>
      </w:r>
      <w:r>
        <w:rPr>
          <w:rFonts w:eastAsia="Times New Roman"/>
          <w:color w:val="000000"/>
        </w:rPr>
        <w:t>n these enclosed depressions</w:t>
      </w:r>
      <w:r w:rsidR="009C7EFE">
        <w:rPr>
          <w:rFonts w:eastAsia="Times New Roman"/>
          <w:color w:val="000000"/>
        </w:rPr>
        <w:t xml:space="preserve"> (Slatt, 2016)</w:t>
      </w:r>
      <w:r>
        <w:rPr>
          <w:rFonts w:eastAsia="Times New Roman"/>
          <w:color w:val="000000"/>
        </w:rPr>
        <w:t xml:space="preserve">. It is </w:t>
      </w:r>
      <w:r w:rsidR="00271D6C">
        <w:rPr>
          <w:rFonts w:eastAsia="Times New Roman"/>
          <w:color w:val="000000"/>
        </w:rPr>
        <w:t>essential</w:t>
      </w:r>
      <w:r>
        <w:rPr>
          <w:rFonts w:eastAsia="Times New Roman"/>
          <w:color w:val="000000"/>
        </w:rPr>
        <w:t xml:space="preserve"> to mention t</w:t>
      </w:r>
      <w:r w:rsidR="003E4375" w:rsidRPr="00F546EC">
        <w:rPr>
          <w:rFonts w:eastAsia="Times New Roman"/>
          <w:color w:val="000000"/>
        </w:rPr>
        <w:t xml:space="preserve">he published literature that refers to the characterization of hydrocarbon products that are sourced from lacustrine deposits </w:t>
      </w:r>
      <w:r w:rsidR="00C4764E" w:rsidRPr="00F546EC">
        <w:rPr>
          <w:rFonts w:eastAsia="Times New Roman"/>
          <w:color w:val="000000"/>
        </w:rPr>
        <w:t>and lacustrine organic facies</w:t>
      </w:r>
      <w:r w:rsidR="0059760A">
        <w:rPr>
          <w:rFonts w:eastAsia="Times New Roman"/>
          <w:color w:val="000000"/>
        </w:rPr>
        <w:t xml:space="preserve"> has </w:t>
      </w:r>
      <w:r w:rsidR="005F5909">
        <w:rPr>
          <w:rFonts w:eastAsia="Times New Roman"/>
          <w:color w:val="000000"/>
        </w:rPr>
        <w:t xml:space="preserve">been principally focused on  </w:t>
      </w:r>
      <w:r w:rsidR="0059760A">
        <w:rPr>
          <w:rFonts w:eastAsia="Times New Roman"/>
          <w:color w:val="000000"/>
        </w:rPr>
        <w:t xml:space="preserve">systems that are enclosed and </w:t>
      </w:r>
      <w:r w:rsidR="0023351F">
        <w:rPr>
          <w:rFonts w:eastAsia="Times New Roman"/>
          <w:color w:val="000000"/>
        </w:rPr>
        <w:t xml:space="preserve">have </w:t>
      </w:r>
      <w:r w:rsidR="0059760A">
        <w:rPr>
          <w:rFonts w:eastAsia="Times New Roman"/>
          <w:color w:val="000000"/>
        </w:rPr>
        <w:t>a limited water recharge, where the rates of water evaporation exceeds the rates of water precipitation</w:t>
      </w:r>
      <w:r w:rsidR="009C7EFE">
        <w:rPr>
          <w:rFonts w:eastAsia="Times New Roman"/>
          <w:color w:val="000000"/>
        </w:rPr>
        <w:t xml:space="preserve"> (</w:t>
      </w:r>
      <w:r w:rsidR="009C7EFE" w:rsidRPr="00F546EC">
        <w:rPr>
          <w:rFonts w:eastAsia="Times New Roman"/>
          <w:color w:val="000000"/>
        </w:rPr>
        <w:t>Espitalié et al., 1977; Bohacs et al., 2000</w:t>
      </w:r>
      <w:r w:rsidR="009C7EFE">
        <w:rPr>
          <w:rFonts w:eastAsia="Times New Roman"/>
          <w:color w:val="000000"/>
        </w:rPr>
        <w:t>). T</w:t>
      </w:r>
      <w:r w:rsidR="00001547">
        <w:rPr>
          <w:rFonts w:eastAsia="Times New Roman"/>
          <w:color w:val="000000"/>
        </w:rPr>
        <w:t xml:space="preserve">hese </w:t>
      </w:r>
      <w:r w:rsidR="00264327">
        <w:rPr>
          <w:rFonts w:eastAsia="Times New Roman"/>
          <w:color w:val="000000"/>
        </w:rPr>
        <w:t xml:space="preserve">evaporation </w:t>
      </w:r>
      <w:r w:rsidR="00001547">
        <w:rPr>
          <w:rFonts w:eastAsia="Times New Roman"/>
          <w:color w:val="000000"/>
        </w:rPr>
        <w:t>conditions can occur when fil</w:t>
      </w:r>
      <w:r w:rsidR="00637DBF">
        <w:rPr>
          <w:rFonts w:eastAsia="Times New Roman"/>
          <w:color w:val="000000"/>
        </w:rPr>
        <w:t>l</w:t>
      </w:r>
      <w:r w:rsidR="00001547">
        <w:rPr>
          <w:rFonts w:eastAsia="Times New Roman"/>
          <w:color w:val="000000"/>
        </w:rPr>
        <w:t>ing th</w:t>
      </w:r>
      <w:r w:rsidR="0023351F">
        <w:rPr>
          <w:rFonts w:eastAsia="Times New Roman"/>
          <w:color w:val="000000"/>
        </w:rPr>
        <w:t xml:space="preserve">ese </w:t>
      </w:r>
      <w:r w:rsidR="00001547">
        <w:rPr>
          <w:rFonts w:eastAsia="Times New Roman"/>
          <w:color w:val="000000"/>
        </w:rPr>
        <w:t>enclosed mini-basin</w:t>
      </w:r>
      <w:r w:rsidR="00637DBF">
        <w:rPr>
          <w:rFonts w:eastAsia="Times New Roman"/>
          <w:color w:val="000000"/>
        </w:rPr>
        <w:t xml:space="preserve"> depressions</w:t>
      </w:r>
      <w:r w:rsidR="00001547">
        <w:rPr>
          <w:rFonts w:eastAsia="Times New Roman"/>
          <w:color w:val="000000"/>
        </w:rPr>
        <w:t xml:space="preserve">, </w:t>
      </w:r>
      <w:r w:rsidR="00264327">
        <w:rPr>
          <w:rFonts w:eastAsia="Times New Roman"/>
          <w:color w:val="000000"/>
        </w:rPr>
        <w:t xml:space="preserve">as </w:t>
      </w:r>
      <w:r w:rsidR="00001547">
        <w:rPr>
          <w:rFonts w:eastAsia="Times New Roman"/>
          <w:color w:val="000000"/>
        </w:rPr>
        <w:t>when these pockets are</w:t>
      </w:r>
      <w:r w:rsidR="00264327">
        <w:rPr>
          <w:rFonts w:eastAsia="Times New Roman"/>
          <w:color w:val="000000"/>
        </w:rPr>
        <w:t xml:space="preserve"> being</w:t>
      </w:r>
      <w:r w:rsidR="00001547">
        <w:rPr>
          <w:rFonts w:eastAsia="Times New Roman"/>
          <w:color w:val="000000"/>
        </w:rPr>
        <w:t xml:space="preserve"> filled the water depth should be changing in addition </w:t>
      </w:r>
      <w:r w:rsidR="00637DBF">
        <w:rPr>
          <w:rFonts w:eastAsia="Times New Roman"/>
          <w:color w:val="000000"/>
        </w:rPr>
        <w:t>to</w:t>
      </w:r>
      <w:r w:rsidR="00001547">
        <w:rPr>
          <w:rFonts w:eastAsia="Times New Roman"/>
          <w:color w:val="000000"/>
        </w:rPr>
        <w:t xml:space="preserve"> sea</w:t>
      </w:r>
      <w:r w:rsidR="00271D6C">
        <w:rPr>
          <w:rFonts w:eastAsia="Times New Roman"/>
          <w:color w:val="000000"/>
        </w:rPr>
        <w:t>-</w:t>
      </w:r>
      <w:r w:rsidR="00001547">
        <w:rPr>
          <w:rFonts w:eastAsia="Times New Roman"/>
          <w:color w:val="000000"/>
        </w:rPr>
        <w:t>level fluctuations</w:t>
      </w:r>
      <w:r w:rsidR="00C4764E" w:rsidRPr="00F546EC">
        <w:rPr>
          <w:rFonts w:eastAsia="Times New Roman"/>
          <w:color w:val="000000"/>
        </w:rPr>
        <w:t xml:space="preserve"> </w:t>
      </w:r>
      <w:r w:rsidR="003E4375" w:rsidRPr="00F546EC">
        <w:rPr>
          <w:rFonts w:eastAsia="Times New Roman"/>
          <w:color w:val="000000"/>
        </w:rPr>
        <w:t>(</w:t>
      </w:r>
      <w:r w:rsidR="007823C9" w:rsidRPr="00F546EC">
        <w:rPr>
          <w:rFonts w:eastAsia="Times New Roman"/>
          <w:color w:val="000000"/>
        </w:rPr>
        <w:t xml:space="preserve">Espitalié et al., 1977; Tissot et al., 1987; Burnham </w:t>
      </w:r>
      <w:r w:rsidR="007823C9" w:rsidRPr="00F546EC">
        <w:rPr>
          <w:rFonts w:eastAsia="Times New Roman"/>
          <w:color w:val="000000"/>
        </w:rPr>
        <w:lastRenderedPageBreak/>
        <w:t xml:space="preserve">et al., 1990; Pepper et al., 1995; Bohacs et al., 2000; </w:t>
      </w:r>
      <w:r w:rsidR="003E4375" w:rsidRPr="00F546EC">
        <w:rPr>
          <w:rFonts w:eastAsia="Times New Roman"/>
          <w:color w:val="000000"/>
        </w:rPr>
        <w:t>Zhao et al., 2010</w:t>
      </w:r>
      <w:r w:rsidR="007823C9" w:rsidRPr="00F546EC">
        <w:rPr>
          <w:rFonts w:eastAsia="Times New Roman"/>
          <w:color w:val="000000"/>
        </w:rPr>
        <w:t>; Burnett et al., 2011; Bohacs, 2012; Katz and Lin, 2014</w:t>
      </w:r>
      <w:r w:rsidR="003E4375" w:rsidRPr="00F546EC">
        <w:rPr>
          <w:rFonts w:eastAsia="Times New Roman"/>
          <w:color w:val="000000"/>
        </w:rPr>
        <w:t>)</w:t>
      </w:r>
      <w:r w:rsidR="005F7CBC" w:rsidRPr="00F546EC">
        <w:rPr>
          <w:rFonts w:eastAsia="Times New Roman"/>
          <w:color w:val="000000"/>
        </w:rPr>
        <w:t xml:space="preserve">. </w:t>
      </w:r>
    </w:p>
    <w:p w14:paraId="28A6DD2A" w14:textId="4976C440" w:rsidR="00E90771" w:rsidRPr="00F546EC" w:rsidRDefault="00264327" w:rsidP="00981171">
      <w:pPr>
        <w:ind w:firstLine="720"/>
        <w:rPr>
          <w:rFonts w:eastAsia="Times New Roman"/>
          <w:color w:val="000000"/>
        </w:rPr>
      </w:pPr>
      <w:r>
        <w:rPr>
          <w:rFonts w:eastAsia="Times New Roman"/>
          <w:color w:val="000000"/>
        </w:rPr>
        <w:t>There are several</w:t>
      </w:r>
      <w:r w:rsidR="003E4375" w:rsidRPr="00F546EC">
        <w:rPr>
          <w:rFonts w:eastAsia="Times New Roman"/>
          <w:color w:val="000000"/>
        </w:rPr>
        <w:t xml:space="preserve"> different properties when comparing rocks</w:t>
      </w:r>
      <w:r w:rsidR="00637DBF">
        <w:rPr>
          <w:rFonts w:eastAsia="Times New Roman"/>
          <w:color w:val="000000"/>
        </w:rPr>
        <w:t xml:space="preserve"> rich in lacustrine organic matter</w:t>
      </w:r>
      <w:r w:rsidR="003E4375" w:rsidRPr="00F546EC">
        <w:rPr>
          <w:rFonts w:eastAsia="Times New Roman"/>
          <w:color w:val="000000"/>
        </w:rPr>
        <w:t xml:space="preserve"> to source rocks</w:t>
      </w:r>
      <w:r>
        <w:rPr>
          <w:rFonts w:eastAsia="Times New Roman"/>
          <w:color w:val="000000"/>
        </w:rPr>
        <w:t xml:space="preserve"> with only marine organic matter</w:t>
      </w:r>
      <w:r w:rsidR="003E4375" w:rsidRPr="00F546EC">
        <w:rPr>
          <w:rFonts w:eastAsia="Times New Roman"/>
          <w:color w:val="000000"/>
        </w:rPr>
        <w:t xml:space="preserve">: </w:t>
      </w:r>
      <w:r w:rsidR="005F5909">
        <w:rPr>
          <w:rFonts w:eastAsia="Times New Roman"/>
          <w:color w:val="000000"/>
        </w:rPr>
        <w:t>k</w:t>
      </w:r>
      <w:r w:rsidR="003E4375" w:rsidRPr="00F546EC">
        <w:rPr>
          <w:rFonts w:eastAsia="Times New Roman"/>
          <w:color w:val="000000"/>
        </w:rPr>
        <w:t>erogens, the precursors of oil and gas, in lacustrine</w:t>
      </w:r>
      <w:r w:rsidR="00637DBF">
        <w:rPr>
          <w:rFonts w:eastAsia="Times New Roman"/>
          <w:color w:val="000000"/>
        </w:rPr>
        <w:t>-rich</w:t>
      </w:r>
      <w:r w:rsidR="003E4375" w:rsidRPr="00F546EC">
        <w:rPr>
          <w:rFonts w:eastAsia="Times New Roman"/>
          <w:color w:val="000000"/>
        </w:rPr>
        <w:t xml:space="preserve"> source rocks tend to be more hydrogen-enriched than their marine</w:t>
      </w:r>
      <w:r w:rsidR="004844F4">
        <w:rPr>
          <w:rFonts w:eastAsia="Times New Roman"/>
          <w:color w:val="000000"/>
        </w:rPr>
        <w:t>-rich</w:t>
      </w:r>
      <w:r w:rsidR="003E4375" w:rsidRPr="00F546EC">
        <w:rPr>
          <w:rFonts w:eastAsia="Times New Roman"/>
          <w:color w:val="000000"/>
        </w:rPr>
        <w:t xml:space="preserve"> counterparts displaying elevated atomic H/C ratios and </w:t>
      </w:r>
      <w:r w:rsidR="003F6EEB">
        <w:rPr>
          <w:rFonts w:eastAsia="Times New Roman"/>
          <w:color w:val="000000"/>
        </w:rPr>
        <w:t>h</w:t>
      </w:r>
      <w:r w:rsidR="003E4375" w:rsidRPr="00F546EC">
        <w:rPr>
          <w:rFonts w:eastAsia="Times New Roman"/>
          <w:color w:val="000000"/>
        </w:rPr>
        <w:t xml:space="preserve">ydrogen </w:t>
      </w:r>
      <w:r w:rsidR="003F6EEB">
        <w:rPr>
          <w:rFonts w:eastAsia="Times New Roman"/>
          <w:color w:val="000000"/>
        </w:rPr>
        <w:t>i</w:t>
      </w:r>
      <w:r w:rsidR="003E4375" w:rsidRPr="00F546EC">
        <w:rPr>
          <w:rFonts w:eastAsia="Times New Roman"/>
          <w:color w:val="000000"/>
        </w:rPr>
        <w:t>ndices</w:t>
      </w:r>
      <w:r w:rsidR="003F6EEB">
        <w:rPr>
          <w:rFonts w:eastAsia="Times New Roman"/>
          <w:color w:val="000000"/>
        </w:rPr>
        <w:t xml:space="preserve"> from Rock-Eval pyrolysis data</w:t>
      </w:r>
      <w:r>
        <w:rPr>
          <w:rFonts w:eastAsia="Times New Roman"/>
          <w:color w:val="000000"/>
        </w:rPr>
        <w:t xml:space="preserve"> (</w:t>
      </w:r>
      <w:r w:rsidRPr="00F546EC">
        <w:rPr>
          <w:rFonts w:eastAsia="Times New Roman"/>
          <w:color w:val="000000"/>
        </w:rPr>
        <w:t>Espitalié et al., 1977; Tissot et al., 1987; Burnham et al., 1990; Pepper et al., 1995; Bohacs et al., 2000</w:t>
      </w:r>
      <w:r>
        <w:rPr>
          <w:rFonts w:eastAsia="Times New Roman"/>
          <w:color w:val="000000"/>
        </w:rPr>
        <w:t>)</w:t>
      </w:r>
      <w:r w:rsidR="003E4375" w:rsidRPr="00F546EC">
        <w:rPr>
          <w:rFonts w:eastAsia="Times New Roman"/>
          <w:color w:val="000000"/>
        </w:rPr>
        <w:t xml:space="preserve">. </w:t>
      </w:r>
    </w:p>
    <w:p w14:paraId="05A12329" w14:textId="280FA4DA" w:rsidR="006A1437" w:rsidRPr="00F546EC" w:rsidRDefault="003E4375" w:rsidP="00981171">
      <w:pPr>
        <w:ind w:firstLine="720"/>
        <w:rPr>
          <w:rFonts w:eastAsia="Times New Roman"/>
          <w:color w:val="000000"/>
        </w:rPr>
      </w:pPr>
      <w:r w:rsidRPr="00F546EC">
        <w:rPr>
          <w:rFonts w:eastAsia="Times New Roman"/>
          <w:color w:val="000000"/>
        </w:rPr>
        <w:t>Other key differences when comparing</w:t>
      </w:r>
      <w:r w:rsidR="00A606DF">
        <w:rPr>
          <w:rFonts w:eastAsia="Times New Roman"/>
          <w:color w:val="000000"/>
        </w:rPr>
        <w:t xml:space="preserve"> a</w:t>
      </w:r>
      <w:r w:rsidR="00EA6A9E">
        <w:rPr>
          <w:rFonts w:eastAsia="Times New Roman"/>
          <w:color w:val="000000"/>
        </w:rPr>
        <w:t>n organic matter particle</w:t>
      </w:r>
      <w:r w:rsidR="00E51666">
        <w:rPr>
          <w:rFonts w:eastAsia="Times New Roman"/>
          <w:color w:val="000000"/>
        </w:rPr>
        <w:t xml:space="preserve"> </w:t>
      </w:r>
      <w:r w:rsidR="00EA6A9E">
        <w:rPr>
          <w:rFonts w:eastAsia="Times New Roman"/>
          <w:color w:val="000000"/>
        </w:rPr>
        <w:t>of</w:t>
      </w:r>
      <w:r w:rsidR="00A606DF">
        <w:rPr>
          <w:rFonts w:eastAsia="Times New Roman"/>
          <w:color w:val="000000"/>
        </w:rPr>
        <w:t xml:space="preserve"> marine</w:t>
      </w:r>
      <w:r w:rsidR="00EA6A9E">
        <w:rPr>
          <w:rFonts w:eastAsia="Times New Roman"/>
          <w:color w:val="000000"/>
        </w:rPr>
        <w:t xml:space="preserve"> origin</w:t>
      </w:r>
      <w:r w:rsidR="00A606DF">
        <w:rPr>
          <w:rFonts w:eastAsia="Times New Roman"/>
          <w:color w:val="000000"/>
        </w:rPr>
        <w:t xml:space="preserve"> against </w:t>
      </w:r>
      <w:r w:rsidR="00E51666">
        <w:rPr>
          <w:rFonts w:eastAsia="Times New Roman"/>
          <w:color w:val="000000"/>
        </w:rPr>
        <w:t>a</w:t>
      </w:r>
      <w:r w:rsidR="00170EC9">
        <w:rPr>
          <w:rFonts w:eastAsia="Times New Roman"/>
          <w:color w:val="000000"/>
        </w:rPr>
        <w:t>n</w:t>
      </w:r>
      <w:r w:rsidR="00E51666">
        <w:rPr>
          <w:rFonts w:eastAsia="Times New Roman"/>
          <w:color w:val="000000"/>
        </w:rPr>
        <w:t xml:space="preserve"> organic matter particle formed </w:t>
      </w:r>
      <w:r w:rsidR="004844F4">
        <w:rPr>
          <w:rFonts w:eastAsia="Times New Roman"/>
          <w:color w:val="000000"/>
        </w:rPr>
        <w:t>f</w:t>
      </w:r>
      <w:r w:rsidR="00E51666">
        <w:rPr>
          <w:rFonts w:eastAsia="Times New Roman"/>
          <w:color w:val="000000"/>
        </w:rPr>
        <w:t>r</w:t>
      </w:r>
      <w:r w:rsidR="004844F4">
        <w:rPr>
          <w:rFonts w:eastAsia="Times New Roman"/>
          <w:color w:val="000000"/>
        </w:rPr>
        <w:t>om</w:t>
      </w:r>
      <w:r w:rsidR="00E51666">
        <w:rPr>
          <w:rFonts w:eastAsia="Times New Roman"/>
          <w:color w:val="000000"/>
        </w:rPr>
        <w:t xml:space="preserve"> lacustrine </w:t>
      </w:r>
      <w:r w:rsidR="004844F4">
        <w:rPr>
          <w:rFonts w:eastAsia="Times New Roman"/>
          <w:color w:val="000000"/>
        </w:rPr>
        <w:t>kerogen</w:t>
      </w:r>
      <w:r w:rsidRPr="00F546EC">
        <w:rPr>
          <w:rFonts w:eastAsia="Times New Roman"/>
          <w:color w:val="000000"/>
        </w:rPr>
        <w:t xml:space="preserve"> are that the level of "waxiness" and paraffin content in the generated</w:t>
      </w:r>
      <w:r w:rsidR="006C0A96">
        <w:rPr>
          <w:rFonts w:eastAsia="Times New Roman"/>
          <w:color w:val="000000"/>
        </w:rPr>
        <w:t xml:space="preserve"> hydrocarbon</w:t>
      </w:r>
      <w:r w:rsidRPr="00F546EC">
        <w:rPr>
          <w:rFonts w:eastAsia="Times New Roman"/>
          <w:color w:val="000000"/>
        </w:rPr>
        <w:t xml:space="preserve"> liquid fraction </w:t>
      </w:r>
      <w:r w:rsidR="00EA6A9E">
        <w:rPr>
          <w:rFonts w:eastAsia="Times New Roman"/>
          <w:color w:val="000000"/>
        </w:rPr>
        <w:t xml:space="preserve">in both marine and lacustrine sources </w:t>
      </w:r>
      <w:r w:rsidR="00E51666">
        <w:rPr>
          <w:rFonts w:eastAsia="Times New Roman"/>
          <w:color w:val="000000"/>
        </w:rPr>
        <w:t xml:space="preserve">differ significantly </w:t>
      </w:r>
      <w:r w:rsidR="0091731A">
        <w:rPr>
          <w:rFonts w:eastAsia="Times New Roman"/>
          <w:color w:val="000000"/>
        </w:rPr>
        <w:t>(Katz and Lin, 2014)</w:t>
      </w:r>
      <w:r w:rsidRPr="00F546EC">
        <w:rPr>
          <w:rFonts w:eastAsia="Times New Roman"/>
          <w:color w:val="000000"/>
        </w:rPr>
        <w:t xml:space="preserve">. The </w:t>
      </w:r>
      <w:r w:rsidR="006C0A96">
        <w:rPr>
          <w:rFonts w:eastAsia="Times New Roman"/>
          <w:color w:val="000000"/>
        </w:rPr>
        <w:t>liquid fractions</w:t>
      </w:r>
      <w:r w:rsidRPr="00F546EC">
        <w:rPr>
          <w:rFonts w:eastAsia="Times New Roman"/>
          <w:color w:val="000000"/>
        </w:rPr>
        <w:t xml:space="preserve"> </w:t>
      </w:r>
      <w:r w:rsidR="00604C97">
        <w:rPr>
          <w:rFonts w:eastAsia="Times New Roman"/>
          <w:color w:val="000000"/>
        </w:rPr>
        <w:t xml:space="preserve">in </w:t>
      </w:r>
      <w:r w:rsidR="00604C97" w:rsidRPr="00F546EC">
        <w:rPr>
          <w:rFonts w:eastAsia="Times New Roman"/>
          <w:color w:val="000000"/>
        </w:rPr>
        <w:t>lacustrine oils</w:t>
      </w:r>
      <w:r w:rsidR="00604C97">
        <w:rPr>
          <w:rFonts w:eastAsia="Times New Roman"/>
          <w:color w:val="000000"/>
        </w:rPr>
        <w:t xml:space="preserve"> </w:t>
      </w:r>
      <w:r w:rsidR="00A165F9" w:rsidRPr="00F546EC">
        <w:rPr>
          <w:rFonts w:eastAsia="Times New Roman"/>
          <w:color w:val="000000"/>
        </w:rPr>
        <w:t xml:space="preserve">are commonly </w:t>
      </w:r>
      <w:r w:rsidRPr="00F546EC">
        <w:rPr>
          <w:rFonts w:eastAsia="Times New Roman"/>
          <w:color w:val="000000"/>
        </w:rPr>
        <w:t>waxier and display different hydrocarbon generation</w:t>
      </w:r>
      <w:r w:rsidR="00DE2915">
        <w:rPr>
          <w:rFonts w:eastAsia="Times New Roman"/>
          <w:color w:val="000000"/>
        </w:rPr>
        <w:t xml:space="preserve"> yields</w:t>
      </w:r>
      <w:r w:rsidRPr="00F546EC">
        <w:rPr>
          <w:rFonts w:eastAsia="Times New Roman"/>
          <w:color w:val="000000"/>
        </w:rPr>
        <w:t xml:space="preserve"> and </w:t>
      </w:r>
      <w:r w:rsidR="0091502E">
        <w:rPr>
          <w:rFonts w:eastAsia="Times New Roman"/>
          <w:color w:val="000000"/>
        </w:rPr>
        <w:t>mobility properties</w:t>
      </w:r>
      <w:r w:rsidR="006C0A96">
        <w:rPr>
          <w:rFonts w:eastAsia="Times New Roman"/>
          <w:color w:val="000000"/>
        </w:rPr>
        <w:t xml:space="preserve"> (Scheck et al., 1997)</w:t>
      </w:r>
      <w:r w:rsidRPr="00F546EC">
        <w:rPr>
          <w:rFonts w:eastAsia="Times New Roman"/>
          <w:color w:val="000000"/>
        </w:rPr>
        <w:t>, where high wax oil might display different flow and viscosity characteristics</w:t>
      </w:r>
      <w:r w:rsidR="0091731A">
        <w:rPr>
          <w:rFonts w:eastAsia="Times New Roman"/>
          <w:color w:val="000000"/>
        </w:rPr>
        <w:t xml:space="preserve"> (Bohacs, 2012)</w:t>
      </w:r>
      <w:r w:rsidRPr="00F546EC">
        <w:rPr>
          <w:rFonts w:eastAsia="Times New Roman"/>
          <w:color w:val="000000"/>
        </w:rPr>
        <w:t>. The cracking kinetics of lacustrine</w:t>
      </w:r>
      <w:r w:rsidR="004844F4">
        <w:rPr>
          <w:rFonts w:eastAsia="Times New Roman"/>
          <w:color w:val="000000"/>
        </w:rPr>
        <w:t>-rich</w:t>
      </w:r>
      <w:r w:rsidRPr="00F546EC">
        <w:rPr>
          <w:rFonts w:eastAsia="Times New Roman"/>
          <w:color w:val="000000"/>
        </w:rPr>
        <w:t xml:space="preserve"> source intervals</w:t>
      </w:r>
      <w:r w:rsidR="00835221">
        <w:rPr>
          <w:rFonts w:eastAsia="Times New Roman"/>
          <w:color w:val="000000"/>
        </w:rPr>
        <w:t xml:space="preserve"> is</w:t>
      </w:r>
      <w:r w:rsidRPr="00F546EC">
        <w:rPr>
          <w:rFonts w:eastAsia="Times New Roman"/>
          <w:color w:val="000000"/>
        </w:rPr>
        <w:t xml:space="preserve"> different from the marine </w:t>
      </w:r>
      <w:r w:rsidR="00DE2915">
        <w:rPr>
          <w:rFonts w:eastAsia="Times New Roman"/>
          <w:color w:val="000000"/>
        </w:rPr>
        <w:t xml:space="preserve">ones in </w:t>
      </w:r>
      <w:r w:rsidRPr="00F546EC">
        <w:rPr>
          <w:rFonts w:eastAsia="Times New Roman"/>
          <w:color w:val="000000"/>
        </w:rPr>
        <w:t>the timing of gas generation</w:t>
      </w:r>
      <w:r w:rsidR="00DE2915">
        <w:rPr>
          <w:rFonts w:eastAsia="Times New Roman"/>
          <w:color w:val="000000"/>
        </w:rPr>
        <w:t xml:space="preserve">, </w:t>
      </w:r>
      <w:r w:rsidR="00DE2915" w:rsidRPr="00F546EC">
        <w:rPr>
          <w:rFonts w:eastAsia="Times New Roman"/>
          <w:color w:val="000000"/>
        </w:rPr>
        <w:t>result</w:t>
      </w:r>
      <w:r w:rsidR="00DE2915">
        <w:rPr>
          <w:rFonts w:eastAsia="Times New Roman"/>
          <w:color w:val="000000"/>
        </w:rPr>
        <w:t>ing</w:t>
      </w:r>
      <w:r w:rsidR="00DE2915" w:rsidRPr="00F546EC">
        <w:rPr>
          <w:rFonts w:eastAsia="Times New Roman"/>
          <w:color w:val="000000"/>
        </w:rPr>
        <w:t xml:space="preserve"> in different thermal maturity </w:t>
      </w:r>
      <w:r w:rsidR="004256C6">
        <w:rPr>
          <w:rFonts w:eastAsia="Times New Roman"/>
          <w:color w:val="000000"/>
        </w:rPr>
        <w:t>yields</w:t>
      </w:r>
      <w:r w:rsidR="00DE2915" w:rsidRPr="00F546EC">
        <w:rPr>
          <w:rFonts w:eastAsia="Times New Roman"/>
          <w:color w:val="000000"/>
        </w:rPr>
        <w:t xml:space="preserve"> for marine and lacustrine deposits, where the oil and gas windows are shifted towards higher thermal maturity levels </w:t>
      </w:r>
      <w:r w:rsidR="0091731A">
        <w:rPr>
          <w:rFonts w:eastAsia="Times New Roman"/>
          <w:color w:val="000000"/>
        </w:rPr>
        <w:t>(</w:t>
      </w:r>
      <w:r w:rsidR="009E4909">
        <w:rPr>
          <w:rFonts w:eastAsia="Times New Roman"/>
          <w:color w:val="000000"/>
        </w:rPr>
        <w:t xml:space="preserve">Katz, 1990; Scheck et al., 1997; </w:t>
      </w:r>
      <w:r w:rsidR="0091731A">
        <w:rPr>
          <w:rFonts w:eastAsia="Times New Roman"/>
          <w:color w:val="000000"/>
        </w:rPr>
        <w:t>Bohacs, 2012)</w:t>
      </w:r>
      <w:r w:rsidRPr="00F546EC">
        <w:rPr>
          <w:rFonts w:eastAsia="Times New Roman"/>
          <w:color w:val="000000"/>
        </w:rPr>
        <w:t xml:space="preserve">. </w:t>
      </w:r>
    </w:p>
    <w:p w14:paraId="45D039A3" w14:textId="213C2B24" w:rsidR="003E4375" w:rsidRPr="00F546EC" w:rsidRDefault="003E4375" w:rsidP="00923B0C">
      <w:pPr>
        <w:ind w:firstLine="720"/>
        <w:rPr>
          <w:rFonts w:eastAsia="Times New Roman"/>
          <w:color w:val="000000"/>
        </w:rPr>
      </w:pPr>
      <w:r w:rsidRPr="00F546EC">
        <w:rPr>
          <w:rFonts w:eastAsia="Times New Roman"/>
          <w:color w:val="000000"/>
        </w:rPr>
        <w:t xml:space="preserve">The </w:t>
      </w:r>
      <w:r w:rsidR="00992C01">
        <w:rPr>
          <w:rFonts w:eastAsia="Times New Roman"/>
          <w:color w:val="000000"/>
        </w:rPr>
        <w:t xml:space="preserve">temperature ranges of </w:t>
      </w:r>
      <w:r w:rsidRPr="00F546EC">
        <w:rPr>
          <w:rFonts w:eastAsia="Times New Roman"/>
          <w:color w:val="000000"/>
        </w:rPr>
        <w:t xml:space="preserve">activation energy </w:t>
      </w:r>
      <w:r w:rsidR="0091731A">
        <w:rPr>
          <w:rFonts w:eastAsia="Times New Roman"/>
          <w:color w:val="000000"/>
        </w:rPr>
        <w:t xml:space="preserve">required for </w:t>
      </w:r>
      <w:r w:rsidR="0091731A" w:rsidRPr="00F546EC">
        <w:rPr>
          <w:rFonts w:eastAsia="Times New Roman"/>
          <w:color w:val="000000"/>
        </w:rPr>
        <w:t xml:space="preserve">hydrocarbon generation </w:t>
      </w:r>
      <w:r w:rsidR="0091731A">
        <w:rPr>
          <w:rFonts w:eastAsia="Times New Roman"/>
          <w:color w:val="000000"/>
        </w:rPr>
        <w:t>in</w:t>
      </w:r>
      <w:r w:rsidRPr="00F546EC">
        <w:rPr>
          <w:rFonts w:eastAsia="Times New Roman"/>
          <w:color w:val="000000"/>
        </w:rPr>
        <w:t xml:space="preserve"> lacustrine kerogens </w:t>
      </w:r>
      <w:r w:rsidR="00992C01">
        <w:rPr>
          <w:rFonts w:eastAsia="Times New Roman"/>
          <w:color w:val="000000"/>
        </w:rPr>
        <w:t>are</w:t>
      </w:r>
      <w:r w:rsidRPr="00F546EC">
        <w:rPr>
          <w:rFonts w:eastAsia="Times New Roman"/>
          <w:color w:val="000000"/>
        </w:rPr>
        <w:t xml:space="preserve"> narrower than</w:t>
      </w:r>
      <w:r w:rsidR="0091731A">
        <w:rPr>
          <w:rFonts w:eastAsia="Times New Roman"/>
          <w:color w:val="000000"/>
        </w:rPr>
        <w:t xml:space="preserve"> the one</w:t>
      </w:r>
      <w:r w:rsidRPr="00F546EC">
        <w:rPr>
          <w:rFonts w:eastAsia="Times New Roman"/>
          <w:color w:val="000000"/>
        </w:rPr>
        <w:t xml:space="preserve"> </w:t>
      </w:r>
      <w:r w:rsidR="00A25DEB" w:rsidRPr="00F546EC">
        <w:rPr>
          <w:rFonts w:eastAsia="Times New Roman"/>
          <w:color w:val="000000"/>
        </w:rPr>
        <w:t>required for</w:t>
      </w:r>
      <w:r w:rsidRPr="00F546EC">
        <w:rPr>
          <w:rFonts w:eastAsia="Times New Roman"/>
          <w:color w:val="000000"/>
        </w:rPr>
        <w:t xml:space="preserve"> the marine </w:t>
      </w:r>
      <w:r w:rsidR="00CC7FAC" w:rsidRPr="00F546EC">
        <w:rPr>
          <w:rFonts w:eastAsia="Times New Roman"/>
          <w:color w:val="000000"/>
        </w:rPr>
        <w:t>kerogens</w:t>
      </w:r>
      <w:r w:rsidR="00992C01">
        <w:rPr>
          <w:rFonts w:eastAsia="Times New Roman"/>
          <w:color w:val="000000"/>
        </w:rPr>
        <w:t xml:space="preserve">, and the lacustrine sourced oils and bitumens are more resistant to start to generate gas than the marine sourced oil and </w:t>
      </w:r>
      <w:r w:rsidR="00F03FE3">
        <w:rPr>
          <w:rFonts w:eastAsia="Times New Roman"/>
          <w:color w:val="000000"/>
        </w:rPr>
        <w:t>bitumens</w:t>
      </w:r>
      <w:r w:rsidR="00992C01">
        <w:rPr>
          <w:rFonts w:eastAsia="Times New Roman"/>
          <w:color w:val="000000"/>
        </w:rPr>
        <w:t xml:space="preserve"> </w:t>
      </w:r>
      <w:r w:rsidR="00264327">
        <w:rPr>
          <w:rFonts w:eastAsia="Times New Roman"/>
          <w:color w:val="000000"/>
        </w:rPr>
        <w:t>(</w:t>
      </w:r>
      <w:r w:rsidR="00264327" w:rsidRPr="00F546EC">
        <w:rPr>
          <w:rFonts w:eastAsia="Times New Roman"/>
          <w:color w:val="000000"/>
        </w:rPr>
        <w:t>Burnham et al., 1990; Pepper et al., 1995</w:t>
      </w:r>
      <w:r w:rsidR="00992C01">
        <w:rPr>
          <w:rFonts w:eastAsia="Times New Roman"/>
          <w:color w:val="000000"/>
        </w:rPr>
        <w:t>; Bohacs, 2012</w:t>
      </w:r>
      <w:r w:rsidR="00264327">
        <w:rPr>
          <w:rFonts w:eastAsia="Times New Roman"/>
          <w:color w:val="000000"/>
        </w:rPr>
        <w:t>).</w:t>
      </w:r>
      <w:r w:rsidRPr="00F546EC">
        <w:rPr>
          <w:rFonts w:eastAsia="Times New Roman"/>
          <w:color w:val="000000"/>
        </w:rPr>
        <w:t xml:space="preserve"> There are not only differences in generation kinetics, but there are also differences in cracking kinetics for lacustrine</w:t>
      </w:r>
      <w:r w:rsidR="00835221">
        <w:rPr>
          <w:rFonts w:eastAsia="Times New Roman"/>
          <w:color w:val="000000"/>
        </w:rPr>
        <w:t>-</w:t>
      </w:r>
      <w:r w:rsidRPr="00F546EC">
        <w:rPr>
          <w:rFonts w:eastAsia="Times New Roman"/>
          <w:color w:val="000000"/>
        </w:rPr>
        <w:lastRenderedPageBreak/>
        <w:t>derived and marine-derived hydrocarbons</w:t>
      </w:r>
      <w:r w:rsidR="00264327">
        <w:rPr>
          <w:rFonts w:eastAsia="Times New Roman"/>
          <w:color w:val="000000"/>
        </w:rPr>
        <w:t xml:space="preserve"> (</w:t>
      </w:r>
      <w:r w:rsidR="00264327" w:rsidRPr="00F546EC">
        <w:rPr>
          <w:rFonts w:eastAsia="Times New Roman"/>
          <w:color w:val="000000"/>
        </w:rPr>
        <w:t>Burnham et al., 1990; Pepper et al., 1995</w:t>
      </w:r>
      <w:r w:rsidR="00264327">
        <w:rPr>
          <w:rFonts w:eastAsia="Times New Roman"/>
          <w:color w:val="000000"/>
        </w:rPr>
        <w:t>)</w:t>
      </w:r>
      <w:r w:rsidRPr="00F546EC">
        <w:rPr>
          <w:rFonts w:eastAsia="Times New Roman"/>
          <w:color w:val="000000"/>
        </w:rPr>
        <w:t>. Scheck et al</w:t>
      </w:r>
      <w:r w:rsidR="004D7D79" w:rsidRPr="00F546EC">
        <w:rPr>
          <w:rFonts w:eastAsia="Times New Roman"/>
          <w:color w:val="000000"/>
        </w:rPr>
        <w:t>.</w:t>
      </w:r>
      <w:r w:rsidRPr="00F546EC">
        <w:rPr>
          <w:rFonts w:eastAsia="Times New Roman"/>
          <w:color w:val="000000"/>
        </w:rPr>
        <w:t xml:space="preserve"> (1997), proved by laboratory simulations that the cracking of marine-derived organic matter occurs at earlier thermal maturity levels than the lacustrine counterparts</w:t>
      </w:r>
      <w:r w:rsidR="004D7D79" w:rsidRPr="00F546EC">
        <w:rPr>
          <w:rFonts w:eastAsia="Times New Roman"/>
          <w:color w:val="000000"/>
        </w:rPr>
        <w:t>. These conclusions by Scheck et al. (1997)</w:t>
      </w:r>
      <w:r w:rsidRPr="00F546EC">
        <w:rPr>
          <w:rFonts w:eastAsia="Times New Roman"/>
          <w:color w:val="000000"/>
        </w:rPr>
        <w:t xml:space="preserve"> indicat</w:t>
      </w:r>
      <w:r w:rsidR="00E9715F" w:rsidRPr="00F546EC">
        <w:rPr>
          <w:rFonts w:eastAsia="Times New Roman"/>
          <w:color w:val="000000"/>
        </w:rPr>
        <w:t>e</w:t>
      </w:r>
      <w:r w:rsidRPr="00F546EC">
        <w:rPr>
          <w:rFonts w:eastAsia="Times New Roman"/>
          <w:color w:val="000000"/>
        </w:rPr>
        <w:t xml:space="preserve"> that the marine oils may have </w:t>
      </w:r>
      <w:r w:rsidR="004D7D79" w:rsidRPr="00F546EC">
        <w:rPr>
          <w:rFonts w:eastAsia="Times New Roman"/>
          <w:color w:val="000000"/>
        </w:rPr>
        <w:t>high</w:t>
      </w:r>
      <w:r w:rsidRPr="00F546EC">
        <w:rPr>
          <w:rFonts w:eastAsia="Times New Roman"/>
          <w:color w:val="000000"/>
        </w:rPr>
        <w:t>er gas yields than the lacustrine oils</w:t>
      </w:r>
      <w:r w:rsidR="00C74D36">
        <w:rPr>
          <w:rFonts w:eastAsia="Times New Roman"/>
          <w:color w:val="000000"/>
        </w:rPr>
        <w:t>.</w:t>
      </w:r>
      <w:r w:rsidRPr="00F546EC">
        <w:rPr>
          <w:rFonts w:eastAsia="Times New Roman"/>
          <w:color w:val="000000"/>
        </w:rPr>
        <w:t xml:space="preserve"> Jarvie et al</w:t>
      </w:r>
      <w:r w:rsidR="004D7D79" w:rsidRPr="00F546EC">
        <w:rPr>
          <w:rFonts w:eastAsia="Times New Roman"/>
          <w:color w:val="000000"/>
        </w:rPr>
        <w:t>.</w:t>
      </w:r>
      <w:r w:rsidRPr="00F546EC">
        <w:rPr>
          <w:rFonts w:eastAsia="Times New Roman"/>
          <w:color w:val="000000"/>
        </w:rPr>
        <w:t xml:space="preserve"> (2005 and 2007) and Katz and Lin (2014) suggest</w:t>
      </w:r>
      <w:r w:rsidR="00C74D36">
        <w:rPr>
          <w:rFonts w:eastAsia="Times New Roman"/>
          <w:color w:val="000000"/>
        </w:rPr>
        <w:t>ed</w:t>
      </w:r>
      <w:r w:rsidRPr="00F546EC">
        <w:rPr>
          <w:rFonts w:eastAsia="Times New Roman"/>
          <w:color w:val="000000"/>
        </w:rPr>
        <w:t xml:space="preserve"> that the published thermal maturity methodologies for risk ranking the </w:t>
      </w:r>
      <w:r w:rsidR="00D03E04" w:rsidRPr="00F546EC">
        <w:rPr>
          <w:rFonts w:eastAsia="Times New Roman"/>
          <w:color w:val="000000"/>
        </w:rPr>
        <w:t>unconventional marine</w:t>
      </w:r>
      <w:r w:rsidRPr="00F546EC">
        <w:rPr>
          <w:rFonts w:eastAsia="Times New Roman"/>
          <w:color w:val="000000"/>
        </w:rPr>
        <w:t xml:space="preserve"> systems might not be valid for lacustrine rock intervals and need to be developed</w:t>
      </w:r>
      <w:r w:rsidR="00556A38">
        <w:rPr>
          <w:rFonts w:eastAsia="Times New Roman"/>
          <w:color w:val="000000"/>
        </w:rPr>
        <w:t xml:space="preserve"> in marine rock intervals rich in lacustrine-sourced organic matter</w:t>
      </w:r>
      <w:r w:rsidRPr="00F546EC">
        <w:rPr>
          <w:rFonts w:eastAsia="Times New Roman"/>
          <w:color w:val="000000"/>
        </w:rPr>
        <w:t xml:space="preserve">.   </w:t>
      </w:r>
    </w:p>
    <w:p w14:paraId="10A4630C" w14:textId="612253A3" w:rsidR="003E4375" w:rsidRPr="00F546EC" w:rsidRDefault="00F1122B" w:rsidP="00530D25">
      <w:pPr>
        <w:pStyle w:val="Heading2"/>
        <w:numPr>
          <w:ilvl w:val="1"/>
          <w:numId w:val="2"/>
        </w:numPr>
      </w:pPr>
      <w:bookmarkStart w:id="44" w:name="_Toc25833525"/>
      <w:r>
        <w:t xml:space="preserve"> </w:t>
      </w:r>
      <w:bookmarkStart w:id="45" w:name="_Toc35861084"/>
      <w:r>
        <w:t>The s</w:t>
      </w:r>
      <w:r w:rsidR="003E4375" w:rsidRPr="00F546EC">
        <w:t xml:space="preserve">cientific </w:t>
      </w:r>
      <w:r w:rsidR="00CD6202">
        <w:t>h</w:t>
      </w:r>
      <w:r w:rsidR="003E4375" w:rsidRPr="00F546EC">
        <w:t>ypothesis</w:t>
      </w:r>
      <w:r w:rsidR="009A5367" w:rsidRPr="00F546EC">
        <w:t xml:space="preserve"> of a</w:t>
      </w:r>
      <w:r w:rsidR="00E015DC">
        <w:t>n enclosed mini</w:t>
      </w:r>
      <w:r w:rsidR="00271D6C">
        <w:t>-</w:t>
      </w:r>
      <w:r w:rsidR="00E015DC">
        <w:t>basin</w:t>
      </w:r>
      <w:r w:rsidR="00271D6C">
        <w:t xml:space="preserve"> </w:t>
      </w:r>
      <w:r w:rsidR="00E015DC">
        <w:t>fill</w:t>
      </w:r>
      <w:r w:rsidR="009A5367" w:rsidRPr="00F546EC">
        <w:t xml:space="preserve"> deposit within a marine shale</w:t>
      </w:r>
      <w:bookmarkEnd w:id="44"/>
      <w:bookmarkEnd w:id="45"/>
    </w:p>
    <w:p w14:paraId="6290549C" w14:textId="1C4FC50B" w:rsidR="003E4375" w:rsidRPr="00F546EC" w:rsidRDefault="003E4375" w:rsidP="00981171">
      <w:pPr>
        <w:ind w:firstLine="360"/>
        <w:rPr>
          <w:rFonts w:eastAsia="Times New Roman"/>
          <w:color w:val="000000"/>
        </w:rPr>
      </w:pPr>
      <w:r w:rsidRPr="00F546EC">
        <w:rPr>
          <w:rFonts w:eastAsia="Times New Roman"/>
          <w:color w:val="000000"/>
        </w:rPr>
        <w:t xml:space="preserve">Typical marine hydrocarbon source rocks have been characterized as the </w:t>
      </w:r>
      <w:r w:rsidR="002040CF" w:rsidRPr="00F546EC">
        <w:rPr>
          <w:rFonts w:eastAsia="Times New Roman"/>
          <w:color w:val="000000"/>
        </w:rPr>
        <w:t>primary</w:t>
      </w:r>
      <w:r w:rsidRPr="00F546EC">
        <w:rPr>
          <w:rFonts w:eastAsia="Times New Roman"/>
          <w:color w:val="000000"/>
        </w:rPr>
        <w:t xml:space="preserve"> target for unconventional oil/gas shale systems</w:t>
      </w:r>
      <w:r w:rsidR="00723FEF">
        <w:rPr>
          <w:rFonts w:eastAsia="Times New Roman"/>
          <w:color w:val="000000"/>
        </w:rPr>
        <w:t xml:space="preserve"> (EIA, 2016)</w:t>
      </w:r>
      <w:r w:rsidRPr="00F546EC">
        <w:rPr>
          <w:rFonts w:eastAsia="Times New Roman"/>
          <w:color w:val="000000"/>
        </w:rPr>
        <w:t xml:space="preserve">. In the North America </w:t>
      </w:r>
      <w:r w:rsidR="00310AC9">
        <w:rPr>
          <w:rFonts w:eastAsia="Times New Roman"/>
          <w:color w:val="000000"/>
        </w:rPr>
        <w:t>L</w:t>
      </w:r>
      <w:r w:rsidRPr="00F546EC">
        <w:rPr>
          <w:rFonts w:eastAsia="Times New Roman"/>
          <w:color w:val="000000"/>
        </w:rPr>
        <w:t xml:space="preserve">ower 48, most of the marine shale systems are deposited above carbonate platforms (Woodford </w:t>
      </w:r>
      <w:r w:rsidR="00835221">
        <w:rPr>
          <w:rFonts w:eastAsia="Times New Roman"/>
          <w:color w:val="000000"/>
        </w:rPr>
        <w:t>S</w:t>
      </w:r>
      <w:r w:rsidRPr="00F546EC">
        <w:rPr>
          <w:rFonts w:eastAsia="Times New Roman"/>
          <w:color w:val="000000"/>
        </w:rPr>
        <w:t xml:space="preserve">hale, </w:t>
      </w:r>
      <w:r w:rsidR="00E9715F" w:rsidRPr="00F546EC">
        <w:rPr>
          <w:rFonts w:eastAsia="Times New Roman"/>
          <w:color w:val="000000"/>
        </w:rPr>
        <w:t xml:space="preserve">Barnett Shale, </w:t>
      </w:r>
      <w:r w:rsidR="00CC7FAC" w:rsidRPr="00F546EC">
        <w:rPr>
          <w:rFonts w:eastAsia="Times New Roman"/>
          <w:color w:val="000000"/>
        </w:rPr>
        <w:t xml:space="preserve">Eagle </w:t>
      </w:r>
      <w:r w:rsidR="00A25DEB" w:rsidRPr="00F546EC">
        <w:rPr>
          <w:rFonts w:eastAsia="Times New Roman"/>
          <w:color w:val="000000"/>
        </w:rPr>
        <w:t>F</w:t>
      </w:r>
      <w:r w:rsidR="00CC7FAC" w:rsidRPr="00F546EC">
        <w:rPr>
          <w:rFonts w:eastAsia="Times New Roman"/>
          <w:color w:val="000000"/>
        </w:rPr>
        <w:t>ord</w:t>
      </w:r>
      <w:r w:rsidRPr="00F546EC">
        <w:rPr>
          <w:rFonts w:eastAsia="Times New Roman"/>
          <w:color w:val="000000"/>
        </w:rPr>
        <w:t xml:space="preserve"> Shale, Marcellus Shale, Haynesville Shale, and Horn River Shale</w:t>
      </w:r>
      <w:r w:rsidR="00723FEF">
        <w:rPr>
          <w:rFonts w:eastAsia="Times New Roman"/>
          <w:color w:val="000000"/>
        </w:rPr>
        <w:t>; Slatt and Rodriguez, 2012</w:t>
      </w:r>
      <w:r w:rsidRPr="00F546EC">
        <w:rPr>
          <w:rFonts w:eastAsia="Times New Roman"/>
          <w:color w:val="000000"/>
        </w:rPr>
        <w:t xml:space="preserve">). The sea-level fluctuations during the deposition of these systems allowed aerial exposure and subsequent erosion of the </w:t>
      </w:r>
      <w:r w:rsidR="00A9740E">
        <w:rPr>
          <w:rFonts w:eastAsia="Times New Roman"/>
          <w:color w:val="000000"/>
        </w:rPr>
        <w:t xml:space="preserve">pre-existing </w:t>
      </w:r>
      <w:r w:rsidRPr="00F546EC">
        <w:rPr>
          <w:rFonts w:eastAsia="Times New Roman"/>
          <w:color w:val="000000"/>
        </w:rPr>
        <w:t>carbonate platforms</w:t>
      </w:r>
      <w:r w:rsidR="00D61F6B">
        <w:rPr>
          <w:rFonts w:eastAsia="Times New Roman"/>
          <w:color w:val="000000"/>
        </w:rPr>
        <w:t xml:space="preserve"> (Slatt, 2016). T</w:t>
      </w:r>
      <w:r w:rsidRPr="00F546EC">
        <w:rPr>
          <w:rFonts w:eastAsia="Times New Roman"/>
          <w:color w:val="000000"/>
        </w:rPr>
        <w:t xml:space="preserve">he creation of </w:t>
      </w:r>
      <w:r w:rsidR="00D61F6B">
        <w:rPr>
          <w:rFonts w:eastAsia="Times New Roman"/>
          <w:color w:val="000000"/>
        </w:rPr>
        <w:t xml:space="preserve">the eroded </w:t>
      </w:r>
      <w:r w:rsidRPr="00F546EC">
        <w:rPr>
          <w:rFonts w:eastAsia="Times New Roman"/>
          <w:color w:val="000000"/>
        </w:rPr>
        <w:t xml:space="preserve">sink surfaces </w:t>
      </w:r>
      <w:r w:rsidR="00D61F6B">
        <w:rPr>
          <w:rFonts w:eastAsia="Times New Roman"/>
          <w:color w:val="000000"/>
        </w:rPr>
        <w:t>as</w:t>
      </w:r>
      <w:r w:rsidRPr="00F546EC">
        <w:rPr>
          <w:rFonts w:eastAsia="Times New Roman"/>
          <w:color w:val="000000"/>
        </w:rPr>
        <w:t xml:space="preserve"> isolated areas </w:t>
      </w:r>
      <w:r w:rsidR="0098140D">
        <w:rPr>
          <w:rFonts w:eastAsia="Times New Roman"/>
          <w:color w:val="000000"/>
        </w:rPr>
        <w:t xml:space="preserve">allow </w:t>
      </w:r>
      <w:r w:rsidRPr="00F546EC">
        <w:rPr>
          <w:rFonts w:eastAsia="Times New Roman"/>
          <w:color w:val="000000"/>
        </w:rPr>
        <w:t xml:space="preserve">seawater body masses </w:t>
      </w:r>
      <w:r w:rsidR="0098140D">
        <w:rPr>
          <w:rFonts w:eastAsia="Times New Roman"/>
          <w:color w:val="000000"/>
        </w:rPr>
        <w:t>to</w:t>
      </w:r>
      <w:r w:rsidRPr="00F546EC">
        <w:rPr>
          <w:rFonts w:eastAsia="Times New Roman"/>
          <w:color w:val="000000"/>
        </w:rPr>
        <w:t xml:space="preserve"> accumulate and restrict the organic matter </w:t>
      </w:r>
      <w:r w:rsidR="0098140D">
        <w:rPr>
          <w:rFonts w:eastAsia="Times New Roman"/>
          <w:color w:val="000000"/>
        </w:rPr>
        <w:t>from</w:t>
      </w:r>
      <w:r w:rsidRPr="00F546EC">
        <w:rPr>
          <w:rFonts w:eastAsia="Times New Roman"/>
          <w:color w:val="000000"/>
        </w:rPr>
        <w:t xml:space="preserve"> </w:t>
      </w:r>
      <w:r w:rsidR="00D61F6B">
        <w:rPr>
          <w:rFonts w:eastAsia="Times New Roman"/>
          <w:color w:val="000000"/>
        </w:rPr>
        <w:t xml:space="preserve">oxidation processes, preserving </w:t>
      </w:r>
      <w:r w:rsidR="0098140D">
        <w:rPr>
          <w:rFonts w:eastAsia="Times New Roman"/>
          <w:color w:val="000000"/>
        </w:rPr>
        <w:t xml:space="preserve">more oil-prone source rock intervals </w:t>
      </w:r>
      <w:r w:rsidRPr="00F546EC">
        <w:rPr>
          <w:rFonts w:eastAsia="Times New Roman"/>
          <w:color w:val="000000"/>
        </w:rPr>
        <w:t>(</w:t>
      </w:r>
      <w:r w:rsidR="0098140D">
        <w:rPr>
          <w:rFonts w:eastAsia="Times New Roman"/>
          <w:color w:val="000000"/>
        </w:rPr>
        <w:t>higher hydrogen content, which is preserved in the organic matter</w:t>
      </w:r>
      <w:r w:rsidR="00723FEF">
        <w:rPr>
          <w:rFonts w:eastAsia="Times New Roman"/>
          <w:color w:val="000000"/>
        </w:rPr>
        <w:t>; Slatt and Rodriguez, 2012; Zhang and Slatt, 2019)</w:t>
      </w:r>
      <w:r w:rsidR="009F4CA8">
        <w:rPr>
          <w:rFonts w:eastAsia="Times New Roman"/>
          <w:color w:val="000000"/>
        </w:rPr>
        <w:t xml:space="preserve">. </w:t>
      </w:r>
      <w:r w:rsidR="00024ECE">
        <w:rPr>
          <w:rFonts w:eastAsia="Times New Roman"/>
          <w:color w:val="000000"/>
        </w:rPr>
        <w:t>This study proposes that th</w:t>
      </w:r>
      <w:r w:rsidRPr="00F546EC">
        <w:rPr>
          <w:rFonts w:eastAsia="Times New Roman"/>
          <w:color w:val="000000"/>
        </w:rPr>
        <w:t xml:space="preserve">e </w:t>
      </w:r>
      <w:r w:rsidR="00391958">
        <w:rPr>
          <w:rFonts w:eastAsia="Times New Roman"/>
          <w:color w:val="000000"/>
        </w:rPr>
        <w:t xml:space="preserve">enclosed mini-basin </w:t>
      </w:r>
      <w:r w:rsidR="00A22E4E">
        <w:rPr>
          <w:rFonts w:eastAsia="Times New Roman"/>
          <w:color w:val="000000"/>
        </w:rPr>
        <w:t>fill</w:t>
      </w:r>
      <w:r w:rsidRPr="00F546EC">
        <w:rPr>
          <w:rFonts w:eastAsia="Times New Roman"/>
          <w:color w:val="000000"/>
        </w:rPr>
        <w:t xml:space="preserve"> rock intervals are stratigraphical variations that could economically produce more oil than gas by determining the intervals which might contain amorphous organic matter with </w:t>
      </w:r>
      <w:r w:rsidR="00450B80">
        <w:rPr>
          <w:rFonts w:eastAsia="Times New Roman"/>
          <w:color w:val="000000"/>
        </w:rPr>
        <w:t xml:space="preserve">large </w:t>
      </w:r>
      <w:r w:rsidRPr="00F546EC">
        <w:rPr>
          <w:rFonts w:eastAsia="Times New Roman"/>
          <w:color w:val="000000"/>
        </w:rPr>
        <w:t>molecular organic compounds, higher levels of water salinity</w:t>
      </w:r>
      <w:r w:rsidR="006004BB" w:rsidRPr="00F546EC">
        <w:rPr>
          <w:rFonts w:eastAsia="Times New Roman"/>
          <w:color w:val="000000"/>
        </w:rPr>
        <w:t>,</w:t>
      </w:r>
      <w:r w:rsidR="0098140D">
        <w:rPr>
          <w:rFonts w:eastAsia="Times New Roman"/>
          <w:color w:val="000000"/>
        </w:rPr>
        <w:t xml:space="preserve"> high levels of </w:t>
      </w:r>
      <w:r w:rsidRPr="00F546EC">
        <w:rPr>
          <w:rFonts w:eastAsia="Times New Roman"/>
          <w:color w:val="000000"/>
        </w:rPr>
        <w:t>anoxia, enriched in quartz and have relatively low clay content.</w:t>
      </w:r>
    </w:p>
    <w:p w14:paraId="01C71D91" w14:textId="77777777" w:rsidR="002E4331" w:rsidRPr="00F546EC" w:rsidRDefault="002E4331" w:rsidP="002E4331">
      <w:pPr>
        <w:pStyle w:val="Heading3"/>
        <w:numPr>
          <w:ilvl w:val="2"/>
          <w:numId w:val="2"/>
        </w:numPr>
      </w:pPr>
      <w:bookmarkStart w:id="46" w:name="_Toc25833521"/>
      <w:bookmarkStart w:id="47" w:name="_Toc25833526"/>
      <w:bookmarkStart w:id="48" w:name="_Toc35861085"/>
      <w:r w:rsidRPr="00F546EC">
        <w:lastRenderedPageBreak/>
        <w:t xml:space="preserve">Minerals as </w:t>
      </w:r>
      <w:r>
        <w:t>i</w:t>
      </w:r>
      <w:r w:rsidRPr="00F546EC">
        <w:t>ndicators of anoxic and oxic depositional environmental conditions</w:t>
      </w:r>
      <w:bookmarkEnd w:id="46"/>
      <w:bookmarkEnd w:id="48"/>
      <w:r w:rsidRPr="00F546EC">
        <w:t xml:space="preserve"> </w:t>
      </w:r>
    </w:p>
    <w:p w14:paraId="4EC60024" w14:textId="7A1F554A" w:rsidR="002E4331" w:rsidRPr="00F546EC" w:rsidRDefault="002E4331" w:rsidP="002E4331">
      <w:pPr>
        <w:spacing w:before="240"/>
        <w:ind w:firstLine="720"/>
        <w:rPr>
          <w:rFonts w:eastAsia="Times New Roman"/>
          <w:color w:val="000000"/>
        </w:rPr>
      </w:pPr>
      <w:r w:rsidRPr="00F546EC">
        <w:rPr>
          <w:rFonts w:eastAsia="Times New Roman"/>
          <w:color w:val="000000"/>
        </w:rPr>
        <w:t>The lithological and organic facies variations within individual marine shale systems have been documented (Loucks and Ruppel, 2007; Singh, 2008; Buckner et al., 2009), and typical mineral indicators of marine depositional environments have been identified. Phosphatic nodules are usually present within organic-rich intervals in the Barnett (Singh et al., 2008), Woodford (Buckner et al., 2009), and Montney (Adams, 2009) shale systems. These are usually interpreted as characteristic</w:t>
      </w:r>
      <w:r w:rsidR="00835221">
        <w:rPr>
          <w:rFonts w:eastAsia="Times New Roman"/>
          <w:color w:val="000000"/>
        </w:rPr>
        <w:t>s</w:t>
      </w:r>
      <w:r w:rsidRPr="00F546EC">
        <w:rPr>
          <w:rFonts w:eastAsia="Times New Roman"/>
          <w:color w:val="000000"/>
        </w:rPr>
        <w:t xml:space="preserve"> of sea-level </w:t>
      </w:r>
      <w:r w:rsidR="00853BB1">
        <w:rPr>
          <w:rFonts w:eastAsia="Times New Roman"/>
          <w:color w:val="000000"/>
        </w:rPr>
        <w:t>re</w:t>
      </w:r>
      <w:r w:rsidRPr="00F546EC">
        <w:rPr>
          <w:rFonts w:eastAsia="Times New Roman"/>
          <w:color w:val="000000"/>
        </w:rPr>
        <w:t>gression during deposition</w:t>
      </w:r>
      <w:r w:rsidR="00100E4C">
        <w:rPr>
          <w:rFonts w:eastAsia="Times New Roman"/>
          <w:color w:val="000000"/>
        </w:rPr>
        <w:t xml:space="preserve"> (Slatt, 2016)</w:t>
      </w:r>
      <w:r w:rsidRPr="00F546EC">
        <w:rPr>
          <w:rFonts w:eastAsia="Times New Roman"/>
          <w:color w:val="000000"/>
        </w:rPr>
        <w:t>. Reducing conditions are also proposed as characteristics of the environments of deposition of shale systems</w:t>
      </w:r>
      <w:r w:rsidR="00853BB1">
        <w:rPr>
          <w:rFonts w:eastAsia="Times New Roman"/>
          <w:color w:val="000000"/>
        </w:rPr>
        <w:t xml:space="preserve"> (Slatt and Rodriguez, 2012)</w:t>
      </w:r>
      <w:r w:rsidRPr="00F546EC">
        <w:rPr>
          <w:rFonts w:eastAsia="Times New Roman"/>
          <w:color w:val="000000"/>
        </w:rPr>
        <w:t xml:space="preserve">. </w:t>
      </w:r>
      <w:r>
        <w:rPr>
          <w:rFonts w:eastAsia="Times New Roman"/>
          <w:color w:val="000000"/>
        </w:rPr>
        <w:t>The p</w:t>
      </w:r>
      <w:r w:rsidRPr="00F546EC">
        <w:rPr>
          <w:rFonts w:eastAsia="Times New Roman"/>
          <w:color w:val="000000"/>
        </w:rPr>
        <w:t xml:space="preserve">resence of pyrite has been reported in Barnett (Singh, 2008), Haynesville (Hammes and Carr, 2009), Marcellus (Nyahay et al., 2007), Woodford (Buckner et al., 2009) and Horn River (McPhail et al., 2009) shales, attesting to reducing conditions. The recognized pyrite dissemination in discrete intervals indicates that anoxic conditions were not persistent throughout shale deposition. </w:t>
      </w:r>
    </w:p>
    <w:p w14:paraId="1D005553" w14:textId="12771933" w:rsidR="002E4331" w:rsidRPr="00F546EC" w:rsidRDefault="002E4331" w:rsidP="002E4331">
      <w:pPr>
        <w:ind w:firstLine="720"/>
        <w:rPr>
          <w:rFonts w:eastAsia="Times New Roman"/>
          <w:color w:val="000000"/>
        </w:rPr>
      </w:pPr>
      <w:r w:rsidRPr="00F546EC">
        <w:rPr>
          <w:rFonts w:eastAsia="Times New Roman"/>
          <w:color w:val="000000"/>
        </w:rPr>
        <w:t>The conclusions by Turne</w:t>
      </w:r>
      <w:r w:rsidR="00835221">
        <w:rPr>
          <w:rFonts w:eastAsia="Times New Roman"/>
          <w:color w:val="000000"/>
        </w:rPr>
        <w:t>r et al.</w:t>
      </w:r>
      <w:r w:rsidRPr="00F546EC">
        <w:rPr>
          <w:rFonts w:eastAsia="Times New Roman"/>
          <w:color w:val="000000"/>
        </w:rPr>
        <w:t xml:space="preserve"> </w:t>
      </w:r>
      <w:r w:rsidRPr="00835221">
        <w:rPr>
          <w:rFonts w:eastAsia="Times New Roman"/>
          <w:color w:val="000000"/>
          <w:lang w:val="es-CO"/>
        </w:rPr>
        <w:t>(2015), Becerra-Rondon (2017), Galvis</w:t>
      </w:r>
      <w:r w:rsidR="00835221" w:rsidRPr="00835221">
        <w:rPr>
          <w:rFonts w:eastAsia="Times New Roman"/>
          <w:color w:val="000000"/>
          <w:lang w:val="es-CO"/>
        </w:rPr>
        <w:t xml:space="preserve"> et al.</w:t>
      </w:r>
      <w:r w:rsidRPr="00835221">
        <w:rPr>
          <w:rFonts w:eastAsia="Times New Roman"/>
          <w:color w:val="000000"/>
          <w:lang w:val="es-CO"/>
        </w:rPr>
        <w:t xml:space="preserve"> </w:t>
      </w:r>
      <w:r w:rsidRPr="00F546EC">
        <w:rPr>
          <w:rFonts w:eastAsia="Times New Roman"/>
          <w:color w:val="000000"/>
        </w:rPr>
        <w:t>(2017) and Brito (2019), proposed specific element proxies for local depositional and environmental conditions during sedimentation</w:t>
      </w:r>
      <w:r>
        <w:rPr>
          <w:rFonts w:eastAsia="Times New Roman"/>
          <w:color w:val="000000"/>
        </w:rPr>
        <w:t xml:space="preserve"> </w:t>
      </w:r>
      <w:r w:rsidRPr="00F546EC">
        <w:rPr>
          <w:rFonts w:eastAsia="Times New Roman"/>
          <w:color w:val="000000"/>
        </w:rPr>
        <w:t xml:space="preserve">for the Woodford </w:t>
      </w:r>
      <w:r w:rsidR="00751C8B">
        <w:rPr>
          <w:rFonts w:eastAsia="Times New Roman"/>
          <w:color w:val="000000"/>
        </w:rPr>
        <w:t>S</w:t>
      </w:r>
      <w:r w:rsidRPr="00F546EC">
        <w:rPr>
          <w:rFonts w:eastAsia="Times New Roman"/>
          <w:color w:val="000000"/>
        </w:rPr>
        <w:t xml:space="preserve">hale. The principal elements used in the Woodford </w:t>
      </w:r>
      <w:r w:rsidR="00751C8B">
        <w:rPr>
          <w:rFonts w:eastAsia="Times New Roman"/>
          <w:color w:val="000000"/>
        </w:rPr>
        <w:t>S</w:t>
      </w:r>
      <w:r w:rsidRPr="00F546EC">
        <w:rPr>
          <w:rFonts w:eastAsia="Times New Roman"/>
          <w:color w:val="000000"/>
        </w:rPr>
        <w:t>hale by Turner</w:t>
      </w:r>
      <w:r w:rsidR="00853BB1">
        <w:rPr>
          <w:rFonts w:eastAsia="Times New Roman"/>
          <w:color w:val="000000"/>
        </w:rPr>
        <w:t xml:space="preserve"> et al.</w:t>
      </w:r>
      <w:r w:rsidRPr="00F546EC">
        <w:rPr>
          <w:rFonts w:eastAsia="Times New Roman"/>
          <w:color w:val="000000"/>
        </w:rPr>
        <w:t xml:space="preserve"> (2015) and Galvis </w:t>
      </w:r>
      <w:r w:rsidR="00853BB1">
        <w:rPr>
          <w:rFonts w:eastAsia="Times New Roman"/>
          <w:color w:val="000000"/>
        </w:rPr>
        <w:t xml:space="preserve">et al. </w:t>
      </w:r>
      <w:r w:rsidRPr="00F546EC">
        <w:rPr>
          <w:rFonts w:eastAsia="Times New Roman"/>
          <w:color w:val="000000"/>
        </w:rPr>
        <w:t>(2017) are titanium (Ti), zirconium (Zr), silicon (Si), Calcium (Ca), strontium (Sr), phosphorous (P), aluminum (Al), potassium (K), molybdenum (Mo), and vanadium (V). Turner</w:t>
      </w:r>
      <w:r>
        <w:rPr>
          <w:rFonts w:eastAsia="Times New Roman"/>
          <w:color w:val="000000"/>
        </w:rPr>
        <w:t xml:space="preserve"> et al.</w:t>
      </w:r>
      <w:r w:rsidRPr="00F546EC">
        <w:rPr>
          <w:rFonts w:eastAsia="Times New Roman"/>
          <w:color w:val="000000"/>
        </w:rPr>
        <w:t xml:space="preserve"> (2015) </w:t>
      </w:r>
      <w:r>
        <w:rPr>
          <w:rFonts w:eastAsia="Times New Roman"/>
          <w:color w:val="000000"/>
        </w:rPr>
        <w:t>notes</w:t>
      </w:r>
      <w:r w:rsidRPr="00F546EC">
        <w:rPr>
          <w:rFonts w:eastAsia="Times New Roman"/>
          <w:color w:val="000000"/>
        </w:rPr>
        <w:t xml:space="preserve"> that Ti and Zr are strongly associated with continentally derived sediment; Ca and Sr are both related </w:t>
      </w:r>
      <w:r>
        <w:rPr>
          <w:rFonts w:eastAsia="Times New Roman"/>
          <w:color w:val="000000"/>
        </w:rPr>
        <w:t>to</w:t>
      </w:r>
      <w:r w:rsidRPr="00F546EC">
        <w:rPr>
          <w:rFonts w:eastAsia="Times New Roman"/>
          <w:color w:val="000000"/>
        </w:rPr>
        <w:t xml:space="preserve"> carbonate accumulation; Al and K are connected with feldspars and clays; Mo and V can be used as an indication of redox conditions and additionally that Si is found in biogenic quartz, detrital quartz, feldspars, and clays and is useful to evaluate the type of Silica source </w:t>
      </w:r>
      <w:r>
        <w:rPr>
          <w:rFonts w:eastAsia="Times New Roman"/>
          <w:color w:val="000000"/>
        </w:rPr>
        <w:t>using</w:t>
      </w:r>
      <w:r w:rsidRPr="00F546EC">
        <w:rPr>
          <w:rFonts w:eastAsia="Times New Roman"/>
          <w:color w:val="000000"/>
        </w:rPr>
        <w:t xml:space="preserve"> a ratio </w:t>
      </w:r>
      <w:r>
        <w:rPr>
          <w:rFonts w:eastAsia="Times New Roman"/>
          <w:color w:val="000000"/>
        </w:rPr>
        <w:t>of</w:t>
      </w:r>
      <w:r w:rsidRPr="00F546EC">
        <w:rPr>
          <w:rFonts w:eastAsia="Times New Roman"/>
          <w:color w:val="000000"/>
        </w:rPr>
        <w:t xml:space="preserve"> Si/Al</w:t>
      </w:r>
      <w:r>
        <w:rPr>
          <w:rFonts w:eastAsia="Times New Roman"/>
          <w:color w:val="000000"/>
        </w:rPr>
        <w:t xml:space="preserve"> (Turner </w:t>
      </w:r>
      <w:r>
        <w:rPr>
          <w:rFonts w:eastAsia="Times New Roman"/>
          <w:color w:val="000000"/>
        </w:rPr>
        <w:lastRenderedPageBreak/>
        <w:t>et al., 2015; Galvis et al., 2017)</w:t>
      </w:r>
      <w:r w:rsidRPr="00F546EC">
        <w:rPr>
          <w:rFonts w:eastAsia="Times New Roman"/>
          <w:color w:val="000000"/>
        </w:rPr>
        <w:t xml:space="preserve">. </w:t>
      </w:r>
      <w:r>
        <w:rPr>
          <w:rFonts w:eastAsia="Times New Roman"/>
          <w:color w:val="000000"/>
        </w:rPr>
        <w:t>When</w:t>
      </w:r>
      <w:r w:rsidRPr="00F546EC">
        <w:rPr>
          <w:rFonts w:eastAsia="Times New Roman"/>
          <w:color w:val="000000"/>
        </w:rPr>
        <w:t xml:space="preserve"> evaluating</w:t>
      </w:r>
      <w:r>
        <w:rPr>
          <w:rFonts w:eastAsia="Times New Roman"/>
          <w:color w:val="000000"/>
        </w:rPr>
        <w:t xml:space="preserve"> the </w:t>
      </w:r>
      <w:r w:rsidR="005D2CA2">
        <w:rPr>
          <w:rFonts w:eastAsia="Times New Roman"/>
          <w:color w:val="000000"/>
        </w:rPr>
        <w:t xml:space="preserve">elemental </w:t>
      </w:r>
      <w:r>
        <w:rPr>
          <w:rFonts w:eastAsia="Times New Roman"/>
          <w:color w:val="000000"/>
        </w:rPr>
        <w:t>Al content</w:t>
      </w:r>
      <w:r w:rsidRPr="00F546EC">
        <w:rPr>
          <w:rFonts w:eastAsia="Times New Roman"/>
          <w:color w:val="000000"/>
        </w:rPr>
        <w:t xml:space="preserve"> </w:t>
      </w:r>
      <w:r w:rsidR="003113C8">
        <w:rPr>
          <w:rFonts w:eastAsia="Times New Roman"/>
          <w:color w:val="000000"/>
        </w:rPr>
        <w:t>related</w:t>
      </w:r>
      <w:r w:rsidR="009A5719">
        <w:rPr>
          <w:rFonts w:eastAsia="Times New Roman"/>
          <w:color w:val="000000"/>
        </w:rPr>
        <w:t xml:space="preserve"> to</w:t>
      </w:r>
      <w:r w:rsidRPr="00F546EC">
        <w:rPr>
          <w:rFonts w:eastAsia="Times New Roman"/>
          <w:color w:val="000000"/>
        </w:rPr>
        <w:t xml:space="preserve"> the </w:t>
      </w:r>
      <w:r w:rsidR="00450B80">
        <w:rPr>
          <w:rFonts w:eastAsia="Times New Roman"/>
          <w:color w:val="000000"/>
        </w:rPr>
        <w:t>Si</w:t>
      </w:r>
      <w:r w:rsidRPr="00F546EC">
        <w:rPr>
          <w:rFonts w:eastAsia="Times New Roman"/>
          <w:color w:val="000000"/>
        </w:rPr>
        <w:t xml:space="preserve"> concentration, the Si/Al ratio provides an approximation for the amount of biogenic quartz present within a stratigraphic layer</w:t>
      </w:r>
      <w:r>
        <w:rPr>
          <w:rFonts w:eastAsia="Times New Roman"/>
          <w:color w:val="000000"/>
        </w:rPr>
        <w:t xml:space="preserve"> and the </w:t>
      </w:r>
      <w:r w:rsidRPr="00F546EC">
        <w:rPr>
          <w:rFonts w:eastAsia="Times New Roman"/>
          <w:color w:val="000000"/>
        </w:rPr>
        <w:t>changes in the trends of these elements can be used to interpret changes in the local sea level shoreline trajectory</w:t>
      </w:r>
      <w:r>
        <w:rPr>
          <w:rFonts w:eastAsia="Times New Roman"/>
          <w:color w:val="000000"/>
        </w:rPr>
        <w:t xml:space="preserve"> (Turner et al., 2015; Molinares, 2019)</w:t>
      </w:r>
      <w:r w:rsidRPr="00F546EC">
        <w:rPr>
          <w:rFonts w:eastAsia="Times New Roman"/>
          <w:color w:val="000000"/>
        </w:rPr>
        <w:t xml:space="preserve">. The result of changes in sediment supply and accommodation space can be correlated across the Oklahoman basins by identifying areas of restricted sediment influx (Turner </w:t>
      </w:r>
      <w:r w:rsidR="00835221">
        <w:rPr>
          <w:rFonts w:eastAsia="Times New Roman"/>
          <w:color w:val="000000"/>
        </w:rPr>
        <w:t xml:space="preserve">et al., </w:t>
      </w:r>
      <w:r w:rsidRPr="00F546EC">
        <w:rPr>
          <w:rFonts w:eastAsia="Times New Roman"/>
          <w:color w:val="000000"/>
        </w:rPr>
        <w:t xml:space="preserve">2015; Brito, 2019). </w:t>
      </w:r>
    </w:p>
    <w:p w14:paraId="7743C1DA" w14:textId="63AF9784" w:rsidR="003E4375" w:rsidRPr="00F546EC" w:rsidRDefault="003E4375" w:rsidP="00530D25">
      <w:pPr>
        <w:pStyle w:val="Heading2"/>
        <w:numPr>
          <w:ilvl w:val="1"/>
          <w:numId w:val="2"/>
        </w:numPr>
      </w:pPr>
      <w:bookmarkStart w:id="49" w:name="_Toc35861086"/>
      <w:r w:rsidRPr="00F546EC">
        <w:t>Sustainability of project and main objectives</w:t>
      </w:r>
      <w:bookmarkEnd w:id="47"/>
      <w:bookmarkEnd w:id="49"/>
    </w:p>
    <w:p w14:paraId="637D35C8" w14:textId="3B0D0344" w:rsidR="00501C20" w:rsidRPr="00F546EC" w:rsidRDefault="003E4375" w:rsidP="00981171">
      <w:pPr>
        <w:ind w:firstLine="360"/>
        <w:rPr>
          <w:rFonts w:eastAsia="Times New Roman"/>
          <w:color w:val="000000"/>
        </w:rPr>
      </w:pPr>
      <w:r w:rsidRPr="00F546EC">
        <w:rPr>
          <w:rFonts w:eastAsia="Times New Roman"/>
          <w:color w:val="000000"/>
        </w:rPr>
        <w:t xml:space="preserve">The scope of this project involves </w:t>
      </w:r>
      <w:r w:rsidR="000B5DC9" w:rsidRPr="00F546EC">
        <w:rPr>
          <w:rFonts w:eastAsia="Times New Roman"/>
          <w:color w:val="000000"/>
        </w:rPr>
        <w:t xml:space="preserve">the </w:t>
      </w:r>
      <w:r w:rsidR="002F23CA" w:rsidRPr="00F546EC">
        <w:rPr>
          <w:rFonts w:eastAsia="Times New Roman"/>
          <w:color w:val="000000"/>
        </w:rPr>
        <w:t>primary</w:t>
      </w:r>
      <w:r w:rsidRPr="00F546EC">
        <w:rPr>
          <w:rFonts w:eastAsia="Times New Roman"/>
          <w:color w:val="000000"/>
        </w:rPr>
        <w:t xml:space="preserve"> stage </w:t>
      </w:r>
      <w:r w:rsidR="002F23CA" w:rsidRPr="00F546EC">
        <w:rPr>
          <w:rFonts w:eastAsia="Times New Roman"/>
          <w:color w:val="000000"/>
        </w:rPr>
        <w:t xml:space="preserve">of </w:t>
      </w:r>
      <w:r w:rsidRPr="00F546EC">
        <w:rPr>
          <w:rFonts w:eastAsia="Times New Roman"/>
          <w:color w:val="000000"/>
        </w:rPr>
        <w:t xml:space="preserve">the characterization in the Woodford Shale (Oklahoma) for the identification of </w:t>
      </w:r>
      <w:r w:rsidR="002F23CA" w:rsidRPr="00F546EC">
        <w:rPr>
          <w:rFonts w:eastAsia="Times New Roman"/>
          <w:color w:val="000000"/>
        </w:rPr>
        <w:t>crucial</w:t>
      </w:r>
      <w:r w:rsidRPr="00F546EC">
        <w:rPr>
          <w:rFonts w:eastAsia="Times New Roman"/>
          <w:color w:val="000000"/>
        </w:rPr>
        <w:t xml:space="preserve"> geological, stratigraphical</w:t>
      </w:r>
      <w:r w:rsidR="00853BB1">
        <w:rPr>
          <w:rFonts w:eastAsia="Times New Roman"/>
          <w:color w:val="000000"/>
        </w:rPr>
        <w:t>,</w:t>
      </w:r>
      <w:r w:rsidRPr="00F546EC">
        <w:rPr>
          <w:rFonts w:eastAsia="Times New Roman"/>
          <w:color w:val="000000"/>
        </w:rPr>
        <w:t xml:space="preserve"> geochemical (organic and inorganic)</w:t>
      </w:r>
      <w:r w:rsidR="00853BB1">
        <w:rPr>
          <w:rFonts w:eastAsia="Times New Roman"/>
          <w:color w:val="000000"/>
        </w:rPr>
        <w:t>, and 3D seismic</w:t>
      </w:r>
      <w:r w:rsidRPr="00F546EC">
        <w:rPr>
          <w:rFonts w:eastAsia="Times New Roman"/>
          <w:color w:val="000000"/>
        </w:rPr>
        <w:t xml:space="preserve"> tools that support the assessment of the presence of </w:t>
      </w:r>
      <w:r w:rsidR="00391958">
        <w:rPr>
          <w:rFonts w:eastAsia="Times New Roman"/>
          <w:color w:val="000000"/>
        </w:rPr>
        <w:t xml:space="preserve">enclosed mini-basin </w:t>
      </w:r>
      <w:r w:rsidR="00A22E4E">
        <w:rPr>
          <w:rFonts w:eastAsia="Times New Roman"/>
          <w:color w:val="000000"/>
        </w:rPr>
        <w:t>fill</w:t>
      </w:r>
      <w:r w:rsidRPr="00F546EC">
        <w:rPr>
          <w:rFonts w:eastAsia="Times New Roman"/>
          <w:color w:val="000000"/>
        </w:rPr>
        <w:t xml:space="preserve"> within the </w:t>
      </w:r>
      <w:r w:rsidR="002F23CA" w:rsidRPr="00F546EC">
        <w:rPr>
          <w:rFonts w:eastAsia="Times New Roman"/>
          <w:color w:val="000000"/>
        </w:rPr>
        <w:t>marine depositional</w:t>
      </w:r>
      <w:r w:rsidRPr="00F546EC">
        <w:rPr>
          <w:rFonts w:eastAsia="Times New Roman"/>
          <w:color w:val="000000"/>
        </w:rPr>
        <w:t xml:space="preserve"> system</w:t>
      </w:r>
      <w:r w:rsidR="00D54418">
        <w:rPr>
          <w:rFonts w:eastAsia="Times New Roman"/>
          <w:color w:val="000000"/>
        </w:rPr>
        <w:t xml:space="preserve"> (Torres-Parada et al., 2017)</w:t>
      </w:r>
      <w:r w:rsidRPr="00F546EC">
        <w:rPr>
          <w:rFonts w:eastAsia="Times New Roman"/>
          <w:color w:val="000000"/>
        </w:rPr>
        <w:t xml:space="preserve">. The Woodford unconventional oil/gas marine shale is </w:t>
      </w:r>
      <w:r w:rsidR="009F4CA8">
        <w:rPr>
          <w:rFonts w:eastAsia="Times New Roman"/>
          <w:color w:val="000000"/>
        </w:rPr>
        <w:t xml:space="preserve">a mature shale play </w:t>
      </w:r>
      <w:r w:rsidRPr="00F546EC">
        <w:rPr>
          <w:rFonts w:eastAsia="Times New Roman"/>
          <w:color w:val="000000"/>
        </w:rPr>
        <w:t>under</w:t>
      </w:r>
      <w:r w:rsidR="009F4CA8">
        <w:rPr>
          <w:rFonts w:eastAsia="Times New Roman"/>
          <w:color w:val="000000"/>
        </w:rPr>
        <w:t xml:space="preserve"> active</w:t>
      </w:r>
      <w:r w:rsidRPr="00F546EC">
        <w:rPr>
          <w:rFonts w:eastAsia="Times New Roman"/>
          <w:color w:val="000000"/>
        </w:rPr>
        <w:t xml:space="preserve"> exploration and production </w:t>
      </w:r>
      <w:r w:rsidR="0091502E">
        <w:rPr>
          <w:rFonts w:eastAsia="Times New Roman"/>
          <w:color w:val="000000"/>
        </w:rPr>
        <w:t>and</w:t>
      </w:r>
      <w:r w:rsidRPr="00F546EC">
        <w:rPr>
          <w:rFonts w:eastAsia="Times New Roman"/>
          <w:color w:val="000000"/>
        </w:rPr>
        <w:t xml:space="preserve"> is known for its hydrocarbon source rock and reservoir rock </w:t>
      </w:r>
      <w:r w:rsidR="000316FD" w:rsidRPr="00F546EC">
        <w:rPr>
          <w:rFonts w:eastAsia="Times New Roman"/>
          <w:color w:val="000000"/>
        </w:rPr>
        <w:t>attributes</w:t>
      </w:r>
      <w:r w:rsidR="00D54418">
        <w:rPr>
          <w:rFonts w:eastAsia="Times New Roman"/>
          <w:color w:val="000000"/>
        </w:rPr>
        <w:t xml:space="preserve"> (</w:t>
      </w:r>
      <w:r w:rsidR="0040463D">
        <w:rPr>
          <w:rFonts w:eastAsia="Times New Roman"/>
          <w:color w:val="000000"/>
        </w:rPr>
        <w:t xml:space="preserve">Jarvie et al., 2007; </w:t>
      </w:r>
      <w:r w:rsidR="00D54418">
        <w:rPr>
          <w:rFonts w:eastAsia="Times New Roman"/>
          <w:color w:val="000000"/>
        </w:rPr>
        <w:t>Cardott, 2014)</w:t>
      </w:r>
      <w:r w:rsidR="0091502E">
        <w:rPr>
          <w:rFonts w:eastAsia="Times New Roman"/>
          <w:color w:val="000000"/>
        </w:rPr>
        <w:t xml:space="preserve">. However, </w:t>
      </w:r>
      <w:r w:rsidRPr="00F546EC">
        <w:rPr>
          <w:rFonts w:eastAsia="Times New Roman"/>
          <w:color w:val="000000"/>
        </w:rPr>
        <w:t xml:space="preserve">its </w:t>
      </w:r>
      <w:r w:rsidR="00391958">
        <w:rPr>
          <w:rFonts w:eastAsia="Times New Roman"/>
          <w:color w:val="000000"/>
        </w:rPr>
        <w:t xml:space="preserve">enclosed mini-basin </w:t>
      </w:r>
      <w:r w:rsidR="00A22E4E">
        <w:rPr>
          <w:rFonts w:eastAsia="Times New Roman"/>
          <w:color w:val="000000"/>
        </w:rPr>
        <w:t>fill</w:t>
      </w:r>
      <w:r w:rsidR="00391958" w:rsidRPr="00F546EC">
        <w:rPr>
          <w:rFonts w:eastAsia="Times New Roman"/>
          <w:color w:val="000000"/>
        </w:rPr>
        <w:t xml:space="preserve"> </w:t>
      </w:r>
      <w:r w:rsidRPr="00F546EC">
        <w:rPr>
          <w:rFonts w:eastAsia="Times New Roman"/>
          <w:color w:val="000000"/>
        </w:rPr>
        <w:t xml:space="preserve">intervals have not been studied </w:t>
      </w:r>
      <w:r w:rsidR="000B69F9">
        <w:rPr>
          <w:rFonts w:eastAsia="Times New Roman"/>
          <w:color w:val="000000"/>
        </w:rPr>
        <w:t>in detail</w:t>
      </w:r>
      <w:r w:rsidRPr="00F546EC">
        <w:rPr>
          <w:rFonts w:eastAsia="Times New Roman"/>
          <w:color w:val="000000"/>
        </w:rPr>
        <w:t xml:space="preserve"> </w:t>
      </w:r>
      <w:r w:rsidR="00B53973">
        <w:rPr>
          <w:rFonts w:eastAsia="Times New Roman"/>
          <w:color w:val="000000"/>
        </w:rPr>
        <w:t>in</w:t>
      </w:r>
      <w:r w:rsidRPr="00F546EC">
        <w:rPr>
          <w:rFonts w:eastAsia="Times New Roman"/>
          <w:color w:val="000000"/>
        </w:rPr>
        <w:t xml:space="preserve"> the depositional models</w:t>
      </w:r>
      <w:r w:rsidR="00D54418">
        <w:rPr>
          <w:rFonts w:eastAsia="Times New Roman"/>
          <w:color w:val="000000"/>
        </w:rPr>
        <w:t xml:space="preserve"> (Slatt, 2016)</w:t>
      </w:r>
      <w:r w:rsidRPr="00F546EC">
        <w:rPr>
          <w:rFonts w:eastAsia="Times New Roman"/>
          <w:color w:val="000000"/>
        </w:rPr>
        <w:t>. This study relies on outcrop and subsurface core samples to establish the high-resolution sedimentology, stratigraphy, and geochemistry of the Woodford</w:t>
      </w:r>
      <w:r w:rsidR="00A6106A" w:rsidRPr="00F546EC">
        <w:rPr>
          <w:rFonts w:eastAsia="Times New Roman"/>
          <w:color w:val="000000"/>
        </w:rPr>
        <w:t xml:space="preserve"> </w:t>
      </w:r>
      <w:r w:rsidR="00835221">
        <w:rPr>
          <w:rFonts w:eastAsia="Times New Roman"/>
          <w:color w:val="000000"/>
        </w:rPr>
        <w:t>S</w:t>
      </w:r>
      <w:r w:rsidR="00A6106A" w:rsidRPr="00F546EC">
        <w:rPr>
          <w:rFonts w:eastAsia="Times New Roman"/>
          <w:color w:val="000000"/>
        </w:rPr>
        <w:t xml:space="preserve">hale in different Oklahoma </w:t>
      </w:r>
      <w:r w:rsidR="009F4CA8">
        <w:rPr>
          <w:rFonts w:eastAsia="Times New Roman"/>
          <w:color w:val="000000"/>
        </w:rPr>
        <w:t>p</w:t>
      </w:r>
      <w:r w:rsidR="00A6106A" w:rsidRPr="00F546EC">
        <w:rPr>
          <w:rFonts w:eastAsia="Times New Roman"/>
          <w:color w:val="000000"/>
        </w:rPr>
        <w:t xml:space="preserve">etroleum </w:t>
      </w:r>
      <w:r w:rsidR="009F4CA8">
        <w:rPr>
          <w:rFonts w:eastAsia="Times New Roman"/>
          <w:color w:val="000000"/>
        </w:rPr>
        <w:t>p</w:t>
      </w:r>
      <w:r w:rsidR="00A6106A" w:rsidRPr="00F546EC">
        <w:rPr>
          <w:rFonts w:eastAsia="Times New Roman"/>
          <w:color w:val="000000"/>
        </w:rPr>
        <w:t>rovinces</w:t>
      </w:r>
      <w:r w:rsidRPr="00F546EC">
        <w:rPr>
          <w:rFonts w:eastAsia="Times New Roman"/>
          <w:color w:val="000000"/>
        </w:rPr>
        <w:t xml:space="preserve">. </w:t>
      </w:r>
    </w:p>
    <w:p w14:paraId="4108A9F8" w14:textId="0D9B707B" w:rsidR="00C14C00" w:rsidRDefault="00DE308C" w:rsidP="000C0A7B">
      <w:pPr>
        <w:ind w:firstLine="360"/>
      </w:pPr>
      <w:r w:rsidRPr="00F546EC">
        <w:t xml:space="preserve">Because of accumulated knowledge of the </w:t>
      </w:r>
      <w:r w:rsidR="00853BB1">
        <w:t>L</w:t>
      </w:r>
      <w:r w:rsidRPr="00F546EC">
        <w:t>ate Devonian-</w:t>
      </w:r>
      <w:r w:rsidR="00853BB1">
        <w:t>E</w:t>
      </w:r>
      <w:r w:rsidRPr="00F546EC">
        <w:t xml:space="preserve">arly Mississippian Woodford Shale in Oklahoma, it will be used as the </w:t>
      </w:r>
      <w:r w:rsidR="002F23CA" w:rsidRPr="00F546EC">
        <w:t>first</w:t>
      </w:r>
      <w:r w:rsidRPr="00F546EC">
        <w:t xml:space="preserve"> test for the presence/absence of restricted, </w:t>
      </w:r>
      <w:r w:rsidR="000B69F9">
        <w:rPr>
          <w:rFonts w:eastAsia="Times New Roman"/>
          <w:color w:val="000000"/>
        </w:rPr>
        <w:t xml:space="preserve">enclosed mini-basin </w:t>
      </w:r>
      <w:r w:rsidR="00A22E4E">
        <w:rPr>
          <w:rFonts w:eastAsia="Times New Roman"/>
          <w:color w:val="000000"/>
        </w:rPr>
        <w:t>fill</w:t>
      </w:r>
      <w:r w:rsidRPr="00F546EC">
        <w:t xml:space="preserve">. </w:t>
      </w:r>
      <w:r w:rsidR="00853BB1">
        <w:t>The Woodford Shale</w:t>
      </w:r>
      <w:r w:rsidRPr="00F546EC">
        <w:t xml:space="preserve"> is comprised of three member</w:t>
      </w:r>
      <w:r w:rsidR="00853BB1">
        <w:t xml:space="preserve">s: </w:t>
      </w:r>
      <w:r w:rsidR="00460281" w:rsidRPr="00F546EC">
        <w:t>The</w:t>
      </w:r>
      <w:r w:rsidRPr="00F546EC">
        <w:t xml:space="preserve"> </w:t>
      </w:r>
      <w:r w:rsidR="00853BB1">
        <w:t>L</w:t>
      </w:r>
      <w:r w:rsidRPr="00F546EC">
        <w:t xml:space="preserve">ower Woodford black shale which unconformably overlies the Hunton </w:t>
      </w:r>
      <w:r w:rsidR="003C6257">
        <w:t>G</w:t>
      </w:r>
      <w:r w:rsidRPr="00F546EC">
        <w:t>roup carbonates with considerable topographic relief (Infante</w:t>
      </w:r>
      <w:r w:rsidR="00FF23DE">
        <w:t>-Paez</w:t>
      </w:r>
      <w:r w:rsidRPr="00F546EC">
        <w:t xml:space="preserve"> et al., </w:t>
      </w:r>
      <w:r w:rsidR="00145982" w:rsidRPr="00F546EC">
        <w:t>2017; Milad, 2019</w:t>
      </w:r>
      <w:r w:rsidRPr="00F546EC">
        <w:t xml:space="preserve">), the </w:t>
      </w:r>
      <w:r w:rsidR="00853BB1">
        <w:t>M</w:t>
      </w:r>
      <w:r w:rsidRPr="00F546EC">
        <w:t xml:space="preserve">iddle Woodford organic-rich, black, pyritic shale, and the more quartzose-phosphatic </w:t>
      </w:r>
      <w:r w:rsidR="00F216D5">
        <w:t>U</w:t>
      </w:r>
      <w:r w:rsidRPr="00F546EC">
        <w:t>pper Woodford (Fig</w:t>
      </w:r>
      <w:r w:rsidR="00D7276F" w:rsidRPr="00F546EC">
        <w:t>ure</w:t>
      </w:r>
      <w:r w:rsidRPr="00F546EC">
        <w:t xml:space="preserve"> </w:t>
      </w:r>
      <w:r w:rsidR="00F640AA" w:rsidRPr="00F546EC">
        <w:t>1.</w:t>
      </w:r>
      <w:r w:rsidR="002E7C22" w:rsidRPr="00F546EC">
        <w:t>9</w:t>
      </w:r>
      <w:r w:rsidRPr="00F546EC">
        <w:t xml:space="preserve">). </w:t>
      </w:r>
      <w:r w:rsidR="000C0A7B">
        <w:t xml:space="preserve"> </w:t>
      </w:r>
    </w:p>
    <w:p w14:paraId="7D70B6F0" w14:textId="1465C95D" w:rsidR="003E4375" w:rsidRPr="00F546EC" w:rsidRDefault="00FC5A99" w:rsidP="00981171">
      <w:pPr>
        <w:ind w:firstLine="720"/>
        <w:rPr>
          <w:rFonts w:eastAsia="Times New Roman"/>
          <w:color w:val="000000"/>
        </w:rPr>
      </w:pPr>
      <w:r w:rsidRPr="00F546EC">
        <w:lastRenderedPageBreak/>
        <w:t xml:space="preserve">The </w:t>
      </w:r>
      <w:r w:rsidR="00DE308C" w:rsidRPr="00F546EC">
        <w:t>Woodford strata tend to be thicker and more organic</w:t>
      </w:r>
      <w:r w:rsidR="004C7B1C" w:rsidRPr="00F546EC">
        <w:t>-</w:t>
      </w:r>
      <w:r w:rsidR="00DE308C" w:rsidRPr="00F546EC">
        <w:t>rich in paleo</w:t>
      </w:r>
      <w:r w:rsidR="00922205" w:rsidRPr="00F546EC">
        <w:t>-</w:t>
      </w:r>
      <w:r w:rsidR="00DE308C" w:rsidRPr="00F546EC">
        <w:t>topographic lows upon the Hunton unconformity (Infante</w:t>
      </w:r>
      <w:r w:rsidR="00C31596" w:rsidRPr="00F546EC">
        <w:t>-Paez</w:t>
      </w:r>
      <w:r w:rsidR="00DE308C" w:rsidRPr="00F546EC">
        <w:t xml:space="preserve"> et al., </w:t>
      </w:r>
      <w:r w:rsidR="00AC6DB5" w:rsidRPr="00F546EC">
        <w:t>2017</w:t>
      </w:r>
      <w:r w:rsidRPr="00F546EC">
        <w:t xml:space="preserve">; </w:t>
      </w:r>
      <w:r w:rsidR="000C634B" w:rsidRPr="00F546EC">
        <w:t>Torres</w:t>
      </w:r>
      <w:r w:rsidR="009075CD">
        <w:t>-Parada</w:t>
      </w:r>
      <w:r w:rsidR="000C634B" w:rsidRPr="00F546EC">
        <w:t xml:space="preserve"> et al., 2017; </w:t>
      </w:r>
      <w:r w:rsidRPr="00F546EC">
        <w:t>Milad, 2019</w:t>
      </w:r>
      <w:r w:rsidR="00DE308C" w:rsidRPr="00F546EC">
        <w:rPr>
          <w:rFonts w:ascii="Arial" w:hAnsi="Arial" w:cs="Arial"/>
        </w:rPr>
        <w:t>).</w:t>
      </w:r>
      <w:r w:rsidR="00981171">
        <w:rPr>
          <w:rFonts w:ascii="Arial" w:hAnsi="Arial" w:cs="Arial"/>
        </w:rPr>
        <w:t xml:space="preserve"> </w:t>
      </w:r>
      <w:r w:rsidR="003E4375" w:rsidRPr="00F546EC">
        <w:rPr>
          <w:rFonts w:eastAsia="Times New Roman"/>
          <w:color w:val="000000"/>
        </w:rPr>
        <w:t>The</w:t>
      </w:r>
      <w:r w:rsidR="005618FA" w:rsidRPr="00F546EC">
        <w:rPr>
          <w:rFonts w:eastAsia="Times New Roman"/>
          <w:color w:val="000000"/>
        </w:rPr>
        <w:t xml:space="preserve"> inorganic geochemistry data</w:t>
      </w:r>
      <w:r w:rsidR="00733B16" w:rsidRPr="00F546EC">
        <w:rPr>
          <w:rFonts w:eastAsia="Times New Roman"/>
          <w:color w:val="000000"/>
        </w:rPr>
        <w:t xml:space="preserve"> coupled with Rock-Eval </w:t>
      </w:r>
      <w:r w:rsidR="007F0346">
        <w:rPr>
          <w:rFonts w:eastAsia="Times New Roman"/>
          <w:color w:val="000000"/>
        </w:rPr>
        <w:t>p</w:t>
      </w:r>
      <w:r w:rsidR="00733B16" w:rsidRPr="00F546EC">
        <w:rPr>
          <w:rFonts w:eastAsia="Times New Roman"/>
          <w:color w:val="000000"/>
        </w:rPr>
        <w:t>yrolysis data</w:t>
      </w:r>
      <w:r w:rsidR="005618FA" w:rsidRPr="00F546EC">
        <w:rPr>
          <w:rFonts w:eastAsia="Times New Roman"/>
          <w:color w:val="000000"/>
        </w:rPr>
        <w:t xml:space="preserve"> that served for</w:t>
      </w:r>
      <w:r w:rsidR="003E4375" w:rsidRPr="00F546EC">
        <w:rPr>
          <w:rFonts w:eastAsia="Times New Roman"/>
          <w:color w:val="000000"/>
        </w:rPr>
        <w:t xml:space="preserve"> pre-selection of the</w:t>
      </w:r>
      <w:r w:rsidR="005618FA" w:rsidRPr="00F546EC">
        <w:rPr>
          <w:rFonts w:eastAsia="Times New Roman"/>
          <w:color w:val="000000"/>
        </w:rPr>
        <w:t xml:space="preserve"> possible </w:t>
      </w:r>
      <w:r w:rsidR="00804F72">
        <w:rPr>
          <w:rFonts w:eastAsia="Times New Roman"/>
          <w:color w:val="000000"/>
        </w:rPr>
        <w:t xml:space="preserve">enclosed mini-basin </w:t>
      </w:r>
      <w:r w:rsidR="00A22E4E">
        <w:rPr>
          <w:rFonts w:eastAsia="Times New Roman"/>
          <w:color w:val="000000"/>
        </w:rPr>
        <w:t>fill</w:t>
      </w:r>
      <w:r w:rsidR="003E4375" w:rsidRPr="00F546EC">
        <w:rPr>
          <w:rFonts w:eastAsia="Times New Roman"/>
          <w:color w:val="000000"/>
        </w:rPr>
        <w:t xml:space="preserve"> rock intervals are based on the screening for anoxic restricted redox conditions: the initial measurements of high </w:t>
      </w:r>
      <w:r w:rsidR="007F0346">
        <w:rPr>
          <w:rFonts w:eastAsia="Times New Roman"/>
          <w:color w:val="000000"/>
        </w:rPr>
        <w:t>h</w:t>
      </w:r>
      <w:r w:rsidR="003E4375" w:rsidRPr="00F546EC">
        <w:rPr>
          <w:rFonts w:eastAsia="Times New Roman"/>
          <w:color w:val="000000"/>
        </w:rPr>
        <w:t xml:space="preserve">ydrogen </w:t>
      </w:r>
      <w:r w:rsidR="007F0346">
        <w:rPr>
          <w:rFonts w:eastAsia="Times New Roman"/>
          <w:color w:val="000000"/>
        </w:rPr>
        <w:t>i</w:t>
      </w:r>
      <w:r w:rsidR="003E4375" w:rsidRPr="00F546EC">
        <w:rPr>
          <w:rFonts w:eastAsia="Times New Roman"/>
          <w:color w:val="000000"/>
        </w:rPr>
        <w:t xml:space="preserve">ndices (HI) and very low </w:t>
      </w:r>
      <w:r w:rsidR="007F0346">
        <w:rPr>
          <w:rFonts w:eastAsia="Times New Roman"/>
          <w:color w:val="000000"/>
        </w:rPr>
        <w:t>o</w:t>
      </w:r>
      <w:r w:rsidR="003E4375" w:rsidRPr="00F546EC">
        <w:rPr>
          <w:rFonts w:eastAsia="Times New Roman"/>
          <w:color w:val="000000"/>
        </w:rPr>
        <w:t xml:space="preserve">xygen </w:t>
      </w:r>
      <w:r w:rsidR="007F0346">
        <w:rPr>
          <w:rFonts w:eastAsia="Times New Roman"/>
          <w:color w:val="000000"/>
        </w:rPr>
        <w:t>i</w:t>
      </w:r>
      <w:r w:rsidR="003E4375" w:rsidRPr="00F546EC">
        <w:rPr>
          <w:rFonts w:eastAsia="Times New Roman"/>
          <w:color w:val="000000"/>
        </w:rPr>
        <w:t xml:space="preserve">ndices (OI) under low maturity conditions, related to high </w:t>
      </w:r>
      <w:r w:rsidR="007F0346">
        <w:rPr>
          <w:rFonts w:eastAsia="Times New Roman"/>
          <w:color w:val="000000"/>
        </w:rPr>
        <w:t>m</w:t>
      </w:r>
      <w:r w:rsidR="003E4375" w:rsidRPr="00F546EC">
        <w:rPr>
          <w:rFonts w:eastAsia="Times New Roman"/>
          <w:color w:val="000000"/>
        </w:rPr>
        <w:t xml:space="preserve">olybdenum (Mo) and </w:t>
      </w:r>
      <w:r w:rsidR="007F0346">
        <w:rPr>
          <w:rFonts w:eastAsia="Times New Roman"/>
          <w:color w:val="000000"/>
        </w:rPr>
        <w:t>v</w:t>
      </w:r>
      <w:r w:rsidR="003E4375" w:rsidRPr="00F546EC">
        <w:rPr>
          <w:rFonts w:eastAsia="Times New Roman"/>
          <w:color w:val="000000"/>
        </w:rPr>
        <w:t xml:space="preserve">anadium (V) content (element analysis are independent to the maturity levels), </w:t>
      </w:r>
      <w:r w:rsidR="007F0346">
        <w:rPr>
          <w:rFonts w:eastAsia="Times New Roman"/>
          <w:color w:val="000000"/>
        </w:rPr>
        <w:t>are</w:t>
      </w:r>
      <w:r w:rsidR="00AA3C20">
        <w:rPr>
          <w:rFonts w:eastAsia="Times New Roman"/>
          <w:color w:val="000000"/>
        </w:rPr>
        <w:t xml:space="preserve"> used to </w:t>
      </w:r>
      <w:r w:rsidR="003E4375" w:rsidRPr="00F546EC">
        <w:rPr>
          <w:rFonts w:eastAsia="Times New Roman"/>
          <w:color w:val="000000"/>
        </w:rPr>
        <w:t xml:space="preserve">identify initial suspects of </w:t>
      </w:r>
      <w:r w:rsidR="00A15247" w:rsidRPr="00F546EC">
        <w:rPr>
          <w:rFonts w:eastAsia="Times New Roman"/>
          <w:color w:val="000000"/>
        </w:rPr>
        <w:t xml:space="preserve">salt-water </w:t>
      </w:r>
      <w:r w:rsidR="003E4375" w:rsidRPr="00F546EC">
        <w:rPr>
          <w:rFonts w:eastAsia="Times New Roman"/>
          <w:color w:val="000000"/>
        </w:rPr>
        <w:t xml:space="preserve">lacustrine deposits. </w:t>
      </w:r>
    </w:p>
    <w:p w14:paraId="67CBC474" w14:textId="3B46FCFB" w:rsidR="003E7F61" w:rsidRPr="00F546EC" w:rsidRDefault="003E4375" w:rsidP="00981171">
      <w:pPr>
        <w:ind w:firstLine="720"/>
        <w:rPr>
          <w:rFonts w:eastAsia="Times New Roman"/>
          <w:color w:val="000000"/>
        </w:rPr>
      </w:pPr>
      <w:r w:rsidRPr="00F546EC">
        <w:rPr>
          <w:rFonts w:eastAsia="Times New Roman"/>
          <w:color w:val="000000"/>
        </w:rPr>
        <w:t xml:space="preserve">The </w:t>
      </w:r>
      <w:r w:rsidR="00CE225D" w:rsidRPr="00F546EC">
        <w:rPr>
          <w:rFonts w:eastAsia="Times New Roman"/>
          <w:color w:val="000000"/>
        </w:rPr>
        <w:t xml:space="preserve">laboratory </w:t>
      </w:r>
      <w:r w:rsidRPr="00F546EC">
        <w:rPr>
          <w:rFonts w:eastAsia="Times New Roman"/>
          <w:color w:val="000000"/>
        </w:rPr>
        <w:t>work phase consist</w:t>
      </w:r>
      <w:r w:rsidR="007F0346">
        <w:rPr>
          <w:rFonts w:eastAsia="Times New Roman"/>
          <w:color w:val="000000"/>
        </w:rPr>
        <w:t>ed</w:t>
      </w:r>
      <w:r w:rsidRPr="00F546EC">
        <w:rPr>
          <w:rFonts w:eastAsia="Times New Roman"/>
          <w:color w:val="000000"/>
        </w:rPr>
        <w:t xml:space="preserve"> of</w:t>
      </w:r>
      <w:r w:rsidR="007D0F74" w:rsidRPr="00F546EC">
        <w:rPr>
          <w:rFonts w:eastAsia="Times New Roman"/>
          <w:color w:val="000000"/>
        </w:rPr>
        <w:t xml:space="preserve"> selecting</w:t>
      </w:r>
      <w:r w:rsidRPr="00F546EC">
        <w:rPr>
          <w:rFonts w:eastAsia="Times New Roman"/>
          <w:color w:val="000000"/>
        </w:rPr>
        <w:t xml:space="preserve"> rock samples </w:t>
      </w:r>
      <w:r w:rsidR="004F14FD" w:rsidRPr="00F546EC">
        <w:rPr>
          <w:rFonts w:eastAsia="Times New Roman"/>
          <w:color w:val="000000"/>
        </w:rPr>
        <w:t>on a</w:t>
      </w:r>
      <w:r w:rsidR="00982218" w:rsidRPr="00F546EC">
        <w:rPr>
          <w:rFonts w:eastAsia="Times New Roman"/>
          <w:color w:val="000000"/>
        </w:rPr>
        <w:t>n</w:t>
      </w:r>
      <w:r w:rsidR="004F14FD" w:rsidRPr="00F546EC">
        <w:rPr>
          <w:rFonts w:eastAsia="Times New Roman"/>
          <w:color w:val="000000"/>
        </w:rPr>
        <w:t xml:space="preserve"> </w:t>
      </w:r>
      <w:r w:rsidR="00FB12E5" w:rsidRPr="00F546EC">
        <w:rPr>
          <w:rFonts w:eastAsia="Times New Roman"/>
          <w:color w:val="000000"/>
        </w:rPr>
        <w:t>immature (</w:t>
      </w:r>
      <w:r w:rsidR="00982218" w:rsidRPr="00F546EC">
        <w:rPr>
          <w:rFonts w:eastAsia="Times New Roman"/>
          <w:color w:val="000000"/>
        </w:rPr>
        <w:t>0</w:t>
      </w:r>
      <w:r w:rsidR="00FB12E5" w:rsidRPr="00F546EC">
        <w:rPr>
          <w:rFonts w:eastAsia="Times New Roman"/>
          <w:color w:val="000000"/>
        </w:rPr>
        <w:t>.56 Ro%</w:t>
      </w:r>
      <w:r w:rsidR="00982218" w:rsidRPr="00F546EC">
        <w:rPr>
          <w:rFonts w:eastAsia="Times New Roman"/>
          <w:color w:val="000000"/>
        </w:rPr>
        <w:t>)</w:t>
      </w:r>
      <w:r w:rsidR="00FB12E5" w:rsidRPr="00F546EC">
        <w:rPr>
          <w:rFonts w:eastAsia="Times New Roman"/>
          <w:color w:val="000000"/>
        </w:rPr>
        <w:t xml:space="preserve"> and </w:t>
      </w:r>
      <w:r w:rsidR="004F14FD" w:rsidRPr="00F546EC">
        <w:rPr>
          <w:rFonts w:eastAsia="Times New Roman"/>
          <w:color w:val="000000"/>
        </w:rPr>
        <w:t xml:space="preserve">complete </w:t>
      </w:r>
      <w:r w:rsidR="00EE11FE" w:rsidRPr="00F546EC">
        <w:rPr>
          <w:rFonts w:eastAsia="Times New Roman"/>
          <w:color w:val="000000"/>
        </w:rPr>
        <w:t>&gt;</w:t>
      </w:r>
      <w:r w:rsidR="004F14FD" w:rsidRPr="00F546EC">
        <w:rPr>
          <w:rFonts w:eastAsia="Times New Roman"/>
          <w:color w:val="000000"/>
        </w:rPr>
        <w:t>3</w:t>
      </w:r>
      <w:r w:rsidR="00613693" w:rsidRPr="00F546EC">
        <w:rPr>
          <w:rFonts w:eastAsia="Times New Roman"/>
          <w:color w:val="000000"/>
        </w:rPr>
        <w:t>1</w:t>
      </w:r>
      <w:r w:rsidR="00D60951">
        <w:rPr>
          <w:rFonts w:eastAsia="Times New Roman"/>
          <w:color w:val="000000"/>
        </w:rPr>
        <w:t>4</w:t>
      </w:r>
      <w:r w:rsidR="004F14FD" w:rsidRPr="00F546EC">
        <w:rPr>
          <w:rFonts w:eastAsia="Times New Roman"/>
          <w:color w:val="000000"/>
        </w:rPr>
        <w:t xml:space="preserve"> ft stratigrap</w:t>
      </w:r>
      <w:r w:rsidR="00EE11FE" w:rsidRPr="00F546EC">
        <w:rPr>
          <w:rFonts w:eastAsia="Times New Roman"/>
          <w:color w:val="000000"/>
        </w:rPr>
        <w:t>h</w:t>
      </w:r>
      <w:r w:rsidR="004F14FD" w:rsidRPr="00F546EC">
        <w:rPr>
          <w:rFonts w:eastAsia="Times New Roman"/>
          <w:color w:val="000000"/>
        </w:rPr>
        <w:t>ic section of The Woodford Shale</w:t>
      </w:r>
      <w:r w:rsidR="007F0346">
        <w:rPr>
          <w:rFonts w:eastAsia="Times New Roman"/>
          <w:color w:val="000000"/>
        </w:rPr>
        <w:t>:</w:t>
      </w:r>
      <w:r w:rsidR="004F14FD" w:rsidRPr="00F546EC">
        <w:rPr>
          <w:rFonts w:eastAsia="Times New Roman"/>
          <w:color w:val="000000"/>
        </w:rPr>
        <w:t xml:space="preserve"> </w:t>
      </w:r>
      <w:r w:rsidR="004F14FD" w:rsidRPr="00100E4C">
        <w:rPr>
          <w:rFonts w:eastAsia="Times New Roman"/>
          <w:color w:val="000000"/>
        </w:rPr>
        <w:t>The Speake Ranch outcrop</w:t>
      </w:r>
      <w:r w:rsidR="004F14FD" w:rsidRPr="00F546EC">
        <w:rPr>
          <w:rFonts w:eastAsia="Times New Roman"/>
          <w:i/>
          <w:iCs/>
          <w:color w:val="000000"/>
        </w:rPr>
        <w:t xml:space="preserve"> </w:t>
      </w:r>
      <w:r w:rsidR="00EE11FE" w:rsidRPr="00F546EC">
        <w:rPr>
          <w:rFonts w:eastAsia="Times New Roman"/>
          <w:color w:val="000000"/>
        </w:rPr>
        <w:t>(</w:t>
      </w:r>
      <w:r w:rsidR="004F14FD" w:rsidRPr="00F546EC">
        <w:rPr>
          <w:rFonts w:eastAsia="Times New Roman"/>
          <w:color w:val="000000"/>
        </w:rPr>
        <w:t xml:space="preserve">Chapter </w:t>
      </w:r>
      <w:r w:rsidR="007F0346">
        <w:rPr>
          <w:rFonts w:eastAsia="Times New Roman"/>
          <w:color w:val="000000"/>
        </w:rPr>
        <w:t>III</w:t>
      </w:r>
      <w:r w:rsidR="004F14FD" w:rsidRPr="00F546EC">
        <w:rPr>
          <w:rFonts w:eastAsia="Times New Roman"/>
          <w:color w:val="000000"/>
        </w:rPr>
        <w:t>)</w:t>
      </w:r>
      <w:r w:rsidR="00EE11FE" w:rsidRPr="00F546EC">
        <w:rPr>
          <w:rFonts w:eastAsia="Times New Roman"/>
          <w:color w:val="000000"/>
        </w:rPr>
        <w:t xml:space="preserve">. This outcrop was </w:t>
      </w:r>
      <w:r w:rsidR="00E56263" w:rsidRPr="00F546EC">
        <w:rPr>
          <w:rFonts w:eastAsia="Times New Roman"/>
          <w:color w:val="000000"/>
        </w:rPr>
        <w:t>selected because it reflect</w:t>
      </w:r>
      <w:r w:rsidR="006004BB" w:rsidRPr="00F546EC">
        <w:rPr>
          <w:rFonts w:eastAsia="Times New Roman"/>
          <w:color w:val="000000"/>
        </w:rPr>
        <w:t>ed</w:t>
      </w:r>
      <w:r w:rsidR="00E56263" w:rsidRPr="00F546EC">
        <w:rPr>
          <w:rFonts w:eastAsia="Times New Roman"/>
          <w:color w:val="000000"/>
        </w:rPr>
        <w:t xml:space="preserve"> the complete stratigraphic properties of the formation and was </w:t>
      </w:r>
      <w:r w:rsidR="00EE11FE" w:rsidRPr="00F546EC">
        <w:rPr>
          <w:rFonts w:eastAsia="Times New Roman"/>
          <w:color w:val="000000"/>
        </w:rPr>
        <w:t>discovered</w:t>
      </w:r>
      <w:r w:rsidR="003B6945" w:rsidRPr="00F546EC">
        <w:rPr>
          <w:rFonts w:eastAsia="Times New Roman"/>
          <w:color w:val="000000"/>
        </w:rPr>
        <w:t>, described</w:t>
      </w:r>
      <w:r w:rsidR="00952A7A" w:rsidRPr="00F546EC">
        <w:rPr>
          <w:rFonts w:eastAsia="Times New Roman"/>
          <w:color w:val="000000"/>
        </w:rPr>
        <w:t>,</w:t>
      </w:r>
      <w:r w:rsidR="00EE11FE" w:rsidRPr="00F546EC">
        <w:rPr>
          <w:rFonts w:eastAsia="Times New Roman"/>
          <w:color w:val="000000"/>
        </w:rPr>
        <w:t xml:space="preserve"> and analyzed by </w:t>
      </w:r>
      <w:r w:rsidR="003B6945" w:rsidRPr="00F546EC">
        <w:rPr>
          <w:rFonts w:eastAsia="Times New Roman"/>
          <w:color w:val="000000"/>
        </w:rPr>
        <w:t>Becerra-</w:t>
      </w:r>
      <w:r w:rsidR="00D65250" w:rsidRPr="00F546EC">
        <w:rPr>
          <w:rFonts w:eastAsia="Times New Roman"/>
          <w:color w:val="000000"/>
        </w:rPr>
        <w:t>Rondon</w:t>
      </w:r>
      <w:r w:rsidR="003B6945" w:rsidRPr="00F546EC">
        <w:rPr>
          <w:rFonts w:eastAsia="Times New Roman"/>
          <w:color w:val="000000"/>
        </w:rPr>
        <w:t xml:space="preserve"> (2017)</w:t>
      </w:r>
      <w:r w:rsidR="00B53973">
        <w:rPr>
          <w:rFonts w:eastAsia="Times New Roman"/>
          <w:color w:val="000000"/>
        </w:rPr>
        <w:t>,</w:t>
      </w:r>
      <w:r w:rsidR="003B6945" w:rsidRPr="00F546EC">
        <w:rPr>
          <w:rFonts w:eastAsia="Times New Roman"/>
          <w:color w:val="000000"/>
        </w:rPr>
        <w:t xml:space="preserve"> </w:t>
      </w:r>
      <w:r w:rsidR="00EE11FE" w:rsidRPr="00F546EC">
        <w:rPr>
          <w:rFonts w:eastAsia="Times New Roman"/>
          <w:color w:val="000000"/>
        </w:rPr>
        <w:t>Galvis (2017) and Galvis et al. (201</w:t>
      </w:r>
      <w:r w:rsidR="007F0346">
        <w:rPr>
          <w:rFonts w:eastAsia="Times New Roman"/>
          <w:color w:val="000000"/>
        </w:rPr>
        <w:t>7</w:t>
      </w:r>
      <w:r w:rsidR="00EE11FE" w:rsidRPr="00F546EC">
        <w:rPr>
          <w:rFonts w:eastAsia="Times New Roman"/>
          <w:color w:val="000000"/>
        </w:rPr>
        <w:t>)</w:t>
      </w:r>
      <w:r w:rsidR="00E56263" w:rsidRPr="00F546EC">
        <w:rPr>
          <w:rFonts w:eastAsia="Times New Roman"/>
          <w:color w:val="000000"/>
        </w:rPr>
        <w:t>. In</w:t>
      </w:r>
      <w:r w:rsidR="00EE11FE" w:rsidRPr="00F546EC">
        <w:rPr>
          <w:rFonts w:eastAsia="Times New Roman"/>
          <w:color w:val="000000"/>
        </w:rPr>
        <w:t xml:space="preserve"> this study, the</w:t>
      </w:r>
      <w:r w:rsidR="00EE11FE" w:rsidRPr="003C6257">
        <w:rPr>
          <w:rFonts w:eastAsia="Times New Roman"/>
          <w:color w:val="000000"/>
        </w:rPr>
        <w:t xml:space="preserve"> </w:t>
      </w:r>
      <w:r w:rsidR="00E56263" w:rsidRPr="003C6257">
        <w:rPr>
          <w:rFonts w:eastAsia="Times New Roman"/>
          <w:color w:val="000000"/>
        </w:rPr>
        <w:t xml:space="preserve">Speake Ranch </w:t>
      </w:r>
      <w:r w:rsidR="00EE11FE" w:rsidRPr="00F546EC">
        <w:rPr>
          <w:rFonts w:eastAsia="Times New Roman"/>
          <w:color w:val="000000"/>
        </w:rPr>
        <w:t xml:space="preserve">section is </w:t>
      </w:r>
      <w:r w:rsidR="004014AB" w:rsidRPr="00F546EC">
        <w:rPr>
          <w:rFonts w:eastAsia="Times New Roman"/>
          <w:color w:val="000000"/>
        </w:rPr>
        <w:t>integrate</w:t>
      </w:r>
      <w:r w:rsidR="00EE11FE" w:rsidRPr="00F546EC">
        <w:rPr>
          <w:rFonts w:eastAsia="Times New Roman"/>
          <w:color w:val="000000"/>
        </w:rPr>
        <w:t xml:space="preserve">d and complemented with </w:t>
      </w:r>
      <w:r w:rsidR="00DF6234">
        <w:rPr>
          <w:rFonts w:eastAsia="Times New Roman"/>
          <w:color w:val="000000"/>
        </w:rPr>
        <w:t xml:space="preserve">the </w:t>
      </w:r>
      <w:r w:rsidR="00EE11FE" w:rsidRPr="00F546EC">
        <w:rPr>
          <w:rFonts w:eastAsia="Times New Roman"/>
          <w:color w:val="000000"/>
        </w:rPr>
        <w:t>additional</w:t>
      </w:r>
      <w:r w:rsidR="00BB2879" w:rsidRPr="00F546EC">
        <w:rPr>
          <w:rFonts w:eastAsia="Times New Roman"/>
          <w:color w:val="000000"/>
        </w:rPr>
        <w:t xml:space="preserve"> </w:t>
      </w:r>
      <w:r w:rsidR="004220E0" w:rsidRPr="00F546EC">
        <w:rPr>
          <w:rFonts w:eastAsia="Times New Roman"/>
          <w:color w:val="000000"/>
        </w:rPr>
        <w:t>integration of</w:t>
      </w:r>
      <w:r w:rsidRPr="00F546EC">
        <w:rPr>
          <w:rFonts w:eastAsia="Times New Roman"/>
          <w:color w:val="000000"/>
        </w:rPr>
        <w:t xml:space="preserve"> </w:t>
      </w:r>
      <w:r w:rsidR="004014AB" w:rsidRPr="00F546EC">
        <w:rPr>
          <w:rFonts w:eastAsia="Times New Roman"/>
          <w:color w:val="000000"/>
        </w:rPr>
        <w:t xml:space="preserve">mineralogical, </w:t>
      </w:r>
      <w:r w:rsidRPr="00F546EC">
        <w:rPr>
          <w:rFonts w:eastAsia="Times New Roman"/>
          <w:color w:val="000000"/>
        </w:rPr>
        <w:t>sedimentolog</w:t>
      </w:r>
      <w:r w:rsidR="004014AB" w:rsidRPr="00F546EC">
        <w:rPr>
          <w:rFonts w:eastAsia="Times New Roman"/>
          <w:color w:val="000000"/>
        </w:rPr>
        <w:t xml:space="preserve">ical, </w:t>
      </w:r>
      <w:r w:rsidRPr="00F546EC">
        <w:rPr>
          <w:rFonts w:eastAsia="Times New Roman"/>
          <w:color w:val="000000"/>
        </w:rPr>
        <w:t>sequence stratigraphic</w:t>
      </w:r>
      <w:r w:rsidR="004014AB" w:rsidRPr="00F546EC">
        <w:rPr>
          <w:rFonts w:eastAsia="Times New Roman"/>
          <w:color w:val="000000"/>
        </w:rPr>
        <w:t>, geophysical, petrophysical</w:t>
      </w:r>
      <w:r w:rsidR="00842B9C" w:rsidRPr="00F546EC">
        <w:rPr>
          <w:rFonts w:eastAsia="Times New Roman"/>
          <w:color w:val="000000"/>
        </w:rPr>
        <w:t>, geostatistical</w:t>
      </w:r>
      <w:r w:rsidR="004014AB" w:rsidRPr="00F546EC">
        <w:rPr>
          <w:rFonts w:eastAsia="Times New Roman"/>
          <w:color w:val="000000"/>
        </w:rPr>
        <w:t>, organic, and inorganic geomechanical</w:t>
      </w:r>
      <w:r w:rsidRPr="00F546EC">
        <w:rPr>
          <w:rFonts w:eastAsia="Times New Roman"/>
          <w:color w:val="000000"/>
        </w:rPr>
        <w:t xml:space="preserve"> properties</w:t>
      </w:r>
      <w:r w:rsidR="00100E4C">
        <w:rPr>
          <w:rFonts w:eastAsia="Times New Roman"/>
          <w:color w:val="000000"/>
        </w:rPr>
        <w:t xml:space="preserve">. These are </w:t>
      </w:r>
      <w:r w:rsidR="004014AB" w:rsidRPr="00F546EC">
        <w:rPr>
          <w:rFonts w:eastAsia="Times New Roman"/>
          <w:color w:val="000000"/>
        </w:rPr>
        <w:t>the key parameters</w:t>
      </w:r>
      <w:r w:rsidR="00842B9C" w:rsidRPr="00F546EC">
        <w:rPr>
          <w:rFonts w:eastAsia="Times New Roman"/>
          <w:color w:val="000000"/>
        </w:rPr>
        <w:t xml:space="preserve"> to understand the occurrence of </w:t>
      </w:r>
      <w:r w:rsidR="00804F72">
        <w:rPr>
          <w:rFonts w:eastAsia="Times New Roman"/>
          <w:color w:val="000000"/>
        </w:rPr>
        <w:t xml:space="preserve">enclosed mini-basin </w:t>
      </w:r>
      <w:r w:rsidR="00A22E4E">
        <w:rPr>
          <w:rFonts w:eastAsia="Times New Roman"/>
          <w:color w:val="000000"/>
        </w:rPr>
        <w:t>fill</w:t>
      </w:r>
      <w:r w:rsidR="00842B9C" w:rsidRPr="00F546EC">
        <w:rPr>
          <w:rFonts w:eastAsia="Times New Roman"/>
          <w:color w:val="000000"/>
        </w:rPr>
        <w:t xml:space="preserve"> deposits within the Woodford Shale</w:t>
      </w:r>
      <w:r w:rsidR="00BB2879" w:rsidRPr="00F546EC">
        <w:rPr>
          <w:rFonts w:eastAsia="Times New Roman"/>
          <w:color w:val="000000"/>
        </w:rPr>
        <w:t xml:space="preserve"> depositional model from local to </w:t>
      </w:r>
      <w:r w:rsidR="00100E4C">
        <w:rPr>
          <w:rFonts w:eastAsia="Times New Roman"/>
          <w:color w:val="000000"/>
        </w:rPr>
        <w:t xml:space="preserve">regional </w:t>
      </w:r>
      <w:r w:rsidR="00AA3C20">
        <w:rPr>
          <w:rFonts w:eastAsia="Times New Roman"/>
          <w:color w:val="000000"/>
        </w:rPr>
        <w:t>p</w:t>
      </w:r>
      <w:r w:rsidR="00B17022" w:rsidRPr="00F546EC">
        <w:rPr>
          <w:rFonts w:eastAsia="Times New Roman"/>
          <w:color w:val="000000"/>
        </w:rPr>
        <w:t xml:space="preserve">etroleum </w:t>
      </w:r>
      <w:r w:rsidR="00AA3C20">
        <w:rPr>
          <w:rFonts w:eastAsia="Times New Roman"/>
          <w:color w:val="000000"/>
        </w:rPr>
        <w:t>p</w:t>
      </w:r>
      <w:r w:rsidR="00B17022" w:rsidRPr="00F546EC">
        <w:rPr>
          <w:rFonts w:eastAsia="Times New Roman"/>
          <w:color w:val="000000"/>
        </w:rPr>
        <w:t>rovince</w:t>
      </w:r>
      <w:r w:rsidR="004F4860" w:rsidRPr="00F546EC">
        <w:rPr>
          <w:rFonts w:eastAsia="Times New Roman"/>
          <w:color w:val="000000"/>
        </w:rPr>
        <w:t xml:space="preserve"> scale</w:t>
      </w:r>
      <w:r w:rsidR="004220E0" w:rsidRPr="00F546EC">
        <w:rPr>
          <w:rFonts w:eastAsia="Times New Roman"/>
          <w:color w:val="000000"/>
        </w:rPr>
        <w:t>s</w:t>
      </w:r>
      <w:r w:rsidRPr="00F546EC">
        <w:rPr>
          <w:rFonts w:eastAsia="Times New Roman"/>
          <w:color w:val="000000"/>
        </w:rPr>
        <w:t>. The laboratory phase is mainly focused on the quantification of the organic geochemistry properties</w:t>
      </w:r>
      <w:r w:rsidR="008273C3">
        <w:rPr>
          <w:rFonts w:eastAsia="Times New Roman"/>
          <w:color w:val="000000"/>
        </w:rPr>
        <w:t xml:space="preserve"> by</w:t>
      </w:r>
      <w:r w:rsidRPr="00F546EC">
        <w:rPr>
          <w:rFonts w:eastAsia="Times New Roman"/>
          <w:color w:val="000000"/>
        </w:rPr>
        <w:t xml:space="preserve"> biomarkers with gas chromatography</w:t>
      </w:r>
      <w:r w:rsidR="007403A8" w:rsidRPr="00F546EC">
        <w:rPr>
          <w:rFonts w:eastAsia="Times New Roman"/>
          <w:color w:val="000000"/>
        </w:rPr>
        <w:t>,</w:t>
      </w:r>
      <w:r w:rsidRPr="00F546EC">
        <w:rPr>
          <w:rFonts w:eastAsia="Times New Roman"/>
          <w:color w:val="000000"/>
        </w:rPr>
        <w:t xml:space="preserve"> and mass spectrometry for </w:t>
      </w:r>
      <w:r w:rsidR="009E2198" w:rsidRPr="00F546EC">
        <w:rPr>
          <w:rFonts w:eastAsia="Times New Roman"/>
          <w:color w:val="000000"/>
        </w:rPr>
        <w:t>detecting</w:t>
      </w:r>
      <w:r w:rsidRPr="00F546EC">
        <w:rPr>
          <w:rFonts w:eastAsia="Times New Roman"/>
          <w:color w:val="000000"/>
        </w:rPr>
        <w:t xml:space="preserve"> the organic matter precursors and depositional environment properties</w:t>
      </w:r>
      <w:r w:rsidR="008273C3">
        <w:rPr>
          <w:rFonts w:eastAsia="Times New Roman"/>
          <w:color w:val="000000"/>
        </w:rPr>
        <w:t>. T</w:t>
      </w:r>
      <w:r w:rsidRPr="00F546EC">
        <w:rPr>
          <w:rFonts w:eastAsia="Times New Roman"/>
          <w:color w:val="000000"/>
        </w:rPr>
        <w:t>he restricted organic-rich and anoxic intervals</w:t>
      </w:r>
      <w:r w:rsidR="009E4623" w:rsidRPr="00F546EC">
        <w:rPr>
          <w:rFonts w:eastAsia="Times New Roman"/>
          <w:color w:val="000000"/>
        </w:rPr>
        <w:t xml:space="preserve"> </w:t>
      </w:r>
      <w:r w:rsidR="008273C3">
        <w:rPr>
          <w:rFonts w:eastAsia="Times New Roman"/>
          <w:color w:val="000000"/>
        </w:rPr>
        <w:t>were analyzed</w:t>
      </w:r>
      <w:r w:rsidR="009E4623" w:rsidRPr="00F546EC">
        <w:rPr>
          <w:rFonts w:eastAsia="Times New Roman"/>
          <w:color w:val="000000"/>
        </w:rPr>
        <w:t xml:space="preserve"> in the OU </w:t>
      </w:r>
      <w:r w:rsidR="007F0346">
        <w:rPr>
          <w:rFonts w:eastAsia="Times New Roman"/>
          <w:color w:val="000000"/>
        </w:rPr>
        <w:t>o</w:t>
      </w:r>
      <w:r w:rsidR="009E4623" w:rsidRPr="00F546EC">
        <w:rPr>
          <w:rFonts w:eastAsia="Times New Roman"/>
          <w:color w:val="000000"/>
        </w:rPr>
        <w:t xml:space="preserve">rganic </w:t>
      </w:r>
      <w:r w:rsidR="007F0346">
        <w:rPr>
          <w:rFonts w:eastAsia="Times New Roman"/>
          <w:color w:val="000000"/>
        </w:rPr>
        <w:t>g</w:t>
      </w:r>
      <w:r w:rsidR="009E4623" w:rsidRPr="00F546EC">
        <w:rPr>
          <w:rFonts w:eastAsia="Times New Roman"/>
          <w:color w:val="000000"/>
        </w:rPr>
        <w:t xml:space="preserve">eochemistry </w:t>
      </w:r>
      <w:r w:rsidR="007F0346">
        <w:rPr>
          <w:rFonts w:eastAsia="Times New Roman"/>
          <w:color w:val="000000"/>
        </w:rPr>
        <w:t>g</w:t>
      </w:r>
      <w:r w:rsidR="009E4623" w:rsidRPr="00F546EC">
        <w:rPr>
          <w:rFonts w:eastAsia="Times New Roman"/>
          <w:color w:val="000000"/>
        </w:rPr>
        <w:t xml:space="preserve">roup </w:t>
      </w:r>
      <w:r w:rsidR="00FB12E5" w:rsidRPr="00F546EC">
        <w:rPr>
          <w:rFonts w:eastAsia="Times New Roman"/>
          <w:color w:val="000000"/>
        </w:rPr>
        <w:t xml:space="preserve">(OG2) </w:t>
      </w:r>
      <w:r w:rsidR="007F0346">
        <w:rPr>
          <w:rFonts w:eastAsia="Times New Roman"/>
          <w:color w:val="000000"/>
        </w:rPr>
        <w:t>l</w:t>
      </w:r>
      <w:r w:rsidR="00FB12E5" w:rsidRPr="00F546EC">
        <w:rPr>
          <w:rFonts w:eastAsia="Times New Roman"/>
          <w:color w:val="000000"/>
        </w:rPr>
        <w:t>aboratories (</w:t>
      </w:r>
      <w:r w:rsidR="009E4623" w:rsidRPr="00F546EC">
        <w:rPr>
          <w:rFonts w:eastAsia="Times New Roman"/>
          <w:color w:val="000000"/>
        </w:rPr>
        <w:t xml:space="preserve">Chapter </w:t>
      </w:r>
      <w:r w:rsidR="007F0346">
        <w:rPr>
          <w:rFonts w:eastAsia="Times New Roman"/>
          <w:color w:val="000000"/>
        </w:rPr>
        <w:t>III</w:t>
      </w:r>
      <w:r w:rsidR="009E4623" w:rsidRPr="00F546EC">
        <w:rPr>
          <w:rFonts w:eastAsia="Times New Roman"/>
          <w:color w:val="000000"/>
        </w:rPr>
        <w:t>)</w:t>
      </w:r>
      <w:r w:rsidR="00332E7F" w:rsidRPr="00F546EC">
        <w:rPr>
          <w:rFonts w:eastAsia="Times New Roman"/>
          <w:color w:val="000000"/>
        </w:rPr>
        <w:t>.</w:t>
      </w:r>
      <w:r w:rsidRPr="00F546EC">
        <w:rPr>
          <w:rFonts w:eastAsia="Times New Roman"/>
          <w:color w:val="000000"/>
        </w:rPr>
        <w:t xml:space="preserve"> </w:t>
      </w:r>
      <w:r w:rsidR="00FB12E5" w:rsidRPr="00F546EC">
        <w:rPr>
          <w:rFonts w:eastAsia="Times New Roman"/>
          <w:color w:val="000000"/>
        </w:rPr>
        <w:t>The rock s</w:t>
      </w:r>
      <w:r w:rsidR="00A51742" w:rsidRPr="00F546EC">
        <w:rPr>
          <w:rFonts w:eastAsia="Times New Roman"/>
          <w:color w:val="000000"/>
        </w:rPr>
        <w:t xml:space="preserve">amples were selected based on geostatistical analysis of </w:t>
      </w:r>
      <w:r w:rsidR="00760423" w:rsidRPr="00F546EC">
        <w:rPr>
          <w:rFonts w:eastAsia="Times New Roman"/>
          <w:color w:val="000000"/>
        </w:rPr>
        <w:t xml:space="preserve">the </w:t>
      </w:r>
      <w:r w:rsidR="00A51742" w:rsidRPr="00F546EC">
        <w:rPr>
          <w:rFonts w:eastAsia="Times New Roman"/>
          <w:color w:val="000000"/>
        </w:rPr>
        <w:t>536 samples collected by Galvis (2017) and Galvis et al. (201</w:t>
      </w:r>
      <w:r w:rsidR="007F0346">
        <w:rPr>
          <w:rFonts w:eastAsia="Times New Roman"/>
          <w:color w:val="000000"/>
        </w:rPr>
        <w:t>7</w:t>
      </w:r>
      <w:r w:rsidR="00A51742" w:rsidRPr="00F546EC">
        <w:rPr>
          <w:rFonts w:eastAsia="Times New Roman"/>
          <w:color w:val="000000"/>
        </w:rPr>
        <w:t xml:space="preserve">). </w:t>
      </w:r>
    </w:p>
    <w:p w14:paraId="293C72A3" w14:textId="0B26DB54" w:rsidR="00692A28" w:rsidRPr="00F546EC" w:rsidRDefault="00B368B8" w:rsidP="00981171">
      <w:pPr>
        <w:ind w:firstLine="720"/>
        <w:rPr>
          <w:rFonts w:eastAsia="Times New Roman"/>
          <w:color w:val="000000"/>
        </w:rPr>
      </w:pPr>
      <w:r w:rsidRPr="00F546EC">
        <w:rPr>
          <w:rFonts w:eastAsia="Times New Roman"/>
          <w:color w:val="000000"/>
        </w:rPr>
        <w:lastRenderedPageBreak/>
        <w:t>T</w:t>
      </w:r>
      <w:r w:rsidR="009C0852" w:rsidRPr="00F546EC">
        <w:rPr>
          <w:rFonts w:eastAsia="Times New Roman"/>
          <w:color w:val="000000"/>
        </w:rPr>
        <w:t>he</w:t>
      </w:r>
      <w:r w:rsidRPr="00F546EC">
        <w:rPr>
          <w:rFonts w:eastAsia="Times New Roman"/>
          <w:color w:val="000000"/>
        </w:rPr>
        <w:t xml:space="preserve"> geostatistical analysis </w:t>
      </w:r>
      <w:r w:rsidR="009C0852" w:rsidRPr="00F546EC">
        <w:rPr>
          <w:rFonts w:eastAsia="Times New Roman"/>
          <w:color w:val="000000"/>
        </w:rPr>
        <w:t>of the</w:t>
      </w:r>
      <w:r w:rsidR="00964C63" w:rsidRPr="00F546EC">
        <w:rPr>
          <w:rFonts w:eastAsia="Times New Roman"/>
          <w:color w:val="000000"/>
        </w:rPr>
        <w:t>se</w:t>
      </w:r>
      <w:r w:rsidR="009C0852" w:rsidRPr="00F546EC">
        <w:rPr>
          <w:rFonts w:eastAsia="Times New Roman"/>
          <w:color w:val="000000"/>
        </w:rPr>
        <w:t xml:space="preserve"> samples collected by Galvis (2017), </w:t>
      </w:r>
      <w:r w:rsidRPr="00F546EC">
        <w:rPr>
          <w:rFonts w:eastAsia="Times New Roman"/>
          <w:color w:val="000000"/>
        </w:rPr>
        <w:t>consist</w:t>
      </w:r>
      <w:r w:rsidR="009C0852" w:rsidRPr="00F546EC">
        <w:rPr>
          <w:rFonts w:eastAsia="Times New Roman"/>
          <w:color w:val="000000"/>
        </w:rPr>
        <w:t>s</w:t>
      </w:r>
      <w:r w:rsidRPr="00F546EC">
        <w:rPr>
          <w:rFonts w:eastAsia="Times New Roman"/>
          <w:color w:val="000000"/>
        </w:rPr>
        <w:t xml:space="preserve"> of the integration of XRF data of the </w:t>
      </w:r>
      <w:r w:rsidR="009F1DD6" w:rsidRPr="00F546EC">
        <w:rPr>
          <w:rFonts w:eastAsia="Times New Roman"/>
          <w:color w:val="000000"/>
        </w:rPr>
        <w:t xml:space="preserve">major heavy </w:t>
      </w:r>
      <w:r w:rsidRPr="00F546EC">
        <w:rPr>
          <w:rFonts w:eastAsia="Times New Roman"/>
          <w:color w:val="000000"/>
        </w:rPr>
        <w:t>elements</w:t>
      </w:r>
      <w:r w:rsidR="009F1DD6" w:rsidRPr="00F546EC">
        <w:rPr>
          <w:rFonts w:eastAsia="Times New Roman"/>
          <w:color w:val="000000"/>
        </w:rPr>
        <w:t>,</w:t>
      </w:r>
      <w:r w:rsidRPr="00F546EC">
        <w:rPr>
          <w:rFonts w:eastAsia="Times New Roman"/>
          <w:color w:val="000000"/>
        </w:rPr>
        <w:t xml:space="preserve"> combined with the Rock</w:t>
      </w:r>
      <w:r w:rsidR="009F1DD6" w:rsidRPr="00F546EC">
        <w:rPr>
          <w:rFonts w:eastAsia="Times New Roman"/>
          <w:color w:val="000000"/>
        </w:rPr>
        <w:t>-</w:t>
      </w:r>
      <w:r w:rsidRPr="00F546EC">
        <w:rPr>
          <w:rFonts w:eastAsia="Times New Roman"/>
          <w:color w:val="000000"/>
        </w:rPr>
        <w:t xml:space="preserve">Eval pyrolysis data </w:t>
      </w:r>
      <w:r w:rsidR="001A6D90" w:rsidRPr="00F546EC">
        <w:rPr>
          <w:rFonts w:eastAsia="Times New Roman"/>
          <w:color w:val="000000"/>
        </w:rPr>
        <w:t xml:space="preserve">in a “one-to-one” manner </w:t>
      </w:r>
      <w:r w:rsidRPr="00F546EC">
        <w:rPr>
          <w:rFonts w:eastAsia="Times New Roman"/>
          <w:color w:val="000000"/>
        </w:rPr>
        <w:t xml:space="preserve">for obtaining unsupervised facies classification by </w:t>
      </w:r>
      <w:r w:rsidR="001C33E8" w:rsidRPr="00F546EC">
        <w:rPr>
          <w:rFonts w:eastAsia="Times New Roman"/>
          <w:color w:val="000000"/>
        </w:rPr>
        <w:t xml:space="preserve">K-means and </w:t>
      </w:r>
      <w:r w:rsidR="00AA3C20">
        <w:rPr>
          <w:rFonts w:eastAsia="Times New Roman"/>
          <w:color w:val="000000"/>
        </w:rPr>
        <w:t>compare with previous h</w:t>
      </w:r>
      <w:r w:rsidR="001C33E8" w:rsidRPr="00F546EC">
        <w:rPr>
          <w:rFonts w:eastAsia="Times New Roman"/>
          <w:color w:val="000000"/>
        </w:rPr>
        <w:t>ierarchical cluster analyses</w:t>
      </w:r>
      <w:r w:rsidR="00AA3C20">
        <w:rPr>
          <w:rFonts w:eastAsia="Times New Roman"/>
          <w:color w:val="000000"/>
        </w:rPr>
        <w:t xml:space="preserve"> classification by Galvis (2017)</w:t>
      </w:r>
      <w:r w:rsidR="001C33E8" w:rsidRPr="00F546EC">
        <w:rPr>
          <w:rFonts w:eastAsia="Times New Roman"/>
          <w:color w:val="000000"/>
        </w:rPr>
        <w:t xml:space="preserve">. The clusters, or </w:t>
      </w:r>
      <w:r w:rsidR="001A6D90" w:rsidRPr="00F546EC">
        <w:rPr>
          <w:rFonts w:eastAsia="Times New Roman"/>
          <w:color w:val="000000"/>
        </w:rPr>
        <w:t>“</w:t>
      </w:r>
      <w:r w:rsidR="001A6D90" w:rsidRPr="00F546EC">
        <w:rPr>
          <w:rFonts w:eastAsia="Times New Roman"/>
          <w:i/>
          <w:iCs/>
          <w:color w:val="000000"/>
        </w:rPr>
        <w:t xml:space="preserve">machine learning </w:t>
      </w:r>
      <w:r w:rsidR="001C33E8" w:rsidRPr="00F546EC">
        <w:rPr>
          <w:rFonts w:eastAsia="Times New Roman"/>
          <w:i/>
          <w:iCs/>
          <w:color w:val="000000"/>
        </w:rPr>
        <w:t>facies</w:t>
      </w:r>
      <w:r w:rsidR="001A6D90" w:rsidRPr="00F546EC">
        <w:rPr>
          <w:rFonts w:eastAsia="Times New Roman"/>
          <w:color w:val="000000"/>
        </w:rPr>
        <w:t>,”</w:t>
      </w:r>
      <w:r w:rsidR="001C33E8" w:rsidRPr="00F546EC">
        <w:rPr>
          <w:rFonts w:eastAsia="Times New Roman"/>
          <w:color w:val="000000"/>
        </w:rPr>
        <w:t xml:space="preserve"> obtained after these </w:t>
      </w:r>
      <w:r w:rsidR="005E0028" w:rsidRPr="00F546EC">
        <w:rPr>
          <w:rFonts w:eastAsia="Times New Roman"/>
          <w:color w:val="000000"/>
        </w:rPr>
        <w:t>classification</w:t>
      </w:r>
      <w:r w:rsidR="001C33E8" w:rsidRPr="00F546EC">
        <w:rPr>
          <w:rFonts w:eastAsia="Times New Roman"/>
          <w:color w:val="000000"/>
        </w:rPr>
        <w:t xml:space="preserve"> methodologies, serve</w:t>
      </w:r>
      <w:r w:rsidR="005E0028" w:rsidRPr="00F546EC">
        <w:rPr>
          <w:rFonts w:eastAsia="Times New Roman"/>
          <w:color w:val="000000"/>
        </w:rPr>
        <w:t>d</w:t>
      </w:r>
      <w:r w:rsidR="001C33E8" w:rsidRPr="00F546EC">
        <w:rPr>
          <w:rFonts w:eastAsia="Times New Roman"/>
          <w:color w:val="000000"/>
        </w:rPr>
        <w:t xml:space="preserve"> as </w:t>
      </w:r>
      <w:r w:rsidR="005E0028" w:rsidRPr="00F546EC">
        <w:rPr>
          <w:rFonts w:eastAsia="Times New Roman"/>
          <w:color w:val="000000"/>
        </w:rPr>
        <w:t xml:space="preserve">the </w:t>
      </w:r>
      <w:r w:rsidR="003E7F61" w:rsidRPr="00F546EC">
        <w:rPr>
          <w:rFonts w:eastAsia="Times New Roman"/>
          <w:color w:val="000000"/>
        </w:rPr>
        <w:t xml:space="preserve">criteria for selecting the samples that </w:t>
      </w:r>
      <w:r w:rsidR="00065DAB">
        <w:rPr>
          <w:rFonts w:eastAsia="Times New Roman"/>
          <w:color w:val="000000"/>
        </w:rPr>
        <w:t>have</w:t>
      </w:r>
      <w:r w:rsidR="003E7F61" w:rsidRPr="00F546EC">
        <w:rPr>
          <w:rFonts w:eastAsia="Times New Roman"/>
          <w:color w:val="000000"/>
        </w:rPr>
        <w:t xml:space="preserve"> biomarker analyses of their saturate and aromatic fractions</w:t>
      </w:r>
      <w:r w:rsidR="00065DAB">
        <w:rPr>
          <w:rFonts w:eastAsia="Times New Roman"/>
          <w:color w:val="000000"/>
        </w:rPr>
        <w:t xml:space="preserve">, selecting at least one sample per representative </w:t>
      </w:r>
      <w:r w:rsidR="00065DAB" w:rsidRPr="003A5EC2">
        <w:rPr>
          <w:rFonts w:eastAsia="Times New Roman"/>
          <w:iCs/>
          <w:color w:val="000000"/>
        </w:rPr>
        <w:t>K-means</w:t>
      </w:r>
      <w:r w:rsidR="00065DAB">
        <w:rPr>
          <w:rFonts w:eastAsia="Times New Roman"/>
          <w:i/>
          <w:color w:val="000000"/>
        </w:rPr>
        <w:t xml:space="preserve"> </w:t>
      </w:r>
      <w:r w:rsidR="00065DAB">
        <w:rPr>
          <w:rFonts w:eastAsia="Times New Roman"/>
          <w:color w:val="000000"/>
        </w:rPr>
        <w:t>facies</w:t>
      </w:r>
      <w:r w:rsidR="003E7F61" w:rsidRPr="00F546EC">
        <w:rPr>
          <w:rFonts w:eastAsia="Times New Roman"/>
          <w:color w:val="000000"/>
        </w:rPr>
        <w:t>. Details about the methodologies, hypothesis</w:t>
      </w:r>
      <w:r w:rsidR="00907232" w:rsidRPr="00F546EC">
        <w:rPr>
          <w:rFonts w:eastAsia="Times New Roman"/>
          <w:color w:val="000000"/>
        </w:rPr>
        <w:t>,</w:t>
      </w:r>
      <w:r w:rsidR="003E7F61" w:rsidRPr="00F546EC">
        <w:rPr>
          <w:rFonts w:eastAsia="Times New Roman"/>
          <w:color w:val="000000"/>
        </w:rPr>
        <w:t xml:space="preserve"> and selected biomarkers</w:t>
      </w:r>
      <w:r w:rsidR="00907232" w:rsidRPr="00F546EC">
        <w:rPr>
          <w:rFonts w:eastAsia="Times New Roman"/>
          <w:color w:val="000000"/>
        </w:rPr>
        <w:t xml:space="preserve"> for identifying the presence of </w:t>
      </w:r>
      <w:r w:rsidR="00804F72">
        <w:rPr>
          <w:rFonts w:eastAsia="Times New Roman"/>
          <w:color w:val="000000"/>
        </w:rPr>
        <w:t xml:space="preserve">enclosed mini-basin </w:t>
      </w:r>
      <w:r w:rsidR="00A22E4E">
        <w:rPr>
          <w:rFonts w:eastAsia="Times New Roman"/>
          <w:color w:val="000000"/>
        </w:rPr>
        <w:t>fill</w:t>
      </w:r>
      <w:r w:rsidR="00907232" w:rsidRPr="00F546EC">
        <w:rPr>
          <w:rFonts w:eastAsia="Times New Roman"/>
          <w:color w:val="000000"/>
        </w:rPr>
        <w:t xml:space="preserve"> deposits and their variability along the Woodford Shale stratigraphic colum</w:t>
      </w:r>
      <w:r w:rsidR="006004BB" w:rsidRPr="00F546EC">
        <w:rPr>
          <w:rFonts w:eastAsia="Times New Roman"/>
          <w:color w:val="000000"/>
        </w:rPr>
        <w:t>n</w:t>
      </w:r>
      <w:r w:rsidR="003E7F61" w:rsidRPr="00F546EC">
        <w:rPr>
          <w:rFonts w:eastAsia="Times New Roman"/>
          <w:color w:val="000000"/>
        </w:rPr>
        <w:t xml:space="preserve"> are in Chapter </w:t>
      </w:r>
      <w:r w:rsidR="001736C0">
        <w:rPr>
          <w:rFonts w:eastAsia="Times New Roman"/>
          <w:color w:val="000000"/>
        </w:rPr>
        <w:t>III</w:t>
      </w:r>
      <w:r w:rsidR="003E7F61" w:rsidRPr="00F546EC">
        <w:rPr>
          <w:rFonts w:eastAsia="Times New Roman"/>
          <w:color w:val="000000"/>
        </w:rPr>
        <w:t xml:space="preserve"> of this manuscript. </w:t>
      </w:r>
    </w:p>
    <w:p w14:paraId="3B5E9241" w14:textId="2D63F5B0" w:rsidR="003E4375" w:rsidRPr="00F546EC" w:rsidRDefault="003E4375" w:rsidP="00981171">
      <w:pPr>
        <w:ind w:firstLine="720"/>
        <w:rPr>
          <w:rFonts w:eastAsia="Times New Roman"/>
          <w:color w:val="000000"/>
        </w:rPr>
      </w:pPr>
      <w:r w:rsidRPr="00F546EC">
        <w:rPr>
          <w:rFonts w:eastAsia="Times New Roman"/>
          <w:color w:val="000000"/>
        </w:rPr>
        <w:t xml:space="preserve">The geochemical attributes of the Woodford </w:t>
      </w:r>
      <w:r w:rsidR="00E77EC0" w:rsidRPr="00F546EC">
        <w:rPr>
          <w:rFonts w:eastAsia="Times New Roman"/>
          <w:color w:val="000000"/>
        </w:rPr>
        <w:t>are tied</w:t>
      </w:r>
      <w:r w:rsidR="004105A7" w:rsidRPr="00F546EC">
        <w:rPr>
          <w:rFonts w:eastAsia="Times New Roman"/>
          <w:color w:val="000000"/>
        </w:rPr>
        <w:t xml:space="preserve"> </w:t>
      </w:r>
      <w:r w:rsidRPr="00F546EC">
        <w:rPr>
          <w:rFonts w:eastAsia="Times New Roman"/>
          <w:color w:val="000000"/>
        </w:rPr>
        <w:t xml:space="preserve">with the stratigraphy by correlation with lithologies, </w:t>
      </w:r>
      <w:r w:rsidR="007403A8" w:rsidRPr="00F546EC">
        <w:rPr>
          <w:rFonts w:eastAsia="Times New Roman"/>
          <w:color w:val="000000"/>
        </w:rPr>
        <w:t>element</w:t>
      </w:r>
      <w:r w:rsidR="009B778A" w:rsidRPr="00F546EC">
        <w:rPr>
          <w:rFonts w:eastAsia="Times New Roman"/>
          <w:color w:val="000000"/>
        </w:rPr>
        <w:t>,</w:t>
      </w:r>
      <w:r w:rsidRPr="00F546EC">
        <w:rPr>
          <w:rFonts w:eastAsia="Times New Roman"/>
          <w:color w:val="000000"/>
        </w:rPr>
        <w:t xml:space="preserve"> and mineral contents. The organic geochemistry phase </w:t>
      </w:r>
      <w:r w:rsidR="009B778A" w:rsidRPr="00F546EC">
        <w:rPr>
          <w:rFonts w:eastAsia="Times New Roman"/>
          <w:color w:val="000000"/>
        </w:rPr>
        <w:t>is</w:t>
      </w:r>
      <w:r w:rsidRPr="00F546EC">
        <w:rPr>
          <w:rFonts w:eastAsia="Times New Roman"/>
          <w:color w:val="000000"/>
        </w:rPr>
        <w:t xml:space="preserve"> complemented with mineralogy analysis via X-</w:t>
      </w:r>
      <w:r w:rsidR="008273C3">
        <w:rPr>
          <w:rFonts w:eastAsia="Times New Roman"/>
          <w:color w:val="000000"/>
        </w:rPr>
        <w:t>r</w:t>
      </w:r>
      <w:r w:rsidRPr="00F546EC">
        <w:rPr>
          <w:rFonts w:eastAsia="Times New Roman"/>
          <w:color w:val="000000"/>
        </w:rPr>
        <w:t>ay diffraction</w:t>
      </w:r>
      <w:r w:rsidR="008273C3">
        <w:rPr>
          <w:rFonts w:eastAsia="Times New Roman"/>
          <w:color w:val="000000"/>
        </w:rPr>
        <w:t xml:space="preserve"> (XRD)</w:t>
      </w:r>
      <w:r w:rsidRPr="00F546EC">
        <w:rPr>
          <w:rFonts w:eastAsia="Times New Roman"/>
          <w:color w:val="000000"/>
        </w:rPr>
        <w:t xml:space="preserve"> for clay mineral recognition and </w:t>
      </w:r>
      <w:r w:rsidR="008273C3">
        <w:rPr>
          <w:rFonts w:eastAsia="Times New Roman"/>
          <w:color w:val="000000"/>
        </w:rPr>
        <w:t>s</w:t>
      </w:r>
      <w:r w:rsidRPr="00F546EC">
        <w:rPr>
          <w:rFonts w:eastAsia="Times New Roman"/>
          <w:color w:val="000000"/>
        </w:rPr>
        <w:t xml:space="preserve">canning </w:t>
      </w:r>
      <w:r w:rsidR="008273C3">
        <w:rPr>
          <w:rFonts w:eastAsia="Times New Roman"/>
          <w:color w:val="000000"/>
        </w:rPr>
        <w:t>e</w:t>
      </w:r>
      <w:r w:rsidRPr="00F546EC">
        <w:rPr>
          <w:rFonts w:eastAsia="Times New Roman"/>
          <w:color w:val="000000"/>
        </w:rPr>
        <w:t xml:space="preserve">lectron </w:t>
      </w:r>
      <w:r w:rsidR="008273C3">
        <w:rPr>
          <w:rFonts w:eastAsia="Times New Roman"/>
          <w:color w:val="000000"/>
        </w:rPr>
        <w:t>m</w:t>
      </w:r>
      <w:r w:rsidRPr="00F546EC">
        <w:rPr>
          <w:rFonts w:eastAsia="Times New Roman"/>
          <w:color w:val="000000"/>
        </w:rPr>
        <w:t xml:space="preserve">icroscopy (SEM) for interpreting the nano-scale mineralogical arrangements and structures. Sample characterization </w:t>
      </w:r>
      <w:r w:rsidR="009B778A" w:rsidRPr="00F546EC">
        <w:rPr>
          <w:rFonts w:eastAsia="Times New Roman"/>
          <w:color w:val="000000"/>
        </w:rPr>
        <w:t>is</w:t>
      </w:r>
      <w:r w:rsidRPr="00F546EC">
        <w:rPr>
          <w:rFonts w:eastAsia="Times New Roman"/>
          <w:color w:val="000000"/>
        </w:rPr>
        <w:t xml:space="preserve"> correlated to well log responses and seismic subsurface reflections through identifying regional tracers of the </w:t>
      </w:r>
      <w:r w:rsidR="003C6257">
        <w:rPr>
          <w:rFonts w:eastAsia="Times New Roman"/>
          <w:color w:val="000000"/>
        </w:rPr>
        <w:t xml:space="preserve">enclosed mini-basin </w:t>
      </w:r>
      <w:r w:rsidR="00A22E4E">
        <w:rPr>
          <w:rFonts w:eastAsia="Times New Roman"/>
          <w:color w:val="000000"/>
        </w:rPr>
        <w:t>fill</w:t>
      </w:r>
      <w:r w:rsidRPr="00F546EC">
        <w:rPr>
          <w:rFonts w:eastAsia="Times New Roman"/>
          <w:color w:val="000000"/>
        </w:rPr>
        <w:t xml:space="preserve"> indicators</w:t>
      </w:r>
      <w:r w:rsidR="003A5EC2">
        <w:rPr>
          <w:rFonts w:eastAsia="Times New Roman"/>
          <w:color w:val="000000"/>
        </w:rPr>
        <w:t xml:space="preserve"> (Chapter II and Chapter IV)</w:t>
      </w:r>
      <w:r w:rsidRPr="00F546EC">
        <w:rPr>
          <w:rFonts w:eastAsia="Times New Roman"/>
          <w:color w:val="000000"/>
        </w:rPr>
        <w:t xml:space="preserve">. This correlation with subsurface data is critical for understanding the factors that control the occurrence of </w:t>
      </w:r>
      <w:r w:rsidR="00804F72">
        <w:rPr>
          <w:rFonts w:eastAsia="Times New Roman"/>
          <w:color w:val="000000"/>
        </w:rPr>
        <w:t xml:space="preserve">enclosed mini-basin </w:t>
      </w:r>
      <w:r w:rsidR="00A22E4E">
        <w:rPr>
          <w:rFonts w:eastAsia="Times New Roman"/>
          <w:color w:val="000000"/>
        </w:rPr>
        <w:t>fill</w:t>
      </w:r>
      <w:r w:rsidRPr="00F546EC">
        <w:rPr>
          <w:rFonts w:eastAsia="Times New Roman"/>
          <w:color w:val="000000"/>
        </w:rPr>
        <w:t xml:space="preserve"> intervals within a </w:t>
      </w:r>
      <w:r w:rsidR="00E77EC0" w:rsidRPr="00F546EC">
        <w:rPr>
          <w:rFonts w:eastAsia="Times New Roman"/>
          <w:color w:val="000000"/>
        </w:rPr>
        <w:t>primary</w:t>
      </w:r>
      <w:r w:rsidRPr="00F546EC">
        <w:rPr>
          <w:rFonts w:eastAsia="Times New Roman"/>
          <w:color w:val="000000"/>
        </w:rPr>
        <w:t xml:space="preserve"> marine depositional environment.</w:t>
      </w:r>
    </w:p>
    <w:p w14:paraId="4CB0E517" w14:textId="4A4B8A51" w:rsidR="003E4375" w:rsidRPr="00F546EC" w:rsidRDefault="003A62F5" w:rsidP="00BB1E48">
      <w:pPr>
        <w:pStyle w:val="Heading2"/>
        <w:numPr>
          <w:ilvl w:val="1"/>
          <w:numId w:val="2"/>
        </w:numPr>
      </w:pPr>
      <w:bookmarkStart w:id="50" w:name="_Toc25833532"/>
      <w:r>
        <w:t xml:space="preserve"> </w:t>
      </w:r>
      <w:bookmarkStart w:id="51" w:name="_Toc35861087"/>
      <w:r w:rsidR="003E4375" w:rsidRPr="00F546EC">
        <w:t>Petroleum</w:t>
      </w:r>
      <w:r w:rsidR="008E395D" w:rsidRPr="00F546EC">
        <w:t xml:space="preserve"> </w:t>
      </w:r>
      <w:r w:rsidR="009733F1">
        <w:t>i</w:t>
      </w:r>
      <w:r w:rsidR="008E395D" w:rsidRPr="00F546EC">
        <w:t xml:space="preserve">ndustry </w:t>
      </w:r>
      <w:r w:rsidR="009733F1">
        <w:t>r</w:t>
      </w:r>
      <w:r w:rsidR="008E395D" w:rsidRPr="00F546EC">
        <w:t>elevance</w:t>
      </w:r>
      <w:bookmarkEnd w:id="50"/>
      <w:bookmarkEnd w:id="51"/>
    </w:p>
    <w:p w14:paraId="39517E52" w14:textId="021ABA0D" w:rsidR="003E4375" w:rsidRPr="00F546EC" w:rsidRDefault="003E4375" w:rsidP="00183F0C">
      <w:pPr>
        <w:ind w:firstLine="720"/>
        <w:rPr>
          <w:rFonts w:eastAsia="Times New Roman"/>
          <w:color w:val="000000"/>
        </w:rPr>
      </w:pPr>
      <w:r w:rsidRPr="00F546EC">
        <w:rPr>
          <w:rFonts w:eastAsia="Times New Roman"/>
          <w:color w:val="000000"/>
        </w:rPr>
        <w:t>This research is the first to be</w:t>
      </w:r>
      <w:r w:rsidR="003C6257">
        <w:rPr>
          <w:rFonts w:eastAsia="Times New Roman"/>
          <w:color w:val="000000"/>
        </w:rPr>
        <w:t xml:space="preserve"> reported</w:t>
      </w:r>
      <w:r w:rsidRPr="00F546EC">
        <w:rPr>
          <w:rFonts w:eastAsia="Times New Roman"/>
          <w:color w:val="000000"/>
        </w:rPr>
        <w:t xml:space="preserve"> </w:t>
      </w:r>
      <w:r w:rsidR="002C0C5E">
        <w:rPr>
          <w:rFonts w:eastAsia="Times New Roman"/>
          <w:color w:val="000000"/>
        </w:rPr>
        <w:t xml:space="preserve">with </w:t>
      </w:r>
      <w:r w:rsidRPr="00F546EC">
        <w:rPr>
          <w:rFonts w:eastAsia="Times New Roman"/>
          <w:color w:val="000000"/>
        </w:rPr>
        <w:t>an unconventional marine shale</w:t>
      </w:r>
      <w:r w:rsidR="002C0C5E">
        <w:rPr>
          <w:rFonts w:eastAsia="Times New Roman"/>
          <w:color w:val="000000"/>
        </w:rPr>
        <w:t xml:space="preserve"> to</w:t>
      </w:r>
      <w:r w:rsidRPr="00F546EC">
        <w:rPr>
          <w:rFonts w:eastAsia="Times New Roman"/>
          <w:color w:val="000000"/>
        </w:rPr>
        <w:t xml:space="preserve"> evaluat</w:t>
      </w:r>
      <w:r w:rsidR="002C0C5E">
        <w:rPr>
          <w:rFonts w:eastAsia="Times New Roman"/>
          <w:color w:val="000000"/>
        </w:rPr>
        <w:t>e</w:t>
      </w:r>
      <w:r w:rsidRPr="00F546EC">
        <w:rPr>
          <w:rFonts w:eastAsia="Times New Roman"/>
          <w:color w:val="000000"/>
        </w:rPr>
        <w:t xml:space="preserve"> the </w:t>
      </w:r>
      <w:r w:rsidR="003C6257">
        <w:rPr>
          <w:rFonts w:eastAsia="Times New Roman"/>
          <w:color w:val="000000"/>
        </w:rPr>
        <w:t>detailed</w:t>
      </w:r>
      <w:r w:rsidRPr="00F546EC">
        <w:rPr>
          <w:rFonts w:eastAsia="Times New Roman"/>
          <w:color w:val="000000"/>
        </w:rPr>
        <w:t xml:space="preserve"> </w:t>
      </w:r>
      <w:r w:rsidR="003C6257">
        <w:rPr>
          <w:rFonts w:eastAsia="Times New Roman"/>
          <w:color w:val="000000"/>
        </w:rPr>
        <w:t>characterization</w:t>
      </w:r>
      <w:r w:rsidRPr="00F546EC">
        <w:rPr>
          <w:rFonts w:eastAsia="Times New Roman"/>
          <w:color w:val="000000"/>
        </w:rPr>
        <w:t xml:space="preserve"> of </w:t>
      </w:r>
      <w:r w:rsidR="00080C69">
        <w:rPr>
          <w:rFonts w:eastAsia="Times New Roman"/>
          <w:color w:val="000000"/>
        </w:rPr>
        <w:t>enclosed mini-basin fill</w:t>
      </w:r>
      <w:r w:rsidRPr="00F546EC">
        <w:rPr>
          <w:rFonts w:eastAsia="Times New Roman"/>
          <w:color w:val="000000"/>
        </w:rPr>
        <w:t xml:space="preserve"> deposits and might lead the unconventional assessment for further considerations of these shales. </w:t>
      </w:r>
      <w:r w:rsidR="00080C69">
        <w:rPr>
          <w:rFonts w:eastAsia="Times New Roman"/>
          <w:color w:val="000000"/>
        </w:rPr>
        <w:t xml:space="preserve">The depressions </w:t>
      </w:r>
      <w:r w:rsidR="00C40031">
        <w:rPr>
          <w:rFonts w:eastAsia="Times New Roman"/>
          <w:color w:val="000000"/>
        </w:rPr>
        <w:t xml:space="preserve">of pre-Woodford Shale </w:t>
      </w:r>
      <w:r w:rsidR="00C40031">
        <w:rPr>
          <w:rFonts w:eastAsia="Times New Roman"/>
          <w:color w:val="000000"/>
        </w:rPr>
        <w:lastRenderedPageBreak/>
        <w:t>strata can be s</w:t>
      </w:r>
      <w:r w:rsidR="00B53973">
        <w:rPr>
          <w:rFonts w:eastAsia="Times New Roman"/>
          <w:color w:val="000000"/>
        </w:rPr>
        <w:t>y</w:t>
      </w:r>
      <w:r w:rsidR="00C40031">
        <w:rPr>
          <w:rFonts w:eastAsia="Times New Roman"/>
          <w:color w:val="000000"/>
        </w:rPr>
        <w:t>stematically</w:t>
      </w:r>
      <w:r w:rsidR="00080C69">
        <w:rPr>
          <w:rFonts w:eastAsia="Times New Roman"/>
          <w:color w:val="000000"/>
        </w:rPr>
        <w:t xml:space="preserve"> recognized</w:t>
      </w:r>
      <w:r w:rsidR="00192162">
        <w:rPr>
          <w:rFonts w:eastAsia="Times New Roman"/>
          <w:color w:val="000000"/>
        </w:rPr>
        <w:t>,</w:t>
      </w:r>
      <w:r w:rsidR="00080C69">
        <w:rPr>
          <w:rFonts w:eastAsia="Times New Roman"/>
          <w:color w:val="000000"/>
        </w:rPr>
        <w:t xml:space="preserve"> but the rock intervals that constitute these </w:t>
      </w:r>
      <w:r w:rsidR="00A22E4E">
        <w:rPr>
          <w:rFonts w:eastAsia="Times New Roman"/>
          <w:color w:val="000000"/>
        </w:rPr>
        <w:t>fill</w:t>
      </w:r>
      <w:r w:rsidR="00C40031">
        <w:rPr>
          <w:rFonts w:eastAsia="Times New Roman"/>
          <w:color w:val="000000"/>
        </w:rPr>
        <w:t>s</w:t>
      </w:r>
      <w:r w:rsidR="00080C69">
        <w:rPr>
          <w:rFonts w:eastAsia="Times New Roman"/>
          <w:color w:val="000000"/>
        </w:rPr>
        <w:t xml:space="preserve"> might not have been studied in detail</w:t>
      </w:r>
      <w:r w:rsidR="00D54418">
        <w:rPr>
          <w:rFonts w:eastAsia="Times New Roman"/>
          <w:color w:val="000000"/>
        </w:rPr>
        <w:t xml:space="preserve"> (Slatt, 2016)</w:t>
      </w:r>
      <w:r w:rsidR="00080C69">
        <w:rPr>
          <w:rFonts w:eastAsia="Times New Roman"/>
          <w:color w:val="000000"/>
        </w:rPr>
        <w:t xml:space="preserve">. </w:t>
      </w:r>
      <w:r w:rsidRPr="00F546EC">
        <w:rPr>
          <w:rFonts w:eastAsia="Times New Roman"/>
          <w:color w:val="000000"/>
        </w:rPr>
        <w:t xml:space="preserve">The products of this research </w:t>
      </w:r>
      <w:r w:rsidR="00D6523E" w:rsidRPr="00F546EC">
        <w:rPr>
          <w:rFonts w:eastAsia="Times New Roman"/>
          <w:color w:val="000000"/>
        </w:rPr>
        <w:t xml:space="preserve">can be useful and applicable to </w:t>
      </w:r>
      <w:r w:rsidRPr="00F546EC">
        <w:rPr>
          <w:rFonts w:eastAsia="Times New Roman"/>
          <w:color w:val="000000"/>
        </w:rPr>
        <w:t>determin</w:t>
      </w:r>
      <w:r w:rsidR="00D6523E" w:rsidRPr="00F546EC">
        <w:rPr>
          <w:rFonts w:eastAsia="Times New Roman"/>
          <w:color w:val="000000"/>
        </w:rPr>
        <w:t>ing</w:t>
      </w:r>
      <w:r w:rsidRPr="00F546EC">
        <w:rPr>
          <w:rFonts w:eastAsia="Times New Roman"/>
          <w:color w:val="000000"/>
        </w:rPr>
        <w:t xml:space="preserve"> if rocks of a marine environment under very </w:t>
      </w:r>
      <w:r w:rsidR="00C425B6" w:rsidRPr="00F546EC">
        <w:rPr>
          <w:rFonts w:eastAsia="Times New Roman"/>
          <w:color w:val="000000"/>
        </w:rPr>
        <w:t>controll</w:t>
      </w:r>
      <w:r w:rsidRPr="00F546EC">
        <w:rPr>
          <w:rFonts w:eastAsia="Times New Roman"/>
          <w:color w:val="000000"/>
        </w:rPr>
        <w:t>ed conditions can additionally support the accumulation of lacustrine</w:t>
      </w:r>
      <w:r w:rsidR="00C40031">
        <w:rPr>
          <w:rFonts w:eastAsia="Times New Roman"/>
          <w:color w:val="000000"/>
        </w:rPr>
        <w:t>-source</w:t>
      </w:r>
      <w:r w:rsidRPr="00F546EC">
        <w:rPr>
          <w:rFonts w:eastAsia="Times New Roman"/>
          <w:color w:val="000000"/>
        </w:rPr>
        <w:t xml:space="preserve"> organic matter</w:t>
      </w:r>
      <w:r w:rsidR="00B70ADA">
        <w:rPr>
          <w:rFonts w:eastAsia="Times New Roman"/>
          <w:color w:val="000000"/>
        </w:rPr>
        <w:t xml:space="preserve"> </w:t>
      </w:r>
      <w:r w:rsidR="00AD0798">
        <w:rPr>
          <w:rFonts w:eastAsia="Times New Roman"/>
          <w:color w:val="000000"/>
        </w:rPr>
        <w:t>(more oil</w:t>
      </w:r>
      <w:r w:rsidR="00DF6234">
        <w:rPr>
          <w:rFonts w:eastAsia="Times New Roman"/>
          <w:color w:val="000000"/>
        </w:rPr>
        <w:t>-</w:t>
      </w:r>
      <w:r w:rsidR="00AD0798">
        <w:rPr>
          <w:rFonts w:eastAsia="Times New Roman"/>
          <w:color w:val="000000"/>
        </w:rPr>
        <w:t xml:space="preserve">prone) </w:t>
      </w:r>
      <w:r w:rsidR="00B70ADA">
        <w:rPr>
          <w:rFonts w:eastAsia="Times New Roman"/>
          <w:color w:val="000000"/>
        </w:rPr>
        <w:t xml:space="preserve">under these </w:t>
      </w:r>
      <w:r w:rsidR="005D180A">
        <w:rPr>
          <w:rFonts w:eastAsia="Times New Roman"/>
          <w:color w:val="000000"/>
        </w:rPr>
        <w:t xml:space="preserve">types of </w:t>
      </w:r>
      <w:r w:rsidR="00B70ADA">
        <w:rPr>
          <w:rFonts w:eastAsia="Times New Roman"/>
          <w:color w:val="000000"/>
        </w:rPr>
        <w:t>depressions and paleo sea</w:t>
      </w:r>
      <w:r w:rsidR="00192162">
        <w:rPr>
          <w:rFonts w:eastAsia="Times New Roman"/>
          <w:color w:val="000000"/>
        </w:rPr>
        <w:t>-</w:t>
      </w:r>
      <w:r w:rsidR="00B70ADA">
        <w:rPr>
          <w:rFonts w:eastAsia="Times New Roman"/>
          <w:color w:val="000000"/>
        </w:rPr>
        <w:t>level fluctuations</w:t>
      </w:r>
      <w:r w:rsidRPr="00F546EC">
        <w:rPr>
          <w:rFonts w:eastAsia="Times New Roman"/>
          <w:color w:val="000000"/>
        </w:rPr>
        <w:t xml:space="preserve">. </w:t>
      </w:r>
    </w:p>
    <w:p w14:paraId="18985170" w14:textId="3178D5AE" w:rsidR="003E4375" w:rsidRPr="00F546EC" w:rsidRDefault="003E4375" w:rsidP="00530D25">
      <w:pPr>
        <w:pStyle w:val="Heading2"/>
        <w:numPr>
          <w:ilvl w:val="1"/>
          <w:numId w:val="2"/>
        </w:numPr>
      </w:pPr>
      <w:bookmarkStart w:id="52" w:name="_Toc25833533"/>
      <w:bookmarkStart w:id="53" w:name="_Hlk26367642"/>
      <w:bookmarkStart w:id="54" w:name="_Toc35861088"/>
      <w:r w:rsidRPr="00F546EC">
        <w:t>Cited References</w:t>
      </w:r>
      <w:bookmarkEnd w:id="52"/>
      <w:bookmarkEnd w:id="54"/>
    </w:p>
    <w:p w14:paraId="26790557" w14:textId="09307681"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Adams, C., 2009</w:t>
      </w:r>
      <w:r w:rsidR="00FD3DCC" w:rsidRPr="00183F0C">
        <w:rPr>
          <w:rFonts w:eastAsia="Times New Roman"/>
          <w:color w:val="000000"/>
        </w:rPr>
        <w:t>.</w:t>
      </w:r>
      <w:r w:rsidRPr="00183F0C">
        <w:rPr>
          <w:rFonts w:eastAsia="Times New Roman"/>
          <w:color w:val="000000"/>
        </w:rPr>
        <w:t xml:space="preserve"> Shale </w:t>
      </w:r>
      <w:r w:rsidR="00F961AD">
        <w:rPr>
          <w:rFonts w:eastAsia="Times New Roman"/>
          <w:color w:val="000000"/>
        </w:rPr>
        <w:t>g</w:t>
      </w:r>
      <w:r w:rsidRPr="00183F0C">
        <w:rPr>
          <w:rFonts w:eastAsia="Times New Roman"/>
          <w:color w:val="000000"/>
        </w:rPr>
        <w:t xml:space="preserve">as </w:t>
      </w:r>
      <w:r w:rsidR="00F961AD">
        <w:rPr>
          <w:rFonts w:eastAsia="Times New Roman"/>
          <w:color w:val="000000"/>
        </w:rPr>
        <w:t>a</w:t>
      </w:r>
      <w:r w:rsidRPr="00183F0C">
        <w:rPr>
          <w:rFonts w:eastAsia="Times New Roman"/>
          <w:color w:val="000000"/>
        </w:rPr>
        <w:t xml:space="preserve">ctivity in British Columbia, </w:t>
      </w:r>
      <w:r w:rsidR="00416E94">
        <w:rPr>
          <w:rFonts w:eastAsia="Times New Roman"/>
          <w:color w:val="000000"/>
        </w:rPr>
        <w:t>e</w:t>
      </w:r>
      <w:r w:rsidRPr="00183F0C">
        <w:rPr>
          <w:rFonts w:eastAsia="Times New Roman"/>
          <w:color w:val="000000"/>
        </w:rPr>
        <w:t>xploration</w:t>
      </w:r>
      <w:r w:rsidR="00416E94">
        <w:rPr>
          <w:rFonts w:eastAsia="Times New Roman"/>
          <w:color w:val="000000"/>
        </w:rPr>
        <w:t>,</w:t>
      </w:r>
      <w:r w:rsidRPr="00183F0C">
        <w:rPr>
          <w:rFonts w:eastAsia="Times New Roman"/>
          <w:color w:val="000000"/>
        </w:rPr>
        <w:t xml:space="preserve"> and </w:t>
      </w:r>
      <w:r w:rsidR="00416E94">
        <w:rPr>
          <w:rFonts w:eastAsia="Times New Roman"/>
          <w:color w:val="000000"/>
        </w:rPr>
        <w:t>d</w:t>
      </w:r>
      <w:r w:rsidRPr="00183F0C">
        <w:rPr>
          <w:rFonts w:eastAsia="Times New Roman"/>
          <w:color w:val="000000"/>
        </w:rPr>
        <w:t xml:space="preserve">evelopment of BC's </w:t>
      </w:r>
      <w:r w:rsidR="00416E94">
        <w:rPr>
          <w:rFonts w:eastAsia="Times New Roman"/>
          <w:color w:val="000000"/>
        </w:rPr>
        <w:t>s</w:t>
      </w:r>
      <w:r w:rsidRPr="00183F0C">
        <w:rPr>
          <w:rFonts w:eastAsia="Times New Roman"/>
          <w:color w:val="000000"/>
        </w:rPr>
        <w:t xml:space="preserve">hale </w:t>
      </w:r>
      <w:r w:rsidR="00416E94">
        <w:rPr>
          <w:rFonts w:eastAsia="Times New Roman"/>
          <w:color w:val="000000"/>
        </w:rPr>
        <w:t>g</w:t>
      </w:r>
      <w:r w:rsidRPr="00183F0C">
        <w:rPr>
          <w:rFonts w:eastAsia="Times New Roman"/>
          <w:color w:val="000000"/>
        </w:rPr>
        <w:t xml:space="preserve">as </w:t>
      </w:r>
      <w:r w:rsidR="00416E94">
        <w:rPr>
          <w:rFonts w:eastAsia="Times New Roman"/>
          <w:color w:val="000000"/>
        </w:rPr>
        <w:t>a</w:t>
      </w:r>
      <w:r w:rsidRPr="00183F0C">
        <w:rPr>
          <w:rFonts w:eastAsia="Times New Roman"/>
          <w:color w:val="000000"/>
        </w:rPr>
        <w:t>reas</w:t>
      </w:r>
      <w:r w:rsidR="00416E94">
        <w:rPr>
          <w:rFonts w:eastAsia="Times New Roman"/>
          <w:color w:val="000000"/>
        </w:rPr>
        <w:t>. Mi</w:t>
      </w:r>
      <w:r w:rsidRPr="00183F0C">
        <w:rPr>
          <w:rFonts w:eastAsia="Times New Roman"/>
          <w:color w:val="000000"/>
        </w:rPr>
        <w:t xml:space="preserve">nistry of </w:t>
      </w:r>
      <w:r w:rsidR="00416E94">
        <w:rPr>
          <w:rFonts w:eastAsia="Times New Roman"/>
          <w:color w:val="000000"/>
        </w:rPr>
        <w:t>e</w:t>
      </w:r>
      <w:r w:rsidRPr="00183F0C">
        <w:rPr>
          <w:rFonts w:eastAsia="Times New Roman"/>
          <w:color w:val="000000"/>
        </w:rPr>
        <w:t xml:space="preserve">nergy, </w:t>
      </w:r>
      <w:r w:rsidR="00416E94">
        <w:rPr>
          <w:rFonts w:eastAsia="Times New Roman"/>
          <w:color w:val="000000"/>
        </w:rPr>
        <w:t>m</w:t>
      </w:r>
      <w:r w:rsidRPr="00183F0C">
        <w:rPr>
          <w:rFonts w:eastAsia="Times New Roman"/>
          <w:color w:val="000000"/>
        </w:rPr>
        <w:t xml:space="preserve">ines and </w:t>
      </w:r>
      <w:r w:rsidR="00416E94">
        <w:rPr>
          <w:rFonts w:eastAsia="Times New Roman"/>
          <w:color w:val="000000"/>
        </w:rPr>
        <w:t>p</w:t>
      </w:r>
      <w:r w:rsidRPr="00183F0C">
        <w:rPr>
          <w:rFonts w:eastAsia="Times New Roman"/>
          <w:color w:val="000000"/>
        </w:rPr>
        <w:t xml:space="preserve">etroleum </w:t>
      </w:r>
      <w:r w:rsidR="00416E94">
        <w:rPr>
          <w:rFonts w:eastAsia="Times New Roman"/>
          <w:color w:val="000000"/>
        </w:rPr>
        <w:t>r</w:t>
      </w:r>
      <w:r w:rsidRPr="00183F0C">
        <w:rPr>
          <w:rFonts w:eastAsia="Times New Roman"/>
          <w:color w:val="000000"/>
        </w:rPr>
        <w:t xml:space="preserve">esources, </w:t>
      </w:r>
      <w:r w:rsidR="00416E94">
        <w:rPr>
          <w:rFonts w:eastAsia="Times New Roman"/>
          <w:color w:val="000000"/>
        </w:rPr>
        <w:t>r</w:t>
      </w:r>
      <w:r w:rsidRPr="00183F0C">
        <w:rPr>
          <w:rFonts w:eastAsia="Times New Roman"/>
          <w:color w:val="000000"/>
        </w:rPr>
        <w:t xml:space="preserve">esource </w:t>
      </w:r>
      <w:r w:rsidR="00416E94">
        <w:rPr>
          <w:rFonts w:eastAsia="Times New Roman"/>
          <w:color w:val="000000"/>
        </w:rPr>
        <w:t>d</w:t>
      </w:r>
      <w:r w:rsidRPr="00183F0C">
        <w:rPr>
          <w:rFonts w:eastAsia="Times New Roman"/>
          <w:color w:val="000000"/>
        </w:rPr>
        <w:t>evelopment</w:t>
      </w:r>
      <w:r w:rsidR="00BA1BCF">
        <w:rPr>
          <w:rFonts w:eastAsia="Times New Roman"/>
          <w:color w:val="000000"/>
        </w:rPr>
        <w:t>,</w:t>
      </w:r>
      <w:r w:rsidRPr="00183F0C">
        <w:rPr>
          <w:rFonts w:eastAsia="Times New Roman"/>
          <w:color w:val="000000"/>
        </w:rPr>
        <w:t xml:space="preserve"> and </w:t>
      </w:r>
      <w:r w:rsidR="00416E94">
        <w:rPr>
          <w:rFonts w:eastAsia="Times New Roman"/>
          <w:color w:val="000000"/>
        </w:rPr>
        <w:t>g</w:t>
      </w:r>
      <w:r w:rsidRPr="00183F0C">
        <w:rPr>
          <w:rFonts w:eastAsia="Times New Roman"/>
          <w:color w:val="000000"/>
        </w:rPr>
        <w:t xml:space="preserve">eoscience </w:t>
      </w:r>
      <w:r w:rsidR="00416E94">
        <w:rPr>
          <w:rFonts w:eastAsia="Times New Roman"/>
          <w:color w:val="000000"/>
        </w:rPr>
        <w:t>b</w:t>
      </w:r>
      <w:r w:rsidRPr="00183F0C">
        <w:rPr>
          <w:rFonts w:eastAsia="Times New Roman"/>
          <w:color w:val="000000"/>
        </w:rPr>
        <w:t>ranch</w:t>
      </w:r>
      <w:r w:rsidR="00416E94">
        <w:rPr>
          <w:rFonts w:eastAsia="Times New Roman"/>
          <w:color w:val="000000"/>
        </w:rPr>
        <w:t>.</w:t>
      </w:r>
      <w:r w:rsidRPr="00183F0C">
        <w:rPr>
          <w:rFonts w:eastAsia="Times New Roman"/>
          <w:color w:val="000000"/>
        </w:rPr>
        <w:t xml:space="preserve"> 3rd Annual </w:t>
      </w:r>
      <w:r w:rsidR="00416E94">
        <w:rPr>
          <w:rFonts w:eastAsia="Times New Roman"/>
          <w:color w:val="000000"/>
        </w:rPr>
        <w:t>u</w:t>
      </w:r>
      <w:r w:rsidRPr="00183F0C">
        <w:rPr>
          <w:rFonts w:eastAsia="Times New Roman"/>
          <w:color w:val="000000"/>
        </w:rPr>
        <w:t xml:space="preserve">nconventional </w:t>
      </w:r>
      <w:r w:rsidR="00416E94">
        <w:rPr>
          <w:rFonts w:eastAsia="Times New Roman"/>
          <w:color w:val="000000"/>
        </w:rPr>
        <w:t>g</w:t>
      </w:r>
      <w:r w:rsidRPr="00183F0C">
        <w:rPr>
          <w:rFonts w:eastAsia="Times New Roman"/>
          <w:color w:val="000000"/>
        </w:rPr>
        <w:t xml:space="preserve">as </w:t>
      </w:r>
      <w:r w:rsidR="00416E94">
        <w:rPr>
          <w:rFonts w:eastAsia="Times New Roman"/>
          <w:color w:val="000000"/>
        </w:rPr>
        <w:t>t</w:t>
      </w:r>
      <w:r w:rsidRPr="00183F0C">
        <w:rPr>
          <w:rFonts w:eastAsia="Times New Roman"/>
          <w:color w:val="000000"/>
        </w:rPr>
        <w:t xml:space="preserve">echnical </w:t>
      </w:r>
      <w:r w:rsidR="00416E94">
        <w:rPr>
          <w:rFonts w:eastAsia="Times New Roman"/>
          <w:color w:val="000000"/>
        </w:rPr>
        <w:t>f</w:t>
      </w:r>
      <w:r w:rsidRPr="00183F0C">
        <w:rPr>
          <w:rFonts w:eastAsia="Times New Roman"/>
          <w:color w:val="000000"/>
        </w:rPr>
        <w:t>orum</w:t>
      </w:r>
      <w:r w:rsidR="00416E94">
        <w:rPr>
          <w:rFonts w:eastAsia="Times New Roman"/>
          <w:color w:val="000000"/>
        </w:rPr>
        <w:t xml:space="preserve">, Canada. </w:t>
      </w:r>
    </w:p>
    <w:p w14:paraId="159A27F6" w14:textId="377EAFCE" w:rsidR="00FF0AF9" w:rsidRPr="00183F0C" w:rsidRDefault="00460281" w:rsidP="00415E04">
      <w:pPr>
        <w:pStyle w:val="ListParagraph"/>
        <w:numPr>
          <w:ilvl w:val="0"/>
          <w:numId w:val="3"/>
        </w:numPr>
        <w:ind w:left="360"/>
        <w:rPr>
          <w:rFonts w:eastAsia="Times New Roman"/>
          <w:color w:val="000000"/>
        </w:rPr>
      </w:pPr>
      <w:r w:rsidRPr="00183F0C">
        <w:rPr>
          <w:rFonts w:eastAsia="Times New Roman"/>
          <w:color w:val="000000"/>
        </w:rPr>
        <w:t>Althoff</w:t>
      </w:r>
      <w:r w:rsidR="00FF0AF9" w:rsidRPr="00183F0C">
        <w:rPr>
          <w:rFonts w:eastAsia="Times New Roman"/>
          <w:color w:val="000000"/>
        </w:rPr>
        <w:t xml:space="preserve">, C., 2012. Characterization of depositional megacycles in the Woodford </w:t>
      </w:r>
      <w:r w:rsidR="00F961AD">
        <w:rPr>
          <w:rFonts w:eastAsia="Times New Roman"/>
          <w:color w:val="000000"/>
        </w:rPr>
        <w:t>t</w:t>
      </w:r>
      <w:r w:rsidR="00FF0AF9" w:rsidRPr="00183F0C">
        <w:rPr>
          <w:rFonts w:eastAsia="Times New Roman"/>
          <w:color w:val="000000"/>
        </w:rPr>
        <w:t xml:space="preserve">rough of Central Oklahoma. M.Sc. </w:t>
      </w:r>
      <w:r w:rsidR="00F961AD">
        <w:rPr>
          <w:rFonts w:eastAsia="Times New Roman"/>
          <w:color w:val="000000"/>
        </w:rPr>
        <w:t>t</w:t>
      </w:r>
      <w:r w:rsidR="00FF0AF9" w:rsidRPr="00183F0C">
        <w:rPr>
          <w:rFonts w:eastAsia="Times New Roman"/>
          <w:color w:val="000000"/>
        </w:rPr>
        <w:t>hesis manuscript, The University of Oklahoma</w:t>
      </w:r>
      <w:r w:rsidR="00F961AD">
        <w:rPr>
          <w:rFonts w:eastAsia="Times New Roman"/>
          <w:color w:val="000000"/>
        </w:rPr>
        <w:t>,</w:t>
      </w:r>
      <w:r w:rsidR="00805567">
        <w:rPr>
          <w:rFonts w:eastAsia="Times New Roman"/>
          <w:color w:val="000000"/>
        </w:rPr>
        <w:t xml:space="preserve"> p</w:t>
      </w:r>
      <w:r w:rsidR="00F961AD">
        <w:rPr>
          <w:rFonts w:eastAsia="Times New Roman"/>
          <w:color w:val="000000"/>
        </w:rPr>
        <w:t>.</w:t>
      </w:r>
      <w:r w:rsidR="00805567">
        <w:rPr>
          <w:rFonts w:eastAsia="Times New Roman"/>
          <w:color w:val="000000"/>
        </w:rPr>
        <w:t xml:space="preserve"> 167.</w:t>
      </w:r>
    </w:p>
    <w:p w14:paraId="36AE087E" w14:textId="7BD78BB3" w:rsidR="00CB3EF8" w:rsidRPr="00183F0C" w:rsidRDefault="00CB3EF8" w:rsidP="00415E04">
      <w:pPr>
        <w:pStyle w:val="ListParagraph"/>
        <w:numPr>
          <w:ilvl w:val="0"/>
          <w:numId w:val="3"/>
        </w:numPr>
        <w:ind w:left="360"/>
        <w:rPr>
          <w:rFonts w:eastAsia="Times New Roman"/>
          <w:color w:val="000000"/>
        </w:rPr>
      </w:pPr>
      <w:r w:rsidRPr="00183F0C">
        <w:rPr>
          <w:rFonts w:eastAsia="Times New Roman"/>
          <w:color w:val="000000"/>
        </w:rPr>
        <w:t>American Geological Institute</w:t>
      </w:r>
      <w:r w:rsidR="00591510" w:rsidRPr="00183F0C">
        <w:rPr>
          <w:rFonts w:eastAsia="Times New Roman"/>
          <w:color w:val="000000"/>
        </w:rPr>
        <w:t xml:space="preserve"> AGI</w:t>
      </w:r>
      <w:r w:rsidRPr="00183F0C">
        <w:rPr>
          <w:rFonts w:eastAsia="Times New Roman"/>
          <w:color w:val="000000"/>
        </w:rPr>
        <w:t xml:space="preserve">, 1960. Glossary of </w:t>
      </w:r>
      <w:r w:rsidR="00F961AD">
        <w:rPr>
          <w:rFonts w:eastAsia="Times New Roman"/>
          <w:color w:val="000000"/>
        </w:rPr>
        <w:t>g</w:t>
      </w:r>
      <w:r w:rsidRPr="00183F0C">
        <w:rPr>
          <w:rFonts w:eastAsia="Times New Roman"/>
          <w:color w:val="000000"/>
        </w:rPr>
        <w:t xml:space="preserve">eology and </w:t>
      </w:r>
      <w:r w:rsidR="00F961AD">
        <w:rPr>
          <w:rFonts w:eastAsia="Times New Roman"/>
          <w:color w:val="000000"/>
        </w:rPr>
        <w:t>r</w:t>
      </w:r>
      <w:r w:rsidRPr="00183F0C">
        <w:rPr>
          <w:rFonts w:eastAsia="Times New Roman"/>
          <w:color w:val="000000"/>
        </w:rPr>
        <w:t xml:space="preserve">elated </w:t>
      </w:r>
      <w:r w:rsidR="00F961AD">
        <w:rPr>
          <w:rFonts w:eastAsia="Times New Roman"/>
          <w:color w:val="000000"/>
        </w:rPr>
        <w:t>s</w:t>
      </w:r>
      <w:r w:rsidRPr="00183F0C">
        <w:rPr>
          <w:rFonts w:eastAsia="Times New Roman"/>
          <w:color w:val="000000"/>
        </w:rPr>
        <w:t>ciences</w:t>
      </w:r>
      <w:r w:rsidR="00F961AD">
        <w:rPr>
          <w:rFonts w:eastAsia="Times New Roman"/>
          <w:color w:val="000000"/>
        </w:rPr>
        <w:t xml:space="preserve"> </w:t>
      </w:r>
      <w:r w:rsidRPr="00183F0C">
        <w:rPr>
          <w:rFonts w:eastAsia="Times New Roman"/>
          <w:color w:val="000000"/>
        </w:rPr>
        <w:t>1957</w:t>
      </w:r>
      <w:r w:rsidR="00F961AD">
        <w:rPr>
          <w:rFonts w:eastAsia="Times New Roman"/>
          <w:color w:val="000000"/>
        </w:rPr>
        <w:t>,</w:t>
      </w:r>
      <w:r w:rsidRPr="00183F0C">
        <w:rPr>
          <w:rFonts w:eastAsia="Times New Roman"/>
          <w:color w:val="000000"/>
        </w:rPr>
        <w:t xml:space="preserve"> </w:t>
      </w:r>
      <w:r w:rsidR="00F961AD" w:rsidRPr="00183F0C">
        <w:rPr>
          <w:rFonts w:eastAsia="Times New Roman"/>
          <w:color w:val="000000"/>
        </w:rPr>
        <w:t xml:space="preserve">Washington, DC., </w:t>
      </w:r>
      <w:r w:rsidR="00F961AD">
        <w:rPr>
          <w:rFonts w:eastAsia="Times New Roman"/>
          <w:color w:val="000000"/>
        </w:rPr>
        <w:t xml:space="preserve">p. </w:t>
      </w:r>
      <w:r w:rsidRPr="00183F0C">
        <w:rPr>
          <w:rFonts w:eastAsia="Times New Roman"/>
          <w:color w:val="000000"/>
        </w:rPr>
        <w:t>325</w:t>
      </w:r>
      <w:r w:rsidR="00D3040C">
        <w:rPr>
          <w:rFonts w:eastAsia="Times New Roman"/>
          <w:color w:val="000000"/>
        </w:rPr>
        <w:t>.</w:t>
      </w:r>
      <w:r w:rsidRPr="00183F0C">
        <w:rPr>
          <w:rFonts w:eastAsia="Times New Roman"/>
          <w:color w:val="000000"/>
        </w:rPr>
        <w:t xml:space="preserve"> </w:t>
      </w:r>
      <w:r w:rsidR="00D3040C">
        <w:rPr>
          <w:rFonts w:eastAsia="Times New Roman"/>
          <w:color w:val="000000"/>
        </w:rPr>
        <w:t>S</w:t>
      </w:r>
      <w:r w:rsidRPr="00183F0C">
        <w:rPr>
          <w:rFonts w:eastAsia="Times New Roman"/>
          <w:color w:val="000000"/>
        </w:rPr>
        <w:t xml:space="preserve">upplement, 1960, </w:t>
      </w:r>
      <w:r w:rsidR="00F961AD">
        <w:rPr>
          <w:rFonts w:eastAsia="Times New Roman"/>
          <w:color w:val="000000"/>
        </w:rPr>
        <w:t xml:space="preserve">p. </w:t>
      </w:r>
      <w:r w:rsidRPr="00183F0C">
        <w:rPr>
          <w:rFonts w:eastAsia="Times New Roman"/>
          <w:color w:val="000000"/>
        </w:rPr>
        <w:t>72</w:t>
      </w:r>
      <w:r w:rsidR="00F961AD">
        <w:rPr>
          <w:rFonts w:eastAsia="Times New Roman"/>
          <w:color w:val="000000"/>
        </w:rPr>
        <w:t>.</w:t>
      </w:r>
    </w:p>
    <w:p w14:paraId="54D7B183" w14:textId="2A37A20D" w:rsidR="00EB20BF" w:rsidRDefault="00EB20BF" w:rsidP="00415E04">
      <w:pPr>
        <w:pStyle w:val="ListParagraph"/>
        <w:numPr>
          <w:ilvl w:val="0"/>
          <w:numId w:val="3"/>
        </w:numPr>
        <w:ind w:left="360"/>
        <w:rPr>
          <w:rFonts w:eastAsia="Times New Roman"/>
          <w:color w:val="000000"/>
        </w:rPr>
      </w:pPr>
      <w:r w:rsidRPr="00183F0C">
        <w:rPr>
          <w:rFonts w:eastAsia="Times New Roman"/>
          <w:color w:val="000000"/>
        </w:rPr>
        <w:t>Amorocho-Sanchez, J.D., 2012</w:t>
      </w:r>
      <w:r w:rsidR="00F961AD">
        <w:rPr>
          <w:rFonts w:eastAsia="Times New Roman"/>
          <w:color w:val="000000"/>
        </w:rPr>
        <w:t xml:space="preserve">. </w:t>
      </w:r>
      <w:r w:rsidRPr="00183F0C">
        <w:rPr>
          <w:rFonts w:eastAsia="Times New Roman"/>
          <w:color w:val="000000"/>
        </w:rPr>
        <w:t xml:space="preserve">Sequence stratigraphy and seismic interpretation of the </w:t>
      </w:r>
      <w:r w:rsidR="00F216D5">
        <w:rPr>
          <w:rFonts w:eastAsia="Times New Roman"/>
          <w:color w:val="000000"/>
        </w:rPr>
        <w:t>U</w:t>
      </w:r>
      <w:r w:rsidRPr="00183F0C">
        <w:rPr>
          <w:rFonts w:eastAsia="Times New Roman"/>
          <w:color w:val="000000"/>
        </w:rPr>
        <w:t xml:space="preserve">pper Devonian- </w:t>
      </w:r>
      <w:r w:rsidR="00F216D5">
        <w:rPr>
          <w:rFonts w:eastAsia="Times New Roman"/>
          <w:color w:val="000000"/>
        </w:rPr>
        <w:t>L</w:t>
      </w:r>
      <w:r w:rsidRPr="00183F0C">
        <w:rPr>
          <w:rFonts w:eastAsia="Times New Roman"/>
          <w:color w:val="000000"/>
        </w:rPr>
        <w:t xml:space="preserve">ower Mississippian Woodford Shale in the Cherokee </w:t>
      </w:r>
      <w:r w:rsidR="00F961AD">
        <w:rPr>
          <w:rFonts w:eastAsia="Times New Roman"/>
          <w:color w:val="000000"/>
        </w:rPr>
        <w:t>pl</w:t>
      </w:r>
      <w:r w:rsidRPr="00183F0C">
        <w:rPr>
          <w:rFonts w:eastAsia="Times New Roman"/>
          <w:color w:val="000000"/>
        </w:rPr>
        <w:t xml:space="preserve">atform: a characterization approach for unconventional resources. M.Sc. </w:t>
      </w:r>
      <w:r w:rsidR="00F961AD">
        <w:rPr>
          <w:rFonts w:eastAsia="Times New Roman"/>
          <w:color w:val="000000"/>
        </w:rPr>
        <w:t>t</w:t>
      </w:r>
      <w:r w:rsidRPr="00183F0C">
        <w:rPr>
          <w:rFonts w:eastAsia="Times New Roman"/>
          <w:color w:val="000000"/>
        </w:rPr>
        <w:t>hesis manuscript, The University of Oklahoma</w:t>
      </w:r>
      <w:r w:rsidR="00F961AD">
        <w:rPr>
          <w:rFonts w:eastAsia="Times New Roman"/>
          <w:color w:val="000000"/>
        </w:rPr>
        <w:t xml:space="preserve">, </w:t>
      </w:r>
      <w:r w:rsidR="00805567">
        <w:rPr>
          <w:rFonts w:eastAsia="Times New Roman"/>
          <w:color w:val="000000"/>
        </w:rPr>
        <w:t>p</w:t>
      </w:r>
      <w:r w:rsidR="00F961AD">
        <w:rPr>
          <w:rFonts w:eastAsia="Times New Roman"/>
          <w:color w:val="000000"/>
        </w:rPr>
        <w:t>.</w:t>
      </w:r>
      <w:r w:rsidR="00805567">
        <w:rPr>
          <w:rFonts w:eastAsia="Times New Roman"/>
          <w:color w:val="000000"/>
        </w:rPr>
        <w:t xml:space="preserve"> 153</w:t>
      </w:r>
      <w:r w:rsidR="00F961AD">
        <w:rPr>
          <w:rFonts w:eastAsia="Times New Roman"/>
          <w:color w:val="000000"/>
        </w:rPr>
        <w:t>.</w:t>
      </w:r>
    </w:p>
    <w:p w14:paraId="2B6623DF" w14:textId="77777777" w:rsidR="00A47976" w:rsidRPr="002E3512" w:rsidRDefault="00A47976" w:rsidP="00A47976">
      <w:pPr>
        <w:pStyle w:val="ListParagraph"/>
        <w:numPr>
          <w:ilvl w:val="0"/>
          <w:numId w:val="3"/>
        </w:numPr>
        <w:ind w:left="360"/>
        <w:rPr>
          <w:rFonts w:eastAsia="Times New Roman"/>
          <w:color w:val="000000"/>
        </w:rPr>
      </w:pPr>
      <w:r w:rsidRPr="000E10B4">
        <w:rPr>
          <w:rFonts w:eastAsia="Times New Roman"/>
          <w:color w:val="000000"/>
        </w:rPr>
        <w:t>Bauernfeind, P.E., 1980</w:t>
      </w:r>
      <w:r>
        <w:rPr>
          <w:rFonts w:eastAsia="Times New Roman"/>
          <w:color w:val="000000"/>
        </w:rPr>
        <w:t>.</w:t>
      </w:r>
      <w:r w:rsidRPr="000E10B4">
        <w:rPr>
          <w:rFonts w:eastAsia="Times New Roman"/>
          <w:color w:val="000000"/>
        </w:rPr>
        <w:t xml:space="preserve"> The </w:t>
      </w:r>
      <w:r>
        <w:rPr>
          <w:rFonts w:eastAsia="Times New Roman"/>
          <w:color w:val="000000"/>
        </w:rPr>
        <w:t>M</w:t>
      </w:r>
      <w:r w:rsidRPr="000E10B4">
        <w:rPr>
          <w:rFonts w:eastAsia="Times New Roman"/>
          <w:color w:val="000000"/>
        </w:rPr>
        <w:t xml:space="preserve">isener </w:t>
      </w:r>
      <w:r>
        <w:rPr>
          <w:rFonts w:eastAsia="Times New Roman"/>
          <w:color w:val="000000"/>
        </w:rPr>
        <w:t>s</w:t>
      </w:r>
      <w:r w:rsidRPr="000E10B4">
        <w:rPr>
          <w:rFonts w:eastAsia="Times New Roman"/>
          <w:color w:val="000000"/>
        </w:rPr>
        <w:t>andstone in portions of Lincoln and Creek Counties, Oklahoma</w:t>
      </w:r>
      <w:r>
        <w:rPr>
          <w:rFonts w:eastAsia="Times New Roman"/>
          <w:color w:val="000000"/>
        </w:rPr>
        <w:t>. Oklahoma City Geological Society,</w:t>
      </w:r>
      <w:r w:rsidRPr="000E10B4">
        <w:rPr>
          <w:rFonts w:eastAsia="Times New Roman"/>
          <w:color w:val="000000"/>
        </w:rPr>
        <w:t xml:space="preserve"> Shale Shaker Digest, 30, 1-30</w:t>
      </w:r>
      <w:r>
        <w:rPr>
          <w:rFonts w:eastAsia="Times New Roman"/>
          <w:color w:val="000000"/>
        </w:rPr>
        <w:t>.</w:t>
      </w:r>
    </w:p>
    <w:p w14:paraId="0BCE914E" w14:textId="77285229"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 xml:space="preserve">Bohacs, K.K., 2012. Relation of hydrocarbon reservoir potential to lake-basin type: an integrated approach to unraveling complex genetic relations among ﬂuvial, lake-plain, </w:t>
      </w:r>
      <w:r w:rsidR="00F961AD">
        <w:rPr>
          <w:rFonts w:eastAsia="Times New Roman"/>
          <w:color w:val="000000"/>
        </w:rPr>
        <w:t>l</w:t>
      </w:r>
      <w:r w:rsidRPr="00183F0C">
        <w:rPr>
          <w:rFonts w:eastAsia="Times New Roman"/>
          <w:color w:val="000000"/>
        </w:rPr>
        <w:t xml:space="preserve">ake </w:t>
      </w:r>
      <w:r w:rsidR="00F961AD">
        <w:rPr>
          <w:rFonts w:eastAsia="Times New Roman"/>
          <w:color w:val="000000"/>
        </w:rPr>
        <w:t>m</w:t>
      </w:r>
      <w:r w:rsidRPr="00183F0C">
        <w:rPr>
          <w:rFonts w:eastAsia="Times New Roman"/>
          <w:color w:val="000000"/>
        </w:rPr>
        <w:t>argin, and lake cent</w:t>
      </w:r>
      <w:r w:rsidR="00C425B6" w:rsidRPr="00183F0C">
        <w:rPr>
          <w:rFonts w:eastAsia="Times New Roman"/>
          <w:color w:val="000000"/>
        </w:rPr>
        <w:t>er</w:t>
      </w:r>
      <w:r w:rsidRPr="00183F0C">
        <w:rPr>
          <w:rFonts w:eastAsia="Times New Roman"/>
          <w:color w:val="000000"/>
        </w:rPr>
        <w:t xml:space="preserve"> strata. In: Baganz, O.W., Bartov, Y., Bohacs, K., Nummedal, D.</w:t>
      </w:r>
      <w:r w:rsidR="00F961AD">
        <w:rPr>
          <w:rFonts w:eastAsia="Times New Roman"/>
          <w:color w:val="000000"/>
        </w:rPr>
        <w:t>, e</w:t>
      </w:r>
      <w:r w:rsidRPr="00183F0C">
        <w:rPr>
          <w:rFonts w:eastAsia="Times New Roman"/>
          <w:color w:val="000000"/>
        </w:rPr>
        <w:t xml:space="preserve">ds., Lacustrine </w:t>
      </w:r>
      <w:r w:rsidR="00F961AD">
        <w:rPr>
          <w:rFonts w:eastAsia="Times New Roman"/>
          <w:color w:val="000000"/>
        </w:rPr>
        <w:t>s</w:t>
      </w:r>
      <w:r w:rsidRPr="00183F0C">
        <w:rPr>
          <w:rFonts w:eastAsia="Times New Roman"/>
          <w:color w:val="000000"/>
        </w:rPr>
        <w:t xml:space="preserve">andstone </w:t>
      </w:r>
      <w:r w:rsidR="00F961AD">
        <w:rPr>
          <w:rFonts w:eastAsia="Times New Roman"/>
          <w:color w:val="000000"/>
        </w:rPr>
        <w:t>r</w:t>
      </w:r>
      <w:r w:rsidRPr="00183F0C">
        <w:rPr>
          <w:rFonts w:eastAsia="Times New Roman"/>
          <w:color w:val="000000"/>
        </w:rPr>
        <w:t xml:space="preserve">eservoirs and </w:t>
      </w:r>
      <w:r w:rsidR="00F961AD">
        <w:rPr>
          <w:rFonts w:eastAsia="Times New Roman"/>
          <w:color w:val="000000"/>
        </w:rPr>
        <w:t>h</w:t>
      </w:r>
      <w:r w:rsidRPr="00183F0C">
        <w:rPr>
          <w:rFonts w:eastAsia="Times New Roman"/>
          <w:color w:val="000000"/>
        </w:rPr>
        <w:t xml:space="preserve">ydrocarbon </w:t>
      </w:r>
      <w:r w:rsidR="00F961AD">
        <w:rPr>
          <w:rFonts w:eastAsia="Times New Roman"/>
          <w:color w:val="000000"/>
        </w:rPr>
        <w:t>s</w:t>
      </w:r>
      <w:r w:rsidRPr="00183F0C">
        <w:rPr>
          <w:rFonts w:eastAsia="Times New Roman"/>
          <w:color w:val="000000"/>
        </w:rPr>
        <w:t>ystems. AAPG Mem</w:t>
      </w:r>
      <w:r w:rsidR="00F961AD">
        <w:rPr>
          <w:rFonts w:eastAsia="Times New Roman"/>
          <w:color w:val="000000"/>
        </w:rPr>
        <w:t>oir</w:t>
      </w:r>
      <w:r w:rsidRPr="00183F0C">
        <w:rPr>
          <w:rFonts w:eastAsia="Times New Roman"/>
          <w:color w:val="000000"/>
        </w:rPr>
        <w:t xml:space="preserve"> 95, 13-56.</w:t>
      </w:r>
    </w:p>
    <w:p w14:paraId="0EA927BE" w14:textId="6174B240"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Bohacs, K.M., Carroll, A.R., Neal, J.E., Mankiewicz, P.J., 2000. Lake-basin type, source potential, and hydrocarbon character: an integrated-sequence-stratigraphic geochemical framework. In: Gierlowski-Kordesch, E.H.,</w:t>
      </w:r>
      <w:r w:rsidR="007A36E9">
        <w:rPr>
          <w:rFonts w:eastAsia="Times New Roman"/>
          <w:color w:val="000000"/>
        </w:rPr>
        <w:t xml:space="preserve"> and</w:t>
      </w:r>
      <w:r w:rsidRPr="00183F0C">
        <w:rPr>
          <w:rFonts w:eastAsia="Times New Roman"/>
          <w:color w:val="000000"/>
        </w:rPr>
        <w:t xml:space="preserve"> Kelts, K.R.</w:t>
      </w:r>
      <w:r w:rsidR="00F961AD">
        <w:rPr>
          <w:rFonts w:eastAsia="Times New Roman"/>
          <w:color w:val="000000"/>
        </w:rPr>
        <w:t>, e</w:t>
      </w:r>
      <w:r w:rsidRPr="00183F0C">
        <w:rPr>
          <w:rFonts w:eastAsia="Times New Roman"/>
          <w:color w:val="000000"/>
        </w:rPr>
        <w:t xml:space="preserve">ds., Lake </w:t>
      </w:r>
      <w:r w:rsidR="007A36E9">
        <w:rPr>
          <w:rFonts w:eastAsia="Times New Roman"/>
          <w:color w:val="000000"/>
        </w:rPr>
        <w:t>b</w:t>
      </w:r>
      <w:r w:rsidRPr="00183F0C">
        <w:rPr>
          <w:rFonts w:eastAsia="Times New Roman"/>
          <w:color w:val="000000"/>
        </w:rPr>
        <w:t xml:space="preserve">asins through </w:t>
      </w:r>
      <w:r w:rsidR="007A36E9">
        <w:rPr>
          <w:rFonts w:eastAsia="Times New Roman"/>
          <w:color w:val="000000"/>
        </w:rPr>
        <w:t>s</w:t>
      </w:r>
      <w:r w:rsidRPr="00183F0C">
        <w:rPr>
          <w:rFonts w:eastAsia="Times New Roman"/>
          <w:color w:val="000000"/>
        </w:rPr>
        <w:t xml:space="preserve">pace and </w:t>
      </w:r>
      <w:r w:rsidR="007A36E9">
        <w:rPr>
          <w:rFonts w:eastAsia="Times New Roman"/>
          <w:color w:val="000000"/>
        </w:rPr>
        <w:t>t</w:t>
      </w:r>
      <w:r w:rsidRPr="00183F0C">
        <w:rPr>
          <w:rFonts w:eastAsia="Times New Roman"/>
          <w:color w:val="000000"/>
        </w:rPr>
        <w:t>ime. AAPG</w:t>
      </w:r>
      <w:r w:rsidR="00F961AD">
        <w:rPr>
          <w:rFonts w:eastAsia="Times New Roman"/>
          <w:color w:val="000000"/>
        </w:rPr>
        <w:t xml:space="preserve"> Studies in Geology 46</w:t>
      </w:r>
      <w:r w:rsidRPr="00183F0C">
        <w:rPr>
          <w:rFonts w:eastAsia="Times New Roman"/>
          <w:color w:val="000000"/>
        </w:rPr>
        <w:t>, 3-34.</w:t>
      </w:r>
    </w:p>
    <w:p w14:paraId="72C5B1D1" w14:textId="3DC1D5D8" w:rsidR="00805638" w:rsidRDefault="00805638" w:rsidP="00415E04">
      <w:pPr>
        <w:pStyle w:val="ListParagraph"/>
        <w:numPr>
          <w:ilvl w:val="0"/>
          <w:numId w:val="3"/>
        </w:numPr>
        <w:ind w:left="360"/>
        <w:rPr>
          <w:rFonts w:eastAsia="Times New Roman"/>
          <w:color w:val="000000"/>
        </w:rPr>
      </w:pPr>
      <w:r w:rsidRPr="00183F0C">
        <w:rPr>
          <w:rFonts w:eastAsia="Times New Roman"/>
          <w:color w:val="000000"/>
        </w:rPr>
        <w:lastRenderedPageBreak/>
        <w:t xml:space="preserve">Bontempi, C., 2015. </w:t>
      </w:r>
      <w:r w:rsidR="00166790" w:rsidRPr="00183F0C">
        <w:rPr>
          <w:rFonts w:eastAsia="Times New Roman"/>
          <w:color w:val="000000"/>
        </w:rPr>
        <w:t xml:space="preserve">High-resolution stratigraphy of thin-bedded shales/radiolarians, Woodford Shale, Arbuckle </w:t>
      </w:r>
      <w:r w:rsidR="002B680A">
        <w:rPr>
          <w:rFonts w:eastAsia="Times New Roman"/>
          <w:color w:val="000000"/>
        </w:rPr>
        <w:t>w</w:t>
      </w:r>
      <w:r w:rsidR="00166790" w:rsidRPr="00183F0C">
        <w:rPr>
          <w:rFonts w:eastAsia="Times New Roman"/>
          <w:color w:val="000000"/>
        </w:rPr>
        <w:t xml:space="preserve">ilderness area, Murray County, Oklahoma: A new correlation tool. M.Sc. </w:t>
      </w:r>
      <w:r w:rsidR="002B680A">
        <w:rPr>
          <w:rFonts w:eastAsia="Times New Roman"/>
          <w:color w:val="000000"/>
        </w:rPr>
        <w:t>t</w:t>
      </w:r>
      <w:r w:rsidR="00166790" w:rsidRPr="00183F0C">
        <w:rPr>
          <w:rFonts w:eastAsia="Times New Roman"/>
          <w:color w:val="000000"/>
        </w:rPr>
        <w:t>hesis manuscript, The University of Oklahoma</w:t>
      </w:r>
      <w:r w:rsidR="002B680A">
        <w:rPr>
          <w:rFonts w:eastAsia="Times New Roman"/>
          <w:color w:val="000000"/>
        </w:rPr>
        <w:t>, p. 98.</w:t>
      </w:r>
    </w:p>
    <w:p w14:paraId="73C54594" w14:textId="64DE0966" w:rsidR="002D00D0" w:rsidRDefault="002D00D0" w:rsidP="002D00D0">
      <w:pPr>
        <w:pStyle w:val="ListParagraph"/>
        <w:numPr>
          <w:ilvl w:val="0"/>
          <w:numId w:val="3"/>
        </w:numPr>
        <w:ind w:left="360"/>
        <w:rPr>
          <w:rFonts w:eastAsia="Times New Roman"/>
          <w:color w:val="000000"/>
        </w:rPr>
      </w:pPr>
      <w:r>
        <w:rPr>
          <w:rFonts w:eastAsia="Times New Roman"/>
          <w:color w:val="000000"/>
        </w:rPr>
        <w:t xml:space="preserve">Brito, R.J., 2014. </w:t>
      </w:r>
      <w:r w:rsidRPr="0013038F">
        <w:rPr>
          <w:rFonts w:eastAsia="Times New Roman"/>
          <w:color w:val="000000"/>
        </w:rPr>
        <w:t xml:space="preserve">Geological </w:t>
      </w:r>
      <w:r>
        <w:rPr>
          <w:rFonts w:eastAsia="Times New Roman"/>
          <w:color w:val="000000"/>
        </w:rPr>
        <w:t>c</w:t>
      </w:r>
      <w:r w:rsidRPr="0013038F">
        <w:rPr>
          <w:rFonts w:eastAsia="Times New Roman"/>
          <w:color w:val="000000"/>
        </w:rPr>
        <w:t xml:space="preserve">haracterization and </w:t>
      </w:r>
      <w:r w:rsidR="001861B5">
        <w:rPr>
          <w:rFonts w:eastAsia="Times New Roman"/>
          <w:color w:val="000000"/>
        </w:rPr>
        <w:t>sequence</w:t>
      </w:r>
      <w:r w:rsidR="00275885">
        <w:rPr>
          <w:rFonts w:eastAsia="Times New Roman"/>
          <w:color w:val="000000"/>
        </w:rPr>
        <w:t xml:space="preserve"> stratigraphic</w:t>
      </w:r>
      <w:r w:rsidRPr="0013038F">
        <w:rPr>
          <w:rFonts w:eastAsia="Times New Roman"/>
          <w:color w:val="000000"/>
        </w:rPr>
        <w:t xml:space="preserve"> </w:t>
      </w:r>
      <w:r>
        <w:rPr>
          <w:rFonts w:eastAsia="Times New Roman"/>
          <w:color w:val="000000"/>
        </w:rPr>
        <w:t>f</w:t>
      </w:r>
      <w:r w:rsidRPr="0013038F">
        <w:rPr>
          <w:rFonts w:eastAsia="Times New Roman"/>
          <w:color w:val="000000"/>
        </w:rPr>
        <w:t xml:space="preserve">ramework of the Brown Shale, Central Sumatra </w:t>
      </w:r>
      <w:r>
        <w:rPr>
          <w:rFonts w:eastAsia="Times New Roman"/>
          <w:color w:val="000000"/>
        </w:rPr>
        <w:t>b</w:t>
      </w:r>
      <w:r w:rsidRPr="0013038F">
        <w:rPr>
          <w:rFonts w:eastAsia="Times New Roman"/>
          <w:color w:val="000000"/>
        </w:rPr>
        <w:t xml:space="preserve">asin, </w:t>
      </w:r>
      <w:r w:rsidR="00460281" w:rsidRPr="0013038F">
        <w:rPr>
          <w:rFonts w:eastAsia="Times New Roman"/>
          <w:color w:val="000000"/>
        </w:rPr>
        <w:t>Indonesia:</w:t>
      </w:r>
      <w:r w:rsidRPr="0013038F">
        <w:rPr>
          <w:rFonts w:eastAsia="Times New Roman"/>
          <w:color w:val="000000"/>
        </w:rPr>
        <w:t xml:space="preserve"> </w:t>
      </w:r>
      <w:r>
        <w:rPr>
          <w:rFonts w:eastAsia="Times New Roman"/>
          <w:color w:val="000000"/>
        </w:rPr>
        <w:t>i</w:t>
      </w:r>
      <w:r w:rsidRPr="0013038F">
        <w:rPr>
          <w:rFonts w:eastAsia="Times New Roman"/>
          <w:color w:val="000000"/>
        </w:rPr>
        <w:t xml:space="preserve">mplications as an </w:t>
      </w:r>
      <w:r>
        <w:rPr>
          <w:rFonts w:eastAsia="Times New Roman"/>
          <w:color w:val="000000"/>
        </w:rPr>
        <w:t>u</w:t>
      </w:r>
      <w:r w:rsidRPr="0013038F">
        <w:rPr>
          <w:rFonts w:eastAsia="Times New Roman"/>
          <w:color w:val="000000"/>
        </w:rPr>
        <w:t xml:space="preserve">nconventional </w:t>
      </w:r>
      <w:r>
        <w:rPr>
          <w:rFonts w:eastAsia="Times New Roman"/>
          <w:color w:val="000000"/>
        </w:rPr>
        <w:t>r</w:t>
      </w:r>
      <w:r w:rsidRPr="0013038F">
        <w:rPr>
          <w:rFonts w:eastAsia="Times New Roman"/>
          <w:color w:val="000000"/>
        </w:rPr>
        <w:t>esource</w:t>
      </w:r>
      <w:r>
        <w:rPr>
          <w:rFonts w:eastAsia="Times New Roman"/>
          <w:color w:val="000000"/>
        </w:rPr>
        <w:t>. M.Sc. thesis manuscript, The University of Oklahoma, p. 106.</w:t>
      </w:r>
    </w:p>
    <w:p w14:paraId="720B2D22" w14:textId="77777777" w:rsidR="002D00D0" w:rsidRDefault="002D00D0" w:rsidP="002D00D0">
      <w:pPr>
        <w:pStyle w:val="ListParagraph"/>
        <w:numPr>
          <w:ilvl w:val="0"/>
          <w:numId w:val="3"/>
        </w:numPr>
        <w:ind w:left="360"/>
        <w:rPr>
          <w:rFonts w:eastAsia="Times New Roman"/>
          <w:color w:val="000000"/>
        </w:rPr>
      </w:pPr>
      <w:r>
        <w:rPr>
          <w:rFonts w:eastAsia="Times New Roman"/>
          <w:color w:val="000000"/>
        </w:rPr>
        <w:t>Brito, R.J., 2019. The Woodford Shale in the Marietta basin: Oklahoma and North Texas. Doctoral dissertation manuscript, The University of Oklahoma, p. 182.</w:t>
      </w:r>
    </w:p>
    <w:p w14:paraId="0A6665AA" w14:textId="4EB38C71"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 xml:space="preserve">Buckner, N., Slatt, </w:t>
      </w:r>
      <w:r w:rsidR="00186864" w:rsidRPr="00183F0C">
        <w:rPr>
          <w:rFonts w:eastAsia="Times New Roman"/>
          <w:color w:val="000000"/>
        </w:rPr>
        <w:t>R.M.</w:t>
      </w:r>
      <w:r w:rsidR="00186864">
        <w:rPr>
          <w:rFonts w:eastAsia="Times New Roman"/>
          <w:color w:val="000000"/>
        </w:rPr>
        <w:t xml:space="preserve">, </w:t>
      </w:r>
      <w:r w:rsidRPr="00183F0C">
        <w:rPr>
          <w:rFonts w:eastAsia="Times New Roman"/>
          <w:color w:val="000000"/>
        </w:rPr>
        <w:t>Coffey,</w:t>
      </w:r>
      <w:r w:rsidR="00186864">
        <w:rPr>
          <w:rFonts w:eastAsia="Times New Roman"/>
          <w:color w:val="000000"/>
        </w:rPr>
        <w:t xml:space="preserve"> B., </w:t>
      </w:r>
      <w:r w:rsidRPr="00183F0C">
        <w:rPr>
          <w:rFonts w:eastAsia="Times New Roman"/>
          <w:color w:val="000000"/>
        </w:rPr>
        <w:t>Davis,</w:t>
      </w:r>
      <w:r w:rsidR="00186864">
        <w:rPr>
          <w:rFonts w:eastAsia="Times New Roman"/>
          <w:color w:val="000000"/>
        </w:rPr>
        <w:t xml:space="preserve"> R.J., </w:t>
      </w:r>
      <w:r w:rsidRPr="00183F0C">
        <w:rPr>
          <w:rFonts w:eastAsia="Times New Roman"/>
          <w:color w:val="000000"/>
        </w:rPr>
        <w:t>2009</w:t>
      </w:r>
      <w:r w:rsidR="00186864">
        <w:rPr>
          <w:rFonts w:eastAsia="Times New Roman"/>
          <w:color w:val="000000"/>
        </w:rPr>
        <w:t>.</w:t>
      </w:r>
      <w:r w:rsidRPr="00183F0C">
        <w:rPr>
          <w:rFonts w:eastAsia="Times New Roman"/>
          <w:color w:val="000000"/>
        </w:rPr>
        <w:t xml:space="preserve"> Stratigraphy of the Woodford Shale from behind-outcrop drilling, logging, and coring: AAPG Annual </w:t>
      </w:r>
      <w:r w:rsidR="002B680A">
        <w:rPr>
          <w:rFonts w:eastAsia="Times New Roman"/>
          <w:color w:val="000000"/>
        </w:rPr>
        <w:t>c</w:t>
      </w:r>
      <w:r w:rsidRPr="00183F0C">
        <w:rPr>
          <w:rFonts w:eastAsia="Times New Roman"/>
          <w:color w:val="000000"/>
        </w:rPr>
        <w:t xml:space="preserve">onvention, San Antonio, TX. AAPG Search and Discovery </w:t>
      </w:r>
      <w:r w:rsidR="00186864">
        <w:rPr>
          <w:rFonts w:eastAsia="Times New Roman"/>
          <w:color w:val="000000"/>
        </w:rPr>
        <w:t>A</w:t>
      </w:r>
      <w:r w:rsidRPr="00183F0C">
        <w:rPr>
          <w:rFonts w:eastAsia="Times New Roman"/>
          <w:color w:val="000000"/>
        </w:rPr>
        <w:t xml:space="preserve">rticle 50147. </w:t>
      </w:r>
    </w:p>
    <w:p w14:paraId="1556E2BB" w14:textId="4E0D67E7"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 xml:space="preserve">Burnett, A.P., Soreghan, M.J., Scholz, C.A., Brown, E.T., 2011. Tropical East </w:t>
      </w:r>
      <w:r w:rsidR="002B680A">
        <w:rPr>
          <w:rFonts w:eastAsia="Times New Roman"/>
          <w:color w:val="000000"/>
        </w:rPr>
        <w:t>A</w:t>
      </w:r>
      <w:r w:rsidRPr="00183F0C">
        <w:rPr>
          <w:rFonts w:eastAsia="Times New Roman"/>
          <w:color w:val="000000"/>
        </w:rPr>
        <w:t>frican climate change and its relation to global climate: a record from Lake Tanganyika, tropical East Africa, over the past 90</w:t>
      </w:r>
      <w:r w:rsidR="002B680A">
        <w:rPr>
          <w:rFonts w:eastAsia="Times New Roman"/>
          <w:color w:val="000000"/>
        </w:rPr>
        <w:t>+</w:t>
      </w:r>
      <w:r w:rsidRPr="00183F0C">
        <w:rPr>
          <w:rFonts w:eastAsia="Times New Roman"/>
          <w:color w:val="000000"/>
        </w:rPr>
        <w:t xml:space="preserve"> kyr. Palaeogeogr</w:t>
      </w:r>
      <w:r w:rsidR="002B680A">
        <w:rPr>
          <w:rFonts w:eastAsia="Times New Roman"/>
          <w:color w:val="000000"/>
        </w:rPr>
        <w:t>aphy,</w:t>
      </w:r>
      <w:r w:rsidRPr="00183F0C">
        <w:rPr>
          <w:rFonts w:eastAsia="Times New Roman"/>
          <w:color w:val="000000"/>
        </w:rPr>
        <w:t xml:space="preserve"> Palaeoclimatol</w:t>
      </w:r>
      <w:r w:rsidR="002B680A">
        <w:rPr>
          <w:rFonts w:eastAsia="Times New Roman"/>
          <w:color w:val="000000"/>
        </w:rPr>
        <w:t>ogy,</w:t>
      </w:r>
      <w:r w:rsidRPr="00183F0C">
        <w:rPr>
          <w:rFonts w:eastAsia="Times New Roman"/>
          <w:color w:val="000000"/>
        </w:rPr>
        <w:t xml:space="preserve"> Palaeoecol</w:t>
      </w:r>
      <w:r w:rsidR="002B680A">
        <w:rPr>
          <w:rFonts w:eastAsia="Times New Roman"/>
          <w:color w:val="000000"/>
        </w:rPr>
        <w:t xml:space="preserve">ogy </w:t>
      </w:r>
      <w:r w:rsidRPr="00183F0C">
        <w:rPr>
          <w:rFonts w:eastAsia="Times New Roman"/>
          <w:color w:val="000000"/>
        </w:rPr>
        <w:t>303</w:t>
      </w:r>
      <w:r w:rsidR="002B680A">
        <w:rPr>
          <w:rFonts w:eastAsia="Times New Roman"/>
          <w:color w:val="000000"/>
        </w:rPr>
        <w:t>, 1-4,</w:t>
      </w:r>
      <w:r w:rsidRPr="00183F0C">
        <w:rPr>
          <w:rFonts w:eastAsia="Times New Roman"/>
          <w:color w:val="000000"/>
        </w:rPr>
        <w:t xml:space="preserve"> 155-167.</w:t>
      </w:r>
    </w:p>
    <w:p w14:paraId="231DF436" w14:textId="77777777" w:rsidR="009D30E8" w:rsidRDefault="003E4375" w:rsidP="009D30E8">
      <w:pPr>
        <w:pStyle w:val="ListParagraph"/>
        <w:numPr>
          <w:ilvl w:val="0"/>
          <w:numId w:val="3"/>
        </w:numPr>
        <w:ind w:left="360"/>
        <w:rPr>
          <w:rFonts w:eastAsia="Times New Roman"/>
          <w:color w:val="000000"/>
        </w:rPr>
      </w:pPr>
      <w:r w:rsidRPr="00183F0C">
        <w:rPr>
          <w:rFonts w:eastAsia="Times New Roman"/>
          <w:color w:val="000000"/>
        </w:rPr>
        <w:t>Burnham, A.K., Braun, R.L., 1990. Development of a detailed model of petroleum formation, destruction, and expulsion from lacustrine and marine source rocks. Org</w:t>
      </w:r>
      <w:r w:rsidR="002B680A">
        <w:rPr>
          <w:rFonts w:eastAsia="Times New Roman"/>
          <w:color w:val="000000"/>
        </w:rPr>
        <w:t>anic</w:t>
      </w:r>
      <w:r w:rsidRPr="00183F0C">
        <w:rPr>
          <w:rFonts w:eastAsia="Times New Roman"/>
          <w:color w:val="000000"/>
        </w:rPr>
        <w:t xml:space="preserve"> Geochem</w:t>
      </w:r>
      <w:r w:rsidR="002B680A">
        <w:rPr>
          <w:rFonts w:eastAsia="Times New Roman"/>
          <w:color w:val="000000"/>
        </w:rPr>
        <w:t>istry,</w:t>
      </w:r>
      <w:r w:rsidRPr="00183F0C">
        <w:rPr>
          <w:rFonts w:eastAsia="Times New Roman"/>
          <w:color w:val="000000"/>
        </w:rPr>
        <w:t xml:space="preserve"> 16, 27-39.</w:t>
      </w:r>
    </w:p>
    <w:p w14:paraId="61105497" w14:textId="2DDD6FFC" w:rsidR="009D30E8" w:rsidRPr="009D30E8" w:rsidRDefault="009D30E8" w:rsidP="009D30E8">
      <w:pPr>
        <w:pStyle w:val="ListParagraph"/>
        <w:numPr>
          <w:ilvl w:val="0"/>
          <w:numId w:val="3"/>
        </w:numPr>
        <w:ind w:left="360"/>
        <w:rPr>
          <w:rFonts w:eastAsia="Times New Roman"/>
          <w:color w:val="000000"/>
        </w:rPr>
      </w:pPr>
      <w:r w:rsidRPr="00841DF8">
        <w:t xml:space="preserve">Cardott B. J., 2009. Woodford gas-shale plays of Oklahoma. Louisiana </w:t>
      </w:r>
      <w:r>
        <w:t>o</w:t>
      </w:r>
      <w:r w:rsidRPr="00841DF8">
        <w:t>il &amp; gas symposium, May 20, 2009. Oklahoma Geological Survey</w:t>
      </w:r>
      <w:r>
        <w:t xml:space="preserve"> OGS</w:t>
      </w:r>
      <w:r w:rsidRPr="00841DF8">
        <w:t xml:space="preserve">. </w:t>
      </w:r>
    </w:p>
    <w:p w14:paraId="3F392B64" w14:textId="77777777" w:rsidR="009D3B0D" w:rsidRDefault="00E5418B" w:rsidP="009D3B0D">
      <w:pPr>
        <w:pStyle w:val="ListParagraph"/>
        <w:numPr>
          <w:ilvl w:val="0"/>
          <w:numId w:val="3"/>
        </w:numPr>
        <w:ind w:left="360"/>
        <w:rPr>
          <w:rFonts w:eastAsia="Times New Roman"/>
          <w:color w:val="000000"/>
        </w:rPr>
      </w:pPr>
      <w:r w:rsidRPr="00183F0C">
        <w:rPr>
          <w:rFonts w:eastAsia="Times New Roman"/>
          <w:color w:val="000000"/>
        </w:rPr>
        <w:t>Cardott, B.J., 2012, Thermal maturity of Woodford Shale gas and oil plays, Oklahoma, USA</w:t>
      </w:r>
      <w:r w:rsidR="002B680A">
        <w:rPr>
          <w:rFonts w:eastAsia="Times New Roman"/>
          <w:color w:val="000000"/>
        </w:rPr>
        <w:t>.</w:t>
      </w:r>
      <w:r w:rsidRPr="00183F0C">
        <w:rPr>
          <w:rFonts w:eastAsia="Times New Roman"/>
          <w:color w:val="000000"/>
        </w:rPr>
        <w:t xml:space="preserve"> International Journal of Coal Geology</w:t>
      </w:r>
      <w:r w:rsidR="002B680A">
        <w:rPr>
          <w:rFonts w:eastAsia="Times New Roman"/>
          <w:color w:val="000000"/>
        </w:rPr>
        <w:t xml:space="preserve"> </w:t>
      </w:r>
      <w:r w:rsidRPr="00183F0C">
        <w:rPr>
          <w:rFonts w:eastAsia="Times New Roman"/>
          <w:color w:val="000000"/>
        </w:rPr>
        <w:t>103, 109-119.</w:t>
      </w:r>
    </w:p>
    <w:p w14:paraId="22689750" w14:textId="7716C2B9" w:rsidR="009D3B0D" w:rsidRPr="009D3B0D" w:rsidRDefault="009D3B0D" w:rsidP="009D3B0D">
      <w:pPr>
        <w:pStyle w:val="ListParagraph"/>
        <w:numPr>
          <w:ilvl w:val="0"/>
          <w:numId w:val="3"/>
        </w:numPr>
        <w:ind w:left="360"/>
        <w:rPr>
          <w:rFonts w:eastAsia="Times New Roman"/>
          <w:color w:val="000000"/>
        </w:rPr>
      </w:pPr>
      <w:r w:rsidRPr="007D5057">
        <w:t>Cardott, B.J., 2014. Woodford Shale play update: Expanded in the oil window. American Association of Petroleum Geologists, Search and Discovery article 80409.</w:t>
      </w:r>
    </w:p>
    <w:p w14:paraId="566E9F3B" w14:textId="77777777" w:rsidR="009D3A5C" w:rsidRDefault="00356143" w:rsidP="003C111E">
      <w:pPr>
        <w:pStyle w:val="ListParagraph"/>
        <w:numPr>
          <w:ilvl w:val="0"/>
          <w:numId w:val="3"/>
        </w:numPr>
        <w:ind w:left="360"/>
        <w:rPr>
          <w:rFonts w:eastAsia="Times New Roman"/>
          <w:color w:val="000000"/>
        </w:rPr>
      </w:pPr>
      <w:r w:rsidRPr="009D3A5C">
        <w:rPr>
          <w:rFonts w:eastAsia="Times New Roman"/>
          <w:color w:val="000000"/>
        </w:rPr>
        <w:t>Cecil, K.A, 2016. Origin and characteristics of Devonian-Mississippian novaculitic chert in Oklahoma. M.Sc. thesis manuscript, Oklahoma State University, p. 166.</w:t>
      </w:r>
      <w:r w:rsidR="009D3A5C" w:rsidRPr="009D3A5C">
        <w:rPr>
          <w:rFonts w:eastAsia="Times New Roman"/>
          <w:color w:val="000000"/>
        </w:rPr>
        <w:t xml:space="preserve"> </w:t>
      </w:r>
    </w:p>
    <w:p w14:paraId="57EC9EB2" w14:textId="77777777" w:rsidR="00761A3F" w:rsidRDefault="009D3A5C" w:rsidP="003C111E">
      <w:pPr>
        <w:pStyle w:val="ListParagraph"/>
        <w:numPr>
          <w:ilvl w:val="0"/>
          <w:numId w:val="3"/>
        </w:numPr>
        <w:ind w:left="360"/>
        <w:rPr>
          <w:rFonts w:eastAsia="Times New Roman"/>
          <w:color w:val="000000"/>
        </w:rPr>
      </w:pPr>
      <w:r w:rsidRPr="00761A3F">
        <w:rPr>
          <w:rFonts w:eastAsia="Times New Roman"/>
          <w:color w:val="000000"/>
        </w:rPr>
        <w:t>Comer, J.B., Hinch, H.H., 1987. Recognizing and quantifying expulsion of oil from the Woodford formation and age-equivalent rocks in Oklahoma and Arkansas. AAPG Bulletin 71, 844-858.</w:t>
      </w:r>
      <w:r w:rsidR="00761A3F" w:rsidRPr="00761A3F">
        <w:rPr>
          <w:rFonts w:eastAsia="Times New Roman"/>
          <w:color w:val="000000"/>
        </w:rPr>
        <w:t xml:space="preserve"> </w:t>
      </w:r>
    </w:p>
    <w:p w14:paraId="5F66B3F3" w14:textId="60605D2A" w:rsidR="00761A3F" w:rsidRPr="00761A3F" w:rsidRDefault="00761A3F" w:rsidP="003C111E">
      <w:pPr>
        <w:pStyle w:val="ListParagraph"/>
        <w:numPr>
          <w:ilvl w:val="0"/>
          <w:numId w:val="3"/>
        </w:numPr>
        <w:ind w:left="360"/>
        <w:rPr>
          <w:rFonts w:eastAsia="Times New Roman"/>
          <w:color w:val="000000"/>
        </w:rPr>
      </w:pPr>
      <w:r w:rsidRPr="00761A3F">
        <w:rPr>
          <w:rFonts w:eastAsia="Times New Roman"/>
          <w:color w:val="000000"/>
        </w:rPr>
        <w:t>Come</w:t>
      </w:r>
      <w:r>
        <w:rPr>
          <w:rFonts w:eastAsia="Times New Roman"/>
          <w:color w:val="000000"/>
        </w:rPr>
        <w:t>r, J.B., 1992.</w:t>
      </w:r>
      <w:r w:rsidRPr="00761A3F">
        <w:rPr>
          <w:rFonts w:eastAsia="Times New Roman"/>
          <w:color w:val="000000"/>
        </w:rPr>
        <w:t xml:space="preserve"> Organic geochemistry and paleogeography of Upper Devonian formations in Okl</w:t>
      </w:r>
      <w:r w:rsidR="0075283C">
        <w:rPr>
          <w:rFonts w:eastAsia="Times New Roman"/>
          <w:color w:val="000000"/>
        </w:rPr>
        <w:t xml:space="preserve">ahoma and northwestern Arkansas. In: Johnson, K.S., </w:t>
      </w:r>
      <w:r w:rsidRPr="00761A3F">
        <w:rPr>
          <w:rFonts w:eastAsia="Times New Roman"/>
          <w:color w:val="000000"/>
        </w:rPr>
        <w:t>Cardott,</w:t>
      </w:r>
      <w:r w:rsidR="0075283C">
        <w:rPr>
          <w:rFonts w:eastAsia="Times New Roman"/>
          <w:color w:val="000000"/>
        </w:rPr>
        <w:t xml:space="preserve"> B.J.,</w:t>
      </w:r>
      <w:r w:rsidRPr="00761A3F">
        <w:rPr>
          <w:rFonts w:eastAsia="Times New Roman"/>
          <w:color w:val="000000"/>
        </w:rPr>
        <w:t xml:space="preserve"> eds., Source rocks in the southern Midcontinent, 1990 symposium</w:t>
      </w:r>
      <w:r w:rsidR="0075283C">
        <w:rPr>
          <w:rFonts w:eastAsia="Times New Roman"/>
          <w:color w:val="000000"/>
        </w:rPr>
        <w:t>.</w:t>
      </w:r>
      <w:r w:rsidRPr="00761A3F">
        <w:rPr>
          <w:rFonts w:eastAsia="Times New Roman"/>
          <w:color w:val="000000"/>
        </w:rPr>
        <w:t xml:space="preserve"> OGS Circular 93, 70-93.</w:t>
      </w:r>
    </w:p>
    <w:p w14:paraId="4E112465" w14:textId="73F18A99" w:rsidR="00E50AD3" w:rsidRPr="00183F0C" w:rsidRDefault="00E50AD3" w:rsidP="00415E04">
      <w:pPr>
        <w:pStyle w:val="ListParagraph"/>
        <w:numPr>
          <w:ilvl w:val="0"/>
          <w:numId w:val="3"/>
        </w:numPr>
        <w:ind w:left="360"/>
        <w:rPr>
          <w:rFonts w:eastAsia="Times New Roman"/>
          <w:color w:val="000000"/>
        </w:rPr>
      </w:pPr>
      <w:r w:rsidRPr="00183F0C">
        <w:rPr>
          <w:rFonts w:eastAsia="Times New Roman"/>
          <w:color w:val="000000"/>
        </w:rPr>
        <w:lastRenderedPageBreak/>
        <w:t xml:space="preserve">Comer, J.B., 2005, Facies distributions and hydrocarbon production potential of the Woodford Shale in the </w:t>
      </w:r>
      <w:r w:rsidR="004E53D9">
        <w:rPr>
          <w:rFonts w:eastAsia="Times New Roman"/>
          <w:color w:val="000000"/>
        </w:rPr>
        <w:t>s</w:t>
      </w:r>
      <w:r w:rsidRPr="00183F0C">
        <w:rPr>
          <w:rFonts w:eastAsia="Times New Roman"/>
          <w:color w:val="000000"/>
        </w:rPr>
        <w:t xml:space="preserve">outhern </w:t>
      </w:r>
      <w:r w:rsidR="008D59EB">
        <w:rPr>
          <w:rFonts w:eastAsia="Times New Roman"/>
          <w:color w:val="000000"/>
        </w:rPr>
        <w:t>m</w:t>
      </w:r>
      <w:r w:rsidRPr="00183F0C">
        <w:rPr>
          <w:rFonts w:eastAsia="Times New Roman"/>
          <w:color w:val="000000"/>
        </w:rPr>
        <w:t>idcontinent: in B.J. Cardott</w:t>
      </w:r>
      <w:r w:rsidR="008D59EB">
        <w:rPr>
          <w:rFonts w:eastAsia="Times New Roman"/>
          <w:color w:val="000000"/>
        </w:rPr>
        <w:t>,</w:t>
      </w:r>
      <w:r w:rsidRPr="00183F0C">
        <w:rPr>
          <w:rFonts w:eastAsia="Times New Roman"/>
          <w:color w:val="000000"/>
        </w:rPr>
        <w:t xml:space="preserve"> ed</w:t>
      </w:r>
      <w:r w:rsidR="008D59EB">
        <w:rPr>
          <w:rFonts w:eastAsia="Times New Roman"/>
          <w:color w:val="000000"/>
        </w:rPr>
        <w:t>s</w:t>
      </w:r>
      <w:r w:rsidRPr="00183F0C">
        <w:rPr>
          <w:rFonts w:eastAsia="Times New Roman"/>
          <w:color w:val="000000"/>
        </w:rPr>
        <w:t>.</w:t>
      </w:r>
      <w:r w:rsidR="008D59EB">
        <w:rPr>
          <w:rFonts w:eastAsia="Times New Roman"/>
          <w:color w:val="000000"/>
        </w:rPr>
        <w:t>,</w:t>
      </w:r>
      <w:r w:rsidRPr="00183F0C">
        <w:rPr>
          <w:rFonts w:eastAsia="Times New Roman"/>
          <w:color w:val="000000"/>
        </w:rPr>
        <w:t xml:space="preserve"> Unconventional energy resources in the </w:t>
      </w:r>
      <w:r w:rsidR="004E53D9">
        <w:rPr>
          <w:rFonts w:eastAsia="Times New Roman"/>
          <w:color w:val="000000"/>
        </w:rPr>
        <w:t>s</w:t>
      </w:r>
      <w:r w:rsidRPr="00183F0C">
        <w:rPr>
          <w:rFonts w:eastAsia="Times New Roman"/>
          <w:color w:val="000000"/>
        </w:rPr>
        <w:t>outhern Midcontinent, 2004 symposium</w:t>
      </w:r>
      <w:r w:rsidR="008D59EB">
        <w:rPr>
          <w:rFonts w:eastAsia="Times New Roman"/>
          <w:color w:val="000000"/>
        </w:rPr>
        <w:t xml:space="preserve">. </w:t>
      </w:r>
      <w:r w:rsidRPr="00183F0C">
        <w:rPr>
          <w:rFonts w:eastAsia="Times New Roman"/>
          <w:color w:val="000000"/>
        </w:rPr>
        <w:t>Oklahoma Geological Survey, Circular 110,</w:t>
      </w:r>
      <w:r w:rsidR="008D59EB">
        <w:rPr>
          <w:rFonts w:eastAsia="Times New Roman"/>
          <w:color w:val="000000"/>
        </w:rPr>
        <w:t xml:space="preserve"> </w:t>
      </w:r>
      <w:r w:rsidRPr="00183F0C">
        <w:rPr>
          <w:rFonts w:eastAsia="Times New Roman"/>
          <w:color w:val="000000"/>
        </w:rPr>
        <w:t>51-62.</w:t>
      </w:r>
    </w:p>
    <w:p w14:paraId="1E05222D" w14:textId="2EDABA58" w:rsidR="00D53715" w:rsidRPr="00183F0C" w:rsidRDefault="00D53715" w:rsidP="00415E04">
      <w:pPr>
        <w:pStyle w:val="ListParagraph"/>
        <w:numPr>
          <w:ilvl w:val="0"/>
          <w:numId w:val="3"/>
        </w:numPr>
        <w:ind w:left="360"/>
        <w:rPr>
          <w:rFonts w:eastAsia="Times New Roman"/>
          <w:color w:val="000000"/>
        </w:rPr>
      </w:pPr>
      <w:r w:rsidRPr="00183F0C">
        <w:rPr>
          <w:rFonts w:eastAsia="Times New Roman"/>
          <w:color w:val="000000"/>
        </w:rPr>
        <w:t xml:space="preserve">Connock, G.T., 2015. Paleoenvironmental Interpretation of the Woodford Shale, Wyche Farm </w:t>
      </w:r>
      <w:r w:rsidR="00B35F28">
        <w:rPr>
          <w:rFonts w:eastAsia="Times New Roman"/>
          <w:color w:val="000000"/>
        </w:rPr>
        <w:t>s</w:t>
      </w:r>
      <w:r w:rsidRPr="00183F0C">
        <w:rPr>
          <w:rFonts w:eastAsia="Times New Roman"/>
          <w:color w:val="000000"/>
        </w:rPr>
        <w:t xml:space="preserve">hale </w:t>
      </w:r>
      <w:r w:rsidR="00B35F28">
        <w:rPr>
          <w:rFonts w:eastAsia="Times New Roman"/>
          <w:color w:val="000000"/>
        </w:rPr>
        <w:t>p</w:t>
      </w:r>
      <w:r w:rsidRPr="00183F0C">
        <w:rPr>
          <w:rFonts w:eastAsia="Times New Roman"/>
          <w:color w:val="000000"/>
        </w:rPr>
        <w:t xml:space="preserve">it, Pontotoc </w:t>
      </w:r>
      <w:r w:rsidR="007E4921">
        <w:rPr>
          <w:rFonts w:eastAsia="Times New Roman"/>
          <w:color w:val="000000"/>
        </w:rPr>
        <w:t>C</w:t>
      </w:r>
      <w:r w:rsidRPr="00183F0C">
        <w:rPr>
          <w:rFonts w:eastAsia="Times New Roman"/>
          <w:color w:val="000000"/>
        </w:rPr>
        <w:t xml:space="preserve">ounty, Arkoma Basin, Oklahoma </w:t>
      </w:r>
      <w:r w:rsidR="00460281" w:rsidRPr="00183F0C">
        <w:rPr>
          <w:rFonts w:eastAsia="Times New Roman"/>
          <w:color w:val="000000"/>
        </w:rPr>
        <w:t>with</w:t>
      </w:r>
      <w:r w:rsidRPr="00183F0C">
        <w:rPr>
          <w:rFonts w:eastAsia="Times New Roman"/>
          <w:color w:val="000000"/>
        </w:rPr>
        <w:t xml:space="preserve"> Primary Focus on Water Column Structure. </w:t>
      </w:r>
      <w:r w:rsidR="00D9627A" w:rsidRPr="00183F0C">
        <w:rPr>
          <w:rFonts w:eastAsia="Times New Roman"/>
          <w:color w:val="000000"/>
        </w:rPr>
        <w:t xml:space="preserve">M.Sc. </w:t>
      </w:r>
      <w:r w:rsidR="008D59EB">
        <w:rPr>
          <w:rFonts w:eastAsia="Times New Roman"/>
          <w:color w:val="000000"/>
        </w:rPr>
        <w:t>t</w:t>
      </w:r>
      <w:r w:rsidR="00D9627A" w:rsidRPr="00183F0C">
        <w:rPr>
          <w:rFonts w:eastAsia="Times New Roman"/>
          <w:color w:val="000000"/>
        </w:rPr>
        <w:t>hesis manuscript, The University of Oklahoma, p. 266.</w:t>
      </w:r>
    </w:p>
    <w:p w14:paraId="52EC3498" w14:textId="4EADBB4A" w:rsidR="00287FEC" w:rsidRPr="00183F0C" w:rsidRDefault="00287FEC" w:rsidP="00415E04">
      <w:pPr>
        <w:pStyle w:val="ListParagraph"/>
        <w:numPr>
          <w:ilvl w:val="0"/>
          <w:numId w:val="3"/>
        </w:numPr>
        <w:ind w:left="360"/>
        <w:rPr>
          <w:rFonts w:eastAsia="Times New Roman"/>
          <w:color w:val="000000"/>
        </w:rPr>
      </w:pPr>
      <w:r w:rsidRPr="00183F0C">
        <w:rPr>
          <w:rFonts w:eastAsia="Times New Roman"/>
          <w:color w:val="000000"/>
        </w:rPr>
        <w:t xml:space="preserve">Connock, GT., </w:t>
      </w:r>
      <w:r w:rsidR="00424532" w:rsidRPr="00183F0C">
        <w:rPr>
          <w:rFonts w:eastAsia="Times New Roman"/>
          <w:color w:val="000000"/>
        </w:rPr>
        <w:t>Nguyen</w:t>
      </w:r>
      <w:r w:rsidR="001A25FF">
        <w:rPr>
          <w:rFonts w:eastAsia="Times New Roman"/>
          <w:color w:val="000000"/>
        </w:rPr>
        <w:t xml:space="preserve">, </w:t>
      </w:r>
      <w:r w:rsidR="001A25FF" w:rsidRPr="00183F0C">
        <w:rPr>
          <w:rFonts w:eastAsia="Times New Roman"/>
          <w:color w:val="000000"/>
        </w:rPr>
        <w:t>T.X.</w:t>
      </w:r>
      <w:r w:rsidR="00460281">
        <w:rPr>
          <w:rFonts w:eastAsia="Times New Roman"/>
          <w:color w:val="000000"/>
        </w:rPr>
        <w:t>,</w:t>
      </w:r>
      <w:r w:rsidR="00460281" w:rsidRPr="00183F0C">
        <w:rPr>
          <w:rFonts w:eastAsia="Times New Roman"/>
          <w:color w:val="000000"/>
        </w:rPr>
        <w:t xml:space="preserve"> Philp</w:t>
      </w:r>
      <w:r w:rsidR="00424532" w:rsidRPr="00183F0C">
        <w:rPr>
          <w:rFonts w:eastAsia="Times New Roman"/>
          <w:color w:val="000000"/>
        </w:rPr>
        <w:t>,</w:t>
      </w:r>
      <w:r w:rsidR="001A25FF">
        <w:rPr>
          <w:rFonts w:eastAsia="Times New Roman"/>
          <w:color w:val="000000"/>
        </w:rPr>
        <w:t xml:space="preserve"> R.P., </w:t>
      </w:r>
      <w:r w:rsidR="00424532" w:rsidRPr="00183F0C">
        <w:rPr>
          <w:rFonts w:eastAsia="Times New Roman"/>
          <w:color w:val="000000"/>
        </w:rPr>
        <w:t>2018. The development and extent of photic-zone euxinia concomitant with Woodford Shale deposition. A</w:t>
      </w:r>
      <w:r w:rsidR="00DE4B4E" w:rsidRPr="00183F0C">
        <w:rPr>
          <w:rFonts w:eastAsia="Times New Roman"/>
          <w:color w:val="000000"/>
        </w:rPr>
        <w:t>A</w:t>
      </w:r>
      <w:r w:rsidR="00424532" w:rsidRPr="00183F0C">
        <w:rPr>
          <w:rFonts w:eastAsia="Times New Roman"/>
          <w:color w:val="000000"/>
        </w:rPr>
        <w:t>PG Bulletin 102</w:t>
      </w:r>
      <w:r w:rsidR="008D59EB">
        <w:rPr>
          <w:rFonts w:eastAsia="Times New Roman"/>
          <w:color w:val="000000"/>
        </w:rPr>
        <w:t xml:space="preserve">, </w:t>
      </w:r>
      <w:r w:rsidR="00460281" w:rsidRPr="00183F0C">
        <w:rPr>
          <w:rFonts w:eastAsia="Times New Roman"/>
          <w:color w:val="000000"/>
        </w:rPr>
        <w:t>6</w:t>
      </w:r>
      <w:r w:rsidR="00460281">
        <w:rPr>
          <w:rFonts w:eastAsia="Times New Roman"/>
          <w:color w:val="000000"/>
        </w:rPr>
        <w:t xml:space="preserve">, </w:t>
      </w:r>
      <w:r w:rsidR="00460281" w:rsidRPr="00183F0C">
        <w:rPr>
          <w:rFonts w:eastAsia="Times New Roman"/>
          <w:color w:val="000000"/>
        </w:rPr>
        <w:t>959</w:t>
      </w:r>
      <w:r w:rsidR="00424532" w:rsidRPr="00183F0C">
        <w:rPr>
          <w:rFonts w:eastAsia="Times New Roman"/>
          <w:color w:val="000000"/>
        </w:rPr>
        <w:t>-986</w:t>
      </w:r>
      <w:r w:rsidR="008D59EB">
        <w:rPr>
          <w:rFonts w:eastAsia="Times New Roman"/>
          <w:color w:val="000000"/>
        </w:rPr>
        <w:t>.</w:t>
      </w:r>
    </w:p>
    <w:p w14:paraId="77C8608F" w14:textId="4E931879" w:rsidR="00206FC4" w:rsidRPr="00183F0C" w:rsidRDefault="00206FC4" w:rsidP="00415E04">
      <w:pPr>
        <w:pStyle w:val="ListParagraph"/>
        <w:numPr>
          <w:ilvl w:val="0"/>
          <w:numId w:val="3"/>
        </w:numPr>
        <w:ind w:left="360"/>
        <w:rPr>
          <w:rFonts w:eastAsia="Times New Roman"/>
          <w:color w:val="000000"/>
        </w:rPr>
      </w:pPr>
      <w:r w:rsidRPr="00183F0C">
        <w:rPr>
          <w:rFonts w:eastAsia="Times New Roman"/>
          <w:color w:val="000000"/>
        </w:rPr>
        <w:t>DeGarmo, D., 2015. Geochemical characterization of the Woodford Shale</w:t>
      </w:r>
      <w:r w:rsidR="00416E94">
        <w:rPr>
          <w:rFonts w:eastAsia="Times New Roman"/>
          <w:color w:val="000000"/>
        </w:rPr>
        <w:t xml:space="preserve"> </w:t>
      </w:r>
      <w:r w:rsidRPr="00183F0C">
        <w:rPr>
          <w:rFonts w:eastAsia="Times New Roman"/>
          <w:color w:val="000000"/>
        </w:rPr>
        <w:t xml:space="preserve">(Devonian-Mississippian), McAlister </w:t>
      </w:r>
      <w:r w:rsidR="00DB198F">
        <w:rPr>
          <w:rFonts w:eastAsia="Times New Roman"/>
          <w:color w:val="000000"/>
        </w:rPr>
        <w:t>c</w:t>
      </w:r>
      <w:r w:rsidRPr="00183F0C">
        <w:rPr>
          <w:rFonts w:eastAsia="Times New Roman"/>
          <w:color w:val="000000"/>
        </w:rPr>
        <w:t xml:space="preserve">emetery </w:t>
      </w:r>
      <w:r w:rsidR="00DB198F">
        <w:rPr>
          <w:rFonts w:eastAsia="Times New Roman"/>
          <w:color w:val="000000"/>
        </w:rPr>
        <w:t>q</w:t>
      </w:r>
      <w:r w:rsidRPr="00183F0C">
        <w:rPr>
          <w:rFonts w:eastAsia="Times New Roman"/>
          <w:color w:val="000000"/>
        </w:rPr>
        <w:t xml:space="preserve">uarry, Criner Hills </w:t>
      </w:r>
      <w:r w:rsidR="00DB198F">
        <w:rPr>
          <w:rFonts w:eastAsia="Times New Roman"/>
          <w:color w:val="000000"/>
        </w:rPr>
        <w:t>u</w:t>
      </w:r>
      <w:r w:rsidRPr="00183F0C">
        <w:rPr>
          <w:rFonts w:eastAsia="Times New Roman"/>
          <w:color w:val="000000"/>
        </w:rPr>
        <w:t xml:space="preserve">plift, Ardmore </w:t>
      </w:r>
      <w:r w:rsidR="00DB198F">
        <w:rPr>
          <w:rFonts w:eastAsia="Times New Roman"/>
          <w:color w:val="000000"/>
        </w:rPr>
        <w:t>b</w:t>
      </w:r>
      <w:r w:rsidRPr="00183F0C">
        <w:rPr>
          <w:rFonts w:eastAsia="Times New Roman"/>
          <w:color w:val="000000"/>
        </w:rPr>
        <w:t xml:space="preserve">asin, Oklahoma. M.Sc. </w:t>
      </w:r>
      <w:r w:rsidR="00DB198F">
        <w:rPr>
          <w:rFonts w:eastAsia="Times New Roman"/>
          <w:color w:val="000000"/>
        </w:rPr>
        <w:t>t</w:t>
      </w:r>
      <w:r w:rsidRPr="00183F0C">
        <w:rPr>
          <w:rFonts w:eastAsia="Times New Roman"/>
          <w:color w:val="000000"/>
        </w:rPr>
        <w:t>hesis manuscript, The University of Oklahoma</w:t>
      </w:r>
      <w:r w:rsidR="00E623BF">
        <w:rPr>
          <w:rFonts w:eastAsia="Times New Roman"/>
          <w:color w:val="000000"/>
        </w:rPr>
        <w:t>, p. 223.</w:t>
      </w:r>
    </w:p>
    <w:p w14:paraId="3BEA597A" w14:textId="7DA7C034" w:rsidR="00EB6CFC" w:rsidRPr="00183F0C" w:rsidRDefault="00EB6CFC" w:rsidP="00415E04">
      <w:pPr>
        <w:pStyle w:val="ListParagraph"/>
        <w:numPr>
          <w:ilvl w:val="0"/>
          <w:numId w:val="3"/>
        </w:numPr>
        <w:ind w:left="360"/>
        <w:rPr>
          <w:rFonts w:eastAsia="Times New Roman"/>
          <w:color w:val="000000"/>
        </w:rPr>
      </w:pPr>
      <w:r w:rsidRPr="00183F0C">
        <w:rPr>
          <w:rFonts w:eastAsia="Times New Roman"/>
          <w:color w:val="000000"/>
        </w:rPr>
        <w:t xml:space="preserve">Ekwunife, I.C., 2017. Assessing mudrock characteristics, high-resolution </w:t>
      </w:r>
      <w:r w:rsidR="00460281" w:rsidRPr="00183F0C">
        <w:rPr>
          <w:rFonts w:eastAsia="Times New Roman"/>
          <w:color w:val="000000"/>
        </w:rPr>
        <w:t>Chemostratigraphy</w:t>
      </w:r>
      <w:r w:rsidRPr="00183F0C">
        <w:rPr>
          <w:rFonts w:eastAsia="Times New Roman"/>
          <w:color w:val="000000"/>
        </w:rPr>
        <w:t xml:space="preserve">, and </w:t>
      </w:r>
      <w:r w:rsidR="00DB198F">
        <w:rPr>
          <w:rFonts w:eastAsia="Times New Roman"/>
          <w:color w:val="000000"/>
        </w:rPr>
        <w:t>s</w:t>
      </w:r>
      <w:r w:rsidRPr="00183F0C">
        <w:rPr>
          <w:rFonts w:eastAsia="Times New Roman"/>
          <w:color w:val="000000"/>
        </w:rPr>
        <w:t xml:space="preserve">equence stratigraphy of the Woodford Shale in the McAlister </w:t>
      </w:r>
      <w:r w:rsidR="00DB198F">
        <w:rPr>
          <w:rFonts w:eastAsia="Times New Roman"/>
          <w:color w:val="000000"/>
        </w:rPr>
        <w:t>c</w:t>
      </w:r>
      <w:r w:rsidRPr="00183F0C">
        <w:rPr>
          <w:rFonts w:eastAsia="Times New Roman"/>
          <w:color w:val="000000"/>
        </w:rPr>
        <w:t>emet</w:t>
      </w:r>
      <w:r w:rsidR="00DB198F">
        <w:rPr>
          <w:rFonts w:eastAsia="Times New Roman"/>
          <w:color w:val="000000"/>
        </w:rPr>
        <w:t>e</w:t>
      </w:r>
      <w:r w:rsidRPr="00183F0C">
        <w:rPr>
          <w:rFonts w:eastAsia="Times New Roman"/>
          <w:color w:val="000000"/>
        </w:rPr>
        <w:t xml:space="preserve">ry </w:t>
      </w:r>
      <w:r w:rsidR="00DB198F">
        <w:rPr>
          <w:rFonts w:eastAsia="Times New Roman"/>
          <w:color w:val="000000"/>
        </w:rPr>
        <w:t>q</w:t>
      </w:r>
      <w:r w:rsidRPr="00183F0C">
        <w:rPr>
          <w:rFonts w:eastAsia="Times New Roman"/>
          <w:color w:val="000000"/>
        </w:rPr>
        <w:t xml:space="preserve">uarry, Ardmore </w:t>
      </w:r>
      <w:r w:rsidR="00DB198F">
        <w:rPr>
          <w:rFonts w:eastAsia="Times New Roman"/>
          <w:color w:val="000000"/>
        </w:rPr>
        <w:t>b</w:t>
      </w:r>
      <w:r w:rsidRPr="00183F0C">
        <w:rPr>
          <w:rFonts w:eastAsia="Times New Roman"/>
          <w:color w:val="000000"/>
        </w:rPr>
        <w:t xml:space="preserve">asin, Oklahoma. </w:t>
      </w:r>
      <w:r w:rsidR="00D9627A" w:rsidRPr="00183F0C">
        <w:rPr>
          <w:rFonts w:eastAsia="Times New Roman"/>
          <w:color w:val="000000"/>
        </w:rPr>
        <w:t xml:space="preserve">M.Sc. </w:t>
      </w:r>
      <w:r w:rsidR="001A25FF">
        <w:rPr>
          <w:rFonts w:eastAsia="Times New Roman"/>
          <w:color w:val="000000"/>
        </w:rPr>
        <w:t>T</w:t>
      </w:r>
      <w:r w:rsidR="00D9627A" w:rsidRPr="00183F0C">
        <w:rPr>
          <w:rFonts w:eastAsia="Times New Roman"/>
          <w:color w:val="000000"/>
        </w:rPr>
        <w:t>hesis manuscript, The University of Oklahoma, p.</w:t>
      </w:r>
      <w:r w:rsidR="008C7B3D" w:rsidRPr="00183F0C">
        <w:rPr>
          <w:rFonts w:eastAsia="Times New Roman"/>
          <w:color w:val="000000"/>
        </w:rPr>
        <w:t xml:space="preserve"> 167.</w:t>
      </w:r>
    </w:p>
    <w:p w14:paraId="0C60276D" w14:textId="3E06D3D1"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Energy Information Administration</w:t>
      </w:r>
      <w:r w:rsidR="00591510" w:rsidRPr="00183F0C">
        <w:rPr>
          <w:rFonts w:eastAsia="Times New Roman"/>
          <w:color w:val="000000"/>
        </w:rPr>
        <w:t xml:space="preserve"> EIA</w:t>
      </w:r>
      <w:r w:rsidRPr="00183F0C">
        <w:rPr>
          <w:rFonts w:eastAsia="Times New Roman"/>
          <w:color w:val="000000"/>
        </w:rPr>
        <w:t>, 201</w:t>
      </w:r>
      <w:r w:rsidR="000A7DC8" w:rsidRPr="00183F0C">
        <w:rPr>
          <w:rFonts w:eastAsia="Times New Roman"/>
          <w:color w:val="000000"/>
        </w:rPr>
        <w:t>6</w:t>
      </w:r>
      <w:r w:rsidRPr="00183F0C">
        <w:rPr>
          <w:rFonts w:eastAsia="Times New Roman"/>
          <w:color w:val="000000"/>
        </w:rPr>
        <w:t xml:space="preserve">. U.S. Lower 48 states </w:t>
      </w:r>
      <w:r w:rsidR="00DB198F">
        <w:rPr>
          <w:rFonts w:eastAsia="Times New Roman"/>
          <w:color w:val="000000"/>
        </w:rPr>
        <w:t>s</w:t>
      </w:r>
      <w:r w:rsidRPr="00183F0C">
        <w:rPr>
          <w:rFonts w:eastAsia="Times New Roman"/>
          <w:color w:val="000000"/>
        </w:rPr>
        <w:t>hale plays map. http://www.eia.gov/analysis/studies/usshalegas/images/shalemap-sm.png</w:t>
      </w:r>
    </w:p>
    <w:p w14:paraId="06334E7B" w14:textId="77777777" w:rsidR="00D16173" w:rsidRDefault="003E4375" w:rsidP="00D16173">
      <w:pPr>
        <w:pStyle w:val="ListParagraph"/>
        <w:numPr>
          <w:ilvl w:val="0"/>
          <w:numId w:val="3"/>
        </w:numPr>
        <w:ind w:left="360"/>
        <w:rPr>
          <w:rFonts w:eastAsia="Times New Roman"/>
          <w:color w:val="000000"/>
          <w:lang w:val="es-CO"/>
        </w:rPr>
      </w:pPr>
      <w:r w:rsidRPr="00183F0C">
        <w:rPr>
          <w:rFonts w:eastAsia="Times New Roman"/>
          <w:color w:val="000000"/>
        </w:rPr>
        <w:t xml:space="preserve">Espitalié, J., Laporte, J.L., Madec, M., Marquis, F., Leplat, P., Poulet, J., Boutefeu, A., 1977. </w:t>
      </w:r>
      <w:r w:rsidRPr="00152469">
        <w:rPr>
          <w:rFonts w:eastAsia="Times New Roman"/>
          <w:color w:val="000000"/>
          <w:lang w:val="es-CO"/>
        </w:rPr>
        <w:t>Méthode rapide de caractérisation des roches mères de leur potential pétrolier et de leur degré d'évolution. Rev</w:t>
      </w:r>
      <w:r w:rsidR="00DB198F" w:rsidRPr="00152469">
        <w:rPr>
          <w:rFonts w:eastAsia="Times New Roman"/>
          <w:color w:val="000000"/>
          <w:lang w:val="es-CO"/>
        </w:rPr>
        <w:t>ue de I’Institute Francais du</w:t>
      </w:r>
      <w:r w:rsidRPr="00152469">
        <w:rPr>
          <w:rFonts w:eastAsia="Times New Roman"/>
          <w:color w:val="000000"/>
          <w:lang w:val="es-CO"/>
        </w:rPr>
        <w:t xml:space="preserve"> Pétrol</w:t>
      </w:r>
      <w:r w:rsidR="00DB198F" w:rsidRPr="00152469">
        <w:rPr>
          <w:rFonts w:eastAsia="Times New Roman"/>
          <w:color w:val="000000"/>
          <w:lang w:val="es-CO"/>
        </w:rPr>
        <w:t>e</w:t>
      </w:r>
      <w:r w:rsidRPr="00152469">
        <w:rPr>
          <w:rFonts w:eastAsia="Times New Roman"/>
          <w:color w:val="000000"/>
          <w:lang w:val="es-CO"/>
        </w:rPr>
        <w:t xml:space="preserve"> 32, 23-42.</w:t>
      </w:r>
    </w:p>
    <w:p w14:paraId="539E0747" w14:textId="607B4AAB" w:rsidR="00D16173" w:rsidRPr="00D16173" w:rsidRDefault="00D16173" w:rsidP="00D16173">
      <w:pPr>
        <w:pStyle w:val="ListParagraph"/>
        <w:numPr>
          <w:ilvl w:val="0"/>
          <w:numId w:val="3"/>
        </w:numPr>
        <w:ind w:left="360"/>
        <w:rPr>
          <w:rFonts w:eastAsia="Times New Roman"/>
          <w:color w:val="000000"/>
          <w:lang w:val="es-CO"/>
        </w:rPr>
      </w:pPr>
      <w:r w:rsidRPr="00D16173">
        <w:rPr>
          <w:rFonts w:eastAsia="Times New Roman"/>
          <w:color w:val="000000"/>
          <w:lang w:val="es-CO"/>
        </w:rPr>
        <w:t xml:space="preserve">Fishman, N.S., Ellis, G.S., Boehlke, A.R., Paxton, S.T., Egenhoff, S.O., 2013. </w:t>
      </w:r>
      <w:r w:rsidRPr="004D12A4">
        <w:rPr>
          <w:rFonts w:eastAsia="Times New Roman"/>
          <w:color w:val="000000"/>
        </w:rPr>
        <w:t xml:space="preserve">Gas storage in the </w:t>
      </w:r>
      <w:r w:rsidR="00F216D5">
        <w:rPr>
          <w:rFonts w:eastAsia="Times New Roman"/>
          <w:color w:val="000000"/>
        </w:rPr>
        <w:t>U</w:t>
      </w:r>
      <w:r w:rsidRPr="004D12A4">
        <w:rPr>
          <w:rFonts w:eastAsia="Times New Roman"/>
          <w:color w:val="000000"/>
        </w:rPr>
        <w:t>pper Devonian-</w:t>
      </w:r>
      <w:r w:rsidR="00F216D5">
        <w:rPr>
          <w:rFonts w:eastAsia="Times New Roman"/>
          <w:color w:val="000000"/>
        </w:rPr>
        <w:t>L</w:t>
      </w:r>
      <w:r w:rsidRPr="004D12A4">
        <w:rPr>
          <w:rFonts w:eastAsia="Times New Roman"/>
          <w:color w:val="000000"/>
        </w:rPr>
        <w:t xml:space="preserve">ower Mississippian Woodford Shale, Arbuckle Mountains, Oklahoma: How much of a role do chert beds play? In: Chatellier, J.Y., Jarvie, D.M., eds., Critical assessment of shale resource plays. </w:t>
      </w:r>
      <w:r w:rsidRPr="00D16173">
        <w:rPr>
          <w:rFonts w:eastAsia="Times New Roman"/>
          <w:color w:val="000000"/>
          <w:lang w:val="es-CO"/>
        </w:rPr>
        <w:t>AAPG Memoir 103, 81-107.</w:t>
      </w:r>
    </w:p>
    <w:p w14:paraId="0EBB357B" w14:textId="236E97D6" w:rsidR="00D40C79" w:rsidRPr="00183F0C" w:rsidRDefault="00D40C79" w:rsidP="00415E04">
      <w:pPr>
        <w:pStyle w:val="ListParagraph"/>
        <w:numPr>
          <w:ilvl w:val="0"/>
          <w:numId w:val="3"/>
        </w:numPr>
        <w:ind w:left="360"/>
        <w:rPr>
          <w:rFonts w:eastAsia="Times New Roman"/>
          <w:color w:val="000000"/>
        </w:rPr>
      </w:pPr>
      <w:r w:rsidRPr="00183F0C">
        <w:rPr>
          <w:rFonts w:eastAsia="Times New Roman"/>
          <w:color w:val="000000"/>
        </w:rPr>
        <w:t>Galvis, H., 2017</w:t>
      </w:r>
      <w:r w:rsidR="001F3F37" w:rsidRPr="00183F0C">
        <w:rPr>
          <w:rFonts w:eastAsia="Times New Roman"/>
          <w:color w:val="000000"/>
        </w:rPr>
        <w:t xml:space="preserve">. Detailed </w:t>
      </w:r>
      <w:r w:rsidR="00DB198F">
        <w:rPr>
          <w:rFonts w:eastAsia="Times New Roman"/>
          <w:color w:val="000000"/>
        </w:rPr>
        <w:t>l</w:t>
      </w:r>
      <w:r w:rsidR="001F3F37" w:rsidRPr="00183F0C">
        <w:rPr>
          <w:rFonts w:eastAsia="Times New Roman"/>
          <w:color w:val="000000"/>
        </w:rPr>
        <w:t xml:space="preserve">ithostratigraphic </w:t>
      </w:r>
      <w:r w:rsidR="00DB198F">
        <w:rPr>
          <w:rFonts w:eastAsia="Times New Roman"/>
          <w:color w:val="000000"/>
        </w:rPr>
        <w:t>c</w:t>
      </w:r>
      <w:r w:rsidR="001F3F37" w:rsidRPr="00183F0C">
        <w:rPr>
          <w:rFonts w:eastAsia="Times New Roman"/>
          <w:color w:val="000000"/>
        </w:rPr>
        <w:t xml:space="preserve">haracterization and </w:t>
      </w:r>
      <w:r w:rsidR="00DB198F">
        <w:rPr>
          <w:rFonts w:eastAsia="Times New Roman"/>
          <w:color w:val="000000"/>
        </w:rPr>
        <w:t>s</w:t>
      </w:r>
      <w:r w:rsidR="001F3F37" w:rsidRPr="00183F0C">
        <w:rPr>
          <w:rFonts w:eastAsia="Times New Roman"/>
          <w:color w:val="000000"/>
        </w:rPr>
        <w:t xml:space="preserve">equence </w:t>
      </w:r>
      <w:r w:rsidR="00DB198F">
        <w:rPr>
          <w:rFonts w:eastAsia="Times New Roman"/>
          <w:color w:val="000000"/>
        </w:rPr>
        <w:t>s</w:t>
      </w:r>
      <w:r w:rsidR="001F3F37" w:rsidRPr="00183F0C">
        <w:rPr>
          <w:rFonts w:eastAsia="Times New Roman"/>
          <w:color w:val="000000"/>
        </w:rPr>
        <w:t xml:space="preserve">tratigraphy of </w:t>
      </w:r>
      <w:r w:rsidR="00DB198F">
        <w:rPr>
          <w:rFonts w:eastAsia="Times New Roman"/>
          <w:color w:val="000000"/>
        </w:rPr>
        <w:t>a</w:t>
      </w:r>
      <w:r w:rsidR="001F3F37" w:rsidRPr="00183F0C">
        <w:rPr>
          <w:rFonts w:eastAsia="Times New Roman"/>
          <w:color w:val="000000"/>
        </w:rPr>
        <w:t xml:space="preserve"> </w:t>
      </w:r>
      <w:r w:rsidR="00DB198F">
        <w:rPr>
          <w:rFonts w:eastAsia="Times New Roman"/>
          <w:color w:val="000000"/>
        </w:rPr>
        <w:t>c</w:t>
      </w:r>
      <w:r w:rsidR="001F3F37" w:rsidRPr="00183F0C">
        <w:rPr>
          <w:rFonts w:eastAsia="Times New Roman"/>
          <w:color w:val="000000"/>
        </w:rPr>
        <w:t xml:space="preserve">omplete Woodford Shale </w:t>
      </w:r>
      <w:r w:rsidR="00DB198F">
        <w:rPr>
          <w:rFonts w:eastAsia="Times New Roman"/>
          <w:color w:val="000000"/>
        </w:rPr>
        <w:t>o</w:t>
      </w:r>
      <w:r w:rsidR="001F3F37" w:rsidRPr="00183F0C">
        <w:rPr>
          <w:rFonts w:eastAsia="Times New Roman"/>
          <w:color w:val="000000"/>
        </w:rPr>
        <w:t xml:space="preserve">utcrop </w:t>
      </w:r>
      <w:r w:rsidR="00DB198F">
        <w:rPr>
          <w:rFonts w:eastAsia="Times New Roman"/>
          <w:color w:val="000000"/>
        </w:rPr>
        <w:t>s</w:t>
      </w:r>
      <w:r w:rsidR="001F3F37" w:rsidRPr="00183F0C">
        <w:rPr>
          <w:rFonts w:eastAsia="Times New Roman"/>
          <w:color w:val="000000"/>
        </w:rPr>
        <w:t xml:space="preserve">ection in </w:t>
      </w:r>
      <w:r w:rsidR="004E53D9">
        <w:rPr>
          <w:rFonts w:eastAsia="Times New Roman"/>
          <w:color w:val="000000"/>
        </w:rPr>
        <w:t>s</w:t>
      </w:r>
      <w:r w:rsidR="001F3F37" w:rsidRPr="00183F0C">
        <w:rPr>
          <w:rFonts w:eastAsia="Times New Roman"/>
          <w:color w:val="000000"/>
        </w:rPr>
        <w:t xml:space="preserve">outhern Oklahoma. M.Sc. </w:t>
      </w:r>
      <w:r w:rsidR="00DB198F">
        <w:rPr>
          <w:rFonts w:eastAsia="Times New Roman"/>
          <w:color w:val="000000"/>
        </w:rPr>
        <w:t>t</w:t>
      </w:r>
      <w:r w:rsidR="001F3F37" w:rsidRPr="00183F0C">
        <w:rPr>
          <w:rFonts w:eastAsia="Times New Roman"/>
          <w:color w:val="000000"/>
        </w:rPr>
        <w:t xml:space="preserve">hesis manuscript, The University of Oklahoma, p. </w:t>
      </w:r>
      <w:r w:rsidR="004707FA" w:rsidRPr="00183F0C">
        <w:rPr>
          <w:rFonts w:eastAsia="Times New Roman"/>
          <w:color w:val="000000"/>
        </w:rPr>
        <w:t>170</w:t>
      </w:r>
      <w:r w:rsidR="001F3F37" w:rsidRPr="00183F0C">
        <w:rPr>
          <w:rFonts w:eastAsia="Times New Roman"/>
          <w:color w:val="000000"/>
        </w:rPr>
        <w:t>.</w:t>
      </w:r>
      <w:r w:rsidR="001832EA" w:rsidRPr="00183F0C">
        <w:rPr>
          <w:rFonts w:eastAsia="Times New Roman"/>
          <w:color w:val="000000"/>
        </w:rPr>
        <w:t xml:space="preserve"> </w:t>
      </w:r>
    </w:p>
    <w:p w14:paraId="3D5F8A72" w14:textId="5A9E1CB7" w:rsidR="00D40C79" w:rsidRPr="00183F0C" w:rsidRDefault="00D40C79" w:rsidP="00415E04">
      <w:pPr>
        <w:pStyle w:val="ListParagraph"/>
        <w:numPr>
          <w:ilvl w:val="0"/>
          <w:numId w:val="3"/>
        </w:numPr>
        <w:ind w:left="360"/>
        <w:rPr>
          <w:rFonts w:eastAsia="Times New Roman"/>
          <w:color w:val="000000"/>
        </w:rPr>
      </w:pPr>
      <w:r w:rsidRPr="00183F0C">
        <w:rPr>
          <w:rFonts w:eastAsia="Times New Roman"/>
          <w:color w:val="000000"/>
        </w:rPr>
        <w:t xml:space="preserve">Galvis, H., </w:t>
      </w:r>
      <w:r w:rsidR="00697374" w:rsidRPr="00183F0C">
        <w:rPr>
          <w:rFonts w:eastAsia="Times New Roman"/>
          <w:color w:val="000000"/>
        </w:rPr>
        <w:t xml:space="preserve">Becerra-Rondon, </w:t>
      </w:r>
      <w:r w:rsidR="001A25FF">
        <w:rPr>
          <w:rFonts w:eastAsia="Times New Roman"/>
          <w:color w:val="000000"/>
        </w:rPr>
        <w:t xml:space="preserve">D., </w:t>
      </w:r>
      <w:r w:rsidR="00697374" w:rsidRPr="00183F0C">
        <w:rPr>
          <w:rFonts w:eastAsia="Times New Roman"/>
          <w:color w:val="000000"/>
        </w:rPr>
        <w:t>Slatt,</w:t>
      </w:r>
      <w:r w:rsidR="001A25FF">
        <w:rPr>
          <w:rFonts w:eastAsia="Times New Roman"/>
          <w:color w:val="000000"/>
        </w:rPr>
        <w:t xml:space="preserve"> R.M.,</w:t>
      </w:r>
      <w:r w:rsidR="00697374" w:rsidRPr="00183F0C">
        <w:rPr>
          <w:rFonts w:eastAsia="Times New Roman"/>
          <w:color w:val="000000"/>
        </w:rPr>
        <w:t xml:space="preserve"> 2017. </w:t>
      </w:r>
      <w:r w:rsidR="00A52884" w:rsidRPr="00183F0C">
        <w:rPr>
          <w:rFonts w:eastAsia="Times New Roman"/>
          <w:color w:val="000000"/>
        </w:rPr>
        <w:t xml:space="preserve">Lithofacies and stratigraphy of a complete Woodford Shale outcrop section in </w:t>
      </w:r>
      <w:r w:rsidR="004E53D9">
        <w:rPr>
          <w:rFonts w:eastAsia="Times New Roman"/>
          <w:color w:val="000000"/>
        </w:rPr>
        <w:t>s</w:t>
      </w:r>
      <w:r w:rsidR="00A52884" w:rsidRPr="00183F0C">
        <w:rPr>
          <w:rFonts w:eastAsia="Times New Roman"/>
          <w:color w:val="000000"/>
        </w:rPr>
        <w:t>outh</w:t>
      </w:r>
      <w:r w:rsidR="001861B5">
        <w:rPr>
          <w:rFonts w:eastAsia="Times New Roman"/>
          <w:color w:val="000000"/>
        </w:rPr>
        <w:t>-</w:t>
      </w:r>
      <w:r w:rsidR="004E53D9">
        <w:rPr>
          <w:rFonts w:eastAsia="Times New Roman"/>
          <w:color w:val="000000"/>
        </w:rPr>
        <w:t>c</w:t>
      </w:r>
      <w:r w:rsidR="00A52884" w:rsidRPr="00183F0C">
        <w:rPr>
          <w:rFonts w:eastAsia="Times New Roman"/>
          <w:color w:val="000000"/>
        </w:rPr>
        <w:t>entral Oklahoma: Geologic considerations for the evaluation of unconventional shale reservoirs. Interpretation</w:t>
      </w:r>
      <w:r w:rsidR="00DB198F">
        <w:rPr>
          <w:rFonts w:eastAsia="Times New Roman"/>
          <w:color w:val="000000"/>
        </w:rPr>
        <w:t xml:space="preserve"> </w:t>
      </w:r>
      <w:r w:rsidR="00A52884" w:rsidRPr="00183F0C">
        <w:rPr>
          <w:rFonts w:eastAsia="Times New Roman"/>
          <w:color w:val="000000"/>
        </w:rPr>
        <w:t>2017</w:t>
      </w:r>
      <w:r w:rsidR="00DB198F">
        <w:rPr>
          <w:rFonts w:eastAsia="Times New Roman"/>
          <w:color w:val="000000"/>
        </w:rPr>
        <w:t>,</w:t>
      </w:r>
      <w:r w:rsidR="00A52884" w:rsidRPr="00183F0C">
        <w:rPr>
          <w:rFonts w:eastAsia="Times New Roman"/>
          <w:color w:val="000000"/>
        </w:rPr>
        <w:t xml:space="preserve"> 6</w:t>
      </w:r>
      <w:r w:rsidR="00DB198F">
        <w:rPr>
          <w:rFonts w:eastAsia="Times New Roman"/>
          <w:color w:val="000000"/>
        </w:rPr>
        <w:t>, 1</w:t>
      </w:r>
      <w:r w:rsidR="00F3152B">
        <w:rPr>
          <w:rFonts w:eastAsia="Times New Roman"/>
          <w:color w:val="000000"/>
        </w:rPr>
        <w:t>,</w:t>
      </w:r>
      <w:r w:rsidR="00A52884" w:rsidRPr="00183F0C">
        <w:rPr>
          <w:rFonts w:eastAsia="Times New Roman"/>
          <w:color w:val="000000"/>
        </w:rPr>
        <w:t xml:space="preserve"> SC15-SC27. </w:t>
      </w:r>
    </w:p>
    <w:p w14:paraId="445C4E05" w14:textId="29B185B7" w:rsidR="00B41707" w:rsidRDefault="00B41707" w:rsidP="00415E04">
      <w:pPr>
        <w:pStyle w:val="ListParagraph"/>
        <w:numPr>
          <w:ilvl w:val="0"/>
          <w:numId w:val="3"/>
        </w:numPr>
        <w:ind w:left="360"/>
        <w:rPr>
          <w:rFonts w:eastAsia="Times New Roman"/>
          <w:color w:val="000000"/>
        </w:rPr>
      </w:pPr>
      <w:r w:rsidRPr="00183F0C">
        <w:rPr>
          <w:rFonts w:eastAsia="Times New Roman"/>
          <w:color w:val="000000"/>
        </w:rPr>
        <w:lastRenderedPageBreak/>
        <w:t>Ghosh, S., 2017. Integrated studies on Woodford Shale</w:t>
      </w:r>
      <w:r w:rsidR="006004BB" w:rsidRPr="00183F0C">
        <w:rPr>
          <w:rFonts w:eastAsia="Times New Roman"/>
          <w:color w:val="000000"/>
        </w:rPr>
        <w:t>'s</w:t>
      </w:r>
      <w:r w:rsidRPr="00183F0C">
        <w:rPr>
          <w:rFonts w:eastAsia="Times New Roman"/>
          <w:color w:val="000000"/>
        </w:rPr>
        <w:t xml:space="preserve"> natural fracture attributes, origin, and their relation to hydraulic fracturing. Doctorate </w:t>
      </w:r>
      <w:r w:rsidR="007E4921">
        <w:rPr>
          <w:rFonts w:eastAsia="Times New Roman"/>
          <w:color w:val="000000"/>
        </w:rPr>
        <w:t>dissertation</w:t>
      </w:r>
      <w:r w:rsidRPr="00183F0C">
        <w:rPr>
          <w:rFonts w:eastAsia="Times New Roman"/>
          <w:color w:val="000000"/>
        </w:rPr>
        <w:t xml:space="preserve"> manuscript, The University of Oklahoma, p. </w:t>
      </w:r>
      <w:r w:rsidR="001F72F1" w:rsidRPr="00183F0C">
        <w:rPr>
          <w:rFonts w:eastAsia="Times New Roman"/>
          <w:color w:val="000000"/>
        </w:rPr>
        <w:t>264.</w:t>
      </w:r>
    </w:p>
    <w:p w14:paraId="1A63942D" w14:textId="7EC071CB" w:rsidR="004C7284" w:rsidRPr="00183F0C" w:rsidRDefault="004C7284" w:rsidP="00415E04">
      <w:pPr>
        <w:pStyle w:val="ListParagraph"/>
        <w:numPr>
          <w:ilvl w:val="0"/>
          <w:numId w:val="3"/>
        </w:numPr>
        <w:ind w:left="360"/>
        <w:rPr>
          <w:rFonts w:eastAsia="Times New Roman"/>
          <w:color w:val="000000"/>
        </w:rPr>
      </w:pPr>
      <w:r w:rsidRPr="004C7284">
        <w:rPr>
          <w:rFonts w:eastAsia="Times New Roman"/>
          <w:color w:val="000000"/>
        </w:rPr>
        <w:t>Grotzinger, J.G</w:t>
      </w:r>
      <w:r>
        <w:rPr>
          <w:rFonts w:eastAsia="Times New Roman"/>
          <w:color w:val="000000"/>
        </w:rPr>
        <w:t xml:space="preserve">, </w:t>
      </w:r>
      <w:r w:rsidRPr="004C7284">
        <w:rPr>
          <w:rFonts w:eastAsia="Times New Roman"/>
          <w:color w:val="000000"/>
        </w:rPr>
        <w:t xml:space="preserve">Jordan, </w:t>
      </w:r>
      <w:r>
        <w:rPr>
          <w:rFonts w:eastAsia="Times New Roman"/>
          <w:color w:val="000000"/>
        </w:rPr>
        <w:t xml:space="preserve">T.H., </w:t>
      </w:r>
      <w:r w:rsidRPr="004C7284">
        <w:rPr>
          <w:rFonts w:eastAsia="Times New Roman"/>
          <w:color w:val="000000"/>
        </w:rPr>
        <w:t>2010</w:t>
      </w:r>
      <w:r>
        <w:rPr>
          <w:rFonts w:eastAsia="Times New Roman"/>
          <w:color w:val="000000"/>
        </w:rPr>
        <w:t>.</w:t>
      </w:r>
      <w:r w:rsidRPr="004C7284">
        <w:rPr>
          <w:rFonts w:eastAsia="Times New Roman"/>
          <w:color w:val="000000"/>
        </w:rPr>
        <w:t xml:space="preserve"> Understanding </w:t>
      </w:r>
      <w:r>
        <w:rPr>
          <w:rFonts w:eastAsia="Times New Roman"/>
          <w:color w:val="000000"/>
        </w:rPr>
        <w:t>e</w:t>
      </w:r>
      <w:r w:rsidRPr="004C7284">
        <w:rPr>
          <w:rFonts w:eastAsia="Times New Roman"/>
          <w:color w:val="000000"/>
        </w:rPr>
        <w:t>arth</w:t>
      </w:r>
      <w:r w:rsidR="00C105D1">
        <w:rPr>
          <w:rFonts w:eastAsia="Times New Roman"/>
          <w:color w:val="000000"/>
        </w:rPr>
        <w:t>. In: F</w:t>
      </w:r>
      <w:r w:rsidR="001861B5">
        <w:rPr>
          <w:rFonts w:eastAsia="Times New Roman"/>
          <w:color w:val="000000"/>
        </w:rPr>
        <w:t>r</w:t>
      </w:r>
      <w:r w:rsidRPr="004C7284">
        <w:rPr>
          <w:rFonts w:eastAsia="Times New Roman"/>
          <w:color w:val="000000"/>
        </w:rPr>
        <w:t>eeman</w:t>
      </w:r>
      <w:r w:rsidR="00C105D1">
        <w:rPr>
          <w:rFonts w:eastAsia="Times New Roman"/>
          <w:color w:val="000000"/>
        </w:rPr>
        <w:t>, W.H.,</w:t>
      </w:r>
      <w:r w:rsidRPr="004C7284">
        <w:rPr>
          <w:rFonts w:eastAsia="Times New Roman"/>
          <w:color w:val="000000"/>
        </w:rPr>
        <w:t xml:space="preserve"> Sixth Edition, </w:t>
      </w:r>
      <w:r w:rsidR="00C105D1">
        <w:rPr>
          <w:rFonts w:eastAsia="Times New Roman"/>
          <w:color w:val="000000"/>
        </w:rPr>
        <w:t xml:space="preserve">p. </w:t>
      </w:r>
      <w:r w:rsidRPr="004C7284">
        <w:rPr>
          <w:rFonts w:eastAsia="Times New Roman"/>
          <w:color w:val="000000"/>
        </w:rPr>
        <w:t>672</w:t>
      </w:r>
      <w:r w:rsidR="00C105D1">
        <w:rPr>
          <w:rFonts w:eastAsia="Times New Roman"/>
          <w:color w:val="000000"/>
        </w:rPr>
        <w:t>.</w:t>
      </w:r>
    </w:p>
    <w:p w14:paraId="61387A85" w14:textId="6C363B99" w:rsidR="005449D5" w:rsidRDefault="003E4375" w:rsidP="00415E04">
      <w:pPr>
        <w:pStyle w:val="ListParagraph"/>
        <w:numPr>
          <w:ilvl w:val="0"/>
          <w:numId w:val="3"/>
        </w:numPr>
        <w:ind w:left="360"/>
        <w:rPr>
          <w:rFonts w:eastAsia="Times New Roman"/>
          <w:color w:val="000000"/>
        </w:rPr>
      </w:pPr>
      <w:r w:rsidRPr="00183F0C">
        <w:rPr>
          <w:rFonts w:eastAsia="Times New Roman"/>
          <w:color w:val="000000"/>
        </w:rPr>
        <w:t>Hammes, U.</w:t>
      </w:r>
      <w:r w:rsidR="005449D5">
        <w:rPr>
          <w:rFonts w:eastAsia="Times New Roman"/>
          <w:color w:val="000000"/>
        </w:rPr>
        <w:t>,</w:t>
      </w:r>
      <w:r w:rsidRPr="00183F0C">
        <w:rPr>
          <w:rFonts w:eastAsia="Times New Roman"/>
          <w:color w:val="000000"/>
        </w:rPr>
        <w:t xml:space="preserve"> Carr,</w:t>
      </w:r>
      <w:r w:rsidR="005449D5">
        <w:rPr>
          <w:rFonts w:eastAsia="Times New Roman"/>
          <w:color w:val="000000"/>
        </w:rPr>
        <w:t xml:space="preserve"> </w:t>
      </w:r>
      <w:r w:rsidR="005449D5" w:rsidRPr="00183F0C">
        <w:rPr>
          <w:rFonts w:eastAsia="Times New Roman"/>
          <w:color w:val="000000"/>
        </w:rPr>
        <w:t>D. L.</w:t>
      </w:r>
      <w:r w:rsidR="005449D5">
        <w:rPr>
          <w:rFonts w:eastAsia="Times New Roman"/>
          <w:color w:val="000000"/>
        </w:rPr>
        <w:t>,</w:t>
      </w:r>
      <w:r w:rsidRPr="00183F0C">
        <w:rPr>
          <w:rFonts w:eastAsia="Times New Roman"/>
          <w:color w:val="000000"/>
        </w:rPr>
        <w:t xml:space="preserve"> 2009</w:t>
      </w:r>
      <w:r w:rsidR="005449D5">
        <w:rPr>
          <w:rFonts w:eastAsia="Times New Roman"/>
          <w:color w:val="000000"/>
        </w:rPr>
        <w:t>.</w:t>
      </w:r>
      <w:r w:rsidRPr="00183F0C">
        <w:rPr>
          <w:rFonts w:eastAsia="Times New Roman"/>
          <w:color w:val="000000"/>
        </w:rPr>
        <w:t xml:space="preserve"> Sequence </w:t>
      </w:r>
      <w:r w:rsidR="005449D5">
        <w:rPr>
          <w:rFonts w:eastAsia="Times New Roman"/>
          <w:color w:val="000000"/>
        </w:rPr>
        <w:t>s</w:t>
      </w:r>
      <w:r w:rsidRPr="00183F0C">
        <w:rPr>
          <w:rFonts w:eastAsia="Times New Roman"/>
          <w:color w:val="000000"/>
        </w:rPr>
        <w:t xml:space="preserve">tratigraphy, </w:t>
      </w:r>
      <w:r w:rsidR="005449D5">
        <w:rPr>
          <w:rFonts w:eastAsia="Times New Roman"/>
          <w:color w:val="000000"/>
        </w:rPr>
        <w:t>d</w:t>
      </w:r>
      <w:r w:rsidRPr="00183F0C">
        <w:rPr>
          <w:rFonts w:eastAsia="Times New Roman"/>
          <w:color w:val="000000"/>
        </w:rPr>
        <w:t xml:space="preserve">epositional </w:t>
      </w:r>
      <w:r w:rsidR="005449D5">
        <w:rPr>
          <w:rFonts w:eastAsia="Times New Roman"/>
          <w:color w:val="000000"/>
        </w:rPr>
        <w:t>e</w:t>
      </w:r>
      <w:r w:rsidRPr="00183F0C">
        <w:rPr>
          <w:rFonts w:eastAsia="Times New Roman"/>
          <w:color w:val="000000"/>
        </w:rPr>
        <w:t xml:space="preserve">nvironments, and </w:t>
      </w:r>
      <w:r w:rsidR="005449D5">
        <w:rPr>
          <w:rFonts w:eastAsia="Times New Roman"/>
          <w:color w:val="000000"/>
        </w:rPr>
        <w:t>p</w:t>
      </w:r>
      <w:r w:rsidRPr="00183F0C">
        <w:rPr>
          <w:rFonts w:eastAsia="Times New Roman"/>
          <w:color w:val="000000"/>
        </w:rPr>
        <w:t xml:space="preserve">roduction </w:t>
      </w:r>
      <w:r w:rsidR="005449D5">
        <w:rPr>
          <w:rFonts w:eastAsia="Times New Roman"/>
          <w:color w:val="000000"/>
        </w:rPr>
        <w:t>f</w:t>
      </w:r>
      <w:r w:rsidRPr="00183F0C">
        <w:rPr>
          <w:rFonts w:eastAsia="Times New Roman"/>
          <w:color w:val="000000"/>
        </w:rPr>
        <w:t>airways of the Haynesville Shale</w:t>
      </w:r>
      <w:r w:rsidR="005449D5">
        <w:rPr>
          <w:rFonts w:eastAsia="Times New Roman"/>
          <w:color w:val="000000"/>
        </w:rPr>
        <w:t xml:space="preserve"> g</w:t>
      </w:r>
      <w:r w:rsidRPr="00183F0C">
        <w:rPr>
          <w:rFonts w:eastAsia="Times New Roman"/>
          <w:color w:val="000000"/>
        </w:rPr>
        <w:t xml:space="preserve">as </w:t>
      </w:r>
      <w:r w:rsidR="005449D5">
        <w:rPr>
          <w:rFonts w:eastAsia="Times New Roman"/>
          <w:color w:val="000000"/>
        </w:rPr>
        <w:t>p</w:t>
      </w:r>
      <w:r w:rsidRPr="00183F0C">
        <w:rPr>
          <w:rFonts w:eastAsia="Times New Roman"/>
          <w:color w:val="000000"/>
        </w:rPr>
        <w:t>lay in East Texas</w:t>
      </w:r>
      <w:r w:rsidR="005449D5">
        <w:rPr>
          <w:rFonts w:eastAsia="Times New Roman"/>
          <w:color w:val="000000"/>
        </w:rPr>
        <w:t>.</w:t>
      </w:r>
      <w:r w:rsidRPr="00183F0C">
        <w:rPr>
          <w:rFonts w:eastAsia="Times New Roman"/>
          <w:color w:val="000000"/>
        </w:rPr>
        <w:t xml:space="preserve"> Search and Discovery </w:t>
      </w:r>
      <w:r w:rsidR="00D3040C">
        <w:rPr>
          <w:rFonts w:eastAsia="Times New Roman"/>
          <w:color w:val="000000"/>
        </w:rPr>
        <w:t>a</w:t>
      </w:r>
      <w:r w:rsidRPr="00183F0C">
        <w:rPr>
          <w:rFonts w:eastAsia="Times New Roman"/>
          <w:color w:val="000000"/>
        </w:rPr>
        <w:t>rticle 110084.</w:t>
      </w:r>
    </w:p>
    <w:p w14:paraId="77994E18" w14:textId="6617D46D" w:rsidR="00275885" w:rsidRDefault="00275885" w:rsidP="00415E04">
      <w:pPr>
        <w:pStyle w:val="ListParagraph"/>
        <w:numPr>
          <w:ilvl w:val="0"/>
          <w:numId w:val="3"/>
        </w:numPr>
        <w:ind w:left="360"/>
        <w:rPr>
          <w:rFonts w:eastAsia="Times New Roman"/>
          <w:color w:val="000000"/>
        </w:rPr>
      </w:pPr>
      <w:r>
        <w:rPr>
          <w:rFonts w:eastAsia="Times New Roman"/>
          <w:color w:val="000000"/>
        </w:rPr>
        <w:t>Hampson, G.J., Reynolds, A.D., Kostic, B., Wells, M.R., 2017. Sedimentology of paralic reservoirs: Recent advances. Geological Society of London, Special Publications 444, 7-34.</w:t>
      </w:r>
    </w:p>
    <w:p w14:paraId="2ABB70F1" w14:textId="3F8FB843"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Hill, R., Jarvie,</w:t>
      </w:r>
      <w:r w:rsidR="005449D5">
        <w:rPr>
          <w:rFonts w:eastAsia="Times New Roman"/>
          <w:color w:val="000000"/>
        </w:rPr>
        <w:t xml:space="preserve"> </w:t>
      </w:r>
      <w:r w:rsidR="005449D5" w:rsidRPr="00183F0C">
        <w:rPr>
          <w:rFonts w:eastAsia="Times New Roman"/>
          <w:color w:val="000000"/>
        </w:rPr>
        <w:t>D.</w:t>
      </w:r>
      <w:r w:rsidR="005449D5">
        <w:rPr>
          <w:rFonts w:eastAsia="Times New Roman"/>
          <w:color w:val="000000"/>
        </w:rPr>
        <w:t>,</w:t>
      </w:r>
      <w:r w:rsidRPr="00183F0C">
        <w:rPr>
          <w:rFonts w:eastAsia="Times New Roman"/>
          <w:color w:val="000000"/>
        </w:rPr>
        <w:t xml:space="preserve"> Zumberge,</w:t>
      </w:r>
      <w:r w:rsidR="005449D5">
        <w:rPr>
          <w:rFonts w:eastAsia="Times New Roman"/>
          <w:color w:val="000000"/>
        </w:rPr>
        <w:t xml:space="preserve"> J., </w:t>
      </w:r>
      <w:r w:rsidRPr="00183F0C">
        <w:rPr>
          <w:rFonts w:eastAsia="Times New Roman"/>
          <w:color w:val="000000"/>
        </w:rPr>
        <w:t>Henry</w:t>
      </w:r>
      <w:r w:rsidR="005449D5">
        <w:rPr>
          <w:rFonts w:eastAsia="Times New Roman"/>
          <w:color w:val="000000"/>
        </w:rPr>
        <w:t xml:space="preserve">, M., </w:t>
      </w:r>
      <w:r w:rsidRPr="00183F0C">
        <w:rPr>
          <w:rFonts w:eastAsia="Times New Roman"/>
          <w:color w:val="000000"/>
        </w:rPr>
        <w:t>Pollastro,</w:t>
      </w:r>
      <w:r w:rsidR="005449D5">
        <w:rPr>
          <w:rFonts w:eastAsia="Times New Roman"/>
          <w:color w:val="000000"/>
        </w:rPr>
        <w:t xml:space="preserve"> R.,</w:t>
      </w:r>
      <w:r w:rsidRPr="00183F0C">
        <w:rPr>
          <w:rFonts w:eastAsia="Times New Roman"/>
          <w:color w:val="000000"/>
        </w:rPr>
        <w:t xml:space="preserve"> 2007</w:t>
      </w:r>
      <w:r w:rsidR="005449D5">
        <w:rPr>
          <w:rFonts w:eastAsia="Times New Roman"/>
          <w:color w:val="000000"/>
        </w:rPr>
        <w:t>.</w:t>
      </w:r>
      <w:r w:rsidRPr="00183F0C">
        <w:rPr>
          <w:rFonts w:eastAsia="Times New Roman"/>
          <w:color w:val="000000"/>
        </w:rPr>
        <w:t xml:space="preserve"> Oil and gas geochemistry and petroleum systems of the Fort Worth </w:t>
      </w:r>
      <w:r w:rsidR="005449D5">
        <w:rPr>
          <w:rFonts w:eastAsia="Times New Roman"/>
          <w:color w:val="000000"/>
        </w:rPr>
        <w:t>b</w:t>
      </w:r>
      <w:r w:rsidRPr="00183F0C">
        <w:rPr>
          <w:rFonts w:eastAsia="Times New Roman"/>
          <w:color w:val="000000"/>
        </w:rPr>
        <w:t>asin: AAPG Bulletin</w:t>
      </w:r>
      <w:r w:rsidR="005449D5">
        <w:rPr>
          <w:rFonts w:eastAsia="Times New Roman"/>
          <w:color w:val="000000"/>
        </w:rPr>
        <w:t xml:space="preserve"> </w:t>
      </w:r>
      <w:r w:rsidRPr="00183F0C">
        <w:rPr>
          <w:rFonts w:eastAsia="Times New Roman"/>
          <w:color w:val="000000"/>
        </w:rPr>
        <w:t>91, 4, 445–473.</w:t>
      </w:r>
    </w:p>
    <w:p w14:paraId="5E98E7FA" w14:textId="079CAD92" w:rsidR="007317A6" w:rsidRPr="00183F0C" w:rsidRDefault="007317A6" w:rsidP="00415E04">
      <w:pPr>
        <w:pStyle w:val="ListParagraph"/>
        <w:numPr>
          <w:ilvl w:val="0"/>
          <w:numId w:val="3"/>
        </w:numPr>
        <w:ind w:left="360"/>
        <w:rPr>
          <w:rFonts w:eastAsia="Times New Roman"/>
          <w:color w:val="000000"/>
        </w:rPr>
      </w:pPr>
      <w:r w:rsidRPr="00183F0C">
        <w:rPr>
          <w:rFonts w:eastAsia="Times New Roman"/>
          <w:color w:val="000000"/>
        </w:rPr>
        <w:t>Infante-P</w:t>
      </w:r>
      <w:r w:rsidR="006D5425" w:rsidRPr="00183F0C">
        <w:rPr>
          <w:rFonts w:eastAsia="Times New Roman"/>
          <w:color w:val="000000"/>
        </w:rPr>
        <w:t>a</w:t>
      </w:r>
      <w:r w:rsidRPr="00183F0C">
        <w:rPr>
          <w:rFonts w:eastAsia="Times New Roman"/>
          <w:color w:val="000000"/>
        </w:rPr>
        <w:t>ez</w:t>
      </w:r>
      <w:r w:rsidR="006D5425" w:rsidRPr="00183F0C">
        <w:rPr>
          <w:rFonts w:eastAsia="Times New Roman"/>
          <w:color w:val="000000"/>
        </w:rPr>
        <w:t>,</w:t>
      </w:r>
      <w:r w:rsidRPr="00183F0C">
        <w:rPr>
          <w:rFonts w:eastAsia="Times New Roman"/>
          <w:color w:val="000000"/>
        </w:rPr>
        <w:t xml:space="preserve"> L.E., </w:t>
      </w:r>
      <w:r w:rsidR="006D5425" w:rsidRPr="00183F0C">
        <w:rPr>
          <w:rFonts w:eastAsia="Times New Roman"/>
          <w:color w:val="000000"/>
        </w:rPr>
        <w:t xml:space="preserve">Cardona, </w:t>
      </w:r>
      <w:r w:rsidR="005449D5" w:rsidRPr="00183F0C">
        <w:rPr>
          <w:rFonts w:eastAsia="Times New Roman"/>
          <w:color w:val="000000"/>
        </w:rPr>
        <w:t>L.F.</w:t>
      </w:r>
      <w:r w:rsidR="005449D5">
        <w:rPr>
          <w:rFonts w:eastAsia="Times New Roman"/>
          <w:color w:val="000000"/>
        </w:rPr>
        <w:t xml:space="preserve">, </w:t>
      </w:r>
      <w:r w:rsidR="006D5425" w:rsidRPr="00183F0C">
        <w:rPr>
          <w:rFonts w:eastAsia="Times New Roman"/>
          <w:color w:val="000000"/>
        </w:rPr>
        <w:t xml:space="preserve">McCullough, </w:t>
      </w:r>
      <w:r w:rsidR="005449D5" w:rsidRPr="00183F0C">
        <w:rPr>
          <w:rFonts w:eastAsia="Times New Roman"/>
          <w:color w:val="000000"/>
        </w:rPr>
        <w:t>B.</w:t>
      </w:r>
      <w:r w:rsidR="005449D5">
        <w:rPr>
          <w:rFonts w:eastAsia="Times New Roman"/>
          <w:color w:val="000000"/>
        </w:rPr>
        <w:t>,</w:t>
      </w:r>
      <w:r w:rsidR="005449D5" w:rsidRPr="00183F0C">
        <w:rPr>
          <w:rFonts w:eastAsia="Times New Roman"/>
          <w:color w:val="000000"/>
        </w:rPr>
        <w:t xml:space="preserve"> </w:t>
      </w:r>
      <w:r w:rsidR="006D5425" w:rsidRPr="00183F0C">
        <w:rPr>
          <w:rFonts w:eastAsia="Times New Roman"/>
          <w:color w:val="000000"/>
        </w:rPr>
        <w:t xml:space="preserve">Slatt, </w:t>
      </w:r>
      <w:r w:rsidR="005449D5" w:rsidRPr="00183F0C">
        <w:rPr>
          <w:rFonts w:eastAsia="Times New Roman"/>
          <w:color w:val="000000"/>
        </w:rPr>
        <w:t>R.M.</w:t>
      </w:r>
      <w:r w:rsidR="005449D5">
        <w:rPr>
          <w:rFonts w:eastAsia="Times New Roman"/>
          <w:color w:val="000000"/>
        </w:rPr>
        <w:t xml:space="preserve">, </w:t>
      </w:r>
      <w:r w:rsidR="006D5425" w:rsidRPr="00183F0C">
        <w:rPr>
          <w:rFonts w:eastAsia="Times New Roman"/>
          <w:color w:val="000000"/>
        </w:rPr>
        <w:t xml:space="preserve">2016. </w:t>
      </w:r>
      <w:r w:rsidR="003A0148" w:rsidRPr="00183F0C">
        <w:rPr>
          <w:rFonts w:eastAsia="Times New Roman"/>
          <w:color w:val="000000"/>
        </w:rPr>
        <w:t>Seismic analysis of paleo topography and stratigraphic controls on total organic carbon: Rich sweet spot distribution in the Woodford Shale, Oklahoma, USA. Interpretation 5</w:t>
      </w:r>
      <w:r w:rsidR="005449D5">
        <w:rPr>
          <w:rFonts w:eastAsia="Times New Roman"/>
          <w:color w:val="000000"/>
        </w:rPr>
        <w:t xml:space="preserve">, </w:t>
      </w:r>
      <w:r w:rsidR="003A0148" w:rsidRPr="00183F0C">
        <w:rPr>
          <w:rFonts w:eastAsia="Times New Roman"/>
          <w:color w:val="000000"/>
        </w:rPr>
        <w:t>1, T33-T47</w:t>
      </w:r>
      <w:r w:rsidR="005449D5">
        <w:rPr>
          <w:rFonts w:eastAsia="Times New Roman"/>
          <w:color w:val="000000"/>
        </w:rPr>
        <w:t>.</w:t>
      </w:r>
    </w:p>
    <w:p w14:paraId="73E8855F" w14:textId="5986D7D4"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Jarvie, D.M., Hill, R.J., Pollastro, R.M., 2005. Assessment of the gas potential and yields from shales: the Barnett Shale model. In: Cadott, B.</w:t>
      </w:r>
      <w:r w:rsidR="009973A4">
        <w:rPr>
          <w:rFonts w:eastAsia="Times New Roman"/>
          <w:color w:val="000000"/>
        </w:rPr>
        <w:t>, e</w:t>
      </w:r>
      <w:r w:rsidRPr="00183F0C">
        <w:rPr>
          <w:rFonts w:eastAsia="Times New Roman"/>
          <w:color w:val="000000"/>
        </w:rPr>
        <w:t>d</w:t>
      </w:r>
      <w:r w:rsidR="009973A4">
        <w:rPr>
          <w:rFonts w:eastAsia="Times New Roman"/>
          <w:color w:val="000000"/>
        </w:rPr>
        <w:t>s</w:t>
      </w:r>
      <w:r w:rsidRPr="00183F0C">
        <w:rPr>
          <w:rFonts w:eastAsia="Times New Roman"/>
          <w:color w:val="000000"/>
        </w:rPr>
        <w:t xml:space="preserve">., Oklahoma Geological Survey Circular 110: Unconventional </w:t>
      </w:r>
      <w:r w:rsidR="009973A4">
        <w:rPr>
          <w:rFonts w:eastAsia="Times New Roman"/>
          <w:color w:val="000000"/>
        </w:rPr>
        <w:t>g</w:t>
      </w:r>
      <w:r w:rsidRPr="00183F0C">
        <w:rPr>
          <w:rFonts w:eastAsia="Times New Roman"/>
          <w:color w:val="000000"/>
        </w:rPr>
        <w:t xml:space="preserve">as of the </w:t>
      </w:r>
      <w:r w:rsidR="004E53D9">
        <w:rPr>
          <w:rFonts w:eastAsia="Times New Roman"/>
          <w:color w:val="000000"/>
        </w:rPr>
        <w:t>s</w:t>
      </w:r>
      <w:r w:rsidRPr="00183F0C">
        <w:rPr>
          <w:rFonts w:eastAsia="Times New Roman"/>
          <w:color w:val="000000"/>
        </w:rPr>
        <w:t xml:space="preserve">outhern </w:t>
      </w:r>
      <w:r w:rsidR="004E53D9">
        <w:rPr>
          <w:rFonts w:eastAsia="Times New Roman"/>
          <w:color w:val="000000"/>
        </w:rPr>
        <w:t>m</w:t>
      </w:r>
      <w:r w:rsidRPr="00183F0C">
        <w:rPr>
          <w:rFonts w:eastAsia="Times New Roman"/>
          <w:color w:val="000000"/>
        </w:rPr>
        <w:t xml:space="preserve">id-continent </w:t>
      </w:r>
      <w:r w:rsidR="009973A4">
        <w:rPr>
          <w:rFonts w:eastAsia="Times New Roman"/>
          <w:color w:val="000000"/>
        </w:rPr>
        <w:t>s</w:t>
      </w:r>
      <w:r w:rsidRPr="00183F0C">
        <w:rPr>
          <w:rFonts w:eastAsia="Times New Roman"/>
          <w:color w:val="000000"/>
        </w:rPr>
        <w:t>ymposium, March 2005</w:t>
      </w:r>
      <w:r w:rsidR="009973A4">
        <w:rPr>
          <w:rFonts w:eastAsia="Times New Roman"/>
          <w:color w:val="000000"/>
        </w:rPr>
        <w:t xml:space="preserve">. </w:t>
      </w:r>
      <w:r w:rsidRPr="00183F0C">
        <w:rPr>
          <w:rFonts w:eastAsia="Times New Roman"/>
          <w:color w:val="000000"/>
        </w:rPr>
        <w:t>Oklahoma City, Oklahoma, p. 37-50.</w:t>
      </w:r>
    </w:p>
    <w:p w14:paraId="54FE5684" w14:textId="77777777" w:rsidR="0075283C" w:rsidRDefault="003E4375" w:rsidP="0075283C">
      <w:pPr>
        <w:pStyle w:val="ListParagraph"/>
        <w:numPr>
          <w:ilvl w:val="0"/>
          <w:numId w:val="3"/>
        </w:numPr>
        <w:ind w:left="360"/>
        <w:rPr>
          <w:rFonts w:eastAsia="Times New Roman"/>
          <w:color w:val="000000"/>
        </w:rPr>
      </w:pPr>
      <w:r w:rsidRPr="00183F0C">
        <w:rPr>
          <w:rFonts w:eastAsia="Times New Roman"/>
          <w:color w:val="000000"/>
        </w:rPr>
        <w:t xml:space="preserve">Jarvie, D.M., Hill, R.J., Ruble, T.E., Pollastro, R.M., 2007. Unconventional shale-gas systems: the Mississippian Barnett Shale of </w:t>
      </w:r>
      <w:r w:rsidR="009973A4">
        <w:rPr>
          <w:rFonts w:eastAsia="Times New Roman"/>
          <w:color w:val="000000"/>
        </w:rPr>
        <w:t>N</w:t>
      </w:r>
      <w:r w:rsidRPr="00183F0C">
        <w:rPr>
          <w:rFonts w:eastAsia="Times New Roman"/>
          <w:color w:val="000000"/>
        </w:rPr>
        <w:t>orth-</w:t>
      </w:r>
      <w:r w:rsidR="009973A4">
        <w:rPr>
          <w:rFonts w:eastAsia="Times New Roman"/>
          <w:color w:val="000000"/>
        </w:rPr>
        <w:t>C</w:t>
      </w:r>
      <w:r w:rsidRPr="00183F0C">
        <w:rPr>
          <w:rFonts w:eastAsia="Times New Roman"/>
          <w:color w:val="000000"/>
        </w:rPr>
        <w:t>entral Texas as one model for thermogenic shale-gas assessment. AAPG Bull</w:t>
      </w:r>
      <w:r w:rsidR="009973A4">
        <w:rPr>
          <w:rFonts w:eastAsia="Times New Roman"/>
          <w:color w:val="000000"/>
        </w:rPr>
        <w:t>etin</w:t>
      </w:r>
      <w:r w:rsidRPr="00183F0C">
        <w:rPr>
          <w:rFonts w:eastAsia="Times New Roman"/>
          <w:color w:val="000000"/>
        </w:rPr>
        <w:t xml:space="preserve"> 91, </w:t>
      </w:r>
      <w:r w:rsidR="00D3040C">
        <w:rPr>
          <w:rFonts w:eastAsia="Times New Roman"/>
          <w:color w:val="000000"/>
        </w:rPr>
        <w:t xml:space="preserve">4, </w:t>
      </w:r>
      <w:r w:rsidRPr="00183F0C">
        <w:rPr>
          <w:rFonts w:eastAsia="Times New Roman"/>
          <w:color w:val="000000"/>
        </w:rPr>
        <w:t>475-499.</w:t>
      </w:r>
    </w:p>
    <w:p w14:paraId="21AC1A10" w14:textId="096ED62C" w:rsidR="0075283C" w:rsidRPr="0075283C" w:rsidRDefault="0075283C" w:rsidP="0075283C">
      <w:pPr>
        <w:pStyle w:val="ListParagraph"/>
        <w:numPr>
          <w:ilvl w:val="0"/>
          <w:numId w:val="3"/>
        </w:numPr>
        <w:ind w:left="360"/>
        <w:rPr>
          <w:rFonts w:eastAsia="Times New Roman"/>
          <w:color w:val="000000"/>
        </w:rPr>
      </w:pPr>
      <w:r w:rsidRPr="0075283C">
        <w:rPr>
          <w:rFonts w:eastAsia="Times New Roman"/>
          <w:color w:val="000000"/>
        </w:rPr>
        <w:t>Johnson, K.S., Cardott,</w:t>
      </w:r>
      <w:r>
        <w:rPr>
          <w:rFonts w:eastAsia="Times New Roman"/>
          <w:color w:val="000000"/>
        </w:rPr>
        <w:t xml:space="preserve"> B.K.,</w:t>
      </w:r>
      <w:r w:rsidRPr="0075283C">
        <w:rPr>
          <w:rFonts w:eastAsia="Times New Roman"/>
          <w:color w:val="000000"/>
        </w:rPr>
        <w:t xml:space="preserve"> 1992</w:t>
      </w:r>
      <w:r>
        <w:rPr>
          <w:rFonts w:eastAsia="Times New Roman"/>
          <w:color w:val="000000"/>
        </w:rPr>
        <w:t>.</w:t>
      </w:r>
      <w:r w:rsidRPr="0075283C">
        <w:rPr>
          <w:rFonts w:eastAsia="Times New Roman"/>
          <w:color w:val="000000"/>
        </w:rPr>
        <w:t xml:space="preserve"> Geologic framework and hydrocarbon source rocks of Oklahoma, </w:t>
      </w:r>
      <w:r>
        <w:rPr>
          <w:rFonts w:eastAsia="Times New Roman"/>
          <w:color w:val="000000"/>
        </w:rPr>
        <w:t xml:space="preserve">In: Johnson, K.S., </w:t>
      </w:r>
      <w:r w:rsidRPr="00761A3F">
        <w:rPr>
          <w:rFonts w:eastAsia="Times New Roman"/>
          <w:color w:val="000000"/>
        </w:rPr>
        <w:t>Cardott,</w:t>
      </w:r>
      <w:r>
        <w:rPr>
          <w:rFonts w:eastAsia="Times New Roman"/>
          <w:color w:val="000000"/>
        </w:rPr>
        <w:t xml:space="preserve"> B.J.,</w:t>
      </w:r>
      <w:r w:rsidRPr="00761A3F">
        <w:rPr>
          <w:rFonts w:eastAsia="Times New Roman"/>
          <w:color w:val="000000"/>
        </w:rPr>
        <w:t xml:space="preserve"> eds., Source rocks in the southern Midcontinent, 1990 symposium</w:t>
      </w:r>
      <w:r>
        <w:rPr>
          <w:rFonts w:eastAsia="Times New Roman"/>
          <w:color w:val="000000"/>
        </w:rPr>
        <w:t>.</w:t>
      </w:r>
      <w:r w:rsidRPr="00761A3F">
        <w:rPr>
          <w:rFonts w:eastAsia="Times New Roman"/>
          <w:color w:val="000000"/>
        </w:rPr>
        <w:t xml:space="preserve"> OGS Circular 93,</w:t>
      </w:r>
      <w:r w:rsidRPr="0075283C">
        <w:rPr>
          <w:rFonts w:eastAsia="Times New Roman"/>
          <w:color w:val="000000"/>
        </w:rPr>
        <w:t xml:space="preserve"> 21-37.</w:t>
      </w:r>
    </w:p>
    <w:p w14:paraId="75E2D9B4" w14:textId="5E4CC650" w:rsidR="005E03F2" w:rsidRPr="00183F0C" w:rsidRDefault="005E03F2" w:rsidP="00415E04">
      <w:pPr>
        <w:pStyle w:val="ListParagraph"/>
        <w:numPr>
          <w:ilvl w:val="0"/>
          <w:numId w:val="3"/>
        </w:numPr>
        <w:ind w:left="360"/>
        <w:rPr>
          <w:rFonts w:eastAsia="Times New Roman"/>
          <w:color w:val="000000"/>
        </w:rPr>
      </w:pPr>
      <w:r w:rsidRPr="00183F0C">
        <w:rPr>
          <w:rFonts w:eastAsia="Times New Roman"/>
          <w:color w:val="000000"/>
        </w:rPr>
        <w:t xml:space="preserve">Jones, L.C., 2017. </w:t>
      </w:r>
      <w:r w:rsidR="006A7C48" w:rsidRPr="00183F0C">
        <w:rPr>
          <w:rFonts w:eastAsia="Times New Roman"/>
          <w:color w:val="000000"/>
        </w:rPr>
        <w:t xml:space="preserve">An </w:t>
      </w:r>
      <w:r w:rsidR="00970C89">
        <w:rPr>
          <w:rFonts w:eastAsia="Times New Roman"/>
          <w:color w:val="000000"/>
        </w:rPr>
        <w:t>i</w:t>
      </w:r>
      <w:r w:rsidR="006A7C48" w:rsidRPr="00183F0C">
        <w:rPr>
          <w:rFonts w:eastAsia="Times New Roman"/>
          <w:color w:val="000000"/>
        </w:rPr>
        <w:t xml:space="preserve">ntegrated </w:t>
      </w:r>
      <w:r w:rsidR="00970C89">
        <w:rPr>
          <w:rFonts w:eastAsia="Times New Roman"/>
          <w:color w:val="000000"/>
        </w:rPr>
        <w:t>a</w:t>
      </w:r>
      <w:r w:rsidR="006A7C48" w:rsidRPr="00183F0C">
        <w:rPr>
          <w:rFonts w:eastAsia="Times New Roman"/>
          <w:color w:val="000000"/>
        </w:rPr>
        <w:t xml:space="preserve">nalysis </w:t>
      </w:r>
      <w:r w:rsidR="00A86A47" w:rsidRPr="00183F0C">
        <w:rPr>
          <w:rFonts w:eastAsia="Times New Roman"/>
          <w:color w:val="000000"/>
        </w:rPr>
        <w:t>o</w:t>
      </w:r>
      <w:r w:rsidR="006A7C48" w:rsidRPr="00183F0C">
        <w:rPr>
          <w:rFonts w:eastAsia="Times New Roman"/>
          <w:color w:val="000000"/>
        </w:rPr>
        <w:t xml:space="preserve">f </w:t>
      </w:r>
      <w:r w:rsidR="00970C89">
        <w:rPr>
          <w:rFonts w:eastAsia="Times New Roman"/>
          <w:color w:val="000000"/>
        </w:rPr>
        <w:t>s</w:t>
      </w:r>
      <w:r w:rsidR="006A7C48" w:rsidRPr="00183F0C">
        <w:rPr>
          <w:rFonts w:eastAsia="Times New Roman"/>
          <w:color w:val="000000"/>
        </w:rPr>
        <w:t xml:space="preserve">equence </w:t>
      </w:r>
      <w:r w:rsidR="00970C89">
        <w:rPr>
          <w:rFonts w:eastAsia="Times New Roman"/>
          <w:color w:val="000000"/>
        </w:rPr>
        <w:t>s</w:t>
      </w:r>
      <w:r w:rsidR="006A7C48" w:rsidRPr="00183F0C">
        <w:rPr>
          <w:rFonts w:eastAsia="Times New Roman"/>
          <w:color w:val="000000"/>
        </w:rPr>
        <w:t xml:space="preserve">tratigraphy, </w:t>
      </w:r>
      <w:r w:rsidR="00970C89">
        <w:rPr>
          <w:rFonts w:eastAsia="Times New Roman"/>
          <w:color w:val="000000"/>
        </w:rPr>
        <w:t>p</w:t>
      </w:r>
      <w:r w:rsidR="006A7C48" w:rsidRPr="00183F0C">
        <w:rPr>
          <w:rFonts w:eastAsia="Times New Roman"/>
          <w:color w:val="000000"/>
        </w:rPr>
        <w:t xml:space="preserve">etroleum </w:t>
      </w:r>
      <w:r w:rsidR="00970C89">
        <w:rPr>
          <w:rFonts w:eastAsia="Times New Roman"/>
          <w:color w:val="000000"/>
        </w:rPr>
        <w:t>g</w:t>
      </w:r>
      <w:r w:rsidR="006A7C48" w:rsidRPr="00183F0C">
        <w:rPr>
          <w:rFonts w:eastAsia="Times New Roman"/>
          <w:color w:val="000000"/>
        </w:rPr>
        <w:t xml:space="preserve">eochemistry, </w:t>
      </w:r>
      <w:r w:rsidR="00970C89">
        <w:rPr>
          <w:rFonts w:eastAsia="Times New Roman"/>
          <w:color w:val="000000"/>
        </w:rPr>
        <w:t>a</w:t>
      </w:r>
      <w:r w:rsidR="006A7C48" w:rsidRPr="00183F0C">
        <w:rPr>
          <w:rFonts w:eastAsia="Times New Roman"/>
          <w:color w:val="000000"/>
        </w:rPr>
        <w:t xml:space="preserve">nd Devonian </w:t>
      </w:r>
      <w:r w:rsidR="00970C89">
        <w:rPr>
          <w:rFonts w:eastAsia="Times New Roman"/>
          <w:color w:val="000000"/>
        </w:rPr>
        <w:t>m</w:t>
      </w:r>
      <w:r w:rsidR="006A7C48" w:rsidRPr="00183F0C">
        <w:rPr>
          <w:rFonts w:eastAsia="Times New Roman"/>
          <w:color w:val="000000"/>
        </w:rPr>
        <w:t xml:space="preserve">ass </w:t>
      </w:r>
      <w:r w:rsidR="00970C89">
        <w:rPr>
          <w:rFonts w:eastAsia="Times New Roman"/>
          <w:color w:val="000000"/>
        </w:rPr>
        <w:t>e</w:t>
      </w:r>
      <w:r w:rsidR="006A7C48" w:rsidRPr="00183F0C">
        <w:rPr>
          <w:rFonts w:eastAsia="Times New Roman"/>
          <w:color w:val="000000"/>
        </w:rPr>
        <w:t xml:space="preserve">xtinction </w:t>
      </w:r>
      <w:r w:rsidR="00970C89">
        <w:rPr>
          <w:rFonts w:eastAsia="Times New Roman"/>
          <w:color w:val="000000"/>
        </w:rPr>
        <w:t>e</w:t>
      </w:r>
      <w:r w:rsidR="006A7C48" w:rsidRPr="00183F0C">
        <w:rPr>
          <w:rFonts w:eastAsia="Times New Roman"/>
          <w:color w:val="000000"/>
        </w:rPr>
        <w:t xml:space="preserve">vents </w:t>
      </w:r>
      <w:r w:rsidR="00970C89">
        <w:rPr>
          <w:rFonts w:eastAsia="Times New Roman"/>
          <w:color w:val="000000"/>
        </w:rPr>
        <w:t>i</w:t>
      </w:r>
      <w:r w:rsidR="006A7C48" w:rsidRPr="00183F0C">
        <w:rPr>
          <w:rFonts w:eastAsia="Times New Roman"/>
          <w:color w:val="000000"/>
        </w:rPr>
        <w:t xml:space="preserve">n </w:t>
      </w:r>
      <w:r w:rsidR="00970C89">
        <w:rPr>
          <w:rFonts w:eastAsia="Times New Roman"/>
          <w:color w:val="000000"/>
        </w:rPr>
        <w:t>t</w:t>
      </w:r>
      <w:r w:rsidR="006A7C48" w:rsidRPr="00183F0C">
        <w:rPr>
          <w:rFonts w:eastAsia="Times New Roman"/>
          <w:color w:val="000000"/>
        </w:rPr>
        <w:t xml:space="preserve">he Woodford Shale, </w:t>
      </w:r>
      <w:r w:rsidR="004E53D9">
        <w:rPr>
          <w:rFonts w:eastAsia="Times New Roman"/>
          <w:color w:val="000000"/>
        </w:rPr>
        <w:t>s</w:t>
      </w:r>
      <w:r w:rsidR="006A7C48" w:rsidRPr="00183F0C">
        <w:rPr>
          <w:rFonts w:eastAsia="Times New Roman"/>
          <w:color w:val="000000"/>
        </w:rPr>
        <w:t xml:space="preserve">outhern Oklahoma. </w:t>
      </w:r>
      <w:r w:rsidR="00DE2FD5" w:rsidRPr="00183F0C">
        <w:rPr>
          <w:rFonts w:eastAsia="Times New Roman"/>
          <w:color w:val="000000"/>
        </w:rPr>
        <w:t xml:space="preserve">M.Sc. </w:t>
      </w:r>
      <w:r w:rsidR="00970C89">
        <w:rPr>
          <w:rFonts w:eastAsia="Times New Roman"/>
          <w:color w:val="000000"/>
        </w:rPr>
        <w:t>t</w:t>
      </w:r>
      <w:r w:rsidR="00DE2FD5" w:rsidRPr="00183F0C">
        <w:rPr>
          <w:rFonts w:eastAsia="Times New Roman"/>
          <w:color w:val="000000"/>
        </w:rPr>
        <w:t xml:space="preserve">hesis manuscript, The University of Oklahoma, p. </w:t>
      </w:r>
      <w:r w:rsidR="00681572" w:rsidRPr="00183F0C">
        <w:rPr>
          <w:rFonts w:eastAsia="Times New Roman"/>
          <w:color w:val="000000"/>
        </w:rPr>
        <w:t>21</w:t>
      </w:r>
      <w:r w:rsidR="00DE2FD5" w:rsidRPr="00183F0C">
        <w:rPr>
          <w:rFonts w:eastAsia="Times New Roman"/>
          <w:color w:val="000000"/>
        </w:rPr>
        <w:t>9</w:t>
      </w:r>
      <w:r w:rsidR="00970C89">
        <w:rPr>
          <w:rFonts w:eastAsia="Times New Roman"/>
          <w:color w:val="000000"/>
        </w:rPr>
        <w:t>.</w:t>
      </w:r>
    </w:p>
    <w:p w14:paraId="2A946480" w14:textId="41521541" w:rsidR="003E4375" w:rsidRDefault="003E4375" w:rsidP="00415E04">
      <w:pPr>
        <w:pStyle w:val="ListParagraph"/>
        <w:numPr>
          <w:ilvl w:val="0"/>
          <w:numId w:val="3"/>
        </w:numPr>
        <w:ind w:left="360"/>
        <w:rPr>
          <w:rFonts w:eastAsia="Times New Roman"/>
          <w:color w:val="000000"/>
        </w:rPr>
      </w:pPr>
      <w:r w:rsidRPr="00183F0C">
        <w:rPr>
          <w:rFonts w:eastAsia="Times New Roman"/>
          <w:color w:val="000000"/>
        </w:rPr>
        <w:t>Katz, B.J., 1990. Controls on the distribution of lacustrine source rocks through time and space. In: Katz, B.J.</w:t>
      </w:r>
      <w:r w:rsidR="00970C89">
        <w:rPr>
          <w:rFonts w:eastAsia="Times New Roman"/>
          <w:color w:val="000000"/>
        </w:rPr>
        <w:t xml:space="preserve">, eds., </w:t>
      </w:r>
      <w:r w:rsidRPr="00183F0C">
        <w:rPr>
          <w:rFonts w:eastAsia="Times New Roman"/>
          <w:color w:val="000000"/>
        </w:rPr>
        <w:t xml:space="preserve">Lacustrine </w:t>
      </w:r>
      <w:r w:rsidR="00970C89">
        <w:rPr>
          <w:rFonts w:eastAsia="Times New Roman"/>
          <w:color w:val="000000"/>
        </w:rPr>
        <w:t>b</w:t>
      </w:r>
      <w:r w:rsidRPr="00183F0C">
        <w:rPr>
          <w:rFonts w:eastAsia="Times New Roman"/>
          <w:color w:val="000000"/>
        </w:rPr>
        <w:t xml:space="preserve">asin </w:t>
      </w:r>
      <w:r w:rsidR="00970C89">
        <w:rPr>
          <w:rFonts w:eastAsia="Times New Roman"/>
          <w:color w:val="000000"/>
        </w:rPr>
        <w:t>e</w:t>
      </w:r>
      <w:r w:rsidRPr="00183F0C">
        <w:rPr>
          <w:rFonts w:eastAsia="Times New Roman"/>
          <w:color w:val="000000"/>
        </w:rPr>
        <w:t xml:space="preserve">xploration-case </w:t>
      </w:r>
      <w:r w:rsidR="00970C89">
        <w:rPr>
          <w:rFonts w:eastAsia="Times New Roman"/>
          <w:color w:val="000000"/>
        </w:rPr>
        <w:t>s</w:t>
      </w:r>
      <w:r w:rsidRPr="00183F0C">
        <w:rPr>
          <w:rFonts w:eastAsia="Times New Roman"/>
          <w:color w:val="000000"/>
        </w:rPr>
        <w:t>tudies</w:t>
      </w:r>
      <w:r w:rsidR="00124113" w:rsidRPr="00183F0C">
        <w:rPr>
          <w:rFonts w:eastAsia="Times New Roman"/>
          <w:color w:val="000000"/>
        </w:rPr>
        <w:t>,</w:t>
      </w:r>
      <w:r w:rsidRPr="00183F0C">
        <w:rPr>
          <w:rFonts w:eastAsia="Times New Roman"/>
          <w:color w:val="000000"/>
        </w:rPr>
        <w:t xml:space="preserve"> and </w:t>
      </w:r>
      <w:r w:rsidR="00970C89">
        <w:rPr>
          <w:rFonts w:eastAsia="Times New Roman"/>
          <w:color w:val="000000"/>
        </w:rPr>
        <w:t>m</w:t>
      </w:r>
      <w:r w:rsidRPr="00183F0C">
        <w:rPr>
          <w:rFonts w:eastAsia="Times New Roman"/>
          <w:color w:val="000000"/>
        </w:rPr>
        <w:t xml:space="preserve">odern </w:t>
      </w:r>
      <w:r w:rsidR="00970C89">
        <w:rPr>
          <w:rFonts w:eastAsia="Times New Roman"/>
          <w:color w:val="000000"/>
        </w:rPr>
        <w:t>a</w:t>
      </w:r>
      <w:r w:rsidRPr="00183F0C">
        <w:rPr>
          <w:rFonts w:eastAsia="Times New Roman"/>
          <w:color w:val="000000"/>
        </w:rPr>
        <w:t xml:space="preserve">nalogs. </w:t>
      </w:r>
      <w:r w:rsidR="00460281" w:rsidRPr="00183F0C">
        <w:rPr>
          <w:rFonts w:eastAsia="Times New Roman"/>
          <w:color w:val="000000"/>
        </w:rPr>
        <w:t>AAPG Memoir</w:t>
      </w:r>
      <w:r w:rsidRPr="00183F0C">
        <w:rPr>
          <w:rFonts w:eastAsia="Times New Roman"/>
          <w:color w:val="000000"/>
        </w:rPr>
        <w:t xml:space="preserve"> 50, 61-76.</w:t>
      </w:r>
    </w:p>
    <w:p w14:paraId="19E041D1" w14:textId="239A3EDD" w:rsidR="003E4375" w:rsidRDefault="003E4375" w:rsidP="00415E04">
      <w:pPr>
        <w:pStyle w:val="ListParagraph"/>
        <w:numPr>
          <w:ilvl w:val="0"/>
          <w:numId w:val="3"/>
        </w:numPr>
        <w:ind w:left="360"/>
        <w:rPr>
          <w:rFonts w:eastAsia="Times New Roman"/>
          <w:color w:val="000000"/>
        </w:rPr>
      </w:pPr>
      <w:r w:rsidRPr="001A25FF">
        <w:rPr>
          <w:rFonts w:eastAsia="Times New Roman"/>
          <w:color w:val="000000"/>
          <w:lang w:val="es-CO"/>
        </w:rPr>
        <w:lastRenderedPageBreak/>
        <w:t xml:space="preserve">Katz, B.J., Liro, L.M., 1993. </w:t>
      </w:r>
      <w:r w:rsidRPr="00183F0C">
        <w:rPr>
          <w:rFonts w:eastAsia="Times New Roman"/>
          <w:color w:val="000000"/>
        </w:rPr>
        <w:t xml:space="preserve">The Waltman Shale </w:t>
      </w:r>
      <w:r w:rsidR="00970C89">
        <w:rPr>
          <w:rFonts w:eastAsia="Times New Roman"/>
          <w:color w:val="000000"/>
        </w:rPr>
        <w:t>m</w:t>
      </w:r>
      <w:r w:rsidRPr="00183F0C">
        <w:rPr>
          <w:rFonts w:eastAsia="Times New Roman"/>
          <w:color w:val="000000"/>
        </w:rPr>
        <w:t xml:space="preserve">ember, Fort Union </w:t>
      </w:r>
      <w:r w:rsidR="00970C89">
        <w:rPr>
          <w:rFonts w:eastAsia="Times New Roman"/>
          <w:color w:val="000000"/>
        </w:rPr>
        <w:t>f</w:t>
      </w:r>
      <w:r w:rsidRPr="00183F0C">
        <w:rPr>
          <w:rFonts w:eastAsia="Times New Roman"/>
          <w:color w:val="000000"/>
        </w:rPr>
        <w:t xml:space="preserve">ormation, Wind River basin: A Paleocene classics lacustrine source rock system. In: Keefer, W.R., Metzger, W.J., </w:t>
      </w:r>
      <w:r w:rsidR="00970C89">
        <w:rPr>
          <w:rFonts w:eastAsia="Times New Roman"/>
          <w:color w:val="000000"/>
        </w:rPr>
        <w:t xml:space="preserve">and </w:t>
      </w:r>
      <w:r w:rsidRPr="00183F0C">
        <w:rPr>
          <w:rFonts w:eastAsia="Times New Roman"/>
          <w:color w:val="000000"/>
        </w:rPr>
        <w:t>Godwin, L.H.</w:t>
      </w:r>
      <w:r w:rsidR="00970C89">
        <w:rPr>
          <w:rFonts w:eastAsia="Times New Roman"/>
          <w:color w:val="000000"/>
        </w:rPr>
        <w:t>, e</w:t>
      </w:r>
      <w:r w:rsidRPr="00183F0C">
        <w:rPr>
          <w:rFonts w:eastAsia="Times New Roman"/>
          <w:color w:val="000000"/>
        </w:rPr>
        <w:t xml:space="preserve">ds., Oil and </w:t>
      </w:r>
      <w:r w:rsidR="00970C89">
        <w:rPr>
          <w:rFonts w:eastAsia="Times New Roman"/>
          <w:color w:val="000000"/>
        </w:rPr>
        <w:t>g</w:t>
      </w:r>
      <w:r w:rsidRPr="00183F0C">
        <w:rPr>
          <w:rFonts w:eastAsia="Times New Roman"/>
          <w:color w:val="000000"/>
        </w:rPr>
        <w:t xml:space="preserve">as and </w:t>
      </w:r>
      <w:r w:rsidR="00970C89">
        <w:rPr>
          <w:rFonts w:eastAsia="Times New Roman"/>
          <w:color w:val="000000"/>
        </w:rPr>
        <w:t>o</w:t>
      </w:r>
      <w:r w:rsidRPr="00183F0C">
        <w:rPr>
          <w:rFonts w:eastAsia="Times New Roman"/>
          <w:color w:val="000000"/>
        </w:rPr>
        <w:t xml:space="preserve">ther </w:t>
      </w:r>
      <w:r w:rsidR="00970C89">
        <w:rPr>
          <w:rFonts w:eastAsia="Times New Roman"/>
          <w:color w:val="000000"/>
        </w:rPr>
        <w:t>r</w:t>
      </w:r>
      <w:r w:rsidRPr="00183F0C">
        <w:rPr>
          <w:rFonts w:eastAsia="Times New Roman"/>
          <w:color w:val="000000"/>
        </w:rPr>
        <w:t xml:space="preserve">esources of the Wind River </w:t>
      </w:r>
      <w:r w:rsidR="00970C89">
        <w:rPr>
          <w:rFonts w:eastAsia="Times New Roman"/>
          <w:color w:val="000000"/>
        </w:rPr>
        <w:t>b</w:t>
      </w:r>
      <w:r w:rsidRPr="00183F0C">
        <w:rPr>
          <w:rFonts w:eastAsia="Times New Roman"/>
          <w:color w:val="000000"/>
        </w:rPr>
        <w:t>asin Wyoming. Wyoming Geological Association, Casper, WY, 163-174.</w:t>
      </w:r>
    </w:p>
    <w:p w14:paraId="5E0BE1A1" w14:textId="77777777" w:rsidR="00F86D14" w:rsidRPr="00183F0C" w:rsidRDefault="00F86D14" w:rsidP="00F86D14">
      <w:pPr>
        <w:pStyle w:val="ListParagraph"/>
        <w:numPr>
          <w:ilvl w:val="0"/>
          <w:numId w:val="3"/>
        </w:numPr>
        <w:ind w:left="360"/>
        <w:rPr>
          <w:rFonts w:eastAsia="Times New Roman"/>
          <w:color w:val="000000"/>
        </w:rPr>
      </w:pPr>
      <w:r w:rsidRPr="00183F0C">
        <w:rPr>
          <w:rFonts w:eastAsia="Times New Roman"/>
          <w:color w:val="000000"/>
        </w:rPr>
        <w:t xml:space="preserve">Katz, B.J., Lin, F., 2014. Lacustrine basin unconventional resource plays </w:t>
      </w:r>
      <w:r>
        <w:rPr>
          <w:rFonts w:eastAsia="Times New Roman"/>
          <w:color w:val="000000"/>
        </w:rPr>
        <w:t>k</w:t>
      </w:r>
      <w:r w:rsidRPr="00183F0C">
        <w:rPr>
          <w:rFonts w:eastAsia="Times New Roman"/>
          <w:color w:val="000000"/>
        </w:rPr>
        <w:t>ey differences. Marine and Petroleum Geology 56</w:t>
      </w:r>
      <w:r>
        <w:rPr>
          <w:rFonts w:eastAsia="Times New Roman"/>
          <w:color w:val="000000"/>
        </w:rPr>
        <w:t xml:space="preserve">, </w:t>
      </w:r>
      <w:r w:rsidRPr="00183F0C">
        <w:rPr>
          <w:rFonts w:eastAsia="Times New Roman"/>
          <w:color w:val="000000"/>
        </w:rPr>
        <w:t>255-265.</w:t>
      </w:r>
    </w:p>
    <w:p w14:paraId="4B49B50F" w14:textId="7F66DBED"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Lewan, M.D., 1987</w:t>
      </w:r>
      <w:r w:rsidR="00970C89">
        <w:rPr>
          <w:rFonts w:eastAsia="Times New Roman"/>
          <w:color w:val="000000"/>
        </w:rPr>
        <w:t xml:space="preserve">. </w:t>
      </w:r>
      <w:r w:rsidRPr="00183F0C">
        <w:rPr>
          <w:rFonts w:eastAsia="Times New Roman"/>
          <w:color w:val="000000"/>
        </w:rPr>
        <w:t>Petrographic study of primary petroleum migration in the Woodford Shale and related rock units, in Doligez, B., ed</w:t>
      </w:r>
      <w:r w:rsidR="00970C89">
        <w:rPr>
          <w:rFonts w:eastAsia="Times New Roman"/>
          <w:color w:val="000000"/>
        </w:rPr>
        <w:t>s</w:t>
      </w:r>
      <w:r w:rsidRPr="00183F0C">
        <w:rPr>
          <w:rFonts w:eastAsia="Times New Roman"/>
          <w:color w:val="000000"/>
        </w:rPr>
        <w:t>., Migration of hydrocarbons in sedimentary basins</w:t>
      </w:r>
      <w:r w:rsidR="00970C89">
        <w:rPr>
          <w:rFonts w:eastAsia="Times New Roman"/>
          <w:color w:val="000000"/>
        </w:rPr>
        <w:t xml:space="preserve">. </w:t>
      </w:r>
      <w:r w:rsidRPr="00183F0C">
        <w:rPr>
          <w:rFonts w:eastAsia="Times New Roman"/>
          <w:color w:val="000000"/>
        </w:rPr>
        <w:t>Paris, Editions Technip, 113-130.</w:t>
      </w:r>
    </w:p>
    <w:p w14:paraId="65B3DAE3" w14:textId="2E09C0F6"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Loucks, R.G</w:t>
      </w:r>
      <w:r w:rsidR="00970C89">
        <w:rPr>
          <w:rFonts w:eastAsia="Times New Roman"/>
          <w:color w:val="000000"/>
        </w:rPr>
        <w:t>.,</w:t>
      </w:r>
      <w:r w:rsidRPr="00183F0C">
        <w:rPr>
          <w:rFonts w:eastAsia="Times New Roman"/>
          <w:color w:val="000000"/>
        </w:rPr>
        <w:t xml:space="preserve"> Ruppel, S.C., 2007</w:t>
      </w:r>
      <w:r w:rsidR="00970C89">
        <w:rPr>
          <w:rFonts w:eastAsia="Times New Roman"/>
          <w:color w:val="000000"/>
        </w:rPr>
        <w:t>.</w:t>
      </w:r>
      <w:r w:rsidRPr="00183F0C">
        <w:rPr>
          <w:rFonts w:eastAsia="Times New Roman"/>
          <w:color w:val="000000"/>
        </w:rPr>
        <w:t xml:space="preserve"> Mississippian Barnett shale: Lithofacies and depositional setting of a deep–water shale-gas succession in the Fort Worth </w:t>
      </w:r>
      <w:r w:rsidR="00970C89">
        <w:rPr>
          <w:rFonts w:eastAsia="Times New Roman"/>
          <w:color w:val="000000"/>
        </w:rPr>
        <w:t>b</w:t>
      </w:r>
      <w:r w:rsidRPr="00183F0C">
        <w:rPr>
          <w:rFonts w:eastAsia="Times New Roman"/>
          <w:color w:val="000000"/>
        </w:rPr>
        <w:t>asin, Texas</w:t>
      </w:r>
      <w:r w:rsidR="00970C89">
        <w:rPr>
          <w:rFonts w:eastAsia="Times New Roman"/>
          <w:color w:val="000000"/>
        </w:rPr>
        <w:t>.</w:t>
      </w:r>
      <w:r w:rsidRPr="00183F0C">
        <w:rPr>
          <w:rFonts w:eastAsia="Times New Roman"/>
          <w:color w:val="000000"/>
        </w:rPr>
        <w:t xml:space="preserve"> AAPG Bulletin</w:t>
      </w:r>
      <w:r w:rsidR="00970C89">
        <w:rPr>
          <w:rFonts w:eastAsia="Times New Roman"/>
          <w:color w:val="000000"/>
        </w:rPr>
        <w:t xml:space="preserve"> </w:t>
      </w:r>
      <w:r w:rsidRPr="00183F0C">
        <w:rPr>
          <w:rFonts w:eastAsia="Times New Roman"/>
          <w:color w:val="000000"/>
        </w:rPr>
        <w:t>91, 4,</w:t>
      </w:r>
      <w:r w:rsidR="00970C89">
        <w:rPr>
          <w:rFonts w:eastAsia="Times New Roman"/>
          <w:color w:val="000000"/>
        </w:rPr>
        <w:t xml:space="preserve"> </w:t>
      </w:r>
      <w:r w:rsidRPr="00183F0C">
        <w:rPr>
          <w:rFonts w:eastAsia="Times New Roman"/>
          <w:color w:val="000000"/>
        </w:rPr>
        <w:t>579-601.</w:t>
      </w:r>
    </w:p>
    <w:p w14:paraId="3FE11985" w14:textId="473C654C"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May, J.A.</w:t>
      </w:r>
      <w:r w:rsidR="00970C89">
        <w:rPr>
          <w:rFonts w:eastAsia="Times New Roman"/>
          <w:color w:val="000000"/>
        </w:rPr>
        <w:t>,</w:t>
      </w:r>
      <w:r w:rsidRPr="00183F0C">
        <w:rPr>
          <w:rFonts w:eastAsia="Times New Roman"/>
          <w:color w:val="000000"/>
        </w:rPr>
        <w:t xml:space="preserve"> Anderson,</w:t>
      </w:r>
      <w:r w:rsidR="009B468B">
        <w:rPr>
          <w:rFonts w:eastAsia="Times New Roman"/>
          <w:color w:val="000000"/>
        </w:rPr>
        <w:t xml:space="preserve"> </w:t>
      </w:r>
      <w:r w:rsidR="009B468B" w:rsidRPr="00183F0C">
        <w:rPr>
          <w:rFonts w:eastAsia="Times New Roman"/>
          <w:color w:val="000000"/>
        </w:rPr>
        <w:t>D.S.</w:t>
      </w:r>
      <w:r w:rsidR="009B468B">
        <w:rPr>
          <w:rFonts w:eastAsia="Times New Roman"/>
          <w:color w:val="000000"/>
        </w:rPr>
        <w:t>,</w:t>
      </w:r>
      <w:r w:rsidRPr="00183F0C">
        <w:rPr>
          <w:rFonts w:eastAsia="Times New Roman"/>
          <w:color w:val="000000"/>
        </w:rPr>
        <w:t xml:space="preserve"> 2010. Mudrock reservoir description and stratigraphy: not homogenous, not boring</w:t>
      </w:r>
      <w:r w:rsidR="00970C89">
        <w:rPr>
          <w:rFonts w:eastAsia="Times New Roman"/>
          <w:color w:val="000000"/>
        </w:rPr>
        <w:t>. In</w:t>
      </w:r>
      <w:r w:rsidR="00416E94">
        <w:rPr>
          <w:rFonts w:eastAsia="Times New Roman"/>
          <w:color w:val="000000"/>
        </w:rPr>
        <w:t>:</w:t>
      </w:r>
      <w:r w:rsidRPr="00183F0C">
        <w:rPr>
          <w:rFonts w:eastAsia="Times New Roman"/>
          <w:color w:val="000000"/>
        </w:rPr>
        <w:t xml:space="preserve"> </w:t>
      </w:r>
      <w:r w:rsidR="00416E94">
        <w:rPr>
          <w:rFonts w:eastAsia="Times New Roman"/>
          <w:color w:val="000000"/>
        </w:rPr>
        <w:t>C</w:t>
      </w:r>
      <w:r w:rsidRPr="00183F0C">
        <w:rPr>
          <w:rFonts w:eastAsia="Times New Roman"/>
          <w:color w:val="000000"/>
        </w:rPr>
        <w:t xml:space="preserve">ritical </w:t>
      </w:r>
      <w:r w:rsidR="00970C89">
        <w:rPr>
          <w:rFonts w:eastAsia="Times New Roman"/>
          <w:color w:val="000000"/>
        </w:rPr>
        <w:t>a</w:t>
      </w:r>
      <w:r w:rsidRPr="00183F0C">
        <w:rPr>
          <w:rFonts w:eastAsia="Times New Roman"/>
          <w:color w:val="000000"/>
        </w:rPr>
        <w:t>ssessment of shale resource plays</w:t>
      </w:r>
      <w:r w:rsidR="00970C89">
        <w:rPr>
          <w:rFonts w:eastAsia="Times New Roman"/>
          <w:color w:val="000000"/>
        </w:rPr>
        <w:t>.</w:t>
      </w:r>
      <w:r w:rsidRPr="00183F0C">
        <w:rPr>
          <w:rFonts w:eastAsia="Times New Roman"/>
          <w:color w:val="000000"/>
        </w:rPr>
        <w:t xml:space="preserve"> AAPG Hedberg Research Conference, Dec</w:t>
      </w:r>
      <w:r w:rsidR="00970C89">
        <w:rPr>
          <w:rFonts w:eastAsia="Times New Roman"/>
          <w:color w:val="000000"/>
        </w:rPr>
        <w:t>ember 2010.</w:t>
      </w:r>
      <w:r w:rsidRPr="00183F0C">
        <w:rPr>
          <w:rFonts w:eastAsia="Times New Roman"/>
          <w:color w:val="000000"/>
        </w:rPr>
        <w:t xml:space="preserve"> Austin, T</w:t>
      </w:r>
      <w:r w:rsidR="00970C89">
        <w:rPr>
          <w:rFonts w:eastAsia="Times New Roman"/>
          <w:color w:val="000000"/>
        </w:rPr>
        <w:t>exas</w:t>
      </w:r>
      <w:r w:rsidRPr="00183F0C">
        <w:rPr>
          <w:rFonts w:eastAsia="Times New Roman"/>
          <w:color w:val="000000"/>
        </w:rPr>
        <w:t>.</w:t>
      </w:r>
    </w:p>
    <w:p w14:paraId="62AD6261" w14:textId="7306FCD5" w:rsidR="009E74A1" w:rsidRPr="00183F0C" w:rsidRDefault="009E74A1" w:rsidP="00415E04">
      <w:pPr>
        <w:pStyle w:val="ListParagraph"/>
        <w:numPr>
          <w:ilvl w:val="0"/>
          <w:numId w:val="3"/>
        </w:numPr>
        <w:ind w:left="360"/>
        <w:rPr>
          <w:rFonts w:eastAsia="Times New Roman"/>
          <w:color w:val="000000"/>
        </w:rPr>
      </w:pPr>
      <w:r w:rsidRPr="00183F0C">
        <w:rPr>
          <w:rFonts w:eastAsia="Times New Roman"/>
          <w:color w:val="000000"/>
        </w:rPr>
        <w:t>McCullough, B., Slatt,</w:t>
      </w:r>
      <w:r w:rsidR="009B468B">
        <w:rPr>
          <w:rFonts w:eastAsia="Times New Roman"/>
          <w:color w:val="000000"/>
        </w:rPr>
        <w:t xml:space="preserve"> </w:t>
      </w:r>
      <w:r w:rsidR="009B468B" w:rsidRPr="00183F0C">
        <w:rPr>
          <w:rFonts w:eastAsia="Times New Roman"/>
          <w:color w:val="000000"/>
        </w:rPr>
        <w:t>R.M.</w:t>
      </w:r>
      <w:r w:rsidR="009B468B">
        <w:rPr>
          <w:rFonts w:eastAsia="Times New Roman"/>
          <w:color w:val="000000"/>
        </w:rPr>
        <w:t xml:space="preserve">, </w:t>
      </w:r>
      <w:r w:rsidRPr="00183F0C">
        <w:rPr>
          <w:rFonts w:eastAsia="Times New Roman"/>
          <w:color w:val="000000"/>
        </w:rPr>
        <w:t>2014</w:t>
      </w:r>
      <w:r w:rsidR="00416E94">
        <w:rPr>
          <w:rFonts w:eastAsia="Times New Roman"/>
          <w:color w:val="000000"/>
        </w:rPr>
        <w:t>.</w:t>
      </w:r>
      <w:r w:rsidRPr="00183F0C">
        <w:rPr>
          <w:rFonts w:eastAsia="Times New Roman"/>
          <w:color w:val="000000"/>
        </w:rPr>
        <w:t xml:space="preserve"> Paleotopographic control on the variability of Woodford Shale strata across the southern Cherokee </w:t>
      </w:r>
      <w:r w:rsidR="00416E94">
        <w:rPr>
          <w:rFonts w:eastAsia="Times New Roman"/>
          <w:color w:val="000000"/>
        </w:rPr>
        <w:t>p</w:t>
      </w:r>
      <w:r w:rsidRPr="00183F0C">
        <w:rPr>
          <w:rFonts w:eastAsia="Times New Roman"/>
          <w:color w:val="000000"/>
        </w:rPr>
        <w:t xml:space="preserve">latform area of central Oklahoma: </w:t>
      </w:r>
      <w:r w:rsidR="00416E94">
        <w:rPr>
          <w:rFonts w:eastAsia="Times New Roman"/>
          <w:color w:val="000000"/>
        </w:rPr>
        <w:t>A</w:t>
      </w:r>
      <w:r w:rsidRPr="00183F0C">
        <w:rPr>
          <w:rFonts w:eastAsia="Times New Roman"/>
          <w:color w:val="000000"/>
        </w:rPr>
        <w:t xml:space="preserve"> mechanism for increased preservation-potential of organic content: </w:t>
      </w:r>
      <w:r w:rsidR="00416E94">
        <w:rPr>
          <w:rFonts w:eastAsia="Times New Roman"/>
          <w:color w:val="000000"/>
        </w:rPr>
        <w:t xml:space="preserve">AAPG </w:t>
      </w:r>
      <w:r w:rsidRPr="00183F0C">
        <w:rPr>
          <w:rFonts w:eastAsia="Times New Roman"/>
          <w:color w:val="000000"/>
        </w:rPr>
        <w:t xml:space="preserve">Search and Discovery </w:t>
      </w:r>
      <w:r w:rsidR="00D3040C">
        <w:rPr>
          <w:rFonts w:eastAsia="Times New Roman"/>
          <w:color w:val="000000"/>
        </w:rPr>
        <w:t>a</w:t>
      </w:r>
      <w:r w:rsidRPr="00183F0C">
        <w:rPr>
          <w:rFonts w:eastAsia="Times New Roman"/>
          <w:color w:val="000000"/>
        </w:rPr>
        <w:t>rticle 1125</w:t>
      </w:r>
      <w:r w:rsidR="00416E94">
        <w:rPr>
          <w:rFonts w:eastAsia="Times New Roman"/>
          <w:color w:val="000000"/>
        </w:rPr>
        <w:t>.</w:t>
      </w:r>
    </w:p>
    <w:p w14:paraId="399CE21A" w14:textId="6E1E6A9E"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McPhail, S., Walsh, W., Lee, C.,</w:t>
      </w:r>
      <w:r w:rsidR="009B468B">
        <w:rPr>
          <w:rFonts w:eastAsia="Times New Roman"/>
          <w:color w:val="000000"/>
        </w:rPr>
        <w:t xml:space="preserve"> </w:t>
      </w:r>
      <w:r w:rsidRPr="00183F0C">
        <w:rPr>
          <w:rFonts w:eastAsia="Times New Roman"/>
          <w:color w:val="000000"/>
        </w:rPr>
        <w:t>Monahan, P.A., 2009</w:t>
      </w:r>
      <w:r w:rsidR="00D3040C">
        <w:rPr>
          <w:rFonts w:eastAsia="Times New Roman"/>
          <w:color w:val="000000"/>
        </w:rPr>
        <w:t xml:space="preserve">. </w:t>
      </w:r>
      <w:r w:rsidRPr="00183F0C">
        <w:rPr>
          <w:rFonts w:eastAsia="Times New Roman"/>
          <w:color w:val="000000"/>
        </w:rPr>
        <w:t xml:space="preserve">Shale units of the Horn River </w:t>
      </w:r>
      <w:r w:rsidR="00D3040C">
        <w:rPr>
          <w:rFonts w:eastAsia="Times New Roman"/>
          <w:color w:val="000000"/>
        </w:rPr>
        <w:t>f</w:t>
      </w:r>
      <w:r w:rsidRPr="00183F0C">
        <w:rPr>
          <w:rFonts w:eastAsia="Times New Roman"/>
          <w:color w:val="000000"/>
        </w:rPr>
        <w:t xml:space="preserve">ormation, Horn River </w:t>
      </w:r>
      <w:r w:rsidR="00D3040C">
        <w:rPr>
          <w:rFonts w:eastAsia="Times New Roman"/>
          <w:color w:val="000000"/>
        </w:rPr>
        <w:t>b</w:t>
      </w:r>
      <w:r w:rsidRPr="00183F0C">
        <w:rPr>
          <w:rFonts w:eastAsia="Times New Roman"/>
          <w:color w:val="000000"/>
        </w:rPr>
        <w:t>asin</w:t>
      </w:r>
      <w:r w:rsidR="00874CD3" w:rsidRPr="00183F0C">
        <w:rPr>
          <w:rFonts w:eastAsia="Times New Roman"/>
          <w:color w:val="000000"/>
        </w:rPr>
        <w:t>,</w:t>
      </w:r>
      <w:r w:rsidRPr="00183F0C">
        <w:rPr>
          <w:rFonts w:eastAsia="Times New Roman"/>
          <w:color w:val="000000"/>
        </w:rPr>
        <w:t xml:space="preserve"> and Cordova </w:t>
      </w:r>
      <w:r w:rsidR="00D3040C">
        <w:rPr>
          <w:rFonts w:eastAsia="Times New Roman"/>
          <w:color w:val="000000"/>
        </w:rPr>
        <w:t>e</w:t>
      </w:r>
      <w:r w:rsidRPr="00183F0C">
        <w:rPr>
          <w:rFonts w:eastAsia="Times New Roman"/>
          <w:color w:val="000000"/>
        </w:rPr>
        <w:t xml:space="preserve">mbayment, Northeastern British Columbia. British Columbia </w:t>
      </w:r>
      <w:r w:rsidR="00D3040C">
        <w:rPr>
          <w:rFonts w:eastAsia="Times New Roman"/>
          <w:color w:val="000000"/>
        </w:rPr>
        <w:t>M</w:t>
      </w:r>
      <w:r w:rsidRPr="00183F0C">
        <w:rPr>
          <w:rFonts w:eastAsia="Times New Roman"/>
          <w:color w:val="000000"/>
        </w:rPr>
        <w:t xml:space="preserve">inistry of </w:t>
      </w:r>
      <w:r w:rsidR="00D3040C">
        <w:rPr>
          <w:rFonts w:eastAsia="Times New Roman"/>
          <w:color w:val="000000"/>
        </w:rPr>
        <w:t>e</w:t>
      </w:r>
      <w:r w:rsidRPr="00183F0C">
        <w:rPr>
          <w:rFonts w:eastAsia="Times New Roman"/>
          <w:color w:val="000000"/>
        </w:rPr>
        <w:t xml:space="preserve">nergy, </w:t>
      </w:r>
      <w:r w:rsidR="00D3040C">
        <w:rPr>
          <w:rFonts w:eastAsia="Times New Roman"/>
          <w:color w:val="000000"/>
        </w:rPr>
        <w:t>m</w:t>
      </w:r>
      <w:r w:rsidRPr="00183F0C">
        <w:rPr>
          <w:rFonts w:eastAsia="Times New Roman"/>
          <w:color w:val="000000"/>
        </w:rPr>
        <w:t>ines</w:t>
      </w:r>
      <w:r w:rsidR="00124113" w:rsidRPr="00183F0C">
        <w:rPr>
          <w:rFonts w:eastAsia="Times New Roman"/>
          <w:color w:val="000000"/>
        </w:rPr>
        <w:t>,</w:t>
      </w:r>
      <w:r w:rsidRPr="00183F0C">
        <w:rPr>
          <w:rFonts w:eastAsia="Times New Roman"/>
          <w:color w:val="000000"/>
        </w:rPr>
        <w:t xml:space="preserve"> and </w:t>
      </w:r>
      <w:r w:rsidR="00D3040C">
        <w:rPr>
          <w:rFonts w:eastAsia="Times New Roman"/>
          <w:color w:val="000000"/>
        </w:rPr>
        <w:t>p</w:t>
      </w:r>
      <w:r w:rsidRPr="00183F0C">
        <w:rPr>
          <w:rFonts w:eastAsia="Times New Roman"/>
          <w:color w:val="000000"/>
        </w:rPr>
        <w:t xml:space="preserve">etroleum </w:t>
      </w:r>
      <w:r w:rsidR="00D3040C">
        <w:rPr>
          <w:rFonts w:eastAsia="Times New Roman"/>
          <w:color w:val="000000"/>
        </w:rPr>
        <w:t>r</w:t>
      </w:r>
      <w:r w:rsidRPr="00183F0C">
        <w:rPr>
          <w:rFonts w:eastAsia="Times New Roman"/>
          <w:color w:val="000000"/>
        </w:rPr>
        <w:t xml:space="preserve">esources. </w:t>
      </w:r>
    </w:p>
    <w:p w14:paraId="529AD0AB" w14:textId="3F003DC4"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Miceli-Romero, A.</w:t>
      </w:r>
      <w:r w:rsidR="00EF01B1" w:rsidRPr="00183F0C">
        <w:rPr>
          <w:rFonts w:eastAsia="Times New Roman"/>
          <w:color w:val="000000"/>
        </w:rPr>
        <w:t>A</w:t>
      </w:r>
      <w:r w:rsidRPr="00183F0C">
        <w:rPr>
          <w:rFonts w:eastAsia="Times New Roman"/>
          <w:color w:val="000000"/>
        </w:rPr>
        <w:t xml:space="preserve">, 2010. Geochemical characterization of the Woodford Shale, central and southeastern Oklahoma. M.Sc. </w:t>
      </w:r>
      <w:r w:rsidR="009B468B">
        <w:rPr>
          <w:rFonts w:eastAsia="Times New Roman"/>
          <w:color w:val="000000"/>
        </w:rPr>
        <w:t>t</w:t>
      </w:r>
      <w:r w:rsidRPr="00183F0C">
        <w:rPr>
          <w:rFonts w:eastAsia="Times New Roman"/>
          <w:color w:val="000000"/>
        </w:rPr>
        <w:t xml:space="preserve">hesis manuscript, The University of Oklahoma, p. 149. </w:t>
      </w:r>
    </w:p>
    <w:p w14:paraId="050CD98C" w14:textId="77777777" w:rsidR="00902EAE" w:rsidRDefault="00100F33" w:rsidP="00902EAE">
      <w:pPr>
        <w:pStyle w:val="ListParagraph"/>
        <w:numPr>
          <w:ilvl w:val="0"/>
          <w:numId w:val="3"/>
        </w:numPr>
        <w:ind w:left="360"/>
        <w:rPr>
          <w:rFonts w:eastAsia="Times New Roman"/>
          <w:color w:val="000000"/>
        </w:rPr>
      </w:pPr>
      <w:r w:rsidRPr="00183F0C">
        <w:rPr>
          <w:rFonts w:eastAsia="Times New Roman"/>
          <w:color w:val="000000"/>
        </w:rPr>
        <w:t>Miceli-Romero, A.</w:t>
      </w:r>
      <w:r w:rsidR="00EF01B1" w:rsidRPr="00183F0C">
        <w:rPr>
          <w:rFonts w:eastAsia="Times New Roman"/>
          <w:color w:val="000000"/>
        </w:rPr>
        <w:t>A</w:t>
      </w:r>
      <w:r w:rsidRPr="00183F0C">
        <w:rPr>
          <w:rFonts w:eastAsia="Times New Roman"/>
          <w:color w:val="000000"/>
        </w:rPr>
        <w:t>., Philp,</w:t>
      </w:r>
      <w:r w:rsidR="00BA1BCF">
        <w:rPr>
          <w:rFonts w:eastAsia="Times New Roman"/>
          <w:color w:val="000000"/>
        </w:rPr>
        <w:t xml:space="preserve"> </w:t>
      </w:r>
      <w:r w:rsidR="00BA1BCF" w:rsidRPr="00183F0C">
        <w:rPr>
          <w:rFonts w:eastAsia="Times New Roman"/>
          <w:color w:val="000000"/>
        </w:rPr>
        <w:t>R.P.</w:t>
      </w:r>
      <w:r w:rsidR="00BA1BCF">
        <w:rPr>
          <w:rFonts w:eastAsia="Times New Roman"/>
          <w:color w:val="000000"/>
        </w:rPr>
        <w:t>,</w:t>
      </w:r>
      <w:r w:rsidRPr="00183F0C">
        <w:rPr>
          <w:rFonts w:eastAsia="Times New Roman"/>
          <w:color w:val="000000"/>
        </w:rPr>
        <w:t xml:space="preserve"> 2012</w:t>
      </w:r>
      <w:r w:rsidR="009B468B">
        <w:rPr>
          <w:rFonts w:eastAsia="Times New Roman"/>
          <w:color w:val="000000"/>
        </w:rPr>
        <w:t>.</w:t>
      </w:r>
      <w:r w:rsidRPr="00183F0C">
        <w:rPr>
          <w:rFonts w:eastAsia="Times New Roman"/>
          <w:color w:val="000000"/>
        </w:rPr>
        <w:t xml:space="preserve"> Organic geochemistry of the Woodford Shale, </w:t>
      </w:r>
      <w:r w:rsidR="004E53D9">
        <w:rPr>
          <w:rFonts w:eastAsia="Times New Roman"/>
          <w:color w:val="000000"/>
        </w:rPr>
        <w:t>s</w:t>
      </w:r>
      <w:r w:rsidRPr="00183F0C">
        <w:rPr>
          <w:rFonts w:eastAsia="Times New Roman"/>
          <w:color w:val="000000"/>
        </w:rPr>
        <w:t>outheastern Oklahoma: How variable can shale</w:t>
      </w:r>
      <w:r w:rsidR="00EF01B1" w:rsidRPr="00183F0C">
        <w:rPr>
          <w:rFonts w:eastAsia="Times New Roman"/>
          <w:color w:val="000000"/>
        </w:rPr>
        <w:t>s</w:t>
      </w:r>
      <w:r w:rsidRPr="00183F0C">
        <w:rPr>
          <w:rFonts w:eastAsia="Times New Roman"/>
          <w:color w:val="000000"/>
        </w:rPr>
        <w:t xml:space="preserve"> be? AAPG Bulletin, 96</w:t>
      </w:r>
      <w:r w:rsidR="009B468B">
        <w:rPr>
          <w:rFonts w:eastAsia="Times New Roman"/>
          <w:color w:val="000000"/>
        </w:rPr>
        <w:t xml:space="preserve">, </w:t>
      </w:r>
      <w:r w:rsidRPr="00183F0C">
        <w:rPr>
          <w:rFonts w:eastAsia="Times New Roman"/>
          <w:color w:val="000000"/>
        </w:rPr>
        <w:t>3, 493-517.</w:t>
      </w:r>
    </w:p>
    <w:p w14:paraId="648E796D" w14:textId="77777777" w:rsidR="00902EAE" w:rsidRPr="00902EAE" w:rsidRDefault="00902EAE" w:rsidP="00902EAE">
      <w:pPr>
        <w:pStyle w:val="ListParagraph"/>
        <w:numPr>
          <w:ilvl w:val="0"/>
          <w:numId w:val="3"/>
        </w:numPr>
        <w:ind w:left="360"/>
        <w:rPr>
          <w:rFonts w:eastAsia="Times New Roman"/>
          <w:color w:val="000000"/>
        </w:rPr>
      </w:pPr>
      <w:r w:rsidRPr="00902EAE">
        <w:rPr>
          <w:rFonts w:eastAsia="Times New Roman"/>
          <w:color w:val="000000"/>
        </w:rPr>
        <w:t>Molinares, C.E., 2013. Stratigraphy and palynomorphs composition of the Woodford Shale in the Wyche Farm shale pit, Pontotoc County, Oklahoma. M.Sc. thesis manuscript, The University of Oklahoma, p. 104</w:t>
      </w:r>
      <w:r w:rsidRPr="000F3FAD">
        <w:t>.</w:t>
      </w:r>
    </w:p>
    <w:p w14:paraId="3747BD67" w14:textId="107E9E60" w:rsidR="00902EAE" w:rsidRPr="00902EAE" w:rsidRDefault="00902EAE" w:rsidP="00902EAE">
      <w:pPr>
        <w:pStyle w:val="ListParagraph"/>
        <w:numPr>
          <w:ilvl w:val="0"/>
          <w:numId w:val="3"/>
        </w:numPr>
        <w:ind w:left="360"/>
        <w:rPr>
          <w:rFonts w:eastAsia="Times New Roman"/>
          <w:color w:val="000000"/>
        </w:rPr>
      </w:pPr>
      <w:r w:rsidRPr="000F3FAD">
        <w:lastRenderedPageBreak/>
        <w:t>Molinares, C.E., 2019. The Frasnian/Famennian (F/F) transition in the Woodford Shale, south-central Oklahoma – a multiproxy approach. Doctoral dissertation manuscript, The University of Oklahoma, p. 117</w:t>
      </w:r>
    </w:p>
    <w:p w14:paraId="18440611" w14:textId="65A4A297"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Nyahay, R., Leone,</w:t>
      </w:r>
      <w:r w:rsidR="009B468B">
        <w:rPr>
          <w:rFonts w:eastAsia="Times New Roman"/>
          <w:color w:val="000000"/>
        </w:rPr>
        <w:t xml:space="preserve"> </w:t>
      </w:r>
      <w:r w:rsidR="009B468B" w:rsidRPr="00183F0C">
        <w:rPr>
          <w:rFonts w:eastAsia="Times New Roman"/>
          <w:color w:val="000000"/>
        </w:rPr>
        <w:t>J.</w:t>
      </w:r>
      <w:r w:rsidR="009B468B">
        <w:rPr>
          <w:rFonts w:eastAsia="Times New Roman"/>
          <w:color w:val="000000"/>
        </w:rPr>
        <w:t xml:space="preserve">, </w:t>
      </w:r>
      <w:r w:rsidRPr="00183F0C">
        <w:rPr>
          <w:rFonts w:eastAsia="Times New Roman"/>
          <w:color w:val="000000"/>
        </w:rPr>
        <w:t>Smith,</w:t>
      </w:r>
      <w:r w:rsidR="009B468B">
        <w:rPr>
          <w:rFonts w:eastAsia="Times New Roman"/>
          <w:color w:val="000000"/>
        </w:rPr>
        <w:t xml:space="preserve"> l., </w:t>
      </w:r>
      <w:r w:rsidRPr="00183F0C">
        <w:rPr>
          <w:rFonts w:eastAsia="Times New Roman"/>
          <w:color w:val="000000"/>
        </w:rPr>
        <w:t>Martin,</w:t>
      </w:r>
      <w:r w:rsidR="009B468B">
        <w:rPr>
          <w:rFonts w:eastAsia="Times New Roman"/>
          <w:color w:val="000000"/>
        </w:rPr>
        <w:t xml:space="preserve"> J.,</w:t>
      </w:r>
      <w:r w:rsidRPr="00183F0C">
        <w:rPr>
          <w:rFonts w:eastAsia="Times New Roman"/>
          <w:color w:val="000000"/>
        </w:rPr>
        <w:t xml:space="preserve"> Jarvie,</w:t>
      </w:r>
      <w:r w:rsidR="009B468B">
        <w:rPr>
          <w:rFonts w:eastAsia="Times New Roman"/>
          <w:color w:val="000000"/>
        </w:rPr>
        <w:t xml:space="preserve"> D.,</w:t>
      </w:r>
      <w:r w:rsidRPr="00183F0C">
        <w:rPr>
          <w:rFonts w:eastAsia="Times New Roman"/>
          <w:color w:val="000000"/>
        </w:rPr>
        <w:t xml:space="preserve"> 2007</w:t>
      </w:r>
      <w:r w:rsidR="009B468B">
        <w:rPr>
          <w:rFonts w:eastAsia="Times New Roman"/>
          <w:color w:val="000000"/>
        </w:rPr>
        <w:t>.</w:t>
      </w:r>
      <w:r w:rsidRPr="00183F0C">
        <w:rPr>
          <w:rFonts w:eastAsia="Times New Roman"/>
          <w:color w:val="000000"/>
        </w:rPr>
        <w:t xml:space="preserve"> Update on the </w:t>
      </w:r>
      <w:r w:rsidR="009B468B">
        <w:rPr>
          <w:rFonts w:eastAsia="Times New Roman"/>
          <w:color w:val="000000"/>
        </w:rPr>
        <w:t>r</w:t>
      </w:r>
      <w:r w:rsidRPr="00183F0C">
        <w:rPr>
          <w:rFonts w:eastAsia="Times New Roman"/>
          <w:color w:val="000000"/>
        </w:rPr>
        <w:t xml:space="preserve">egional </w:t>
      </w:r>
      <w:r w:rsidR="009B468B">
        <w:rPr>
          <w:rFonts w:eastAsia="Times New Roman"/>
          <w:color w:val="000000"/>
        </w:rPr>
        <w:t>a</w:t>
      </w:r>
      <w:r w:rsidRPr="00183F0C">
        <w:rPr>
          <w:rFonts w:eastAsia="Times New Roman"/>
          <w:color w:val="000000"/>
        </w:rPr>
        <w:t xml:space="preserve">ssessment of </w:t>
      </w:r>
      <w:r w:rsidR="009B468B">
        <w:rPr>
          <w:rFonts w:eastAsia="Times New Roman"/>
          <w:color w:val="000000"/>
        </w:rPr>
        <w:t>g</w:t>
      </w:r>
      <w:r w:rsidRPr="00183F0C">
        <w:rPr>
          <w:rFonts w:eastAsia="Times New Roman"/>
          <w:color w:val="000000"/>
        </w:rPr>
        <w:t xml:space="preserve">as </w:t>
      </w:r>
      <w:r w:rsidR="009B468B">
        <w:rPr>
          <w:rFonts w:eastAsia="Times New Roman"/>
          <w:color w:val="000000"/>
        </w:rPr>
        <w:t>p</w:t>
      </w:r>
      <w:r w:rsidRPr="00183F0C">
        <w:rPr>
          <w:rFonts w:eastAsia="Times New Roman"/>
          <w:color w:val="000000"/>
        </w:rPr>
        <w:t xml:space="preserve">otential in the Devonian Marcellus and Ordovician Utica </w:t>
      </w:r>
      <w:r w:rsidR="009B468B">
        <w:rPr>
          <w:rFonts w:eastAsia="Times New Roman"/>
          <w:color w:val="000000"/>
        </w:rPr>
        <w:t>s</w:t>
      </w:r>
      <w:r w:rsidRPr="00183F0C">
        <w:rPr>
          <w:rFonts w:eastAsia="Times New Roman"/>
          <w:color w:val="000000"/>
        </w:rPr>
        <w:t xml:space="preserve">hale in New York. </w:t>
      </w:r>
      <w:r w:rsidR="009B468B">
        <w:rPr>
          <w:rFonts w:eastAsia="Times New Roman"/>
          <w:color w:val="000000"/>
        </w:rPr>
        <w:t xml:space="preserve">AAPG </w:t>
      </w:r>
      <w:r w:rsidRPr="00183F0C">
        <w:rPr>
          <w:rFonts w:eastAsia="Times New Roman"/>
          <w:color w:val="000000"/>
        </w:rPr>
        <w:t xml:space="preserve">Search and Discovery </w:t>
      </w:r>
      <w:r w:rsidR="009B468B">
        <w:rPr>
          <w:rFonts w:eastAsia="Times New Roman"/>
          <w:color w:val="000000"/>
        </w:rPr>
        <w:t>a</w:t>
      </w:r>
      <w:r w:rsidRPr="00183F0C">
        <w:rPr>
          <w:rFonts w:eastAsia="Times New Roman"/>
          <w:color w:val="000000"/>
        </w:rPr>
        <w:t>rticle 10136</w:t>
      </w:r>
      <w:r w:rsidR="009B468B">
        <w:rPr>
          <w:rFonts w:eastAsia="Times New Roman"/>
          <w:color w:val="000000"/>
        </w:rPr>
        <w:t>.</w:t>
      </w:r>
      <w:r w:rsidRPr="00183F0C">
        <w:rPr>
          <w:rFonts w:eastAsia="Times New Roman"/>
          <w:color w:val="000000"/>
        </w:rPr>
        <w:t xml:space="preserve"> </w:t>
      </w:r>
    </w:p>
    <w:p w14:paraId="04A97AC5" w14:textId="65D3F5D9"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Paxton, S.T., Cru</w:t>
      </w:r>
      <w:r w:rsidR="00A25DEB" w:rsidRPr="00183F0C">
        <w:rPr>
          <w:rFonts w:eastAsia="Times New Roman"/>
          <w:color w:val="000000"/>
        </w:rPr>
        <w:t>i</w:t>
      </w:r>
      <w:r w:rsidRPr="00183F0C">
        <w:rPr>
          <w:rFonts w:eastAsia="Times New Roman"/>
          <w:color w:val="000000"/>
        </w:rPr>
        <w:t xml:space="preserve">se, </w:t>
      </w:r>
      <w:r w:rsidR="009B468B" w:rsidRPr="00183F0C">
        <w:rPr>
          <w:rFonts w:eastAsia="Times New Roman"/>
          <w:color w:val="000000"/>
        </w:rPr>
        <w:t>A.M.</w:t>
      </w:r>
      <w:r w:rsidR="009B468B">
        <w:rPr>
          <w:rFonts w:eastAsia="Times New Roman"/>
          <w:color w:val="000000"/>
        </w:rPr>
        <w:t xml:space="preserve">, </w:t>
      </w:r>
      <w:r w:rsidRPr="00183F0C">
        <w:rPr>
          <w:rFonts w:eastAsia="Times New Roman"/>
          <w:color w:val="000000"/>
        </w:rPr>
        <w:t>Krystyniak,</w:t>
      </w:r>
      <w:r w:rsidR="009B468B">
        <w:rPr>
          <w:rFonts w:eastAsia="Times New Roman"/>
          <w:color w:val="000000"/>
        </w:rPr>
        <w:t xml:space="preserve"> </w:t>
      </w:r>
      <w:r w:rsidR="009B468B" w:rsidRPr="00183F0C">
        <w:rPr>
          <w:rFonts w:eastAsia="Times New Roman"/>
          <w:color w:val="000000"/>
        </w:rPr>
        <w:t>A.M.</w:t>
      </w:r>
      <w:r w:rsidR="009B468B">
        <w:rPr>
          <w:rFonts w:eastAsia="Times New Roman"/>
          <w:color w:val="000000"/>
        </w:rPr>
        <w:t>,</w:t>
      </w:r>
      <w:r w:rsidRPr="00183F0C">
        <w:rPr>
          <w:rFonts w:eastAsia="Times New Roman"/>
          <w:color w:val="000000"/>
        </w:rPr>
        <w:t xml:space="preserve"> 2006. Fingerprints of global sea-level change revealed in </w:t>
      </w:r>
      <w:r w:rsidR="00F216D5">
        <w:rPr>
          <w:rFonts w:eastAsia="Times New Roman"/>
          <w:color w:val="000000"/>
        </w:rPr>
        <w:t>U</w:t>
      </w:r>
      <w:r w:rsidRPr="00183F0C">
        <w:rPr>
          <w:rFonts w:eastAsia="Times New Roman"/>
          <w:color w:val="000000"/>
        </w:rPr>
        <w:t>pper Devonian/</w:t>
      </w:r>
      <w:r w:rsidR="00F216D5">
        <w:rPr>
          <w:rFonts w:eastAsia="Times New Roman"/>
          <w:color w:val="000000"/>
        </w:rPr>
        <w:t>L</w:t>
      </w:r>
      <w:r w:rsidRPr="00183F0C">
        <w:rPr>
          <w:rFonts w:eastAsia="Times New Roman"/>
          <w:color w:val="000000"/>
        </w:rPr>
        <w:t xml:space="preserve">ower Mississippian Woodford Shale of </w:t>
      </w:r>
      <w:r w:rsidR="004E53D9">
        <w:rPr>
          <w:rFonts w:eastAsia="Times New Roman"/>
          <w:color w:val="000000"/>
        </w:rPr>
        <w:t>s</w:t>
      </w:r>
      <w:r w:rsidRPr="00183F0C">
        <w:rPr>
          <w:rFonts w:eastAsia="Times New Roman"/>
          <w:color w:val="000000"/>
        </w:rPr>
        <w:t>outh-</w:t>
      </w:r>
      <w:r w:rsidR="004E53D9">
        <w:rPr>
          <w:rFonts w:eastAsia="Times New Roman"/>
          <w:color w:val="000000"/>
        </w:rPr>
        <w:t>c</w:t>
      </w:r>
      <w:r w:rsidRPr="00183F0C">
        <w:rPr>
          <w:rFonts w:eastAsia="Times New Roman"/>
          <w:color w:val="000000"/>
        </w:rPr>
        <w:t>entral Oklahoma</w:t>
      </w:r>
      <w:r w:rsidR="009B468B">
        <w:rPr>
          <w:rFonts w:eastAsia="Times New Roman"/>
          <w:color w:val="000000"/>
        </w:rPr>
        <w:t>.</w:t>
      </w:r>
      <w:r w:rsidRPr="00183F0C">
        <w:rPr>
          <w:rFonts w:eastAsia="Times New Roman"/>
          <w:color w:val="000000"/>
        </w:rPr>
        <w:t xml:space="preserve"> AAPG Search and Discovery </w:t>
      </w:r>
      <w:r w:rsidR="009B468B">
        <w:rPr>
          <w:rFonts w:eastAsia="Times New Roman"/>
          <w:color w:val="000000"/>
        </w:rPr>
        <w:t>a</w:t>
      </w:r>
      <w:r w:rsidRPr="00183F0C">
        <w:rPr>
          <w:rFonts w:eastAsia="Times New Roman"/>
          <w:color w:val="000000"/>
        </w:rPr>
        <w:t xml:space="preserve">rticle 4021. </w:t>
      </w:r>
    </w:p>
    <w:p w14:paraId="0FAF3BB7" w14:textId="5B465BCC" w:rsidR="009B468B" w:rsidRDefault="003E4375" w:rsidP="00415E04">
      <w:pPr>
        <w:pStyle w:val="ListParagraph"/>
        <w:numPr>
          <w:ilvl w:val="0"/>
          <w:numId w:val="3"/>
        </w:numPr>
        <w:ind w:left="360"/>
        <w:rPr>
          <w:rFonts w:eastAsia="Times New Roman"/>
          <w:color w:val="000000"/>
        </w:rPr>
      </w:pPr>
      <w:r w:rsidRPr="00183F0C">
        <w:rPr>
          <w:rFonts w:eastAsia="Times New Roman"/>
          <w:color w:val="000000"/>
        </w:rPr>
        <w:t xml:space="preserve">Pepper, A.S., Corvi, P.J., 1995. Simple kinetic models of petroleum formation. Part 1: </w:t>
      </w:r>
      <w:r w:rsidR="009B468B">
        <w:rPr>
          <w:rFonts w:eastAsia="Times New Roman"/>
          <w:color w:val="000000"/>
        </w:rPr>
        <w:t>O</w:t>
      </w:r>
      <w:r w:rsidRPr="00183F0C">
        <w:rPr>
          <w:rFonts w:eastAsia="Times New Roman"/>
          <w:color w:val="000000"/>
        </w:rPr>
        <w:t>il and gas generation from kerogen. Mar</w:t>
      </w:r>
      <w:r w:rsidR="009B468B">
        <w:rPr>
          <w:rFonts w:eastAsia="Times New Roman"/>
          <w:color w:val="000000"/>
        </w:rPr>
        <w:t xml:space="preserve">ine and </w:t>
      </w:r>
      <w:r w:rsidRPr="00183F0C">
        <w:rPr>
          <w:rFonts w:eastAsia="Times New Roman"/>
          <w:color w:val="000000"/>
        </w:rPr>
        <w:t>Pet</w:t>
      </w:r>
      <w:r w:rsidR="009B468B">
        <w:rPr>
          <w:rFonts w:eastAsia="Times New Roman"/>
          <w:color w:val="000000"/>
        </w:rPr>
        <w:t xml:space="preserve">roleum </w:t>
      </w:r>
      <w:r w:rsidRPr="00183F0C">
        <w:rPr>
          <w:rFonts w:eastAsia="Times New Roman"/>
          <w:color w:val="000000"/>
        </w:rPr>
        <w:t>Geol</w:t>
      </w:r>
      <w:r w:rsidR="009B468B">
        <w:rPr>
          <w:rFonts w:eastAsia="Times New Roman"/>
          <w:color w:val="000000"/>
        </w:rPr>
        <w:t>ogy</w:t>
      </w:r>
      <w:r w:rsidRPr="00183F0C">
        <w:rPr>
          <w:rFonts w:eastAsia="Times New Roman"/>
          <w:color w:val="000000"/>
        </w:rPr>
        <w:t xml:space="preserve"> 12, 291</w:t>
      </w:r>
      <w:r w:rsidR="009B468B">
        <w:rPr>
          <w:rFonts w:eastAsia="Times New Roman"/>
          <w:color w:val="000000"/>
        </w:rPr>
        <w:t>-</w:t>
      </w:r>
      <w:r w:rsidRPr="00183F0C">
        <w:rPr>
          <w:rFonts w:eastAsia="Times New Roman"/>
          <w:color w:val="000000"/>
        </w:rPr>
        <w:t xml:space="preserve">319. </w:t>
      </w:r>
    </w:p>
    <w:p w14:paraId="7047BFC7" w14:textId="57008B91" w:rsidR="000556D6" w:rsidRPr="00183F0C" w:rsidRDefault="000556D6" w:rsidP="000556D6">
      <w:pPr>
        <w:pStyle w:val="ListParagraph"/>
        <w:numPr>
          <w:ilvl w:val="0"/>
          <w:numId w:val="3"/>
        </w:numPr>
        <w:ind w:left="360"/>
        <w:rPr>
          <w:rFonts w:eastAsia="Times New Roman"/>
          <w:color w:val="000000"/>
        </w:rPr>
      </w:pPr>
      <w:r>
        <w:rPr>
          <w:rFonts w:eastAsia="Times New Roman"/>
          <w:color w:val="000000"/>
        </w:rPr>
        <w:t xml:space="preserve">Pyles, D.R., Slatt, R.M., 2000. </w:t>
      </w:r>
      <w:r w:rsidRPr="00A907D2">
        <w:rPr>
          <w:rFonts w:eastAsia="Times New Roman"/>
          <w:color w:val="000000"/>
        </w:rPr>
        <w:t xml:space="preserve">A </w:t>
      </w:r>
      <w:r>
        <w:rPr>
          <w:rFonts w:eastAsia="Times New Roman"/>
          <w:color w:val="000000"/>
        </w:rPr>
        <w:t>h</w:t>
      </w:r>
      <w:r w:rsidRPr="00A907D2">
        <w:rPr>
          <w:rFonts w:eastAsia="Times New Roman"/>
          <w:color w:val="000000"/>
        </w:rPr>
        <w:t>igh</w:t>
      </w:r>
      <w:r w:rsidR="001861B5">
        <w:rPr>
          <w:rFonts w:eastAsia="Times New Roman"/>
          <w:color w:val="000000"/>
        </w:rPr>
        <w:t>-</w:t>
      </w:r>
      <w:r>
        <w:rPr>
          <w:rFonts w:eastAsia="Times New Roman"/>
          <w:color w:val="000000"/>
        </w:rPr>
        <w:t>f</w:t>
      </w:r>
      <w:r w:rsidRPr="00A907D2">
        <w:rPr>
          <w:rFonts w:eastAsia="Times New Roman"/>
          <w:color w:val="000000"/>
        </w:rPr>
        <w:t xml:space="preserve">requency </w:t>
      </w:r>
      <w:r>
        <w:rPr>
          <w:rFonts w:eastAsia="Times New Roman"/>
          <w:color w:val="000000"/>
        </w:rPr>
        <w:t>s</w:t>
      </w:r>
      <w:r w:rsidRPr="00A907D2">
        <w:rPr>
          <w:rFonts w:eastAsia="Times New Roman"/>
          <w:color w:val="000000"/>
        </w:rPr>
        <w:t xml:space="preserve">equence </w:t>
      </w:r>
      <w:r>
        <w:rPr>
          <w:rFonts w:eastAsia="Times New Roman"/>
          <w:color w:val="000000"/>
        </w:rPr>
        <w:t>s</w:t>
      </w:r>
      <w:r w:rsidRPr="00A907D2">
        <w:rPr>
          <w:rFonts w:eastAsia="Times New Roman"/>
          <w:color w:val="000000"/>
        </w:rPr>
        <w:t xml:space="preserve">tratigraphic </w:t>
      </w:r>
      <w:r>
        <w:rPr>
          <w:rFonts w:eastAsia="Times New Roman"/>
          <w:color w:val="000000"/>
        </w:rPr>
        <w:t>f</w:t>
      </w:r>
      <w:r w:rsidRPr="00A907D2">
        <w:rPr>
          <w:rFonts w:eastAsia="Times New Roman"/>
          <w:color w:val="000000"/>
        </w:rPr>
        <w:t xml:space="preserve">ramework for </w:t>
      </w:r>
      <w:r>
        <w:rPr>
          <w:rFonts w:eastAsia="Times New Roman"/>
          <w:color w:val="000000"/>
        </w:rPr>
        <w:t>s</w:t>
      </w:r>
      <w:r w:rsidRPr="00A907D2">
        <w:rPr>
          <w:rFonts w:eastAsia="Times New Roman"/>
          <w:color w:val="000000"/>
        </w:rPr>
        <w:t>hallow</w:t>
      </w:r>
      <w:r w:rsidR="001861B5">
        <w:rPr>
          <w:rFonts w:eastAsia="Times New Roman"/>
          <w:color w:val="000000"/>
        </w:rPr>
        <w:t xml:space="preserve"> </w:t>
      </w:r>
      <w:r w:rsidRPr="00A907D2">
        <w:rPr>
          <w:rFonts w:eastAsia="Times New Roman"/>
          <w:color w:val="000000"/>
        </w:rPr>
        <w:t xml:space="preserve">through </w:t>
      </w:r>
      <w:r>
        <w:rPr>
          <w:rFonts w:eastAsia="Times New Roman"/>
          <w:color w:val="000000"/>
        </w:rPr>
        <w:t>d</w:t>
      </w:r>
      <w:r w:rsidRPr="00A907D2">
        <w:rPr>
          <w:rFonts w:eastAsia="Times New Roman"/>
          <w:color w:val="000000"/>
        </w:rPr>
        <w:t>eep-</w:t>
      </w:r>
      <w:r>
        <w:rPr>
          <w:rFonts w:eastAsia="Times New Roman"/>
          <w:color w:val="000000"/>
        </w:rPr>
        <w:t>w</w:t>
      </w:r>
      <w:r w:rsidRPr="00A907D2">
        <w:rPr>
          <w:rFonts w:eastAsia="Times New Roman"/>
          <w:color w:val="000000"/>
        </w:rPr>
        <w:t xml:space="preserve">ater </w:t>
      </w:r>
      <w:r>
        <w:rPr>
          <w:rFonts w:eastAsia="Times New Roman"/>
          <w:color w:val="000000"/>
        </w:rPr>
        <w:t>d</w:t>
      </w:r>
      <w:r w:rsidRPr="00A907D2">
        <w:rPr>
          <w:rFonts w:eastAsia="Times New Roman"/>
          <w:color w:val="000000"/>
        </w:rPr>
        <w:t xml:space="preserve">eposits of the Lewis Shale and Fox Hills </w:t>
      </w:r>
      <w:r>
        <w:rPr>
          <w:rFonts w:eastAsia="Times New Roman"/>
          <w:color w:val="000000"/>
        </w:rPr>
        <w:t>s</w:t>
      </w:r>
      <w:r w:rsidRPr="00A907D2">
        <w:rPr>
          <w:rFonts w:eastAsia="Times New Roman"/>
          <w:color w:val="000000"/>
        </w:rPr>
        <w:t>andstone, Great Divide</w:t>
      </w:r>
      <w:r w:rsidR="005D770A">
        <w:rPr>
          <w:rFonts w:eastAsia="Times New Roman"/>
          <w:color w:val="000000"/>
        </w:rPr>
        <w:t>,</w:t>
      </w:r>
      <w:r w:rsidRPr="00A907D2">
        <w:rPr>
          <w:rFonts w:eastAsia="Times New Roman"/>
          <w:color w:val="000000"/>
        </w:rPr>
        <w:t xml:space="preserve"> and Washakie </w:t>
      </w:r>
      <w:r>
        <w:rPr>
          <w:rFonts w:eastAsia="Times New Roman"/>
          <w:color w:val="000000"/>
        </w:rPr>
        <w:t>b</w:t>
      </w:r>
      <w:r w:rsidRPr="00A907D2">
        <w:rPr>
          <w:rFonts w:eastAsia="Times New Roman"/>
          <w:color w:val="000000"/>
        </w:rPr>
        <w:t>asins, Wyoming</w:t>
      </w:r>
      <w:r>
        <w:rPr>
          <w:rFonts w:eastAsia="Times New Roman"/>
          <w:color w:val="000000"/>
        </w:rPr>
        <w:t>. In: Weimer, P., eds., GCS-SEPM Deep-water reservoirs of the worl</w:t>
      </w:r>
      <w:r w:rsidR="00897CCC">
        <w:rPr>
          <w:rFonts w:eastAsia="Times New Roman"/>
          <w:color w:val="000000"/>
        </w:rPr>
        <w:t>d</w:t>
      </w:r>
      <w:r w:rsidR="001F6D5E">
        <w:rPr>
          <w:rFonts w:eastAsia="Times New Roman"/>
          <w:color w:val="000000"/>
        </w:rPr>
        <w:t>. SEPM 2</w:t>
      </w:r>
      <w:r w:rsidR="00D0614A">
        <w:rPr>
          <w:rFonts w:eastAsia="Times New Roman"/>
          <w:color w:val="000000"/>
        </w:rPr>
        <w:t>00</w:t>
      </w:r>
      <w:r w:rsidR="001F6D5E">
        <w:rPr>
          <w:rFonts w:eastAsia="Times New Roman"/>
          <w:color w:val="000000"/>
        </w:rPr>
        <w:t xml:space="preserve">0, </w:t>
      </w:r>
      <w:r w:rsidR="00D0614A">
        <w:rPr>
          <w:rFonts w:eastAsia="Times New Roman"/>
          <w:color w:val="000000"/>
        </w:rPr>
        <w:t>20.</w:t>
      </w:r>
    </w:p>
    <w:p w14:paraId="098B52DD" w14:textId="2500B0D5" w:rsidR="003E4375" w:rsidRPr="00183F0C" w:rsidRDefault="00460281" w:rsidP="00415E04">
      <w:pPr>
        <w:pStyle w:val="ListParagraph"/>
        <w:numPr>
          <w:ilvl w:val="0"/>
          <w:numId w:val="3"/>
        </w:numPr>
        <w:ind w:left="360"/>
        <w:rPr>
          <w:rFonts w:eastAsia="Times New Roman"/>
          <w:color w:val="000000"/>
        </w:rPr>
      </w:pPr>
      <w:r w:rsidRPr="001A25FF">
        <w:rPr>
          <w:rFonts w:eastAsia="Times New Roman"/>
          <w:color w:val="000000"/>
          <w:lang w:val="es-CO"/>
        </w:rPr>
        <w:t>Rodríguez</w:t>
      </w:r>
      <w:r w:rsidR="003E4375" w:rsidRPr="001A25FF">
        <w:rPr>
          <w:rFonts w:eastAsia="Times New Roman"/>
          <w:color w:val="000000"/>
          <w:lang w:val="es-CO"/>
        </w:rPr>
        <w:t>, N.D.</w:t>
      </w:r>
      <w:r w:rsidR="00124113" w:rsidRPr="001A25FF">
        <w:rPr>
          <w:rFonts w:eastAsia="Times New Roman"/>
          <w:color w:val="000000"/>
          <w:lang w:val="es-CO"/>
        </w:rPr>
        <w:t>,</w:t>
      </w:r>
      <w:r w:rsidR="003E4375" w:rsidRPr="001A25FF">
        <w:rPr>
          <w:rFonts w:eastAsia="Times New Roman"/>
          <w:color w:val="000000"/>
          <w:lang w:val="es-CO"/>
        </w:rPr>
        <w:t xml:space="preserve"> Philp, R.P., 2010. </w:t>
      </w:r>
      <w:r w:rsidR="003E4375" w:rsidRPr="00183F0C">
        <w:rPr>
          <w:rFonts w:eastAsia="Times New Roman"/>
          <w:color w:val="000000"/>
        </w:rPr>
        <w:t xml:space="preserve">Geochemical characterization of gases from the Mississippian Barnett Shale, Fort Worth </w:t>
      </w:r>
      <w:r w:rsidR="00BA1BCF">
        <w:rPr>
          <w:rFonts w:eastAsia="Times New Roman"/>
          <w:color w:val="000000"/>
        </w:rPr>
        <w:t>b</w:t>
      </w:r>
      <w:r w:rsidR="003E4375" w:rsidRPr="00183F0C">
        <w:rPr>
          <w:rFonts w:eastAsia="Times New Roman"/>
          <w:color w:val="000000"/>
        </w:rPr>
        <w:t>asin, Texa</w:t>
      </w:r>
      <w:r w:rsidR="00BA1BCF">
        <w:rPr>
          <w:rFonts w:eastAsia="Times New Roman"/>
          <w:color w:val="000000"/>
        </w:rPr>
        <w:t>s.</w:t>
      </w:r>
      <w:r w:rsidR="003E4375" w:rsidRPr="00183F0C">
        <w:rPr>
          <w:rFonts w:eastAsia="Times New Roman"/>
          <w:color w:val="000000"/>
        </w:rPr>
        <w:t xml:space="preserve"> AAPG Bulletin 94, 11, </w:t>
      </w:r>
      <w:r w:rsidR="00BA1BCF">
        <w:rPr>
          <w:rFonts w:eastAsia="Times New Roman"/>
          <w:color w:val="000000"/>
        </w:rPr>
        <w:t>1</w:t>
      </w:r>
      <w:r w:rsidR="003E4375" w:rsidRPr="00183F0C">
        <w:rPr>
          <w:rFonts w:eastAsia="Times New Roman"/>
          <w:color w:val="000000"/>
        </w:rPr>
        <w:t>641-1656.</w:t>
      </w:r>
    </w:p>
    <w:p w14:paraId="40F6AB59" w14:textId="74C92833"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Schenk, H.J., di Primio, R.,</w:t>
      </w:r>
      <w:r w:rsidR="00BA1BCF">
        <w:rPr>
          <w:rFonts w:eastAsia="Times New Roman"/>
          <w:color w:val="000000"/>
        </w:rPr>
        <w:t xml:space="preserve"> </w:t>
      </w:r>
      <w:r w:rsidRPr="00183F0C">
        <w:rPr>
          <w:rFonts w:eastAsia="Times New Roman"/>
          <w:color w:val="000000"/>
        </w:rPr>
        <w:t>Horseﬁeld, B., 1997. The conversion of oil into gas in petroleum reservoirs. Part 1: a comparative kinetic investigation of gas generation from crude oils of lacustrine, marine</w:t>
      </w:r>
      <w:r w:rsidR="00124113" w:rsidRPr="00183F0C">
        <w:rPr>
          <w:rFonts w:eastAsia="Times New Roman"/>
          <w:color w:val="000000"/>
        </w:rPr>
        <w:t>,</w:t>
      </w:r>
      <w:r w:rsidRPr="00183F0C">
        <w:rPr>
          <w:rFonts w:eastAsia="Times New Roman"/>
          <w:color w:val="000000"/>
        </w:rPr>
        <w:t xml:space="preserve"> and ﬂuvio-deltaic origin by programmed temperature closed-system pyrolysis. Org</w:t>
      </w:r>
      <w:r w:rsidR="00BA1BCF">
        <w:rPr>
          <w:rFonts w:eastAsia="Times New Roman"/>
          <w:color w:val="000000"/>
        </w:rPr>
        <w:t>anic</w:t>
      </w:r>
      <w:r w:rsidRPr="00183F0C">
        <w:rPr>
          <w:rFonts w:eastAsia="Times New Roman"/>
          <w:color w:val="000000"/>
        </w:rPr>
        <w:t xml:space="preserve"> Geochem</w:t>
      </w:r>
      <w:r w:rsidR="00BA1BCF">
        <w:rPr>
          <w:rFonts w:eastAsia="Times New Roman"/>
          <w:color w:val="000000"/>
        </w:rPr>
        <w:t>istry</w:t>
      </w:r>
      <w:r w:rsidRPr="00183F0C">
        <w:rPr>
          <w:rFonts w:eastAsia="Times New Roman"/>
          <w:color w:val="000000"/>
        </w:rPr>
        <w:t xml:space="preserve"> 26, 467-481. </w:t>
      </w:r>
    </w:p>
    <w:p w14:paraId="514F72F0" w14:textId="641828FB" w:rsidR="00AF6F2F" w:rsidRPr="00183F0C" w:rsidRDefault="00AF6F2F" w:rsidP="00415E04">
      <w:pPr>
        <w:pStyle w:val="ListParagraph"/>
        <w:numPr>
          <w:ilvl w:val="0"/>
          <w:numId w:val="3"/>
        </w:numPr>
        <w:ind w:left="360"/>
        <w:rPr>
          <w:rFonts w:eastAsia="Times New Roman"/>
          <w:color w:val="000000"/>
        </w:rPr>
      </w:pPr>
      <w:r w:rsidRPr="00183F0C">
        <w:rPr>
          <w:rFonts w:eastAsia="Times New Roman"/>
          <w:color w:val="000000"/>
        </w:rPr>
        <w:t>Sefein, K.J., Nguyen</w:t>
      </w:r>
      <w:r w:rsidR="00BA1BCF">
        <w:rPr>
          <w:rFonts w:eastAsia="Times New Roman"/>
          <w:color w:val="000000"/>
        </w:rPr>
        <w:t xml:space="preserve">, </w:t>
      </w:r>
      <w:r w:rsidR="00BA1BCF" w:rsidRPr="00183F0C">
        <w:rPr>
          <w:rFonts w:eastAsia="Times New Roman"/>
          <w:color w:val="000000"/>
        </w:rPr>
        <w:t>T.X.</w:t>
      </w:r>
      <w:r w:rsidR="00BA1BCF">
        <w:rPr>
          <w:rFonts w:eastAsia="Times New Roman"/>
          <w:color w:val="000000"/>
        </w:rPr>
        <w:t xml:space="preserve">, </w:t>
      </w:r>
      <w:r w:rsidRPr="00183F0C">
        <w:rPr>
          <w:rFonts w:eastAsia="Times New Roman"/>
          <w:color w:val="000000"/>
        </w:rPr>
        <w:t>Philp,</w:t>
      </w:r>
      <w:r w:rsidR="00BA1BCF">
        <w:rPr>
          <w:rFonts w:eastAsia="Times New Roman"/>
          <w:color w:val="000000"/>
        </w:rPr>
        <w:t xml:space="preserve"> </w:t>
      </w:r>
      <w:r w:rsidR="00BA1BCF" w:rsidRPr="00183F0C">
        <w:rPr>
          <w:rFonts w:eastAsia="Times New Roman"/>
          <w:color w:val="000000"/>
        </w:rPr>
        <w:t>R.P.</w:t>
      </w:r>
      <w:r w:rsidR="00BA1BCF">
        <w:rPr>
          <w:rFonts w:eastAsia="Times New Roman"/>
          <w:color w:val="000000"/>
        </w:rPr>
        <w:t xml:space="preserve">, </w:t>
      </w:r>
      <w:r w:rsidRPr="00183F0C">
        <w:rPr>
          <w:rFonts w:eastAsia="Times New Roman"/>
          <w:color w:val="000000"/>
        </w:rPr>
        <w:t>20</w:t>
      </w:r>
      <w:r w:rsidR="00EA7C03" w:rsidRPr="00183F0C">
        <w:rPr>
          <w:rFonts w:eastAsia="Times New Roman"/>
          <w:color w:val="000000"/>
        </w:rPr>
        <w:t xml:space="preserve">17. Organic </w:t>
      </w:r>
      <w:r w:rsidR="00BA1BCF">
        <w:rPr>
          <w:rFonts w:eastAsia="Times New Roman"/>
          <w:color w:val="000000"/>
        </w:rPr>
        <w:t>g</w:t>
      </w:r>
      <w:r w:rsidR="00EA7C03" w:rsidRPr="00183F0C">
        <w:rPr>
          <w:rFonts w:eastAsia="Times New Roman"/>
          <w:color w:val="000000"/>
        </w:rPr>
        <w:t xml:space="preserve">eochemical and </w:t>
      </w:r>
      <w:r w:rsidR="00BA1BCF">
        <w:rPr>
          <w:rFonts w:eastAsia="Times New Roman"/>
          <w:color w:val="000000"/>
        </w:rPr>
        <w:t>p</w:t>
      </w:r>
      <w:r w:rsidR="00EA7C03" w:rsidRPr="00183F0C">
        <w:rPr>
          <w:rFonts w:eastAsia="Times New Roman"/>
          <w:color w:val="000000"/>
        </w:rPr>
        <w:t xml:space="preserve">aleoenvironmental </w:t>
      </w:r>
      <w:r w:rsidR="00BA1BCF">
        <w:rPr>
          <w:rFonts w:eastAsia="Times New Roman"/>
          <w:color w:val="000000"/>
        </w:rPr>
        <w:t>c</w:t>
      </w:r>
      <w:r w:rsidR="00EA7C03" w:rsidRPr="00183F0C">
        <w:rPr>
          <w:rFonts w:eastAsia="Times New Roman"/>
          <w:color w:val="000000"/>
        </w:rPr>
        <w:t xml:space="preserve">haracterization of the Brown Shale </w:t>
      </w:r>
      <w:r w:rsidR="00BA1BCF">
        <w:rPr>
          <w:rFonts w:eastAsia="Times New Roman"/>
          <w:color w:val="000000"/>
        </w:rPr>
        <w:t>f</w:t>
      </w:r>
      <w:r w:rsidR="00EA7C03" w:rsidRPr="00183F0C">
        <w:rPr>
          <w:rFonts w:eastAsia="Times New Roman"/>
          <w:color w:val="000000"/>
        </w:rPr>
        <w:t xml:space="preserve">ormation, Kiliran </w:t>
      </w:r>
      <w:r w:rsidR="00BA1BCF">
        <w:rPr>
          <w:rFonts w:eastAsia="Times New Roman"/>
          <w:color w:val="000000"/>
        </w:rPr>
        <w:t>s</w:t>
      </w:r>
      <w:r w:rsidR="00EA7C03" w:rsidRPr="00183F0C">
        <w:rPr>
          <w:rFonts w:eastAsia="Times New Roman"/>
          <w:color w:val="000000"/>
        </w:rPr>
        <w:t>ub-</w:t>
      </w:r>
      <w:r w:rsidR="00BA1BCF">
        <w:rPr>
          <w:rFonts w:eastAsia="Times New Roman"/>
          <w:color w:val="000000"/>
        </w:rPr>
        <w:t>b</w:t>
      </w:r>
      <w:r w:rsidR="00EA7C03" w:rsidRPr="00183F0C">
        <w:rPr>
          <w:rFonts w:eastAsia="Times New Roman"/>
          <w:color w:val="000000"/>
        </w:rPr>
        <w:t xml:space="preserve">asin, Central Sumatra </w:t>
      </w:r>
      <w:r w:rsidR="00BA1BCF">
        <w:rPr>
          <w:rFonts w:eastAsia="Times New Roman"/>
          <w:color w:val="000000"/>
        </w:rPr>
        <w:t>b</w:t>
      </w:r>
      <w:r w:rsidR="00EA7C03" w:rsidRPr="00183F0C">
        <w:rPr>
          <w:rFonts w:eastAsia="Times New Roman"/>
          <w:color w:val="000000"/>
        </w:rPr>
        <w:t>asin, Indonesia.  Organic Geochemistry</w:t>
      </w:r>
      <w:r w:rsidR="006004BB" w:rsidRPr="00183F0C">
        <w:rPr>
          <w:rFonts w:eastAsia="Times New Roman"/>
          <w:color w:val="000000"/>
        </w:rPr>
        <w:t>,</w:t>
      </w:r>
      <w:r w:rsidR="00EA7C03" w:rsidRPr="00183F0C">
        <w:rPr>
          <w:rFonts w:eastAsia="Times New Roman"/>
          <w:color w:val="000000"/>
        </w:rPr>
        <w:t xml:space="preserve"> 112</w:t>
      </w:r>
      <w:r w:rsidR="007E4921">
        <w:rPr>
          <w:rFonts w:eastAsia="Times New Roman"/>
          <w:color w:val="000000"/>
        </w:rPr>
        <w:t>, October 2017, 137-157</w:t>
      </w:r>
      <w:r w:rsidR="00EA7C03" w:rsidRPr="00183F0C">
        <w:rPr>
          <w:rFonts w:eastAsia="Times New Roman"/>
          <w:color w:val="000000"/>
        </w:rPr>
        <w:t xml:space="preserve">. </w:t>
      </w:r>
    </w:p>
    <w:p w14:paraId="52183E9C" w14:textId="52F43D5C"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Singh, P., 2008</w:t>
      </w:r>
      <w:r w:rsidR="007E4921">
        <w:rPr>
          <w:rFonts w:eastAsia="Times New Roman"/>
          <w:color w:val="000000"/>
        </w:rPr>
        <w:t>.</w:t>
      </w:r>
      <w:r w:rsidRPr="00183F0C">
        <w:rPr>
          <w:rFonts w:eastAsia="Times New Roman"/>
          <w:color w:val="000000"/>
        </w:rPr>
        <w:t xml:space="preserve"> Lithofacies and sequence stratigraphic framework of the Barnett Shale, </w:t>
      </w:r>
      <w:r w:rsidR="007E4921">
        <w:rPr>
          <w:rFonts w:eastAsia="Times New Roman"/>
          <w:color w:val="000000"/>
        </w:rPr>
        <w:t>N</w:t>
      </w:r>
      <w:r w:rsidRPr="00183F0C">
        <w:rPr>
          <w:rFonts w:eastAsia="Times New Roman"/>
          <w:color w:val="000000"/>
        </w:rPr>
        <w:t xml:space="preserve">ortheast Texas. </w:t>
      </w:r>
      <w:r w:rsidR="007E4921">
        <w:rPr>
          <w:rFonts w:eastAsia="Times New Roman"/>
          <w:color w:val="000000"/>
        </w:rPr>
        <w:t>Doctoral d</w:t>
      </w:r>
      <w:r w:rsidRPr="00183F0C">
        <w:rPr>
          <w:rFonts w:eastAsia="Times New Roman"/>
          <w:color w:val="000000"/>
        </w:rPr>
        <w:t>issertation</w:t>
      </w:r>
      <w:r w:rsidR="007E4921">
        <w:rPr>
          <w:rFonts w:eastAsia="Times New Roman"/>
          <w:color w:val="000000"/>
        </w:rPr>
        <w:t xml:space="preserve"> manuscript.</w:t>
      </w:r>
      <w:r w:rsidRPr="00183F0C">
        <w:rPr>
          <w:rFonts w:eastAsia="Times New Roman"/>
          <w:color w:val="000000"/>
        </w:rPr>
        <w:t xml:space="preserve"> The University of Oklahom</w:t>
      </w:r>
      <w:r w:rsidR="007E4921">
        <w:rPr>
          <w:rFonts w:eastAsia="Times New Roman"/>
          <w:color w:val="000000"/>
        </w:rPr>
        <w:t>a, p. 227.</w:t>
      </w:r>
    </w:p>
    <w:p w14:paraId="68B16152" w14:textId="5B70B603" w:rsidR="00B94FA7" w:rsidRPr="00183F0C" w:rsidRDefault="00B94FA7" w:rsidP="00415E04">
      <w:pPr>
        <w:pStyle w:val="ListParagraph"/>
        <w:numPr>
          <w:ilvl w:val="0"/>
          <w:numId w:val="3"/>
        </w:numPr>
        <w:ind w:left="360"/>
        <w:rPr>
          <w:rFonts w:eastAsia="Times New Roman"/>
          <w:color w:val="000000"/>
        </w:rPr>
      </w:pPr>
      <w:r w:rsidRPr="00183F0C">
        <w:rPr>
          <w:rFonts w:eastAsia="Times New Roman"/>
          <w:color w:val="000000"/>
        </w:rPr>
        <w:t>Sierra-Perez, R., 2011.</w:t>
      </w:r>
      <w:r w:rsidR="00727D55" w:rsidRPr="00183F0C">
        <w:rPr>
          <w:rFonts w:eastAsia="Times New Roman"/>
          <w:color w:val="000000"/>
        </w:rPr>
        <w:t xml:space="preserve"> Integrated geomechanics and geological characterization of the Devonian-Mississippian Woodford Shale. </w:t>
      </w:r>
      <w:r w:rsidRPr="00183F0C">
        <w:rPr>
          <w:rFonts w:eastAsia="Times New Roman"/>
          <w:color w:val="000000"/>
        </w:rPr>
        <w:t xml:space="preserve"> </w:t>
      </w:r>
      <w:r w:rsidR="00727D55" w:rsidRPr="00183F0C">
        <w:rPr>
          <w:rFonts w:eastAsia="Times New Roman"/>
          <w:color w:val="000000"/>
        </w:rPr>
        <w:t xml:space="preserve">M.Sc. </w:t>
      </w:r>
      <w:r w:rsidR="00847B0A">
        <w:rPr>
          <w:rFonts w:eastAsia="Times New Roman"/>
          <w:color w:val="000000"/>
        </w:rPr>
        <w:t>t</w:t>
      </w:r>
      <w:r w:rsidR="00727D55" w:rsidRPr="00183F0C">
        <w:rPr>
          <w:rFonts w:eastAsia="Times New Roman"/>
          <w:color w:val="000000"/>
        </w:rPr>
        <w:t>hesis manuscript, The University of Oklahoma</w:t>
      </w:r>
      <w:r w:rsidR="00847B0A">
        <w:rPr>
          <w:rFonts w:eastAsia="Times New Roman"/>
          <w:color w:val="000000"/>
        </w:rPr>
        <w:t>, p. 123.</w:t>
      </w:r>
      <w:r w:rsidR="00727D55" w:rsidRPr="00183F0C">
        <w:rPr>
          <w:rFonts w:eastAsia="Times New Roman"/>
          <w:color w:val="000000"/>
        </w:rPr>
        <w:t xml:space="preserve"> </w:t>
      </w:r>
    </w:p>
    <w:p w14:paraId="7868C895" w14:textId="024C0063"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Slatt, R. M., Buckner,</w:t>
      </w:r>
      <w:r w:rsidR="00BA1BCF" w:rsidRPr="00BA1BCF">
        <w:rPr>
          <w:rFonts w:eastAsia="Times New Roman"/>
          <w:color w:val="000000"/>
        </w:rPr>
        <w:t xml:space="preserve"> </w:t>
      </w:r>
      <w:r w:rsidR="00BA1BCF" w:rsidRPr="00183F0C">
        <w:rPr>
          <w:rFonts w:eastAsia="Times New Roman"/>
          <w:color w:val="000000"/>
        </w:rPr>
        <w:t>N.</w:t>
      </w:r>
      <w:r w:rsidR="00BA1BCF">
        <w:rPr>
          <w:rFonts w:eastAsia="Times New Roman"/>
          <w:color w:val="000000"/>
        </w:rPr>
        <w:t xml:space="preserve">, </w:t>
      </w:r>
      <w:r w:rsidRPr="00183F0C">
        <w:rPr>
          <w:rFonts w:eastAsia="Times New Roman"/>
          <w:color w:val="000000"/>
        </w:rPr>
        <w:t xml:space="preserve">Abousleiman, </w:t>
      </w:r>
      <w:r w:rsidR="00BA1BCF">
        <w:rPr>
          <w:rFonts w:eastAsia="Times New Roman"/>
          <w:color w:val="000000"/>
        </w:rPr>
        <w:t>Y., S</w:t>
      </w:r>
      <w:r w:rsidRPr="00183F0C">
        <w:rPr>
          <w:rFonts w:eastAsia="Times New Roman"/>
          <w:color w:val="000000"/>
        </w:rPr>
        <w:t>ierra</w:t>
      </w:r>
      <w:r w:rsidR="00BA1BCF">
        <w:rPr>
          <w:rFonts w:eastAsia="Times New Roman"/>
          <w:color w:val="000000"/>
        </w:rPr>
        <w:t>, R.</w:t>
      </w:r>
      <w:r w:rsidRPr="00183F0C">
        <w:rPr>
          <w:rFonts w:eastAsia="Times New Roman"/>
          <w:color w:val="000000"/>
        </w:rPr>
        <w:t>, Philp,</w:t>
      </w:r>
      <w:r w:rsidR="00BA1BCF">
        <w:rPr>
          <w:rFonts w:eastAsia="Times New Roman"/>
          <w:color w:val="000000"/>
        </w:rPr>
        <w:t xml:space="preserve"> R.P.</w:t>
      </w:r>
      <w:r w:rsidR="00460281">
        <w:rPr>
          <w:rFonts w:eastAsia="Times New Roman"/>
          <w:color w:val="000000"/>
        </w:rPr>
        <w:t>, Miceli</w:t>
      </w:r>
      <w:r w:rsidRPr="00183F0C">
        <w:rPr>
          <w:rFonts w:eastAsia="Times New Roman"/>
          <w:color w:val="000000"/>
        </w:rPr>
        <w:t>-Romero,</w:t>
      </w:r>
      <w:r w:rsidR="00BA1BCF">
        <w:rPr>
          <w:rFonts w:eastAsia="Times New Roman"/>
          <w:color w:val="000000"/>
        </w:rPr>
        <w:t xml:space="preserve"> A., </w:t>
      </w:r>
      <w:r w:rsidRPr="00183F0C">
        <w:rPr>
          <w:rFonts w:eastAsia="Times New Roman"/>
          <w:color w:val="000000"/>
        </w:rPr>
        <w:t>Portas,</w:t>
      </w:r>
      <w:r w:rsidR="00BA1BCF">
        <w:rPr>
          <w:rFonts w:eastAsia="Times New Roman"/>
          <w:color w:val="000000"/>
        </w:rPr>
        <w:t xml:space="preserve"> R., </w:t>
      </w:r>
      <w:r w:rsidRPr="00183F0C">
        <w:rPr>
          <w:rFonts w:eastAsia="Times New Roman"/>
          <w:color w:val="000000"/>
        </w:rPr>
        <w:t>O'Brien,</w:t>
      </w:r>
      <w:r w:rsidR="00BA1BCF">
        <w:rPr>
          <w:rFonts w:eastAsia="Times New Roman"/>
          <w:color w:val="000000"/>
        </w:rPr>
        <w:t xml:space="preserve"> N., T</w:t>
      </w:r>
      <w:r w:rsidRPr="00183F0C">
        <w:rPr>
          <w:rFonts w:eastAsia="Times New Roman"/>
          <w:color w:val="000000"/>
        </w:rPr>
        <w:t>ran,</w:t>
      </w:r>
      <w:r w:rsidR="00BA1BCF">
        <w:rPr>
          <w:rFonts w:eastAsia="Times New Roman"/>
          <w:color w:val="000000"/>
        </w:rPr>
        <w:t xml:space="preserve"> M., </w:t>
      </w:r>
      <w:r w:rsidRPr="00183F0C">
        <w:rPr>
          <w:rFonts w:eastAsia="Times New Roman"/>
          <w:color w:val="000000"/>
        </w:rPr>
        <w:t>Davis,</w:t>
      </w:r>
      <w:r w:rsidR="00BA1BCF">
        <w:rPr>
          <w:rFonts w:eastAsia="Times New Roman"/>
          <w:color w:val="000000"/>
        </w:rPr>
        <w:t xml:space="preserve"> R.,</w:t>
      </w:r>
      <w:r w:rsidRPr="00183F0C">
        <w:rPr>
          <w:rFonts w:eastAsia="Times New Roman"/>
          <w:color w:val="000000"/>
        </w:rPr>
        <w:t xml:space="preserve"> Wawrzyniec,</w:t>
      </w:r>
      <w:r w:rsidR="00BA1BCF">
        <w:rPr>
          <w:rFonts w:eastAsia="Times New Roman"/>
          <w:color w:val="000000"/>
        </w:rPr>
        <w:t xml:space="preserve"> T.,</w:t>
      </w:r>
      <w:r w:rsidRPr="00183F0C">
        <w:rPr>
          <w:rFonts w:eastAsia="Times New Roman"/>
          <w:color w:val="000000"/>
        </w:rPr>
        <w:t xml:space="preserve"> 201</w:t>
      </w:r>
      <w:r w:rsidR="00276EE0" w:rsidRPr="00183F0C">
        <w:rPr>
          <w:rFonts w:eastAsia="Times New Roman"/>
          <w:color w:val="000000"/>
        </w:rPr>
        <w:t>2</w:t>
      </w:r>
      <w:r w:rsidRPr="00183F0C">
        <w:rPr>
          <w:rFonts w:eastAsia="Times New Roman"/>
          <w:color w:val="000000"/>
        </w:rPr>
        <w:t xml:space="preserve">. Outcrop/behind outcrop (quarry), </w:t>
      </w:r>
      <w:r w:rsidRPr="00183F0C">
        <w:rPr>
          <w:rFonts w:eastAsia="Times New Roman"/>
          <w:color w:val="000000"/>
        </w:rPr>
        <w:lastRenderedPageBreak/>
        <w:t xml:space="preserve">multiscale characterization of the Woodford </w:t>
      </w:r>
      <w:r w:rsidR="00BA1BCF">
        <w:rPr>
          <w:rFonts w:eastAsia="Times New Roman"/>
          <w:color w:val="000000"/>
        </w:rPr>
        <w:t>g</w:t>
      </w:r>
      <w:r w:rsidRPr="00183F0C">
        <w:rPr>
          <w:rFonts w:eastAsia="Times New Roman"/>
          <w:color w:val="000000"/>
        </w:rPr>
        <w:t xml:space="preserve">as </w:t>
      </w:r>
      <w:r w:rsidR="00BA1BCF">
        <w:rPr>
          <w:rFonts w:eastAsia="Times New Roman"/>
          <w:color w:val="000000"/>
        </w:rPr>
        <w:t>s</w:t>
      </w:r>
      <w:r w:rsidRPr="00183F0C">
        <w:rPr>
          <w:rFonts w:eastAsia="Times New Roman"/>
          <w:color w:val="000000"/>
        </w:rPr>
        <w:t>hale, Oklahoma, in J. Breyer, ed</w:t>
      </w:r>
      <w:r w:rsidR="00BA1BCF">
        <w:rPr>
          <w:rFonts w:eastAsia="Times New Roman"/>
          <w:color w:val="000000"/>
        </w:rPr>
        <w:t>s</w:t>
      </w:r>
      <w:r w:rsidRPr="00183F0C">
        <w:rPr>
          <w:rFonts w:eastAsia="Times New Roman"/>
          <w:color w:val="000000"/>
        </w:rPr>
        <w:t>., Shale reservoirs</w:t>
      </w:r>
      <w:r w:rsidR="00BA1BCF">
        <w:rPr>
          <w:rFonts w:eastAsia="Times New Roman"/>
          <w:color w:val="000000"/>
        </w:rPr>
        <w:t>-g</w:t>
      </w:r>
      <w:r w:rsidRPr="00183F0C">
        <w:rPr>
          <w:rFonts w:eastAsia="Times New Roman"/>
          <w:color w:val="000000"/>
        </w:rPr>
        <w:t>iant resources for the 21st century: American Association of Petroleum Geologists AAPG Memoir 97, 1–21.</w:t>
      </w:r>
    </w:p>
    <w:p w14:paraId="3776D0CA" w14:textId="07AC178B" w:rsidR="00485111" w:rsidRPr="00183F0C" w:rsidRDefault="00485111" w:rsidP="00415E04">
      <w:pPr>
        <w:pStyle w:val="ListParagraph"/>
        <w:numPr>
          <w:ilvl w:val="0"/>
          <w:numId w:val="3"/>
        </w:numPr>
        <w:ind w:left="360"/>
        <w:rPr>
          <w:rFonts w:eastAsia="Times New Roman"/>
          <w:color w:val="000000"/>
        </w:rPr>
      </w:pPr>
      <w:r w:rsidRPr="00183F0C">
        <w:rPr>
          <w:rFonts w:eastAsia="Times New Roman"/>
          <w:color w:val="000000"/>
        </w:rPr>
        <w:t xml:space="preserve">Slatt, R.M., Philp, </w:t>
      </w:r>
      <w:r w:rsidR="00847B0A" w:rsidRPr="00183F0C">
        <w:rPr>
          <w:rFonts w:eastAsia="Times New Roman"/>
          <w:color w:val="000000"/>
        </w:rPr>
        <w:t>P.R.</w:t>
      </w:r>
      <w:r w:rsidR="00847B0A">
        <w:rPr>
          <w:rFonts w:eastAsia="Times New Roman"/>
          <w:color w:val="000000"/>
        </w:rPr>
        <w:t xml:space="preserve">, </w:t>
      </w:r>
      <w:r w:rsidRPr="00183F0C">
        <w:rPr>
          <w:rFonts w:eastAsia="Times New Roman"/>
          <w:color w:val="000000"/>
        </w:rPr>
        <w:t xml:space="preserve">Abousleiman, </w:t>
      </w:r>
      <w:r w:rsidR="00847B0A">
        <w:rPr>
          <w:rFonts w:eastAsia="Times New Roman"/>
          <w:color w:val="000000"/>
        </w:rPr>
        <w:t xml:space="preserve">Y., </w:t>
      </w:r>
      <w:r w:rsidRPr="00183F0C">
        <w:rPr>
          <w:rFonts w:eastAsia="Times New Roman"/>
          <w:color w:val="000000"/>
        </w:rPr>
        <w:t>Singh</w:t>
      </w:r>
      <w:r w:rsidR="00847B0A">
        <w:rPr>
          <w:rFonts w:eastAsia="Times New Roman"/>
          <w:color w:val="000000"/>
        </w:rPr>
        <w:t>, P.</w:t>
      </w:r>
      <w:r w:rsidR="00460281">
        <w:rPr>
          <w:rFonts w:eastAsia="Times New Roman"/>
          <w:color w:val="000000"/>
        </w:rPr>
        <w:t>, Perez</w:t>
      </w:r>
      <w:r w:rsidR="00847B0A">
        <w:rPr>
          <w:rFonts w:eastAsia="Times New Roman"/>
          <w:color w:val="000000"/>
        </w:rPr>
        <w:t xml:space="preserve">-Altamar, R., </w:t>
      </w:r>
      <w:r w:rsidRPr="00183F0C">
        <w:rPr>
          <w:rFonts w:eastAsia="Times New Roman"/>
          <w:color w:val="000000"/>
        </w:rPr>
        <w:t>Portas,</w:t>
      </w:r>
      <w:r w:rsidR="00847B0A">
        <w:rPr>
          <w:rFonts w:eastAsia="Times New Roman"/>
          <w:color w:val="000000"/>
        </w:rPr>
        <w:t xml:space="preserve"> R., </w:t>
      </w:r>
      <w:r w:rsidRPr="00183F0C">
        <w:rPr>
          <w:rFonts w:eastAsia="Times New Roman"/>
          <w:color w:val="000000"/>
        </w:rPr>
        <w:t>Marfurt,</w:t>
      </w:r>
      <w:r w:rsidR="00847B0A">
        <w:rPr>
          <w:rFonts w:eastAsia="Times New Roman"/>
          <w:color w:val="000000"/>
        </w:rPr>
        <w:t xml:space="preserve"> K.J., </w:t>
      </w:r>
      <w:r w:rsidRPr="00183F0C">
        <w:rPr>
          <w:rFonts w:eastAsia="Times New Roman"/>
          <w:color w:val="000000"/>
        </w:rPr>
        <w:t>Madrid-Arroyo,</w:t>
      </w:r>
      <w:r w:rsidR="00847B0A">
        <w:rPr>
          <w:rFonts w:eastAsia="Times New Roman"/>
          <w:color w:val="000000"/>
        </w:rPr>
        <w:t xml:space="preserve"> S., </w:t>
      </w:r>
      <w:r w:rsidRPr="00183F0C">
        <w:rPr>
          <w:rFonts w:eastAsia="Times New Roman"/>
          <w:color w:val="000000"/>
        </w:rPr>
        <w:t>O'Brien,</w:t>
      </w:r>
      <w:r w:rsidR="00847B0A">
        <w:rPr>
          <w:rFonts w:eastAsia="Times New Roman"/>
          <w:color w:val="000000"/>
        </w:rPr>
        <w:t xml:space="preserve"> N., </w:t>
      </w:r>
      <w:r w:rsidRPr="00183F0C">
        <w:rPr>
          <w:rFonts w:eastAsia="Times New Roman"/>
          <w:color w:val="000000"/>
        </w:rPr>
        <w:t>Eslinger</w:t>
      </w:r>
      <w:r w:rsidR="00847B0A">
        <w:rPr>
          <w:rFonts w:eastAsia="Times New Roman"/>
          <w:color w:val="000000"/>
        </w:rPr>
        <w:t xml:space="preserve"> E.V.,</w:t>
      </w:r>
      <w:r w:rsidRPr="00183F0C">
        <w:rPr>
          <w:rFonts w:eastAsia="Times New Roman"/>
          <w:color w:val="000000"/>
        </w:rPr>
        <w:t xml:space="preserve"> Baruch</w:t>
      </w:r>
      <w:r w:rsidR="00847B0A">
        <w:rPr>
          <w:rFonts w:eastAsia="Times New Roman"/>
          <w:color w:val="000000"/>
        </w:rPr>
        <w:t>, E.T.</w:t>
      </w:r>
      <w:r w:rsidRPr="00183F0C">
        <w:rPr>
          <w:rFonts w:eastAsia="Times New Roman"/>
          <w:color w:val="000000"/>
        </w:rPr>
        <w:t>, 2012</w:t>
      </w:r>
      <w:r w:rsidR="006004BB" w:rsidRPr="00183F0C">
        <w:rPr>
          <w:rFonts w:eastAsia="Times New Roman"/>
          <w:color w:val="000000"/>
        </w:rPr>
        <w:t>.</w:t>
      </w:r>
      <w:r w:rsidRPr="00183F0C">
        <w:rPr>
          <w:rFonts w:eastAsia="Times New Roman"/>
          <w:color w:val="000000"/>
        </w:rPr>
        <w:t xml:space="preserve"> Pore-to regional-scale integrated characterization workflow for unconventional gas shales: in J.A. Breyer</w:t>
      </w:r>
      <w:r w:rsidR="00847B0A">
        <w:rPr>
          <w:rFonts w:eastAsia="Times New Roman"/>
          <w:color w:val="000000"/>
        </w:rPr>
        <w:t xml:space="preserve">, </w:t>
      </w:r>
      <w:r w:rsidRPr="00183F0C">
        <w:rPr>
          <w:rFonts w:eastAsia="Times New Roman"/>
          <w:color w:val="000000"/>
        </w:rPr>
        <w:t>ed</w:t>
      </w:r>
      <w:r w:rsidR="00847B0A">
        <w:rPr>
          <w:rFonts w:eastAsia="Times New Roman"/>
          <w:color w:val="000000"/>
        </w:rPr>
        <w:t>s.</w:t>
      </w:r>
      <w:r w:rsidRPr="00183F0C">
        <w:rPr>
          <w:rFonts w:eastAsia="Times New Roman"/>
          <w:color w:val="000000"/>
        </w:rPr>
        <w:t>, Shale reservoirs</w:t>
      </w:r>
      <w:r w:rsidR="00847B0A">
        <w:rPr>
          <w:rFonts w:eastAsia="Times New Roman"/>
          <w:color w:val="000000"/>
        </w:rPr>
        <w:t>-g</w:t>
      </w:r>
      <w:r w:rsidRPr="00183F0C">
        <w:rPr>
          <w:rFonts w:eastAsia="Times New Roman"/>
          <w:color w:val="000000"/>
        </w:rPr>
        <w:t>iant resources for the 21st Century</w:t>
      </w:r>
      <w:r w:rsidR="00847B0A">
        <w:rPr>
          <w:rFonts w:eastAsia="Times New Roman"/>
          <w:color w:val="000000"/>
        </w:rPr>
        <w:t>.</w:t>
      </w:r>
      <w:r w:rsidR="00460281">
        <w:rPr>
          <w:rFonts w:eastAsia="Times New Roman"/>
          <w:color w:val="000000"/>
        </w:rPr>
        <w:t xml:space="preserve"> </w:t>
      </w:r>
      <w:r w:rsidRPr="00183F0C">
        <w:rPr>
          <w:rFonts w:eastAsia="Times New Roman"/>
          <w:color w:val="000000"/>
        </w:rPr>
        <w:t>AAPG Memoir 97, 127-150.</w:t>
      </w:r>
    </w:p>
    <w:p w14:paraId="66E3EAA5" w14:textId="6FE21EE3" w:rsidR="003E4375" w:rsidRPr="00183F0C" w:rsidRDefault="003E4375" w:rsidP="00415E04">
      <w:pPr>
        <w:pStyle w:val="ListParagraph"/>
        <w:numPr>
          <w:ilvl w:val="0"/>
          <w:numId w:val="3"/>
        </w:numPr>
        <w:ind w:left="360"/>
        <w:rPr>
          <w:rFonts w:eastAsia="Times New Roman"/>
          <w:color w:val="000000"/>
        </w:rPr>
      </w:pPr>
      <w:r w:rsidRPr="00905A4B">
        <w:rPr>
          <w:rFonts w:eastAsia="Times New Roman"/>
          <w:color w:val="000000"/>
          <w:lang w:val="es-CO"/>
        </w:rPr>
        <w:t>Slatt, R. M.,</w:t>
      </w:r>
      <w:r w:rsidR="00905A4B" w:rsidRPr="00905A4B">
        <w:rPr>
          <w:rFonts w:eastAsia="Times New Roman"/>
          <w:color w:val="000000"/>
          <w:lang w:val="es-CO"/>
        </w:rPr>
        <w:t xml:space="preserve"> </w:t>
      </w:r>
      <w:r w:rsidR="00460281" w:rsidRPr="00905A4B">
        <w:rPr>
          <w:rFonts w:eastAsia="Times New Roman"/>
          <w:color w:val="000000"/>
          <w:lang w:val="es-CO"/>
        </w:rPr>
        <w:t>Rodríguez</w:t>
      </w:r>
      <w:r w:rsidRPr="00905A4B">
        <w:rPr>
          <w:rFonts w:eastAsia="Times New Roman"/>
          <w:color w:val="000000"/>
          <w:lang w:val="es-CO"/>
        </w:rPr>
        <w:t xml:space="preserve">, N.D., 2012. </w:t>
      </w:r>
      <w:r w:rsidRPr="00183F0C">
        <w:rPr>
          <w:rFonts w:eastAsia="Times New Roman"/>
          <w:color w:val="000000"/>
        </w:rPr>
        <w:t>Comparative sequence stratigraphy and organic geochemistry of gas shales: Commonality or coincidence? Journal of Natural Gas Science and Engineering, 8,</w:t>
      </w:r>
      <w:r w:rsidR="00847B0A">
        <w:rPr>
          <w:rFonts w:eastAsia="Times New Roman"/>
          <w:color w:val="000000"/>
        </w:rPr>
        <w:t xml:space="preserve"> </w:t>
      </w:r>
      <w:r w:rsidRPr="00183F0C">
        <w:rPr>
          <w:rFonts w:eastAsia="Times New Roman"/>
          <w:color w:val="000000"/>
        </w:rPr>
        <w:t>68-84.</w:t>
      </w:r>
    </w:p>
    <w:p w14:paraId="6BCDABE6" w14:textId="60993794" w:rsidR="00FA577C" w:rsidRPr="00183F0C" w:rsidRDefault="00FA577C" w:rsidP="00415E04">
      <w:pPr>
        <w:pStyle w:val="ListParagraph"/>
        <w:numPr>
          <w:ilvl w:val="0"/>
          <w:numId w:val="3"/>
        </w:numPr>
        <w:ind w:left="360"/>
        <w:rPr>
          <w:rFonts w:eastAsia="Times New Roman"/>
          <w:color w:val="000000"/>
        </w:rPr>
      </w:pPr>
      <w:r w:rsidRPr="00183F0C">
        <w:rPr>
          <w:rFonts w:eastAsia="Times New Roman"/>
          <w:color w:val="000000"/>
        </w:rPr>
        <w:t xml:space="preserve">Slatt, R.M., 2016. </w:t>
      </w:r>
      <w:r w:rsidR="00753BC8" w:rsidRPr="00183F0C">
        <w:rPr>
          <w:rFonts w:eastAsia="Times New Roman"/>
          <w:color w:val="000000"/>
        </w:rPr>
        <w:t>Institute of Reservoir Characterization (IRC</w:t>
      </w:r>
      <w:r w:rsidR="00847B0A">
        <w:rPr>
          <w:rFonts w:eastAsia="Times New Roman"/>
          <w:color w:val="000000"/>
        </w:rPr>
        <w:t xml:space="preserve">), </w:t>
      </w:r>
      <w:r w:rsidR="00753BC8" w:rsidRPr="00183F0C">
        <w:rPr>
          <w:rFonts w:eastAsia="Times New Roman"/>
          <w:color w:val="000000"/>
        </w:rPr>
        <w:t xml:space="preserve">Woodford-Mississippian </w:t>
      </w:r>
      <w:r w:rsidR="00847B0A">
        <w:rPr>
          <w:rFonts w:eastAsia="Times New Roman"/>
          <w:color w:val="000000"/>
        </w:rPr>
        <w:t>c</w:t>
      </w:r>
      <w:r w:rsidR="00753BC8" w:rsidRPr="00183F0C">
        <w:rPr>
          <w:rFonts w:eastAsia="Times New Roman"/>
          <w:color w:val="000000"/>
        </w:rPr>
        <w:t>onsortium</w:t>
      </w:r>
      <w:r w:rsidR="007743B6" w:rsidRPr="00183F0C">
        <w:rPr>
          <w:rFonts w:eastAsia="Times New Roman"/>
          <w:color w:val="000000"/>
        </w:rPr>
        <w:t>,</w:t>
      </w:r>
      <w:r w:rsidR="00753BC8" w:rsidRPr="00183F0C">
        <w:rPr>
          <w:rFonts w:eastAsia="Times New Roman"/>
          <w:color w:val="000000"/>
        </w:rPr>
        <w:t xml:space="preserve"> </w:t>
      </w:r>
      <w:r w:rsidR="00847B0A">
        <w:rPr>
          <w:rFonts w:eastAsia="Times New Roman"/>
          <w:color w:val="000000"/>
        </w:rPr>
        <w:t>p</w:t>
      </w:r>
      <w:r w:rsidR="00753BC8" w:rsidRPr="00183F0C">
        <w:rPr>
          <w:rFonts w:eastAsia="Times New Roman"/>
          <w:color w:val="000000"/>
        </w:rPr>
        <w:t xml:space="preserve">hase III </w:t>
      </w:r>
      <w:r w:rsidR="00847B0A">
        <w:rPr>
          <w:rFonts w:eastAsia="Times New Roman"/>
          <w:color w:val="000000"/>
        </w:rPr>
        <w:t>technical r</w:t>
      </w:r>
      <w:r w:rsidR="00753BC8" w:rsidRPr="00183F0C">
        <w:rPr>
          <w:rFonts w:eastAsia="Times New Roman"/>
          <w:color w:val="000000"/>
        </w:rPr>
        <w:t>epor</w:t>
      </w:r>
      <w:r w:rsidR="00847B0A">
        <w:rPr>
          <w:rFonts w:eastAsia="Times New Roman"/>
          <w:color w:val="000000"/>
        </w:rPr>
        <w:t xml:space="preserve">t. </w:t>
      </w:r>
      <w:r w:rsidR="00847B0A" w:rsidRPr="00183F0C">
        <w:rPr>
          <w:rFonts w:eastAsia="Times New Roman"/>
          <w:color w:val="000000"/>
        </w:rPr>
        <w:t>The University of Oklahoma</w:t>
      </w:r>
      <w:r w:rsidR="00847B0A">
        <w:rPr>
          <w:rFonts w:eastAsia="Times New Roman"/>
          <w:color w:val="000000"/>
        </w:rPr>
        <w:t>, p.</w:t>
      </w:r>
      <w:r w:rsidR="00753BC8" w:rsidRPr="00183F0C">
        <w:rPr>
          <w:rFonts w:eastAsia="Times New Roman"/>
          <w:color w:val="000000"/>
        </w:rPr>
        <w:t xml:space="preserve"> 202. </w:t>
      </w:r>
    </w:p>
    <w:p w14:paraId="77F121D8" w14:textId="2C093F3C" w:rsidR="0046227F" w:rsidRDefault="0046227F" w:rsidP="00415E04">
      <w:pPr>
        <w:pStyle w:val="ListParagraph"/>
        <w:numPr>
          <w:ilvl w:val="0"/>
          <w:numId w:val="3"/>
        </w:numPr>
        <w:ind w:left="360"/>
        <w:rPr>
          <w:rFonts w:eastAsia="Times New Roman"/>
          <w:color w:val="000000"/>
        </w:rPr>
      </w:pPr>
      <w:r w:rsidRPr="00905A4B">
        <w:rPr>
          <w:rFonts w:eastAsia="Times New Roman"/>
          <w:color w:val="000000"/>
          <w:lang w:val="es-CO"/>
        </w:rPr>
        <w:t>Slatt, R.M., Zhang,</w:t>
      </w:r>
      <w:r w:rsidR="009B468B" w:rsidRPr="00905A4B">
        <w:rPr>
          <w:rFonts w:eastAsia="Times New Roman"/>
          <w:color w:val="000000"/>
          <w:lang w:val="es-CO"/>
        </w:rPr>
        <w:t xml:space="preserve"> J., </w:t>
      </w:r>
      <w:r w:rsidRPr="00905A4B">
        <w:rPr>
          <w:rFonts w:eastAsia="Times New Roman"/>
          <w:color w:val="000000"/>
          <w:lang w:val="es-CO"/>
        </w:rPr>
        <w:t>Molinares,</w:t>
      </w:r>
      <w:r w:rsidR="009B468B" w:rsidRPr="00905A4B">
        <w:rPr>
          <w:rFonts w:eastAsia="Times New Roman"/>
          <w:color w:val="000000"/>
          <w:lang w:val="es-CO"/>
        </w:rPr>
        <w:t xml:space="preserve"> C.E., T</w:t>
      </w:r>
      <w:r w:rsidRPr="00905A4B">
        <w:rPr>
          <w:rFonts w:eastAsia="Times New Roman"/>
          <w:color w:val="000000"/>
          <w:lang w:val="es-CO"/>
        </w:rPr>
        <w:t>orres</w:t>
      </w:r>
      <w:r w:rsidR="00161F4E" w:rsidRPr="00905A4B">
        <w:rPr>
          <w:rFonts w:eastAsia="Times New Roman"/>
          <w:color w:val="000000"/>
          <w:lang w:val="es-CO"/>
        </w:rPr>
        <w:t>-Parada</w:t>
      </w:r>
      <w:r w:rsidRPr="00905A4B">
        <w:rPr>
          <w:rFonts w:eastAsia="Times New Roman"/>
          <w:color w:val="000000"/>
          <w:lang w:val="es-CO"/>
        </w:rPr>
        <w:t>,</w:t>
      </w:r>
      <w:r w:rsidR="009B468B" w:rsidRPr="00905A4B">
        <w:rPr>
          <w:rFonts w:eastAsia="Times New Roman"/>
          <w:color w:val="000000"/>
          <w:lang w:val="es-CO"/>
        </w:rPr>
        <w:t xml:space="preserve"> E.J., </w:t>
      </w:r>
      <w:r w:rsidRPr="00905A4B">
        <w:rPr>
          <w:rFonts w:eastAsia="Times New Roman"/>
          <w:color w:val="000000"/>
          <w:lang w:val="es-CO"/>
        </w:rPr>
        <w:t>Duarte,</w:t>
      </w:r>
      <w:r w:rsidR="009B468B" w:rsidRPr="00905A4B">
        <w:rPr>
          <w:rFonts w:eastAsia="Times New Roman"/>
          <w:color w:val="000000"/>
          <w:lang w:val="es-CO"/>
        </w:rPr>
        <w:t xml:space="preserve"> D.,</w:t>
      </w:r>
      <w:r w:rsidRPr="00905A4B">
        <w:rPr>
          <w:rFonts w:eastAsia="Times New Roman"/>
          <w:color w:val="000000"/>
          <w:lang w:val="es-CO"/>
        </w:rPr>
        <w:t xml:space="preserve"> Milad,</w:t>
      </w:r>
      <w:r w:rsidR="009B468B" w:rsidRPr="00905A4B">
        <w:rPr>
          <w:rFonts w:eastAsia="Times New Roman"/>
          <w:color w:val="000000"/>
          <w:lang w:val="es-CO"/>
        </w:rPr>
        <w:t xml:space="preserve"> B., </w:t>
      </w:r>
      <w:r w:rsidRPr="00905A4B">
        <w:rPr>
          <w:rFonts w:eastAsia="Times New Roman"/>
          <w:color w:val="000000"/>
          <w:lang w:val="es-CO"/>
        </w:rPr>
        <w:t>Galvis-Portill</w:t>
      </w:r>
      <w:r w:rsidR="009B468B" w:rsidRPr="00905A4B">
        <w:rPr>
          <w:rFonts w:eastAsia="Times New Roman"/>
          <w:color w:val="000000"/>
          <w:lang w:val="es-CO"/>
        </w:rPr>
        <w:t>a, H.</w:t>
      </w:r>
      <w:r w:rsidRPr="00905A4B">
        <w:rPr>
          <w:rFonts w:eastAsia="Times New Roman"/>
          <w:color w:val="000000"/>
          <w:lang w:val="es-CO"/>
        </w:rPr>
        <w:t>, Becerra-Rondon,</w:t>
      </w:r>
      <w:r w:rsidR="009B468B" w:rsidRPr="00905A4B">
        <w:rPr>
          <w:rFonts w:eastAsia="Times New Roman"/>
          <w:color w:val="000000"/>
          <w:lang w:val="es-CO"/>
        </w:rPr>
        <w:t xml:space="preserve"> D.,</w:t>
      </w:r>
      <w:r w:rsidRPr="00905A4B">
        <w:rPr>
          <w:rFonts w:eastAsia="Times New Roman"/>
          <w:color w:val="000000"/>
          <w:lang w:val="es-CO"/>
        </w:rPr>
        <w:t xml:space="preserve"> Ekwunife,</w:t>
      </w:r>
      <w:r w:rsidR="009B468B" w:rsidRPr="00905A4B">
        <w:rPr>
          <w:rFonts w:eastAsia="Times New Roman"/>
          <w:color w:val="000000"/>
          <w:lang w:val="es-CO"/>
        </w:rPr>
        <w:t xml:space="preserve"> I.C.,</w:t>
      </w:r>
      <w:r w:rsidR="00905A4B">
        <w:rPr>
          <w:rFonts w:eastAsia="Times New Roman"/>
          <w:color w:val="000000"/>
          <w:lang w:val="es-CO"/>
        </w:rPr>
        <w:t xml:space="preserve"> </w:t>
      </w:r>
      <w:r w:rsidRPr="00905A4B">
        <w:rPr>
          <w:rFonts w:eastAsia="Times New Roman"/>
          <w:color w:val="000000"/>
          <w:lang w:val="es-CO"/>
        </w:rPr>
        <w:t>Brito,</w:t>
      </w:r>
      <w:r w:rsidR="009B468B" w:rsidRPr="00905A4B">
        <w:rPr>
          <w:rFonts w:eastAsia="Times New Roman"/>
          <w:color w:val="000000"/>
          <w:lang w:val="es-CO"/>
        </w:rPr>
        <w:t xml:space="preserve"> R.,</w:t>
      </w:r>
      <w:r w:rsidRPr="00905A4B">
        <w:rPr>
          <w:rFonts w:eastAsia="Times New Roman"/>
          <w:color w:val="000000"/>
          <w:lang w:val="es-CO"/>
        </w:rPr>
        <w:t xml:space="preserve"> 2018. </w:t>
      </w:r>
      <w:r w:rsidRPr="00183F0C">
        <w:rPr>
          <w:rFonts w:eastAsia="Times New Roman"/>
          <w:color w:val="000000"/>
        </w:rPr>
        <w:t>Outcrop and subsurface geology applied to drilling, sweet spot</w:t>
      </w:r>
      <w:r w:rsidR="0070069E" w:rsidRPr="00183F0C">
        <w:rPr>
          <w:rFonts w:eastAsia="Times New Roman"/>
          <w:color w:val="000000"/>
        </w:rPr>
        <w:t>,</w:t>
      </w:r>
      <w:r w:rsidRPr="00183F0C">
        <w:rPr>
          <w:rFonts w:eastAsia="Times New Roman"/>
          <w:color w:val="000000"/>
        </w:rPr>
        <w:t xml:space="preserve"> and target zone detection of resource shales: the Woodford example. Unconventional Resources Technology </w:t>
      </w:r>
      <w:r w:rsidR="007E4921">
        <w:rPr>
          <w:rFonts w:eastAsia="Times New Roman"/>
          <w:color w:val="000000"/>
        </w:rPr>
        <w:t>C</w:t>
      </w:r>
      <w:r w:rsidRPr="00183F0C">
        <w:rPr>
          <w:rFonts w:eastAsia="Times New Roman"/>
          <w:color w:val="000000"/>
        </w:rPr>
        <w:t xml:space="preserve">onference, Houston, Texas, 2018. </w:t>
      </w:r>
      <w:r w:rsidR="00847B0A">
        <w:rPr>
          <w:rFonts w:eastAsia="Times New Roman"/>
          <w:color w:val="000000"/>
        </w:rPr>
        <w:t xml:space="preserve">2018 </w:t>
      </w:r>
      <w:r w:rsidRPr="00183F0C">
        <w:rPr>
          <w:rFonts w:eastAsia="Times New Roman"/>
          <w:color w:val="000000"/>
        </w:rPr>
        <w:t xml:space="preserve">SEG Global </w:t>
      </w:r>
      <w:r w:rsidR="00847B0A">
        <w:rPr>
          <w:rFonts w:eastAsia="Times New Roman"/>
          <w:color w:val="000000"/>
        </w:rPr>
        <w:t>m</w:t>
      </w:r>
      <w:r w:rsidRPr="00183F0C">
        <w:rPr>
          <w:rFonts w:eastAsia="Times New Roman"/>
          <w:color w:val="000000"/>
        </w:rPr>
        <w:t xml:space="preserve">eeting </w:t>
      </w:r>
      <w:r w:rsidR="00847B0A">
        <w:rPr>
          <w:rFonts w:eastAsia="Times New Roman"/>
          <w:color w:val="000000"/>
        </w:rPr>
        <w:t>a</w:t>
      </w:r>
      <w:r w:rsidRPr="00183F0C">
        <w:rPr>
          <w:rFonts w:eastAsia="Times New Roman"/>
          <w:color w:val="000000"/>
        </w:rPr>
        <w:t>bstracts</w:t>
      </w:r>
      <w:r w:rsidR="009B468B">
        <w:rPr>
          <w:rFonts w:eastAsia="Times New Roman"/>
          <w:color w:val="000000"/>
        </w:rPr>
        <w:t xml:space="preserve">, </w:t>
      </w:r>
      <w:r w:rsidRPr="00183F0C">
        <w:rPr>
          <w:rFonts w:eastAsia="Times New Roman"/>
          <w:color w:val="000000"/>
        </w:rPr>
        <w:t xml:space="preserve">319-335. </w:t>
      </w:r>
    </w:p>
    <w:p w14:paraId="50ADB925" w14:textId="41DB8986" w:rsidR="003E4375" w:rsidRDefault="003E4375" w:rsidP="00415E04">
      <w:pPr>
        <w:pStyle w:val="ListParagraph"/>
        <w:numPr>
          <w:ilvl w:val="0"/>
          <w:numId w:val="3"/>
        </w:numPr>
        <w:ind w:left="360"/>
        <w:rPr>
          <w:rFonts w:eastAsia="Times New Roman"/>
          <w:color w:val="000000"/>
        </w:rPr>
      </w:pPr>
      <w:r w:rsidRPr="0012411B">
        <w:rPr>
          <w:rFonts w:eastAsia="Times New Roman"/>
          <w:color w:val="000000"/>
        </w:rPr>
        <w:t>Tissot</w:t>
      </w:r>
      <w:r w:rsidR="009B468B" w:rsidRPr="0012411B">
        <w:rPr>
          <w:rFonts w:eastAsia="Times New Roman"/>
          <w:color w:val="000000"/>
        </w:rPr>
        <w:t>,</w:t>
      </w:r>
      <w:r w:rsidRPr="0012411B">
        <w:rPr>
          <w:rFonts w:eastAsia="Times New Roman"/>
          <w:color w:val="000000"/>
        </w:rPr>
        <w:t xml:space="preserve"> B., Durand</w:t>
      </w:r>
      <w:r w:rsidR="009B468B" w:rsidRPr="0012411B">
        <w:rPr>
          <w:rFonts w:eastAsia="Times New Roman"/>
          <w:color w:val="000000"/>
        </w:rPr>
        <w:t>,</w:t>
      </w:r>
      <w:r w:rsidRPr="0012411B">
        <w:rPr>
          <w:rFonts w:eastAsia="Times New Roman"/>
          <w:color w:val="000000"/>
        </w:rPr>
        <w:t xml:space="preserve"> B., </w:t>
      </w:r>
      <w:r w:rsidR="00460281" w:rsidRPr="0012411B">
        <w:rPr>
          <w:rFonts w:eastAsia="Times New Roman"/>
          <w:color w:val="000000"/>
        </w:rPr>
        <w:t>Espitalié</w:t>
      </w:r>
      <w:r w:rsidR="009B468B" w:rsidRPr="0012411B">
        <w:rPr>
          <w:rFonts w:eastAsia="Times New Roman"/>
          <w:color w:val="000000"/>
        </w:rPr>
        <w:t>,</w:t>
      </w:r>
      <w:r w:rsidRPr="0012411B">
        <w:rPr>
          <w:rFonts w:eastAsia="Times New Roman"/>
          <w:color w:val="000000"/>
        </w:rPr>
        <w:t xml:space="preserve"> J.</w:t>
      </w:r>
      <w:r w:rsidR="009B468B" w:rsidRPr="0012411B">
        <w:rPr>
          <w:rFonts w:eastAsia="Times New Roman"/>
          <w:color w:val="000000"/>
        </w:rPr>
        <w:t>,</w:t>
      </w:r>
      <w:r w:rsidRPr="0012411B">
        <w:rPr>
          <w:rFonts w:eastAsia="Times New Roman"/>
          <w:color w:val="000000"/>
        </w:rPr>
        <w:t xml:space="preserve"> Combaz</w:t>
      </w:r>
      <w:r w:rsidR="009B468B" w:rsidRPr="0012411B">
        <w:rPr>
          <w:rFonts w:eastAsia="Times New Roman"/>
          <w:color w:val="000000"/>
        </w:rPr>
        <w:t>,</w:t>
      </w:r>
      <w:r w:rsidRPr="0012411B">
        <w:rPr>
          <w:rFonts w:eastAsia="Times New Roman"/>
          <w:color w:val="000000"/>
        </w:rPr>
        <w:t xml:space="preserve"> A.</w:t>
      </w:r>
      <w:r w:rsidR="009B468B" w:rsidRPr="0012411B">
        <w:rPr>
          <w:rFonts w:eastAsia="Times New Roman"/>
          <w:color w:val="000000"/>
        </w:rPr>
        <w:t xml:space="preserve">, </w:t>
      </w:r>
      <w:r w:rsidRPr="0012411B">
        <w:rPr>
          <w:rFonts w:eastAsia="Times New Roman"/>
          <w:color w:val="000000"/>
        </w:rPr>
        <w:t>1974</w:t>
      </w:r>
      <w:r w:rsidR="009B468B" w:rsidRPr="0012411B">
        <w:rPr>
          <w:rFonts w:eastAsia="Times New Roman"/>
          <w:color w:val="000000"/>
        </w:rPr>
        <w:t>.</w:t>
      </w:r>
      <w:r w:rsidRPr="0012411B">
        <w:rPr>
          <w:rFonts w:eastAsia="Times New Roman"/>
          <w:color w:val="000000"/>
        </w:rPr>
        <w:t xml:space="preserve"> </w:t>
      </w:r>
      <w:r w:rsidRPr="00183F0C">
        <w:rPr>
          <w:rFonts w:eastAsia="Times New Roman"/>
          <w:color w:val="000000"/>
        </w:rPr>
        <w:t>Influence of nature and diagenesis of organic matter in the formation of petroleum. American Association of Petroleum Geologists Bulletin 58</w:t>
      </w:r>
      <w:r w:rsidR="009B468B">
        <w:rPr>
          <w:rFonts w:eastAsia="Times New Roman"/>
          <w:color w:val="000000"/>
        </w:rPr>
        <w:t xml:space="preserve">, </w:t>
      </w:r>
      <w:r w:rsidRPr="00183F0C">
        <w:rPr>
          <w:rFonts w:eastAsia="Times New Roman"/>
          <w:color w:val="000000"/>
        </w:rPr>
        <w:t>3, 499-506.</w:t>
      </w:r>
    </w:p>
    <w:p w14:paraId="594178FE" w14:textId="2FAD8B8F" w:rsidR="009B468B" w:rsidRPr="00183F0C" w:rsidRDefault="009B468B" w:rsidP="00415E04">
      <w:pPr>
        <w:pStyle w:val="ListParagraph"/>
        <w:numPr>
          <w:ilvl w:val="0"/>
          <w:numId w:val="3"/>
        </w:numPr>
        <w:ind w:left="360"/>
        <w:rPr>
          <w:rFonts w:eastAsia="Times New Roman"/>
          <w:color w:val="000000"/>
        </w:rPr>
      </w:pPr>
      <w:r w:rsidRPr="00183F0C">
        <w:rPr>
          <w:rFonts w:eastAsia="Times New Roman"/>
          <w:color w:val="000000"/>
        </w:rPr>
        <w:t>Tissot, B.P., Pelet, R., Ungerer, P</w:t>
      </w:r>
      <w:r>
        <w:rPr>
          <w:rFonts w:eastAsia="Times New Roman"/>
          <w:color w:val="000000"/>
        </w:rPr>
        <w:t>.H.</w:t>
      </w:r>
      <w:r w:rsidRPr="00183F0C">
        <w:rPr>
          <w:rFonts w:eastAsia="Times New Roman"/>
          <w:color w:val="000000"/>
        </w:rPr>
        <w:t>, 1987. Thermal history of sedimentary basins, maturation indices, and kinetics of oil and gas generation. AAPG Bull</w:t>
      </w:r>
      <w:r w:rsidR="007E4921">
        <w:rPr>
          <w:rFonts w:eastAsia="Times New Roman"/>
          <w:color w:val="000000"/>
        </w:rPr>
        <w:t>etin</w:t>
      </w:r>
      <w:r w:rsidRPr="00183F0C">
        <w:rPr>
          <w:rFonts w:eastAsia="Times New Roman"/>
          <w:color w:val="000000"/>
        </w:rPr>
        <w:t xml:space="preserve"> 71, 1445-1466. </w:t>
      </w:r>
    </w:p>
    <w:p w14:paraId="27F934D5" w14:textId="53FC4F28" w:rsidR="001D6DDC" w:rsidRPr="001D6DDC" w:rsidRDefault="001D6DDC" w:rsidP="00415E04">
      <w:pPr>
        <w:pStyle w:val="ListParagraph"/>
        <w:numPr>
          <w:ilvl w:val="0"/>
          <w:numId w:val="3"/>
        </w:numPr>
        <w:ind w:left="360"/>
        <w:rPr>
          <w:rFonts w:eastAsia="Times New Roman"/>
          <w:color w:val="000000"/>
        </w:rPr>
      </w:pPr>
      <w:r w:rsidRPr="001D6DDC">
        <w:rPr>
          <w:rFonts w:eastAsia="Times New Roman"/>
          <w:color w:val="000000"/>
        </w:rPr>
        <w:t xml:space="preserve">Totten, M. W., 2011. Electron </w:t>
      </w:r>
      <w:r w:rsidR="007E4921">
        <w:rPr>
          <w:rFonts w:eastAsia="Times New Roman"/>
          <w:color w:val="000000"/>
        </w:rPr>
        <w:t>p</w:t>
      </w:r>
      <w:r w:rsidRPr="001D6DDC">
        <w:rPr>
          <w:rFonts w:eastAsia="Times New Roman"/>
          <w:color w:val="000000"/>
        </w:rPr>
        <w:t xml:space="preserve">robe </w:t>
      </w:r>
      <w:r w:rsidR="007E4921">
        <w:rPr>
          <w:rFonts w:eastAsia="Times New Roman"/>
          <w:color w:val="000000"/>
        </w:rPr>
        <w:t>m</w:t>
      </w:r>
      <w:r w:rsidRPr="001D6DDC">
        <w:rPr>
          <w:rFonts w:eastAsia="Times New Roman"/>
          <w:color w:val="000000"/>
        </w:rPr>
        <w:t>icro-</w:t>
      </w:r>
      <w:r w:rsidR="007E4921">
        <w:rPr>
          <w:rFonts w:eastAsia="Times New Roman"/>
          <w:color w:val="000000"/>
        </w:rPr>
        <w:t>a</w:t>
      </w:r>
      <w:r w:rsidRPr="001D6DDC">
        <w:rPr>
          <w:rFonts w:eastAsia="Times New Roman"/>
          <w:color w:val="000000"/>
        </w:rPr>
        <w:t xml:space="preserve">nalysis of the Woodford Shale, </w:t>
      </w:r>
      <w:r w:rsidR="0040621C">
        <w:rPr>
          <w:rFonts w:eastAsia="Times New Roman"/>
          <w:color w:val="000000"/>
        </w:rPr>
        <w:t>s</w:t>
      </w:r>
      <w:r w:rsidRPr="001D6DDC">
        <w:rPr>
          <w:rFonts w:eastAsia="Times New Roman"/>
          <w:color w:val="000000"/>
        </w:rPr>
        <w:t>outh</w:t>
      </w:r>
      <w:r w:rsidR="0040621C">
        <w:rPr>
          <w:rFonts w:eastAsia="Times New Roman"/>
          <w:color w:val="000000"/>
        </w:rPr>
        <w:t>-</w:t>
      </w:r>
      <w:r w:rsidRPr="001D6DDC">
        <w:rPr>
          <w:rFonts w:eastAsia="Times New Roman"/>
          <w:color w:val="000000"/>
        </w:rPr>
        <w:t xml:space="preserve">central Oklahoma, M.S. </w:t>
      </w:r>
      <w:r w:rsidR="007E4921">
        <w:rPr>
          <w:rFonts w:eastAsia="Times New Roman"/>
          <w:color w:val="000000"/>
        </w:rPr>
        <w:t>t</w:t>
      </w:r>
      <w:r w:rsidRPr="001D6DDC">
        <w:rPr>
          <w:rFonts w:eastAsia="Times New Roman"/>
          <w:color w:val="000000"/>
        </w:rPr>
        <w:t>hesis manuscript, The University of Oklahoma</w:t>
      </w:r>
      <w:r w:rsidR="007E4921">
        <w:rPr>
          <w:rFonts w:eastAsia="Times New Roman"/>
          <w:color w:val="000000"/>
        </w:rPr>
        <w:t>, p.</w:t>
      </w:r>
      <w:r w:rsidRPr="001D6DDC">
        <w:rPr>
          <w:rFonts w:eastAsia="Times New Roman"/>
          <w:color w:val="000000"/>
        </w:rPr>
        <w:t xml:space="preserve"> 137</w:t>
      </w:r>
      <w:r w:rsidR="007E4921">
        <w:rPr>
          <w:rFonts w:eastAsia="Times New Roman"/>
          <w:color w:val="000000"/>
        </w:rPr>
        <w:t>.</w:t>
      </w:r>
    </w:p>
    <w:p w14:paraId="012F2CD7" w14:textId="1EA88400" w:rsidR="003B5454" w:rsidRPr="00183F0C" w:rsidRDefault="003B5454" w:rsidP="00415E04">
      <w:pPr>
        <w:pStyle w:val="ListParagraph"/>
        <w:numPr>
          <w:ilvl w:val="0"/>
          <w:numId w:val="3"/>
        </w:numPr>
        <w:ind w:left="360"/>
        <w:rPr>
          <w:rFonts w:eastAsia="Times New Roman"/>
          <w:color w:val="000000"/>
        </w:rPr>
      </w:pPr>
      <w:r w:rsidRPr="00183F0C">
        <w:rPr>
          <w:rFonts w:eastAsia="Times New Roman"/>
          <w:color w:val="000000"/>
        </w:rPr>
        <w:t xml:space="preserve">Trenton, J., 2014. Outcrop-derived </w:t>
      </w:r>
      <w:r w:rsidR="00460281" w:rsidRPr="00183F0C">
        <w:rPr>
          <w:rFonts w:eastAsia="Times New Roman"/>
          <w:color w:val="000000"/>
        </w:rPr>
        <w:t>Chemostratigraphy</w:t>
      </w:r>
      <w:r w:rsidRPr="00183F0C">
        <w:rPr>
          <w:rFonts w:eastAsia="Times New Roman"/>
          <w:color w:val="000000"/>
        </w:rPr>
        <w:t xml:space="preserve"> of the Woodford Shale, Murray </w:t>
      </w:r>
      <w:r w:rsidR="007E4921">
        <w:rPr>
          <w:rFonts w:eastAsia="Times New Roman"/>
          <w:color w:val="000000"/>
        </w:rPr>
        <w:t>C</w:t>
      </w:r>
      <w:r w:rsidRPr="00183F0C">
        <w:rPr>
          <w:rFonts w:eastAsia="Times New Roman"/>
          <w:color w:val="000000"/>
        </w:rPr>
        <w:t>ounty, Oklahoma</w:t>
      </w:r>
      <w:r w:rsidR="007E4921">
        <w:rPr>
          <w:rFonts w:eastAsia="Times New Roman"/>
          <w:color w:val="000000"/>
        </w:rPr>
        <w:t xml:space="preserve">. </w:t>
      </w:r>
      <w:r w:rsidR="007E4921" w:rsidRPr="00183F0C">
        <w:rPr>
          <w:rFonts w:eastAsia="Times New Roman"/>
          <w:color w:val="000000"/>
        </w:rPr>
        <w:t>The University of Oklahoma</w:t>
      </w:r>
      <w:r w:rsidR="007E4921">
        <w:rPr>
          <w:rFonts w:eastAsia="Times New Roman"/>
          <w:color w:val="000000"/>
        </w:rPr>
        <w:t>,</w:t>
      </w:r>
      <w:r w:rsidR="00856C7D" w:rsidRPr="00183F0C">
        <w:rPr>
          <w:rFonts w:eastAsia="Times New Roman"/>
          <w:color w:val="000000"/>
        </w:rPr>
        <w:t xml:space="preserve"> M.Sc. </w:t>
      </w:r>
      <w:r w:rsidR="007E4921">
        <w:rPr>
          <w:rFonts w:eastAsia="Times New Roman"/>
          <w:color w:val="000000"/>
        </w:rPr>
        <w:t>t</w:t>
      </w:r>
      <w:r w:rsidR="00856C7D" w:rsidRPr="00183F0C">
        <w:rPr>
          <w:rFonts w:eastAsia="Times New Roman"/>
          <w:color w:val="000000"/>
        </w:rPr>
        <w:t xml:space="preserve">hesis manuscript, </w:t>
      </w:r>
      <w:r w:rsidR="007E4921">
        <w:rPr>
          <w:rFonts w:eastAsia="Times New Roman"/>
          <w:color w:val="000000"/>
        </w:rPr>
        <w:t>p. 138.</w:t>
      </w:r>
    </w:p>
    <w:p w14:paraId="33A4AE4A" w14:textId="57D21ADD"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Turner</w:t>
      </w:r>
      <w:r w:rsidR="00124113" w:rsidRPr="00183F0C">
        <w:rPr>
          <w:rFonts w:eastAsia="Times New Roman"/>
          <w:color w:val="000000"/>
        </w:rPr>
        <w:t>,</w:t>
      </w:r>
      <w:r w:rsidRPr="00183F0C">
        <w:rPr>
          <w:rFonts w:eastAsia="Times New Roman"/>
          <w:color w:val="000000"/>
        </w:rPr>
        <w:t xml:space="preserve"> B., 2015. The </w:t>
      </w:r>
      <w:r w:rsidR="007E4921">
        <w:rPr>
          <w:rFonts w:eastAsia="Times New Roman"/>
          <w:color w:val="000000"/>
        </w:rPr>
        <w:t>u</w:t>
      </w:r>
      <w:r w:rsidRPr="00183F0C">
        <w:rPr>
          <w:rFonts w:eastAsia="Times New Roman"/>
          <w:color w:val="000000"/>
        </w:rPr>
        <w:t xml:space="preserve">se of </w:t>
      </w:r>
      <w:r w:rsidR="00460281">
        <w:rPr>
          <w:rFonts w:eastAsia="Times New Roman"/>
          <w:color w:val="000000"/>
        </w:rPr>
        <w:t>C</w:t>
      </w:r>
      <w:r w:rsidR="00460281" w:rsidRPr="00183F0C">
        <w:rPr>
          <w:rFonts w:eastAsia="Times New Roman"/>
          <w:color w:val="000000"/>
        </w:rPr>
        <w:t>hemostratigraphy</w:t>
      </w:r>
      <w:r w:rsidRPr="00183F0C">
        <w:rPr>
          <w:rFonts w:eastAsia="Times New Roman"/>
          <w:color w:val="000000"/>
        </w:rPr>
        <w:t xml:space="preserve"> to </w:t>
      </w:r>
      <w:r w:rsidR="007E4921">
        <w:rPr>
          <w:rFonts w:eastAsia="Times New Roman"/>
          <w:color w:val="000000"/>
        </w:rPr>
        <w:t>r</w:t>
      </w:r>
      <w:r w:rsidRPr="00183F0C">
        <w:rPr>
          <w:rFonts w:eastAsia="Times New Roman"/>
          <w:color w:val="000000"/>
        </w:rPr>
        <w:t xml:space="preserve">efine </w:t>
      </w:r>
      <w:r w:rsidR="007E4921">
        <w:rPr>
          <w:rFonts w:eastAsia="Times New Roman"/>
          <w:color w:val="000000"/>
        </w:rPr>
        <w:t>a</w:t>
      </w:r>
      <w:r w:rsidRPr="00183F0C">
        <w:rPr>
          <w:rFonts w:eastAsia="Times New Roman"/>
          <w:color w:val="000000"/>
        </w:rPr>
        <w:t xml:space="preserve">mbiguous </w:t>
      </w:r>
      <w:r w:rsidR="007E4921">
        <w:rPr>
          <w:rFonts w:eastAsia="Times New Roman"/>
          <w:color w:val="000000"/>
        </w:rPr>
        <w:t>s</w:t>
      </w:r>
      <w:r w:rsidRPr="00183F0C">
        <w:rPr>
          <w:rFonts w:eastAsia="Times New Roman"/>
          <w:color w:val="000000"/>
        </w:rPr>
        <w:t xml:space="preserve">equence </w:t>
      </w:r>
      <w:r w:rsidR="007E4921">
        <w:rPr>
          <w:rFonts w:eastAsia="Times New Roman"/>
          <w:color w:val="000000"/>
        </w:rPr>
        <w:t>s</w:t>
      </w:r>
      <w:r w:rsidRPr="00183F0C">
        <w:rPr>
          <w:rFonts w:eastAsia="Times New Roman"/>
          <w:color w:val="000000"/>
        </w:rPr>
        <w:t xml:space="preserve">tratigraphic </w:t>
      </w:r>
      <w:r w:rsidR="007E4921">
        <w:rPr>
          <w:rFonts w:eastAsia="Times New Roman"/>
          <w:color w:val="000000"/>
        </w:rPr>
        <w:t>c</w:t>
      </w:r>
      <w:r w:rsidRPr="00183F0C">
        <w:rPr>
          <w:rFonts w:eastAsia="Times New Roman"/>
          <w:color w:val="000000"/>
        </w:rPr>
        <w:t xml:space="preserve">orrelations in </w:t>
      </w:r>
      <w:r w:rsidR="007E4921">
        <w:rPr>
          <w:rFonts w:eastAsia="Times New Roman"/>
          <w:color w:val="000000"/>
        </w:rPr>
        <w:t>m</w:t>
      </w:r>
      <w:r w:rsidRPr="00183F0C">
        <w:rPr>
          <w:rFonts w:eastAsia="Times New Roman"/>
          <w:color w:val="000000"/>
        </w:rPr>
        <w:t xml:space="preserve">arine </w:t>
      </w:r>
      <w:r w:rsidR="007E4921">
        <w:rPr>
          <w:rFonts w:eastAsia="Times New Roman"/>
          <w:color w:val="000000"/>
        </w:rPr>
        <w:t>s</w:t>
      </w:r>
      <w:r w:rsidRPr="00183F0C">
        <w:rPr>
          <w:rFonts w:eastAsia="Times New Roman"/>
          <w:color w:val="000000"/>
        </w:rPr>
        <w:t xml:space="preserve">hales: An </w:t>
      </w:r>
      <w:r w:rsidR="007E4921">
        <w:rPr>
          <w:rFonts w:eastAsia="Times New Roman"/>
          <w:color w:val="000000"/>
        </w:rPr>
        <w:t>e</w:t>
      </w:r>
      <w:r w:rsidRPr="00183F0C">
        <w:rPr>
          <w:rFonts w:eastAsia="Times New Roman"/>
          <w:color w:val="000000"/>
        </w:rPr>
        <w:t xml:space="preserve">xample of the Woodford Shale, Oklahoma. AAPG </w:t>
      </w:r>
      <w:r w:rsidR="007E4921">
        <w:rPr>
          <w:rFonts w:eastAsia="Times New Roman"/>
          <w:color w:val="000000"/>
        </w:rPr>
        <w:t>e</w:t>
      </w:r>
      <w:r w:rsidRPr="00183F0C">
        <w:rPr>
          <w:rFonts w:eastAsia="Times New Roman"/>
          <w:color w:val="000000"/>
        </w:rPr>
        <w:t xml:space="preserve">ducation </w:t>
      </w:r>
      <w:r w:rsidR="007E4921">
        <w:rPr>
          <w:rFonts w:eastAsia="Times New Roman"/>
          <w:color w:val="000000"/>
        </w:rPr>
        <w:t>d</w:t>
      </w:r>
      <w:r w:rsidRPr="00183F0C">
        <w:rPr>
          <w:rFonts w:eastAsia="Times New Roman"/>
          <w:color w:val="000000"/>
        </w:rPr>
        <w:t xml:space="preserve">irectorate, Woodford Shale </w:t>
      </w:r>
      <w:r w:rsidR="007E4921">
        <w:rPr>
          <w:rFonts w:eastAsia="Times New Roman"/>
          <w:color w:val="000000"/>
        </w:rPr>
        <w:t>f</w:t>
      </w:r>
      <w:r w:rsidRPr="00183F0C">
        <w:rPr>
          <w:rFonts w:eastAsia="Times New Roman"/>
          <w:color w:val="000000"/>
        </w:rPr>
        <w:t xml:space="preserve">orum: Focus on </w:t>
      </w:r>
      <w:r w:rsidR="007E4921">
        <w:rPr>
          <w:rFonts w:eastAsia="Times New Roman"/>
          <w:color w:val="000000"/>
        </w:rPr>
        <w:t>o</w:t>
      </w:r>
      <w:r w:rsidRPr="00183F0C">
        <w:rPr>
          <w:rFonts w:eastAsia="Times New Roman"/>
          <w:color w:val="000000"/>
        </w:rPr>
        <w:t>ptimization</w:t>
      </w:r>
      <w:r w:rsidR="007E4921">
        <w:rPr>
          <w:rFonts w:eastAsia="Times New Roman"/>
          <w:color w:val="000000"/>
        </w:rPr>
        <w:t>.</w:t>
      </w:r>
      <w:r w:rsidRPr="00183F0C">
        <w:rPr>
          <w:rFonts w:eastAsia="Times New Roman"/>
          <w:color w:val="000000"/>
        </w:rPr>
        <w:t xml:space="preserve"> Oklahoma City, Oklahoma, 2015. AAPG Datapages</w:t>
      </w:r>
      <w:r w:rsidR="007E4921">
        <w:rPr>
          <w:rFonts w:eastAsia="Times New Roman"/>
          <w:color w:val="000000"/>
        </w:rPr>
        <w:t xml:space="preserve"> </w:t>
      </w:r>
      <w:r w:rsidRPr="00183F0C">
        <w:rPr>
          <w:rFonts w:eastAsia="Times New Roman"/>
          <w:color w:val="000000"/>
        </w:rPr>
        <w:t xml:space="preserve">Search and Discovery </w:t>
      </w:r>
      <w:r w:rsidR="007E4921">
        <w:rPr>
          <w:rFonts w:eastAsia="Times New Roman"/>
          <w:color w:val="000000"/>
        </w:rPr>
        <w:t>a</w:t>
      </w:r>
      <w:r w:rsidRPr="00183F0C">
        <w:rPr>
          <w:rFonts w:eastAsia="Times New Roman"/>
          <w:color w:val="000000"/>
        </w:rPr>
        <w:t>rticle 90241</w:t>
      </w:r>
      <w:r w:rsidR="007E4921">
        <w:rPr>
          <w:rFonts w:eastAsia="Times New Roman"/>
          <w:color w:val="000000"/>
        </w:rPr>
        <w:t>.</w:t>
      </w:r>
    </w:p>
    <w:p w14:paraId="7479AA66" w14:textId="78946747" w:rsidR="000D56BF" w:rsidRPr="00183F0C" w:rsidRDefault="000D56BF" w:rsidP="00415E04">
      <w:pPr>
        <w:pStyle w:val="ListParagraph"/>
        <w:numPr>
          <w:ilvl w:val="0"/>
          <w:numId w:val="3"/>
        </w:numPr>
        <w:ind w:left="360"/>
        <w:rPr>
          <w:rFonts w:eastAsia="Times New Roman"/>
          <w:color w:val="000000"/>
        </w:rPr>
      </w:pPr>
      <w:r w:rsidRPr="00183F0C">
        <w:rPr>
          <w:rFonts w:eastAsia="Times New Roman"/>
          <w:color w:val="000000"/>
        </w:rPr>
        <w:lastRenderedPageBreak/>
        <w:t>Turner, B., Molinares,</w:t>
      </w:r>
      <w:r w:rsidR="007E4921">
        <w:rPr>
          <w:rFonts w:eastAsia="Times New Roman"/>
          <w:color w:val="000000"/>
        </w:rPr>
        <w:t xml:space="preserve"> </w:t>
      </w:r>
      <w:r w:rsidR="007E4921" w:rsidRPr="00183F0C">
        <w:rPr>
          <w:rFonts w:eastAsia="Times New Roman"/>
          <w:color w:val="000000"/>
        </w:rPr>
        <w:t>C.</w:t>
      </w:r>
      <w:r w:rsidR="007E4921">
        <w:rPr>
          <w:rFonts w:eastAsia="Times New Roman"/>
          <w:color w:val="000000"/>
        </w:rPr>
        <w:t>,</w:t>
      </w:r>
      <w:r w:rsidRPr="00183F0C">
        <w:rPr>
          <w:rFonts w:eastAsia="Times New Roman"/>
          <w:color w:val="000000"/>
        </w:rPr>
        <w:t xml:space="preserve"> Slatt,</w:t>
      </w:r>
      <w:r w:rsidR="007E4921">
        <w:rPr>
          <w:rFonts w:eastAsia="Times New Roman"/>
          <w:color w:val="000000"/>
        </w:rPr>
        <w:t xml:space="preserve"> R.M.,</w:t>
      </w:r>
      <w:r w:rsidRPr="00183F0C">
        <w:rPr>
          <w:rFonts w:eastAsia="Times New Roman"/>
          <w:color w:val="000000"/>
        </w:rPr>
        <w:t xml:space="preserve"> 2015</w:t>
      </w:r>
      <w:r w:rsidR="007E4921">
        <w:rPr>
          <w:rFonts w:eastAsia="Times New Roman"/>
          <w:color w:val="000000"/>
        </w:rPr>
        <w:t>.</w:t>
      </w:r>
      <w:r w:rsidRPr="00183F0C">
        <w:rPr>
          <w:rFonts w:eastAsia="Times New Roman"/>
          <w:color w:val="000000"/>
        </w:rPr>
        <w:t xml:space="preserve"> </w:t>
      </w:r>
      <w:r w:rsidR="00460281" w:rsidRPr="00183F0C">
        <w:rPr>
          <w:rFonts w:eastAsia="Times New Roman"/>
          <w:color w:val="000000"/>
        </w:rPr>
        <w:t>Chemo stratigraphic</w:t>
      </w:r>
      <w:r w:rsidRPr="00183F0C">
        <w:rPr>
          <w:rFonts w:eastAsia="Times New Roman"/>
          <w:color w:val="000000"/>
        </w:rPr>
        <w:t xml:space="preserve">, palynostratigraphic, and sequence stratigraphic analysis of the Woodford Shale, Wyche Farm </w:t>
      </w:r>
      <w:r w:rsidR="00B35F28">
        <w:rPr>
          <w:rFonts w:eastAsia="Times New Roman"/>
          <w:color w:val="000000"/>
        </w:rPr>
        <w:t>q</w:t>
      </w:r>
      <w:r w:rsidRPr="00183F0C">
        <w:rPr>
          <w:rFonts w:eastAsia="Times New Roman"/>
          <w:color w:val="000000"/>
        </w:rPr>
        <w:t xml:space="preserve">uarry, Pontotoc </w:t>
      </w:r>
      <w:r w:rsidR="007E4921">
        <w:rPr>
          <w:rFonts w:eastAsia="Times New Roman"/>
          <w:color w:val="000000"/>
        </w:rPr>
        <w:t>C</w:t>
      </w:r>
      <w:r w:rsidRPr="00183F0C">
        <w:rPr>
          <w:rFonts w:eastAsia="Times New Roman"/>
          <w:color w:val="000000"/>
        </w:rPr>
        <w:t>ounty, Oklahoma</w:t>
      </w:r>
      <w:r w:rsidR="007E4921">
        <w:rPr>
          <w:rFonts w:eastAsia="Times New Roman"/>
          <w:color w:val="000000"/>
        </w:rPr>
        <w:t>.</w:t>
      </w:r>
      <w:r w:rsidRPr="00183F0C">
        <w:rPr>
          <w:rFonts w:eastAsia="Times New Roman"/>
          <w:color w:val="000000"/>
        </w:rPr>
        <w:t xml:space="preserve"> Interpretation 3</w:t>
      </w:r>
      <w:r w:rsidR="007E4921">
        <w:rPr>
          <w:rFonts w:eastAsia="Times New Roman"/>
          <w:color w:val="000000"/>
        </w:rPr>
        <w:t xml:space="preserve">, </w:t>
      </w:r>
      <w:r w:rsidRPr="00183F0C">
        <w:rPr>
          <w:rFonts w:eastAsia="Times New Roman"/>
          <w:color w:val="000000"/>
        </w:rPr>
        <w:t>1, SH1-SH9.</w:t>
      </w:r>
    </w:p>
    <w:p w14:paraId="4FBF0B4C" w14:textId="4CFDED5A" w:rsidR="003E4375" w:rsidRPr="00183F0C" w:rsidRDefault="003E4375" w:rsidP="00415E04">
      <w:pPr>
        <w:pStyle w:val="ListParagraph"/>
        <w:numPr>
          <w:ilvl w:val="0"/>
          <w:numId w:val="3"/>
        </w:numPr>
        <w:ind w:left="360"/>
        <w:rPr>
          <w:rFonts w:eastAsia="Times New Roman"/>
          <w:color w:val="000000"/>
        </w:rPr>
      </w:pPr>
      <w:r w:rsidRPr="00183F0C">
        <w:rPr>
          <w:rFonts w:eastAsia="Times New Roman"/>
          <w:color w:val="000000"/>
        </w:rPr>
        <w:t xml:space="preserve">Widayat, A.H., 2011. </w:t>
      </w:r>
      <w:r w:rsidR="00460281" w:rsidRPr="00183F0C">
        <w:rPr>
          <w:rFonts w:eastAsia="Times New Roman"/>
          <w:color w:val="000000"/>
        </w:rPr>
        <w:t>Paleoenvironmental</w:t>
      </w:r>
      <w:r w:rsidRPr="00183F0C">
        <w:rPr>
          <w:rFonts w:eastAsia="Times New Roman"/>
          <w:color w:val="000000"/>
        </w:rPr>
        <w:t xml:space="preserve"> and </w:t>
      </w:r>
      <w:r w:rsidR="00E4372D">
        <w:rPr>
          <w:rFonts w:eastAsia="Times New Roman"/>
          <w:color w:val="000000"/>
        </w:rPr>
        <w:t>p</w:t>
      </w:r>
      <w:r w:rsidRPr="00183F0C">
        <w:rPr>
          <w:rFonts w:eastAsia="Times New Roman"/>
          <w:color w:val="000000"/>
        </w:rPr>
        <w:t xml:space="preserve">aleoecological </w:t>
      </w:r>
      <w:r w:rsidR="00E4372D">
        <w:rPr>
          <w:rFonts w:eastAsia="Times New Roman"/>
          <w:color w:val="000000"/>
        </w:rPr>
        <w:t>c</w:t>
      </w:r>
      <w:r w:rsidRPr="00183F0C">
        <w:rPr>
          <w:rFonts w:eastAsia="Times New Roman"/>
          <w:color w:val="000000"/>
        </w:rPr>
        <w:t xml:space="preserve">hanges during </w:t>
      </w:r>
      <w:r w:rsidR="00BC64F6">
        <w:rPr>
          <w:rFonts w:eastAsia="Times New Roman"/>
          <w:color w:val="000000"/>
        </w:rPr>
        <w:t xml:space="preserve">the </w:t>
      </w:r>
      <w:r w:rsidR="00E4372D">
        <w:rPr>
          <w:rFonts w:eastAsia="Times New Roman"/>
          <w:color w:val="000000"/>
        </w:rPr>
        <w:t>d</w:t>
      </w:r>
      <w:r w:rsidRPr="00183F0C">
        <w:rPr>
          <w:rFonts w:eastAsia="Times New Roman"/>
          <w:color w:val="000000"/>
        </w:rPr>
        <w:t xml:space="preserve">eposition of the Late Eocene Kiliran </w:t>
      </w:r>
      <w:r w:rsidR="00E4372D">
        <w:rPr>
          <w:rFonts w:eastAsia="Times New Roman"/>
          <w:color w:val="000000"/>
        </w:rPr>
        <w:t>o</w:t>
      </w:r>
      <w:r w:rsidRPr="00183F0C">
        <w:rPr>
          <w:rFonts w:eastAsia="Times New Roman"/>
          <w:color w:val="000000"/>
        </w:rPr>
        <w:t xml:space="preserve">il </w:t>
      </w:r>
      <w:r w:rsidR="00E4372D">
        <w:rPr>
          <w:rFonts w:eastAsia="Times New Roman"/>
          <w:color w:val="000000"/>
        </w:rPr>
        <w:t>s</w:t>
      </w:r>
      <w:r w:rsidRPr="00183F0C">
        <w:rPr>
          <w:rFonts w:eastAsia="Times New Roman"/>
          <w:color w:val="000000"/>
        </w:rPr>
        <w:t xml:space="preserve">hale, Central Sumatra </w:t>
      </w:r>
      <w:r w:rsidR="00E4372D">
        <w:rPr>
          <w:rFonts w:eastAsia="Times New Roman"/>
          <w:color w:val="000000"/>
        </w:rPr>
        <w:t>b</w:t>
      </w:r>
      <w:r w:rsidRPr="00183F0C">
        <w:rPr>
          <w:rFonts w:eastAsia="Times New Roman"/>
          <w:color w:val="000000"/>
        </w:rPr>
        <w:t>asin, Indonesia</w:t>
      </w:r>
      <w:r w:rsidR="00E4372D">
        <w:rPr>
          <w:rFonts w:eastAsia="Times New Roman"/>
          <w:color w:val="000000"/>
        </w:rPr>
        <w:t xml:space="preserve">. </w:t>
      </w:r>
      <w:r w:rsidRPr="00183F0C">
        <w:rPr>
          <w:rFonts w:eastAsia="Times New Roman"/>
          <w:color w:val="000000"/>
        </w:rPr>
        <w:t xml:space="preserve">Johann Wolfgang Goethe University in Frankfurt am Main, </w:t>
      </w:r>
      <w:r w:rsidR="00E4372D" w:rsidRPr="00183F0C">
        <w:rPr>
          <w:rFonts w:eastAsia="Times New Roman"/>
          <w:color w:val="000000"/>
        </w:rPr>
        <w:t>Germany</w:t>
      </w:r>
      <w:r w:rsidR="00E4372D">
        <w:rPr>
          <w:rFonts w:eastAsia="Times New Roman"/>
          <w:color w:val="000000"/>
        </w:rPr>
        <w:t>. Doctorate d</w:t>
      </w:r>
      <w:r w:rsidR="00E4372D" w:rsidRPr="00E4372D">
        <w:rPr>
          <w:rFonts w:eastAsia="Times New Roman"/>
          <w:color w:val="000000"/>
        </w:rPr>
        <w:t>issertation</w:t>
      </w:r>
      <w:r w:rsidR="00E4372D">
        <w:rPr>
          <w:rFonts w:eastAsia="Times New Roman"/>
          <w:color w:val="000000"/>
        </w:rPr>
        <w:t xml:space="preserve"> manuscript,</w:t>
      </w:r>
      <w:r w:rsidRPr="00183F0C">
        <w:rPr>
          <w:rFonts w:eastAsia="Times New Roman"/>
          <w:color w:val="000000"/>
        </w:rPr>
        <w:t xml:space="preserve"> 144 p.</w:t>
      </w:r>
    </w:p>
    <w:p w14:paraId="553BFAB8" w14:textId="622C9AA3" w:rsidR="002F2D23" w:rsidRDefault="00CD436C" w:rsidP="00415E04">
      <w:pPr>
        <w:pStyle w:val="ListParagraph"/>
        <w:numPr>
          <w:ilvl w:val="0"/>
          <w:numId w:val="3"/>
        </w:numPr>
        <w:ind w:left="360"/>
        <w:rPr>
          <w:rFonts w:eastAsia="Times New Roman"/>
          <w:color w:val="000000"/>
        </w:rPr>
      </w:pPr>
      <w:r w:rsidRPr="00183F0C">
        <w:rPr>
          <w:rFonts w:eastAsia="Times New Roman"/>
          <w:color w:val="000000"/>
        </w:rPr>
        <w:t>Zhao, W., Wang</w:t>
      </w:r>
      <w:r w:rsidR="00E4372D">
        <w:rPr>
          <w:rFonts w:eastAsia="Times New Roman"/>
          <w:color w:val="000000"/>
        </w:rPr>
        <w:t>,</w:t>
      </w:r>
      <w:r w:rsidR="00E4372D" w:rsidRPr="00E4372D">
        <w:t xml:space="preserve"> </w:t>
      </w:r>
      <w:r w:rsidR="00E4372D" w:rsidRPr="00E4372D">
        <w:rPr>
          <w:rFonts w:eastAsia="Times New Roman"/>
          <w:color w:val="000000"/>
        </w:rPr>
        <w:t>H.</w:t>
      </w:r>
      <w:r w:rsidRPr="00183F0C">
        <w:rPr>
          <w:rFonts w:eastAsia="Times New Roman"/>
          <w:color w:val="000000"/>
        </w:rPr>
        <w:t>, Yuan,</w:t>
      </w:r>
      <w:r w:rsidR="00E4372D">
        <w:rPr>
          <w:rFonts w:eastAsia="Times New Roman"/>
          <w:color w:val="000000"/>
        </w:rPr>
        <w:t xml:space="preserve"> </w:t>
      </w:r>
      <w:r w:rsidR="00E4372D" w:rsidRPr="00183F0C">
        <w:rPr>
          <w:rFonts w:eastAsia="Times New Roman"/>
          <w:color w:val="000000"/>
        </w:rPr>
        <w:t>X.</w:t>
      </w:r>
      <w:r w:rsidR="00E4372D">
        <w:rPr>
          <w:rFonts w:eastAsia="Times New Roman"/>
          <w:color w:val="000000"/>
        </w:rPr>
        <w:t>,</w:t>
      </w:r>
      <w:r w:rsidRPr="00183F0C">
        <w:rPr>
          <w:rFonts w:eastAsia="Times New Roman"/>
          <w:color w:val="000000"/>
        </w:rPr>
        <w:t xml:space="preserve"> Zecheng,</w:t>
      </w:r>
      <w:r w:rsidR="00E4372D">
        <w:rPr>
          <w:rFonts w:eastAsia="Times New Roman"/>
          <w:color w:val="000000"/>
        </w:rPr>
        <w:t xml:space="preserve"> W., </w:t>
      </w:r>
      <w:r w:rsidRPr="00183F0C">
        <w:rPr>
          <w:rFonts w:eastAsia="Times New Roman"/>
          <w:color w:val="000000"/>
        </w:rPr>
        <w:t xml:space="preserve">Zhu, </w:t>
      </w:r>
      <w:r w:rsidR="00E4372D">
        <w:rPr>
          <w:rFonts w:eastAsia="Times New Roman"/>
          <w:color w:val="000000"/>
        </w:rPr>
        <w:t xml:space="preserve">G., </w:t>
      </w:r>
      <w:r w:rsidRPr="00183F0C">
        <w:rPr>
          <w:rFonts w:eastAsia="Times New Roman"/>
          <w:color w:val="000000"/>
        </w:rPr>
        <w:t xml:space="preserve">2009. Petroleum systems of Chinese nonmarine basins. Basin </w:t>
      </w:r>
      <w:r w:rsidR="00E4372D">
        <w:rPr>
          <w:rFonts w:eastAsia="Times New Roman"/>
          <w:color w:val="000000"/>
        </w:rPr>
        <w:t>R</w:t>
      </w:r>
      <w:r w:rsidRPr="00183F0C">
        <w:rPr>
          <w:rFonts w:eastAsia="Times New Roman"/>
          <w:color w:val="000000"/>
        </w:rPr>
        <w:t>esearch 22</w:t>
      </w:r>
      <w:r w:rsidR="00E4372D">
        <w:rPr>
          <w:rFonts w:eastAsia="Times New Roman"/>
          <w:color w:val="000000"/>
        </w:rPr>
        <w:t>,</w:t>
      </w:r>
      <w:r w:rsidRPr="00183F0C">
        <w:rPr>
          <w:rFonts w:eastAsia="Times New Roman"/>
          <w:color w:val="000000"/>
        </w:rPr>
        <w:t xml:space="preserve"> 4 - 16. </w:t>
      </w:r>
    </w:p>
    <w:p w14:paraId="68A8EF2C" w14:textId="43B98407" w:rsidR="002F2D23" w:rsidRPr="002F2D23" w:rsidRDefault="002F2D23" w:rsidP="00415E04">
      <w:pPr>
        <w:pStyle w:val="ListParagraph"/>
        <w:numPr>
          <w:ilvl w:val="0"/>
          <w:numId w:val="3"/>
        </w:numPr>
        <w:ind w:left="360"/>
        <w:rPr>
          <w:rFonts w:eastAsia="Times New Roman"/>
          <w:color w:val="000000"/>
        </w:rPr>
      </w:pPr>
      <w:r w:rsidRPr="002F2D23">
        <w:rPr>
          <w:rFonts w:eastAsia="Times New Roman"/>
          <w:color w:val="000000"/>
        </w:rPr>
        <w:t xml:space="preserve">Zhang, J., Slatt R. M., 2019. The significance of karst unconformities on overlying resource shales: Lessons learned from the Devonian Woodford </w:t>
      </w:r>
      <w:r w:rsidR="005A4739">
        <w:rPr>
          <w:rFonts w:eastAsia="Times New Roman"/>
          <w:color w:val="000000"/>
        </w:rPr>
        <w:t>f</w:t>
      </w:r>
      <w:r w:rsidRPr="002F2D23">
        <w:rPr>
          <w:rFonts w:eastAsia="Times New Roman"/>
          <w:color w:val="000000"/>
        </w:rPr>
        <w:t>ormation applied to the Permian Wolfcamp Shale</w:t>
      </w:r>
      <w:r>
        <w:rPr>
          <w:rFonts w:eastAsia="Times New Roman"/>
          <w:color w:val="000000"/>
        </w:rPr>
        <w:t>. AAPG-SEG Interpretation, 7, 4</w:t>
      </w:r>
      <w:r w:rsidR="005A4739">
        <w:rPr>
          <w:rFonts w:eastAsia="Times New Roman"/>
          <w:color w:val="000000"/>
        </w:rPr>
        <w:t>,</w:t>
      </w:r>
      <w:r>
        <w:rPr>
          <w:rFonts w:eastAsia="Times New Roman"/>
          <w:color w:val="000000"/>
        </w:rPr>
        <w:t xml:space="preserve"> SK33-SK43. </w:t>
      </w:r>
    </w:p>
    <w:bookmarkEnd w:id="53"/>
    <w:p w14:paraId="56CF1DDE" w14:textId="2D690E6B" w:rsidR="00D9351B" w:rsidRPr="00F546EC" w:rsidRDefault="007B111C" w:rsidP="005D180A">
      <w:pPr>
        <w:pStyle w:val="Heading1"/>
      </w:pPr>
      <w:r w:rsidRPr="00814ED2">
        <w:rPr>
          <w:rFonts w:eastAsia="Times New Roman"/>
          <w:color w:val="000000"/>
        </w:rPr>
        <w:br w:type="page"/>
      </w:r>
      <w:bookmarkStart w:id="55" w:name="_Toc25833534"/>
      <w:bookmarkStart w:id="56" w:name="_Toc35861089"/>
      <w:r w:rsidR="00E90771" w:rsidRPr="00F546EC">
        <w:lastRenderedPageBreak/>
        <w:t>C</w:t>
      </w:r>
      <w:r w:rsidR="00027044">
        <w:t>hapter</w:t>
      </w:r>
      <w:r w:rsidR="00D9351B" w:rsidRPr="00F546EC">
        <w:t xml:space="preserve"> </w:t>
      </w:r>
      <w:r w:rsidR="00FF0562">
        <w:t>II</w:t>
      </w:r>
      <w:r w:rsidR="00D9351B" w:rsidRPr="00F546EC">
        <w:t xml:space="preserve">: </w:t>
      </w:r>
      <w:r w:rsidR="001C2A47" w:rsidRPr="00F546EC">
        <w:t xml:space="preserve">3D seismic identification of </w:t>
      </w:r>
      <w:r w:rsidR="0061764A">
        <w:t xml:space="preserve">enclosed mini-basin </w:t>
      </w:r>
      <w:r w:rsidR="00A22E4E">
        <w:t>fill</w:t>
      </w:r>
      <w:r w:rsidR="001C2A47" w:rsidRPr="00F546EC">
        <w:t>, and their role as organic matter catchment a</w:t>
      </w:r>
      <w:r w:rsidR="009162A3" w:rsidRPr="00F546EC">
        <w:t xml:space="preserve">reas for the Woodford </w:t>
      </w:r>
      <w:r w:rsidR="00005B5F">
        <w:t>S</w:t>
      </w:r>
      <w:r w:rsidR="009162A3" w:rsidRPr="00F546EC">
        <w:t>hale, Oklahoma</w:t>
      </w:r>
      <w:r w:rsidR="008E4F91" w:rsidRPr="00F546EC">
        <w:t>,</w:t>
      </w:r>
      <w:r w:rsidR="009162A3" w:rsidRPr="00F546EC">
        <w:t xml:space="preserve"> USA.</w:t>
      </w:r>
      <w:bookmarkEnd w:id="55"/>
      <w:bookmarkEnd w:id="56"/>
      <w:r w:rsidR="009162A3" w:rsidRPr="00F546EC">
        <w:t xml:space="preserve"> </w:t>
      </w:r>
    </w:p>
    <w:p w14:paraId="5A62F2B4" w14:textId="77777777" w:rsidR="00E35E2A" w:rsidRDefault="00E35E2A" w:rsidP="009349D2">
      <w:pPr>
        <w:rPr>
          <w:b/>
          <w:bCs/>
        </w:rPr>
      </w:pPr>
    </w:p>
    <w:p w14:paraId="2105BCC8" w14:textId="479DA81D" w:rsidR="00E35E2A" w:rsidRPr="00F546EC" w:rsidRDefault="006574E3" w:rsidP="00E35E2A">
      <w:r w:rsidRPr="00F546EC">
        <w:rPr>
          <w:b/>
          <w:bCs/>
        </w:rPr>
        <w:t xml:space="preserve">Publication </w:t>
      </w:r>
      <w:r w:rsidR="00F75664" w:rsidRPr="00F546EC">
        <w:rPr>
          <w:b/>
          <w:bCs/>
        </w:rPr>
        <w:t>T</w:t>
      </w:r>
      <w:r w:rsidRPr="00F546EC">
        <w:rPr>
          <w:b/>
          <w:bCs/>
        </w:rPr>
        <w:t xml:space="preserve">itle: </w:t>
      </w:r>
      <w:r w:rsidR="00FE6817" w:rsidRPr="00F546EC">
        <w:t>Torres</w:t>
      </w:r>
      <w:r w:rsidR="00AD47AC">
        <w:t>-Parada</w:t>
      </w:r>
      <w:r w:rsidR="00FE6817" w:rsidRPr="00F546EC">
        <w:t xml:space="preserve">, E.J., Slatt, </w:t>
      </w:r>
      <w:r w:rsidR="00AB3686" w:rsidRPr="00F546EC">
        <w:t>R.M.</w:t>
      </w:r>
      <w:r w:rsidR="00AB3686">
        <w:t xml:space="preserve">, </w:t>
      </w:r>
      <w:r w:rsidR="00FE6817" w:rsidRPr="00F546EC">
        <w:t>Marfurt,</w:t>
      </w:r>
      <w:r w:rsidR="00AB3686">
        <w:t xml:space="preserve"> </w:t>
      </w:r>
      <w:r w:rsidR="00AB3686" w:rsidRPr="00F546EC">
        <w:t>K.J.</w:t>
      </w:r>
      <w:r w:rsidR="00AB3686">
        <w:t>,</w:t>
      </w:r>
      <w:r w:rsidR="00FE6817" w:rsidRPr="00F546EC">
        <w:t xml:space="preserve"> Infante-Paez</w:t>
      </w:r>
      <w:r w:rsidR="00C20892" w:rsidRPr="00F546EC">
        <w:t>,</w:t>
      </w:r>
      <w:r w:rsidR="00AB3686">
        <w:t xml:space="preserve"> L.E.,</w:t>
      </w:r>
      <w:r w:rsidR="00FE6817" w:rsidRPr="00F546EC">
        <w:t xml:space="preserve"> Castillo, </w:t>
      </w:r>
      <w:r w:rsidR="00AB3686" w:rsidRPr="00F546EC">
        <w:t>L.A.</w:t>
      </w:r>
      <w:r w:rsidR="00AB3686">
        <w:t xml:space="preserve">, </w:t>
      </w:r>
      <w:r w:rsidR="00FE6817" w:rsidRPr="00F546EC">
        <w:t xml:space="preserve">2018. Identification of potential </w:t>
      </w:r>
      <w:r w:rsidR="00D80750">
        <w:t>lacustrine-embayment</w:t>
      </w:r>
      <w:r w:rsidR="00FE6817" w:rsidRPr="00F546EC">
        <w:t xml:space="preserve"> stratigraphic interval</w:t>
      </w:r>
      <w:r w:rsidR="00D80750">
        <w:t>s</w:t>
      </w:r>
      <w:r w:rsidR="00FE6817" w:rsidRPr="00F546EC">
        <w:t xml:space="preserve"> in the Woodford Shale, Oklahoma, </w:t>
      </w:r>
      <w:r w:rsidR="00262371">
        <w:t>u</w:t>
      </w:r>
      <w:r w:rsidR="00FE6817" w:rsidRPr="00F546EC">
        <w:t xml:space="preserve">sing </w:t>
      </w:r>
      <w:r w:rsidR="00262371">
        <w:t>m</w:t>
      </w:r>
      <w:r w:rsidR="00FE6817" w:rsidRPr="00F546EC">
        <w:t>ulti-</w:t>
      </w:r>
      <w:r w:rsidR="00262371">
        <w:t>a</w:t>
      </w:r>
      <w:r w:rsidR="00FE6817" w:rsidRPr="00F546EC">
        <w:t xml:space="preserve">ttribute 3-D seismic </w:t>
      </w:r>
      <w:r w:rsidR="00262371">
        <w:t>d</w:t>
      </w:r>
      <w:r w:rsidR="00FE6817" w:rsidRPr="00F546EC">
        <w:t xml:space="preserve">isplays and a </w:t>
      </w:r>
      <w:r w:rsidR="00262371">
        <w:t>s</w:t>
      </w:r>
      <w:r w:rsidR="00FE6817" w:rsidRPr="00F546EC">
        <w:t xml:space="preserve">upervised </w:t>
      </w:r>
      <w:r w:rsidR="00262371">
        <w:t>p</w:t>
      </w:r>
      <w:r w:rsidR="00FE6817" w:rsidRPr="00F546EC">
        <w:t xml:space="preserve">robabilistic </w:t>
      </w:r>
      <w:r w:rsidR="00262371">
        <w:t>n</w:t>
      </w:r>
      <w:r w:rsidR="00FE6817" w:rsidRPr="00F546EC">
        <w:t xml:space="preserve">eural </w:t>
      </w:r>
      <w:r w:rsidR="00262371">
        <w:t>n</w:t>
      </w:r>
      <w:r w:rsidR="00FE6817" w:rsidRPr="00F546EC">
        <w:t xml:space="preserve">etwork. </w:t>
      </w:r>
      <w:r w:rsidR="00E35E2A" w:rsidRPr="00F546EC">
        <w:t xml:space="preserve">Houston </w:t>
      </w:r>
      <w:r w:rsidR="00D358FD">
        <w:t>G</w:t>
      </w:r>
      <w:r w:rsidR="00E35E2A" w:rsidRPr="00F546EC">
        <w:t xml:space="preserve">eophysical </w:t>
      </w:r>
      <w:r w:rsidR="00D358FD">
        <w:t>S</w:t>
      </w:r>
      <w:r w:rsidR="00E35E2A" w:rsidRPr="00F546EC">
        <w:t xml:space="preserve">ociety </w:t>
      </w:r>
      <w:r w:rsidR="00D358FD">
        <w:t>B</w:t>
      </w:r>
      <w:r w:rsidR="00E35E2A" w:rsidRPr="00F546EC">
        <w:t>ulletin. January 2018 8, 5</w:t>
      </w:r>
      <w:r w:rsidR="00E35E2A">
        <w:t>,</w:t>
      </w:r>
      <w:r w:rsidR="00E35E2A" w:rsidRPr="00F546EC">
        <w:t xml:space="preserve"> 13-25. </w:t>
      </w:r>
    </w:p>
    <w:p w14:paraId="37228192" w14:textId="416FE152" w:rsidR="00704609" w:rsidRPr="00F546EC" w:rsidRDefault="00205C3E" w:rsidP="00530D25">
      <w:pPr>
        <w:pStyle w:val="Heading2"/>
        <w:numPr>
          <w:ilvl w:val="0"/>
          <w:numId w:val="4"/>
        </w:numPr>
      </w:pPr>
      <w:bookmarkStart w:id="57" w:name="_Toc35861090"/>
      <w:r>
        <w:t>Abstract</w:t>
      </w:r>
      <w:bookmarkEnd w:id="57"/>
    </w:p>
    <w:p w14:paraId="007E8203" w14:textId="1D3C25EF" w:rsidR="00205C3E" w:rsidRDefault="00205C3E" w:rsidP="00205C3E">
      <w:pPr>
        <w:ind w:firstLine="720"/>
      </w:pPr>
      <w:r>
        <w:t>Several of the North American resource shales have been characterized as</w:t>
      </w:r>
      <w:r w:rsidR="00D47876">
        <w:t xml:space="preserve"> open</w:t>
      </w:r>
      <w:r>
        <w:t xml:space="preserve"> marine sequences with the common characteristic of being deposited unconformably above a carbonate formation. The fluctuations </w:t>
      </w:r>
      <w:r w:rsidR="00EF389C">
        <w:t>in</w:t>
      </w:r>
      <w:r>
        <w:t xml:space="preserve"> paleo sea-level </w:t>
      </w:r>
      <w:r w:rsidR="00D47876">
        <w:t xml:space="preserve">during the deposition of these resource shales </w:t>
      </w:r>
      <w:r>
        <w:t>allowed the development of erosional topography that may have</w:t>
      </w:r>
      <w:r w:rsidR="00EF389C">
        <w:t xml:space="preserve"> </w:t>
      </w:r>
      <w:r>
        <w:t xml:space="preserve">led to </w:t>
      </w:r>
      <w:r w:rsidR="00EF389C">
        <w:t xml:space="preserve">highly </w:t>
      </w:r>
      <w:r>
        <w:t xml:space="preserve">restricted </w:t>
      </w:r>
      <w:r w:rsidR="00EF389C">
        <w:t xml:space="preserve">depositional </w:t>
      </w:r>
      <w:r>
        <w:t xml:space="preserve">settings </w:t>
      </w:r>
      <w:r w:rsidR="00EF389C">
        <w:t xml:space="preserve">over </w:t>
      </w:r>
      <w:r>
        <w:t>the</w:t>
      </w:r>
      <w:r w:rsidR="00EF389C">
        <w:t xml:space="preserve"> eroded</w:t>
      </w:r>
      <w:r>
        <w:t xml:space="preserve"> pre-existing shallower carbonate platform</w:t>
      </w:r>
      <w:r w:rsidR="00D47876">
        <w:t>s</w:t>
      </w:r>
      <w:r>
        <w:t xml:space="preserve">. Identifying the presence of these deposits </w:t>
      </w:r>
      <w:r w:rsidR="00FC03F7">
        <w:t>is crucial</w:t>
      </w:r>
      <w:r>
        <w:t xml:space="preserve"> to understand the differences in </w:t>
      </w:r>
      <w:r w:rsidR="00EF389C">
        <w:t xml:space="preserve">the </w:t>
      </w:r>
      <w:r w:rsidR="00FC03F7">
        <w:t>amounts</w:t>
      </w:r>
      <w:r w:rsidR="00EF389C">
        <w:t xml:space="preserve"> of the</w:t>
      </w:r>
      <w:r>
        <w:t xml:space="preserve"> organic matter accumulated and preserved under these</w:t>
      </w:r>
      <w:r w:rsidR="00E92F03">
        <w:t xml:space="preserve"> highly</w:t>
      </w:r>
      <w:r w:rsidR="00D47876">
        <w:t xml:space="preserve"> restricted</w:t>
      </w:r>
      <w:r>
        <w:t xml:space="preserve"> geological conditions. </w:t>
      </w:r>
    </w:p>
    <w:p w14:paraId="61EAD721" w14:textId="006B251C" w:rsidR="00205C3E" w:rsidRDefault="002F7138" w:rsidP="00205C3E">
      <w:pPr>
        <w:ind w:firstLine="720"/>
      </w:pPr>
      <w:r>
        <w:t>For this study</w:t>
      </w:r>
      <w:r w:rsidR="00DF6234">
        <w:t>,</w:t>
      </w:r>
      <w:r>
        <w:t xml:space="preserve"> the </w:t>
      </w:r>
      <w:r w:rsidR="00FC03F7">
        <w:t>highly</w:t>
      </w:r>
      <w:r>
        <w:t xml:space="preserve"> restricted depositional conditions over the eroded pre-existing carbonate </w:t>
      </w:r>
      <w:r w:rsidR="00FC03F7">
        <w:t>platform</w:t>
      </w:r>
      <w:r>
        <w:t xml:space="preserve"> are identified as enclosed mini-basin fill settings. </w:t>
      </w:r>
      <w:r w:rsidR="00D46DE9">
        <w:t>The main</w:t>
      </w:r>
      <w:r>
        <w:t xml:space="preserve"> purpose is to calculate for the </w:t>
      </w:r>
      <w:r w:rsidR="00D46DE9">
        <w:t>Woodford Shale in the Cherokee platform, South-Central Oklahoma, U.S.A</w:t>
      </w:r>
      <w:r>
        <w:t xml:space="preserve">, the lateral and vertical variations of </w:t>
      </w:r>
      <w:r w:rsidR="004D0E8F">
        <w:t>t</w:t>
      </w:r>
      <w:r>
        <w:t xml:space="preserve">otal organic </w:t>
      </w:r>
      <w:r w:rsidR="004D0E8F">
        <w:t>carbon</w:t>
      </w:r>
      <w:r>
        <w:t xml:space="preserve"> (%TOC) under the enclose mini-basin fill settings</w:t>
      </w:r>
      <w:r w:rsidR="00D46DE9">
        <w:t xml:space="preserve">. </w:t>
      </w:r>
      <w:r>
        <w:t>The analyzed data set corresponds to a post-stack 3D seismic volume with s</w:t>
      </w:r>
      <w:r w:rsidR="004B0777">
        <w:t>ix</w:t>
      </w:r>
      <w:r>
        <w:t xml:space="preserve"> wells with vertical penetrations </w:t>
      </w:r>
      <w:r w:rsidR="004B0777">
        <w:t>and sonic log recorded for</w:t>
      </w:r>
      <w:r>
        <w:t xml:space="preserve"> the complete Woodford Shale stratigraphy. The </w:t>
      </w:r>
      <w:r w:rsidR="004D0E8F">
        <w:t xml:space="preserve">%TOC </w:t>
      </w:r>
      <w:r>
        <w:t>e</w:t>
      </w:r>
      <w:r w:rsidR="00D46DE9">
        <w:t xml:space="preserve">stimations </w:t>
      </w:r>
      <w:r>
        <w:t>were</w:t>
      </w:r>
      <w:r w:rsidR="000E2F7F">
        <w:t xml:space="preserve"> calculated and calibrated</w:t>
      </w:r>
      <w:r>
        <w:t xml:space="preserve"> </w:t>
      </w:r>
      <w:r w:rsidR="000E2F7F">
        <w:t>using rock cutting measurements</w:t>
      </w:r>
      <w:r w:rsidR="004D0E8F">
        <w:t xml:space="preserve"> of %TOC</w:t>
      </w:r>
      <w:r w:rsidR="000E2F7F">
        <w:t>, density, resistivity and sonic logs. For predicting the %TOC lateral and vertical variations</w:t>
      </w:r>
      <w:r w:rsidR="00DF6234">
        <w:t>,</w:t>
      </w:r>
      <w:r w:rsidR="000E2F7F">
        <w:t xml:space="preserve"> a </w:t>
      </w:r>
      <w:r w:rsidR="00205C3E">
        <w:lastRenderedPageBreak/>
        <w:t xml:space="preserve">model-based post-stack seismic acoustic impedance inversion and a supervised neural network analysis </w:t>
      </w:r>
      <w:r w:rsidR="00D6081C">
        <w:t>(p</w:t>
      </w:r>
      <w:r w:rsidR="00205C3E">
        <w:t xml:space="preserve">robabilistic </w:t>
      </w:r>
      <w:r w:rsidR="00D6081C">
        <w:t>n</w:t>
      </w:r>
      <w:r w:rsidR="00205C3E">
        <w:t xml:space="preserve">eural </w:t>
      </w:r>
      <w:r w:rsidR="00D6081C">
        <w:t>n</w:t>
      </w:r>
      <w:r w:rsidR="00205C3E">
        <w:t>etwork, PNN)</w:t>
      </w:r>
      <w:r w:rsidR="004D0E8F">
        <w:t xml:space="preserve"> of 3D seismic attributes were applied</w:t>
      </w:r>
      <w:r w:rsidR="00D46DE9">
        <w:t xml:space="preserve">. </w:t>
      </w:r>
      <w:r w:rsidR="00FC03F7">
        <w:t>These analyses</w:t>
      </w:r>
      <w:r w:rsidR="00205C3E">
        <w:t xml:space="preserve"> confirm</w:t>
      </w:r>
      <w:r w:rsidR="00F21787">
        <w:t>ed</w:t>
      </w:r>
      <w:r w:rsidR="00205C3E">
        <w:t xml:space="preserve"> the hypothesis that the</w:t>
      </w:r>
      <w:r w:rsidR="00D6081C">
        <w:t xml:space="preserve"> seismic</w:t>
      </w:r>
      <w:r w:rsidR="00205C3E">
        <w:t xml:space="preserve"> impedance anomalies seen in the Woodford Shale correspond to internal lateral and vertical </w:t>
      </w:r>
      <w:r w:rsidR="00D6081C">
        <w:t>%</w:t>
      </w:r>
      <w:r w:rsidR="00205C3E">
        <w:t xml:space="preserve">TOC-bearing facies variation. </w:t>
      </w:r>
      <w:r w:rsidR="00D6081C">
        <w:t>In the study area</w:t>
      </w:r>
      <w:r w:rsidR="00DF6234">
        <w:t>,</w:t>
      </w:r>
      <w:r w:rsidR="00D6081C">
        <w:t xml:space="preserve"> t</w:t>
      </w:r>
      <w:r w:rsidR="00205C3E">
        <w:t xml:space="preserve">he Woodford Shale is both thicker and more </w:t>
      </w:r>
      <w:r w:rsidR="00D6081C">
        <w:t>%</w:t>
      </w:r>
      <w:r w:rsidR="00205C3E">
        <w:t>TOC-rich, where the underlying Hunton group (</w:t>
      </w:r>
      <w:r w:rsidR="00D47876">
        <w:t xml:space="preserve">shallow </w:t>
      </w:r>
      <w:r w:rsidR="00205C3E">
        <w:t>carbonate</w:t>
      </w:r>
      <w:r w:rsidR="00D47876">
        <w:t xml:space="preserve"> platform</w:t>
      </w:r>
      <w:r w:rsidR="00205C3E">
        <w:t xml:space="preserve">) is completely eroded, and the topographic relief is high. Seismic analysis at and above the unconformity surface produced by the erosion of the Hunton group reveals pod-shaped intervals of high </w:t>
      </w:r>
      <w:r w:rsidR="00D6081C">
        <w:t>%</w:t>
      </w:r>
      <w:r w:rsidR="00205C3E">
        <w:t>TOC that may have been deposited as very restricted interval</w:t>
      </w:r>
      <w:r w:rsidR="00D6081C">
        <w:t>s in mini-basin fill</w:t>
      </w:r>
      <w:r w:rsidR="00DC2753">
        <w:t xml:space="preserve"> setting</w:t>
      </w:r>
      <w:r w:rsidR="00D6081C">
        <w:t xml:space="preserve">s. </w:t>
      </w:r>
      <w:r w:rsidR="00205C3E">
        <w:t>These results are tied to the Woodford Shale regional context for the identification of geological differences that potentially allowed the deposition of</w:t>
      </w:r>
      <w:r w:rsidR="00D6081C">
        <w:t xml:space="preserve"> rock intervals under this</w:t>
      </w:r>
      <w:r w:rsidR="00205C3E">
        <w:t xml:space="preserve"> </w:t>
      </w:r>
      <w:r w:rsidR="00D6081C">
        <w:t>enclosed mini-basin fill settings.</w:t>
      </w:r>
    </w:p>
    <w:p w14:paraId="6C226ABD" w14:textId="77A1A834" w:rsidR="00704609" w:rsidRPr="00F546EC" w:rsidRDefault="00704609" w:rsidP="00530D25">
      <w:pPr>
        <w:pStyle w:val="Heading2"/>
        <w:numPr>
          <w:ilvl w:val="1"/>
          <w:numId w:val="5"/>
        </w:numPr>
      </w:pPr>
      <w:bookmarkStart w:id="58" w:name="_Toc25833536"/>
      <w:bookmarkStart w:id="59" w:name="_Toc35861091"/>
      <w:r w:rsidRPr="00F546EC">
        <w:t>Introduction</w:t>
      </w:r>
      <w:bookmarkEnd w:id="58"/>
      <w:bookmarkEnd w:id="59"/>
    </w:p>
    <w:p w14:paraId="25BBFB2F" w14:textId="297B60D7" w:rsidR="00704609" w:rsidRPr="00F546EC" w:rsidRDefault="00757136" w:rsidP="00B9490C">
      <w:pPr>
        <w:ind w:firstLine="360"/>
      </w:pPr>
      <w:r w:rsidRPr="00F546EC">
        <w:t>Geoscientific r</w:t>
      </w:r>
      <w:r w:rsidR="00704609" w:rsidRPr="00F546EC">
        <w:t>esearch</w:t>
      </w:r>
      <w:r w:rsidR="00BC4DC0">
        <w:t xml:space="preserve"> in Oklahoma</w:t>
      </w:r>
      <w:r w:rsidR="00704609" w:rsidRPr="00F546EC">
        <w:t xml:space="preserve"> has</w:t>
      </w:r>
      <w:r w:rsidR="00BC4DC0">
        <w:t xml:space="preserve"> mainly</w:t>
      </w:r>
      <w:r w:rsidR="00704609" w:rsidRPr="00F546EC">
        <w:t xml:space="preserve"> focused </w:t>
      </w:r>
      <w:r w:rsidR="00BC4DC0" w:rsidRPr="00F546EC">
        <w:t xml:space="preserve">over the past few years </w:t>
      </w:r>
      <w:r w:rsidR="00704609" w:rsidRPr="00F546EC">
        <w:t xml:space="preserve">on the stratigraphy and sedimentology of the </w:t>
      </w:r>
      <w:r w:rsidR="00292735">
        <w:t>U</w:t>
      </w:r>
      <w:r w:rsidR="0063146D">
        <w:t xml:space="preserve">pper </w:t>
      </w:r>
      <w:r w:rsidR="00704609" w:rsidRPr="00F546EC">
        <w:t>Devonian-</w:t>
      </w:r>
      <w:r w:rsidR="00292735">
        <w:t>L</w:t>
      </w:r>
      <w:r w:rsidR="00704609" w:rsidRPr="00F546EC">
        <w:t>ower Mississippian Woodford Shale</w:t>
      </w:r>
      <w:r w:rsidR="000116E0">
        <w:t xml:space="preserve"> (</w:t>
      </w:r>
      <w:r w:rsidR="00D64BDE">
        <w:t xml:space="preserve">Comer 2005 and 2008; Cardott 2009 and 2014; </w:t>
      </w:r>
      <w:r w:rsidR="000116E0">
        <w:t>Slatt, 2016)</w:t>
      </w:r>
      <w:r w:rsidR="00704609" w:rsidRPr="00F546EC">
        <w:t>. The Woodford is not only a</w:t>
      </w:r>
      <w:r w:rsidR="001861B5">
        <w:t>n excellent</w:t>
      </w:r>
      <w:r w:rsidR="00704609" w:rsidRPr="00F546EC">
        <w:t xml:space="preserve"> </w:t>
      </w:r>
      <w:r w:rsidR="001E3001">
        <w:t>m</w:t>
      </w:r>
      <w:r w:rsidR="00704609" w:rsidRPr="00F546EC">
        <w:t>id-</w:t>
      </w:r>
      <w:r w:rsidR="001E3001">
        <w:t>c</w:t>
      </w:r>
      <w:r w:rsidR="00704609" w:rsidRPr="00F546EC">
        <w:t>ontinent (U.S.A.) oil and gas producer but also a good analog for other ‘siliceous’ unconventional resource shales, particularly if they are underlain by carbonates</w:t>
      </w:r>
      <w:r w:rsidR="009A5DE9">
        <w:t xml:space="preserve"> (Comer 2005</w:t>
      </w:r>
      <w:r w:rsidR="00BB4EC7">
        <w:t xml:space="preserve"> and 2008</w:t>
      </w:r>
      <w:r w:rsidR="009A5DE9">
        <w:t>; Slatt and Rodriguez, 2012)</w:t>
      </w:r>
      <w:r w:rsidR="00704609" w:rsidRPr="00F546EC">
        <w:t xml:space="preserve">. The studies </w:t>
      </w:r>
      <w:r w:rsidR="009A5DE9">
        <w:t xml:space="preserve">in the Cherokee platform, Oklahoma, </w:t>
      </w:r>
      <w:r w:rsidR="00704609" w:rsidRPr="00F546EC">
        <w:t xml:space="preserve">have emphasized </w:t>
      </w:r>
      <w:r w:rsidR="00663A68">
        <w:t xml:space="preserve">in the </w:t>
      </w:r>
      <w:r w:rsidR="00704609" w:rsidRPr="00F546EC">
        <w:t>detailed mapping and stratigraphic characterization of the Woodford</w:t>
      </w:r>
      <w:r w:rsidR="009A5DE9">
        <w:t xml:space="preserve"> Shale</w:t>
      </w:r>
      <w:r w:rsidR="00704609" w:rsidRPr="00F546EC">
        <w:t xml:space="preserve"> (</w:t>
      </w:r>
      <w:r w:rsidR="009A5DE9">
        <w:t xml:space="preserve">Castillo, 2013; McCullough, 2014; Ali; 2015; </w:t>
      </w:r>
      <w:r w:rsidR="00704609" w:rsidRPr="00F546EC">
        <w:t xml:space="preserve">Figure </w:t>
      </w:r>
      <w:r w:rsidR="000C6EED" w:rsidRPr="00F546EC">
        <w:t>2.</w:t>
      </w:r>
      <w:r w:rsidR="00704609" w:rsidRPr="00F546EC">
        <w:t>1</w:t>
      </w:r>
      <w:r w:rsidR="009A5DE9">
        <w:t xml:space="preserve">- </w:t>
      </w:r>
      <w:r w:rsidR="00704609" w:rsidRPr="00F546EC">
        <w:t>2</w:t>
      </w:r>
      <w:r w:rsidR="000C6EED" w:rsidRPr="00F546EC">
        <w:t>.3</w:t>
      </w:r>
      <w:r w:rsidR="00704609" w:rsidRPr="00F546EC">
        <w:t xml:space="preserve">), but have also provided a foundation for </w:t>
      </w:r>
      <w:r w:rsidR="00663A68">
        <w:t>relating</w:t>
      </w:r>
      <w:r w:rsidR="00704609" w:rsidRPr="00F546EC">
        <w:t xml:space="preserve"> </w:t>
      </w:r>
      <w:r w:rsidR="002B5810">
        <w:t xml:space="preserve">the </w:t>
      </w:r>
      <w:r w:rsidR="00FC03F7">
        <w:t>Woodford</w:t>
      </w:r>
      <w:r w:rsidR="002B5810">
        <w:t xml:space="preserve"> Shale </w:t>
      </w:r>
      <w:r w:rsidR="00704609" w:rsidRPr="00F546EC">
        <w:t xml:space="preserve">stratigraphy to </w:t>
      </w:r>
      <w:r w:rsidR="002B5810">
        <w:t xml:space="preserve">its </w:t>
      </w:r>
      <w:r w:rsidR="00704609" w:rsidRPr="00F546EC">
        <w:t>geophysical, geochemical</w:t>
      </w:r>
      <w:r w:rsidRPr="00F546EC">
        <w:t>,</w:t>
      </w:r>
      <w:r w:rsidR="00704609" w:rsidRPr="00F546EC">
        <w:t xml:space="preserve"> and geomechanical </w:t>
      </w:r>
      <w:r w:rsidR="002B5810">
        <w:t>properties</w:t>
      </w:r>
      <w:r w:rsidR="00E2298C">
        <w:t xml:space="preserve"> (</w:t>
      </w:r>
      <w:r w:rsidR="009A5DE9">
        <w:t>Amorocho</w:t>
      </w:r>
      <w:r w:rsidR="00BB4EC7">
        <w:t>-Sanchez</w:t>
      </w:r>
      <w:r w:rsidR="009A5DE9">
        <w:t>, 2012;</w:t>
      </w:r>
      <w:r w:rsidR="00732BDE">
        <w:t xml:space="preserve"> Cardona-Valencia, 2014; </w:t>
      </w:r>
      <w:r w:rsidR="009A5DE9">
        <w:t xml:space="preserve"> </w:t>
      </w:r>
      <w:r w:rsidR="00E2298C">
        <w:t>Figure 2.4)</w:t>
      </w:r>
      <w:r w:rsidR="00704609" w:rsidRPr="00F546EC">
        <w:t>. Shale researchers</w:t>
      </w:r>
      <w:r w:rsidR="009A5DE9">
        <w:t xml:space="preserve"> commonly</w:t>
      </w:r>
      <w:r w:rsidR="00704609" w:rsidRPr="00F546EC">
        <w:t xml:space="preserve"> interpret that the Woodford (and most analog resource shales) </w:t>
      </w:r>
      <w:r w:rsidR="00952A7A" w:rsidRPr="00F546EC">
        <w:t>are</w:t>
      </w:r>
      <w:r w:rsidR="00704609" w:rsidRPr="00F546EC">
        <w:t xml:space="preserve"> </w:t>
      </w:r>
      <w:r w:rsidR="00E33B57" w:rsidRPr="00F546EC">
        <w:t>wholly</w:t>
      </w:r>
      <w:r w:rsidR="00704609" w:rsidRPr="00F546EC">
        <w:t xml:space="preserve"> </w:t>
      </w:r>
      <w:r w:rsidR="00704609" w:rsidRPr="00F546EC">
        <w:lastRenderedPageBreak/>
        <w:t>of open marine origin</w:t>
      </w:r>
      <w:r w:rsidR="009A5DE9">
        <w:t xml:space="preserve"> (Slatt and Rodriguez, 2012)</w:t>
      </w:r>
      <w:r w:rsidR="00704609" w:rsidRPr="00F546EC">
        <w:t xml:space="preserve">. </w:t>
      </w:r>
      <w:r w:rsidR="009A5DE9">
        <w:t>For the Woodford Shale</w:t>
      </w:r>
      <w:r w:rsidR="00DF6234">
        <w:t>,</w:t>
      </w:r>
      <w:r w:rsidR="009A5DE9">
        <w:t xml:space="preserve"> the </w:t>
      </w:r>
      <w:r w:rsidR="00704609" w:rsidRPr="00F546EC">
        <w:t>Rock</w:t>
      </w:r>
      <w:r w:rsidR="001E3001">
        <w:t>-</w:t>
      </w:r>
      <w:r w:rsidR="00704609" w:rsidRPr="00F546EC">
        <w:t xml:space="preserve">Eval </w:t>
      </w:r>
      <w:r w:rsidR="001E3001">
        <w:t>p</w:t>
      </w:r>
      <w:r w:rsidR="00704609" w:rsidRPr="00F546EC">
        <w:t xml:space="preserve">yrolysis analyses usually indicate </w:t>
      </w:r>
      <w:r w:rsidR="001E3001">
        <w:t>t</w:t>
      </w:r>
      <w:r w:rsidR="00704609" w:rsidRPr="00F546EC">
        <w:t>ype II kerogen</w:t>
      </w:r>
      <w:r w:rsidR="00663A68">
        <w:t xml:space="preserve"> (Cardott, 2012)</w:t>
      </w:r>
      <w:r w:rsidR="00704609" w:rsidRPr="00F546EC">
        <w:t>; however, occasionally</w:t>
      </w:r>
      <w:r w:rsidR="00E05858" w:rsidRPr="00F546EC">
        <w:t>,</w:t>
      </w:r>
      <w:r w:rsidR="00704609" w:rsidRPr="00F546EC">
        <w:t xml:space="preserve"> a </w:t>
      </w:r>
      <w:r w:rsidR="001E3001">
        <w:t>t</w:t>
      </w:r>
      <w:r w:rsidR="00704609" w:rsidRPr="00F546EC">
        <w:t>ype I kerogen is detected</w:t>
      </w:r>
      <w:r w:rsidR="009A5DE9">
        <w:t xml:space="preserve"> (</w:t>
      </w:r>
      <w:r w:rsidR="009A5DE9" w:rsidRPr="00F546EC">
        <w:t>Cardott</w:t>
      </w:r>
      <w:r w:rsidR="009A5DE9">
        <w:t xml:space="preserve">, </w:t>
      </w:r>
      <w:r w:rsidR="009A5DE9" w:rsidRPr="00F546EC">
        <w:t>2009</w:t>
      </w:r>
      <w:r w:rsidR="009A5DE9">
        <w:t xml:space="preserve"> and</w:t>
      </w:r>
      <w:r w:rsidR="009A5DE9" w:rsidRPr="00F546EC">
        <w:t xml:space="preserve"> 201</w:t>
      </w:r>
      <w:r w:rsidR="00732BDE">
        <w:t>4</w:t>
      </w:r>
      <w:r w:rsidR="009A5DE9" w:rsidRPr="00F546EC">
        <w:t>)</w:t>
      </w:r>
      <w:r w:rsidR="00704609" w:rsidRPr="00F546EC">
        <w:t>. Other unconventional resource shales show a similar pattern, but these anomalies are often shrugged off as analytical errors</w:t>
      </w:r>
      <w:r w:rsidR="00292735">
        <w:t xml:space="preserve"> (Slatt and Rodriguez, 2012)</w:t>
      </w:r>
      <w:r w:rsidR="00704609" w:rsidRPr="00F546EC">
        <w:t xml:space="preserve">. </w:t>
      </w:r>
    </w:p>
    <w:p w14:paraId="0DFBA54D" w14:textId="0D35D302" w:rsidR="00704609" w:rsidRDefault="00704609" w:rsidP="00B9490C">
      <w:pPr>
        <w:ind w:firstLine="360"/>
      </w:pPr>
      <w:r w:rsidRPr="00F546EC">
        <w:t xml:space="preserve">Regional isopach maps of the Woodford Shale and Hunton </w:t>
      </w:r>
      <w:r w:rsidR="00C86480">
        <w:t>G</w:t>
      </w:r>
      <w:r w:rsidRPr="00F546EC">
        <w:t>roup in the Cherokee platform (</w:t>
      </w:r>
      <w:r w:rsidR="009A5DE9">
        <w:t xml:space="preserve">McCullough, 2014; </w:t>
      </w:r>
      <w:r w:rsidR="00BB4EC7">
        <w:t>McCullough an</w:t>
      </w:r>
      <w:r w:rsidR="00FC03F7">
        <w:t>d</w:t>
      </w:r>
      <w:r w:rsidR="00BB4EC7">
        <w:t xml:space="preserve"> Slatt, 2014; </w:t>
      </w:r>
      <w:r w:rsidR="009A5DE9">
        <w:t xml:space="preserve">Ali, 2015; </w:t>
      </w:r>
      <w:r w:rsidRPr="00F546EC">
        <w:t xml:space="preserve">Figure </w:t>
      </w:r>
      <w:r w:rsidR="000C6EED" w:rsidRPr="00F546EC">
        <w:t>2.2</w:t>
      </w:r>
      <w:r w:rsidRPr="00F546EC">
        <w:t xml:space="preserve">) and </w:t>
      </w:r>
      <w:r w:rsidR="008F4D74">
        <w:t>the utilized</w:t>
      </w:r>
      <w:r w:rsidRPr="00F546EC">
        <w:t xml:space="preserve"> 3D seismic survey in </w:t>
      </w:r>
      <w:r w:rsidR="0040621C">
        <w:t>s</w:t>
      </w:r>
      <w:r w:rsidRPr="00F546EC">
        <w:t>outh</w:t>
      </w:r>
      <w:r w:rsidR="0040621C">
        <w:t>-e</w:t>
      </w:r>
      <w:r w:rsidRPr="00F546EC">
        <w:t xml:space="preserve">ast Cherokee </w:t>
      </w:r>
      <w:r w:rsidR="001E3001">
        <w:t>p</w:t>
      </w:r>
      <w:r w:rsidRPr="00F546EC">
        <w:t xml:space="preserve">latform, Seminole County Oklahoma, reveal an unconformity surface on top of </w:t>
      </w:r>
      <w:r w:rsidR="008F4D74">
        <w:t xml:space="preserve">the Woodford Shale </w:t>
      </w:r>
      <w:r w:rsidRPr="00F546EC">
        <w:t xml:space="preserve">underlying carbonate rocks (Hunton </w:t>
      </w:r>
      <w:r w:rsidR="00C86480">
        <w:t>G</w:t>
      </w:r>
      <w:r w:rsidRPr="00F546EC">
        <w:t>roup)</w:t>
      </w:r>
      <w:r w:rsidR="00FA09F2">
        <w:t xml:space="preserve">. This </w:t>
      </w:r>
      <w:r w:rsidR="00FC03F7">
        <w:t>unconformity</w:t>
      </w:r>
      <w:r w:rsidR="00FA09F2">
        <w:t xml:space="preserve"> surface has</w:t>
      </w:r>
      <w:r w:rsidRPr="00F546EC">
        <w:t xml:space="preserve"> considerable karst topography and ~ &gt;100m of vertical </w:t>
      </w:r>
      <w:r w:rsidR="00C86480">
        <w:t xml:space="preserve">eroded </w:t>
      </w:r>
      <w:r w:rsidRPr="00F546EC">
        <w:t>relief (</w:t>
      </w:r>
      <w:r w:rsidR="001E3001">
        <w:t xml:space="preserve">Milad, 2019; </w:t>
      </w:r>
      <w:r w:rsidRPr="00F546EC">
        <w:t xml:space="preserve">Figure </w:t>
      </w:r>
      <w:r w:rsidR="000C6EED" w:rsidRPr="00F546EC">
        <w:t>2.</w:t>
      </w:r>
      <w:r w:rsidRPr="00F546EC">
        <w:t>5</w:t>
      </w:r>
      <w:r w:rsidR="00663A68">
        <w:t xml:space="preserve"> - 2</w:t>
      </w:r>
      <w:r w:rsidR="000C6EED" w:rsidRPr="00F546EC">
        <w:t>.8</w:t>
      </w:r>
      <w:r w:rsidRPr="00F546EC">
        <w:t>).  From th</w:t>
      </w:r>
      <w:r w:rsidR="008061A9">
        <w:t>ese regional maps and</w:t>
      </w:r>
      <w:r w:rsidR="002D1493">
        <w:t xml:space="preserve"> from the</w:t>
      </w:r>
      <w:r w:rsidR="008061A9">
        <w:t xml:space="preserve"> identification of </w:t>
      </w:r>
      <w:r w:rsidR="002D1493">
        <w:t xml:space="preserve">the </w:t>
      </w:r>
      <w:r w:rsidR="008061A9">
        <w:t xml:space="preserve">unconformities at the base of the Woodford </w:t>
      </w:r>
      <w:r w:rsidR="0070375D">
        <w:t>S</w:t>
      </w:r>
      <w:r w:rsidR="008061A9">
        <w:t>hale</w:t>
      </w:r>
      <w:r w:rsidRPr="00F546EC">
        <w:t xml:space="preserve">, a geological model </w:t>
      </w:r>
      <w:r w:rsidR="00805567">
        <w:t xml:space="preserve">by Slatt (2016) </w:t>
      </w:r>
      <w:r w:rsidRPr="00F546EC">
        <w:t xml:space="preserve">claims that during a low stand of sea level, karst topography forms an irregular surface, which can provide discontinuous catchment areas for ponding of </w:t>
      </w:r>
      <w:r w:rsidR="00804F72">
        <w:t xml:space="preserve">enclosed mini-basin </w:t>
      </w:r>
      <w:r w:rsidR="00A22E4E">
        <w:t>fill</w:t>
      </w:r>
      <w:r w:rsidR="00804F72" w:rsidRPr="00F546EC">
        <w:t xml:space="preserve"> </w:t>
      </w:r>
      <w:r w:rsidRPr="00F546EC">
        <w:t xml:space="preserve">water masses, </w:t>
      </w:r>
      <w:r w:rsidR="00E05858" w:rsidRPr="00F546EC">
        <w:t>creat</w:t>
      </w:r>
      <w:r w:rsidRPr="00F546EC">
        <w:t>ing restricted water circulation and establishing conditions for higher deposition and preservation of organic matter (Figure 2</w:t>
      </w:r>
      <w:r w:rsidR="000C6EED" w:rsidRPr="00F546EC">
        <w:t>.2</w:t>
      </w:r>
      <w:r w:rsidRPr="00F546EC">
        <w:t xml:space="preserve"> and Figure </w:t>
      </w:r>
      <w:r w:rsidR="000C6EED" w:rsidRPr="00F546EC">
        <w:t>2.</w:t>
      </w:r>
      <w:r w:rsidRPr="00F546EC">
        <w:t xml:space="preserve">3). The 3D seismic survey is inverted to predict </w:t>
      </w:r>
      <w:r w:rsidR="001C0BAE">
        <w:t>%</w:t>
      </w:r>
      <w:r w:rsidRPr="00F546EC">
        <w:t xml:space="preserve">TOC variability that shows discontinuous “pod-like” areas of local anomalously high </w:t>
      </w:r>
      <w:r w:rsidR="001C0BAE">
        <w:t>%</w:t>
      </w:r>
      <w:r w:rsidRPr="00F546EC">
        <w:t>TOC in the deeper paleo-topographic Woodford Shale zones, contrasting with the conventional thinking that organic-rich strata are deposit from marine waters in a blanket fashion.</w:t>
      </w:r>
    </w:p>
    <w:p w14:paraId="64A3E1A1" w14:textId="41849103" w:rsidR="00704609" w:rsidRPr="00F546EC" w:rsidRDefault="00704609" w:rsidP="00530D25">
      <w:pPr>
        <w:pStyle w:val="Heading2"/>
        <w:numPr>
          <w:ilvl w:val="1"/>
          <w:numId w:val="5"/>
        </w:numPr>
      </w:pPr>
      <w:bookmarkStart w:id="60" w:name="_Toc25833537"/>
      <w:bookmarkStart w:id="61" w:name="_Toc35861092"/>
      <w:r w:rsidRPr="00F546EC">
        <w:t xml:space="preserve">Geological </w:t>
      </w:r>
      <w:r w:rsidR="009733F1">
        <w:t>b</w:t>
      </w:r>
      <w:r w:rsidRPr="00F546EC">
        <w:t>ackground</w:t>
      </w:r>
      <w:r w:rsidR="008A2555" w:rsidRPr="00F546EC">
        <w:t xml:space="preserve"> of the seismic study area</w:t>
      </w:r>
      <w:bookmarkEnd w:id="60"/>
      <w:bookmarkEnd w:id="61"/>
    </w:p>
    <w:p w14:paraId="7E13C0EA" w14:textId="2AE97C03" w:rsidR="00704609" w:rsidRPr="00F546EC" w:rsidRDefault="00704609" w:rsidP="003B7517">
      <w:pPr>
        <w:ind w:firstLine="360"/>
      </w:pPr>
      <w:bookmarkStart w:id="62" w:name="_Hlk515398821"/>
      <w:r w:rsidRPr="00F546EC">
        <w:t>According to Cardott (2009</w:t>
      </w:r>
      <w:r w:rsidR="00732BDE">
        <w:t>,</w:t>
      </w:r>
      <w:r w:rsidRPr="00F546EC">
        <w:t xml:space="preserve"> 2012</w:t>
      </w:r>
      <w:r w:rsidR="00732BDE">
        <w:t xml:space="preserve"> and 2014</w:t>
      </w:r>
      <w:r w:rsidRPr="00F546EC">
        <w:t>) and Jarvie et al. (2005</w:t>
      </w:r>
      <w:r w:rsidR="009A5DE9">
        <w:t xml:space="preserve"> and</w:t>
      </w:r>
      <w:r w:rsidR="0070375D">
        <w:t xml:space="preserve"> </w:t>
      </w:r>
      <w:r w:rsidRPr="00F546EC">
        <w:t>2007), the Woodford Shale is a very active and prolific gas and oil shale reservoir</w:t>
      </w:r>
      <w:r w:rsidR="00805567">
        <w:t>, that even in a mature exploration and production phase is still attractive</w:t>
      </w:r>
      <w:r w:rsidR="004C2472">
        <w:t>. T</w:t>
      </w:r>
      <w:r w:rsidRPr="00F546EC">
        <w:t xml:space="preserve">herefore, there is a specific interest to characterize the possible </w:t>
      </w:r>
      <w:r w:rsidRPr="00F546EC">
        <w:lastRenderedPageBreak/>
        <w:t xml:space="preserve">occurrence of internal </w:t>
      </w:r>
      <w:r w:rsidR="00804F72">
        <w:t xml:space="preserve">enclosed mini-basin </w:t>
      </w:r>
      <w:r w:rsidR="00A22E4E">
        <w:t>fill</w:t>
      </w:r>
      <w:r w:rsidRPr="00F546EC">
        <w:t xml:space="preserve"> or highly restricted intervals within this open marine mudstone</w:t>
      </w:r>
      <w:r w:rsidR="00805567">
        <w:t xml:space="preserve">. This novel concept of </w:t>
      </w:r>
      <w:r w:rsidR="00804F72">
        <w:t xml:space="preserve">enclosed mini-basin </w:t>
      </w:r>
      <w:r w:rsidR="00A22E4E">
        <w:t>fill</w:t>
      </w:r>
      <w:r w:rsidR="00805567">
        <w:t xml:space="preserve"> settings might provide untested internal horizons or areas where it is thought that the Woodford has a limited GOR (</w:t>
      </w:r>
      <w:r w:rsidR="00A05408">
        <w:t>g</w:t>
      </w:r>
      <w:r w:rsidR="00805567">
        <w:t>as-</w:t>
      </w:r>
      <w:r w:rsidR="00A05408">
        <w:t>o</w:t>
      </w:r>
      <w:r w:rsidR="00805567">
        <w:t>il-</w:t>
      </w:r>
      <w:r w:rsidR="00A05408">
        <w:t>r</w:t>
      </w:r>
      <w:r w:rsidR="00805567">
        <w:t>atio) fluid production (more oil production over natural gas production</w:t>
      </w:r>
      <w:r w:rsidR="00F86D14">
        <w:t>; Katz and Lin, 2014</w:t>
      </w:r>
      <w:r w:rsidR="00805567">
        <w:t>)</w:t>
      </w:r>
      <w:r w:rsidRPr="00F546EC">
        <w:t xml:space="preserve">. </w:t>
      </w:r>
      <w:r w:rsidR="008454F1">
        <w:t>The</w:t>
      </w:r>
      <w:r w:rsidR="00805567">
        <w:t xml:space="preserve"> Woodford </w:t>
      </w:r>
      <w:r w:rsidR="00A05408">
        <w:t>S</w:t>
      </w:r>
      <w:r w:rsidR="00805567">
        <w:t>hale</w:t>
      </w:r>
      <w:r w:rsidRPr="00F546EC">
        <w:t xml:space="preserve"> </w:t>
      </w:r>
      <w:r w:rsidR="008454F1">
        <w:t xml:space="preserve">age is </w:t>
      </w:r>
      <w:r w:rsidRPr="00F546EC">
        <w:t xml:space="preserve">from </w:t>
      </w:r>
      <w:r w:rsidR="0080313B">
        <w:t>U</w:t>
      </w:r>
      <w:r w:rsidRPr="00F546EC">
        <w:t>pper Devonian-</w:t>
      </w:r>
      <w:r w:rsidR="0080313B">
        <w:t>L</w:t>
      </w:r>
      <w:r w:rsidRPr="00F546EC">
        <w:t>ower Mississippian</w:t>
      </w:r>
      <w:r w:rsidR="008454F1">
        <w:t xml:space="preserve"> and </w:t>
      </w:r>
      <w:r w:rsidRPr="00F546EC">
        <w:t>its principal litholog</w:t>
      </w:r>
      <w:r w:rsidR="008454F1">
        <w:t xml:space="preserve">ies are </w:t>
      </w:r>
      <w:r w:rsidRPr="00F546EC">
        <w:t xml:space="preserve">organic-rich black shale with intercalations of chert, siltstone, </w:t>
      </w:r>
      <w:r w:rsidR="00E33B57" w:rsidRPr="00F546EC">
        <w:t>dolostones</w:t>
      </w:r>
      <w:r w:rsidRPr="00F546EC">
        <w:t xml:space="preserve">, and light-colored </w:t>
      </w:r>
      <w:r w:rsidR="00DC5E93">
        <w:t xml:space="preserve">siliceous </w:t>
      </w:r>
      <w:r w:rsidR="008454F1">
        <w:t>mudstones</w:t>
      </w:r>
      <w:r w:rsidRPr="00F546EC">
        <w:t xml:space="preserve"> (</w:t>
      </w:r>
      <w:r w:rsidR="00DB0950" w:rsidRPr="00F546EC">
        <w:t>Kirkland et al., 1992</w:t>
      </w:r>
      <w:r w:rsidR="00DB0950">
        <w:t>;</w:t>
      </w:r>
      <w:r w:rsidR="00DB0950" w:rsidRPr="00DB0950">
        <w:t xml:space="preserve"> </w:t>
      </w:r>
      <w:r w:rsidR="00DB0950" w:rsidRPr="00F546EC">
        <w:t>Comer, 200</w:t>
      </w:r>
      <w:r w:rsidR="00BB4EC7">
        <w:t>8</w:t>
      </w:r>
      <w:r w:rsidR="00DB0950">
        <w:t xml:space="preserve">; </w:t>
      </w:r>
      <w:r w:rsidRPr="00F546EC">
        <w:t>Slatt et al., 201</w:t>
      </w:r>
      <w:r w:rsidR="006F300B" w:rsidRPr="00F546EC">
        <w:t>2</w:t>
      </w:r>
      <w:r w:rsidRPr="00F546EC">
        <w:t>; Molinares, 2013; Turner</w:t>
      </w:r>
      <w:r w:rsidR="0080313B">
        <w:t xml:space="preserve"> et al.</w:t>
      </w:r>
      <w:r w:rsidRPr="00F546EC">
        <w:t>, 2015</w:t>
      </w:r>
      <w:r w:rsidR="00786050">
        <w:t>; Maynard, 2016</w:t>
      </w:r>
      <w:r w:rsidR="008454F1">
        <w:t>). There are</w:t>
      </w:r>
      <w:r w:rsidR="00805567">
        <w:t xml:space="preserve"> general assumptions that the whole Woodford </w:t>
      </w:r>
      <w:r w:rsidR="00E135D9">
        <w:t>S</w:t>
      </w:r>
      <w:r w:rsidR="00805567">
        <w:t>hale was deposited under a similar setting or regime, in local</w:t>
      </w:r>
      <w:r w:rsidR="001C0BAE">
        <w:t>,</w:t>
      </w:r>
      <w:r w:rsidR="00805567">
        <w:t xml:space="preserve"> regional</w:t>
      </w:r>
      <w:r w:rsidR="001C0BAE">
        <w:t xml:space="preserve"> and</w:t>
      </w:r>
      <w:r w:rsidR="00805567">
        <w:t xml:space="preserve"> statewide scales</w:t>
      </w:r>
      <w:r w:rsidR="00BB4EC7">
        <w:t xml:space="preserve"> (</w:t>
      </w:r>
      <w:r w:rsidR="00BB4EC7" w:rsidRPr="007D5057">
        <w:rPr>
          <w:rFonts w:eastAsia="Times New Roman"/>
          <w:color w:val="000000"/>
        </w:rPr>
        <w:t>McCullough</w:t>
      </w:r>
      <w:r w:rsidR="00BB4EC7">
        <w:rPr>
          <w:rFonts w:eastAsia="Times New Roman"/>
          <w:color w:val="000000"/>
        </w:rPr>
        <w:t xml:space="preserve"> and Slatt, 2014)</w:t>
      </w:r>
      <w:r w:rsidRPr="00F546EC">
        <w:t xml:space="preserve">. </w:t>
      </w:r>
    </w:p>
    <w:p w14:paraId="22890937" w14:textId="65C0D727" w:rsidR="00135A4F" w:rsidRPr="00F546EC" w:rsidRDefault="00987AD1" w:rsidP="009349D2">
      <w:r w:rsidRPr="001E7D67">
        <w:rPr>
          <w:noProof/>
        </w:rPr>
        <w:lastRenderedPageBreak/>
        <w:drawing>
          <wp:inline distT="0" distB="0" distL="0" distR="0" wp14:anchorId="11557434" wp14:editId="7B1B6A10">
            <wp:extent cx="2540000" cy="3022600"/>
            <wp:effectExtent l="0" t="0" r="0" b="0"/>
            <wp:docPr id="266"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9">
                      <a:extLst>
                        <a:ext uri="{28A0092B-C50C-407E-A947-70E740481C1C}">
                          <a14:useLocalDpi xmlns:a14="http://schemas.microsoft.com/office/drawing/2010/main" val="0"/>
                        </a:ext>
                      </a:extLst>
                    </a:blip>
                    <a:srcRect t="21365" r="41576" b="19951"/>
                    <a:stretch>
                      <a:fillRect/>
                    </a:stretch>
                  </pic:blipFill>
                  <pic:spPr bwMode="auto">
                    <a:xfrm>
                      <a:off x="0" y="0"/>
                      <a:ext cx="2540000" cy="3022600"/>
                    </a:xfrm>
                    <a:prstGeom prst="rect">
                      <a:avLst/>
                    </a:prstGeom>
                    <a:noFill/>
                    <a:ln>
                      <a:noFill/>
                    </a:ln>
                  </pic:spPr>
                </pic:pic>
              </a:graphicData>
            </a:graphic>
          </wp:inline>
        </w:drawing>
      </w:r>
      <w:r w:rsidRPr="001E7D67">
        <w:rPr>
          <w:noProof/>
        </w:rPr>
        <w:drawing>
          <wp:inline distT="0" distB="0" distL="0" distR="0" wp14:anchorId="2A405783" wp14:editId="0E0533CC">
            <wp:extent cx="2984500" cy="7213600"/>
            <wp:effectExtent l="0" t="0" r="0" b="0"/>
            <wp:docPr id="2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4500" cy="7213600"/>
                    </a:xfrm>
                    <a:prstGeom prst="rect">
                      <a:avLst/>
                    </a:prstGeom>
                    <a:noFill/>
                    <a:ln>
                      <a:noFill/>
                    </a:ln>
                  </pic:spPr>
                </pic:pic>
              </a:graphicData>
            </a:graphic>
          </wp:inline>
        </w:drawing>
      </w:r>
    </w:p>
    <w:p w14:paraId="7E334C08" w14:textId="535641B0" w:rsidR="00135A4F" w:rsidRPr="00F546EC" w:rsidRDefault="00135A4F" w:rsidP="00B9490C">
      <w:pPr>
        <w:pStyle w:val="Caption"/>
      </w:pPr>
      <w:bookmarkStart w:id="63" w:name="_Toc35861164"/>
      <w:r w:rsidRPr="00F546EC">
        <w:rPr>
          <w:b/>
        </w:rPr>
        <w:t xml:space="preserve">Figure </w:t>
      </w:r>
      <w:r w:rsidR="00FB2D3D" w:rsidRPr="00F546EC">
        <w:rPr>
          <w:b/>
        </w:rPr>
        <w:t>2.</w:t>
      </w:r>
      <w:r w:rsidRPr="00F546EC">
        <w:rPr>
          <w:b/>
        </w:rPr>
        <w:t>1.</w:t>
      </w:r>
      <w:r w:rsidRPr="00F546EC">
        <w:t xml:space="preserve"> Location </w:t>
      </w:r>
      <w:r w:rsidR="00581BE2">
        <w:t>m</w:t>
      </w:r>
      <w:r w:rsidRPr="00F546EC">
        <w:t xml:space="preserve">ap of the Cherokee </w:t>
      </w:r>
      <w:r w:rsidR="00581BE2">
        <w:t>p</w:t>
      </w:r>
      <w:r w:rsidRPr="00F546EC">
        <w:t>latform (</w:t>
      </w:r>
      <w:r w:rsidR="00273CB1">
        <w:t>res square of the map</w:t>
      </w:r>
      <w:r w:rsidRPr="00F546EC">
        <w:t>), and principal geologic provinces in Oklahoma (</w:t>
      </w:r>
      <w:r w:rsidR="00273CB1" w:rsidRPr="00F546EC">
        <w:t>in light blue</w:t>
      </w:r>
      <w:r w:rsidR="004D4FFE">
        <w:t xml:space="preserve">; after </w:t>
      </w:r>
      <w:r w:rsidRPr="00F546EC">
        <w:t xml:space="preserve">Northcutt et al., 2001); Image on the right corresponds to the </w:t>
      </w:r>
      <w:r w:rsidR="00581BE2">
        <w:t>s</w:t>
      </w:r>
      <w:r w:rsidRPr="00F546EC">
        <w:t xml:space="preserve">tratigraphic chart for the Arkoma </w:t>
      </w:r>
      <w:r w:rsidR="00581BE2">
        <w:t>b</w:t>
      </w:r>
      <w:r w:rsidRPr="00F546EC">
        <w:t>asi</w:t>
      </w:r>
      <w:r w:rsidR="00581BE2">
        <w:t>n</w:t>
      </w:r>
      <w:r w:rsidRPr="00F546EC">
        <w:t xml:space="preserve">, </w:t>
      </w:r>
      <w:r w:rsidR="0040621C">
        <w:t>s</w:t>
      </w:r>
      <w:r w:rsidRPr="00F546EC">
        <w:t>outheastern Oklahoma (</w:t>
      </w:r>
      <w:r w:rsidR="00DB0950">
        <w:t xml:space="preserve">Modified </w:t>
      </w:r>
      <w:r w:rsidR="00DB0950" w:rsidRPr="001D20C4">
        <w:t xml:space="preserve">after </w:t>
      </w:r>
      <w:r w:rsidRPr="001D20C4">
        <w:t>Perry, 1995).</w:t>
      </w:r>
      <w:bookmarkEnd w:id="63"/>
    </w:p>
    <w:p w14:paraId="708973FB" w14:textId="3C5F6155" w:rsidR="00704609" w:rsidRPr="00F546EC" w:rsidRDefault="00704609" w:rsidP="00B9490C">
      <w:pPr>
        <w:ind w:firstLine="720"/>
      </w:pPr>
      <w:r w:rsidRPr="00F546EC">
        <w:lastRenderedPageBreak/>
        <w:t xml:space="preserve">The Woodford Shale unconformably overlies the limestones and dolomites of the Hunton </w:t>
      </w:r>
      <w:r w:rsidR="00A05408">
        <w:t>g</w:t>
      </w:r>
      <w:r w:rsidRPr="00F546EC">
        <w:t xml:space="preserve">roup (Silurian-Devonian age) and grades conformably into fine-grained silty limestones interbedded with thin layers of dark-gray shales from the Sycamore </w:t>
      </w:r>
      <w:r w:rsidR="00A05408">
        <w:t>f</w:t>
      </w:r>
      <w:r w:rsidRPr="00F546EC">
        <w:t>ormation (</w:t>
      </w:r>
      <w:r w:rsidRPr="0063146D">
        <w:rPr>
          <w:bCs/>
        </w:rPr>
        <w:t xml:space="preserve">Figure </w:t>
      </w:r>
      <w:r w:rsidR="000C6EED" w:rsidRPr="0063146D">
        <w:rPr>
          <w:bCs/>
        </w:rPr>
        <w:t>2.</w:t>
      </w:r>
      <w:r w:rsidRPr="0063146D">
        <w:rPr>
          <w:bCs/>
        </w:rPr>
        <w:t>1;</w:t>
      </w:r>
      <w:r w:rsidRPr="00F546EC">
        <w:rPr>
          <w:b/>
        </w:rPr>
        <w:t xml:space="preserve"> </w:t>
      </w:r>
      <w:r w:rsidR="00DB0950" w:rsidRPr="00DB0950">
        <w:t xml:space="preserve">Modified after </w:t>
      </w:r>
      <w:r w:rsidRPr="00F546EC">
        <w:t>Perry, 1995; Slatt et al., 201</w:t>
      </w:r>
      <w:r w:rsidR="006F300B" w:rsidRPr="00F546EC">
        <w:t>2</w:t>
      </w:r>
      <w:r w:rsidRPr="00F546EC">
        <w:t>).  Cardott (2012</w:t>
      </w:r>
      <w:r w:rsidR="00BB4EC7">
        <w:t xml:space="preserve"> and 2014</w:t>
      </w:r>
      <w:r w:rsidRPr="00F546EC">
        <w:t>) emphasize</w:t>
      </w:r>
      <w:r w:rsidR="00DB0950">
        <w:t>s</w:t>
      </w:r>
      <w:r w:rsidRPr="00F546EC">
        <w:t xml:space="preserve"> that the Woodford Shale has a series of stratigraphic equivalents that extend over central and Eastern United States (e.g.</w:t>
      </w:r>
      <w:r w:rsidR="004C2472">
        <w:t>,</w:t>
      </w:r>
      <w:r w:rsidRPr="00F546EC">
        <w:t xml:space="preserve"> </w:t>
      </w:r>
      <w:r w:rsidR="00E33B57" w:rsidRPr="00F546EC">
        <w:t>Chattanooga</w:t>
      </w:r>
      <w:r w:rsidRPr="00F546EC">
        <w:t xml:space="preserve"> Shale, Arkansas Novaculite, Antrim Shale, Bakken Shale, New Albany Shale, Marcellus Shale) that represent the global marine transgression which occurred during the </w:t>
      </w:r>
      <w:r w:rsidR="001861B5">
        <w:t>L</w:t>
      </w:r>
      <w:r w:rsidRPr="00F546EC">
        <w:t xml:space="preserve">ate Devonian (Figure </w:t>
      </w:r>
      <w:r w:rsidR="000C6EED" w:rsidRPr="00F546EC">
        <w:t>2.</w:t>
      </w:r>
      <w:r w:rsidRPr="00F546EC">
        <w:t>3;</w:t>
      </w:r>
      <w:r w:rsidRPr="00F546EC">
        <w:rPr>
          <w:b/>
        </w:rPr>
        <w:t xml:space="preserve"> </w:t>
      </w:r>
      <w:r w:rsidRPr="00F546EC">
        <w:t>Sullivan, 1985; Kirkland et al., 1992; Northcutt et al., 2001; Comer, 2005;</w:t>
      </w:r>
      <w:r w:rsidR="006F300B" w:rsidRPr="00F546EC">
        <w:t xml:space="preserve"> </w:t>
      </w:r>
      <w:r w:rsidRPr="00F546EC">
        <w:t>Slatt et al., 201</w:t>
      </w:r>
      <w:r w:rsidR="006F300B" w:rsidRPr="00F546EC">
        <w:t>2</w:t>
      </w:r>
      <w:bookmarkEnd w:id="62"/>
      <w:r w:rsidR="00BB4EC7">
        <w:t xml:space="preserve">; </w:t>
      </w:r>
      <w:r w:rsidR="00BB4EC7" w:rsidRPr="00F546EC">
        <w:t>Cardott, 201</w:t>
      </w:r>
      <w:r w:rsidR="00BB4EC7">
        <w:t>4</w:t>
      </w:r>
      <w:r w:rsidRPr="00F546EC">
        <w:t>).</w:t>
      </w:r>
    </w:p>
    <w:p w14:paraId="5B7CC60A" w14:textId="77777777" w:rsidR="00B9490C" w:rsidRDefault="00987AD1" w:rsidP="00883239">
      <w:pPr>
        <w:spacing w:after="0" w:line="276" w:lineRule="auto"/>
        <w:rPr>
          <w:b/>
        </w:rPr>
      </w:pPr>
      <w:r w:rsidRPr="001E7D67">
        <w:rPr>
          <w:noProof/>
        </w:rPr>
        <w:drawing>
          <wp:inline distT="0" distB="0" distL="0" distR="0" wp14:anchorId="6A5CA8BE" wp14:editId="52201703">
            <wp:extent cx="5676747" cy="3526972"/>
            <wp:effectExtent l="0" t="0" r="635" b="0"/>
            <wp:docPr id="26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78018" cy="3527762"/>
                    </a:xfrm>
                    <a:prstGeom prst="rect">
                      <a:avLst/>
                    </a:prstGeom>
                    <a:noFill/>
                    <a:ln>
                      <a:noFill/>
                    </a:ln>
                  </pic:spPr>
                </pic:pic>
              </a:graphicData>
            </a:graphic>
          </wp:inline>
        </w:drawing>
      </w:r>
    </w:p>
    <w:p w14:paraId="37A7E9EC" w14:textId="693143F6" w:rsidR="00135A4F" w:rsidRPr="00F546EC" w:rsidRDefault="00135A4F" w:rsidP="00B9490C">
      <w:pPr>
        <w:pStyle w:val="Caption"/>
      </w:pPr>
      <w:bookmarkStart w:id="64" w:name="_Toc35861165"/>
      <w:r w:rsidRPr="00F546EC">
        <w:rPr>
          <w:b/>
        </w:rPr>
        <w:t>Figure 2</w:t>
      </w:r>
      <w:r w:rsidR="00FB2D3D" w:rsidRPr="00F546EC">
        <w:rPr>
          <w:b/>
        </w:rPr>
        <w:t>.2</w:t>
      </w:r>
      <w:r w:rsidRPr="00F546EC">
        <w:rPr>
          <w:b/>
        </w:rPr>
        <w:t>.</w:t>
      </w:r>
      <w:r w:rsidR="00FB2D3D" w:rsidRPr="00F546EC">
        <w:rPr>
          <w:b/>
        </w:rPr>
        <w:t xml:space="preserve"> </w:t>
      </w:r>
      <w:r w:rsidRPr="00F546EC">
        <w:t xml:space="preserve">Regional </w:t>
      </w:r>
      <w:r w:rsidR="004D4FFE">
        <w:t>i</w:t>
      </w:r>
      <w:r w:rsidRPr="00F546EC">
        <w:t>sopach maps created from well tops</w:t>
      </w:r>
      <w:r w:rsidR="000404D9" w:rsidRPr="00F546EC">
        <w:t xml:space="preserve"> by McCullough (2014)</w:t>
      </w:r>
      <w:r w:rsidRPr="00F546EC">
        <w:t xml:space="preserve">. On the left, the Hunton </w:t>
      </w:r>
      <w:r w:rsidR="004D4FFE">
        <w:t>g</w:t>
      </w:r>
      <w:r w:rsidRPr="00F546EC">
        <w:t>roup regional</w:t>
      </w:r>
      <w:r w:rsidR="00D02D8F" w:rsidRPr="00F546EC">
        <w:t xml:space="preserve"> </w:t>
      </w:r>
      <w:r w:rsidRPr="00F546EC">
        <w:t xml:space="preserve">thickness map. On the right, the Woodford </w:t>
      </w:r>
      <w:r w:rsidR="00A05408">
        <w:t>S</w:t>
      </w:r>
      <w:r w:rsidRPr="00F546EC">
        <w:t xml:space="preserve">hale regional thickness map. The study area is located in the red box of the </w:t>
      </w:r>
      <w:r w:rsidR="0040621C">
        <w:t>s</w:t>
      </w:r>
      <w:r w:rsidRPr="00F546EC">
        <w:t xml:space="preserve">outheast Pottawatomie and Pontotoc border, Oklahoma U.S.A. Note the inverse correlation of the formation thickness, where the Hunton is eroded the Woodford </w:t>
      </w:r>
      <w:r w:rsidR="005C3C79">
        <w:t>S</w:t>
      </w:r>
      <w:r w:rsidRPr="00F546EC">
        <w:t xml:space="preserve">hale is thicker than the areas where the Hunton is thick and preserve; this is attributed to the depositional model of the Woodford </w:t>
      </w:r>
      <w:r w:rsidR="002B6DD2">
        <w:t>S</w:t>
      </w:r>
      <w:r w:rsidRPr="00F546EC">
        <w:t xml:space="preserve">hale where karstifications </w:t>
      </w:r>
      <w:r w:rsidR="004A5DFF">
        <w:t xml:space="preserve">and lowstand incised valley formation </w:t>
      </w:r>
      <w:r w:rsidRPr="00F546EC">
        <w:t>occur to the Hunton exposure leading into more accumulation space for the Woodford depositional fairway.</w:t>
      </w:r>
      <w:bookmarkEnd w:id="64"/>
    </w:p>
    <w:p w14:paraId="169F3A54" w14:textId="77BF8143" w:rsidR="00A738B2" w:rsidRPr="00F546EC" w:rsidRDefault="00F13BFB" w:rsidP="000257FE">
      <w:pPr>
        <w:spacing w:after="0" w:line="276" w:lineRule="auto"/>
        <w:jc w:val="center"/>
      </w:pPr>
      <w:r>
        <w:rPr>
          <w:noProof/>
        </w:rPr>
        <w:lastRenderedPageBreak/>
        <mc:AlternateContent>
          <mc:Choice Requires="wps">
            <w:drawing>
              <wp:anchor distT="0" distB="0" distL="114300" distR="114300" simplePos="0" relativeHeight="251766272" behindDoc="0" locked="0" layoutInCell="1" allowOverlap="1" wp14:anchorId="08CEDC15" wp14:editId="74D57D7E">
                <wp:simplePos x="0" y="0"/>
                <wp:positionH relativeFrom="column">
                  <wp:posOffset>3629025</wp:posOffset>
                </wp:positionH>
                <wp:positionV relativeFrom="paragraph">
                  <wp:posOffset>6457950</wp:posOffset>
                </wp:positionV>
                <wp:extent cx="1885950" cy="428625"/>
                <wp:effectExtent l="0" t="0" r="19050" b="28575"/>
                <wp:wrapNone/>
                <wp:docPr id="132" name="Rectangle 132"/>
                <wp:cNvGraphicFramePr/>
                <a:graphic xmlns:a="http://schemas.openxmlformats.org/drawingml/2006/main">
                  <a:graphicData uri="http://schemas.microsoft.com/office/word/2010/wordprocessingShape">
                    <wps:wsp>
                      <wps:cNvSpPr/>
                      <wps:spPr>
                        <a:xfrm>
                          <a:off x="0" y="0"/>
                          <a:ext cx="1885950" cy="428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7BEBD" id="Rectangle 132" o:spid="_x0000_s1026" style="position:absolute;margin-left:285.75pt;margin-top:508.5pt;width:148.5pt;height:33.75pt;z-index:25176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" fillcolor="white [3212]" strokecolor="white [3212]" strokeweight="1pt"/>
            </w:pict>
          </mc:Fallback>
        </mc:AlternateContent>
      </w:r>
      <w:r w:rsidR="00987AD1" w:rsidRPr="001E7D67">
        <w:rPr>
          <w:noProof/>
        </w:rPr>
        <w:drawing>
          <wp:inline distT="0" distB="0" distL="0" distR="0" wp14:anchorId="15BC1CDA" wp14:editId="6048CE30">
            <wp:extent cx="5651500" cy="6886575"/>
            <wp:effectExtent l="0" t="0" r="6350" b="9525"/>
            <wp:docPr id="26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32">
                      <a:extLst>
                        <a:ext uri="{28A0092B-C50C-407E-A947-70E740481C1C}">
                          <a14:useLocalDpi xmlns:a14="http://schemas.microsoft.com/office/drawing/2010/main" val="0"/>
                        </a:ext>
                      </a:extLst>
                    </a:blip>
                    <a:srcRect b="2648"/>
                    <a:stretch/>
                  </pic:blipFill>
                  <pic:spPr bwMode="auto">
                    <a:xfrm>
                      <a:off x="0" y="0"/>
                      <a:ext cx="5651500" cy="6886575"/>
                    </a:xfrm>
                    <a:prstGeom prst="rect">
                      <a:avLst/>
                    </a:prstGeom>
                    <a:noFill/>
                    <a:ln>
                      <a:noFill/>
                    </a:ln>
                    <a:extLst>
                      <a:ext uri="{53640926-AAD7-44D8-BBD7-CCE9431645EC}">
                        <a14:shadowObscured xmlns:a14="http://schemas.microsoft.com/office/drawing/2010/main"/>
                      </a:ext>
                    </a:extLst>
                  </pic:spPr>
                </pic:pic>
              </a:graphicData>
            </a:graphic>
          </wp:inline>
        </w:drawing>
      </w:r>
    </w:p>
    <w:p w14:paraId="758D6CEC" w14:textId="0CE65D69" w:rsidR="00A738B2" w:rsidRPr="00F546EC" w:rsidRDefault="00A738B2" w:rsidP="00B9490C">
      <w:pPr>
        <w:pStyle w:val="Caption"/>
      </w:pPr>
      <w:bookmarkStart w:id="65" w:name="_Toc35861166"/>
      <w:r w:rsidRPr="00F546EC">
        <w:rPr>
          <w:b/>
        </w:rPr>
        <w:t xml:space="preserve">Figure </w:t>
      </w:r>
      <w:r w:rsidR="00FB2D3D" w:rsidRPr="00F546EC">
        <w:rPr>
          <w:b/>
        </w:rPr>
        <w:t>2.</w:t>
      </w:r>
      <w:r w:rsidRPr="00F546EC">
        <w:rPr>
          <w:b/>
        </w:rPr>
        <w:t xml:space="preserve">3. </w:t>
      </w:r>
      <w:r w:rsidRPr="00F546EC">
        <w:t xml:space="preserve">Depositional model of the Woodford </w:t>
      </w:r>
      <w:r w:rsidR="005C3C79">
        <w:t>S</w:t>
      </w:r>
      <w:r w:rsidRPr="00F546EC">
        <w:t>hale through one eustatic sea-level cycle (Torres</w:t>
      </w:r>
      <w:r w:rsidR="003E6FAE">
        <w:t>-Parada</w:t>
      </w:r>
      <w:r w:rsidRPr="00F546EC">
        <w:t xml:space="preserve"> et al., 2017</w:t>
      </w:r>
      <w:r w:rsidR="004D4FFE">
        <w:t>; m</w:t>
      </w:r>
      <w:r w:rsidR="00E6562B" w:rsidRPr="00F546EC">
        <w:t xml:space="preserve">odified </w:t>
      </w:r>
      <w:r w:rsidR="00CC3B93">
        <w:t xml:space="preserve">after </w:t>
      </w:r>
      <w:r w:rsidR="000257FE" w:rsidRPr="000E10B4">
        <w:rPr>
          <w:color w:val="000000"/>
        </w:rPr>
        <w:t>Bauernfeind</w:t>
      </w:r>
      <w:r w:rsidR="000257FE">
        <w:t xml:space="preserve"> [1990], </w:t>
      </w:r>
      <w:r w:rsidR="00CC3B93">
        <w:t>Grotzinger and Jordan [2010] and</w:t>
      </w:r>
      <w:r w:rsidR="004D4FFE">
        <w:t xml:space="preserve"> </w:t>
      </w:r>
      <w:r w:rsidR="00E6562B" w:rsidRPr="00F546EC">
        <w:t>Slatt</w:t>
      </w:r>
      <w:r w:rsidR="00CC3B93">
        <w:t xml:space="preserve"> [</w:t>
      </w:r>
      <w:r w:rsidR="00E6562B" w:rsidRPr="00F546EC">
        <w:t>2016</w:t>
      </w:r>
      <w:r w:rsidR="00CC3B93">
        <w:t>]</w:t>
      </w:r>
      <w:r w:rsidRPr="00F546EC">
        <w:t>). The early stage of falling sea level may result in water mass isolation and restricted water circulation over topographic depressions</w:t>
      </w:r>
      <w:r w:rsidR="00856FEB">
        <w:t xml:space="preserve"> left </w:t>
      </w:r>
      <w:r w:rsidRPr="00F546EC">
        <w:t>by karst/incised valley development on the underlying carbonate</w:t>
      </w:r>
      <w:r w:rsidR="0063146D">
        <w:t xml:space="preserve"> surface</w:t>
      </w:r>
      <w:r w:rsidRPr="00F546EC">
        <w:t xml:space="preserve"> (Hunton </w:t>
      </w:r>
      <w:r w:rsidR="0063146D">
        <w:t>l</w:t>
      </w:r>
      <w:r w:rsidRPr="00F546EC">
        <w:t>imestone in the case of the Woodford).</w:t>
      </w:r>
      <w:r w:rsidR="004042BB">
        <w:t xml:space="preserve"> TSE= Transgressive surface of erosion; SB= Sequence boundary.</w:t>
      </w:r>
      <w:bookmarkEnd w:id="65"/>
    </w:p>
    <w:p w14:paraId="1EA84971" w14:textId="65DA3FC7" w:rsidR="00704609" w:rsidRPr="00F546EC" w:rsidRDefault="00CE3B84" w:rsidP="00530D25">
      <w:pPr>
        <w:pStyle w:val="Heading2"/>
        <w:numPr>
          <w:ilvl w:val="1"/>
          <w:numId w:val="5"/>
        </w:numPr>
      </w:pPr>
      <w:bookmarkStart w:id="66" w:name="_Toc25833538"/>
      <w:r>
        <w:lastRenderedPageBreak/>
        <w:t xml:space="preserve"> </w:t>
      </w:r>
      <w:bookmarkStart w:id="67" w:name="_Toc35861093"/>
      <w:r w:rsidR="00704609" w:rsidRPr="00F546EC">
        <w:t xml:space="preserve">3D Seismic </w:t>
      </w:r>
      <w:r w:rsidR="009733F1">
        <w:t>m</w:t>
      </w:r>
      <w:r w:rsidR="00704609" w:rsidRPr="00F546EC">
        <w:t>ulti-</w:t>
      </w:r>
      <w:r w:rsidR="009733F1">
        <w:t>a</w:t>
      </w:r>
      <w:r w:rsidR="00704609" w:rsidRPr="00F546EC">
        <w:t xml:space="preserve">ttribute </w:t>
      </w:r>
      <w:r w:rsidR="009733F1">
        <w:t>a</w:t>
      </w:r>
      <w:r w:rsidR="00704609" w:rsidRPr="00F546EC">
        <w:t xml:space="preserve">nalysis, </w:t>
      </w:r>
      <w:r w:rsidR="009733F1">
        <w:t>o</w:t>
      </w:r>
      <w:r w:rsidR="00704609" w:rsidRPr="00F546EC">
        <w:t xml:space="preserve">rganic </w:t>
      </w:r>
      <w:r w:rsidR="009733F1">
        <w:t>f</w:t>
      </w:r>
      <w:r w:rsidR="00704609" w:rsidRPr="00F546EC">
        <w:t>acies (</w:t>
      </w:r>
      <w:r w:rsidR="008523C1">
        <w:t>%</w:t>
      </w:r>
      <w:r w:rsidR="00704609" w:rsidRPr="00F546EC">
        <w:t xml:space="preserve">TOC) </w:t>
      </w:r>
      <w:r w:rsidR="009733F1">
        <w:t>i</w:t>
      </w:r>
      <w:r w:rsidR="00704609" w:rsidRPr="00F546EC">
        <w:t>dentification</w:t>
      </w:r>
      <w:r w:rsidR="006F300B" w:rsidRPr="00F546EC">
        <w:t>,</w:t>
      </w:r>
      <w:r w:rsidR="00704609" w:rsidRPr="00F546EC">
        <w:t xml:space="preserve"> and </w:t>
      </w:r>
      <w:r w:rsidR="009733F1">
        <w:t>l</w:t>
      </w:r>
      <w:r w:rsidR="00704609" w:rsidRPr="00F546EC">
        <w:t>ow-</w:t>
      </w:r>
      <w:r w:rsidR="009733F1">
        <w:t>f</w:t>
      </w:r>
      <w:r w:rsidR="00704609" w:rsidRPr="00F546EC">
        <w:t xml:space="preserve">requency </w:t>
      </w:r>
      <w:r w:rsidR="009733F1">
        <w:t>b</w:t>
      </w:r>
      <w:r w:rsidR="00704609" w:rsidRPr="00F546EC">
        <w:t xml:space="preserve">ackground </w:t>
      </w:r>
      <w:r w:rsidR="009733F1">
        <w:t>m</w:t>
      </w:r>
      <w:r w:rsidR="00704609" w:rsidRPr="00F546EC">
        <w:t xml:space="preserve">odel </w:t>
      </w:r>
      <w:r w:rsidR="009733F1">
        <w:t>s</w:t>
      </w:r>
      <w:r w:rsidR="00704609" w:rsidRPr="00F546EC">
        <w:t xml:space="preserve">eismic </w:t>
      </w:r>
      <w:r w:rsidR="009733F1">
        <w:t>i</w:t>
      </w:r>
      <w:r w:rsidR="00704609" w:rsidRPr="00F546EC">
        <w:t>nversion</w:t>
      </w:r>
      <w:bookmarkEnd w:id="66"/>
      <w:bookmarkEnd w:id="67"/>
    </w:p>
    <w:p w14:paraId="28ED19F4" w14:textId="6FE66FD7" w:rsidR="002F7520" w:rsidRDefault="009D187B" w:rsidP="00C90F7A">
      <w:pPr>
        <w:ind w:firstLine="360"/>
      </w:pPr>
      <w:r w:rsidRPr="00F546EC">
        <w:t xml:space="preserve">For the </w:t>
      </w:r>
      <w:r w:rsidR="00D80750">
        <w:t xml:space="preserve">Cherokee </w:t>
      </w:r>
      <w:r w:rsidR="00FC03F7">
        <w:t>platform</w:t>
      </w:r>
      <w:r w:rsidR="00D80750">
        <w:t xml:space="preserve"> in </w:t>
      </w:r>
      <w:r w:rsidRPr="00F546EC">
        <w:t xml:space="preserve">Oklahoma, U.S.A., </w:t>
      </w:r>
      <w:r w:rsidR="00E33B57" w:rsidRPr="00F546EC">
        <w:t>Althoff</w:t>
      </w:r>
      <w:r w:rsidRPr="00F546EC">
        <w:t xml:space="preserve"> (2012), Amorocho-Sanchez (2012), Castillo et al. </w:t>
      </w:r>
      <w:r w:rsidRPr="002B7D98">
        <w:t xml:space="preserve">(2012), </w:t>
      </w:r>
      <w:r w:rsidR="002B7D98" w:rsidRPr="002B7D98">
        <w:t xml:space="preserve">Cardona-Valencia (2014), and </w:t>
      </w:r>
      <w:r w:rsidRPr="002B7D98">
        <w:t>Infante-Paez et al. (2016)</w:t>
      </w:r>
      <w:r w:rsidR="002B7D98">
        <w:t xml:space="preserve"> </w:t>
      </w:r>
      <w:r w:rsidRPr="00F546EC">
        <w:t xml:space="preserve">have proposed that a complete 3D seismic characterization is </w:t>
      </w:r>
      <w:r w:rsidR="00FC03F7" w:rsidRPr="00F546EC">
        <w:t>an</w:t>
      </w:r>
      <w:r w:rsidRPr="00F546EC">
        <w:t xml:space="preserve"> </w:t>
      </w:r>
      <w:r w:rsidR="00DF6234">
        <w:t>essential</w:t>
      </w:r>
      <w:r w:rsidRPr="00F546EC">
        <w:t xml:space="preserve"> part in the understanding of </w:t>
      </w:r>
      <w:r w:rsidR="006433A7">
        <w:t xml:space="preserve">the Woodford Shale </w:t>
      </w:r>
      <w:r w:rsidRPr="00F546EC">
        <w:t xml:space="preserve">unconventional resource plays. Initially, the main objective of a 3D seismic characterization in </w:t>
      </w:r>
      <w:r w:rsidR="000B0B24" w:rsidRPr="00F546EC">
        <w:t xml:space="preserve">their study </w:t>
      </w:r>
      <w:r w:rsidRPr="00F546EC">
        <w:t>area</w:t>
      </w:r>
      <w:r w:rsidR="000B0B24" w:rsidRPr="00F546EC">
        <w:t>s</w:t>
      </w:r>
      <w:r w:rsidRPr="00F546EC">
        <w:t xml:space="preserve"> was to identify geo-hazards such as faults, fractures, and </w:t>
      </w:r>
      <w:r w:rsidR="00FC03F7" w:rsidRPr="00F546EC">
        <w:t>karsting</w:t>
      </w:r>
      <w:r w:rsidR="00B07D44" w:rsidRPr="00F546EC">
        <w:t>,</w:t>
      </w:r>
      <w:r w:rsidRPr="00F546EC">
        <w:t xml:space="preserve"> which would negatively impact the drilling and completion </w:t>
      </w:r>
      <w:r w:rsidR="00FC03F7">
        <w:t>operational</w:t>
      </w:r>
      <w:r w:rsidR="002B7D98">
        <w:t xml:space="preserve"> practices</w:t>
      </w:r>
      <w:r w:rsidR="000B0B24" w:rsidRPr="00F546EC">
        <w:t xml:space="preserve"> of the wells, as recommended by Sena et al. (201</w:t>
      </w:r>
      <w:r w:rsidR="00CE382F">
        <w:t>1</w:t>
      </w:r>
      <w:r w:rsidR="000B0B24" w:rsidRPr="00F546EC">
        <w:t xml:space="preserve">).  </w:t>
      </w:r>
    </w:p>
    <w:p w14:paraId="7F3280FB" w14:textId="5DA8F5FF" w:rsidR="002F7520" w:rsidRDefault="009D187B" w:rsidP="00C90F7A">
      <w:pPr>
        <w:ind w:firstLine="360"/>
      </w:pPr>
      <w:r w:rsidRPr="00F546EC">
        <w:t>This study in</w:t>
      </w:r>
      <w:r w:rsidR="002068E5">
        <w:t>tegrate</w:t>
      </w:r>
      <w:r w:rsidRPr="00F546EC">
        <w:t>s a multi-attribute seismic analysis in combination with post</w:t>
      </w:r>
      <w:r w:rsidR="00B07D44" w:rsidRPr="00F546EC">
        <w:t>-</w:t>
      </w:r>
      <w:r w:rsidRPr="00F546EC">
        <w:t>stack seismic inversion</w:t>
      </w:r>
      <w:r w:rsidR="004A1F8F" w:rsidRPr="00F546EC">
        <w:t xml:space="preserve"> (P-</w:t>
      </w:r>
      <w:r w:rsidR="00BB4EC7">
        <w:t>i</w:t>
      </w:r>
      <w:r w:rsidR="004A1F8F" w:rsidRPr="00F546EC">
        <w:t>mpedance inversion</w:t>
      </w:r>
      <w:r w:rsidR="00BB4EC7">
        <w:t>, Z</w:t>
      </w:r>
      <w:r w:rsidR="00BB4EC7" w:rsidRPr="00BB4EC7">
        <w:rPr>
          <w:vertAlign w:val="subscript"/>
        </w:rPr>
        <w:t>p</w:t>
      </w:r>
      <w:r w:rsidR="004A1F8F" w:rsidRPr="00F546EC">
        <w:t>)</w:t>
      </w:r>
      <w:r w:rsidR="002068E5">
        <w:t>. The incorporation of seismic volumes with Z</w:t>
      </w:r>
      <w:r w:rsidR="002068E5" w:rsidRPr="002068E5">
        <w:rPr>
          <w:vertAlign w:val="subscript"/>
        </w:rPr>
        <w:t>p</w:t>
      </w:r>
      <w:r w:rsidR="002068E5">
        <w:t xml:space="preserve"> data </w:t>
      </w:r>
      <w:r w:rsidR="007E190D">
        <w:t>is</w:t>
      </w:r>
      <w:r w:rsidR="002068E5">
        <w:t xml:space="preserve"> helpful for analyzing</w:t>
      </w:r>
      <w:r w:rsidRPr="00F546EC">
        <w:t xml:space="preserve"> not only</w:t>
      </w:r>
      <w:r w:rsidR="002068E5">
        <w:t xml:space="preserve"> the</w:t>
      </w:r>
      <w:r w:rsidRPr="00F546EC">
        <w:t xml:space="preserve"> </w:t>
      </w:r>
      <w:r w:rsidR="004D772B" w:rsidRPr="00F546EC">
        <w:t>significant</w:t>
      </w:r>
      <w:r w:rsidRPr="00F546EC">
        <w:t xml:space="preserve"> geologic features such as faults, fracture zones</w:t>
      </w:r>
      <w:r w:rsidR="007E190D">
        <w:t>,</w:t>
      </w:r>
      <w:r w:rsidRPr="00F546EC">
        <w:t xml:space="preserve"> or folds but also to identify vertical and lateral changes in rock properties related to the impedance</w:t>
      </w:r>
      <w:r w:rsidR="00163021">
        <w:t xml:space="preserve">. </w:t>
      </w:r>
    </w:p>
    <w:p w14:paraId="20B98F6C" w14:textId="35F21779" w:rsidR="009D187B" w:rsidRPr="00F546EC" w:rsidRDefault="00163021" w:rsidP="00C90F7A">
      <w:pPr>
        <w:ind w:firstLine="360"/>
      </w:pPr>
      <w:r w:rsidRPr="008054AB">
        <w:rPr>
          <w:lang w:val="es-CO"/>
        </w:rPr>
        <w:t>Hampson et al. (2001)</w:t>
      </w:r>
      <w:r w:rsidR="00F33EED" w:rsidRPr="008054AB">
        <w:rPr>
          <w:lang w:val="es-CO"/>
        </w:rPr>
        <w:t>, Verma (2014)</w:t>
      </w:r>
      <w:r w:rsidRPr="008054AB">
        <w:rPr>
          <w:lang w:val="es-CO"/>
        </w:rPr>
        <w:t xml:space="preserve"> and Verma et al. </w:t>
      </w:r>
      <w:r>
        <w:t>(2016) proposed that there is a Z</w:t>
      </w:r>
      <w:r w:rsidRPr="00163021">
        <w:rPr>
          <w:vertAlign w:val="subscript"/>
        </w:rPr>
        <w:t>p</w:t>
      </w:r>
      <w:r>
        <w:t xml:space="preserve"> correlation with rock compositional properties,</w:t>
      </w:r>
      <w:r w:rsidR="001E0F46">
        <w:t xml:space="preserve"> such</w:t>
      </w:r>
      <w:r>
        <w:t xml:space="preserve"> </w:t>
      </w:r>
      <w:r w:rsidR="007E190D">
        <w:t xml:space="preserve">as </w:t>
      </w:r>
      <w:r>
        <w:t xml:space="preserve">the total porosity and the </w:t>
      </w:r>
      <w:r w:rsidR="00113F2F">
        <w:t>o</w:t>
      </w:r>
      <w:r w:rsidR="004A1F8F" w:rsidRPr="00F546EC">
        <w:t xml:space="preserve">rganic </w:t>
      </w:r>
      <w:r w:rsidR="00113F2F">
        <w:t>m</w:t>
      </w:r>
      <w:r w:rsidR="004A1F8F" w:rsidRPr="00F546EC">
        <w:t xml:space="preserve">atter </w:t>
      </w:r>
      <w:r w:rsidR="00BB4EC7">
        <w:t>%</w:t>
      </w:r>
      <w:r w:rsidR="004A1F8F" w:rsidRPr="00F546EC">
        <w:t>TOC</w:t>
      </w:r>
      <w:r>
        <w:t>. These correlations</w:t>
      </w:r>
      <w:r w:rsidR="001A02D0">
        <w:t xml:space="preserve"> with Z</w:t>
      </w:r>
      <w:r w:rsidR="001A02D0" w:rsidRPr="001A02D0">
        <w:rPr>
          <w:vertAlign w:val="subscript"/>
        </w:rPr>
        <w:t>p</w:t>
      </w:r>
      <w:r w:rsidR="009D187B" w:rsidRPr="00F546EC">
        <w:t xml:space="preserve"> help</w:t>
      </w:r>
      <w:r w:rsidR="004A1F8F" w:rsidRPr="00F546EC">
        <w:t xml:space="preserve"> to understand the depositional conditions and variabilities</w:t>
      </w:r>
      <w:r>
        <w:t xml:space="preserve"> of the rocks of interest</w:t>
      </w:r>
      <w:r w:rsidR="004A1F8F" w:rsidRPr="00F546EC">
        <w:t>, but addition</w:t>
      </w:r>
      <w:r w:rsidR="004D772B" w:rsidRPr="00F546EC">
        <w:t>al</w:t>
      </w:r>
      <w:r w:rsidR="004A1F8F" w:rsidRPr="00F546EC">
        <w:t>ly, to propose how to</w:t>
      </w:r>
      <w:r w:rsidR="009D187B" w:rsidRPr="00F546EC">
        <w:t xml:space="preserve"> place horizontal wells in strata with higher potential for </w:t>
      </w:r>
      <w:r w:rsidR="001D2244">
        <w:t xml:space="preserve">unconventional </w:t>
      </w:r>
      <w:r w:rsidR="009D187B" w:rsidRPr="00F546EC">
        <w:t>oil and gas production</w:t>
      </w:r>
      <w:r w:rsidR="001D2244">
        <w:t xml:space="preserve"> (</w:t>
      </w:r>
      <w:r w:rsidR="00F33EED">
        <w:t xml:space="preserve">rock intervals with </w:t>
      </w:r>
      <w:r>
        <w:t>higher %TOC and higher total porosity</w:t>
      </w:r>
      <w:r w:rsidR="001D2244">
        <w:t xml:space="preserve">; </w:t>
      </w:r>
      <w:r w:rsidR="005B533E" w:rsidRPr="00F546EC">
        <w:t xml:space="preserve">applied </w:t>
      </w:r>
      <w:r w:rsidR="00E9492B" w:rsidRPr="00F546EC">
        <w:t xml:space="preserve">workflow in Figure </w:t>
      </w:r>
      <w:r w:rsidR="000C6EED" w:rsidRPr="00F546EC">
        <w:t>2.</w:t>
      </w:r>
      <w:r w:rsidR="00E9492B" w:rsidRPr="00F546EC">
        <w:t>4</w:t>
      </w:r>
      <w:r w:rsidR="00E33E28">
        <w:t xml:space="preserve">; </w:t>
      </w:r>
      <w:r w:rsidR="001457E9">
        <w:t>Infante et al., 2016; Verma et al., 2016</w:t>
      </w:r>
      <w:r w:rsidR="00E9492B" w:rsidRPr="00F546EC">
        <w:t>)</w:t>
      </w:r>
      <w:r w:rsidR="009D187B" w:rsidRPr="00F546EC">
        <w:t xml:space="preserve">. </w:t>
      </w:r>
    </w:p>
    <w:p w14:paraId="01E4CC39" w14:textId="77777777" w:rsidR="00B9490C" w:rsidRDefault="00987AD1" w:rsidP="00F5746A">
      <w:pPr>
        <w:spacing w:after="0"/>
        <w:jc w:val="center"/>
        <w:rPr>
          <w:b/>
          <w:bCs/>
        </w:rPr>
      </w:pPr>
      <w:r w:rsidRPr="001E7D67">
        <w:rPr>
          <w:noProof/>
        </w:rPr>
        <w:lastRenderedPageBreak/>
        <w:drawing>
          <wp:inline distT="0" distB="0" distL="0" distR="0" wp14:anchorId="5C547FB9" wp14:editId="382CF0E6">
            <wp:extent cx="5207000" cy="6291943"/>
            <wp:effectExtent l="0" t="0" r="0" b="0"/>
            <wp:docPr id="2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2898" cy="6299070"/>
                    </a:xfrm>
                    <a:prstGeom prst="rect">
                      <a:avLst/>
                    </a:prstGeom>
                    <a:noFill/>
                    <a:ln>
                      <a:noFill/>
                    </a:ln>
                  </pic:spPr>
                </pic:pic>
              </a:graphicData>
            </a:graphic>
          </wp:inline>
        </w:drawing>
      </w:r>
    </w:p>
    <w:p w14:paraId="06D28852" w14:textId="326F05E8" w:rsidR="00273509" w:rsidRDefault="00023EDE" w:rsidP="00B9490C">
      <w:pPr>
        <w:pStyle w:val="Caption"/>
      </w:pPr>
      <w:bookmarkStart w:id="68" w:name="_Toc35861167"/>
      <w:r w:rsidRPr="00F546EC">
        <w:rPr>
          <w:b/>
        </w:rPr>
        <w:t>Figure</w:t>
      </w:r>
      <w:r w:rsidR="00BE63F5" w:rsidRPr="00F546EC">
        <w:rPr>
          <w:b/>
        </w:rPr>
        <w:t xml:space="preserve"> </w:t>
      </w:r>
      <w:r w:rsidR="00FB2D3D" w:rsidRPr="00F546EC">
        <w:rPr>
          <w:b/>
        </w:rPr>
        <w:t>2.</w:t>
      </w:r>
      <w:r w:rsidR="00BE63F5" w:rsidRPr="00F546EC">
        <w:rPr>
          <w:b/>
        </w:rPr>
        <w:t>4</w:t>
      </w:r>
      <w:r w:rsidRPr="00F546EC">
        <w:rPr>
          <w:b/>
        </w:rPr>
        <w:t xml:space="preserve">. </w:t>
      </w:r>
      <w:r w:rsidRPr="003D5430">
        <w:t xml:space="preserve">OU IRC-AASPI </w:t>
      </w:r>
      <w:r w:rsidRPr="00F546EC">
        <w:t xml:space="preserve">consortium 3D </w:t>
      </w:r>
      <w:r w:rsidR="004D4FFE">
        <w:t>s</w:t>
      </w:r>
      <w:r w:rsidRPr="00F546EC">
        <w:t xml:space="preserve">eismic interpretation and </w:t>
      </w:r>
      <w:r w:rsidR="004D4FFE">
        <w:t>i</w:t>
      </w:r>
      <w:r w:rsidRPr="00F546EC">
        <w:t>nversion workflow. Only post-stack data was available for inversion.</w:t>
      </w:r>
      <w:bookmarkEnd w:id="68"/>
    </w:p>
    <w:p w14:paraId="68425B56" w14:textId="54B6EC13" w:rsidR="002F7520" w:rsidRDefault="002F7520" w:rsidP="002F7520">
      <w:pPr>
        <w:rPr>
          <w:lang w:bidi="en-US"/>
        </w:rPr>
      </w:pPr>
    </w:p>
    <w:p w14:paraId="088B7C15" w14:textId="6A23E9AC" w:rsidR="002F7520" w:rsidRDefault="002F7520" w:rsidP="002F7520">
      <w:pPr>
        <w:rPr>
          <w:lang w:bidi="en-US"/>
        </w:rPr>
      </w:pPr>
    </w:p>
    <w:p w14:paraId="7EC86697" w14:textId="69149967" w:rsidR="002F7520" w:rsidRDefault="002F7520" w:rsidP="002F7520">
      <w:pPr>
        <w:rPr>
          <w:lang w:bidi="en-US"/>
        </w:rPr>
      </w:pPr>
    </w:p>
    <w:p w14:paraId="190BC1B6" w14:textId="423EE9E3" w:rsidR="002F7520" w:rsidRDefault="002F7520" w:rsidP="002F7520">
      <w:pPr>
        <w:spacing w:after="0"/>
        <w:ind w:firstLine="360"/>
      </w:pPr>
      <w:r w:rsidRPr="00F546EC">
        <w:lastRenderedPageBreak/>
        <w:t>In order to highlight the presence of potential “</w:t>
      </w:r>
      <w:r>
        <w:t>enclosed mini-basin fill</w:t>
      </w:r>
      <w:r w:rsidRPr="00F546EC">
        <w:t xml:space="preserve">” type deposits, time thickness interpretation, coherent energy, most-positive, and most-negative curvature volumes were computed and interpreted for the Hunton Group horizon which represents the base of the Woodford </w:t>
      </w:r>
      <w:r>
        <w:t>S</w:t>
      </w:r>
      <w:r w:rsidRPr="00F546EC">
        <w:t>hale (Figure 2.2, Figure 2.5., Figure 2.7</w:t>
      </w:r>
      <w:r>
        <w:t xml:space="preserve"> -</w:t>
      </w:r>
      <w:r w:rsidRPr="00F546EC">
        <w:t xml:space="preserve"> 2.11). By using coherent energy attributes, negative response features were identified as karsts and faults</w:t>
      </w:r>
      <w:r>
        <w:t xml:space="preserve"> </w:t>
      </w:r>
      <w:r w:rsidRPr="00F546EC">
        <w:t>(Figure 2.10 and Figure 2.11)</w:t>
      </w:r>
      <w:r>
        <w:t xml:space="preserve">. </w:t>
      </w:r>
    </w:p>
    <w:p w14:paraId="029F7453" w14:textId="77777777" w:rsidR="002F7520" w:rsidRDefault="002F7520" w:rsidP="002F7520">
      <w:pPr>
        <w:spacing w:after="0"/>
        <w:ind w:firstLine="360"/>
      </w:pPr>
    </w:p>
    <w:p w14:paraId="731330AA" w14:textId="237B3CA6" w:rsidR="002F7520" w:rsidRPr="00F546EC" w:rsidRDefault="002F7520" w:rsidP="002F7520">
      <w:pPr>
        <w:spacing w:after="0"/>
        <w:ind w:firstLine="360"/>
      </w:pPr>
      <w:r>
        <w:t>I</w:t>
      </w:r>
      <w:r w:rsidRPr="00F546EC">
        <w:t>n the study area, the Hunton group is almost completely eroded and characterized by low seismic energy values (Figure 2.10 and Figure 2.11). Also, the most positive</w:t>
      </w:r>
      <w:r w:rsidR="00BD6D7C">
        <w:t xml:space="preserve"> and </w:t>
      </w:r>
      <w:r w:rsidRPr="00F546EC">
        <w:t>most negative curvature</w:t>
      </w:r>
      <w:r w:rsidR="00BD6D7C">
        <w:t xml:space="preserve"> seismic</w:t>
      </w:r>
      <w:r w:rsidRPr="00F546EC">
        <w:t xml:space="preserve"> attribute</w:t>
      </w:r>
      <w:r w:rsidR="00BD6D7C">
        <w:t>s</w:t>
      </w:r>
      <w:r w:rsidRPr="00F546EC">
        <w:t xml:space="preserve"> w</w:t>
      </w:r>
      <w:r w:rsidR="00BD6D7C">
        <w:t>ere</w:t>
      </w:r>
      <w:r w:rsidRPr="00F546EC">
        <w:t xml:space="preserve"> a useful tool in identifying karst features</w:t>
      </w:r>
      <w:r w:rsidR="00BD6D7C">
        <w:t xml:space="preserve"> </w:t>
      </w:r>
      <w:r w:rsidR="00BD6D7C" w:rsidRPr="00F546EC">
        <w:t>(Figure 2.9 and Figure 2.11)</w:t>
      </w:r>
      <w:r w:rsidRPr="00F546EC">
        <w:t>. These collapse features can be recognized as negative values of most-positive curvature (Figure 2.5</w:t>
      </w:r>
      <w:r w:rsidR="00BD6D7C">
        <w:t>, Figure 2.9 – 2.11</w:t>
      </w:r>
      <w:r w:rsidRPr="00F546EC">
        <w:t>; Baruch et al.</w:t>
      </w:r>
      <w:r>
        <w:t>,</w:t>
      </w:r>
      <w:r w:rsidRPr="00F546EC">
        <w:t xml:space="preserve"> 2009</w:t>
      </w:r>
      <w:r>
        <w:t>; Gupta, 2012</w:t>
      </w:r>
      <w:r w:rsidRPr="00F546EC">
        <w:t xml:space="preserve">). Also, the Hunton </w:t>
      </w:r>
      <w:r>
        <w:t>i</w:t>
      </w:r>
      <w:r w:rsidRPr="00F546EC">
        <w:t xml:space="preserve">sochron map shows in the central and north part of the study area a </w:t>
      </w:r>
      <w:r w:rsidRPr="00F546EC">
        <w:rPr>
          <w:rFonts w:eastAsia="Times New Roman"/>
          <w:color w:val="000000"/>
        </w:rPr>
        <w:t xml:space="preserve">concave downward pod-shaped </w:t>
      </w:r>
      <w:r>
        <w:rPr>
          <w:color w:val="000000"/>
          <w:shd w:val="clear" w:color="auto" w:fill="FFFFFF"/>
        </w:rPr>
        <w:t>structure</w:t>
      </w:r>
      <w:r w:rsidRPr="00F546EC">
        <w:rPr>
          <w:color w:val="000000"/>
          <w:shd w:val="clear" w:color="auto" w:fill="FFFFFF"/>
        </w:rPr>
        <w:t xml:space="preserve"> </w:t>
      </w:r>
      <w:r w:rsidRPr="00F546EC">
        <w:t xml:space="preserve">topography (Figure 2.5, Figure 2.9 and Figure 2.11). </w:t>
      </w:r>
    </w:p>
    <w:p w14:paraId="564DE9A5" w14:textId="060947FF" w:rsidR="002F7520" w:rsidRDefault="002F7520" w:rsidP="002F7520">
      <w:pPr>
        <w:rPr>
          <w:lang w:bidi="en-US"/>
        </w:rPr>
      </w:pPr>
    </w:p>
    <w:p w14:paraId="2D1BA814" w14:textId="77777777" w:rsidR="002F7520" w:rsidRPr="002F7520" w:rsidRDefault="002F7520" w:rsidP="002F7520">
      <w:pPr>
        <w:rPr>
          <w:lang w:bidi="en-US"/>
        </w:rPr>
      </w:pPr>
    </w:p>
    <w:p w14:paraId="5F27075A" w14:textId="0D5BFB9E" w:rsidR="00F02DF2" w:rsidRPr="00F546EC" w:rsidRDefault="00987AD1" w:rsidP="0063146D">
      <w:pPr>
        <w:spacing w:after="0" w:line="276" w:lineRule="auto"/>
        <w:jc w:val="center"/>
      </w:pPr>
      <w:r w:rsidRPr="001E7D67">
        <w:rPr>
          <w:noProof/>
        </w:rPr>
        <w:lastRenderedPageBreak/>
        <w:drawing>
          <wp:inline distT="0" distB="0" distL="0" distR="0" wp14:anchorId="0165CBD0" wp14:editId="4A9DA1AE">
            <wp:extent cx="5212080" cy="3657600"/>
            <wp:effectExtent l="0" t="0" r="7620" b="0"/>
            <wp:docPr id="261"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ChangeAspect="1" noChangeArrowheads="1"/>
                    </pic:cNvPicPr>
                  </pic:nvPicPr>
                  <pic:blipFill>
                    <a:blip r:embed="rId34">
                      <a:extLst>
                        <a:ext uri="{28A0092B-C50C-407E-A947-70E740481C1C}">
                          <a14:useLocalDpi xmlns:a14="http://schemas.microsoft.com/office/drawing/2010/main" val="0"/>
                        </a:ext>
                      </a:extLst>
                    </a:blip>
                    <a:srcRect t="5232" r="23036" b="4984"/>
                    <a:stretch>
                      <a:fillRect/>
                    </a:stretch>
                  </pic:blipFill>
                  <pic:spPr bwMode="auto">
                    <a:xfrm>
                      <a:off x="0" y="0"/>
                      <a:ext cx="5212080" cy="3657600"/>
                    </a:xfrm>
                    <a:prstGeom prst="rect">
                      <a:avLst/>
                    </a:prstGeom>
                    <a:noFill/>
                    <a:ln>
                      <a:noFill/>
                    </a:ln>
                  </pic:spPr>
                </pic:pic>
              </a:graphicData>
            </a:graphic>
          </wp:inline>
        </w:drawing>
      </w:r>
    </w:p>
    <w:p w14:paraId="7751EF2B" w14:textId="14E6DBEC" w:rsidR="00F02DF2" w:rsidRPr="00F546EC" w:rsidRDefault="00F02DF2" w:rsidP="00B9490C">
      <w:pPr>
        <w:pStyle w:val="Caption"/>
      </w:pPr>
      <w:bookmarkStart w:id="69" w:name="_Toc35861168"/>
      <w:r w:rsidRPr="00F546EC">
        <w:rPr>
          <w:b/>
        </w:rPr>
        <w:t xml:space="preserve">Figure </w:t>
      </w:r>
      <w:r w:rsidR="00FB2D3D" w:rsidRPr="00F546EC">
        <w:rPr>
          <w:b/>
        </w:rPr>
        <w:t>2.</w:t>
      </w:r>
      <w:r w:rsidR="007D6F25" w:rsidRPr="00F546EC">
        <w:rPr>
          <w:b/>
        </w:rPr>
        <w:t>5</w:t>
      </w:r>
      <w:r w:rsidRPr="00F546EC">
        <w:rPr>
          <w:b/>
        </w:rPr>
        <w:t>.</w:t>
      </w:r>
      <w:r w:rsidRPr="00F546EC">
        <w:t xml:space="preserve"> Time thickness map</w:t>
      </w:r>
      <w:r w:rsidR="005B20D9">
        <w:t xml:space="preserve"> in milliseconds [ms] </w:t>
      </w:r>
      <w:r w:rsidRPr="00F546EC">
        <w:t xml:space="preserve">of the Hunton </w:t>
      </w:r>
      <w:r w:rsidR="005B20D9">
        <w:t>G</w:t>
      </w:r>
      <w:r w:rsidRPr="00F546EC">
        <w:t xml:space="preserve">roup. Low isochron areas with the potential of </w:t>
      </w:r>
      <w:r w:rsidR="00804F72">
        <w:t xml:space="preserve">enclosed mini-basin </w:t>
      </w:r>
      <w:r w:rsidR="00A22E4E">
        <w:t>fill</w:t>
      </w:r>
      <w:r w:rsidRPr="00F546EC">
        <w:t xml:space="preserve"> type deposits.</w:t>
      </w:r>
      <w:bookmarkEnd w:id="69"/>
    </w:p>
    <w:p w14:paraId="77E1EB3F" w14:textId="43B80B31" w:rsidR="00F023CE" w:rsidRPr="00F546EC" w:rsidRDefault="00987AD1" w:rsidP="0063146D">
      <w:pPr>
        <w:spacing w:line="276" w:lineRule="auto"/>
        <w:jc w:val="center"/>
      </w:pPr>
      <w:r w:rsidRPr="001E7D67">
        <w:rPr>
          <w:noProof/>
        </w:rPr>
        <w:drawing>
          <wp:inline distT="0" distB="0" distL="0" distR="0" wp14:anchorId="0CE59200" wp14:editId="733E89E8">
            <wp:extent cx="5212080" cy="3657600"/>
            <wp:effectExtent l="0" t="0" r="7620" b="0"/>
            <wp:docPr id="26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12080" cy="3657600"/>
                    </a:xfrm>
                    <a:prstGeom prst="rect">
                      <a:avLst/>
                    </a:prstGeom>
                    <a:noFill/>
                    <a:ln>
                      <a:noFill/>
                    </a:ln>
                  </pic:spPr>
                </pic:pic>
              </a:graphicData>
            </a:graphic>
          </wp:inline>
        </w:drawing>
      </w:r>
    </w:p>
    <w:p w14:paraId="4AF46259" w14:textId="7D2B1710" w:rsidR="00F023CE" w:rsidRPr="00F546EC" w:rsidRDefault="00F023CE" w:rsidP="0063146D">
      <w:pPr>
        <w:pStyle w:val="Caption"/>
      </w:pPr>
      <w:bookmarkStart w:id="70" w:name="_Toc35861169"/>
      <w:r w:rsidRPr="00F546EC">
        <w:rPr>
          <w:b/>
        </w:rPr>
        <w:t xml:space="preserve">Figure </w:t>
      </w:r>
      <w:r w:rsidR="00FB2D3D" w:rsidRPr="00F546EC">
        <w:rPr>
          <w:b/>
        </w:rPr>
        <w:t>2.</w:t>
      </w:r>
      <w:r w:rsidR="00171E0C" w:rsidRPr="00F546EC">
        <w:rPr>
          <w:b/>
        </w:rPr>
        <w:t>6</w:t>
      </w:r>
      <w:r w:rsidRPr="00F546EC">
        <w:rPr>
          <w:b/>
        </w:rPr>
        <w:t>.</w:t>
      </w:r>
      <w:r w:rsidRPr="00F546EC">
        <w:t xml:space="preserve"> Time </w:t>
      </w:r>
      <w:r w:rsidR="004D4FFE">
        <w:t>s</w:t>
      </w:r>
      <w:r w:rsidRPr="00F546EC">
        <w:t xml:space="preserve">tructure map </w:t>
      </w:r>
      <w:r w:rsidR="005B20D9">
        <w:t xml:space="preserve">in milliseconds [ms] </w:t>
      </w:r>
      <w:r w:rsidRPr="00F546EC">
        <w:t>of the Hunton group</w:t>
      </w:r>
      <w:bookmarkEnd w:id="70"/>
    </w:p>
    <w:p w14:paraId="09B87409" w14:textId="55D38EDD" w:rsidR="00C67ADD" w:rsidRPr="00F546EC" w:rsidRDefault="00987AD1" w:rsidP="00C90F7A">
      <w:pPr>
        <w:spacing w:after="0"/>
        <w:jc w:val="center"/>
      </w:pPr>
      <w:r w:rsidRPr="001E7D67">
        <w:rPr>
          <w:noProof/>
        </w:rPr>
        <w:lastRenderedPageBreak/>
        <w:drawing>
          <wp:inline distT="0" distB="0" distL="0" distR="0" wp14:anchorId="346ACE78" wp14:editId="38F37A81">
            <wp:extent cx="5212080" cy="3661459"/>
            <wp:effectExtent l="0" t="0" r="7620" b="0"/>
            <wp:docPr id="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r="14764"/>
                    <a:stretch>
                      <a:fillRect/>
                    </a:stretch>
                  </pic:blipFill>
                  <pic:spPr bwMode="auto">
                    <a:xfrm>
                      <a:off x="0" y="0"/>
                      <a:ext cx="5212080" cy="3661459"/>
                    </a:xfrm>
                    <a:prstGeom prst="rect">
                      <a:avLst/>
                    </a:prstGeom>
                    <a:noFill/>
                    <a:ln>
                      <a:noFill/>
                    </a:ln>
                  </pic:spPr>
                </pic:pic>
              </a:graphicData>
            </a:graphic>
          </wp:inline>
        </w:drawing>
      </w:r>
    </w:p>
    <w:p w14:paraId="60212574" w14:textId="1691F503" w:rsidR="00C67ADD" w:rsidRPr="00F546EC" w:rsidRDefault="00C67ADD" w:rsidP="00B9490C">
      <w:pPr>
        <w:pStyle w:val="Caption"/>
      </w:pPr>
      <w:bookmarkStart w:id="71" w:name="_Toc35861170"/>
      <w:r w:rsidRPr="00F546EC">
        <w:rPr>
          <w:b/>
        </w:rPr>
        <w:t>Figure</w:t>
      </w:r>
      <w:r w:rsidR="00171E0C" w:rsidRPr="00F546EC">
        <w:rPr>
          <w:b/>
        </w:rPr>
        <w:t xml:space="preserve"> </w:t>
      </w:r>
      <w:r w:rsidR="00FB2D3D" w:rsidRPr="00F546EC">
        <w:rPr>
          <w:b/>
        </w:rPr>
        <w:t>2.</w:t>
      </w:r>
      <w:r w:rsidR="00171E0C" w:rsidRPr="00F546EC">
        <w:rPr>
          <w:b/>
        </w:rPr>
        <w:t>7</w:t>
      </w:r>
      <w:r w:rsidRPr="00F546EC">
        <w:rPr>
          <w:b/>
        </w:rPr>
        <w:t>.</w:t>
      </w:r>
      <w:r w:rsidRPr="00F546EC">
        <w:t xml:space="preserve"> Time </w:t>
      </w:r>
      <w:r w:rsidR="004D4FFE">
        <w:t>t</w:t>
      </w:r>
      <w:r w:rsidRPr="00F546EC">
        <w:t xml:space="preserve">hickness map of the Woodford </w:t>
      </w:r>
      <w:r w:rsidR="005C3C79">
        <w:t>S</w:t>
      </w:r>
      <w:r w:rsidRPr="00F546EC">
        <w:t>hale</w:t>
      </w:r>
      <w:r w:rsidR="005A685A">
        <w:t xml:space="preserve"> [ms]</w:t>
      </w:r>
      <w:r w:rsidRPr="00F546EC">
        <w:t xml:space="preserve">. Note </w:t>
      </w:r>
      <w:r w:rsidR="00006843" w:rsidRPr="00F546EC">
        <w:t xml:space="preserve">the </w:t>
      </w:r>
      <w:r w:rsidRPr="00F546EC">
        <w:t>thicker area in the middle part of the study area, where the Hunton isochron values (time thickness) are zero (</w:t>
      </w:r>
      <w:r w:rsidR="00BE60CA" w:rsidRPr="00F546EC">
        <w:t>Figure 4).</w:t>
      </w:r>
      <w:bookmarkEnd w:id="71"/>
    </w:p>
    <w:p w14:paraId="55FA6FDB" w14:textId="191A2F1C" w:rsidR="00BE60CA" w:rsidRPr="00F546EC" w:rsidRDefault="00987AD1" w:rsidP="0063146D">
      <w:pPr>
        <w:spacing w:after="0" w:line="276" w:lineRule="auto"/>
        <w:jc w:val="center"/>
      </w:pPr>
      <w:r w:rsidRPr="001E7D67">
        <w:rPr>
          <w:noProof/>
        </w:rPr>
        <w:drawing>
          <wp:inline distT="0" distB="0" distL="0" distR="0" wp14:anchorId="1CC421F8" wp14:editId="2460EDF8">
            <wp:extent cx="5212080" cy="3657600"/>
            <wp:effectExtent l="0" t="0" r="7620" b="0"/>
            <wp:docPr id="25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12080" cy="3657600"/>
                    </a:xfrm>
                    <a:prstGeom prst="rect">
                      <a:avLst/>
                    </a:prstGeom>
                    <a:noFill/>
                    <a:ln>
                      <a:noFill/>
                    </a:ln>
                  </pic:spPr>
                </pic:pic>
              </a:graphicData>
            </a:graphic>
          </wp:inline>
        </w:drawing>
      </w:r>
    </w:p>
    <w:p w14:paraId="6C9C0CD9" w14:textId="4E6919E5" w:rsidR="00BE60CA" w:rsidRPr="00F546EC" w:rsidRDefault="00BE60CA" w:rsidP="004D4FFE">
      <w:pPr>
        <w:pStyle w:val="Caption"/>
        <w:jc w:val="center"/>
      </w:pPr>
      <w:bookmarkStart w:id="72" w:name="_Toc35861171"/>
      <w:r w:rsidRPr="00F546EC">
        <w:rPr>
          <w:b/>
        </w:rPr>
        <w:t>Figure</w:t>
      </w:r>
      <w:r w:rsidR="00171E0C" w:rsidRPr="00F546EC">
        <w:rPr>
          <w:b/>
        </w:rPr>
        <w:t xml:space="preserve"> </w:t>
      </w:r>
      <w:r w:rsidR="00FB2D3D" w:rsidRPr="00F546EC">
        <w:rPr>
          <w:b/>
        </w:rPr>
        <w:t>2.</w:t>
      </w:r>
      <w:r w:rsidR="00171E0C" w:rsidRPr="00F546EC">
        <w:rPr>
          <w:b/>
        </w:rPr>
        <w:t>8</w:t>
      </w:r>
      <w:r w:rsidRPr="00F546EC">
        <w:rPr>
          <w:b/>
        </w:rPr>
        <w:t>.</w:t>
      </w:r>
      <w:r w:rsidRPr="00F546EC">
        <w:t xml:space="preserve"> Time Structure map</w:t>
      </w:r>
      <w:r w:rsidR="005A685A">
        <w:t xml:space="preserve"> [ms]</w:t>
      </w:r>
      <w:r w:rsidRPr="00F546EC">
        <w:t xml:space="preserve"> of the Hunton </w:t>
      </w:r>
      <w:r w:rsidR="005A685A">
        <w:t>G</w:t>
      </w:r>
      <w:r w:rsidRPr="00F546EC">
        <w:t>roup</w:t>
      </w:r>
      <w:r w:rsidR="005A685A">
        <w:t>.</w:t>
      </w:r>
      <w:bookmarkEnd w:id="72"/>
    </w:p>
    <w:p w14:paraId="4257EFA7" w14:textId="77777777" w:rsidR="00165305" w:rsidRPr="00F546EC" w:rsidRDefault="00165305" w:rsidP="00165305">
      <w:pPr>
        <w:spacing w:line="276" w:lineRule="auto"/>
        <w:jc w:val="center"/>
      </w:pPr>
      <w:r w:rsidRPr="00027614">
        <w:rPr>
          <w:noProof/>
        </w:rPr>
        <w:lastRenderedPageBreak/>
        <w:drawing>
          <wp:inline distT="0" distB="0" distL="0" distR="0" wp14:anchorId="6B4FAC02" wp14:editId="6A86B346">
            <wp:extent cx="5212080" cy="3657600"/>
            <wp:effectExtent l="0" t="0" r="7620" b="0"/>
            <wp:docPr id="25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8">
                      <a:extLst>
                        <a:ext uri="{28A0092B-C50C-407E-A947-70E740481C1C}">
                          <a14:useLocalDpi xmlns:a14="http://schemas.microsoft.com/office/drawing/2010/main" val="0"/>
                        </a:ext>
                      </a:extLst>
                    </a:blip>
                    <a:srcRect t="8632"/>
                    <a:stretch>
                      <a:fillRect/>
                    </a:stretch>
                  </pic:blipFill>
                  <pic:spPr bwMode="auto">
                    <a:xfrm>
                      <a:off x="0" y="0"/>
                      <a:ext cx="5212080" cy="3657600"/>
                    </a:xfrm>
                    <a:prstGeom prst="rect">
                      <a:avLst/>
                    </a:prstGeom>
                    <a:noFill/>
                    <a:ln>
                      <a:noFill/>
                    </a:ln>
                  </pic:spPr>
                </pic:pic>
              </a:graphicData>
            </a:graphic>
          </wp:inline>
        </w:drawing>
      </w:r>
    </w:p>
    <w:p w14:paraId="4291B814" w14:textId="49D26EEA" w:rsidR="00165305" w:rsidRPr="00F546EC" w:rsidRDefault="00165305" w:rsidP="00165305">
      <w:pPr>
        <w:pStyle w:val="Caption"/>
      </w:pPr>
      <w:bookmarkStart w:id="73" w:name="_Toc35861172"/>
      <w:r w:rsidRPr="00F546EC">
        <w:rPr>
          <w:b/>
        </w:rPr>
        <w:t>Figure 2.9.</w:t>
      </w:r>
      <w:r w:rsidRPr="00F546EC">
        <w:t xml:space="preserve"> Horizon slice along the top Hunton through the most positive curvature and most negative curvature volume. Most negative curvature (blue areas) associated with significant karstifications</w:t>
      </w:r>
      <w:r>
        <w:t xml:space="preserve"> and concave-down areas that can lead to </w:t>
      </w:r>
      <w:r w:rsidR="007E190D">
        <w:t xml:space="preserve">an </w:t>
      </w:r>
      <w:r>
        <w:t>enclosed mini-basins fill.</w:t>
      </w:r>
      <w:bookmarkEnd w:id="73"/>
    </w:p>
    <w:p w14:paraId="4946E81E" w14:textId="77777777" w:rsidR="00165305" w:rsidRPr="00F546EC" w:rsidRDefault="00165305" w:rsidP="00165305">
      <w:pPr>
        <w:spacing w:line="276" w:lineRule="auto"/>
        <w:jc w:val="center"/>
      </w:pPr>
      <w:r w:rsidRPr="001E7D67">
        <w:rPr>
          <w:noProof/>
        </w:rPr>
        <w:drawing>
          <wp:inline distT="0" distB="0" distL="0" distR="0" wp14:anchorId="7D776475" wp14:editId="6765DAC9">
            <wp:extent cx="4709160" cy="3116580"/>
            <wp:effectExtent l="0" t="0" r="0" b="7620"/>
            <wp:docPr id="256"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t="19711"/>
                    <a:stretch>
                      <a:fillRect/>
                    </a:stretch>
                  </pic:blipFill>
                  <pic:spPr bwMode="auto">
                    <a:xfrm>
                      <a:off x="0" y="0"/>
                      <a:ext cx="4709160" cy="3116580"/>
                    </a:xfrm>
                    <a:prstGeom prst="rect">
                      <a:avLst/>
                    </a:prstGeom>
                    <a:noFill/>
                    <a:ln>
                      <a:noFill/>
                    </a:ln>
                  </pic:spPr>
                </pic:pic>
              </a:graphicData>
            </a:graphic>
          </wp:inline>
        </w:drawing>
      </w:r>
    </w:p>
    <w:p w14:paraId="4043A0AA" w14:textId="77777777" w:rsidR="00165305" w:rsidRPr="00F546EC" w:rsidRDefault="00165305" w:rsidP="00165305">
      <w:pPr>
        <w:pStyle w:val="Caption"/>
      </w:pPr>
      <w:bookmarkStart w:id="74" w:name="_Toc35861173"/>
      <w:r w:rsidRPr="00F546EC">
        <w:rPr>
          <w:b/>
        </w:rPr>
        <w:t>Figure 2.10.</w:t>
      </w:r>
      <w:r w:rsidRPr="00F546EC">
        <w:t xml:space="preserve"> Hunton</w:t>
      </w:r>
      <w:r>
        <w:t xml:space="preserve"> Group</w:t>
      </w:r>
      <w:r w:rsidRPr="00F546EC">
        <w:t xml:space="preserve"> time-structure co-rendered with coherent energy, and most negative curvature</w:t>
      </w:r>
      <w:r>
        <w:t>. The y</w:t>
      </w:r>
      <w:r w:rsidRPr="00F546EC">
        <w:t>ellow arrows indicate karst features and possible pod</w:t>
      </w:r>
      <w:r>
        <w:t xml:space="preserve"> depression</w:t>
      </w:r>
      <w:r w:rsidRPr="00F546EC">
        <w:t>s</w:t>
      </w:r>
      <w:r>
        <w:t>;</w:t>
      </w:r>
      <w:r w:rsidRPr="00F546EC">
        <w:t xml:space="preserve"> the Hunton </w:t>
      </w:r>
      <w:r>
        <w:t>G</w:t>
      </w:r>
      <w:r w:rsidRPr="00F546EC">
        <w:t>roup is eroded (almost gone) in the study area.</w:t>
      </w:r>
      <w:bookmarkEnd w:id="74"/>
    </w:p>
    <w:p w14:paraId="69ADA2AB" w14:textId="77777777" w:rsidR="00165305" w:rsidRPr="00F546EC" w:rsidRDefault="00165305" w:rsidP="00165305">
      <w:pPr>
        <w:spacing w:after="0" w:line="276" w:lineRule="auto"/>
        <w:jc w:val="center"/>
      </w:pPr>
      <w:r w:rsidRPr="001E7D67">
        <w:rPr>
          <w:noProof/>
        </w:rPr>
        <w:lastRenderedPageBreak/>
        <w:drawing>
          <wp:inline distT="0" distB="0" distL="0" distR="0" wp14:anchorId="3793E495" wp14:editId="3FB4EE43">
            <wp:extent cx="5212080" cy="3657600"/>
            <wp:effectExtent l="133350" t="114300" r="140970" b="171450"/>
            <wp:docPr id="255" name="Picture 125">
              <a:extLst xmlns:a="http://schemas.openxmlformats.org/drawingml/2006/main">
                <a:ext uri="{FF2B5EF4-FFF2-40B4-BE49-F238E27FC236}">
                  <a16:creationId xmlns:a16="http://schemas.microsoft.com/office/drawing/2014/main" id="{796E1C45-FED5-4B14-BAD2-1B21135BF75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Picture 125">
                      <a:extLst>
                        <a:ext uri="{FF2B5EF4-FFF2-40B4-BE49-F238E27FC236}">
                          <a16:creationId xmlns:a16="http://schemas.microsoft.com/office/drawing/2014/main" id="{796E1C45-FED5-4B14-BAD2-1B21135BF757}"/>
                        </a:ext>
                      </a:extLst>
                    </pic:cNvPr>
                    <pic:cNvPicPr preferRelativeResize="0"/>
                  </pic:nvPicPr>
                  <pic:blipFill>
                    <a:blip r:embed="rId40"/>
                    <a:stretch>
                      <a:fillRect/>
                    </a:stretch>
                  </pic:blipFill>
                  <pic:spPr>
                    <a:xfrm>
                      <a:off x="0" y="0"/>
                      <a:ext cx="5212080" cy="365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5465E13" w14:textId="77777777" w:rsidR="00165305" w:rsidRPr="00F546EC" w:rsidRDefault="00165305" w:rsidP="00165305">
      <w:pPr>
        <w:pStyle w:val="Caption"/>
      </w:pPr>
      <w:bookmarkStart w:id="75" w:name="_Toc35861174"/>
      <w:r w:rsidRPr="00F546EC">
        <w:rPr>
          <w:b/>
        </w:rPr>
        <w:t xml:space="preserve">Figure 2.11. </w:t>
      </w:r>
      <w:r w:rsidRPr="00F546EC">
        <w:t xml:space="preserve">Hunton time-thickness co-rendered with coherent energy (zero and near-zero that correlate with dark coherency features contours indicate karst features and possible lake pods). Note that the Hunton </w:t>
      </w:r>
      <w:r>
        <w:t>g</w:t>
      </w:r>
      <w:r w:rsidRPr="00F546EC">
        <w:t>roup is eroded (almost gone) in the study area.</w:t>
      </w:r>
      <w:bookmarkEnd w:id="75"/>
    </w:p>
    <w:p w14:paraId="0318675A" w14:textId="77777777" w:rsidR="00165305" w:rsidRDefault="00165305" w:rsidP="00C90F7A">
      <w:pPr>
        <w:ind w:firstLine="720"/>
      </w:pPr>
    </w:p>
    <w:p w14:paraId="446624F4" w14:textId="1699B57F" w:rsidR="00BD7456" w:rsidRPr="00F546EC" w:rsidRDefault="00C90F7A" w:rsidP="00C90F7A">
      <w:pPr>
        <w:ind w:firstLine="720"/>
      </w:pPr>
      <w:r>
        <w:t xml:space="preserve">The </w:t>
      </w:r>
      <w:r w:rsidR="00196163">
        <w:t>Z</w:t>
      </w:r>
      <w:r w:rsidR="00196163" w:rsidRPr="00196163">
        <w:rPr>
          <w:vertAlign w:val="subscript"/>
        </w:rPr>
        <w:t>p</w:t>
      </w:r>
      <w:r w:rsidR="00BD7456" w:rsidRPr="00F546EC">
        <w:t xml:space="preserve"> is the product of rock density and P-wave velocity; therefore</w:t>
      </w:r>
      <w:r w:rsidR="004D772B" w:rsidRPr="00F546EC">
        <w:t>,</w:t>
      </w:r>
      <w:r w:rsidR="00BD7456" w:rsidRPr="00F546EC">
        <w:t xml:space="preserve"> it is a </w:t>
      </w:r>
      <w:r w:rsidR="00113F2F">
        <w:t xml:space="preserve">derived </w:t>
      </w:r>
      <w:r w:rsidR="00BD7456" w:rsidRPr="00F546EC">
        <w:t>rock property</w:t>
      </w:r>
      <w:r w:rsidR="00196163">
        <w:t xml:space="preserve"> (Hampson et al., 2001)</w:t>
      </w:r>
      <w:r w:rsidR="00BD7456" w:rsidRPr="00F546EC">
        <w:t xml:space="preserve">. </w:t>
      </w:r>
      <w:r w:rsidR="00196163">
        <w:t>The Z</w:t>
      </w:r>
      <w:r w:rsidR="00196163" w:rsidRPr="00196163">
        <w:rPr>
          <w:vertAlign w:val="subscript"/>
        </w:rPr>
        <w:t>p</w:t>
      </w:r>
      <w:r w:rsidR="00BD7456" w:rsidRPr="00F546EC">
        <w:t xml:space="preserve"> inversion is the transformation of seismic data into pseudo-</w:t>
      </w:r>
      <w:r w:rsidR="00196163">
        <w:t>Z</w:t>
      </w:r>
      <w:r w:rsidR="00196163" w:rsidRPr="00196163">
        <w:rPr>
          <w:vertAlign w:val="subscript"/>
        </w:rPr>
        <w:t>p</w:t>
      </w:r>
      <w:r w:rsidR="00196163" w:rsidRPr="00F546EC">
        <w:t xml:space="preserve"> </w:t>
      </w:r>
      <w:r w:rsidR="00BD7456" w:rsidRPr="00F546EC">
        <w:t xml:space="preserve">logs at every seismic trace (Latimer et al., 2000).  Latimer et al. (2000) </w:t>
      </w:r>
      <w:r w:rsidR="00196163">
        <w:t xml:space="preserve">and Verma et al. (2016) </w:t>
      </w:r>
      <w:r w:rsidR="00BD7456" w:rsidRPr="00F546EC">
        <w:t xml:space="preserve">list some advantages of </w:t>
      </w:r>
      <w:r w:rsidR="00FC03F7">
        <w:t>using</w:t>
      </w:r>
      <w:r w:rsidR="00165305">
        <w:t xml:space="preserve"> </w:t>
      </w:r>
      <w:r w:rsidR="00BD7456" w:rsidRPr="00F546EC">
        <w:t>impedance data</w:t>
      </w:r>
      <w:r w:rsidR="00165305">
        <w:t xml:space="preserve"> in quantitative 3D seismic calculations</w:t>
      </w:r>
      <w:r w:rsidR="00BD7456" w:rsidRPr="00F546EC">
        <w:t xml:space="preserve">, including: </w:t>
      </w:r>
    </w:p>
    <w:p w14:paraId="4C1BF4C4" w14:textId="67864583" w:rsidR="00BD7456" w:rsidRPr="00F546EC" w:rsidRDefault="00BD7456" w:rsidP="00530D25">
      <w:pPr>
        <w:pStyle w:val="ListParagraph"/>
        <w:numPr>
          <w:ilvl w:val="0"/>
          <w:numId w:val="6"/>
        </w:numPr>
      </w:pPr>
      <w:r w:rsidRPr="00F546EC">
        <w:t>A good impedance model contains more information than seismic data since it is the result of integrating seismic, well log</w:t>
      </w:r>
      <w:r w:rsidR="00952A7A" w:rsidRPr="00F546EC">
        <w:t>,</w:t>
      </w:r>
      <w:r w:rsidRPr="00F546EC">
        <w:t xml:space="preserve"> and velocity data. </w:t>
      </w:r>
    </w:p>
    <w:p w14:paraId="3BB637D0" w14:textId="3442403F" w:rsidR="00FC0516" w:rsidRPr="00F546EC" w:rsidRDefault="00196163" w:rsidP="00530D25">
      <w:pPr>
        <w:pStyle w:val="ListParagraph"/>
        <w:numPr>
          <w:ilvl w:val="0"/>
          <w:numId w:val="6"/>
        </w:numPr>
      </w:pPr>
      <w:r>
        <w:t>Z</w:t>
      </w:r>
      <w:r w:rsidRPr="00196163">
        <w:rPr>
          <w:vertAlign w:val="subscript"/>
        </w:rPr>
        <w:t>p</w:t>
      </w:r>
      <w:r w:rsidR="00BD7456" w:rsidRPr="00F546EC">
        <w:t xml:space="preserve"> is closely related to lithology and porosity, providing the basis for the generation of 3D facies and petrophysical models.</w:t>
      </w:r>
      <w:r w:rsidR="00A222FB" w:rsidRPr="00F546EC">
        <w:t xml:space="preserve"> </w:t>
      </w:r>
    </w:p>
    <w:p w14:paraId="5E12C94E" w14:textId="737BE7FD" w:rsidR="0013301A" w:rsidRPr="00F546EC" w:rsidRDefault="00A222FB" w:rsidP="00530D25">
      <w:pPr>
        <w:pStyle w:val="ListParagraph"/>
        <w:numPr>
          <w:ilvl w:val="0"/>
          <w:numId w:val="6"/>
        </w:numPr>
      </w:pPr>
      <w:r w:rsidRPr="00F546EC">
        <w:lastRenderedPageBreak/>
        <w:t xml:space="preserve">The </w:t>
      </w:r>
      <w:r w:rsidR="00196163">
        <w:t>Z</w:t>
      </w:r>
      <w:r w:rsidR="00196163" w:rsidRPr="00196163">
        <w:rPr>
          <w:vertAlign w:val="subscript"/>
        </w:rPr>
        <w:t>p</w:t>
      </w:r>
      <w:r w:rsidRPr="00F546EC">
        <w:t xml:space="preserve"> concept is generalized to handle the inversion of angle or offset stack data to elastic impedance or elastic parameters. This </w:t>
      </w:r>
      <w:r w:rsidR="0013301A" w:rsidRPr="00F546EC">
        <w:t xml:space="preserve">kind of data analysis </w:t>
      </w:r>
      <w:r w:rsidRPr="00F546EC">
        <w:t>can improve the ability to discriminate lithology and fluids</w:t>
      </w:r>
      <w:r w:rsidR="0013301A" w:rsidRPr="00F546EC">
        <w:t xml:space="preserve">. </w:t>
      </w:r>
    </w:p>
    <w:p w14:paraId="2468B416" w14:textId="361C0C01" w:rsidR="009B51D2" w:rsidRPr="00F546EC" w:rsidRDefault="003E4067" w:rsidP="00C90F7A">
      <w:pPr>
        <w:ind w:firstLine="720"/>
      </w:pPr>
      <w:r w:rsidRPr="00FC3500">
        <w:rPr>
          <w:lang w:val="es-CO"/>
        </w:rPr>
        <w:t xml:space="preserve">Verma (2014), Infante-Paez et al. </w:t>
      </w:r>
      <w:r w:rsidRPr="00F546EC">
        <w:rPr>
          <w:lang w:val="es-CO"/>
        </w:rPr>
        <w:t>(2016)</w:t>
      </w:r>
      <w:r w:rsidR="00E436D1">
        <w:rPr>
          <w:lang w:val="es-CO"/>
        </w:rPr>
        <w:t>, Verma et al. (2016),</w:t>
      </w:r>
      <w:r w:rsidRPr="00F546EC">
        <w:rPr>
          <w:lang w:val="es-CO"/>
        </w:rPr>
        <w:t xml:space="preserve"> and Torres-Parada et al. </w:t>
      </w:r>
      <w:r w:rsidRPr="00F546EC">
        <w:t>(2017), r</w:t>
      </w:r>
      <w:r w:rsidR="00DB0950">
        <w:t>eport</w:t>
      </w:r>
      <w:r w:rsidRPr="00F546EC">
        <w:t xml:space="preserve"> that since </w:t>
      </w:r>
      <w:r w:rsidR="00196163">
        <w:t>Z</w:t>
      </w:r>
      <w:r w:rsidR="00196163" w:rsidRPr="00196163">
        <w:rPr>
          <w:vertAlign w:val="subscript"/>
        </w:rPr>
        <w:t>p</w:t>
      </w:r>
      <w:r w:rsidRPr="00F546EC">
        <w:t xml:space="preserve"> is an indirect measurement of the bulk density properties in rock lithologies, the impedance volumes are an excellent correlation factor with organic matter content in rocks (high </w:t>
      </w:r>
      <w:r w:rsidR="00196163">
        <w:t>%</w:t>
      </w:r>
      <w:r w:rsidRPr="00F546EC">
        <w:t xml:space="preserve">TOC correlates with low </w:t>
      </w:r>
      <w:r w:rsidR="00196163">
        <w:t>Z</w:t>
      </w:r>
      <w:r w:rsidR="00196163" w:rsidRPr="00196163">
        <w:rPr>
          <w:vertAlign w:val="subscript"/>
        </w:rPr>
        <w:t>p</w:t>
      </w:r>
      <w:r w:rsidRPr="00F546EC">
        <w:t xml:space="preserve">, and </w:t>
      </w:r>
      <w:r w:rsidR="00F03FE3" w:rsidRPr="00F546EC">
        <w:t>vice</w:t>
      </w:r>
      <w:r w:rsidR="007E190D">
        <w:t xml:space="preserve"> </w:t>
      </w:r>
      <w:r w:rsidR="00F03FE3" w:rsidRPr="00F546EC">
        <w:t>versa</w:t>
      </w:r>
      <w:r w:rsidRPr="00F546EC">
        <w:t>). As</w:t>
      </w:r>
      <w:r w:rsidR="00F71E2B">
        <w:t xml:space="preserve"> proposed </w:t>
      </w:r>
      <w:r w:rsidRPr="00F546EC">
        <w:t>by Amorocho-Sanchez (2012</w:t>
      </w:r>
      <w:r w:rsidR="00E33B57" w:rsidRPr="00F546EC">
        <w:t>)</w:t>
      </w:r>
      <w:r w:rsidR="00E33B57">
        <w:t xml:space="preserve">, </w:t>
      </w:r>
      <w:r w:rsidR="00E33B57" w:rsidRPr="00F546EC">
        <w:t>Verma</w:t>
      </w:r>
      <w:r w:rsidRPr="00F546EC">
        <w:t xml:space="preserve"> (2015)</w:t>
      </w:r>
      <w:r w:rsidR="00E436D1">
        <w:t xml:space="preserve"> and Verma et al. (2016)</w:t>
      </w:r>
      <w:r w:rsidR="007E190D">
        <w:t>,</w:t>
      </w:r>
      <w:r w:rsidR="00E436D1">
        <w:t xml:space="preserve"> </w:t>
      </w:r>
      <w:r w:rsidRPr="00F546EC">
        <w:t>for determining the geological and internal organic facies variations</w:t>
      </w:r>
      <w:r w:rsidR="00F71E2B">
        <w:t xml:space="preserve"> in unconventional shales, a model</w:t>
      </w:r>
      <w:r w:rsidR="007E190D">
        <w:t>-</w:t>
      </w:r>
      <w:r w:rsidR="00F71E2B">
        <w:t>based Zp should be estimated. This</w:t>
      </w:r>
      <w:r w:rsidRPr="00F546EC">
        <w:t xml:space="preserve"> model-based inversion workflow begins with a low-frequency background geological model that is modified until the error has been minimized between the synthetic </w:t>
      </w:r>
      <w:r w:rsidR="00196163">
        <w:t xml:space="preserve">seismic trace </w:t>
      </w:r>
      <w:r w:rsidRPr="00F546EC">
        <w:t>created by that model and the original seismic data</w:t>
      </w:r>
      <w:r w:rsidR="00F71E2B">
        <w:t xml:space="preserve"> (</w:t>
      </w:r>
      <w:r w:rsidR="004D71D0">
        <w:t xml:space="preserve">Infante et al., 2016; </w:t>
      </w:r>
      <w:r w:rsidR="00F71E2B">
        <w:t>Verma et al</w:t>
      </w:r>
      <w:r w:rsidR="007E190D">
        <w:t>.</w:t>
      </w:r>
      <w:r w:rsidR="00F71E2B">
        <w:t>, 2016)</w:t>
      </w:r>
      <w:r w:rsidRPr="00F546EC">
        <w:t xml:space="preserve">. </w:t>
      </w:r>
    </w:p>
    <w:p w14:paraId="4C23EACC" w14:textId="49652353" w:rsidR="003E4067" w:rsidRDefault="003E4067" w:rsidP="00C90F7A">
      <w:pPr>
        <w:ind w:firstLine="720"/>
      </w:pPr>
      <w:r w:rsidRPr="00F546EC">
        <w:t>The main objective for generating a model-based inversion of the Woodford Shale was to identify vertical and lateral facies changes that may help</w:t>
      </w:r>
      <w:r w:rsidR="001B53A2">
        <w:t xml:space="preserve"> to</w:t>
      </w:r>
      <w:r w:rsidRPr="00F546EC">
        <w:t xml:space="preserve"> delineate the “</w:t>
      </w:r>
      <w:r w:rsidR="00804F72">
        <w:t xml:space="preserve">enclosed mini-basin </w:t>
      </w:r>
      <w:r w:rsidR="00A22E4E">
        <w:t>fill</w:t>
      </w:r>
      <w:r w:rsidRPr="00F546EC">
        <w:t>” deposits (Figure</w:t>
      </w:r>
      <w:r w:rsidR="007B43EF" w:rsidRPr="00F546EC">
        <w:t xml:space="preserve"> 2.3 and Figure</w:t>
      </w:r>
      <w:r w:rsidRPr="00F546EC">
        <w:t xml:space="preserve"> </w:t>
      </w:r>
      <w:r w:rsidR="007B43EF" w:rsidRPr="00F546EC">
        <w:t>2.</w:t>
      </w:r>
      <w:r w:rsidRPr="00F546EC">
        <w:t>1</w:t>
      </w:r>
      <w:r w:rsidR="007B43EF" w:rsidRPr="00F546EC">
        <w:t>1</w:t>
      </w:r>
      <w:r w:rsidRPr="00F546EC">
        <w:t xml:space="preserve">). </w:t>
      </w:r>
      <w:r w:rsidR="00FC03F7" w:rsidRPr="00F546EC">
        <w:t>All</w:t>
      </w:r>
      <w:r w:rsidR="001B53A2">
        <w:t xml:space="preserve"> the </w:t>
      </w:r>
      <w:r w:rsidRPr="00F546EC">
        <w:t>six wells</w:t>
      </w:r>
      <w:r w:rsidR="00165305">
        <w:t xml:space="preserve"> in the </w:t>
      </w:r>
      <w:r w:rsidR="00FC03F7">
        <w:t>study</w:t>
      </w:r>
      <w:r w:rsidR="00165305">
        <w:t xml:space="preserve"> area</w:t>
      </w:r>
      <w:r w:rsidRPr="00F546EC">
        <w:t xml:space="preserve"> </w:t>
      </w:r>
      <w:r w:rsidR="00E2298C">
        <w:t xml:space="preserve">(Figure 2.12) </w:t>
      </w:r>
      <w:r w:rsidRPr="00F546EC">
        <w:t>were used for the initial model</w:t>
      </w:r>
      <w:r w:rsidR="00E2298C">
        <w:t xml:space="preserve"> (Figure 2.13 and Figure 2.14)</w:t>
      </w:r>
      <w:r w:rsidRPr="00F546EC">
        <w:t xml:space="preserve">, and the </w:t>
      </w:r>
      <w:r w:rsidR="00165305">
        <w:t xml:space="preserve">statistical </w:t>
      </w:r>
      <w:r w:rsidRPr="00F546EC">
        <w:t xml:space="preserve">wavelet extracted from the wells was used on the model-based inversion. The Woodford </w:t>
      </w:r>
      <w:r w:rsidR="005C3C79">
        <w:t>S</w:t>
      </w:r>
      <w:r w:rsidRPr="00F546EC">
        <w:t xml:space="preserve">hale has the lowest impedance due to its low velocities and low densities (Figure </w:t>
      </w:r>
      <w:r w:rsidR="007B43EF" w:rsidRPr="00F546EC">
        <w:t>2.14</w:t>
      </w:r>
      <w:r w:rsidRPr="00F546EC">
        <w:t xml:space="preserve">). The initial </w:t>
      </w:r>
      <w:r w:rsidR="001B53A2">
        <w:t xml:space="preserve">inversion </w:t>
      </w:r>
      <w:r w:rsidRPr="00F546EC">
        <w:t xml:space="preserve">model revealed a higher vertical resolution and lateral impedance changes within the Woodford </w:t>
      </w:r>
      <w:r w:rsidR="005C3C79">
        <w:t>S</w:t>
      </w:r>
      <w:r w:rsidRPr="00F546EC">
        <w:t xml:space="preserve">hale (Figure </w:t>
      </w:r>
      <w:r w:rsidR="007B43EF" w:rsidRPr="00F546EC">
        <w:t>2.14</w:t>
      </w:r>
      <w:r w:rsidR="00165305">
        <w:t xml:space="preserve"> -</w:t>
      </w:r>
      <w:r w:rsidR="007B43EF" w:rsidRPr="00F546EC">
        <w:t xml:space="preserve"> 2.16</w:t>
      </w:r>
      <w:r w:rsidRPr="00F546EC">
        <w:t xml:space="preserve">). </w:t>
      </w:r>
    </w:p>
    <w:p w14:paraId="5AF3D460" w14:textId="15193C5F" w:rsidR="00E80A6F" w:rsidRPr="00F546EC" w:rsidRDefault="00E80A6F" w:rsidP="00E80A6F">
      <w:pPr>
        <w:ind w:firstLine="720"/>
      </w:pPr>
      <w:r>
        <w:t xml:space="preserve">The work of </w:t>
      </w:r>
      <w:r w:rsidRPr="00F546EC">
        <w:t xml:space="preserve">Verma (2014) </w:t>
      </w:r>
      <w:r>
        <w:t>proposed the</w:t>
      </w:r>
      <w:r w:rsidRPr="00F546EC">
        <w:t xml:space="preserve"> quantitative seismic analysis of unconventional shales,</w:t>
      </w:r>
      <w:r>
        <w:t xml:space="preserve"> and</w:t>
      </w:r>
      <w:r w:rsidRPr="00F546EC">
        <w:t xml:space="preserve"> </w:t>
      </w:r>
      <w:r>
        <w:t xml:space="preserve">that </w:t>
      </w:r>
      <w:r w:rsidRPr="00F546EC">
        <w:t xml:space="preserve">several well logs could measure the presence of </w:t>
      </w:r>
      <w:r>
        <w:t>%</w:t>
      </w:r>
      <w:r w:rsidRPr="00F546EC">
        <w:t xml:space="preserve">TOC. The high </w:t>
      </w:r>
      <w:r>
        <w:t>G</w:t>
      </w:r>
      <w:r w:rsidRPr="00F546EC">
        <w:t xml:space="preserve">amma-ray log response can be correlated to high uranium content in the organic matter (Fertl and Chilingar, 1988), but can also be attributed to heavy elements deposited within mudstones due to upwelling </w:t>
      </w:r>
      <w:r w:rsidRPr="00F546EC">
        <w:lastRenderedPageBreak/>
        <w:t>currents (Turner</w:t>
      </w:r>
      <w:r w:rsidR="001B53A2">
        <w:t xml:space="preserve"> et al.</w:t>
      </w:r>
      <w:r w:rsidRPr="00F546EC">
        <w:t>, 2015)</w:t>
      </w:r>
      <w:r w:rsidR="001B53A2">
        <w:t>. A</w:t>
      </w:r>
      <w:r w:rsidRPr="00F546EC">
        <w:t xml:space="preserve">dditionally, a common characteristic is that the organic matter is less dense than to the mineral matrix resulting in a low measurement on bulk density </w:t>
      </w:r>
      <w:r w:rsidR="00FC03F7" w:rsidRPr="00F546EC">
        <w:t>log (</w:t>
      </w:r>
      <w:r w:rsidRPr="00F546EC">
        <w:t xml:space="preserve">Schmoker and Hester, 1983; Verma 2014). The transit times recorded on the P-sonic log may increase in the presence of organic matter (Passey, 1990; Sondergeld et al., 2010; Verma, 2014) but also can be indicators of </w:t>
      </w:r>
      <w:r>
        <w:t>z</w:t>
      </w:r>
      <w:r w:rsidRPr="00F546EC">
        <w:t>one</w:t>
      </w:r>
      <w:r>
        <w:t>s</w:t>
      </w:r>
      <w:r w:rsidRPr="00F546EC">
        <w:t xml:space="preserve"> with overpressure regimes. </w:t>
      </w:r>
    </w:p>
    <w:p w14:paraId="57275D56" w14:textId="1E0F2E5E" w:rsidR="00E80A6F" w:rsidRPr="00F546EC" w:rsidRDefault="00E80A6F" w:rsidP="00E80A6F">
      <w:pPr>
        <w:ind w:firstLine="720"/>
      </w:pPr>
      <w:r w:rsidRPr="00F546EC">
        <w:t xml:space="preserve">The </w:t>
      </w:r>
      <w:r>
        <w:t>n</w:t>
      </w:r>
      <w:r w:rsidRPr="00F546EC">
        <w:t xml:space="preserve">eutron logs </w:t>
      </w:r>
      <w:r>
        <w:t xml:space="preserve">(PHIN, NPHI, PHIS) </w:t>
      </w:r>
      <w:r w:rsidRPr="00F546EC">
        <w:t xml:space="preserve">may provide a high response in the presence of organic matter (Sondergeld et al., 2010; Verma, 2014).  Passey (1990) states that as the organic matter is non- conductive, the resistivity logs read high values for high </w:t>
      </w:r>
      <w:r w:rsidR="00AA3223">
        <w:t>%</w:t>
      </w:r>
      <w:r w:rsidRPr="00F546EC">
        <w:t xml:space="preserve">TOC in immature source rock intervals. For this reason, Verma (2014) for the Barnett Shale, and Altoff (2012), Amorocho-Sanchez (2012), Infante-Paez et al. (2016) and Torres-Parada et al. (2017) propose for the Woodford Shale that the structural lows may have been isolated or semi-isolated lakes-embayments represented by locally increased accommodation space, and in the study areas might correspond to restricted Woodford </w:t>
      </w:r>
      <w:r>
        <w:t>S</w:t>
      </w:r>
      <w:r w:rsidRPr="00F546EC">
        <w:t xml:space="preserve">hale organic-rich deposits, therefore providing opportunities for more innovative unconventionals exploration targeting. </w:t>
      </w:r>
    </w:p>
    <w:p w14:paraId="3DA84F85" w14:textId="77777777" w:rsidR="00E80A6F" w:rsidRPr="00F546EC" w:rsidRDefault="00E80A6F" w:rsidP="00C90F7A">
      <w:pPr>
        <w:ind w:firstLine="720"/>
      </w:pPr>
    </w:p>
    <w:p w14:paraId="51B8FA0B" w14:textId="77777777" w:rsidR="009506CA" w:rsidRPr="00F546EC" w:rsidRDefault="009506CA" w:rsidP="009349D2"/>
    <w:p w14:paraId="03F6B45B" w14:textId="77777777" w:rsidR="005C168E" w:rsidRPr="00F546EC" w:rsidRDefault="005C168E" w:rsidP="009349D2">
      <w:pPr>
        <w:rPr>
          <w:b/>
        </w:rPr>
        <w:sectPr w:rsidR="005C168E" w:rsidRPr="00F546EC" w:rsidSect="0095456D">
          <w:pgSz w:w="12240" w:h="15840"/>
          <w:pgMar w:top="1440" w:right="1440" w:bottom="1440" w:left="1440" w:header="720" w:footer="720" w:gutter="0"/>
          <w:cols w:space="720"/>
          <w:titlePg/>
          <w:docGrid w:linePitch="360"/>
        </w:sectPr>
      </w:pPr>
    </w:p>
    <w:p w14:paraId="79698ABC" w14:textId="58392C7F" w:rsidR="00247BA3" w:rsidRPr="00F546EC" w:rsidRDefault="00987AD1" w:rsidP="00C90F7A">
      <w:pPr>
        <w:spacing w:after="0"/>
        <w:jc w:val="center"/>
        <w:rPr>
          <w:b/>
        </w:rPr>
      </w:pPr>
      <w:r w:rsidRPr="00027614">
        <w:rPr>
          <w:noProof/>
        </w:rPr>
        <w:lastRenderedPageBreak/>
        <w:drawing>
          <wp:inline distT="0" distB="0" distL="0" distR="0" wp14:anchorId="7C6BF6D0" wp14:editId="11D208A2">
            <wp:extent cx="8046720" cy="5212080"/>
            <wp:effectExtent l="0" t="0" r="0" b="7620"/>
            <wp:docPr id="254"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46720" cy="5212080"/>
                    </a:xfrm>
                    <a:prstGeom prst="rect">
                      <a:avLst/>
                    </a:prstGeom>
                    <a:noFill/>
                    <a:ln>
                      <a:noFill/>
                    </a:ln>
                  </pic:spPr>
                </pic:pic>
              </a:graphicData>
            </a:graphic>
          </wp:inline>
        </w:drawing>
      </w:r>
    </w:p>
    <w:p w14:paraId="3DCC075C" w14:textId="6968F7FA" w:rsidR="00247BA3" w:rsidRPr="00F546EC" w:rsidRDefault="001B79A3" w:rsidP="00C90F7A">
      <w:pPr>
        <w:pStyle w:val="Caption"/>
      </w:pPr>
      <w:bookmarkStart w:id="76" w:name="_Toc35861175"/>
      <w:r w:rsidRPr="00F546EC">
        <w:rPr>
          <w:b/>
        </w:rPr>
        <w:t xml:space="preserve">Figure </w:t>
      </w:r>
      <w:r w:rsidR="00FB2D3D" w:rsidRPr="00F546EC">
        <w:rPr>
          <w:b/>
        </w:rPr>
        <w:t>2.</w:t>
      </w:r>
      <w:r w:rsidR="00C94896" w:rsidRPr="00F546EC">
        <w:rPr>
          <w:b/>
        </w:rPr>
        <w:t>12</w:t>
      </w:r>
      <w:r w:rsidRPr="00F546EC">
        <w:rPr>
          <w:b/>
        </w:rPr>
        <w:t>.</w:t>
      </w:r>
      <w:r w:rsidRPr="00F546EC">
        <w:t xml:space="preserve"> Stratigraphic correlation of the wells in the </w:t>
      </w:r>
      <w:r w:rsidR="004D4FFE">
        <w:t>s</w:t>
      </w:r>
      <w:r w:rsidRPr="00F546EC">
        <w:t xml:space="preserve">tudy area flattened at the Woodford </w:t>
      </w:r>
      <w:r w:rsidR="00113F2F">
        <w:t>S</w:t>
      </w:r>
      <w:r w:rsidRPr="00F546EC">
        <w:t xml:space="preserve">hale top. Note the thickness variations of the Hunton </w:t>
      </w:r>
      <w:r w:rsidR="004D4FFE">
        <w:t>g</w:t>
      </w:r>
      <w:r w:rsidRPr="00F546EC">
        <w:t>roup and where it is absent,</w:t>
      </w:r>
      <w:r w:rsidR="005C168E" w:rsidRPr="00F546EC">
        <w:t xml:space="preserve"> and</w:t>
      </w:r>
      <w:r w:rsidRPr="00F546EC">
        <w:t xml:space="preserve"> the Woodford </w:t>
      </w:r>
      <w:r w:rsidR="00113F2F">
        <w:t>S</w:t>
      </w:r>
      <w:r w:rsidRPr="00F546EC">
        <w:t xml:space="preserve">hale has the highest thickness.  These restricted intervals served as </w:t>
      </w:r>
      <w:r w:rsidR="008523C1">
        <w:t>%</w:t>
      </w:r>
      <w:r w:rsidRPr="00F546EC">
        <w:t>TOC catchment areas</w:t>
      </w:r>
      <w:r w:rsidR="00C44C53">
        <w:t xml:space="preserve">, as it can be observed that the lowermost Woodford Shale has the highest </w:t>
      </w:r>
      <w:r w:rsidR="008523C1">
        <w:t>%</w:t>
      </w:r>
      <w:r w:rsidR="00C44C53">
        <w:t>TOC in all wells (green curve)</w:t>
      </w:r>
      <w:r w:rsidRPr="00F546EC">
        <w:t>.</w:t>
      </w:r>
      <w:bookmarkEnd w:id="76"/>
    </w:p>
    <w:p w14:paraId="6AC2AC46" w14:textId="77777777" w:rsidR="005C168E" w:rsidRPr="00F546EC" w:rsidRDefault="005C168E" w:rsidP="009349D2">
      <w:pPr>
        <w:rPr>
          <w:b/>
        </w:rPr>
        <w:sectPr w:rsidR="005C168E" w:rsidRPr="00F546EC" w:rsidSect="0095456D">
          <w:pgSz w:w="15840" w:h="12240" w:orient="landscape"/>
          <w:pgMar w:top="1440" w:right="1440" w:bottom="1440" w:left="1440" w:header="720" w:footer="720" w:gutter="0"/>
          <w:cols w:space="720"/>
          <w:docGrid w:linePitch="360"/>
        </w:sectPr>
      </w:pPr>
    </w:p>
    <w:p w14:paraId="00751C5D" w14:textId="6A346EB4" w:rsidR="004E1F13" w:rsidRPr="00F546EC" w:rsidRDefault="004E1F13" w:rsidP="00AA3223">
      <w:pPr>
        <w:pStyle w:val="Heading3"/>
        <w:numPr>
          <w:ilvl w:val="2"/>
          <w:numId w:val="5"/>
        </w:numPr>
        <w:spacing w:line="480" w:lineRule="auto"/>
      </w:pPr>
      <w:bookmarkStart w:id="77" w:name="_Toc25833539"/>
      <w:bookmarkStart w:id="78" w:name="_Toc35861094"/>
      <w:r w:rsidRPr="00F546EC">
        <w:lastRenderedPageBreak/>
        <w:t xml:space="preserve">Details of </w:t>
      </w:r>
      <w:r w:rsidR="00AA3223">
        <w:t>%</w:t>
      </w:r>
      <w:r w:rsidRPr="00F546EC">
        <w:t xml:space="preserve">TOC estimation using Passey’s </w:t>
      </w:r>
      <w:bookmarkEnd w:id="77"/>
      <w:r w:rsidR="00AA3223">
        <w:t>well log methodology</w:t>
      </w:r>
      <w:bookmarkEnd w:id="78"/>
    </w:p>
    <w:p w14:paraId="6BD5F086" w14:textId="4D3B3E62" w:rsidR="00AA3223" w:rsidRPr="00F546EC" w:rsidRDefault="00AA3223" w:rsidP="00AA3223">
      <w:pPr>
        <w:spacing w:before="240"/>
        <w:ind w:firstLine="720"/>
      </w:pPr>
      <w:r w:rsidRPr="00F546EC">
        <w:t>According to Passey et al.</w:t>
      </w:r>
      <w:r>
        <w:t xml:space="preserve"> </w:t>
      </w:r>
      <w:r w:rsidRPr="00F546EC">
        <w:t>(1990), the presence of organic matter and the presence of generated hydrocarbons can have a tremendous response on the resistivity well log. The technique presented by Passey et al. (1990</w:t>
      </w:r>
      <w:r w:rsidR="007A7D5D">
        <w:t xml:space="preserve"> and 2013</w:t>
      </w:r>
      <w:r w:rsidRPr="00F546EC">
        <w:t>) uses the overlap of a porosity log, usually the sonic on a deep resistivity curve (Figure 2.13). Passey et al.</w:t>
      </w:r>
      <w:r>
        <w:t xml:space="preserve"> </w:t>
      </w:r>
      <w:r w:rsidRPr="00F546EC">
        <w:t>(1990</w:t>
      </w:r>
      <w:r w:rsidR="007A7D5D">
        <w:t xml:space="preserve"> and 2013</w:t>
      </w:r>
      <w:r w:rsidRPr="00F546EC">
        <w:t xml:space="preserve">) attribute this well-log separation in high organic-rich intervals as the result of the low density/low-velocity kerogen, where the resistivity responds to the formation fluid. </w:t>
      </w:r>
    </w:p>
    <w:p w14:paraId="0979312E" w14:textId="4A99B8D2" w:rsidR="00AA3223" w:rsidRDefault="00AA3223" w:rsidP="00AA3223">
      <w:pPr>
        <w:ind w:firstLine="720"/>
      </w:pPr>
      <w:r w:rsidRPr="00F546EC">
        <w:t xml:space="preserve">To be able to calculate the </w:t>
      </w:r>
      <w:r w:rsidR="006943C7">
        <w:t>%</w:t>
      </w:r>
      <w:r w:rsidRPr="00F546EC">
        <w:t>TOC content using this method, the</w:t>
      </w:r>
      <w:r w:rsidR="007A7D5D">
        <w:t xml:space="preserve"> l</w:t>
      </w:r>
      <w:r w:rsidRPr="00F546EC">
        <w:t xml:space="preserve">evel of </w:t>
      </w:r>
      <w:r>
        <w:t>o</w:t>
      </w:r>
      <w:r w:rsidRPr="00F546EC">
        <w:t xml:space="preserve">rganic </w:t>
      </w:r>
      <w:r>
        <w:t>m</w:t>
      </w:r>
      <w:r w:rsidRPr="00F546EC">
        <w:t>etamorphism</w:t>
      </w:r>
      <w:r w:rsidR="007A7D5D">
        <w:t xml:space="preserve"> (LOM)</w:t>
      </w:r>
      <w:r w:rsidRPr="00F546EC">
        <w:t xml:space="preserve"> reached by the organic matter in the rock must be known or estimated. In this case, the previous work by Miceli</w:t>
      </w:r>
      <w:r>
        <w:t>-Romero</w:t>
      </w:r>
      <w:r w:rsidRPr="00F546EC">
        <w:t xml:space="preserve"> (2010) and conclusions by Cardott (2012) for the </w:t>
      </w:r>
      <w:r>
        <w:t>s</w:t>
      </w:r>
      <w:r w:rsidRPr="00F546EC">
        <w:t xml:space="preserve">outheast Cherokee platform </w:t>
      </w:r>
      <w:r>
        <w:t>were assumed to be v</w:t>
      </w:r>
      <w:r w:rsidRPr="00F546EC">
        <w:t xml:space="preserve">alid LOM </w:t>
      </w:r>
      <w:r>
        <w:t xml:space="preserve">of 8 </w:t>
      </w:r>
      <w:r w:rsidRPr="00F546EC">
        <w:t xml:space="preserve">in order to calculate the </w:t>
      </w:r>
      <w:r w:rsidR="006943C7">
        <w:t>%</w:t>
      </w:r>
      <w:r w:rsidRPr="00F546EC">
        <w:t xml:space="preserve">TOC for the wells in the study area (Figure 2.13). </w:t>
      </w:r>
    </w:p>
    <w:p w14:paraId="27CDC0E0" w14:textId="5A475302" w:rsidR="004E1F13" w:rsidRPr="00F546EC" w:rsidRDefault="004E1F13" w:rsidP="003B7517">
      <w:pPr>
        <w:ind w:firstLine="720"/>
      </w:pPr>
      <w:r w:rsidRPr="00F546EC">
        <w:t>Passey’s (1990</w:t>
      </w:r>
      <w:r w:rsidR="007A7D5D">
        <w:t xml:space="preserve"> and 2013</w:t>
      </w:r>
      <w:r w:rsidRPr="00F546EC">
        <w:t>) method is also called "Delta log R" method</w:t>
      </w:r>
      <w:r w:rsidR="00804F2B">
        <w:t xml:space="preserve"> (Figure 2.13)</w:t>
      </w:r>
      <w:r w:rsidRPr="00F546EC">
        <w:t xml:space="preserve">, and it requires a resistivity log along with a porosity log e.g. P-sonic, density or neutron log in order to estimate </w:t>
      </w:r>
      <w:r w:rsidR="00AC5365">
        <w:t>%</w:t>
      </w:r>
      <w:r w:rsidRPr="00F546EC">
        <w:t xml:space="preserve">TOC log:    </w:t>
      </w:r>
    </w:p>
    <w:p w14:paraId="1B6D27D9" w14:textId="33FD3F0E" w:rsidR="004E1F13" w:rsidRPr="00F546EC" w:rsidRDefault="004E1F13" w:rsidP="009349D2">
      <w:r w:rsidRPr="00F546EC">
        <w:t>∆logR = log10 (RTD / RTD_Base) - 2.5 * (RHOB – RHOB_base)</w:t>
      </w:r>
      <w:r w:rsidRPr="00F546EC">
        <w:tab/>
        <w:t xml:space="preserve">    </w:t>
      </w:r>
      <w:r w:rsidR="00113F2F">
        <w:tab/>
      </w:r>
      <w:r w:rsidR="00113F2F">
        <w:tab/>
      </w:r>
      <w:r w:rsidR="00113F2F">
        <w:tab/>
      </w:r>
      <w:r w:rsidR="007A7D5D">
        <w:t xml:space="preserve">  </w:t>
      </w:r>
      <w:r w:rsidR="00E33B57">
        <w:t xml:space="preserve">  (</w:t>
      </w:r>
      <w:r w:rsidR="00773315">
        <w:t>3.</w:t>
      </w:r>
      <w:r w:rsidRPr="00F546EC">
        <w:t>1)</w:t>
      </w:r>
      <w:r w:rsidRPr="00F546EC">
        <w:tab/>
      </w:r>
    </w:p>
    <w:p w14:paraId="459E5FF9" w14:textId="67E0AEA3" w:rsidR="004E1F13" w:rsidRPr="00F546EC" w:rsidRDefault="006943C7" w:rsidP="009349D2">
      <w:r>
        <w:t>%</w:t>
      </w:r>
      <w:r w:rsidR="004E1F13" w:rsidRPr="00F546EC">
        <w:t xml:space="preserve">TOC = (∆logR * 10 a),        </w:t>
      </w:r>
      <w:r w:rsidR="004E1F13" w:rsidRPr="00F546EC">
        <w:tab/>
      </w:r>
      <w:r w:rsidR="004E1F13" w:rsidRPr="00F546EC">
        <w:tab/>
      </w:r>
      <w:r w:rsidR="004E1F13" w:rsidRPr="00F546EC">
        <w:tab/>
      </w:r>
      <w:r w:rsidR="004E1F13" w:rsidRPr="00F546EC">
        <w:tab/>
      </w:r>
      <w:r w:rsidR="004E1F13" w:rsidRPr="00F546EC">
        <w:tab/>
        <w:t xml:space="preserve">    </w:t>
      </w:r>
      <w:r w:rsidR="00113F2F">
        <w:tab/>
      </w:r>
      <w:r w:rsidR="00113F2F">
        <w:tab/>
      </w:r>
      <w:r w:rsidR="00113F2F">
        <w:tab/>
        <w:t xml:space="preserve">    </w:t>
      </w:r>
      <w:r w:rsidR="004E1F13" w:rsidRPr="00F546EC">
        <w:t>(</w:t>
      </w:r>
      <w:r w:rsidR="00773315">
        <w:t>3.</w:t>
      </w:r>
      <w:r w:rsidR="004E1F13" w:rsidRPr="00F546EC">
        <w:t>2)</w:t>
      </w:r>
    </w:p>
    <w:p w14:paraId="67D4B520" w14:textId="56CB0B52" w:rsidR="004E1F13" w:rsidRPr="00F546EC" w:rsidRDefault="004E1F13" w:rsidP="009349D2">
      <w:r w:rsidRPr="00F546EC">
        <w:t xml:space="preserve">where, </w:t>
      </w:r>
    </w:p>
    <w:p w14:paraId="663570BA" w14:textId="062AFD97" w:rsidR="004E1F13" w:rsidRPr="00F546EC" w:rsidRDefault="004E1F13" w:rsidP="009349D2">
      <w:r w:rsidRPr="00F546EC">
        <w:t xml:space="preserve">a=0.297 – 0.1688 * LOM, and </w:t>
      </w:r>
      <w:r w:rsidRPr="00F546EC">
        <w:tab/>
      </w:r>
      <w:r w:rsidRPr="00F546EC">
        <w:tab/>
      </w:r>
      <w:r w:rsidRPr="00F546EC">
        <w:tab/>
      </w:r>
      <w:r w:rsidRPr="00F546EC">
        <w:tab/>
      </w:r>
      <w:r w:rsidRPr="00F546EC">
        <w:tab/>
        <w:t xml:space="preserve">    </w:t>
      </w:r>
      <w:r w:rsidR="00113F2F">
        <w:tab/>
      </w:r>
      <w:r w:rsidR="00113F2F">
        <w:tab/>
      </w:r>
      <w:r w:rsidR="00113F2F">
        <w:tab/>
        <w:t xml:space="preserve">    </w:t>
      </w:r>
      <w:r w:rsidRPr="00F546EC">
        <w:t>(</w:t>
      </w:r>
      <w:r w:rsidR="00773315">
        <w:t>3.</w:t>
      </w:r>
      <w:r w:rsidRPr="00F546EC">
        <w:t>3)</w:t>
      </w:r>
    </w:p>
    <w:p w14:paraId="2B328330" w14:textId="31A57A94" w:rsidR="004E1F13" w:rsidRPr="00F546EC" w:rsidRDefault="00E33B57" w:rsidP="009349D2">
      <w:r w:rsidRPr="00F546EC">
        <w:t>RTD:</w:t>
      </w:r>
      <w:r w:rsidR="004E1F13" w:rsidRPr="00F546EC">
        <w:t xml:space="preserve"> deep resistivity in any zone (ohm-m)</w:t>
      </w:r>
    </w:p>
    <w:p w14:paraId="4BDF8654" w14:textId="250C90BD" w:rsidR="004E1F13" w:rsidRPr="00F546EC" w:rsidRDefault="004E1F13" w:rsidP="009349D2">
      <w:r w:rsidRPr="00F546EC">
        <w:t>RTD_</w:t>
      </w:r>
      <w:r w:rsidR="00E33B57" w:rsidRPr="00F546EC">
        <w:t>Base:</w:t>
      </w:r>
      <w:r w:rsidRPr="00F546EC">
        <w:t xml:space="preserve"> deep resistivity baseline in non-source rock (ohm-m)</w:t>
      </w:r>
    </w:p>
    <w:p w14:paraId="59311FB4" w14:textId="77777777" w:rsidR="004E1F13" w:rsidRPr="00F546EC" w:rsidRDefault="004E1F13" w:rsidP="009349D2">
      <w:r w:rsidRPr="00F546EC">
        <w:lastRenderedPageBreak/>
        <w:t>RHOB: bulk density (g/cm3)</w:t>
      </w:r>
    </w:p>
    <w:p w14:paraId="4C9A1867" w14:textId="31E49438" w:rsidR="004E1F13" w:rsidRPr="00F546EC" w:rsidRDefault="00E33B57" w:rsidP="009349D2">
      <w:r w:rsidRPr="00F546EC">
        <w:t>RHOB_base:</w:t>
      </w:r>
      <w:r w:rsidR="004E1F13" w:rsidRPr="00F546EC">
        <w:t xml:space="preserve"> bulk density baseline in non-source rock (g/cm3)</w:t>
      </w:r>
    </w:p>
    <w:p w14:paraId="4EA7035B" w14:textId="729BE2C6" w:rsidR="004E1F13" w:rsidRPr="00F546EC" w:rsidRDefault="004E1F13" w:rsidP="009349D2">
      <w:r w:rsidRPr="00F546EC">
        <w:t>LOM: Level of Maturity. Assumed 8 because is a</w:t>
      </w:r>
      <w:r w:rsidR="00AC2234" w:rsidRPr="00F546EC">
        <w:t xml:space="preserve">n </w:t>
      </w:r>
      <w:r w:rsidR="004D7719" w:rsidRPr="00F546EC">
        <w:t>i</w:t>
      </w:r>
      <w:r w:rsidRPr="00F546EC">
        <w:t xml:space="preserve">mmature area. </w:t>
      </w:r>
    </w:p>
    <w:p w14:paraId="3127EA66" w14:textId="6F6D3592" w:rsidR="00505A65" w:rsidRPr="00F546EC" w:rsidRDefault="00505A65" w:rsidP="00F80F2A">
      <w:pPr>
        <w:ind w:firstLine="720"/>
      </w:pPr>
      <w:r w:rsidRPr="00F546EC">
        <w:t xml:space="preserve">The LOM has been correlated to vitrinite reflectance (Ro%) (Passey </w:t>
      </w:r>
      <w:r w:rsidR="00455266">
        <w:t xml:space="preserve">et al., </w:t>
      </w:r>
      <w:r w:rsidRPr="00F546EC">
        <w:t>1990), which also indicates the maturity of</w:t>
      </w:r>
      <w:r w:rsidR="00C744B8">
        <w:t xml:space="preserve"> the</w:t>
      </w:r>
      <w:r w:rsidRPr="00F546EC">
        <w:t xml:space="preserve"> rock. The </w:t>
      </w:r>
      <w:r w:rsidR="0099461F">
        <w:t>%</w:t>
      </w:r>
      <w:r w:rsidRPr="00F546EC">
        <w:t xml:space="preserve">TOC computed with LOM=8 provides the best match with cuttings </w:t>
      </w:r>
      <w:r w:rsidR="007A7D5D">
        <w:t>%</w:t>
      </w:r>
      <w:r w:rsidRPr="00F546EC">
        <w:t xml:space="preserve">TOC measurements. Therefore, the same values of </w:t>
      </w:r>
      <w:r w:rsidR="00E33B57" w:rsidRPr="00F546EC">
        <w:t>RTD_Base</w:t>
      </w:r>
      <w:r w:rsidRPr="00F546EC">
        <w:t xml:space="preserve">, RHOB_base, and LOM were for all the wells in the survey area. The revised graphic relation of logR vs. derived </w:t>
      </w:r>
      <w:r w:rsidR="007A7D5D">
        <w:t>%</w:t>
      </w:r>
      <w:r w:rsidRPr="00F546EC">
        <w:t xml:space="preserve">TOC published by Passey et al. (2010) was used for the calculations. A baseline was drawn at the Sylvan </w:t>
      </w:r>
      <w:r w:rsidR="00455266">
        <w:t>S</w:t>
      </w:r>
      <w:r w:rsidRPr="00F546EC">
        <w:t>hale</w:t>
      </w:r>
      <w:r w:rsidR="00455266">
        <w:t xml:space="preserve"> (which is a low </w:t>
      </w:r>
      <w:r w:rsidR="0099461F">
        <w:t>%</w:t>
      </w:r>
      <w:r w:rsidR="00455266">
        <w:t>TOC shale</w:t>
      </w:r>
      <w:r w:rsidR="0099461F">
        <w:t>; Figure 2.13</w:t>
      </w:r>
      <w:r w:rsidR="00455266">
        <w:t>)</w:t>
      </w:r>
      <w:r w:rsidRPr="00F546EC">
        <w:t xml:space="preserve">, and a LOM of 8 was applied, which is equivalent to a vitrinite reflectance (%Ro) value of 0.56% to honor the published %Ro data of the study area (Cardott, 2012). </w:t>
      </w:r>
      <w:r w:rsidR="000F7808">
        <w:t xml:space="preserve">The calculated </w:t>
      </w:r>
      <w:r w:rsidR="0099461F">
        <w:t>%</w:t>
      </w:r>
      <w:r w:rsidR="000F7808">
        <w:t xml:space="preserve">TOC curve </w:t>
      </w:r>
      <w:r w:rsidR="0099461F">
        <w:t xml:space="preserve">(Figure 2.13) </w:t>
      </w:r>
      <w:r w:rsidR="000F7808">
        <w:t>was included in the seismic well-tie (F</w:t>
      </w:r>
      <w:r w:rsidR="001861B5">
        <w:t>i</w:t>
      </w:r>
      <w:r w:rsidR="000F7808">
        <w:t xml:space="preserve">gure 2.14) of all wells in the study area. </w:t>
      </w:r>
    </w:p>
    <w:p w14:paraId="24042CFE" w14:textId="77777777" w:rsidR="00C96D20" w:rsidRDefault="00987AD1" w:rsidP="00773315">
      <w:pPr>
        <w:spacing w:after="0" w:line="360" w:lineRule="auto"/>
        <w:jc w:val="center"/>
        <w:rPr>
          <w:b/>
        </w:rPr>
      </w:pPr>
      <w:r w:rsidRPr="00027614">
        <w:rPr>
          <w:noProof/>
        </w:rPr>
        <w:lastRenderedPageBreak/>
        <w:drawing>
          <wp:inline distT="0" distB="0" distL="0" distR="0" wp14:anchorId="51F0368E" wp14:editId="4551097A">
            <wp:extent cx="5533891" cy="6753225"/>
            <wp:effectExtent l="0" t="0" r="0" b="0"/>
            <wp:docPr id="25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45368" cy="6767231"/>
                    </a:xfrm>
                    <a:prstGeom prst="rect">
                      <a:avLst/>
                    </a:prstGeom>
                    <a:noFill/>
                    <a:ln>
                      <a:noFill/>
                    </a:ln>
                  </pic:spPr>
                </pic:pic>
              </a:graphicData>
            </a:graphic>
          </wp:inline>
        </w:drawing>
      </w:r>
    </w:p>
    <w:p w14:paraId="272E9080" w14:textId="0AA85E18" w:rsidR="00C83E4A" w:rsidRPr="00F546EC" w:rsidRDefault="00EE60F9" w:rsidP="00C96D20">
      <w:pPr>
        <w:pStyle w:val="Caption"/>
      </w:pPr>
      <w:bookmarkStart w:id="79" w:name="_Toc35861176"/>
      <w:r w:rsidRPr="00F546EC">
        <w:rPr>
          <w:b/>
        </w:rPr>
        <w:t xml:space="preserve">Figure </w:t>
      </w:r>
      <w:r w:rsidR="00FB2D3D" w:rsidRPr="00F546EC">
        <w:rPr>
          <w:b/>
        </w:rPr>
        <w:t>2.</w:t>
      </w:r>
      <w:r w:rsidRPr="00F546EC">
        <w:rPr>
          <w:b/>
        </w:rPr>
        <w:t xml:space="preserve">13. </w:t>
      </w:r>
      <w:r w:rsidR="00F67370" w:rsidRPr="00F546EC">
        <w:rPr>
          <w:b/>
        </w:rPr>
        <w:t xml:space="preserve">A) </w:t>
      </w:r>
      <w:r w:rsidR="00AC5365">
        <w:rPr>
          <w:b/>
        </w:rPr>
        <w:t>%</w:t>
      </w:r>
      <w:r w:rsidRPr="00F546EC">
        <w:t>TOC calculation process using Passey et al. (1990) methodology</w:t>
      </w:r>
      <w:r w:rsidR="00F67370" w:rsidRPr="00F546EC">
        <w:t>;</w:t>
      </w:r>
      <w:r w:rsidR="00F80F2A">
        <w:t xml:space="preserve"> </w:t>
      </w:r>
      <w:r w:rsidR="00F67370" w:rsidRPr="00F546EC">
        <w:rPr>
          <w:b/>
        </w:rPr>
        <w:t>B</w:t>
      </w:r>
      <w:r w:rsidR="005A5913" w:rsidRPr="00F546EC">
        <w:rPr>
          <w:b/>
        </w:rPr>
        <w:t>)</w:t>
      </w:r>
      <w:r w:rsidR="005A5913" w:rsidRPr="00F546EC">
        <w:t xml:space="preserve"> Cross-plot of calculated </w:t>
      </w:r>
      <w:r w:rsidR="00AC5365">
        <w:t>%</w:t>
      </w:r>
      <w:r w:rsidR="005A5913" w:rsidRPr="00F546EC">
        <w:t>TOC</w:t>
      </w:r>
      <w:r w:rsidR="00773315">
        <w:t xml:space="preserve"> (</w:t>
      </w:r>
      <w:r w:rsidR="00FC03F7">
        <w:t>wt.</w:t>
      </w:r>
      <w:r w:rsidR="00773315">
        <w:t>)</w:t>
      </w:r>
      <w:r w:rsidR="00B82508" w:rsidRPr="00F546EC">
        <w:t xml:space="preserve"> in wellbores</w:t>
      </w:r>
      <w:r w:rsidR="005A5913" w:rsidRPr="00F546EC">
        <w:t xml:space="preserve"> and</w:t>
      </w:r>
      <w:r w:rsidR="00B82508" w:rsidRPr="00F546EC">
        <w:t xml:space="preserve"> the</w:t>
      </w:r>
      <w:r w:rsidR="005A5913" w:rsidRPr="00F546EC">
        <w:t xml:space="preserve"> P-</w:t>
      </w:r>
      <w:r w:rsidR="00773315">
        <w:t>i</w:t>
      </w:r>
      <w:r w:rsidR="005A5913" w:rsidRPr="00F546EC">
        <w:t>mpedance (calculated in all wells)</w:t>
      </w:r>
      <w:r w:rsidR="00B105E7">
        <w:t>, the data points are color-coded according to each well</w:t>
      </w:r>
      <w:r w:rsidR="00F80F2A">
        <w:t>.</w:t>
      </w:r>
      <w:r w:rsidR="00455266">
        <w:t xml:space="preserve"> Modified after Amorocho, 2012.</w:t>
      </w:r>
      <w:bookmarkEnd w:id="79"/>
    </w:p>
    <w:p w14:paraId="0F99C0FA" w14:textId="764B231A" w:rsidR="003E4067" w:rsidRPr="00F546EC" w:rsidRDefault="00987AD1" w:rsidP="005768F4">
      <w:pPr>
        <w:spacing w:line="360" w:lineRule="auto"/>
        <w:jc w:val="center"/>
        <w:rPr>
          <w:b/>
        </w:rPr>
      </w:pPr>
      <w:r w:rsidRPr="001E7D67">
        <w:rPr>
          <w:b/>
          <w:noProof/>
        </w:rPr>
        <w:lastRenderedPageBreak/>
        <w:drawing>
          <wp:inline distT="0" distB="0" distL="0" distR="0" wp14:anchorId="62BBF2A8" wp14:editId="31B55388">
            <wp:extent cx="5715000" cy="6959600"/>
            <wp:effectExtent l="0" t="0" r="0" b="0"/>
            <wp:docPr id="252"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6959600"/>
                    </a:xfrm>
                    <a:prstGeom prst="rect">
                      <a:avLst/>
                    </a:prstGeom>
                    <a:noFill/>
                    <a:ln>
                      <a:noFill/>
                    </a:ln>
                  </pic:spPr>
                </pic:pic>
              </a:graphicData>
            </a:graphic>
          </wp:inline>
        </w:drawing>
      </w:r>
    </w:p>
    <w:p w14:paraId="188CEE58" w14:textId="42A1F9D5" w:rsidR="003E4067" w:rsidRPr="00F546EC" w:rsidRDefault="003E4067" w:rsidP="00F80F2A">
      <w:pPr>
        <w:pStyle w:val="Caption"/>
      </w:pPr>
      <w:bookmarkStart w:id="80" w:name="_Toc35861177"/>
      <w:r w:rsidRPr="00F546EC">
        <w:rPr>
          <w:b/>
        </w:rPr>
        <w:t xml:space="preserve">Figure </w:t>
      </w:r>
      <w:r w:rsidR="00FB2D3D" w:rsidRPr="00F546EC">
        <w:rPr>
          <w:b/>
        </w:rPr>
        <w:t>2.</w:t>
      </w:r>
      <w:r w:rsidR="00D33892" w:rsidRPr="00F546EC">
        <w:rPr>
          <w:b/>
        </w:rPr>
        <w:t>14</w:t>
      </w:r>
      <w:r w:rsidR="00FB2D3D" w:rsidRPr="00F546EC">
        <w:rPr>
          <w:b/>
        </w:rPr>
        <w:t>.</w:t>
      </w:r>
      <w:r w:rsidRPr="00F546EC">
        <w:t xml:space="preserve"> </w:t>
      </w:r>
      <w:r w:rsidR="00AC5365">
        <w:t>%</w:t>
      </w:r>
      <w:r w:rsidRPr="00F546EC">
        <w:t>TOC</w:t>
      </w:r>
      <w:r w:rsidR="005768F4">
        <w:t xml:space="preserve"> (wt.)</w:t>
      </w:r>
      <w:r w:rsidRPr="00F546EC">
        <w:t xml:space="preserve"> </w:t>
      </w:r>
      <w:r w:rsidR="005768F4">
        <w:t>c</w:t>
      </w:r>
      <w:r w:rsidRPr="00F546EC">
        <w:t xml:space="preserve">alculation and seismic tie for </w:t>
      </w:r>
      <w:r w:rsidR="005768F4">
        <w:t>w</w:t>
      </w:r>
      <w:r w:rsidRPr="00F546EC">
        <w:t xml:space="preserve">ell </w:t>
      </w:r>
      <w:r w:rsidR="00B96F62" w:rsidRPr="00F546EC">
        <w:t>A</w:t>
      </w:r>
      <w:r w:rsidRPr="00F546EC">
        <w:t xml:space="preserve"> using the Passey et al. (1990) met</w:t>
      </w:r>
      <w:r w:rsidR="003861CC" w:rsidRPr="00F546EC">
        <w:t>hod and the seismic well-tie and synthetic seismogram generated. A statistical wavelet using all wells was applied</w:t>
      </w:r>
      <w:r w:rsidRPr="00F546EC">
        <w:t>.</w:t>
      </w:r>
      <w:r w:rsidR="008467C0" w:rsidRPr="00F546EC">
        <w:t xml:space="preserve"> The Woodford Shale top is the light green horizon</w:t>
      </w:r>
      <w:r w:rsidR="00682187" w:rsidRPr="00F546EC">
        <w:t>,</w:t>
      </w:r>
      <w:r w:rsidR="008467C0" w:rsidRPr="00F546EC">
        <w:t xml:space="preserve"> and the base is the red horizon (Sylvan</w:t>
      </w:r>
      <w:r w:rsidR="00AB3D28">
        <w:t xml:space="preserve"> Shale</w:t>
      </w:r>
      <w:r w:rsidR="008467C0" w:rsidRPr="00F546EC">
        <w:t>)</w:t>
      </w:r>
      <w:r w:rsidR="00682187" w:rsidRPr="00F546EC">
        <w:t>.</w:t>
      </w:r>
      <w:bookmarkEnd w:id="80"/>
    </w:p>
    <w:p w14:paraId="02797FAD" w14:textId="00B7D3B0" w:rsidR="00813419" w:rsidRPr="00F546EC" w:rsidRDefault="004E1F13" w:rsidP="00F80F2A">
      <w:pPr>
        <w:ind w:firstLine="720"/>
      </w:pPr>
      <w:r w:rsidRPr="00F546EC">
        <w:lastRenderedPageBreak/>
        <w:t>The RTD baseline is interpreter</w:t>
      </w:r>
      <w:r w:rsidR="0012411B">
        <w:t>-</w:t>
      </w:r>
      <w:r w:rsidRPr="00F546EC">
        <w:t>dependent</w:t>
      </w:r>
      <w:r w:rsidR="00484F61">
        <w:t xml:space="preserve"> (Passey et al., 2010)</w:t>
      </w:r>
      <w:r w:rsidRPr="00F546EC">
        <w:t>.</w:t>
      </w:r>
      <w:r w:rsidR="00C731D6" w:rsidRPr="00F546EC">
        <w:t xml:space="preserve"> The </w:t>
      </w:r>
      <w:r w:rsidR="00E33B57" w:rsidRPr="00F546EC">
        <w:t>RTD_Base</w:t>
      </w:r>
      <w:r w:rsidRPr="00F546EC">
        <w:t>=</w:t>
      </w:r>
      <w:r w:rsidR="00484F61">
        <w:t xml:space="preserve"> </w:t>
      </w:r>
      <w:r w:rsidRPr="00F546EC">
        <w:t>5 ohm</w:t>
      </w:r>
      <w:r w:rsidR="00484F61">
        <w:t>-</w:t>
      </w:r>
      <w:r w:rsidRPr="00F546EC">
        <w:t>m was used,</w:t>
      </w:r>
      <w:r w:rsidR="0099461F">
        <w:t xml:space="preserve"> and a </w:t>
      </w:r>
      <w:r w:rsidRPr="00F546EC">
        <w:t>RHOB_base =2.5</w:t>
      </w:r>
      <w:r w:rsidR="00B445EE" w:rsidRPr="00F546EC">
        <w:t>3</w:t>
      </w:r>
      <w:r w:rsidRPr="00F546EC">
        <w:t xml:space="preserve"> g/cm3 for shaly intervals (Figure </w:t>
      </w:r>
      <w:r w:rsidR="00976562" w:rsidRPr="00F546EC">
        <w:t>2.</w:t>
      </w:r>
      <w:r w:rsidR="007C0462" w:rsidRPr="00F546EC">
        <w:t>13</w:t>
      </w:r>
      <w:r w:rsidRPr="00F546EC">
        <w:t xml:space="preserve">). </w:t>
      </w:r>
      <w:r w:rsidR="00704609" w:rsidRPr="00F546EC">
        <w:t>For providing an input to the</w:t>
      </w:r>
      <w:r w:rsidR="00742586">
        <w:t xml:space="preserve"> probabilistic</w:t>
      </w:r>
      <w:r w:rsidR="00704609" w:rsidRPr="00F546EC">
        <w:t xml:space="preserve"> neural network</w:t>
      </w:r>
      <w:r w:rsidR="00742586">
        <w:t xml:space="preserve"> (PNN) and then </w:t>
      </w:r>
      <w:r w:rsidR="00704609" w:rsidRPr="00F546EC">
        <w:t>estimat</w:t>
      </w:r>
      <w:r w:rsidR="00742586">
        <w:t xml:space="preserve">e </w:t>
      </w:r>
      <w:r w:rsidR="0099461F">
        <w:t>%</w:t>
      </w:r>
      <w:r w:rsidR="00704609" w:rsidRPr="00F546EC">
        <w:t xml:space="preserve">TOC in three dimensions </w:t>
      </w:r>
      <w:r w:rsidR="0099461F">
        <w:t>across</w:t>
      </w:r>
      <w:r w:rsidR="00704609" w:rsidRPr="00F546EC">
        <w:t xml:space="preserve"> the seismic survey, the calculated Passey-methodology </w:t>
      </w:r>
      <w:r w:rsidR="0099461F">
        <w:t>%</w:t>
      </w:r>
      <w:r w:rsidR="00704609" w:rsidRPr="00F546EC">
        <w:t xml:space="preserve">TOC </w:t>
      </w:r>
      <w:r w:rsidR="00742586">
        <w:t>(which is a</w:t>
      </w:r>
      <w:r w:rsidR="0099461F">
        <w:t>n estimated %TOC)</w:t>
      </w:r>
      <w:r w:rsidR="00742586">
        <w:t xml:space="preserve"> </w:t>
      </w:r>
      <w:r w:rsidR="00704609" w:rsidRPr="00F546EC">
        <w:t>is referred as “actual TOC”</w:t>
      </w:r>
      <w:r w:rsidR="00742586">
        <w:t xml:space="preserve"> in the PNN</w:t>
      </w:r>
      <w:r w:rsidR="00704609" w:rsidRPr="00F546EC">
        <w:t xml:space="preserve"> (Figure </w:t>
      </w:r>
      <w:r w:rsidR="00976562" w:rsidRPr="00F546EC">
        <w:t>2.14</w:t>
      </w:r>
      <w:r w:rsidR="0099461F">
        <w:t>,</w:t>
      </w:r>
      <w:r w:rsidR="00704609" w:rsidRPr="00F546EC">
        <w:t xml:space="preserve"> </w:t>
      </w:r>
      <w:r w:rsidR="007E190D">
        <w:t xml:space="preserve">the </w:t>
      </w:r>
      <w:r w:rsidR="00704609" w:rsidRPr="00F546EC">
        <w:t>red curve</w:t>
      </w:r>
      <w:r w:rsidR="00976562" w:rsidRPr="00F546EC">
        <w:t xml:space="preserve"> on the top right track</w:t>
      </w:r>
      <w:r w:rsidR="00704609" w:rsidRPr="00F546EC">
        <w:t>)</w:t>
      </w:r>
      <w:r w:rsidR="00742586">
        <w:t xml:space="preserve">. The calculated </w:t>
      </w:r>
      <w:r w:rsidR="0099461F">
        <w:t>%</w:t>
      </w:r>
      <w:r w:rsidR="00742586">
        <w:t xml:space="preserve">TOC form the PNN is computed </w:t>
      </w:r>
      <w:r w:rsidR="00704609" w:rsidRPr="00F546EC">
        <w:t>after estimating the non-linear relationships with the 3D seismic attributes</w:t>
      </w:r>
      <w:r w:rsidR="0099461F">
        <w:t>. The PNN estimated %TOC</w:t>
      </w:r>
      <w:r w:rsidR="00742586">
        <w:t xml:space="preserve"> </w:t>
      </w:r>
      <w:r w:rsidR="00704609" w:rsidRPr="00F546EC">
        <w:t xml:space="preserve">is </w:t>
      </w:r>
      <w:r w:rsidR="0099461F">
        <w:t>referred</w:t>
      </w:r>
      <w:r w:rsidR="007E190D">
        <w:t xml:space="preserve"> to</w:t>
      </w:r>
      <w:r w:rsidR="0099461F">
        <w:t xml:space="preserve"> </w:t>
      </w:r>
      <w:r w:rsidR="00704609" w:rsidRPr="00F546EC">
        <w:t xml:space="preserve">as “modeled TOC” (Figure </w:t>
      </w:r>
      <w:r w:rsidR="006C1EE8" w:rsidRPr="00F546EC">
        <w:t>2.14</w:t>
      </w:r>
      <w:r w:rsidR="00704609" w:rsidRPr="00F546EC">
        <w:t>).</w:t>
      </w:r>
    </w:p>
    <w:p w14:paraId="7E9B5231" w14:textId="7BA01E65" w:rsidR="00704609" w:rsidRPr="00F546EC" w:rsidRDefault="00704609" w:rsidP="00530D25">
      <w:pPr>
        <w:pStyle w:val="Heading2"/>
        <w:numPr>
          <w:ilvl w:val="1"/>
          <w:numId w:val="5"/>
        </w:numPr>
      </w:pPr>
      <w:bookmarkStart w:id="81" w:name="_Toc25833540"/>
      <w:bookmarkStart w:id="82" w:name="_Toc35861095"/>
      <w:r w:rsidRPr="00F546EC">
        <w:t>Results: Post-</w:t>
      </w:r>
      <w:r w:rsidR="009733F1">
        <w:t>s</w:t>
      </w:r>
      <w:r w:rsidRPr="00F546EC">
        <w:t xml:space="preserve">tack </w:t>
      </w:r>
      <w:r w:rsidR="009733F1">
        <w:t>s</w:t>
      </w:r>
      <w:r w:rsidRPr="00F546EC">
        <w:t xml:space="preserve">eismic </w:t>
      </w:r>
      <w:r w:rsidR="009733F1">
        <w:t>i</w:t>
      </w:r>
      <w:r w:rsidRPr="00F546EC">
        <w:t xml:space="preserve">nversion and </w:t>
      </w:r>
      <w:r w:rsidR="009733F1">
        <w:t>s</w:t>
      </w:r>
      <w:r w:rsidRPr="00F546EC">
        <w:t xml:space="preserve">upervised </w:t>
      </w:r>
      <w:r w:rsidR="009733F1">
        <w:t>n</w:t>
      </w:r>
      <w:r w:rsidRPr="00F546EC">
        <w:t>eural network analysis</w:t>
      </w:r>
      <w:bookmarkEnd w:id="81"/>
      <w:bookmarkEnd w:id="82"/>
    </w:p>
    <w:p w14:paraId="55977C8A" w14:textId="31A53BCA" w:rsidR="005044C0" w:rsidRPr="00F546EC" w:rsidRDefault="00704609" w:rsidP="009C7927">
      <w:pPr>
        <w:ind w:firstLine="360"/>
      </w:pPr>
      <w:r w:rsidRPr="00F546EC">
        <w:t xml:space="preserve">To distribute </w:t>
      </w:r>
      <w:r w:rsidR="0099461F">
        <w:t>%</w:t>
      </w:r>
      <w:r w:rsidRPr="00F546EC">
        <w:t>TOC in the study area</w:t>
      </w:r>
      <w:r w:rsidR="004C2472">
        <w:t>,</w:t>
      </w:r>
      <w:r w:rsidRPr="00F546EC">
        <w:t xml:space="preserve"> a supervised </w:t>
      </w:r>
      <w:r w:rsidR="0099461F">
        <w:t>PNN</w:t>
      </w:r>
      <w:r w:rsidRPr="00F546EC">
        <w:t xml:space="preserve"> workflow was applied to incorporate the post-stack 3D seismic data </w:t>
      </w:r>
      <w:r w:rsidR="0012411B">
        <w:t>in</w:t>
      </w:r>
      <w:r w:rsidRPr="00F546EC">
        <w:t xml:space="preserve"> combination </w:t>
      </w:r>
      <w:r w:rsidR="0012411B">
        <w:t>with</w:t>
      </w:r>
      <w:r w:rsidRPr="00F546EC">
        <w:t xml:space="preserve"> the calculated Z</w:t>
      </w:r>
      <w:r w:rsidRPr="0099461F">
        <w:rPr>
          <w:vertAlign w:val="subscript"/>
        </w:rPr>
        <w:t>p</w:t>
      </w:r>
      <w:r w:rsidRPr="00F546EC">
        <w:t xml:space="preserve"> from the seismic inversion</w:t>
      </w:r>
      <w:r w:rsidR="000F7808">
        <w:t xml:space="preserve"> (Figure 2.5, Figure 2.16, and Figure 2.17)</w:t>
      </w:r>
      <w:r w:rsidR="0099461F">
        <w:t xml:space="preserve">. </w:t>
      </w:r>
      <w:r w:rsidR="00FC03F7">
        <w:t>Similarly,</w:t>
      </w:r>
      <w:r w:rsidR="008552F6">
        <w:t xml:space="preserve"> to the methodology applied by </w:t>
      </w:r>
      <w:r w:rsidR="0099461F">
        <w:t>Infante et al. (2016), p</w:t>
      </w:r>
      <w:r w:rsidRPr="00F546EC">
        <w:t xml:space="preserve">rincipal </w:t>
      </w:r>
      <w:r w:rsidR="0012411B">
        <w:t>c</w:t>
      </w:r>
      <w:r w:rsidRPr="00F546EC">
        <w:t xml:space="preserve">omponents </w:t>
      </w:r>
      <w:r w:rsidR="0012411B">
        <w:t>a</w:t>
      </w:r>
      <w:r w:rsidRPr="00F546EC">
        <w:t xml:space="preserve">nalysis (PCA) of </w:t>
      </w:r>
      <w:r w:rsidR="00233517">
        <w:t>s</w:t>
      </w:r>
      <w:r w:rsidRPr="00F546EC">
        <w:t>pectral decomposition data</w:t>
      </w:r>
      <w:r w:rsidR="0099461F">
        <w:t xml:space="preserve"> </w:t>
      </w:r>
      <w:r w:rsidRPr="00F546EC">
        <w:t>every 5Hz</w:t>
      </w:r>
      <w:r w:rsidR="0099461F">
        <w:t>, combined with the Z</w:t>
      </w:r>
      <w:r w:rsidR="0099461F" w:rsidRPr="0099461F">
        <w:rPr>
          <w:vertAlign w:val="subscript"/>
        </w:rPr>
        <w:t>p</w:t>
      </w:r>
      <w:r w:rsidR="0099461F">
        <w:t>, coherent energy and similarity volumes were used as inputs to the PNN</w:t>
      </w:r>
      <w:r w:rsidRPr="00F546EC">
        <w:t xml:space="preserve">. </w:t>
      </w:r>
      <w:r w:rsidR="00FC03F7" w:rsidRPr="00F546EC">
        <w:t>All</w:t>
      </w:r>
      <w:r w:rsidRPr="00F546EC">
        <w:t xml:space="preserve"> these seismic calculated volumes acted as external attributes for the supervised neural network analysis</w:t>
      </w:r>
      <w:r w:rsidR="000F7808">
        <w:t xml:space="preserve"> (Figure 2.18, and Figure 2.19)</w:t>
      </w:r>
      <w:r w:rsidRPr="00F546EC">
        <w:t xml:space="preserve">. </w:t>
      </w:r>
    </w:p>
    <w:p w14:paraId="185501B0" w14:textId="486F7A6D" w:rsidR="005803AE" w:rsidRPr="00F546EC" w:rsidRDefault="00704609" w:rsidP="009C7927">
      <w:pPr>
        <w:ind w:firstLine="360"/>
      </w:pPr>
      <w:r w:rsidRPr="00F546EC">
        <w:t xml:space="preserve">The input attributes applied in the workflow for training the neural network are shown in Figure </w:t>
      </w:r>
      <w:r w:rsidR="006C1EE8" w:rsidRPr="00F546EC">
        <w:t>2.4, Figure 2.18 and Figure 2.</w:t>
      </w:r>
      <w:r w:rsidRPr="00F546EC">
        <w:t>1</w:t>
      </w:r>
      <w:r w:rsidR="0012411B">
        <w:t>9</w:t>
      </w:r>
      <w:r w:rsidRPr="00F546EC">
        <w:t xml:space="preserve">. During the supervised neural network training (Figure </w:t>
      </w:r>
      <w:r w:rsidR="006C1EE8" w:rsidRPr="00F546EC">
        <w:t>2.18</w:t>
      </w:r>
      <w:r w:rsidRPr="00F546EC">
        <w:t xml:space="preserve">), the weighting function is adjusted to optimize the prediction of </w:t>
      </w:r>
      <w:r w:rsidR="00533331">
        <w:t>%</w:t>
      </w:r>
      <w:r w:rsidRPr="00F546EC">
        <w:t xml:space="preserve">TOC as a direct indicator of organic facies variations and for avoiding the neural network </w:t>
      </w:r>
      <w:r w:rsidRPr="00A104C8">
        <w:rPr>
          <w:iCs/>
        </w:rPr>
        <w:t>overtraining</w:t>
      </w:r>
      <w:r w:rsidR="00A104C8">
        <w:rPr>
          <w:iCs/>
        </w:rPr>
        <w:t xml:space="preserve"> </w:t>
      </w:r>
      <w:r w:rsidR="00A104C8" w:rsidRPr="00F546EC">
        <w:t>(Figure 2.19, Figure 2.20, and Figure 2.21)</w:t>
      </w:r>
      <w:r w:rsidR="00A104C8">
        <w:t>.</w:t>
      </w:r>
      <w:r w:rsidR="00A104C8" w:rsidRPr="00F546EC">
        <w:t xml:space="preserve"> </w:t>
      </w:r>
      <w:r w:rsidRPr="00F546EC">
        <w:t xml:space="preserve"> High </w:t>
      </w:r>
      <w:r w:rsidR="00215111">
        <w:t>%</w:t>
      </w:r>
      <w:r w:rsidRPr="00F546EC">
        <w:t>TOC zones correlate with the location of karst features</w:t>
      </w:r>
      <w:r w:rsidR="006D0064">
        <w:t>,</w:t>
      </w:r>
      <w:r w:rsidRPr="00F546EC">
        <w:t xml:space="preserve"> and potential restricted </w:t>
      </w:r>
      <w:r w:rsidR="00804F72">
        <w:t xml:space="preserve">enclosed mini-basin </w:t>
      </w:r>
      <w:r w:rsidR="00A22E4E">
        <w:t>fill</w:t>
      </w:r>
      <w:r w:rsidRPr="00F546EC">
        <w:t xml:space="preserve"> deposits (Figure </w:t>
      </w:r>
      <w:r w:rsidR="006C1EE8" w:rsidRPr="00F546EC">
        <w:t xml:space="preserve">2.22, Figure 2.23, </w:t>
      </w:r>
      <w:r w:rsidRPr="00F546EC">
        <w:t xml:space="preserve">and Figure </w:t>
      </w:r>
      <w:r w:rsidR="006C1EE8" w:rsidRPr="00F546EC">
        <w:t>2.24</w:t>
      </w:r>
      <w:r w:rsidRPr="00F546EC">
        <w:t xml:space="preserve">). </w:t>
      </w:r>
    </w:p>
    <w:p w14:paraId="7B58F9A0" w14:textId="77777777" w:rsidR="000F7808" w:rsidRPr="00F546EC" w:rsidRDefault="000F7808" w:rsidP="000F7808">
      <w:pPr>
        <w:spacing w:line="360" w:lineRule="auto"/>
        <w:jc w:val="center"/>
        <w:rPr>
          <w:b/>
        </w:rPr>
      </w:pPr>
      <w:r w:rsidRPr="001E7D67">
        <w:rPr>
          <w:noProof/>
        </w:rPr>
        <w:lastRenderedPageBreak/>
        <w:drawing>
          <wp:inline distT="0" distB="0" distL="0" distR="0" wp14:anchorId="37BCBF53" wp14:editId="1B17B0A3">
            <wp:extent cx="5029200" cy="3800091"/>
            <wp:effectExtent l="0" t="0" r="0" b="0"/>
            <wp:docPr id="25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4">
                      <a:extLst>
                        <a:ext uri="{28A0092B-C50C-407E-A947-70E740481C1C}">
                          <a14:useLocalDpi xmlns:a14="http://schemas.microsoft.com/office/drawing/2010/main" val="0"/>
                        </a:ext>
                      </a:extLst>
                    </a:blip>
                    <a:srcRect t="3558"/>
                    <a:stretch>
                      <a:fillRect/>
                    </a:stretch>
                  </pic:blipFill>
                  <pic:spPr bwMode="auto">
                    <a:xfrm>
                      <a:off x="0" y="0"/>
                      <a:ext cx="5029200" cy="3800091"/>
                    </a:xfrm>
                    <a:prstGeom prst="rect">
                      <a:avLst/>
                    </a:prstGeom>
                    <a:noFill/>
                    <a:ln>
                      <a:noFill/>
                    </a:ln>
                  </pic:spPr>
                </pic:pic>
              </a:graphicData>
            </a:graphic>
          </wp:inline>
        </w:drawing>
      </w:r>
    </w:p>
    <w:p w14:paraId="1F6D570E" w14:textId="77777777" w:rsidR="000F7808" w:rsidRPr="00F546EC" w:rsidRDefault="000F7808" w:rsidP="000F7808">
      <w:pPr>
        <w:pStyle w:val="Caption"/>
      </w:pPr>
      <w:bookmarkStart w:id="83" w:name="_Toc35861178"/>
      <w:r w:rsidRPr="00F546EC">
        <w:rPr>
          <w:b/>
        </w:rPr>
        <w:t>Figure 2.15.</w:t>
      </w:r>
      <w:r w:rsidRPr="00F546EC">
        <w:t xml:space="preserve"> Initial low-frequency background model on an in-line passing through well A</w:t>
      </w:r>
      <w:r>
        <w:t>.</w:t>
      </w:r>
      <w:bookmarkEnd w:id="83"/>
    </w:p>
    <w:p w14:paraId="40B1652A" w14:textId="77777777" w:rsidR="000F7808" w:rsidRPr="00F546EC" w:rsidRDefault="000F7808" w:rsidP="000F7808">
      <w:pPr>
        <w:spacing w:after="0" w:line="276" w:lineRule="auto"/>
        <w:jc w:val="center"/>
        <w:rPr>
          <w:b/>
        </w:rPr>
      </w:pPr>
      <w:r w:rsidRPr="001E7D67">
        <w:rPr>
          <w:b/>
          <w:noProof/>
        </w:rPr>
        <w:drawing>
          <wp:inline distT="0" distB="0" distL="0" distR="0" wp14:anchorId="4FCF7091" wp14:editId="1DEE82D5">
            <wp:extent cx="5255812" cy="3528695"/>
            <wp:effectExtent l="0" t="0" r="2540" b="0"/>
            <wp:docPr id="25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5">
                      <a:extLst>
                        <a:ext uri="{28A0092B-C50C-407E-A947-70E740481C1C}">
                          <a14:useLocalDpi xmlns:a14="http://schemas.microsoft.com/office/drawing/2010/main" val="0"/>
                        </a:ext>
                      </a:extLst>
                    </a:blip>
                    <a:srcRect t="2553"/>
                    <a:stretch>
                      <a:fillRect/>
                    </a:stretch>
                  </pic:blipFill>
                  <pic:spPr bwMode="auto">
                    <a:xfrm>
                      <a:off x="0" y="0"/>
                      <a:ext cx="5259683" cy="3531294"/>
                    </a:xfrm>
                    <a:prstGeom prst="rect">
                      <a:avLst/>
                    </a:prstGeom>
                    <a:noFill/>
                    <a:ln>
                      <a:noFill/>
                    </a:ln>
                  </pic:spPr>
                </pic:pic>
              </a:graphicData>
            </a:graphic>
          </wp:inline>
        </w:drawing>
      </w:r>
    </w:p>
    <w:p w14:paraId="7082D51F" w14:textId="77777777" w:rsidR="000F7808" w:rsidRPr="00F546EC" w:rsidRDefault="000F7808" w:rsidP="000F7808">
      <w:pPr>
        <w:pStyle w:val="Caption"/>
      </w:pPr>
      <w:bookmarkStart w:id="84" w:name="_Toc35861179"/>
      <w:r w:rsidRPr="00F546EC">
        <w:rPr>
          <w:b/>
        </w:rPr>
        <w:t>Figure 2.16.</w:t>
      </w:r>
      <w:r w:rsidRPr="00F546EC">
        <w:t xml:space="preserve"> Inversion Zp results in an arbitrary impedance in-line showing well A</w:t>
      </w:r>
      <w:r>
        <w:t>.</w:t>
      </w:r>
      <w:bookmarkEnd w:id="84"/>
    </w:p>
    <w:p w14:paraId="6636F06F" w14:textId="77777777" w:rsidR="000F7808" w:rsidRPr="00F546EC" w:rsidRDefault="000F7808" w:rsidP="000F7808">
      <w:pPr>
        <w:spacing w:after="0" w:line="276" w:lineRule="auto"/>
        <w:jc w:val="center"/>
      </w:pPr>
      <w:r w:rsidRPr="001E7D67">
        <w:rPr>
          <w:noProof/>
        </w:rPr>
        <w:lastRenderedPageBreak/>
        <w:drawing>
          <wp:inline distT="0" distB="0" distL="0" distR="0" wp14:anchorId="7AD7EF5C" wp14:editId="1DB30F30">
            <wp:extent cx="5224007" cy="3528695"/>
            <wp:effectExtent l="0" t="0" r="0" b="0"/>
            <wp:docPr id="24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l="55711" t="49744" r="2365" b="2533"/>
                    <a:stretch>
                      <a:fillRect/>
                    </a:stretch>
                  </pic:blipFill>
                  <pic:spPr bwMode="auto">
                    <a:xfrm>
                      <a:off x="0" y="0"/>
                      <a:ext cx="5226942" cy="3530678"/>
                    </a:xfrm>
                    <a:prstGeom prst="rect">
                      <a:avLst/>
                    </a:prstGeom>
                    <a:noFill/>
                    <a:ln>
                      <a:noFill/>
                    </a:ln>
                  </pic:spPr>
                </pic:pic>
              </a:graphicData>
            </a:graphic>
          </wp:inline>
        </w:drawing>
      </w:r>
    </w:p>
    <w:p w14:paraId="64B2BAFF" w14:textId="1F659183" w:rsidR="000F7808" w:rsidRPr="00F546EC" w:rsidRDefault="000F7808" w:rsidP="00B77446">
      <w:pPr>
        <w:pStyle w:val="Caption"/>
      </w:pPr>
      <w:bookmarkStart w:id="85" w:name="_Toc35861180"/>
      <w:r w:rsidRPr="00F546EC">
        <w:rPr>
          <w:b/>
        </w:rPr>
        <w:t>Figure 2.17.</w:t>
      </w:r>
      <w:r w:rsidRPr="00F546EC">
        <w:t xml:space="preserve"> Data-</w:t>
      </w:r>
      <w:r>
        <w:t>e</w:t>
      </w:r>
      <w:r w:rsidRPr="00F546EC">
        <w:t>rror slice calculated two mi</w:t>
      </w:r>
      <w:r w:rsidR="00E33B57">
        <w:t>l</w:t>
      </w:r>
      <w:r w:rsidRPr="00F546EC">
        <w:t xml:space="preserve">li-seconds [ms] below the Woodford </w:t>
      </w:r>
      <w:r>
        <w:t>S</w:t>
      </w:r>
      <w:r w:rsidRPr="00F546EC">
        <w:t xml:space="preserve">hale </w:t>
      </w:r>
      <w:r>
        <w:t>t</w:t>
      </w:r>
      <w:r w:rsidRPr="00F546EC">
        <w:t xml:space="preserve">op seismic horizon. </w:t>
      </w:r>
      <w:r w:rsidR="001861B5">
        <w:t>A h</w:t>
      </w:r>
      <w:r w:rsidRPr="00F546EC">
        <w:t xml:space="preserve">igher error in the SW of the study </w:t>
      </w:r>
      <w:r>
        <w:t xml:space="preserve">is </w:t>
      </w:r>
      <w:r w:rsidRPr="00F546EC">
        <w:t xml:space="preserve">due to </w:t>
      </w:r>
      <w:r w:rsidR="001861B5">
        <w:t xml:space="preserve">the </w:t>
      </w:r>
      <w:r w:rsidR="00E33B57">
        <w:t>probable tun</w:t>
      </w:r>
      <w:r w:rsidRPr="00F546EC">
        <w:t xml:space="preserve">ing effect, where the Woodford </w:t>
      </w:r>
      <w:r>
        <w:t>S</w:t>
      </w:r>
      <w:r w:rsidRPr="00F546EC">
        <w:t>hale and Hunton seismic horizons are very close, and the time thickness for both formations are minimal.</w:t>
      </w:r>
      <w:bookmarkEnd w:id="85"/>
      <w:r w:rsidRPr="00F546EC">
        <w:t xml:space="preserve"> </w:t>
      </w:r>
    </w:p>
    <w:p w14:paraId="7F415537" w14:textId="77777777" w:rsidR="00215111" w:rsidRDefault="00215111" w:rsidP="00B77446">
      <w:pPr>
        <w:spacing w:after="0"/>
        <w:ind w:firstLine="360"/>
      </w:pPr>
    </w:p>
    <w:p w14:paraId="75E86384" w14:textId="77777777" w:rsidR="00215111" w:rsidRDefault="00704609" w:rsidP="00B77446">
      <w:pPr>
        <w:spacing w:after="0"/>
        <w:ind w:firstLine="360"/>
      </w:pPr>
      <w:r w:rsidRPr="00F546EC">
        <w:t xml:space="preserve">The </w:t>
      </w:r>
      <w:r w:rsidR="005044C0" w:rsidRPr="00F546EC">
        <w:t xml:space="preserve">applied </w:t>
      </w:r>
      <w:r w:rsidR="00215111">
        <w:t xml:space="preserve">seismic </w:t>
      </w:r>
      <w:r w:rsidRPr="00F546EC">
        <w:t xml:space="preserve">analysis window of the </w:t>
      </w:r>
      <w:r w:rsidR="00B77446">
        <w:t>PNN</w:t>
      </w:r>
      <w:r w:rsidR="00215111">
        <w:t xml:space="preserve"> </w:t>
      </w:r>
      <w:r w:rsidRPr="00F546EC">
        <w:t xml:space="preserve">training and calculations were limited only to the Woodford </w:t>
      </w:r>
      <w:r w:rsidR="00233E11">
        <w:t>S</w:t>
      </w:r>
      <w:r w:rsidRPr="00F546EC">
        <w:t>hale seismic window (±50</w:t>
      </w:r>
      <w:r w:rsidR="00836D01" w:rsidRPr="00F546EC">
        <w:t xml:space="preserve"> mi</w:t>
      </w:r>
      <w:r w:rsidR="00D910F3" w:rsidRPr="00F546EC">
        <w:t>l</w:t>
      </w:r>
      <w:r w:rsidR="00836D01" w:rsidRPr="00F546EC">
        <w:t>liseconds</w:t>
      </w:r>
      <w:r w:rsidRPr="00F546EC">
        <w:t xml:space="preserve"> </w:t>
      </w:r>
      <w:r w:rsidR="00836D01" w:rsidRPr="00F546EC">
        <w:t>[</w:t>
      </w:r>
      <w:r w:rsidRPr="00F546EC">
        <w:t>ms</w:t>
      </w:r>
      <w:r w:rsidR="00836D01" w:rsidRPr="00F546EC">
        <w:t>]</w:t>
      </w:r>
      <w:r w:rsidRPr="00F546EC">
        <w:t xml:space="preserve"> fr</w:t>
      </w:r>
      <w:r w:rsidR="00836D01" w:rsidRPr="00F546EC">
        <w:t>o</w:t>
      </w:r>
      <w:r w:rsidRPr="00F546EC">
        <w:t xml:space="preserve">m Woodford Shale top and base) and were aimed to be within the stratigraphic zone of interest to obtain a better correlation in the calculations and </w:t>
      </w:r>
      <w:r w:rsidR="00215111">
        <w:t>%</w:t>
      </w:r>
      <w:r w:rsidRPr="00F546EC">
        <w:t xml:space="preserve">TOC seismic modeling (Figure </w:t>
      </w:r>
      <w:r w:rsidR="00754948" w:rsidRPr="00F546EC">
        <w:t>2.</w:t>
      </w:r>
      <w:r w:rsidRPr="00F546EC">
        <w:t xml:space="preserve">14 and </w:t>
      </w:r>
      <w:r w:rsidR="00754948" w:rsidRPr="00F546EC">
        <w:t>2.21</w:t>
      </w:r>
      <w:r w:rsidRPr="00F546EC">
        <w:t xml:space="preserve">). The </w:t>
      </w:r>
      <w:r w:rsidR="00215111">
        <w:t>PNN</w:t>
      </w:r>
      <w:r w:rsidRPr="00F546EC">
        <w:t xml:space="preserve"> performed the non-linear relationship calculation process at every sample location in the seismic volume (Heggland, 2004)</w:t>
      </w:r>
      <w:r w:rsidR="00215111">
        <w:t>. Each PNN sample point was</w:t>
      </w:r>
      <w:r w:rsidRPr="00F546EC">
        <w:t xml:space="preserve"> compared </w:t>
      </w:r>
      <w:r w:rsidR="00215111">
        <w:t>to</w:t>
      </w:r>
      <w:r w:rsidRPr="00F546EC">
        <w:t xml:space="preserve"> each data sample of the calculated </w:t>
      </w:r>
      <w:r w:rsidR="00215111">
        <w:t>%</w:t>
      </w:r>
      <w:r w:rsidRPr="00F546EC">
        <w:t>TOC-log in wells</w:t>
      </w:r>
      <w:r w:rsidR="00215111">
        <w:t>,</w:t>
      </w:r>
      <w:r w:rsidRPr="00F546EC">
        <w:t xml:space="preserve"> with nine data samples of </w:t>
      </w:r>
      <w:r w:rsidR="00215111">
        <w:t xml:space="preserve">each of </w:t>
      </w:r>
      <w:r w:rsidRPr="00F546EC">
        <w:t>the</w:t>
      </w:r>
      <w:r w:rsidR="00215111">
        <w:t xml:space="preserve"> three</w:t>
      </w:r>
      <w:r w:rsidRPr="00F546EC">
        <w:t xml:space="preserve"> selected seismic </w:t>
      </w:r>
      <w:r w:rsidR="00215111">
        <w:t xml:space="preserve">attributes </w:t>
      </w:r>
      <w:r w:rsidRPr="00F546EC">
        <w:t xml:space="preserve">(Zp, </w:t>
      </w:r>
      <w:r w:rsidR="0012411B">
        <w:t>c</w:t>
      </w:r>
      <w:r w:rsidRPr="00F546EC">
        <w:t xml:space="preserve">oherency and </w:t>
      </w:r>
      <w:r w:rsidR="0012411B">
        <w:t>p</w:t>
      </w:r>
      <w:r w:rsidRPr="00F546EC">
        <w:t xml:space="preserve">rincipal </w:t>
      </w:r>
      <w:r w:rsidR="0012411B">
        <w:t>c</w:t>
      </w:r>
      <w:r w:rsidRPr="00F546EC">
        <w:t xml:space="preserve">omponent </w:t>
      </w:r>
      <w:r w:rsidR="0012411B">
        <w:t>a</w:t>
      </w:r>
      <w:r w:rsidRPr="00F546EC">
        <w:t xml:space="preserve">nalysis </w:t>
      </w:r>
      <w:r w:rsidR="0012411B">
        <w:t>v</w:t>
      </w:r>
      <w:r w:rsidRPr="00F546EC">
        <w:t xml:space="preserve">ector1 [PC1]; Figure </w:t>
      </w:r>
      <w:r w:rsidR="006C1EE8" w:rsidRPr="00F546EC">
        <w:t>2.19</w:t>
      </w:r>
      <w:r w:rsidRPr="00F546EC">
        <w:t>).</w:t>
      </w:r>
      <w:r w:rsidR="00B77446">
        <w:t xml:space="preserve"> </w:t>
      </w:r>
    </w:p>
    <w:p w14:paraId="55FB4E79" w14:textId="77777777" w:rsidR="00215111" w:rsidRDefault="00215111" w:rsidP="00B77446">
      <w:pPr>
        <w:spacing w:after="0"/>
        <w:ind w:firstLine="360"/>
      </w:pPr>
    </w:p>
    <w:p w14:paraId="70711E88" w14:textId="77777777" w:rsidR="00215111" w:rsidRPr="00F546EC" w:rsidRDefault="00215111" w:rsidP="00215111">
      <w:pPr>
        <w:spacing w:after="0" w:line="360" w:lineRule="auto"/>
        <w:jc w:val="center"/>
      </w:pPr>
      <w:r w:rsidRPr="001E7D67">
        <w:rPr>
          <w:noProof/>
        </w:rPr>
        <w:lastRenderedPageBreak/>
        <w:drawing>
          <wp:inline distT="0" distB="0" distL="0" distR="0" wp14:anchorId="165F8649" wp14:editId="69AF591C">
            <wp:extent cx="5348605" cy="3592681"/>
            <wp:effectExtent l="0" t="0" r="4445" b="8255"/>
            <wp:docPr id="2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58304" cy="3599196"/>
                    </a:xfrm>
                    <a:prstGeom prst="rect">
                      <a:avLst/>
                    </a:prstGeom>
                    <a:noFill/>
                    <a:ln>
                      <a:noFill/>
                    </a:ln>
                  </pic:spPr>
                </pic:pic>
              </a:graphicData>
            </a:graphic>
          </wp:inline>
        </w:drawing>
      </w:r>
    </w:p>
    <w:p w14:paraId="3EAD4C8E" w14:textId="77777777" w:rsidR="00215111" w:rsidRPr="00F546EC" w:rsidRDefault="00215111" w:rsidP="00215111">
      <w:pPr>
        <w:pStyle w:val="Caption"/>
      </w:pPr>
      <w:bookmarkStart w:id="86" w:name="_Toc35861181"/>
      <w:r w:rsidRPr="00F546EC">
        <w:rPr>
          <w:b/>
        </w:rPr>
        <w:t xml:space="preserve">Figure 2.18. </w:t>
      </w:r>
      <w:r>
        <w:rPr>
          <w:bCs w:val="0"/>
        </w:rPr>
        <w:t>Probabilistic n</w:t>
      </w:r>
      <w:r w:rsidRPr="00F546EC">
        <w:t xml:space="preserve">eural network </w:t>
      </w:r>
      <w:r>
        <w:t xml:space="preserve">(PNN) </w:t>
      </w:r>
      <w:r w:rsidRPr="00F546EC">
        <w:t>training operator length and attribute selection</w:t>
      </w:r>
      <w:r>
        <w:t>.</w:t>
      </w:r>
      <w:bookmarkEnd w:id="86"/>
    </w:p>
    <w:p w14:paraId="195EB4E3" w14:textId="77777777" w:rsidR="00215111" w:rsidRPr="00F546EC" w:rsidRDefault="00215111" w:rsidP="00215111">
      <w:pPr>
        <w:spacing w:after="0" w:line="360" w:lineRule="auto"/>
        <w:jc w:val="center"/>
        <w:rPr>
          <w:b/>
        </w:rPr>
      </w:pPr>
      <w:r w:rsidRPr="00027614">
        <w:rPr>
          <w:noProof/>
        </w:rPr>
        <w:drawing>
          <wp:inline distT="0" distB="0" distL="0" distR="0" wp14:anchorId="06FA8907" wp14:editId="54677CB3">
            <wp:extent cx="5587365" cy="3743325"/>
            <wp:effectExtent l="0" t="0" r="0" b="9525"/>
            <wp:docPr id="247"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07050" cy="3756513"/>
                    </a:xfrm>
                    <a:prstGeom prst="rect">
                      <a:avLst/>
                    </a:prstGeom>
                    <a:noFill/>
                    <a:ln>
                      <a:noFill/>
                    </a:ln>
                  </pic:spPr>
                </pic:pic>
              </a:graphicData>
            </a:graphic>
          </wp:inline>
        </w:drawing>
      </w:r>
    </w:p>
    <w:p w14:paraId="614E1F03" w14:textId="5AFA3486" w:rsidR="00215111" w:rsidRPr="00F546EC" w:rsidRDefault="00215111" w:rsidP="00215111">
      <w:pPr>
        <w:pStyle w:val="Caption"/>
      </w:pPr>
      <w:bookmarkStart w:id="87" w:name="_Toc35861182"/>
      <w:r w:rsidRPr="00F546EC">
        <w:rPr>
          <w:b/>
        </w:rPr>
        <w:t>Figure 2.19.</w:t>
      </w:r>
      <w:r w:rsidRPr="00F546EC">
        <w:t xml:space="preserve"> </w:t>
      </w:r>
      <w:r>
        <w:t>PNN</w:t>
      </w:r>
      <w:r w:rsidRPr="00F546EC">
        <w:t xml:space="preserve"> </w:t>
      </w:r>
      <w:r>
        <w:t>t</w:t>
      </w:r>
      <w:r w:rsidRPr="00F546EC">
        <w:t xml:space="preserve">raining data. </w:t>
      </w:r>
      <w:r w:rsidR="00AC5365">
        <w:t>%</w:t>
      </w:r>
      <w:r w:rsidRPr="00F546EC">
        <w:t xml:space="preserve">TOC (red) with extracted seismic data, </w:t>
      </w:r>
      <w:r>
        <w:t>c</w:t>
      </w:r>
      <w:r w:rsidRPr="00F546EC">
        <w:t xml:space="preserve">oherent Energy and Zp from </w:t>
      </w:r>
      <w:r>
        <w:t>s</w:t>
      </w:r>
      <w:r w:rsidRPr="00F546EC">
        <w:t xml:space="preserve">eismic </w:t>
      </w:r>
      <w:r>
        <w:t>i</w:t>
      </w:r>
      <w:r w:rsidRPr="00F546EC">
        <w:t xml:space="preserve">nversion, </w:t>
      </w:r>
      <w:r>
        <w:t>s</w:t>
      </w:r>
      <w:r w:rsidRPr="00F546EC">
        <w:t xml:space="preserve">pectral </w:t>
      </w:r>
      <w:r>
        <w:t>d</w:t>
      </w:r>
      <w:r w:rsidRPr="00F546EC">
        <w:t xml:space="preserve">ecomposition every 5Hz </w:t>
      </w:r>
      <w:r>
        <w:t>p</w:t>
      </w:r>
      <w:r w:rsidRPr="00F546EC">
        <w:t xml:space="preserve">rincipal </w:t>
      </w:r>
      <w:r>
        <w:t>c</w:t>
      </w:r>
      <w:r w:rsidRPr="00F546EC">
        <w:t>omponents 1, 2, and 3.</w:t>
      </w:r>
      <w:bookmarkEnd w:id="87"/>
    </w:p>
    <w:p w14:paraId="0D0898EC" w14:textId="77777777" w:rsidR="00215111" w:rsidRPr="00F546EC" w:rsidRDefault="00215111" w:rsidP="00215111">
      <w:pPr>
        <w:spacing w:after="0" w:line="360" w:lineRule="auto"/>
        <w:jc w:val="center"/>
      </w:pPr>
      <w:r w:rsidRPr="00027614">
        <w:rPr>
          <w:noProof/>
        </w:rPr>
        <w:lastRenderedPageBreak/>
        <w:drawing>
          <wp:inline distT="0" distB="0" distL="0" distR="0" wp14:anchorId="2127D0D8" wp14:editId="0F83C4F0">
            <wp:extent cx="5629247" cy="3212938"/>
            <wp:effectExtent l="0" t="0" r="0" b="0"/>
            <wp:docPr id="24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34278" cy="3215809"/>
                    </a:xfrm>
                    <a:prstGeom prst="rect">
                      <a:avLst/>
                    </a:prstGeom>
                    <a:noFill/>
                    <a:ln>
                      <a:noFill/>
                    </a:ln>
                  </pic:spPr>
                </pic:pic>
              </a:graphicData>
            </a:graphic>
          </wp:inline>
        </w:drawing>
      </w:r>
    </w:p>
    <w:p w14:paraId="1DDF5F9E" w14:textId="25791DF6" w:rsidR="00215111" w:rsidRPr="00F546EC" w:rsidRDefault="00215111" w:rsidP="00215111">
      <w:pPr>
        <w:pStyle w:val="Caption"/>
      </w:pPr>
      <w:bookmarkStart w:id="88" w:name="_Toc35861183"/>
      <w:r w:rsidRPr="00F546EC">
        <w:rPr>
          <w:b/>
        </w:rPr>
        <w:t>Figure 2.20.</w:t>
      </w:r>
      <w:r w:rsidRPr="00F546EC">
        <w:t xml:space="preserve"> Multi-attribute regression of actual </w:t>
      </w:r>
      <w:r w:rsidR="00AC5365">
        <w:t>%</w:t>
      </w:r>
      <w:r w:rsidRPr="00F546EC">
        <w:t xml:space="preserve">TOC (Passey </w:t>
      </w:r>
      <w:r>
        <w:t xml:space="preserve">et al. [1990] </w:t>
      </w:r>
      <w:r w:rsidRPr="00F546EC">
        <w:t xml:space="preserve">method calculated) vs. predicted </w:t>
      </w:r>
      <w:r w:rsidR="00AC5365">
        <w:t>%</w:t>
      </w:r>
      <w:r w:rsidRPr="00F546EC">
        <w:t>TOC. Three attributes were used in the regression: Z</w:t>
      </w:r>
      <w:r w:rsidRPr="00AC5365">
        <w:rPr>
          <w:vertAlign w:val="subscript"/>
        </w:rPr>
        <w:t>p</w:t>
      </w:r>
      <w:r w:rsidRPr="00F546EC">
        <w:t xml:space="preserve">, </w:t>
      </w:r>
      <w:r>
        <w:t>c</w:t>
      </w:r>
      <w:r w:rsidRPr="00F546EC">
        <w:t xml:space="preserve">oherent </w:t>
      </w:r>
      <w:r>
        <w:t>e</w:t>
      </w:r>
      <w:r w:rsidRPr="00F546EC">
        <w:t xml:space="preserve">nergy, and </w:t>
      </w:r>
      <w:r>
        <w:t>s</w:t>
      </w:r>
      <w:r w:rsidRPr="00F546EC">
        <w:t xml:space="preserve">pectral PC 2. Negative </w:t>
      </w:r>
      <w:r w:rsidR="00AC5365">
        <w:t>%</w:t>
      </w:r>
      <w:r w:rsidRPr="00F546EC">
        <w:t xml:space="preserve">TOC values correspond to the Hunton </w:t>
      </w:r>
      <w:r>
        <w:t>G</w:t>
      </w:r>
      <w:r w:rsidRPr="00F546EC">
        <w:t>roup.</w:t>
      </w:r>
      <w:bookmarkEnd w:id="88"/>
    </w:p>
    <w:p w14:paraId="1D63E79F" w14:textId="77777777" w:rsidR="00215111" w:rsidRPr="00F546EC" w:rsidRDefault="00215111" w:rsidP="00215111">
      <w:pPr>
        <w:spacing w:after="0" w:line="360" w:lineRule="auto"/>
        <w:jc w:val="center"/>
      </w:pPr>
      <w:r w:rsidRPr="00027614">
        <w:rPr>
          <w:noProof/>
        </w:rPr>
        <w:drawing>
          <wp:inline distT="0" distB="0" distL="0" distR="0" wp14:anchorId="4D26F631" wp14:editId="6ABF88D2">
            <wp:extent cx="5372100" cy="3606800"/>
            <wp:effectExtent l="0" t="0" r="0" b="0"/>
            <wp:docPr id="24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2100" cy="3606800"/>
                    </a:xfrm>
                    <a:prstGeom prst="rect">
                      <a:avLst/>
                    </a:prstGeom>
                    <a:noFill/>
                    <a:ln>
                      <a:noFill/>
                    </a:ln>
                  </pic:spPr>
                </pic:pic>
              </a:graphicData>
            </a:graphic>
          </wp:inline>
        </w:drawing>
      </w:r>
    </w:p>
    <w:p w14:paraId="1CB99395" w14:textId="53C6E5D8" w:rsidR="00215111" w:rsidRPr="00F546EC" w:rsidRDefault="00215111" w:rsidP="00215111">
      <w:pPr>
        <w:pStyle w:val="Caption"/>
      </w:pPr>
      <w:bookmarkStart w:id="89" w:name="_Toc35861184"/>
      <w:r w:rsidRPr="00F546EC">
        <w:rPr>
          <w:b/>
        </w:rPr>
        <w:t>Figure 2.21.</w:t>
      </w:r>
      <w:r w:rsidRPr="00F546EC">
        <w:t xml:space="preserve">  Probabilistic neural network using three attributes. </w:t>
      </w:r>
      <w:r w:rsidR="00AC5365">
        <w:t>%</w:t>
      </w:r>
      <w:r w:rsidRPr="00F546EC">
        <w:t xml:space="preserve">TOC calculated with Passey </w:t>
      </w:r>
      <w:r>
        <w:t xml:space="preserve">et al. (1990) </w:t>
      </w:r>
      <w:r w:rsidRPr="00F546EC">
        <w:t xml:space="preserve">methodology in a black curve, </w:t>
      </w:r>
      <w:r w:rsidR="00AC5365">
        <w:t>%</w:t>
      </w:r>
      <w:r w:rsidRPr="00F546EC">
        <w:t>TOC modeled from the supervised neural network in the red curves.</w:t>
      </w:r>
      <w:bookmarkEnd w:id="89"/>
    </w:p>
    <w:p w14:paraId="37BC3503" w14:textId="6FACAE6E" w:rsidR="00704609" w:rsidRDefault="00215111" w:rsidP="00B77446">
      <w:pPr>
        <w:spacing w:after="0"/>
        <w:ind w:firstLine="360"/>
      </w:pPr>
      <w:r>
        <w:lastRenderedPageBreak/>
        <w:t xml:space="preserve">The PNN modeled %TOC </w:t>
      </w:r>
      <w:r w:rsidR="00FC03F7">
        <w:t>results</w:t>
      </w:r>
      <w:r>
        <w:t xml:space="preserve"> show that t</w:t>
      </w:r>
      <w:r w:rsidR="00B77446" w:rsidRPr="00F546EC">
        <w:t xml:space="preserve">he Woodford </w:t>
      </w:r>
      <w:r w:rsidR="00B77446">
        <w:t>S</w:t>
      </w:r>
      <w:r w:rsidR="00B77446" w:rsidRPr="00F546EC">
        <w:t xml:space="preserve">hale is thicker and with more </w:t>
      </w:r>
      <w:r>
        <w:t>%</w:t>
      </w:r>
      <w:r w:rsidR="00B77446" w:rsidRPr="00F546EC">
        <w:t>TOC where the Hunton Group is entirely or significantly eroded</w:t>
      </w:r>
      <w:r w:rsidR="00B77446">
        <w:t>,</w:t>
      </w:r>
      <w:r w:rsidR="00B77446" w:rsidRPr="00F546EC">
        <w:t xml:space="preserve"> and structural features allow the identification of </w:t>
      </w:r>
      <w:r w:rsidR="00B77446">
        <w:t>concave</w:t>
      </w:r>
      <w:r w:rsidR="00FF5A60">
        <w:t>-</w:t>
      </w:r>
      <w:r w:rsidR="00B77446">
        <w:t>down enclosed mini-basins produced by karstification</w:t>
      </w:r>
      <w:r w:rsidR="00B77446" w:rsidRPr="00F546EC">
        <w:t xml:space="preserve"> </w:t>
      </w:r>
      <w:r w:rsidR="00B77446">
        <w:t>or wide incised valley processes of the Hunton Group paleo platform (Figure 2.24).</w:t>
      </w:r>
    </w:p>
    <w:p w14:paraId="63DCA6C9" w14:textId="77777777" w:rsidR="00215111" w:rsidRPr="00F546EC" w:rsidRDefault="00215111" w:rsidP="00B77446">
      <w:pPr>
        <w:spacing w:after="0"/>
        <w:ind w:firstLine="360"/>
      </w:pPr>
    </w:p>
    <w:p w14:paraId="702CBDA1" w14:textId="36E5CC1C" w:rsidR="007E32FD" w:rsidRPr="00F546EC" w:rsidRDefault="00987AD1" w:rsidP="00233517">
      <w:pPr>
        <w:spacing w:after="0" w:line="360" w:lineRule="auto"/>
        <w:jc w:val="center"/>
      </w:pPr>
      <w:r w:rsidRPr="001E7D67">
        <w:rPr>
          <w:noProof/>
        </w:rPr>
        <w:drawing>
          <wp:inline distT="0" distB="0" distL="0" distR="0" wp14:anchorId="3414D8EE" wp14:editId="2964F84D">
            <wp:extent cx="5029200" cy="3474720"/>
            <wp:effectExtent l="19050" t="19050" r="19050" b="11430"/>
            <wp:docPr id="244"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29200" cy="3474720"/>
                    </a:xfrm>
                    <a:prstGeom prst="rect">
                      <a:avLst/>
                    </a:prstGeom>
                    <a:noFill/>
                    <a:ln>
                      <a:solidFill>
                        <a:schemeClr val="tx1"/>
                      </a:solidFill>
                    </a:ln>
                  </pic:spPr>
                </pic:pic>
              </a:graphicData>
            </a:graphic>
          </wp:inline>
        </w:drawing>
      </w:r>
    </w:p>
    <w:p w14:paraId="7F73AF03" w14:textId="2A054DE4" w:rsidR="007E32FD" w:rsidRPr="00F546EC" w:rsidRDefault="007E32FD" w:rsidP="006003E4">
      <w:pPr>
        <w:pStyle w:val="Caption"/>
      </w:pPr>
      <w:bookmarkStart w:id="90" w:name="_Toc35861185"/>
      <w:r w:rsidRPr="00F546EC">
        <w:rPr>
          <w:b/>
        </w:rPr>
        <w:t xml:space="preserve">Figure </w:t>
      </w:r>
      <w:r w:rsidR="00FB2D3D" w:rsidRPr="00F546EC">
        <w:rPr>
          <w:b/>
        </w:rPr>
        <w:t>2.</w:t>
      </w:r>
      <w:r w:rsidR="00D33892" w:rsidRPr="00F546EC">
        <w:rPr>
          <w:b/>
        </w:rPr>
        <w:t>22</w:t>
      </w:r>
      <w:r w:rsidRPr="00F546EC">
        <w:rPr>
          <w:b/>
        </w:rPr>
        <w:t>.</w:t>
      </w:r>
      <w:r w:rsidRPr="00F546EC">
        <w:t xml:space="preserve">  Inline of the </w:t>
      </w:r>
      <w:r w:rsidR="00AC5365">
        <w:t>%</w:t>
      </w:r>
      <w:r w:rsidRPr="00F546EC">
        <w:t xml:space="preserve">TOC cross-section extracted along the Woodford </w:t>
      </w:r>
      <w:r w:rsidR="0012411B">
        <w:t>S</w:t>
      </w:r>
      <w:r w:rsidRPr="00F546EC">
        <w:t>hale. Note the lake-pod shape of the Woodford where the well is located.</w:t>
      </w:r>
      <w:r w:rsidR="002558AF">
        <w:t xml:space="preserve"> Higher </w:t>
      </w:r>
      <w:r w:rsidR="00AC5365">
        <w:t>%</w:t>
      </w:r>
      <w:r w:rsidR="002558AF">
        <w:t>TOC is computed for th</w:t>
      </w:r>
      <w:r w:rsidR="00091100">
        <w:t>ese</w:t>
      </w:r>
      <w:r w:rsidR="002558AF">
        <w:t xml:space="preserve"> enclosed areas.</w:t>
      </w:r>
      <w:bookmarkEnd w:id="90"/>
      <w:r w:rsidR="002558AF">
        <w:t xml:space="preserve"> </w:t>
      </w:r>
    </w:p>
    <w:p w14:paraId="140E0B17" w14:textId="19997215" w:rsidR="007E32FD" w:rsidRPr="00F546EC" w:rsidRDefault="00987AD1" w:rsidP="00233517">
      <w:pPr>
        <w:spacing w:after="0" w:line="360" w:lineRule="auto"/>
        <w:jc w:val="center"/>
      </w:pPr>
      <w:r w:rsidRPr="001E7D67">
        <w:rPr>
          <w:noProof/>
        </w:rPr>
        <w:lastRenderedPageBreak/>
        <w:drawing>
          <wp:inline distT="0" distB="0" distL="0" distR="0" wp14:anchorId="7F9EB340" wp14:editId="610F86FE">
            <wp:extent cx="5029200" cy="3295650"/>
            <wp:effectExtent l="0" t="0" r="0" b="0"/>
            <wp:docPr id="243"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29200" cy="3295650"/>
                    </a:xfrm>
                    <a:prstGeom prst="rect">
                      <a:avLst/>
                    </a:prstGeom>
                    <a:noFill/>
                    <a:ln>
                      <a:noFill/>
                    </a:ln>
                  </pic:spPr>
                </pic:pic>
              </a:graphicData>
            </a:graphic>
          </wp:inline>
        </w:drawing>
      </w:r>
    </w:p>
    <w:p w14:paraId="79CC34B6" w14:textId="2740C31B" w:rsidR="007E32FD" w:rsidRPr="00F546EC" w:rsidRDefault="007E32FD" w:rsidP="006003E4">
      <w:pPr>
        <w:pStyle w:val="Caption"/>
        <w:rPr>
          <w:b/>
        </w:rPr>
      </w:pPr>
      <w:bookmarkStart w:id="91" w:name="_Toc35861186"/>
      <w:r w:rsidRPr="00F546EC">
        <w:rPr>
          <w:b/>
        </w:rPr>
        <w:t xml:space="preserve">Figure </w:t>
      </w:r>
      <w:r w:rsidR="00FB2D3D" w:rsidRPr="00F546EC">
        <w:rPr>
          <w:b/>
        </w:rPr>
        <w:t>2.</w:t>
      </w:r>
      <w:r w:rsidR="00D33892" w:rsidRPr="00F546EC">
        <w:rPr>
          <w:b/>
        </w:rPr>
        <w:t>23</w:t>
      </w:r>
      <w:r w:rsidRPr="00F546EC">
        <w:rPr>
          <w:b/>
        </w:rPr>
        <w:t xml:space="preserve">. </w:t>
      </w:r>
      <w:r w:rsidRPr="00F546EC">
        <w:t xml:space="preserve">Calculated </w:t>
      </w:r>
      <w:r w:rsidR="00AC5365">
        <w:t>%</w:t>
      </w:r>
      <w:r w:rsidRPr="00F546EC">
        <w:t xml:space="preserve">TOC from the supervised neural network analysis. Average </w:t>
      </w:r>
      <w:r w:rsidR="00AC5365">
        <w:t>%</w:t>
      </w:r>
      <w:r w:rsidRPr="00F546EC">
        <w:t xml:space="preserve">TOC values are extracted for the Woodford </w:t>
      </w:r>
      <w:r w:rsidR="00233E11">
        <w:t>S</w:t>
      </w:r>
      <w:r w:rsidRPr="00F546EC">
        <w:t>hale stratigraphic interval and are shown in the display colors of the map. The contours correspond to</w:t>
      </w:r>
      <w:r w:rsidR="00CD3103" w:rsidRPr="00F546EC">
        <w:t xml:space="preserve"> the Hunton Group</w:t>
      </w:r>
      <w:r w:rsidRPr="00F546EC">
        <w:t xml:space="preserve"> seismic isochrones in </w:t>
      </w:r>
      <w:r w:rsidR="00E33B57" w:rsidRPr="00F546EC">
        <w:t>milli</w:t>
      </w:r>
      <w:r w:rsidRPr="00F546EC">
        <w:t>seconds [ms].</w:t>
      </w:r>
      <w:bookmarkEnd w:id="91"/>
    </w:p>
    <w:p w14:paraId="451A4CD9" w14:textId="77777777" w:rsidR="00862B3F" w:rsidRPr="00F546EC" w:rsidRDefault="00862B3F" w:rsidP="009349D2">
      <w:pPr>
        <w:sectPr w:rsidR="00862B3F" w:rsidRPr="00F546EC" w:rsidSect="0095456D">
          <w:pgSz w:w="12240" w:h="15840"/>
          <w:pgMar w:top="1440" w:right="1440" w:bottom="1440" w:left="1440" w:header="720" w:footer="720" w:gutter="0"/>
          <w:cols w:space="720"/>
          <w:docGrid w:linePitch="360"/>
        </w:sectPr>
      </w:pPr>
    </w:p>
    <w:p w14:paraId="7E63E4FF" w14:textId="6C73FEBD" w:rsidR="00B03005" w:rsidRPr="00F546EC" w:rsidRDefault="00987AD1" w:rsidP="00233517">
      <w:pPr>
        <w:spacing w:after="0" w:line="360" w:lineRule="auto"/>
        <w:jc w:val="center"/>
      </w:pPr>
      <w:r w:rsidRPr="001E7D67">
        <w:rPr>
          <w:noProof/>
        </w:rPr>
        <w:lastRenderedPageBreak/>
        <w:drawing>
          <wp:inline distT="0" distB="0" distL="0" distR="0" wp14:anchorId="1F8CAB89" wp14:editId="58FDBFD0">
            <wp:extent cx="7607300" cy="5317603"/>
            <wp:effectExtent l="0" t="0" r="0" b="0"/>
            <wp:docPr id="242"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609859" cy="5319392"/>
                    </a:xfrm>
                    <a:prstGeom prst="rect">
                      <a:avLst/>
                    </a:prstGeom>
                    <a:noFill/>
                    <a:ln>
                      <a:noFill/>
                    </a:ln>
                  </pic:spPr>
                </pic:pic>
              </a:graphicData>
            </a:graphic>
          </wp:inline>
        </w:drawing>
      </w:r>
    </w:p>
    <w:p w14:paraId="5C625AFF" w14:textId="30286B84" w:rsidR="00B03005" w:rsidRPr="00F546EC" w:rsidRDefault="00B03005" w:rsidP="006003E4">
      <w:pPr>
        <w:pStyle w:val="Caption"/>
        <w:rPr>
          <w:b/>
        </w:rPr>
      </w:pPr>
      <w:bookmarkStart w:id="92" w:name="_Toc35861187"/>
      <w:r w:rsidRPr="00F546EC">
        <w:rPr>
          <w:b/>
        </w:rPr>
        <w:t xml:space="preserve">Figure </w:t>
      </w:r>
      <w:r w:rsidR="00FB2D3D" w:rsidRPr="00F546EC">
        <w:rPr>
          <w:b/>
        </w:rPr>
        <w:t>2.</w:t>
      </w:r>
      <w:r w:rsidR="00D33892" w:rsidRPr="00F546EC">
        <w:rPr>
          <w:b/>
        </w:rPr>
        <w:t>24</w:t>
      </w:r>
      <w:r w:rsidRPr="00F546EC">
        <w:rPr>
          <w:b/>
        </w:rPr>
        <w:t xml:space="preserve">. </w:t>
      </w:r>
      <w:r w:rsidR="00862B3F" w:rsidRPr="00F546EC">
        <w:t xml:space="preserve">A composite section that correlates all wells in the study area and their </w:t>
      </w:r>
      <w:r w:rsidR="00AC5365">
        <w:t>%</w:t>
      </w:r>
      <w:r w:rsidR="00862B3F" w:rsidRPr="00F546EC">
        <w:t xml:space="preserve">TOC calculation for the Woodford </w:t>
      </w:r>
      <w:r w:rsidR="0012411B">
        <w:t>S</w:t>
      </w:r>
      <w:r w:rsidR="00862B3F" w:rsidRPr="00F546EC">
        <w:t xml:space="preserve">hale seismic window. Note the </w:t>
      </w:r>
      <w:r w:rsidR="008F4D7D">
        <w:t>concave</w:t>
      </w:r>
      <w:r w:rsidR="00FF5A60">
        <w:t>-</w:t>
      </w:r>
      <w:r w:rsidR="008F4D7D">
        <w:t xml:space="preserve">down </w:t>
      </w:r>
      <w:r w:rsidR="00862B3F" w:rsidRPr="00F546EC">
        <w:t xml:space="preserve">pod shape of the Woodford </w:t>
      </w:r>
      <w:r w:rsidR="00233E11">
        <w:t xml:space="preserve">Shale </w:t>
      </w:r>
      <w:r w:rsidR="00862B3F" w:rsidRPr="00F546EC">
        <w:t>where the well A and C are located</w:t>
      </w:r>
      <w:r w:rsidR="008F4D7D">
        <w:t xml:space="preserve">; these correspond to enclosed mini-basin deposits with higher computed </w:t>
      </w:r>
      <w:r w:rsidR="00AC5365">
        <w:t>%</w:t>
      </w:r>
      <w:r w:rsidR="008F4D7D">
        <w:t>TOC from the PNN</w:t>
      </w:r>
      <w:r w:rsidR="00862B3F" w:rsidRPr="00F546EC">
        <w:t>.</w:t>
      </w:r>
      <w:bookmarkEnd w:id="92"/>
    </w:p>
    <w:p w14:paraId="17D2D917" w14:textId="37DF917B" w:rsidR="00862B3F" w:rsidRPr="00F546EC" w:rsidRDefault="00862B3F" w:rsidP="009349D2">
      <w:pPr>
        <w:rPr>
          <w:b/>
        </w:rPr>
        <w:sectPr w:rsidR="00862B3F" w:rsidRPr="00F546EC" w:rsidSect="0095456D">
          <w:pgSz w:w="15840" w:h="12240" w:orient="landscape"/>
          <w:pgMar w:top="1440" w:right="1440" w:bottom="1440" w:left="1440" w:header="720" w:footer="720" w:gutter="0"/>
          <w:cols w:space="720"/>
          <w:docGrid w:linePitch="360"/>
        </w:sectPr>
      </w:pPr>
    </w:p>
    <w:p w14:paraId="261778F5" w14:textId="3389CF81" w:rsidR="00704609" w:rsidRPr="00F546EC" w:rsidRDefault="001B55D5" w:rsidP="00530D25">
      <w:pPr>
        <w:pStyle w:val="Heading2"/>
        <w:numPr>
          <w:ilvl w:val="1"/>
          <w:numId w:val="5"/>
        </w:numPr>
      </w:pPr>
      <w:bookmarkStart w:id="93" w:name="_Toc25833541"/>
      <w:r>
        <w:lastRenderedPageBreak/>
        <w:t xml:space="preserve"> </w:t>
      </w:r>
      <w:bookmarkStart w:id="94" w:name="_Toc35861096"/>
      <w:r w:rsidR="00704609" w:rsidRPr="00F546EC">
        <w:t>Conclusions</w:t>
      </w:r>
      <w:bookmarkEnd w:id="93"/>
      <w:r>
        <w:t xml:space="preserve"> and discussion</w:t>
      </w:r>
      <w:bookmarkEnd w:id="94"/>
    </w:p>
    <w:p w14:paraId="316EB207" w14:textId="4EBDCF26" w:rsidR="005951D8" w:rsidRPr="00F546EC" w:rsidRDefault="00704609" w:rsidP="00364449">
      <w:pPr>
        <w:ind w:firstLine="720"/>
      </w:pPr>
      <w:r w:rsidRPr="00F546EC">
        <w:t xml:space="preserve">The 3D </w:t>
      </w:r>
      <w:r w:rsidR="00233517">
        <w:t>s</w:t>
      </w:r>
      <w:r w:rsidRPr="00F546EC">
        <w:t>eismic multi-attribute interpretation, seismic post-stack inversion</w:t>
      </w:r>
      <w:r w:rsidR="005803AE" w:rsidRPr="00F546EC">
        <w:t>,</w:t>
      </w:r>
      <w:r w:rsidRPr="00F546EC">
        <w:t xml:space="preserve"> and</w:t>
      </w:r>
      <w:r w:rsidR="00947AE3" w:rsidRPr="00F546EC">
        <w:t xml:space="preserve"> probabilistic </w:t>
      </w:r>
      <w:r w:rsidRPr="00F546EC">
        <w:t xml:space="preserve">neural network </w:t>
      </w:r>
      <w:r w:rsidR="00824A5C">
        <w:t>%TOC modeling supported</w:t>
      </w:r>
      <w:r w:rsidRPr="00F546EC">
        <w:t xml:space="preserve"> the hypothesis that the </w:t>
      </w:r>
      <w:r w:rsidR="00824A5C">
        <w:t>Z</w:t>
      </w:r>
      <w:r w:rsidR="00824A5C" w:rsidRPr="00824A5C">
        <w:rPr>
          <w:vertAlign w:val="subscript"/>
        </w:rPr>
        <w:t>p</w:t>
      </w:r>
      <w:r w:rsidRPr="00F546EC">
        <w:t xml:space="preserve"> anomalies seen in the Woodford Shale correspond to internal lateral and vertical facies variation (Figure </w:t>
      </w:r>
      <w:r w:rsidR="00754948" w:rsidRPr="00F546EC">
        <w:t>2.16</w:t>
      </w:r>
      <w:r w:rsidRPr="00F546EC">
        <w:t xml:space="preserve">, Figure </w:t>
      </w:r>
      <w:r w:rsidR="00754948" w:rsidRPr="00F546EC">
        <w:t>2.22</w:t>
      </w:r>
      <w:r w:rsidRPr="00F546EC">
        <w:t xml:space="preserve">, Figure </w:t>
      </w:r>
      <w:r w:rsidR="00754948" w:rsidRPr="00F546EC">
        <w:t>2.23</w:t>
      </w:r>
      <w:r w:rsidRPr="00F546EC">
        <w:t xml:space="preserve"> and Figure </w:t>
      </w:r>
      <w:r w:rsidR="00754948" w:rsidRPr="00F546EC">
        <w:t>2.24</w:t>
      </w:r>
      <w:r w:rsidRPr="00F546EC">
        <w:t xml:space="preserve">). The Woodford </w:t>
      </w:r>
      <w:r w:rsidR="00233E11">
        <w:t>S</w:t>
      </w:r>
      <w:r w:rsidRPr="00F546EC">
        <w:t xml:space="preserve">hale is thicker and with more </w:t>
      </w:r>
      <w:r w:rsidR="00B21194">
        <w:t>%</w:t>
      </w:r>
      <w:r w:rsidRPr="00F546EC">
        <w:t xml:space="preserve">TOC where the Hunton Group is </w:t>
      </w:r>
      <w:r w:rsidR="00B21194">
        <w:t>completely</w:t>
      </w:r>
      <w:r w:rsidR="00864BBD" w:rsidRPr="00F546EC">
        <w:t xml:space="preserve"> or significantly</w:t>
      </w:r>
      <w:r w:rsidRPr="00F546EC">
        <w:t xml:space="preserve"> eroded (Figure 2</w:t>
      </w:r>
      <w:r w:rsidR="00754948" w:rsidRPr="00F546EC">
        <w:t>.5</w:t>
      </w:r>
      <w:r w:rsidRPr="00F546EC">
        <w:t xml:space="preserve">, Figure </w:t>
      </w:r>
      <w:r w:rsidR="00754948" w:rsidRPr="00F546EC">
        <w:t>2.11, Figure 2.23</w:t>
      </w:r>
      <w:r w:rsidRPr="00F546EC">
        <w:t xml:space="preserve"> and Figure </w:t>
      </w:r>
      <w:r w:rsidR="00754948" w:rsidRPr="00F546EC">
        <w:t>2.24</w:t>
      </w:r>
      <w:r w:rsidRPr="00F546EC">
        <w:t>)</w:t>
      </w:r>
      <w:r w:rsidR="00B21194">
        <w:t>. The seismic</w:t>
      </w:r>
      <w:r w:rsidRPr="00F546EC">
        <w:t xml:space="preserve"> structural features </w:t>
      </w:r>
      <w:r w:rsidR="00DC4F6A" w:rsidRPr="00F546EC">
        <w:t xml:space="preserve">allow </w:t>
      </w:r>
      <w:r w:rsidRPr="00F546EC">
        <w:t xml:space="preserve">the identification of </w:t>
      </w:r>
      <w:r w:rsidR="00CC2CEF">
        <w:t>concave</w:t>
      </w:r>
      <w:r w:rsidR="00FF5A60">
        <w:t>-</w:t>
      </w:r>
      <w:r w:rsidR="00CC2CEF">
        <w:t>down enclosed mini-basin</w:t>
      </w:r>
      <w:r w:rsidR="003553AB">
        <w:t xml:space="preserve"> fill setting</w:t>
      </w:r>
      <w:r w:rsidR="00CC2CEF">
        <w:t>s produced by karstification</w:t>
      </w:r>
      <w:r w:rsidRPr="00F546EC">
        <w:t xml:space="preserve"> </w:t>
      </w:r>
      <w:r w:rsidR="0012411B">
        <w:t>or wide incised valley</w:t>
      </w:r>
      <w:r w:rsidR="00CC2CEF">
        <w:t xml:space="preserve"> processes of the Hunton Group paleo platform. The</w:t>
      </w:r>
      <w:r w:rsidR="003553AB">
        <w:t xml:space="preserve"> recognized enclosed mini-basin fill intervals suggest </w:t>
      </w:r>
      <w:r w:rsidR="00FC03F7">
        <w:t>highly</w:t>
      </w:r>
      <w:r w:rsidRPr="00F546EC">
        <w:t xml:space="preserve"> restricted </w:t>
      </w:r>
      <w:r w:rsidR="003553AB">
        <w:t>deposits</w:t>
      </w:r>
      <w:r w:rsidR="00951FA7" w:rsidRPr="00F546EC">
        <w:t xml:space="preserve"> that </w:t>
      </w:r>
      <w:r w:rsidR="003553AB">
        <w:t xml:space="preserve">contributed to the formation of </w:t>
      </w:r>
      <w:r w:rsidRPr="00F546EC">
        <w:t xml:space="preserve">Woodford </w:t>
      </w:r>
      <w:r w:rsidR="003553AB">
        <w:t xml:space="preserve">Shale </w:t>
      </w:r>
      <w:r w:rsidRPr="00F546EC">
        <w:t>organic-rich deposits</w:t>
      </w:r>
      <w:r w:rsidR="003553AB">
        <w:t xml:space="preserve">. These are identified by the </w:t>
      </w:r>
      <w:r w:rsidR="00CC2CEF">
        <w:t xml:space="preserve">computed </w:t>
      </w:r>
      <w:r w:rsidR="003553AB">
        <w:t>%TOC with t</w:t>
      </w:r>
      <w:r w:rsidR="00CC2CEF">
        <w:t xml:space="preserve">he PNN </w:t>
      </w:r>
      <w:r w:rsidRPr="00F546EC">
        <w:t>(Figure</w:t>
      </w:r>
      <w:r w:rsidR="00DC4F6A" w:rsidRPr="00F546EC">
        <w:t>, Figure 2.22, Figure</w:t>
      </w:r>
      <w:r w:rsidRPr="00F546EC">
        <w:t xml:space="preserve"> </w:t>
      </w:r>
      <w:r w:rsidR="00DC4F6A" w:rsidRPr="00F546EC">
        <w:t>2.23</w:t>
      </w:r>
      <w:r w:rsidR="00CC2CEF">
        <w:t>,</w:t>
      </w:r>
      <w:r w:rsidRPr="00F546EC">
        <w:t xml:space="preserve"> and Figure </w:t>
      </w:r>
      <w:r w:rsidR="00DC4F6A" w:rsidRPr="00F546EC">
        <w:t>2.24</w:t>
      </w:r>
      <w:r w:rsidRPr="00F546EC">
        <w:t xml:space="preserve">), thereby providing opportunities for more innovative exploration strategies. </w:t>
      </w:r>
    </w:p>
    <w:p w14:paraId="54190E5F" w14:textId="48C12B0A" w:rsidR="005951D8" w:rsidRPr="00F546EC" w:rsidRDefault="005951D8" w:rsidP="009349D2">
      <w:r w:rsidRPr="00F546EC">
        <w:t>The</w:t>
      </w:r>
      <w:r w:rsidR="00F11C75" w:rsidRPr="00F546EC">
        <w:t xml:space="preserve"> recognized</w:t>
      </w:r>
      <w:r w:rsidRPr="00F546EC">
        <w:t xml:space="preserve"> seismic characteristic</w:t>
      </w:r>
      <w:r w:rsidR="00E33B57">
        <w:t>s</w:t>
      </w:r>
      <w:r w:rsidRPr="00F546EC">
        <w:t xml:space="preserve"> of </w:t>
      </w:r>
      <w:r w:rsidR="00804F72">
        <w:t xml:space="preserve">enclosed mini-basin </w:t>
      </w:r>
      <w:r w:rsidR="00A22E4E">
        <w:t>fill</w:t>
      </w:r>
      <w:r w:rsidR="00804F72" w:rsidRPr="00F546EC">
        <w:t xml:space="preserve"> </w:t>
      </w:r>
      <w:r w:rsidRPr="00F546EC">
        <w:t>deposits are:</w:t>
      </w:r>
    </w:p>
    <w:p w14:paraId="1922AD3E" w14:textId="312A5E24" w:rsidR="003310DE" w:rsidRPr="00F546EC" w:rsidRDefault="003310DE" w:rsidP="00530D25">
      <w:pPr>
        <w:pStyle w:val="ListParagraph"/>
        <w:numPr>
          <w:ilvl w:val="0"/>
          <w:numId w:val="7"/>
        </w:numPr>
      </w:pPr>
      <w:r w:rsidRPr="00F546EC">
        <w:t xml:space="preserve">Thicker basal sections that trend to pinch out towards paleo structural </w:t>
      </w:r>
      <w:r w:rsidR="00E33B57" w:rsidRPr="00F546EC">
        <w:t>height</w:t>
      </w:r>
      <w:r w:rsidRPr="00F546EC">
        <w:t xml:space="preserve"> of the pre-existing strata. In this case, the seismic resolution was enough to image internal reflectors of the Woodford </w:t>
      </w:r>
      <w:r w:rsidR="00233E11">
        <w:t>S</w:t>
      </w:r>
      <w:r w:rsidRPr="00F546EC">
        <w:t xml:space="preserve">hale. </w:t>
      </w:r>
    </w:p>
    <w:p w14:paraId="110B4D29" w14:textId="52BF8A1F" w:rsidR="005951D8" w:rsidRPr="00F546EC" w:rsidRDefault="0018112C" w:rsidP="00530D25">
      <w:pPr>
        <w:pStyle w:val="ListParagraph"/>
        <w:numPr>
          <w:ilvl w:val="0"/>
          <w:numId w:val="7"/>
        </w:numPr>
      </w:pPr>
      <w:r w:rsidRPr="00F546EC">
        <w:t>Incoherent seismic data at the base of the formation, caused by erosion or karstification of pre-existing strata</w:t>
      </w:r>
    </w:p>
    <w:p w14:paraId="21CFF278" w14:textId="59E6BE9A" w:rsidR="0018112C" w:rsidRPr="00F546EC" w:rsidRDefault="0018112C" w:rsidP="00530D25">
      <w:pPr>
        <w:pStyle w:val="ListParagraph"/>
        <w:numPr>
          <w:ilvl w:val="0"/>
          <w:numId w:val="7"/>
        </w:numPr>
      </w:pPr>
      <w:r w:rsidRPr="00F546EC">
        <w:t xml:space="preserve">Most negative curvature values </w:t>
      </w:r>
      <w:r w:rsidR="0096089E" w:rsidRPr="00F546EC">
        <w:t>in</w:t>
      </w:r>
      <w:r w:rsidRPr="00F546EC">
        <w:t xml:space="preserve"> the </w:t>
      </w:r>
      <w:r w:rsidR="00B54AE8" w:rsidRPr="00F546EC">
        <w:t>areas of these deposits that indicate accommodation space</w:t>
      </w:r>
      <w:r w:rsidR="0096089E" w:rsidRPr="00F546EC">
        <w:t>-</w:t>
      </w:r>
      <w:r w:rsidR="00B54AE8" w:rsidRPr="00F546EC">
        <w:t xml:space="preserve">filling these pockets. </w:t>
      </w:r>
    </w:p>
    <w:p w14:paraId="42ACA1BF" w14:textId="00306308" w:rsidR="00B54AE8" w:rsidRPr="00F546EC" w:rsidRDefault="00B54AE8" w:rsidP="00530D25">
      <w:pPr>
        <w:pStyle w:val="ListParagraph"/>
        <w:numPr>
          <w:ilvl w:val="0"/>
          <w:numId w:val="7"/>
        </w:numPr>
      </w:pPr>
      <w:r w:rsidRPr="00F546EC">
        <w:t xml:space="preserve">Low </w:t>
      </w:r>
      <w:r w:rsidR="0096089E" w:rsidRPr="00F546EC">
        <w:t xml:space="preserve">(or the lowest) </w:t>
      </w:r>
      <w:r w:rsidRPr="00F546EC">
        <w:t>acousti</w:t>
      </w:r>
      <w:r w:rsidR="0096089E" w:rsidRPr="00F546EC">
        <w:t>c</w:t>
      </w:r>
      <w:r w:rsidRPr="00F546EC">
        <w:t xml:space="preserve"> impedance that correlates with higher accumulations of organic matter, due to </w:t>
      </w:r>
      <w:r w:rsidR="0096089E" w:rsidRPr="00F546EC">
        <w:t>deeper water column in these areas and more restricted water circulation and upwelling currents</w:t>
      </w:r>
      <w:r w:rsidR="003310DE" w:rsidRPr="00F546EC">
        <w:t xml:space="preserve"> (Figure</w:t>
      </w:r>
      <w:r w:rsidR="00DC4F6A" w:rsidRPr="00F546EC">
        <w:t>s</w:t>
      </w:r>
      <w:r w:rsidR="003310DE" w:rsidRPr="00F546EC">
        <w:t xml:space="preserve"> 2.16, </w:t>
      </w:r>
      <w:r w:rsidR="00DC4F6A" w:rsidRPr="00F546EC">
        <w:t>2.2</w:t>
      </w:r>
      <w:r w:rsidR="003310DE" w:rsidRPr="00F546EC">
        <w:t>2</w:t>
      </w:r>
      <w:r w:rsidR="007F2E84" w:rsidRPr="00F546EC">
        <w:t>, 2.</w:t>
      </w:r>
      <w:r w:rsidR="003310DE" w:rsidRPr="00F546EC">
        <w:t>2</w:t>
      </w:r>
      <w:r w:rsidR="00DC4F6A" w:rsidRPr="00F546EC">
        <w:t>3</w:t>
      </w:r>
      <w:r w:rsidR="00C82836" w:rsidRPr="00F546EC">
        <w:t>, 2.24</w:t>
      </w:r>
      <w:r w:rsidR="003310DE" w:rsidRPr="00F546EC">
        <w:t>).</w:t>
      </w:r>
    </w:p>
    <w:p w14:paraId="1A1B2916" w14:textId="4F6C8D8C" w:rsidR="00704609" w:rsidRPr="00F546EC" w:rsidRDefault="00C96D20" w:rsidP="00364449">
      <w:pPr>
        <w:ind w:firstLine="720"/>
      </w:pPr>
      <w:r>
        <w:t>For</w:t>
      </w:r>
      <w:r w:rsidR="00704609" w:rsidRPr="00F546EC">
        <w:t xml:space="preserve"> future analysis, the pre-stack </w:t>
      </w:r>
      <w:r w:rsidR="0012411B">
        <w:t xml:space="preserve">simultaneous </w:t>
      </w:r>
      <w:r w:rsidR="00704609" w:rsidRPr="00F546EC">
        <w:t>inversion</w:t>
      </w:r>
      <w:r w:rsidR="00F977C2">
        <w:t xml:space="preserve"> is suggested </w:t>
      </w:r>
      <w:r w:rsidR="00704609" w:rsidRPr="00F546EC">
        <w:t xml:space="preserve">for estimating the elastic properties, and therefore reduce the inversion error which can provide better </w:t>
      </w:r>
      <w:r w:rsidR="00F977C2">
        <w:t>%</w:t>
      </w:r>
      <w:r w:rsidR="00704609" w:rsidRPr="00F546EC">
        <w:t xml:space="preserve">TOC </w:t>
      </w:r>
      <w:r w:rsidR="00704609" w:rsidRPr="00F546EC">
        <w:lastRenderedPageBreak/>
        <w:t>estimates</w:t>
      </w:r>
      <w:r w:rsidR="00951FA7" w:rsidRPr="00F546EC">
        <w:t xml:space="preserve"> and understand reservoir properties with seismic such as porosity, density, and </w:t>
      </w:r>
      <w:r w:rsidR="00143144" w:rsidRPr="00F546EC">
        <w:t>geomechanical parameters (</w:t>
      </w:r>
      <w:r w:rsidR="00F977C2">
        <w:rPr>
          <w:i/>
          <w:iCs/>
        </w:rPr>
        <w:t>L</w:t>
      </w:r>
      <w:r w:rsidR="00143144" w:rsidRPr="00F546EC">
        <w:rPr>
          <w:i/>
          <w:iCs/>
        </w:rPr>
        <w:t>am</w:t>
      </w:r>
      <w:r w:rsidR="0012411B">
        <w:rPr>
          <w:i/>
          <w:iCs/>
        </w:rPr>
        <w:t>é</w:t>
      </w:r>
      <w:r w:rsidR="00143144" w:rsidRPr="00F546EC">
        <w:t xml:space="preserve"> parameters), which are not possible with a post</w:t>
      </w:r>
      <w:r w:rsidR="001760B8" w:rsidRPr="00F546EC">
        <w:t>-</w:t>
      </w:r>
      <w:r w:rsidR="00143144" w:rsidRPr="00F546EC">
        <w:t>stack survey</w:t>
      </w:r>
      <w:r w:rsidR="00F977C2">
        <w:t xml:space="preserve"> that was only available for this study</w:t>
      </w:r>
      <w:r w:rsidR="00704609" w:rsidRPr="00F546EC">
        <w:t xml:space="preserve">. </w:t>
      </w:r>
    </w:p>
    <w:p w14:paraId="1F03E6DE" w14:textId="54E209CF" w:rsidR="00704609" w:rsidRPr="00F546EC" w:rsidRDefault="00704609" w:rsidP="00530D25">
      <w:pPr>
        <w:pStyle w:val="Heading2"/>
        <w:numPr>
          <w:ilvl w:val="1"/>
          <w:numId w:val="5"/>
        </w:numPr>
      </w:pPr>
      <w:bookmarkStart w:id="95" w:name="_Toc25833542"/>
      <w:bookmarkStart w:id="96" w:name="_Toc35861097"/>
      <w:r w:rsidRPr="00F546EC">
        <w:t>Acknowledgments</w:t>
      </w:r>
      <w:bookmarkEnd w:id="95"/>
      <w:bookmarkEnd w:id="96"/>
    </w:p>
    <w:p w14:paraId="54307882" w14:textId="00AA1575" w:rsidR="00704609" w:rsidRPr="00F546EC" w:rsidRDefault="00704609" w:rsidP="009349D2">
      <w:r w:rsidRPr="00F546EC">
        <w:t xml:space="preserve">Special thanks to Pathfinder Exploration LLC., </w:t>
      </w:r>
      <w:r w:rsidRPr="00F546EC">
        <w:rPr>
          <w:b/>
          <w:bCs/>
        </w:rPr>
        <w:t xml:space="preserve">Mr. Gerald </w:t>
      </w:r>
      <w:r w:rsidR="005861E2" w:rsidRPr="00F546EC">
        <w:rPr>
          <w:b/>
          <w:bCs/>
        </w:rPr>
        <w:t>“Jerry!”</w:t>
      </w:r>
      <w:r w:rsidR="00E32F83" w:rsidRPr="00F546EC">
        <w:rPr>
          <w:b/>
          <w:bCs/>
        </w:rPr>
        <w:t xml:space="preserve"> </w:t>
      </w:r>
      <w:r w:rsidRPr="00F546EC">
        <w:rPr>
          <w:b/>
          <w:bCs/>
        </w:rPr>
        <w:t>Wilson</w:t>
      </w:r>
      <w:r w:rsidR="005861E2" w:rsidRPr="00F546EC">
        <w:rPr>
          <w:b/>
          <w:bCs/>
        </w:rPr>
        <w:t xml:space="preserve"> </w:t>
      </w:r>
      <w:r w:rsidR="005861E2" w:rsidRPr="00F546EC">
        <w:rPr>
          <w:rFonts w:eastAsia="Times New Roman"/>
          <w:b/>
          <w:bCs/>
          <w:color w:val="000000"/>
        </w:rPr>
        <w:t>(</w:t>
      </w:r>
      <w:r w:rsidR="005861E2" w:rsidRPr="00F546EC">
        <w:rPr>
          <w:rFonts w:eastAsia="Times New Roman"/>
          <w:b/>
          <w:bCs/>
          <w:i/>
          <w:iCs/>
          <w:color w:val="000000"/>
        </w:rPr>
        <w:t>in-memoriam</w:t>
      </w:r>
      <w:r w:rsidR="005861E2" w:rsidRPr="00F546EC">
        <w:rPr>
          <w:rFonts w:eastAsia="Times New Roman"/>
          <w:b/>
          <w:bCs/>
          <w:color w:val="000000"/>
        </w:rPr>
        <w:t>),</w:t>
      </w:r>
      <w:r w:rsidRPr="00F546EC">
        <w:t xml:space="preserve"> and </w:t>
      </w:r>
      <w:r w:rsidR="005415DD">
        <w:t>t</w:t>
      </w:r>
      <w:r w:rsidRPr="00F546EC">
        <w:t xml:space="preserve">he Wilson </w:t>
      </w:r>
      <w:r w:rsidR="00312661">
        <w:t>f</w:t>
      </w:r>
      <w:r w:rsidRPr="00F546EC">
        <w:t xml:space="preserve">amily, for providing the 3D seismic surveys and the well-log data for this exercise. We want to thank the kind assistance of the geophysicists and sponsors of both </w:t>
      </w:r>
      <w:r w:rsidR="005044C0" w:rsidRPr="00F546EC">
        <w:t xml:space="preserve">the </w:t>
      </w:r>
      <w:r w:rsidRPr="00F546EC">
        <w:t>University of Oklahoma Institute of Reservoir Characterization (IRC) and Attribute Assisted Seismic Processing and Interpretation (AASPI) consortiums.</w:t>
      </w:r>
    </w:p>
    <w:p w14:paraId="1B6094D8" w14:textId="236A4080" w:rsidR="00704609" w:rsidRPr="00F546EC" w:rsidRDefault="00500CD3" w:rsidP="00530D25">
      <w:pPr>
        <w:pStyle w:val="Heading2"/>
        <w:numPr>
          <w:ilvl w:val="1"/>
          <w:numId w:val="5"/>
        </w:numPr>
      </w:pPr>
      <w:r w:rsidRPr="00F546EC">
        <w:t xml:space="preserve"> </w:t>
      </w:r>
      <w:bookmarkStart w:id="97" w:name="_Toc25833543"/>
      <w:bookmarkStart w:id="98" w:name="_Toc35861098"/>
      <w:r w:rsidR="00704609" w:rsidRPr="00F546EC">
        <w:t>Cited References</w:t>
      </w:r>
      <w:bookmarkEnd w:id="97"/>
      <w:bookmarkEnd w:id="98"/>
    </w:p>
    <w:p w14:paraId="58E8D435" w14:textId="77777777" w:rsidR="009B4C7E" w:rsidRDefault="009B4C7E" w:rsidP="009B4C7E">
      <w:pPr>
        <w:pStyle w:val="ListParagraph"/>
        <w:numPr>
          <w:ilvl w:val="0"/>
          <w:numId w:val="15"/>
        </w:numPr>
      </w:pPr>
      <w:r>
        <w:t>Ali, E.E., 2015. Integrated characterization of the Woodford Shale in southwest Cherokee platform, Oklahoma. M.Sc. thesis manuscript, The University of Oklahoma, p. 104.</w:t>
      </w:r>
    </w:p>
    <w:p w14:paraId="7721CDD1" w14:textId="77777777" w:rsidR="009B4C7E" w:rsidRDefault="009B4C7E" w:rsidP="009B4C7E">
      <w:pPr>
        <w:pStyle w:val="ListParagraph"/>
        <w:numPr>
          <w:ilvl w:val="0"/>
          <w:numId w:val="15"/>
        </w:numPr>
      </w:pPr>
      <w:r>
        <w:t>Althoff, C., 2012. Characterization of depositional megacycles in the Woodford trough of Central Oklahoma. M.Sc. thesis manuscript, The University of Oklahoma, p. 167.</w:t>
      </w:r>
    </w:p>
    <w:p w14:paraId="66E1BF96" w14:textId="77777777" w:rsidR="009B4C7E" w:rsidRDefault="009B4C7E" w:rsidP="009B4C7E">
      <w:pPr>
        <w:pStyle w:val="ListParagraph"/>
        <w:numPr>
          <w:ilvl w:val="0"/>
          <w:numId w:val="15"/>
        </w:numPr>
      </w:pPr>
      <w:r>
        <w:t>Amorocho-Sanchez, J.D., 2012. Sequence stratigraphy and seismic interpretation of the Upper Devonian- Lower Mississippian Woodford Shale in the Cherokee platform: a characterization approach for unconventional resources. M.Sc. thesis manuscript, The University of Oklahoma, p. 153.</w:t>
      </w:r>
    </w:p>
    <w:p w14:paraId="633AD81E" w14:textId="13DB053B" w:rsidR="00704609" w:rsidRDefault="00704609" w:rsidP="00415E04">
      <w:pPr>
        <w:pStyle w:val="ListParagraph"/>
        <w:numPr>
          <w:ilvl w:val="0"/>
          <w:numId w:val="15"/>
        </w:numPr>
      </w:pPr>
      <w:bookmarkStart w:id="99" w:name="_Hlk26367760"/>
      <w:r w:rsidRPr="00745A38">
        <w:rPr>
          <w:lang w:val="es-CO"/>
        </w:rPr>
        <w:t>Baruch</w:t>
      </w:r>
      <w:r w:rsidR="00312661" w:rsidRPr="00745A38">
        <w:rPr>
          <w:lang w:val="es-CO"/>
        </w:rPr>
        <w:t>,</w:t>
      </w:r>
      <w:r w:rsidRPr="00745A38">
        <w:rPr>
          <w:lang w:val="es-CO"/>
        </w:rPr>
        <w:t xml:space="preserve"> E., Elebiju, </w:t>
      </w:r>
      <w:r w:rsidR="00312661" w:rsidRPr="00745A38">
        <w:rPr>
          <w:lang w:val="es-CO"/>
        </w:rPr>
        <w:t>O.,</w:t>
      </w:r>
      <w:r w:rsidRPr="00745A38">
        <w:rPr>
          <w:lang w:val="es-CO"/>
        </w:rPr>
        <w:t xml:space="preserve"> </w:t>
      </w:r>
      <w:r w:rsidR="00E33B57" w:rsidRPr="00745A38">
        <w:rPr>
          <w:lang w:val="es-CO"/>
        </w:rPr>
        <w:t>Pérez</w:t>
      </w:r>
      <w:r w:rsidRPr="00745A38">
        <w:rPr>
          <w:lang w:val="es-CO"/>
        </w:rPr>
        <w:t>,</w:t>
      </w:r>
      <w:r w:rsidR="00312661" w:rsidRPr="00745A38">
        <w:rPr>
          <w:lang w:val="es-CO"/>
        </w:rPr>
        <w:t xml:space="preserve"> R.,</w:t>
      </w:r>
      <w:r w:rsidRPr="00745A38">
        <w:rPr>
          <w:lang w:val="es-CO"/>
        </w:rPr>
        <w:t xml:space="preserve"> 2009</w:t>
      </w:r>
      <w:r w:rsidR="00EB7742" w:rsidRPr="00745A38">
        <w:rPr>
          <w:lang w:val="es-CO"/>
        </w:rPr>
        <w:t>.</w:t>
      </w:r>
      <w:r w:rsidRPr="00745A38">
        <w:rPr>
          <w:lang w:val="es-CO"/>
        </w:rPr>
        <w:t xml:space="preserve"> </w:t>
      </w:r>
      <w:r w:rsidRPr="00841DF8">
        <w:t xml:space="preserve">Geophysical evidence of </w:t>
      </w:r>
      <w:r w:rsidR="00FC03F7" w:rsidRPr="00841DF8">
        <w:t>basement-controlled</w:t>
      </w:r>
      <w:r w:rsidRPr="00841DF8">
        <w:t xml:space="preserve"> faulting in the </w:t>
      </w:r>
      <w:r w:rsidR="00E33B57" w:rsidRPr="00841DF8">
        <w:t>Ellenberger</w:t>
      </w:r>
      <w:r w:rsidRPr="00841DF8">
        <w:t xml:space="preserve"> </w:t>
      </w:r>
      <w:r w:rsidR="00312661">
        <w:t>g</w:t>
      </w:r>
      <w:r w:rsidRPr="00841DF8">
        <w:t xml:space="preserve">roup and Viola Limestone, Fort Worth </w:t>
      </w:r>
      <w:r w:rsidR="00312661">
        <w:t>b</w:t>
      </w:r>
      <w:r w:rsidRPr="00841DF8">
        <w:t>asin, Texas</w:t>
      </w:r>
      <w:r w:rsidR="00312661">
        <w:t xml:space="preserve">. </w:t>
      </w:r>
      <w:r w:rsidRPr="00841DF8">
        <w:t>79th Annual International Meeting, SEG, Expanded Abstracts, 995–999.</w:t>
      </w:r>
    </w:p>
    <w:p w14:paraId="0DC51D90" w14:textId="77777777" w:rsidR="009B4C7E" w:rsidRPr="009B4C7E" w:rsidRDefault="009B4C7E" w:rsidP="009B4C7E">
      <w:pPr>
        <w:pStyle w:val="ListParagraph"/>
        <w:numPr>
          <w:ilvl w:val="0"/>
          <w:numId w:val="15"/>
        </w:numPr>
      </w:pPr>
      <w:r w:rsidRPr="009B4C7E">
        <w:t>Cardona-Valencia, L.F., 2014. Integrated characterization of the Woodford Shale in the southern Cherokee platform, Oklahoma. M.Sc. thesis manuscript, The University of Oklahoma, p. 98.</w:t>
      </w:r>
    </w:p>
    <w:p w14:paraId="6381D2D5" w14:textId="77777777" w:rsidR="00704609" w:rsidRPr="00841DF8" w:rsidRDefault="00704609" w:rsidP="00415E04">
      <w:pPr>
        <w:pStyle w:val="ListParagraph"/>
        <w:numPr>
          <w:ilvl w:val="0"/>
          <w:numId w:val="15"/>
        </w:numPr>
      </w:pPr>
      <w:bookmarkStart w:id="100" w:name="_Hlk26367816"/>
      <w:bookmarkEnd w:id="99"/>
      <w:r w:rsidRPr="00841DF8">
        <w:t xml:space="preserve">Cardott B. J., 2009. Woodford gas-shale plays of Oklahoma. Louisiana </w:t>
      </w:r>
      <w:r w:rsidR="00312661">
        <w:t>o</w:t>
      </w:r>
      <w:r w:rsidRPr="00841DF8">
        <w:t>il &amp; gas symposium, May 20, 2009. Oklahoma Geological Survey</w:t>
      </w:r>
      <w:r w:rsidR="00312661">
        <w:t xml:space="preserve"> OGS</w:t>
      </w:r>
      <w:r w:rsidRPr="00841DF8">
        <w:t xml:space="preserve">. </w:t>
      </w:r>
    </w:p>
    <w:p w14:paraId="068230B7" w14:textId="1A70D4F2" w:rsidR="00704609" w:rsidRDefault="00704609" w:rsidP="00415E04">
      <w:pPr>
        <w:pStyle w:val="ListParagraph"/>
        <w:numPr>
          <w:ilvl w:val="0"/>
          <w:numId w:val="15"/>
        </w:numPr>
      </w:pPr>
      <w:bookmarkStart w:id="101" w:name="_Hlk26367875"/>
      <w:bookmarkEnd w:id="100"/>
      <w:r w:rsidRPr="00841DF8">
        <w:lastRenderedPageBreak/>
        <w:t>Cardott, B. J., 2012. Thermal maturity of Woodford Shale gas and oil plays, Oklahoma, USA</w:t>
      </w:r>
      <w:r w:rsidR="00312661">
        <w:t>.</w:t>
      </w:r>
      <w:r w:rsidRPr="00841DF8">
        <w:t xml:space="preserve"> International Journal of Coal Geology, 1-13. </w:t>
      </w:r>
    </w:p>
    <w:p w14:paraId="65B3DE28" w14:textId="749CB6D7" w:rsidR="009B4C7E" w:rsidRDefault="009B4C7E" w:rsidP="009B4C7E">
      <w:pPr>
        <w:pStyle w:val="ListParagraph"/>
        <w:numPr>
          <w:ilvl w:val="0"/>
          <w:numId w:val="15"/>
        </w:numPr>
      </w:pPr>
      <w:r w:rsidRPr="007D5057">
        <w:t>Cardott, B.J., 2014. Woodford Shale play update: Expanded in the oil window. American Association of Petroleum Geologists, Search and Discovery article 80409.</w:t>
      </w:r>
    </w:p>
    <w:p w14:paraId="39AADA29" w14:textId="77777777" w:rsidR="00777F26" w:rsidRPr="007D5057" w:rsidRDefault="00777F26" w:rsidP="00777F26">
      <w:pPr>
        <w:pStyle w:val="ListParagraph"/>
        <w:numPr>
          <w:ilvl w:val="0"/>
          <w:numId w:val="15"/>
        </w:numPr>
      </w:pPr>
      <w:r w:rsidRPr="007D5057">
        <w:t>Castillo, L.A, 2013. Integrated reservoir characterization of the Ordovician-Silurian Hunton carbonate, north Cherokee platform, Oklahoma. M.Sc. thesis manuscript, The University of Oklahoma, p. 90.</w:t>
      </w:r>
    </w:p>
    <w:bookmarkEnd w:id="101"/>
    <w:p w14:paraId="5F891594" w14:textId="18CA749F" w:rsidR="00312661" w:rsidRDefault="00312661" w:rsidP="00415E04">
      <w:pPr>
        <w:pStyle w:val="ListParagraph"/>
        <w:numPr>
          <w:ilvl w:val="0"/>
          <w:numId w:val="15"/>
        </w:numPr>
      </w:pPr>
      <w:r w:rsidRPr="00312661">
        <w:t>Comer, J.B., 2005</w:t>
      </w:r>
      <w:r w:rsidR="00745A38">
        <w:t xml:space="preserve">. </w:t>
      </w:r>
      <w:r w:rsidRPr="00312661">
        <w:t xml:space="preserve">Facies distributions and hydrocarbon production potential of the Woodford Shale in the </w:t>
      </w:r>
      <w:r w:rsidR="0040621C">
        <w:t>s</w:t>
      </w:r>
      <w:r w:rsidRPr="00312661">
        <w:t xml:space="preserve">outhern midcontinent: in B.J. Cardott, eds., Unconventional energy resources in the </w:t>
      </w:r>
      <w:r w:rsidR="0040621C">
        <w:t>s</w:t>
      </w:r>
      <w:r w:rsidRPr="00312661">
        <w:t xml:space="preserve">outhern </w:t>
      </w:r>
      <w:r w:rsidR="0040621C">
        <w:t>m</w:t>
      </w:r>
      <w:r w:rsidRPr="00312661">
        <w:t>id</w:t>
      </w:r>
      <w:r w:rsidR="0040621C">
        <w:t>-</w:t>
      </w:r>
      <w:r w:rsidRPr="00312661">
        <w:t>continent, 2004 symposium. Oklahoma Geological Survey, Circular 110, 51-62.</w:t>
      </w:r>
    </w:p>
    <w:p w14:paraId="42876110" w14:textId="77777777" w:rsidR="00BB4EC7" w:rsidRPr="007D5057" w:rsidRDefault="00BB4EC7" w:rsidP="00BB4EC7">
      <w:pPr>
        <w:pStyle w:val="ListParagraph"/>
        <w:numPr>
          <w:ilvl w:val="0"/>
          <w:numId w:val="15"/>
        </w:numPr>
      </w:pPr>
      <w:bookmarkStart w:id="102" w:name="_Hlk26370411"/>
      <w:r w:rsidRPr="007D5057">
        <w:t xml:space="preserve">Comer, J.B., 2008. Woodford Shale in southern mid-continent, USA, transgressive system tract marine source rocks on an arid passive continental margin with persistent oceanic upwelling. American Association of Petroleum Geologists Annual Convention, Search and Discovery Article 404026. </w:t>
      </w:r>
    </w:p>
    <w:bookmarkEnd w:id="102"/>
    <w:p w14:paraId="63789C94" w14:textId="5B3EEFC4" w:rsidR="0078149D" w:rsidRDefault="0078149D" w:rsidP="0078149D">
      <w:pPr>
        <w:pStyle w:val="ListParagraph"/>
        <w:numPr>
          <w:ilvl w:val="0"/>
          <w:numId w:val="15"/>
        </w:numPr>
        <w:rPr>
          <w:rFonts w:eastAsia="Times New Roman"/>
          <w:color w:val="000000"/>
        </w:rPr>
      </w:pPr>
      <w:r w:rsidRPr="004C7284">
        <w:rPr>
          <w:rFonts w:eastAsia="Times New Roman"/>
          <w:color w:val="000000"/>
        </w:rPr>
        <w:t>Grotzinger, J.G</w:t>
      </w:r>
      <w:r>
        <w:rPr>
          <w:rFonts w:eastAsia="Times New Roman"/>
          <w:color w:val="000000"/>
        </w:rPr>
        <w:t xml:space="preserve">, </w:t>
      </w:r>
      <w:r w:rsidRPr="004C7284">
        <w:rPr>
          <w:rFonts w:eastAsia="Times New Roman"/>
          <w:color w:val="000000"/>
        </w:rPr>
        <w:t xml:space="preserve">Jordan, </w:t>
      </w:r>
      <w:r>
        <w:rPr>
          <w:rFonts w:eastAsia="Times New Roman"/>
          <w:color w:val="000000"/>
        </w:rPr>
        <w:t xml:space="preserve">T.H., </w:t>
      </w:r>
      <w:r w:rsidRPr="004C7284">
        <w:rPr>
          <w:rFonts w:eastAsia="Times New Roman"/>
          <w:color w:val="000000"/>
        </w:rPr>
        <w:t>2010</w:t>
      </w:r>
      <w:r>
        <w:rPr>
          <w:rFonts w:eastAsia="Times New Roman"/>
          <w:color w:val="000000"/>
        </w:rPr>
        <w:t>.</w:t>
      </w:r>
      <w:r w:rsidRPr="004C7284">
        <w:rPr>
          <w:rFonts w:eastAsia="Times New Roman"/>
          <w:color w:val="000000"/>
        </w:rPr>
        <w:t xml:space="preserve"> Understanding </w:t>
      </w:r>
      <w:r>
        <w:rPr>
          <w:rFonts w:eastAsia="Times New Roman"/>
          <w:color w:val="000000"/>
        </w:rPr>
        <w:t>e</w:t>
      </w:r>
      <w:r w:rsidRPr="004C7284">
        <w:rPr>
          <w:rFonts w:eastAsia="Times New Roman"/>
          <w:color w:val="000000"/>
        </w:rPr>
        <w:t>arth</w:t>
      </w:r>
      <w:r>
        <w:rPr>
          <w:rFonts w:eastAsia="Times New Roman"/>
          <w:color w:val="000000"/>
        </w:rPr>
        <w:t>. In: F</w:t>
      </w:r>
      <w:r w:rsidR="001861B5">
        <w:rPr>
          <w:rFonts w:eastAsia="Times New Roman"/>
          <w:color w:val="000000"/>
        </w:rPr>
        <w:t>r</w:t>
      </w:r>
      <w:r w:rsidRPr="004C7284">
        <w:rPr>
          <w:rFonts w:eastAsia="Times New Roman"/>
          <w:color w:val="000000"/>
        </w:rPr>
        <w:t>eeman</w:t>
      </w:r>
      <w:r>
        <w:rPr>
          <w:rFonts w:eastAsia="Times New Roman"/>
          <w:color w:val="000000"/>
        </w:rPr>
        <w:t>, W.H.,</w:t>
      </w:r>
      <w:r w:rsidRPr="004C7284">
        <w:rPr>
          <w:rFonts w:eastAsia="Times New Roman"/>
          <w:color w:val="000000"/>
        </w:rPr>
        <w:t xml:space="preserve"> Sixth Edition, </w:t>
      </w:r>
      <w:r>
        <w:rPr>
          <w:rFonts w:eastAsia="Times New Roman"/>
          <w:color w:val="000000"/>
        </w:rPr>
        <w:t xml:space="preserve">p. </w:t>
      </w:r>
      <w:r w:rsidRPr="004C7284">
        <w:rPr>
          <w:rFonts w:eastAsia="Times New Roman"/>
          <w:color w:val="000000"/>
        </w:rPr>
        <w:t>672</w:t>
      </w:r>
      <w:r>
        <w:rPr>
          <w:rFonts w:eastAsia="Times New Roman"/>
          <w:color w:val="000000"/>
        </w:rPr>
        <w:t>.</w:t>
      </w:r>
    </w:p>
    <w:p w14:paraId="6C1E0E43" w14:textId="77777777" w:rsidR="00B91AE1" w:rsidRPr="00B91AE1" w:rsidRDefault="00B91AE1" w:rsidP="00B91AE1">
      <w:pPr>
        <w:pStyle w:val="ListParagraph"/>
        <w:numPr>
          <w:ilvl w:val="0"/>
          <w:numId w:val="15"/>
        </w:numPr>
        <w:rPr>
          <w:rFonts w:eastAsia="Times New Roman"/>
          <w:color w:val="000000"/>
        </w:rPr>
      </w:pPr>
      <w:r w:rsidRPr="00B91AE1">
        <w:rPr>
          <w:rFonts w:eastAsia="Times New Roman"/>
          <w:color w:val="000000"/>
        </w:rPr>
        <w:t>Gupta, N., 2012. Multi-scale characterization of the Woodford Shale in West-central Oklahoma: From scanning electron microscope to 3D seismic. Doctorate dissertation manuscript, The University of Oklahoma, p. 148.</w:t>
      </w:r>
    </w:p>
    <w:p w14:paraId="4573FB9D" w14:textId="72EF6F93" w:rsidR="00C2265B" w:rsidRPr="00312661" w:rsidRDefault="00C2265B" w:rsidP="004D12A4">
      <w:pPr>
        <w:pStyle w:val="ListParagraph"/>
        <w:numPr>
          <w:ilvl w:val="0"/>
          <w:numId w:val="15"/>
        </w:numPr>
      </w:pPr>
      <w:r>
        <w:t>Hampson, D. J., S. Schuelke, J. Quirein, 2001. Use of multiattribute transforms to predict log properties from seismic data. Geophysics 66, 220- 236.</w:t>
      </w:r>
    </w:p>
    <w:p w14:paraId="76E9BCF7" w14:textId="770B69B4" w:rsidR="00704609" w:rsidRPr="00841DF8" w:rsidRDefault="00704609" w:rsidP="00415E04">
      <w:pPr>
        <w:pStyle w:val="ListParagraph"/>
        <w:numPr>
          <w:ilvl w:val="0"/>
          <w:numId w:val="15"/>
        </w:numPr>
      </w:pPr>
      <w:bookmarkStart w:id="103" w:name="_Hlk26368147"/>
      <w:r w:rsidRPr="00841DF8">
        <w:t>Heggland, R., 2004</w:t>
      </w:r>
      <w:r w:rsidR="00312661">
        <w:t>.</w:t>
      </w:r>
      <w:r w:rsidRPr="00841DF8">
        <w:t xml:space="preserve"> Definition of geohazards in exploration 3-D seismic data using attributes and neural network analysis</w:t>
      </w:r>
      <w:r w:rsidR="00312661">
        <w:t>.</w:t>
      </w:r>
      <w:r w:rsidRPr="00841DF8">
        <w:t xml:space="preserve"> AAPG Bulletin, 88, 857–868.</w:t>
      </w:r>
    </w:p>
    <w:bookmarkEnd w:id="103"/>
    <w:p w14:paraId="309F914F" w14:textId="4678EE68" w:rsidR="00312661" w:rsidRPr="00312661" w:rsidRDefault="00312661" w:rsidP="00415E04">
      <w:pPr>
        <w:pStyle w:val="ListParagraph"/>
        <w:numPr>
          <w:ilvl w:val="0"/>
          <w:numId w:val="15"/>
        </w:numPr>
      </w:pPr>
      <w:r w:rsidRPr="00312661">
        <w:t xml:space="preserve">Jarvie, D.M., Hill, R.J., Pollastro, R.M., 2005. Assessment of the gas potential and yields from shales: the Barnett Shale model. In: Cadott, B., eds., Oklahoma Geological Survey Circular 110: Unconventional gas of the </w:t>
      </w:r>
      <w:r w:rsidR="0040621C">
        <w:t>s</w:t>
      </w:r>
      <w:r w:rsidRPr="00312661">
        <w:t xml:space="preserve">outhern </w:t>
      </w:r>
      <w:r w:rsidR="0040621C">
        <w:t>m</w:t>
      </w:r>
      <w:r w:rsidRPr="00312661">
        <w:t>id-continent symposium, March 2005. Oklahoma City, Oklahoma, p. 37-50.</w:t>
      </w:r>
    </w:p>
    <w:p w14:paraId="6537EEC9" w14:textId="747BB07D" w:rsidR="00312661" w:rsidRDefault="00312661" w:rsidP="00415E04">
      <w:pPr>
        <w:pStyle w:val="ListParagraph"/>
        <w:numPr>
          <w:ilvl w:val="0"/>
          <w:numId w:val="15"/>
        </w:numPr>
      </w:pPr>
      <w:r w:rsidRPr="00312661">
        <w:t>Jarvie, D.M., Hill, R.J., Ruble,</w:t>
      </w:r>
      <w:r w:rsidR="00AE5717">
        <w:t xml:space="preserve"> T</w:t>
      </w:r>
      <w:r w:rsidRPr="00312661">
        <w:t>.E., Pollastro, R.M., 2007. Unconventional shale-gas systems: the Mississippian Barnett Shale of North-Central Texas as one model for thermogenic shale-gas assessment. AAPG Bulletin 91, 4, 475-499.</w:t>
      </w:r>
    </w:p>
    <w:p w14:paraId="40C83FCD" w14:textId="77777777" w:rsidR="00F86D14" w:rsidRPr="00183F0C" w:rsidRDefault="00F86D14" w:rsidP="00F86D14">
      <w:pPr>
        <w:pStyle w:val="ListParagraph"/>
        <w:numPr>
          <w:ilvl w:val="0"/>
          <w:numId w:val="15"/>
        </w:numPr>
        <w:rPr>
          <w:rFonts w:eastAsia="Times New Roman"/>
          <w:color w:val="000000"/>
        </w:rPr>
      </w:pPr>
      <w:r w:rsidRPr="00183F0C">
        <w:rPr>
          <w:rFonts w:eastAsia="Times New Roman"/>
          <w:color w:val="000000"/>
        </w:rPr>
        <w:lastRenderedPageBreak/>
        <w:t xml:space="preserve">Katz, B.J., Lin, F., 2014. Lacustrine basin unconventional resource plays </w:t>
      </w:r>
      <w:r>
        <w:rPr>
          <w:rFonts w:eastAsia="Times New Roman"/>
          <w:color w:val="000000"/>
        </w:rPr>
        <w:t>k</w:t>
      </w:r>
      <w:r w:rsidRPr="00183F0C">
        <w:rPr>
          <w:rFonts w:eastAsia="Times New Roman"/>
          <w:color w:val="000000"/>
        </w:rPr>
        <w:t>ey differences. Marine and Petroleum Geology 56</w:t>
      </w:r>
      <w:r>
        <w:rPr>
          <w:rFonts w:eastAsia="Times New Roman"/>
          <w:color w:val="000000"/>
        </w:rPr>
        <w:t xml:space="preserve">, </w:t>
      </w:r>
      <w:r w:rsidRPr="00183F0C">
        <w:rPr>
          <w:rFonts w:eastAsia="Times New Roman"/>
          <w:color w:val="000000"/>
        </w:rPr>
        <w:t>255-265.</w:t>
      </w:r>
    </w:p>
    <w:p w14:paraId="6192DEE6" w14:textId="3C5B53CA" w:rsidR="00704609" w:rsidRPr="00841DF8" w:rsidRDefault="00704609" w:rsidP="00415E04">
      <w:pPr>
        <w:pStyle w:val="ListParagraph"/>
        <w:numPr>
          <w:ilvl w:val="0"/>
          <w:numId w:val="15"/>
        </w:numPr>
      </w:pPr>
      <w:bookmarkStart w:id="104" w:name="_Hlk26368261"/>
      <w:r w:rsidRPr="00841DF8">
        <w:t>Kirkland D</w:t>
      </w:r>
      <w:r w:rsidR="00312661">
        <w:t>.</w:t>
      </w:r>
      <w:r w:rsidRPr="00841DF8">
        <w:t>W., Denison, R</w:t>
      </w:r>
      <w:r w:rsidR="00312661">
        <w:t>.</w:t>
      </w:r>
      <w:r w:rsidRPr="00841DF8">
        <w:t>E., Summers, D</w:t>
      </w:r>
      <w:r w:rsidR="00312661">
        <w:t>.</w:t>
      </w:r>
      <w:r w:rsidRPr="00841DF8">
        <w:t>M., Gormly, J</w:t>
      </w:r>
      <w:r w:rsidR="00312661">
        <w:t>.</w:t>
      </w:r>
      <w:r w:rsidRPr="00841DF8">
        <w:t>R., 1992. Geology and organic geochemistry of the Woodford Shale in the Criner Hills and western Arbuckle Mountains, Oklahoma</w:t>
      </w:r>
      <w:r w:rsidR="00312661">
        <w:t>.</w:t>
      </w:r>
      <w:r w:rsidRPr="00841DF8">
        <w:t xml:space="preserve"> Oklahoma Geological Survey, Circular 93, 38-69.</w:t>
      </w:r>
    </w:p>
    <w:p w14:paraId="0AC6EA55" w14:textId="467D2D37" w:rsidR="00767741" w:rsidRPr="00841DF8" w:rsidRDefault="00767741" w:rsidP="00415E04">
      <w:pPr>
        <w:pStyle w:val="ListParagraph"/>
        <w:numPr>
          <w:ilvl w:val="0"/>
          <w:numId w:val="15"/>
        </w:numPr>
      </w:pPr>
      <w:bookmarkStart w:id="105" w:name="_Hlk26368371"/>
      <w:bookmarkEnd w:id="104"/>
      <w:r w:rsidRPr="00745A38">
        <w:rPr>
          <w:lang w:val="es-CO"/>
        </w:rPr>
        <w:t>Latimer, R.B., Davison,</w:t>
      </w:r>
      <w:r w:rsidR="00312661" w:rsidRPr="00745A38">
        <w:rPr>
          <w:lang w:val="es-CO"/>
        </w:rPr>
        <w:t xml:space="preserve"> R.</w:t>
      </w:r>
      <w:r w:rsidR="00BC64F6" w:rsidRPr="00745A38">
        <w:rPr>
          <w:lang w:val="es-CO"/>
        </w:rPr>
        <w:t>,</w:t>
      </w:r>
      <w:r w:rsidR="00312661" w:rsidRPr="00745A38">
        <w:rPr>
          <w:lang w:val="es-CO"/>
        </w:rPr>
        <w:t xml:space="preserve"> </w:t>
      </w:r>
      <w:r w:rsidR="00BC64F6" w:rsidRPr="00745A38">
        <w:rPr>
          <w:lang w:val="es-CO"/>
        </w:rPr>
        <w:t>v</w:t>
      </w:r>
      <w:r w:rsidRPr="00745A38">
        <w:rPr>
          <w:lang w:val="es-CO"/>
        </w:rPr>
        <w:t>an Riel,</w:t>
      </w:r>
      <w:r w:rsidR="00312661" w:rsidRPr="00745A38">
        <w:rPr>
          <w:lang w:val="es-CO"/>
        </w:rPr>
        <w:t xml:space="preserve"> P.,</w:t>
      </w:r>
      <w:r w:rsidRPr="00745A38">
        <w:rPr>
          <w:lang w:val="es-CO"/>
        </w:rPr>
        <w:t xml:space="preserve"> 2000</w:t>
      </w:r>
      <w:r w:rsidR="00312661" w:rsidRPr="00745A38">
        <w:rPr>
          <w:lang w:val="es-CO"/>
        </w:rPr>
        <w:t>.</w:t>
      </w:r>
      <w:r w:rsidRPr="00745A38">
        <w:rPr>
          <w:lang w:val="es-CO"/>
        </w:rPr>
        <w:t xml:space="preserve"> </w:t>
      </w:r>
      <w:r w:rsidRPr="00841DF8">
        <w:t>An interpreter’s guide to understanding and working with seismic-derived acoustic impedance data</w:t>
      </w:r>
      <w:r w:rsidR="00312661">
        <w:t>.</w:t>
      </w:r>
      <w:r w:rsidRPr="00841DF8">
        <w:t xml:space="preserve"> The Leading Edge</w:t>
      </w:r>
      <w:r w:rsidR="00312661">
        <w:t xml:space="preserve"> </w:t>
      </w:r>
      <w:r w:rsidRPr="00841DF8">
        <w:t>19, 242-256.</w:t>
      </w:r>
    </w:p>
    <w:bookmarkEnd w:id="105"/>
    <w:p w14:paraId="3A53EA89" w14:textId="77777777" w:rsidR="00BB4EC7" w:rsidRPr="007D5057" w:rsidRDefault="00BB4EC7" w:rsidP="00BB4EC7">
      <w:pPr>
        <w:pStyle w:val="ListParagraph"/>
        <w:numPr>
          <w:ilvl w:val="0"/>
          <w:numId w:val="15"/>
        </w:numPr>
      </w:pPr>
      <w:r w:rsidRPr="007D5057">
        <w:t>Maynard, S., 2016. Correlation of bioturbated facies, chemostratigraphy, total organic carbon, and sequence stratigraphy in the Woodford Shale of south-central Oklahoma. M.Sc. thesis manuscript, The University of Oklahoma, p. 119.</w:t>
      </w:r>
    </w:p>
    <w:p w14:paraId="405962EF" w14:textId="77777777" w:rsidR="00BB4EC7" w:rsidRPr="007D5057" w:rsidRDefault="00BB4EC7" w:rsidP="00BB4EC7">
      <w:pPr>
        <w:pStyle w:val="ListParagraph"/>
        <w:numPr>
          <w:ilvl w:val="0"/>
          <w:numId w:val="15"/>
        </w:numPr>
      </w:pPr>
      <w:r w:rsidRPr="007D5057">
        <w:t>McCullough, B.J., 2014. Sequence-stratigraphic framework and characterization of the Woodford Shale on the southern Cherokee platform of Central Oklahoma. M.Sc. thesis manuscript, The University of Oklahoma, p. 212.</w:t>
      </w:r>
    </w:p>
    <w:p w14:paraId="22E26792" w14:textId="77777777" w:rsidR="00BB4EC7" w:rsidRPr="007D5057" w:rsidRDefault="00BB4EC7" w:rsidP="00BB4EC7">
      <w:pPr>
        <w:pStyle w:val="ListParagraph"/>
        <w:numPr>
          <w:ilvl w:val="0"/>
          <w:numId w:val="15"/>
        </w:numPr>
        <w:rPr>
          <w:rFonts w:eastAsia="Times New Roman"/>
          <w:color w:val="000000"/>
        </w:rPr>
      </w:pPr>
      <w:r w:rsidRPr="007D5057">
        <w:rPr>
          <w:rFonts w:eastAsia="Times New Roman"/>
          <w:color w:val="000000"/>
        </w:rPr>
        <w:t>McCullough, B., Slatt, R.M., 2014. Paleotopographic control on the variability of Woodford Shale strata across the southern Cherokee platform area of central Oklahoma: A mechanism for increased preservation-potential of organic content: AAPG Search and Discovery article 1125.</w:t>
      </w:r>
    </w:p>
    <w:p w14:paraId="316A7170" w14:textId="15DC54A4" w:rsidR="00312661" w:rsidRPr="00312661" w:rsidRDefault="00312661" w:rsidP="00415E04">
      <w:pPr>
        <w:pStyle w:val="ListParagraph"/>
        <w:numPr>
          <w:ilvl w:val="0"/>
          <w:numId w:val="15"/>
        </w:numPr>
      </w:pPr>
      <w:r w:rsidRPr="00312661">
        <w:t xml:space="preserve">Miceli-Romero, A.A, 2010. Geochemical characterization of the Woodford Shale, central and southeastern Oklahoma. M.Sc. thesis manuscript, The University of Oklahoma, p. 149. </w:t>
      </w:r>
    </w:p>
    <w:p w14:paraId="2F0B4DEF" w14:textId="4B3C6B0D" w:rsidR="00704609" w:rsidRPr="00841DF8" w:rsidRDefault="00704609" w:rsidP="00415E04">
      <w:pPr>
        <w:pStyle w:val="ListParagraph"/>
        <w:numPr>
          <w:ilvl w:val="0"/>
          <w:numId w:val="15"/>
        </w:numPr>
      </w:pPr>
      <w:bookmarkStart w:id="106" w:name="_Hlk26368491"/>
      <w:r w:rsidRPr="00841DF8">
        <w:t xml:space="preserve">Molinares, C.E., 2013. Stratigraphy and palynomorphs composition of the Woodford Shale in the Wyche Farm </w:t>
      </w:r>
      <w:r w:rsidR="00B35F28">
        <w:t>s</w:t>
      </w:r>
      <w:r w:rsidRPr="00841DF8">
        <w:t xml:space="preserve">hale </w:t>
      </w:r>
      <w:r w:rsidR="00B35F28">
        <w:t>p</w:t>
      </w:r>
      <w:r w:rsidRPr="00841DF8">
        <w:t xml:space="preserve">it, Pontotoc County, Oklahoma. M.Sc. </w:t>
      </w:r>
      <w:r w:rsidR="00312661">
        <w:t>t</w:t>
      </w:r>
      <w:r w:rsidRPr="00841DF8">
        <w:t xml:space="preserve">hesis </w:t>
      </w:r>
      <w:r w:rsidR="00312661">
        <w:t>m</w:t>
      </w:r>
      <w:r w:rsidRPr="00841DF8">
        <w:t>anuscript</w:t>
      </w:r>
      <w:r w:rsidR="00312661">
        <w:t xml:space="preserve">, </w:t>
      </w:r>
      <w:r w:rsidRPr="00841DF8">
        <w:t>The University of Oklahoma, p. 104.</w:t>
      </w:r>
    </w:p>
    <w:p w14:paraId="5FB98E88" w14:textId="598DCE19" w:rsidR="00704609" w:rsidRPr="00841DF8" w:rsidRDefault="00704609" w:rsidP="00415E04">
      <w:pPr>
        <w:pStyle w:val="ListParagraph"/>
        <w:numPr>
          <w:ilvl w:val="0"/>
          <w:numId w:val="15"/>
        </w:numPr>
      </w:pPr>
      <w:bookmarkStart w:id="107" w:name="_Hlk26368592"/>
      <w:bookmarkEnd w:id="106"/>
      <w:r w:rsidRPr="00841DF8">
        <w:t>Northcutt, R.A., Johnson, K. S., Hinshaw, G. C., 2001. Geology and petroleum reservoirs in Silurian, Devonian, and Mississippian rocks in Oklahoma. In</w:t>
      </w:r>
      <w:r w:rsidR="00312661">
        <w:t>:</w:t>
      </w:r>
      <w:r w:rsidRPr="00841DF8">
        <w:t xml:space="preserve"> Johnson K. S.</w:t>
      </w:r>
      <w:r w:rsidR="00312661">
        <w:t xml:space="preserve">, </w:t>
      </w:r>
      <w:r w:rsidRPr="00841DF8">
        <w:t>ed</w:t>
      </w:r>
      <w:r w:rsidR="00312661">
        <w:t>s</w:t>
      </w:r>
      <w:r w:rsidRPr="00841DF8">
        <w:t>.</w:t>
      </w:r>
      <w:r w:rsidR="00312661">
        <w:t>,</w:t>
      </w:r>
      <w:r w:rsidRPr="00841DF8">
        <w:t xml:space="preserve"> Silurian, Devonian, and Mississippian geology and petroleum in the </w:t>
      </w:r>
      <w:r w:rsidR="0040621C">
        <w:t>s</w:t>
      </w:r>
      <w:r w:rsidRPr="00841DF8">
        <w:t>outhern Midcontinent, 1999 symposium. Oklahoma Geological Survey Circular 105, 1-29</w:t>
      </w:r>
      <w:r w:rsidR="00312661">
        <w:t>.</w:t>
      </w:r>
    </w:p>
    <w:p w14:paraId="6C9DE6E6" w14:textId="16314F34" w:rsidR="00704609" w:rsidRPr="00841DF8" w:rsidRDefault="00704609" w:rsidP="00415E04">
      <w:pPr>
        <w:pStyle w:val="ListParagraph"/>
        <w:numPr>
          <w:ilvl w:val="0"/>
          <w:numId w:val="15"/>
        </w:numPr>
      </w:pPr>
      <w:bookmarkStart w:id="108" w:name="_Hlk26368687"/>
      <w:bookmarkEnd w:id="107"/>
      <w:r w:rsidRPr="00841DF8">
        <w:t xml:space="preserve">Passey, Q.R., </w:t>
      </w:r>
      <w:r w:rsidR="00E33B57" w:rsidRPr="00841DF8">
        <w:t>Creaney,</w:t>
      </w:r>
      <w:r w:rsidR="00E33B57">
        <w:t xml:space="preserve"> S.</w:t>
      </w:r>
      <w:r w:rsidR="00312661">
        <w:t xml:space="preserve">, </w:t>
      </w:r>
      <w:r w:rsidRPr="00841DF8">
        <w:t>Kulla,</w:t>
      </w:r>
      <w:r w:rsidR="00312661">
        <w:t xml:space="preserve"> J.B., </w:t>
      </w:r>
      <w:r w:rsidRPr="00841DF8">
        <w:t>Moretti,</w:t>
      </w:r>
      <w:r w:rsidR="00312661">
        <w:t xml:space="preserve"> F.J.,</w:t>
      </w:r>
      <w:r w:rsidRPr="00841DF8">
        <w:t xml:space="preserve"> Stroud,</w:t>
      </w:r>
      <w:r w:rsidR="00312661">
        <w:t xml:space="preserve"> J.D.,</w:t>
      </w:r>
      <w:r w:rsidRPr="00841DF8">
        <w:t xml:space="preserve"> 1990. A </w:t>
      </w:r>
      <w:r w:rsidR="00312661">
        <w:t>p</w:t>
      </w:r>
      <w:r w:rsidRPr="00841DF8">
        <w:t xml:space="preserve">ractical </w:t>
      </w:r>
      <w:r w:rsidR="00312661">
        <w:t>m</w:t>
      </w:r>
      <w:r w:rsidRPr="00841DF8">
        <w:t xml:space="preserve">odel for </w:t>
      </w:r>
      <w:r w:rsidR="00312661">
        <w:t>o</w:t>
      </w:r>
      <w:r w:rsidRPr="00841DF8">
        <w:t xml:space="preserve">rganic </w:t>
      </w:r>
      <w:r w:rsidR="00312661">
        <w:t>r</w:t>
      </w:r>
      <w:r w:rsidRPr="00841DF8">
        <w:t xml:space="preserve">ichness from </w:t>
      </w:r>
      <w:r w:rsidR="00312661">
        <w:t>p</w:t>
      </w:r>
      <w:r w:rsidRPr="00841DF8">
        <w:t xml:space="preserve">orosity and </w:t>
      </w:r>
      <w:r w:rsidR="00312661">
        <w:t>r</w:t>
      </w:r>
      <w:r w:rsidRPr="00841DF8">
        <w:t xml:space="preserve">esistivity </w:t>
      </w:r>
      <w:r w:rsidR="00312661">
        <w:t>l</w:t>
      </w:r>
      <w:r w:rsidRPr="00841DF8">
        <w:t>ogs</w:t>
      </w:r>
      <w:r w:rsidR="00312661">
        <w:t>.</w:t>
      </w:r>
      <w:r w:rsidRPr="00841DF8">
        <w:t xml:space="preserve"> AAPG Bulletin 74, 1777-1794.</w:t>
      </w:r>
    </w:p>
    <w:p w14:paraId="00AFEA30" w14:textId="114FCA11" w:rsidR="00704609" w:rsidRPr="00841DF8" w:rsidRDefault="00704609" w:rsidP="00415E04">
      <w:pPr>
        <w:pStyle w:val="ListParagraph"/>
        <w:numPr>
          <w:ilvl w:val="0"/>
          <w:numId w:val="15"/>
        </w:numPr>
      </w:pPr>
      <w:bookmarkStart w:id="109" w:name="_Hlk26368802"/>
      <w:bookmarkEnd w:id="108"/>
      <w:r w:rsidRPr="00841DF8">
        <w:t xml:space="preserve">Passey, Q.R., Bohacs, </w:t>
      </w:r>
      <w:r w:rsidR="00312661" w:rsidRPr="00841DF8">
        <w:t>K. M.</w:t>
      </w:r>
      <w:r w:rsidR="00312661">
        <w:t>,</w:t>
      </w:r>
      <w:r w:rsidRPr="00841DF8">
        <w:t xml:space="preserve"> Esch, </w:t>
      </w:r>
      <w:r w:rsidR="00312661" w:rsidRPr="00841DF8">
        <w:t>W. L.</w:t>
      </w:r>
      <w:r w:rsidR="00312661">
        <w:t xml:space="preserve">, </w:t>
      </w:r>
      <w:r w:rsidRPr="00841DF8">
        <w:t>Klimentidis,</w:t>
      </w:r>
      <w:r w:rsidR="00312661">
        <w:t xml:space="preserve"> </w:t>
      </w:r>
      <w:r w:rsidR="00312661" w:rsidRPr="00841DF8">
        <w:t>R.</w:t>
      </w:r>
      <w:r w:rsidR="00312661">
        <w:t>,</w:t>
      </w:r>
      <w:r w:rsidRPr="00841DF8">
        <w:t xml:space="preserve"> Sinha, </w:t>
      </w:r>
      <w:r w:rsidR="00312661">
        <w:t xml:space="preserve">S., </w:t>
      </w:r>
      <w:r w:rsidRPr="00841DF8">
        <w:t xml:space="preserve">2010. From </w:t>
      </w:r>
      <w:r w:rsidR="00312661">
        <w:t>o</w:t>
      </w:r>
      <w:r w:rsidRPr="00841DF8">
        <w:t>il-</w:t>
      </w:r>
      <w:r w:rsidR="00312661">
        <w:t>p</w:t>
      </w:r>
      <w:r w:rsidRPr="00841DF8">
        <w:t xml:space="preserve">rone </w:t>
      </w:r>
      <w:r w:rsidR="00312661">
        <w:t>s</w:t>
      </w:r>
      <w:r w:rsidRPr="00841DF8">
        <w:t xml:space="preserve">ource </w:t>
      </w:r>
      <w:r w:rsidR="00312661">
        <w:t>r</w:t>
      </w:r>
      <w:r w:rsidRPr="00841DF8">
        <w:t xml:space="preserve">ock to </w:t>
      </w:r>
      <w:r w:rsidR="00312661">
        <w:t>g</w:t>
      </w:r>
      <w:r w:rsidRPr="00841DF8">
        <w:t>as-</w:t>
      </w:r>
      <w:r w:rsidR="00312661">
        <w:t>p</w:t>
      </w:r>
      <w:r w:rsidRPr="00841DF8">
        <w:t xml:space="preserve">roducing </w:t>
      </w:r>
      <w:r w:rsidR="00312661">
        <w:t>s</w:t>
      </w:r>
      <w:r w:rsidRPr="00841DF8">
        <w:t xml:space="preserve">hale </w:t>
      </w:r>
      <w:r w:rsidR="00312661">
        <w:t>r</w:t>
      </w:r>
      <w:r w:rsidRPr="00841DF8">
        <w:t>eservoir</w:t>
      </w:r>
      <w:r w:rsidR="00312661">
        <w:t>-g</w:t>
      </w:r>
      <w:r w:rsidRPr="00841DF8">
        <w:t xml:space="preserve">eologic and </w:t>
      </w:r>
      <w:r w:rsidR="00312661">
        <w:t>p</w:t>
      </w:r>
      <w:r w:rsidRPr="00841DF8">
        <w:t xml:space="preserve">etrophysical </w:t>
      </w:r>
      <w:r w:rsidR="00312661">
        <w:t>c</w:t>
      </w:r>
      <w:r w:rsidRPr="00841DF8">
        <w:t xml:space="preserve">haracterization </w:t>
      </w:r>
      <w:r w:rsidRPr="00841DF8">
        <w:lastRenderedPageBreak/>
        <w:t xml:space="preserve">of </w:t>
      </w:r>
      <w:r w:rsidR="00312661">
        <w:t>u</w:t>
      </w:r>
      <w:r w:rsidRPr="00841DF8">
        <w:t xml:space="preserve">nconventional </w:t>
      </w:r>
      <w:r w:rsidR="00312661">
        <w:t>s</w:t>
      </w:r>
      <w:r w:rsidRPr="00841DF8">
        <w:t>hale-</w:t>
      </w:r>
      <w:r w:rsidR="00312661">
        <w:t>g</w:t>
      </w:r>
      <w:r w:rsidRPr="00841DF8">
        <w:t xml:space="preserve">as </w:t>
      </w:r>
      <w:r w:rsidR="00312661">
        <w:t>r</w:t>
      </w:r>
      <w:r w:rsidRPr="00841DF8">
        <w:t>eservoirs</w:t>
      </w:r>
      <w:r w:rsidR="00312661">
        <w:t>.</w:t>
      </w:r>
      <w:r w:rsidRPr="00841DF8">
        <w:t xml:space="preserve"> </w:t>
      </w:r>
      <w:r w:rsidR="00312661">
        <w:t xml:space="preserve">2010 </w:t>
      </w:r>
      <w:r w:rsidRPr="00841DF8">
        <w:t xml:space="preserve">CPS/SPE International Oil </w:t>
      </w:r>
      <w:r w:rsidR="000B1CA6">
        <w:t>and</w:t>
      </w:r>
      <w:r w:rsidRPr="00841DF8">
        <w:t xml:space="preserve"> Gas Conference and Exhibition in China, 29 p.</w:t>
      </w:r>
    </w:p>
    <w:p w14:paraId="6C1A9717" w14:textId="21CEDBA7" w:rsidR="00B80DC7" w:rsidRDefault="00B80DC7" w:rsidP="00B80DC7">
      <w:pPr>
        <w:pStyle w:val="ListParagraph"/>
        <w:numPr>
          <w:ilvl w:val="0"/>
          <w:numId w:val="15"/>
        </w:numPr>
      </w:pPr>
      <w:bookmarkStart w:id="110" w:name="_Hlk26368854"/>
      <w:bookmarkEnd w:id="109"/>
      <w:r w:rsidRPr="001B71AE">
        <w:t>Perry, W.J., 1995</w:t>
      </w:r>
      <w:r>
        <w:t>.</w:t>
      </w:r>
      <w:r w:rsidRPr="001B71AE">
        <w:t xml:space="preserve"> USGS 1995 National </w:t>
      </w:r>
      <w:r w:rsidR="009B0A57">
        <w:t>o</w:t>
      </w:r>
      <w:r w:rsidRPr="001B71AE">
        <w:t xml:space="preserve">il and </w:t>
      </w:r>
      <w:r w:rsidR="009B0A57">
        <w:t>g</w:t>
      </w:r>
      <w:r w:rsidRPr="001B71AE">
        <w:t xml:space="preserve">as </w:t>
      </w:r>
      <w:r w:rsidR="009B0A57">
        <w:t>a</w:t>
      </w:r>
      <w:r w:rsidRPr="001B71AE">
        <w:t xml:space="preserve">ssessment – Arkoma </w:t>
      </w:r>
      <w:r w:rsidR="009B0A57">
        <w:t>b</w:t>
      </w:r>
      <w:r w:rsidRPr="001B71AE">
        <w:t xml:space="preserve">asin </w:t>
      </w:r>
      <w:r w:rsidR="009B0A57">
        <w:t>p</w:t>
      </w:r>
      <w:r w:rsidRPr="001B71AE">
        <w:t>rovince</w:t>
      </w:r>
      <w:r>
        <w:t>.</w:t>
      </w:r>
      <w:r w:rsidRPr="001B71AE">
        <w:t xml:space="preserve"> United States Geological Survey 62,</w:t>
      </w:r>
      <w:r>
        <w:t xml:space="preserve"> p. 134</w:t>
      </w:r>
      <w:r w:rsidRPr="001B71AE">
        <w:t>.</w:t>
      </w:r>
    </w:p>
    <w:p w14:paraId="77B7E4D0" w14:textId="1DEB9A9A" w:rsidR="00704609" w:rsidRDefault="00704609" w:rsidP="00415E04">
      <w:pPr>
        <w:pStyle w:val="ListParagraph"/>
        <w:numPr>
          <w:ilvl w:val="0"/>
          <w:numId w:val="15"/>
        </w:numPr>
      </w:pPr>
      <w:r w:rsidRPr="00841DF8">
        <w:t xml:space="preserve">Portas, R., 2009. Characterization and origin of fracture patterns in the Woodford Shale in </w:t>
      </w:r>
      <w:r w:rsidR="0040621C">
        <w:t>s</w:t>
      </w:r>
      <w:r w:rsidRPr="00841DF8">
        <w:t xml:space="preserve">outheastern Oklahoma for application to exploration and development. </w:t>
      </w:r>
      <w:r w:rsidR="00312661">
        <w:t>M.Sc</w:t>
      </w:r>
      <w:r w:rsidR="00AE5717">
        <w:t>.</w:t>
      </w:r>
      <w:r w:rsidR="00312661">
        <w:t xml:space="preserve"> t</w:t>
      </w:r>
      <w:r w:rsidRPr="00841DF8">
        <w:t>hesis</w:t>
      </w:r>
      <w:r w:rsidR="00312661">
        <w:t xml:space="preserve"> manuscript</w:t>
      </w:r>
      <w:r w:rsidRPr="00841DF8">
        <w:t xml:space="preserve">, </w:t>
      </w:r>
      <w:r w:rsidR="00312661">
        <w:t>T</w:t>
      </w:r>
      <w:r w:rsidRPr="00841DF8">
        <w:t>he University of Oklahoma, p. 113.</w:t>
      </w:r>
    </w:p>
    <w:bookmarkEnd w:id="110"/>
    <w:p w14:paraId="23EFCD5A" w14:textId="644CAD67" w:rsidR="005B48F4" w:rsidRPr="008027F8" w:rsidRDefault="005B48F4" w:rsidP="005B48F4">
      <w:pPr>
        <w:pStyle w:val="ListParagraph"/>
        <w:numPr>
          <w:ilvl w:val="0"/>
          <w:numId w:val="15"/>
        </w:numPr>
        <w:rPr>
          <w:rFonts w:eastAsia="Times New Roman"/>
          <w:color w:val="000000"/>
        </w:rPr>
      </w:pPr>
      <w:r w:rsidRPr="00BF0E9D">
        <w:rPr>
          <w:rFonts w:eastAsia="Times New Roman"/>
          <w:color w:val="000000"/>
        </w:rPr>
        <w:t>Sena, A.</w:t>
      </w:r>
      <w:r>
        <w:rPr>
          <w:rFonts w:eastAsia="Times New Roman"/>
          <w:color w:val="000000"/>
        </w:rPr>
        <w:t>,</w:t>
      </w:r>
      <w:r w:rsidRPr="00BF0E9D">
        <w:rPr>
          <w:rFonts w:eastAsia="Times New Roman"/>
          <w:color w:val="000000"/>
        </w:rPr>
        <w:t xml:space="preserve"> </w:t>
      </w:r>
      <w:r>
        <w:rPr>
          <w:rFonts w:eastAsia="Times New Roman"/>
          <w:color w:val="000000"/>
        </w:rPr>
        <w:t>Castillo, G., Chesser, K.,</w:t>
      </w:r>
      <w:r w:rsidRPr="00BF0E9D">
        <w:rPr>
          <w:rFonts w:eastAsia="Times New Roman"/>
          <w:color w:val="000000"/>
        </w:rPr>
        <w:t xml:space="preserve"> 2011</w:t>
      </w:r>
      <w:r>
        <w:rPr>
          <w:rFonts w:eastAsia="Times New Roman"/>
          <w:color w:val="000000"/>
        </w:rPr>
        <w:t>.</w:t>
      </w:r>
      <w:r w:rsidRPr="00BF0E9D">
        <w:rPr>
          <w:rFonts w:eastAsia="Times New Roman"/>
          <w:color w:val="000000"/>
        </w:rPr>
        <w:t xml:space="preserve"> Seismic reservoir characterization in resource shale plays</w:t>
      </w:r>
      <w:r w:rsidR="001861B5">
        <w:rPr>
          <w:rFonts w:eastAsia="Times New Roman"/>
          <w:color w:val="000000"/>
        </w:rPr>
        <w:t>: S</w:t>
      </w:r>
      <w:r w:rsidRPr="00BF0E9D">
        <w:rPr>
          <w:rFonts w:eastAsia="Times New Roman"/>
          <w:color w:val="000000"/>
        </w:rPr>
        <w:t>tress analysis and sweet spot discrimination</w:t>
      </w:r>
      <w:r>
        <w:rPr>
          <w:rFonts w:eastAsia="Times New Roman"/>
          <w:color w:val="000000"/>
        </w:rPr>
        <w:t>. SEG</w:t>
      </w:r>
      <w:r w:rsidRPr="00BF0E9D">
        <w:rPr>
          <w:rFonts w:eastAsia="Times New Roman"/>
          <w:color w:val="000000"/>
        </w:rPr>
        <w:t xml:space="preserve"> The Leading Edge, </w:t>
      </w:r>
      <w:r>
        <w:rPr>
          <w:rFonts w:eastAsia="Times New Roman"/>
          <w:color w:val="000000"/>
        </w:rPr>
        <w:t>30, 7</w:t>
      </w:r>
      <w:r w:rsidRPr="00BF0E9D">
        <w:rPr>
          <w:rFonts w:eastAsia="Times New Roman"/>
          <w:color w:val="000000"/>
        </w:rPr>
        <w:t>,</w:t>
      </w:r>
      <w:r>
        <w:rPr>
          <w:rFonts w:eastAsia="Times New Roman"/>
          <w:color w:val="000000"/>
        </w:rPr>
        <w:t xml:space="preserve"> </w:t>
      </w:r>
      <w:r w:rsidRPr="00BF0E9D">
        <w:rPr>
          <w:rFonts w:eastAsia="Times New Roman"/>
          <w:color w:val="000000"/>
        </w:rPr>
        <w:t>758-764.</w:t>
      </w:r>
    </w:p>
    <w:p w14:paraId="65D0084B" w14:textId="109B95FD" w:rsidR="00312661" w:rsidRPr="00312661" w:rsidRDefault="00312661" w:rsidP="00415E04">
      <w:pPr>
        <w:pStyle w:val="ListParagraph"/>
        <w:numPr>
          <w:ilvl w:val="0"/>
          <w:numId w:val="15"/>
        </w:numPr>
      </w:pPr>
      <w:r w:rsidRPr="00312661">
        <w:t>Slatt, R.M., Buckner, N., Abousleiman, Y., Sierra, R., Philp, R.P.</w:t>
      </w:r>
      <w:r w:rsidR="00E33B57" w:rsidRPr="00312661">
        <w:t>, Miceli</w:t>
      </w:r>
      <w:r w:rsidRPr="00312661">
        <w:t>-Romero, A., Portas, R., O'Brien, N., Tran, M., Davis, R., Wawrzyniec, T., 2012. Outcrop/behind outcrop (quarry), multiscale characterization of the Woodford gas shale, Oklahoma, in J. Breyer, eds., Shale reservoirs-giant resources for the 21st century: American Association of Petroleum Geologists AAPG Memoir 97, 1–21.</w:t>
      </w:r>
    </w:p>
    <w:p w14:paraId="6605B30F" w14:textId="77777777" w:rsidR="00312661" w:rsidRPr="00312661" w:rsidRDefault="00312661" w:rsidP="00415E04">
      <w:pPr>
        <w:pStyle w:val="ListParagraph"/>
        <w:numPr>
          <w:ilvl w:val="0"/>
          <w:numId w:val="15"/>
        </w:numPr>
      </w:pPr>
      <w:r w:rsidRPr="00312661">
        <w:t xml:space="preserve">Slatt, R.M., 2016. Institute of Reservoir Characterization (IRC), Woodford-Mississippian consortium, phase III technical report. The University of Oklahoma, p. 202. </w:t>
      </w:r>
    </w:p>
    <w:p w14:paraId="706FC203" w14:textId="77777777" w:rsidR="00312661" w:rsidRPr="00312661" w:rsidRDefault="00312661" w:rsidP="00415E04">
      <w:pPr>
        <w:pStyle w:val="ListParagraph"/>
        <w:numPr>
          <w:ilvl w:val="0"/>
          <w:numId w:val="15"/>
        </w:numPr>
      </w:pPr>
      <w:r w:rsidRPr="00312661">
        <w:t>Turner, B., 2015. The use of chemostratigraphy to refine ambiguous sequence stratigraphic correlations in marine shales: An example of the Woodford Shale, Oklahoma. AAPG education directorate, Woodford Shale forum: Focus on optimization. Oklahoma City, Oklahoma, 2015. AAPG Datapages Search and Discovery article 90241.</w:t>
      </w:r>
    </w:p>
    <w:p w14:paraId="63B86455" w14:textId="43E8E246" w:rsidR="007638B4" w:rsidRPr="00AE5717" w:rsidRDefault="006868DA" w:rsidP="00415E04">
      <w:pPr>
        <w:pStyle w:val="ListParagraph"/>
        <w:numPr>
          <w:ilvl w:val="0"/>
          <w:numId w:val="15"/>
        </w:numPr>
        <w:rPr>
          <w:bCs/>
        </w:rPr>
      </w:pPr>
      <w:r w:rsidRPr="00841DF8">
        <w:t>Verma, S., 2014.</w:t>
      </w:r>
      <w:r w:rsidR="006E76CF">
        <w:t xml:space="preserve"> </w:t>
      </w:r>
      <w:r w:rsidR="006E76CF" w:rsidRPr="006E76CF">
        <w:t>Seismic data conditioning for quantitative interpretation of unconventional reservoirs</w:t>
      </w:r>
      <w:r w:rsidR="006E76CF">
        <w:t>.</w:t>
      </w:r>
      <w:r w:rsidRPr="00841DF8">
        <w:t xml:space="preserve"> Doctoral </w:t>
      </w:r>
      <w:r w:rsidR="00312661">
        <w:t>d</w:t>
      </w:r>
      <w:r w:rsidRPr="00841DF8">
        <w:t>issertation manuscript, The University of Oklahoma, p. 195.</w:t>
      </w:r>
    </w:p>
    <w:p w14:paraId="583D68CD" w14:textId="44570461" w:rsidR="00AE5717" w:rsidRPr="00745A38" w:rsidRDefault="00AE5717" w:rsidP="00415E04">
      <w:pPr>
        <w:pStyle w:val="ListParagraph"/>
        <w:numPr>
          <w:ilvl w:val="0"/>
          <w:numId w:val="15"/>
        </w:numPr>
        <w:rPr>
          <w:bCs/>
        </w:rPr>
      </w:pPr>
      <w:r>
        <w:t xml:space="preserve">Verma, S., Zhao, T., Marfurt, K.J., Devegowda, D., 2016. </w:t>
      </w:r>
      <w:r w:rsidRPr="00AE5717">
        <w:t>Estimation of total organic carbon and brittleness volume</w:t>
      </w:r>
      <w:r>
        <w:t>. I</w:t>
      </w:r>
      <w:r w:rsidRPr="00AE5717">
        <w:t>nterpretation 4</w:t>
      </w:r>
      <w:r>
        <w:t xml:space="preserve">, </w:t>
      </w:r>
      <w:r w:rsidRPr="00AE5717">
        <w:t>3, T373-T385</w:t>
      </w:r>
      <w:r>
        <w:t>.</w:t>
      </w:r>
    </w:p>
    <w:p w14:paraId="326A0575" w14:textId="77777777" w:rsidR="00745A38" w:rsidRDefault="00745A38" w:rsidP="00745A38">
      <w:pPr>
        <w:rPr>
          <w:bCs/>
        </w:rPr>
      </w:pPr>
    </w:p>
    <w:p w14:paraId="612CED1F" w14:textId="77777777" w:rsidR="00745A38" w:rsidRDefault="00745A38" w:rsidP="00745A38">
      <w:pPr>
        <w:rPr>
          <w:bCs/>
        </w:rPr>
      </w:pPr>
    </w:p>
    <w:p w14:paraId="5D247809" w14:textId="5BC74343" w:rsidR="00745A38" w:rsidRDefault="00745A38" w:rsidP="00745A38">
      <w:pPr>
        <w:rPr>
          <w:bCs/>
        </w:rPr>
      </w:pPr>
    </w:p>
    <w:p w14:paraId="639A6FE0" w14:textId="77777777" w:rsidR="00081C89" w:rsidRDefault="00081C89" w:rsidP="00081C89">
      <w:pPr>
        <w:pStyle w:val="Heading1"/>
      </w:pPr>
      <w:bookmarkStart w:id="111" w:name="_Toc29304859"/>
      <w:bookmarkStart w:id="112" w:name="_Toc35861099"/>
      <w:r w:rsidRPr="006B1673">
        <w:lastRenderedPageBreak/>
        <w:t xml:space="preserve">Chapter </w:t>
      </w:r>
      <w:r>
        <w:t>III</w:t>
      </w:r>
      <w:r w:rsidRPr="006B1673">
        <w:t xml:space="preserve">: Integration of </w:t>
      </w:r>
      <w:r>
        <w:t>g</w:t>
      </w:r>
      <w:r w:rsidRPr="006B1673">
        <w:t xml:space="preserve">eochemical and </w:t>
      </w:r>
      <w:r>
        <w:t>s</w:t>
      </w:r>
      <w:r w:rsidRPr="006B1673">
        <w:t xml:space="preserve">tratigraphic properties </w:t>
      </w:r>
      <w:r>
        <w:t>for characterizing the enclosed mini-basin fills</w:t>
      </w:r>
      <w:r w:rsidRPr="006B1673">
        <w:t xml:space="preserve"> in the Woodford </w:t>
      </w:r>
      <w:r>
        <w:t>S</w:t>
      </w:r>
      <w:r w:rsidRPr="006B1673">
        <w:t xml:space="preserve">hale Speake Ranch </w:t>
      </w:r>
      <w:r>
        <w:t>o</w:t>
      </w:r>
      <w:r w:rsidRPr="006B1673">
        <w:t>utcrop.</w:t>
      </w:r>
      <w:bookmarkEnd w:id="111"/>
      <w:bookmarkEnd w:id="112"/>
    </w:p>
    <w:p w14:paraId="36C2D1DB" w14:textId="77777777" w:rsidR="00081C89" w:rsidRDefault="00081C89" w:rsidP="00081C89">
      <w:pPr>
        <w:pStyle w:val="Heading2"/>
        <w:numPr>
          <w:ilvl w:val="0"/>
          <w:numId w:val="9"/>
        </w:numPr>
      </w:pPr>
      <w:bookmarkStart w:id="113" w:name="_Toc29304860"/>
      <w:bookmarkStart w:id="114" w:name="_Toc25833545"/>
      <w:bookmarkStart w:id="115" w:name="_Toc35861100"/>
      <w:r>
        <w:t>Abstract</w:t>
      </w:r>
      <w:bookmarkEnd w:id="113"/>
      <w:bookmarkEnd w:id="115"/>
      <w:r>
        <w:t xml:space="preserve"> </w:t>
      </w:r>
    </w:p>
    <w:p w14:paraId="6AF98FC7" w14:textId="037803D1" w:rsidR="00081C89" w:rsidRDefault="00081C89" w:rsidP="00081C89">
      <w:pPr>
        <w:ind w:left="360" w:firstLine="360"/>
        <w:rPr>
          <w:lang w:eastAsia="ja-JP"/>
        </w:rPr>
      </w:pPr>
      <w:r>
        <w:rPr>
          <w:lang w:eastAsia="ja-JP"/>
        </w:rPr>
        <w:t xml:space="preserve">Since the early 2010s, the exploitation of unconventional resources in the Woodford Shale has become very active because of its historical recognition as a significant source of high volumes of hydrocarbons to Oklahoma reservoirs and its potential storage capacity as a self-sourced tight reservoir. One of the parameters which make the Woodford Shale one of the best source rocks in the world is its deposition during a major extensive transgressive and dysaerobic setting, which created the optimal conditions for the productivity and preservation of the organic matter. In recent years, southern Oklahoma has become a very active petroleum province due to the interest in unexplored Woodford Shale acreage. The Speake Ranch (SR) in southern Oklahoma is a crucial outcrop with a complete Woodford Shale stratigraphic section. The SR was initially described by Becerra-Rondon (2017) and Galvis et al. (2017a and 2017b). This chapter focuses on complementing the previous analyses with the </w:t>
      </w:r>
      <w:r w:rsidR="00C403D1">
        <w:rPr>
          <w:lang w:eastAsia="ja-JP"/>
        </w:rPr>
        <w:t>full</w:t>
      </w:r>
      <w:r>
        <w:rPr>
          <w:lang w:eastAsia="ja-JP"/>
        </w:rPr>
        <w:t xml:space="preserve"> use of geological, inorganic (X-ray fluorescence XRF) and organic (total organic carbon %TOC, Rock-Eval pyrolysis and biomarkers) geochemical parameters. These parameters are used to better understand the vertical variability of the depositional conditions, variations in the organic matter source material, thermal maturity and the presence and impact of enclosed mini-basin fill deposits in the SR. Also, this chapter compares these characteristics with other areas in Oklahoma by performing regional mapping of the Woodford Shale and how these characteristics correlate with subsurface geological interpretations. This combined evaluation indicates the excellent potential of the enclosed mini-basin fill as prolific oil and gas intervals in unconventional resource shales. These characterizations show the tremendous value that biomarkers provide in the exploration of prospective unconventional resource shales. Not only </w:t>
      </w:r>
      <w:r>
        <w:rPr>
          <w:lang w:eastAsia="ja-JP"/>
        </w:rPr>
        <w:lastRenderedPageBreak/>
        <w:t>do the biomarkers assist in identifying  paleoenvironmental changes and redox conditions, but they also represent the best organo-facies that define the economic hydrocarbon producing intervals.</w:t>
      </w:r>
    </w:p>
    <w:p w14:paraId="030DC19A" w14:textId="77777777" w:rsidR="00081C89" w:rsidRDefault="00081C89" w:rsidP="00081C89">
      <w:pPr>
        <w:ind w:left="360" w:firstLine="360"/>
        <w:rPr>
          <w:lang w:eastAsia="ja-JP"/>
        </w:rPr>
      </w:pPr>
      <w:r>
        <w:rPr>
          <w:lang w:eastAsia="ja-JP"/>
        </w:rPr>
        <w:t>The principal indicators for a highly restricted enclosed mini-basin fill in the SR are:</w:t>
      </w:r>
    </w:p>
    <w:p w14:paraId="41C8F19C" w14:textId="380AADC4" w:rsidR="00081C89" w:rsidRDefault="00081C89" w:rsidP="00081C89">
      <w:pPr>
        <w:pStyle w:val="ListParagraph"/>
        <w:numPr>
          <w:ilvl w:val="0"/>
          <w:numId w:val="26"/>
        </w:numPr>
        <w:spacing w:after="0" w:line="480" w:lineRule="auto"/>
        <w:rPr>
          <w:lang w:eastAsia="ja-JP"/>
        </w:rPr>
      </w:pPr>
      <w:r>
        <w:rPr>
          <w:lang w:eastAsia="ja-JP"/>
        </w:rPr>
        <w:t>The SR is located in an area of the Ardmore basin (south Oklahoma) where the Woodford Shale thickness is greater than 300ft (typically the Woodford is 50-200 ft in Oklahoma</w:t>
      </w:r>
      <w:r w:rsidR="00FC03F7">
        <w:rPr>
          <w:lang w:eastAsia="ja-JP"/>
        </w:rPr>
        <w:t>),</w:t>
      </w:r>
      <w:r>
        <w:rPr>
          <w:lang w:eastAsia="ja-JP"/>
        </w:rPr>
        <w:t xml:space="preserve"> and the Hunton Group thickness is less than 200ft (usually this group is 400-600 ft). These differences in gross thickness are related to thicker Lower and Middle member intervals, associated with higher pre-Woodford accommodation space filled under enclosed mini-basin fill settings. This chapter shows the regional mapping and cross-sections from subsurface well-log interpretations of nearby areas for supporting these comparisons.  </w:t>
      </w:r>
    </w:p>
    <w:p w14:paraId="54E9BE25" w14:textId="77777777" w:rsidR="00081C89" w:rsidRDefault="00081C89" w:rsidP="00081C89">
      <w:pPr>
        <w:pStyle w:val="ListParagraph"/>
        <w:numPr>
          <w:ilvl w:val="0"/>
          <w:numId w:val="26"/>
        </w:numPr>
        <w:spacing w:before="240" w:after="0" w:line="480" w:lineRule="auto"/>
        <w:rPr>
          <w:lang w:eastAsia="ja-JP"/>
        </w:rPr>
      </w:pPr>
      <w:r>
        <w:rPr>
          <w:lang w:eastAsia="ja-JP"/>
        </w:rPr>
        <w:t>The Lower Woodford member thickness in the SR is 120 ft.  This is a thick stratigraphic section of this member when compared to other Woodford locations in Oklahoma petroleum provinces; therefore, more accommodation space was available for these basal Woodford Shale deposits and suggested enclosed mini-basin fill settings.</w:t>
      </w:r>
    </w:p>
    <w:p w14:paraId="2630856F" w14:textId="77777777" w:rsidR="00081C89" w:rsidRDefault="00081C89" w:rsidP="00081C89">
      <w:pPr>
        <w:pStyle w:val="ListParagraph"/>
        <w:numPr>
          <w:ilvl w:val="0"/>
          <w:numId w:val="26"/>
        </w:numPr>
        <w:spacing w:before="240" w:after="0" w:line="480" w:lineRule="auto"/>
        <w:rPr>
          <w:lang w:eastAsia="ja-JP"/>
        </w:rPr>
      </w:pPr>
      <w:r>
        <w:rPr>
          <w:lang w:eastAsia="ja-JP"/>
        </w:rPr>
        <w:t xml:space="preserve">Several faulted provinces surround the SR that, according to Ghosh (2017) and Galvis (2017), are the reactivation of pre-existing fault grabens that could have acted as paleo structural lows. These grabens allowed more accommodation space for basal Woodford Shale deposits. This outcrop presents higher sedimentation rates and sediment supply due to the proximity to the paleo Wichita uplifts (Galvis et al., 2017a). All these combined structural and depositional factors favored the development of restricted conditions to the water chemocline for preventing open water circulation processes. </w:t>
      </w:r>
    </w:p>
    <w:p w14:paraId="2E7BADB2" w14:textId="3D528642" w:rsidR="00081C89" w:rsidRDefault="00081C89" w:rsidP="00081C89">
      <w:pPr>
        <w:pStyle w:val="ListParagraph"/>
        <w:numPr>
          <w:ilvl w:val="0"/>
          <w:numId w:val="26"/>
        </w:numPr>
        <w:spacing w:before="240" w:after="0" w:line="480" w:lineRule="auto"/>
        <w:rPr>
          <w:lang w:eastAsia="ja-JP"/>
        </w:rPr>
      </w:pPr>
      <w:r>
        <w:rPr>
          <w:lang w:eastAsia="ja-JP"/>
        </w:rPr>
        <w:lastRenderedPageBreak/>
        <w:t>Biomarker analyses indicating an increase in the gammacerane index, decrease in sterane/hopane ratios, increase in aryl isoprenoids concentrations and an increase in C</w:t>
      </w:r>
      <w:r w:rsidRPr="00B015CE">
        <w:rPr>
          <w:vertAlign w:val="subscript"/>
          <w:lang w:eastAsia="ja-JP"/>
        </w:rPr>
        <w:t>40</w:t>
      </w:r>
      <w:r>
        <w:rPr>
          <w:lang w:eastAsia="ja-JP"/>
        </w:rPr>
        <w:t xml:space="preserve"> carotenoid concentrations suggest that the Lower Woodford and upper portions of the Middle Woodford members have isolated and persistent episodes of photic-zone euxinia (PZE) and oxygen minimum zones. These persistent PZE conditions suggest highly restricted anoxic depositional settings for organic matter</w:t>
      </w:r>
      <w:r w:rsidR="00C403D1">
        <w:rPr>
          <w:lang w:eastAsia="ja-JP"/>
        </w:rPr>
        <w:t xml:space="preserve"> preservation</w:t>
      </w:r>
      <w:r>
        <w:rPr>
          <w:lang w:eastAsia="ja-JP"/>
        </w:rPr>
        <w:t xml:space="preserve">. When combined with the structural and sedimentological interpretations, such as the present in the SR, the persistent PZE suggest the enclosed mini-basin fill settings (from 14ft to 210 ft of the outcrop stratigraphic section). </w:t>
      </w:r>
    </w:p>
    <w:p w14:paraId="59C34C3F" w14:textId="77777777" w:rsidR="00081C89" w:rsidRDefault="00081C89" w:rsidP="00081C89">
      <w:pPr>
        <w:pStyle w:val="ListParagraph"/>
        <w:numPr>
          <w:ilvl w:val="0"/>
          <w:numId w:val="26"/>
        </w:numPr>
        <w:spacing w:before="240" w:after="0" w:line="480" w:lineRule="auto"/>
        <w:rPr>
          <w:lang w:eastAsia="ja-JP"/>
        </w:rPr>
      </w:pPr>
      <w:r>
        <w:rPr>
          <w:lang w:eastAsia="ja-JP"/>
        </w:rPr>
        <w:t xml:space="preserve">For the uppermost Middle member and complete Upper Woodford member, the biomarker analyses have provided evidence for a potential mechanism for mass extinctions involving eutrophication of shallow marine settings. These eutrophication events are followed by increased bio-productivity, oxygen consumption and subsequent global euxinic oceanic conditions. </w:t>
      </w:r>
      <w:r w:rsidRPr="00B015CE">
        <w:rPr>
          <w:lang w:eastAsia="ja-JP"/>
        </w:rPr>
        <w:t xml:space="preserve">The start of the maximum flooding surface (MFS) in the SR defines that these mass extinction events occurred during the beginning of a highstand system tract (HST). The SR HST is an interval </w:t>
      </w:r>
      <w:r>
        <w:rPr>
          <w:lang w:eastAsia="ja-JP"/>
        </w:rPr>
        <w:t xml:space="preserve">of typical open marine deposits. </w:t>
      </w:r>
    </w:p>
    <w:p w14:paraId="3450EAC6" w14:textId="77777777" w:rsidR="00081C89" w:rsidRDefault="00081C89" w:rsidP="00081C89">
      <w:pPr>
        <w:pStyle w:val="ListParagraph"/>
        <w:numPr>
          <w:ilvl w:val="0"/>
          <w:numId w:val="26"/>
        </w:numPr>
        <w:spacing w:after="0" w:line="480" w:lineRule="auto"/>
        <w:rPr>
          <w:lang w:eastAsia="ja-JP"/>
        </w:rPr>
      </w:pPr>
      <w:r>
        <w:rPr>
          <w:lang w:eastAsia="ja-JP"/>
        </w:rPr>
        <w:t xml:space="preserve">The development of enclosed mini-basin fill settings in the Woodford Shale at the SR is critical for allowing the higher accumulation, restriction and preservation of organic matter. The higher total organic carbon (%TOC), higher hydrogen index (HI), and low oxygen index (OI) values in the Lower Woodford member and basal to middle parts of the Middle Woodford member indicate more preservation of the organic matter. Also, the regional bulk %TOC maps indicate that the SR has higher average %TOC values for the Woodford Shale. The SR has higher average %TOC on a regional scale when compared to other </w:t>
      </w:r>
      <w:r>
        <w:rPr>
          <w:lang w:eastAsia="ja-JP"/>
        </w:rPr>
        <w:lastRenderedPageBreak/>
        <w:t xml:space="preserve">Oklahoman petroleum provinces under similar Woodford Shale gross thickness and thermal maturity levels. </w:t>
      </w:r>
    </w:p>
    <w:p w14:paraId="1F4B7843" w14:textId="77777777" w:rsidR="00081C89" w:rsidRDefault="00081C89" w:rsidP="00081C89">
      <w:pPr>
        <w:pStyle w:val="ListParagraph"/>
        <w:numPr>
          <w:ilvl w:val="0"/>
          <w:numId w:val="26"/>
        </w:numPr>
        <w:spacing w:before="240" w:after="0" w:line="480" w:lineRule="auto"/>
        <w:rPr>
          <w:lang w:eastAsia="ja-JP"/>
        </w:rPr>
      </w:pPr>
      <w:r>
        <w:rPr>
          <w:lang w:eastAsia="ja-JP"/>
        </w:rPr>
        <w:t>The Lower, Middle, and Upper Woodford members present in the SR might geologically vary in the state of Oklahoma. A direct one-to-one detailed comparison of Woodford Shale members must be made when interpreting if the same enclosed mini-basin fill settings are present in other areas of Oklahoma. Commonly, the Woodford members are identified or labeled with the same nomenclature in all of the Oklahoma petroleum provinces. The Lower and Middle Woodford Shale members might be lithologically different and thinner, or not present, in other areas of Oklahoma.</w:t>
      </w:r>
    </w:p>
    <w:p w14:paraId="2D515D03" w14:textId="77777777" w:rsidR="00081C89" w:rsidRDefault="00081C89" w:rsidP="00081C89">
      <w:pPr>
        <w:pStyle w:val="ListParagraph"/>
        <w:numPr>
          <w:ilvl w:val="0"/>
          <w:numId w:val="26"/>
        </w:numPr>
        <w:spacing w:before="240" w:after="0" w:line="480" w:lineRule="auto"/>
        <w:rPr>
          <w:lang w:eastAsia="ja-JP"/>
        </w:rPr>
      </w:pPr>
      <w:r>
        <w:rPr>
          <w:lang w:eastAsia="ja-JP"/>
        </w:rPr>
        <w:t xml:space="preserve">The enrichment in the Upper Woodford member of organically related proxies U, Mo, V, are likely to relate to more open water circulation conditions. These upwelling deposits occur under typical open marine sediments, that captured these heavy elements via upwelling current supply and concentrated these elements principally in the phosphate concretions and chert-rich lithofacies. </w:t>
      </w:r>
    </w:p>
    <w:p w14:paraId="2569F82F" w14:textId="77777777" w:rsidR="00081C89" w:rsidRDefault="00081C89" w:rsidP="00081C89">
      <w:pPr>
        <w:pStyle w:val="ListParagraph"/>
        <w:spacing w:before="240" w:after="0" w:line="480" w:lineRule="auto"/>
        <w:rPr>
          <w:lang w:eastAsia="ja-JP"/>
        </w:rPr>
      </w:pPr>
    </w:p>
    <w:p w14:paraId="6D62F079" w14:textId="77777777" w:rsidR="00081C89" w:rsidRDefault="00081C89" w:rsidP="00081C89">
      <w:pPr>
        <w:pStyle w:val="ListParagraph"/>
        <w:spacing w:before="240" w:after="0" w:line="480" w:lineRule="auto"/>
        <w:rPr>
          <w:lang w:eastAsia="ja-JP"/>
        </w:rPr>
      </w:pPr>
    </w:p>
    <w:p w14:paraId="07B04427" w14:textId="77777777" w:rsidR="00081C89" w:rsidRDefault="00081C89" w:rsidP="00081C89">
      <w:pPr>
        <w:spacing w:before="240" w:after="0"/>
        <w:rPr>
          <w:lang w:eastAsia="ja-JP"/>
        </w:rPr>
      </w:pPr>
    </w:p>
    <w:p w14:paraId="103338C1" w14:textId="77777777" w:rsidR="00081C89" w:rsidRDefault="00081C89" w:rsidP="00081C89">
      <w:pPr>
        <w:spacing w:before="240" w:after="0"/>
        <w:rPr>
          <w:lang w:eastAsia="ja-JP"/>
        </w:rPr>
      </w:pPr>
    </w:p>
    <w:p w14:paraId="1814FA84" w14:textId="77777777" w:rsidR="00081C89" w:rsidRDefault="00081C89" w:rsidP="00081C89">
      <w:pPr>
        <w:spacing w:before="240" w:after="0"/>
        <w:rPr>
          <w:lang w:eastAsia="ja-JP"/>
        </w:rPr>
      </w:pPr>
    </w:p>
    <w:p w14:paraId="77DB487B" w14:textId="77777777" w:rsidR="00081C89" w:rsidRDefault="00081C89" w:rsidP="00081C89">
      <w:pPr>
        <w:spacing w:before="240" w:after="0"/>
        <w:rPr>
          <w:lang w:eastAsia="ja-JP"/>
        </w:rPr>
      </w:pPr>
    </w:p>
    <w:p w14:paraId="32788F2B" w14:textId="77777777" w:rsidR="00081C89" w:rsidRDefault="00081C89" w:rsidP="00081C89">
      <w:pPr>
        <w:pStyle w:val="Heading2"/>
        <w:numPr>
          <w:ilvl w:val="1"/>
          <w:numId w:val="24"/>
        </w:numPr>
        <w:spacing w:before="0" w:after="0"/>
      </w:pPr>
      <w:r>
        <w:lastRenderedPageBreak/>
        <w:t xml:space="preserve"> </w:t>
      </w:r>
      <w:bookmarkStart w:id="116" w:name="_Toc29304861"/>
      <w:bookmarkStart w:id="117" w:name="_Toc35861101"/>
      <w:r w:rsidRPr="006B1673">
        <w:t xml:space="preserve">The Woodford </w:t>
      </w:r>
      <w:r>
        <w:t>S</w:t>
      </w:r>
      <w:r w:rsidRPr="006B1673">
        <w:t xml:space="preserve">hale </w:t>
      </w:r>
      <w:r>
        <w:t>S</w:t>
      </w:r>
      <w:r w:rsidRPr="006B1673">
        <w:t xml:space="preserve">peake </w:t>
      </w:r>
      <w:r>
        <w:t>R</w:t>
      </w:r>
      <w:r w:rsidRPr="006B1673">
        <w:t xml:space="preserve">anch </w:t>
      </w:r>
      <w:r>
        <w:t>o</w:t>
      </w:r>
      <w:r w:rsidRPr="006B1673">
        <w:t>utcrop location</w:t>
      </w:r>
      <w:bookmarkEnd w:id="114"/>
      <w:bookmarkEnd w:id="116"/>
      <w:bookmarkEnd w:id="117"/>
    </w:p>
    <w:p w14:paraId="56194175" w14:textId="77777777" w:rsidR="00081C89" w:rsidRPr="00061C49" w:rsidRDefault="00081C89" w:rsidP="00081C89">
      <w:pPr>
        <w:ind w:firstLine="360"/>
      </w:pPr>
      <w:r>
        <w:rPr>
          <w:i/>
          <w:iCs/>
        </w:rPr>
        <w:t xml:space="preserve"> </w:t>
      </w:r>
      <w:r>
        <w:t xml:space="preserve">The SR is located </w:t>
      </w:r>
      <w:r w:rsidRPr="00061C49">
        <w:t xml:space="preserve">along the southern flank of the Arbuckle Mountains in the </w:t>
      </w:r>
      <w:r>
        <w:t>s</w:t>
      </w:r>
      <w:r w:rsidRPr="00061C49">
        <w:t xml:space="preserve">outh of Oklahoma, USA (Figure 3.1).  It covers portions of Carter and Murray </w:t>
      </w:r>
      <w:r>
        <w:t>C</w:t>
      </w:r>
      <w:r w:rsidRPr="00061C49">
        <w:t xml:space="preserve">ounties in south-central Oklahoma and correlates with the subsurface Woodford present in the </w:t>
      </w:r>
      <w:r>
        <w:t>s</w:t>
      </w:r>
      <w:r w:rsidRPr="00061C49">
        <w:t>outh</w:t>
      </w:r>
      <w:r>
        <w:t>ern</w:t>
      </w:r>
      <w:r w:rsidRPr="00061C49">
        <w:t xml:space="preserve"> parts of the SCOOP region (Figure </w:t>
      </w:r>
      <w:r>
        <w:t>3.</w:t>
      </w:r>
      <w:r w:rsidRPr="00061C49">
        <w:t>1), where the unconventional resource drilling activity is focused on economic</w:t>
      </w:r>
      <w:r>
        <w:t xml:space="preserve"> </w:t>
      </w:r>
      <w:r w:rsidRPr="00061C49">
        <w:t xml:space="preserve">Woodford </w:t>
      </w:r>
      <w:r>
        <w:t>hydrocarbon p</w:t>
      </w:r>
      <w:r w:rsidRPr="00061C49">
        <w:t>roduction</w:t>
      </w:r>
      <w:r>
        <w:t xml:space="preserve"> and Mississippian reservoirs sourced from the Woodford Shale</w:t>
      </w:r>
      <w:r w:rsidRPr="00061C49">
        <w:t xml:space="preserve">.  </w:t>
      </w:r>
    </w:p>
    <w:p w14:paraId="21F1015E" w14:textId="77777777" w:rsidR="00081C89" w:rsidRDefault="00081C89" w:rsidP="00081C89">
      <w:pPr>
        <w:ind w:firstLine="360"/>
      </w:pPr>
      <w:r w:rsidRPr="00061C49">
        <w:t xml:space="preserve">The </w:t>
      </w:r>
      <w:r>
        <w:t>s</w:t>
      </w:r>
      <w:r w:rsidRPr="00061C49">
        <w:t xml:space="preserve">urface </w:t>
      </w:r>
      <w:r>
        <w:t xml:space="preserve">geology </w:t>
      </w:r>
      <w:r w:rsidRPr="00061C49">
        <w:t xml:space="preserve">mapping of the area reveals a nearly east-west outcrop trend, where the Woodford Shale </w:t>
      </w:r>
      <w:r>
        <w:t>outcrops</w:t>
      </w:r>
      <w:r w:rsidRPr="00061C49">
        <w:t xml:space="preserve"> through roadcuts, creeks, and quarries (Kirkland et al., 1992).  Within this structural trend, some of the most visited Woodford Shale exposures occur along the southbound side of Interstate 35 (</w:t>
      </w:r>
      <w:r>
        <w:t xml:space="preserve">Johnson et al. 1989; </w:t>
      </w:r>
      <w:r w:rsidRPr="00061C49">
        <w:t>Bo</w:t>
      </w:r>
      <w:r>
        <w:t>n</w:t>
      </w:r>
      <w:r w:rsidRPr="00061C49">
        <w:t xml:space="preserve">tempi, 2015; </w:t>
      </w:r>
      <w:r>
        <w:t xml:space="preserve">Galvis et al., 2016; </w:t>
      </w:r>
      <w:r w:rsidRPr="00061C49">
        <w:t xml:space="preserve">Becerra-Rondon, 2017; </w:t>
      </w:r>
      <w:r>
        <w:t xml:space="preserve">Ghosh, 2017; </w:t>
      </w:r>
      <w:r w:rsidRPr="00061C49">
        <w:t>Jones, 2017;</w:t>
      </w:r>
      <w:r>
        <w:t xml:space="preserve"> Milad and Slatt, 2018; Milad, 2019;</w:t>
      </w:r>
      <w:r w:rsidRPr="00061C49">
        <w:t xml:space="preserve"> Figure 3.1)</w:t>
      </w:r>
      <w:r>
        <w:t>, including Henry House F</w:t>
      </w:r>
      <w:r w:rsidRPr="00061C49">
        <w:t>alls quarry and</w:t>
      </w:r>
      <w:r>
        <w:t xml:space="preserve"> the</w:t>
      </w:r>
      <w:r w:rsidRPr="00061C49">
        <w:t xml:space="preserve"> </w:t>
      </w:r>
      <w:r>
        <w:t>Arbuckle anticline (</w:t>
      </w:r>
      <w:r w:rsidRPr="00061C49">
        <w:t>OHMEGCO</w:t>
      </w:r>
      <w:r>
        <w:t>)</w:t>
      </w:r>
      <w:r w:rsidRPr="00061C49">
        <w:t xml:space="preserve"> quarry (</w:t>
      </w:r>
      <w:r>
        <w:t xml:space="preserve">Turner and Slatt, 2016; </w:t>
      </w:r>
      <w:r w:rsidRPr="00061C49">
        <w:t xml:space="preserve">Galvis, 2017; </w:t>
      </w:r>
      <w:r>
        <w:t xml:space="preserve">Brito 2019; </w:t>
      </w:r>
      <w:r w:rsidRPr="00061C49">
        <w:t xml:space="preserve">Figure 3.1).  </w:t>
      </w:r>
      <w:r>
        <w:t>According to Johnson et al. (1972), Johnson and Cardott (1992), Johnson (2008); Paxton et al. (2015) and Slatt (2016), most</w:t>
      </w:r>
      <w:r w:rsidRPr="00061C49">
        <w:t xml:space="preserve"> of the outcrops that are exposed in the Arbuckle Mountains of Oklahoma are useful for recognizing the unique characteristics of the Woodford Shale</w:t>
      </w:r>
      <w:r>
        <w:t>, because all of these locations, as well as the McAlester Cemetery quarry (Ekwunife, 2017),  present the complete stratigraphic intervals of the formation and have a dipping exposure that allows walking along the vertical stratigraphic sections (Figure 3.1)</w:t>
      </w:r>
      <w:r w:rsidRPr="00061C49">
        <w:t xml:space="preserve">. </w:t>
      </w:r>
    </w:p>
    <w:p w14:paraId="35CE4126" w14:textId="77777777" w:rsidR="00081C89" w:rsidRDefault="00081C89" w:rsidP="00081C89">
      <w:pPr>
        <w:spacing w:after="0"/>
        <w:jc w:val="center"/>
        <w:sectPr w:rsidR="00081C89" w:rsidSect="00F70C22">
          <w:footerReference w:type="default" r:id="rId54"/>
          <w:pgSz w:w="12240" w:h="15840"/>
          <w:pgMar w:top="1440" w:right="1440" w:bottom="1440" w:left="1440" w:header="720" w:footer="720" w:gutter="0"/>
          <w:cols w:space="720"/>
          <w:docGrid w:linePitch="360"/>
        </w:sectPr>
      </w:pPr>
    </w:p>
    <w:p w14:paraId="44A62C04" w14:textId="77777777" w:rsidR="00081C89" w:rsidRPr="009C3465" w:rsidRDefault="00081C89" w:rsidP="00081C89">
      <w:pPr>
        <w:spacing w:after="0" w:line="276" w:lineRule="auto"/>
        <w:jc w:val="center"/>
      </w:pPr>
      <w:r>
        <w:rPr>
          <w:noProof/>
        </w:rPr>
        <w:lastRenderedPageBreak/>
        <w:drawing>
          <wp:inline distT="0" distB="0" distL="0" distR="0" wp14:anchorId="48486954" wp14:editId="1CFD86AC">
            <wp:extent cx="5657850" cy="474916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57850" cy="4749165"/>
                    </a:xfrm>
                    <a:prstGeom prst="rect">
                      <a:avLst/>
                    </a:prstGeom>
                    <a:noFill/>
                  </pic:spPr>
                </pic:pic>
              </a:graphicData>
            </a:graphic>
          </wp:inline>
        </w:drawing>
      </w:r>
    </w:p>
    <w:p w14:paraId="35F36DCB" w14:textId="77777777" w:rsidR="00081C89" w:rsidRPr="000F3FAD" w:rsidRDefault="00081C89" w:rsidP="00081C89">
      <w:pPr>
        <w:pStyle w:val="Caption"/>
      </w:pPr>
      <w:bookmarkStart w:id="118" w:name="_Toc29308136"/>
      <w:bookmarkStart w:id="119" w:name="_Toc35861188"/>
      <w:r w:rsidRPr="009C3465">
        <w:rPr>
          <w:b/>
        </w:rPr>
        <w:t>Figure 3.1.</w:t>
      </w:r>
      <w:r w:rsidRPr="009C3465">
        <w:t xml:space="preserve"> Location of the study area, images courtesy from Galvis (2017), and </w:t>
      </w:r>
      <w:r>
        <w:t>m</w:t>
      </w:r>
      <w:r w:rsidRPr="009C3465">
        <w:t>odified from Galvis et al. (2017</w:t>
      </w:r>
      <w:r>
        <w:t>a</w:t>
      </w:r>
      <w:r w:rsidRPr="009C3465">
        <w:t>).  Upper left: Geological provinces of Oklahoma highlighting a portion of south-central Oklahoma and the Arbuckle Mountains (Cardott, 2012 in Galvis, 2017).  Middle: Location of Woodford Shale outcrops along the nearly E-W outcrop belt. The Speake Ranch quarry is the westernmost outcrop of this belt in the Arbuckle Mountains.  Lower: Aerial view of Speake Ranch quarry across the complete Woodford section. The bedding strike is about N47-55°W</w:t>
      </w:r>
      <w:r>
        <w:t xml:space="preserve"> and</w:t>
      </w:r>
      <w:r w:rsidRPr="009C3465">
        <w:t xml:space="preserve"> dip</w:t>
      </w:r>
      <w:r>
        <w:t>s</w:t>
      </w:r>
      <w:r w:rsidRPr="009C3465">
        <w:t xml:space="preserve"> around 20°SW.</w:t>
      </w:r>
      <w:r>
        <w:t xml:space="preserve"> </w:t>
      </w:r>
      <w:r w:rsidRPr="000F3FAD">
        <w:t>Images courtesy of Galvis in Galvis (2017), and Galvis et al. (2017a).</w:t>
      </w:r>
      <w:bookmarkEnd w:id="118"/>
      <w:bookmarkEnd w:id="119"/>
    </w:p>
    <w:p w14:paraId="56C7E481" w14:textId="77777777" w:rsidR="00081C89" w:rsidRDefault="00081C89" w:rsidP="00081C89">
      <w:pPr>
        <w:ind w:firstLine="360"/>
        <w:sectPr w:rsidR="00081C89" w:rsidSect="0095456D">
          <w:pgSz w:w="15840" w:h="12240" w:orient="landscape"/>
          <w:pgMar w:top="1440" w:right="1440" w:bottom="1440" w:left="1440" w:header="720" w:footer="720" w:gutter="0"/>
          <w:cols w:space="720"/>
          <w:docGrid w:linePitch="360"/>
        </w:sectPr>
      </w:pPr>
    </w:p>
    <w:p w14:paraId="4D9607F2" w14:textId="77777777" w:rsidR="00081C89" w:rsidRDefault="00081C89" w:rsidP="00081C89">
      <w:pPr>
        <w:ind w:firstLine="360"/>
      </w:pPr>
      <w:r w:rsidRPr="00061C49">
        <w:lastRenderedPageBreak/>
        <w:t xml:space="preserve">The Speake Ranch was selected as the best outcrop characterized by the OU Institute of Reservoir Characterization (IRC) </w:t>
      </w:r>
      <w:r>
        <w:t xml:space="preserve">by Slatt (2016), Becerra-Rondon (2017) and Galvis (2017), </w:t>
      </w:r>
      <w:r w:rsidRPr="00061C49">
        <w:t>because this presents a complete Woodford</w:t>
      </w:r>
      <w:r>
        <w:t xml:space="preserve"> Shale</w:t>
      </w:r>
      <w:r w:rsidRPr="00061C49">
        <w:t xml:space="preserve"> section in this region</w:t>
      </w:r>
      <w:r>
        <w:t xml:space="preserve">, </w:t>
      </w:r>
      <w:r w:rsidRPr="000E2BF9">
        <w:t>a</w:t>
      </w:r>
      <w:r>
        <w:t>nd has a vast</w:t>
      </w:r>
      <w:r w:rsidRPr="000E2BF9">
        <w:t xml:space="preserve"> lateral extent of the </w:t>
      </w:r>
      <w:r>
        <w:t xml:space="preserve">rock </w:t>
      </w:r>
      <w:r w:rsidRPr="000E2BF9">
        <w:t>exposure, allowing observation of lateral bed and fault attributes</w:t>
      </w:r>
      <w:r>
        <w:t xml:space="preserve"> (</w:t>
      </w:r>
      <w:r w:rsidRPr="00E5534B">
        <w:t>Figure 3.</w:t>
      </w:r>
      <w:r>
        <w:t>2</w:t>
      </w:r>
      <w:r w:rsidRPr="00E5534B">
        <w:t>)</w:t>
      </w:r>
      <w:r>
        <w:t xml:space="preserve">. This outcrop </w:t>
      </w:r>
      <w:r w:rsidRPr="00061C49">
        <w:t>is located in a private quarry under the name ‘Speake Creed Ranch,’ with geographic coordinates SE ¼ Section 18, Township 2S, Range 1W</w:t>
      </w:r>
      <w:r>
        <w:t>.</w:t>
      </w:r>
    </w:p>
    <w:p w14:paraId="0FBBBC03" w14:textId="77777777" w:rsidR="00081C89" w:rsidRDefault="00081C89" w:rsidP="00081C89">
      <w:pPr>
        <w:ind w:firstLine="360"/>
      </w:pPr>
      <w:r w:rsidRPr="00061C49">
        <w:t xml:space="preserve">The geological and </w:t>
      </w:r>
      <w:r>
        <w:t>s</w:t>
      </w:r>
      <w:r w:rsidRPr="00061C49">
        <w:t xml:space="preserve">edimentological </w:t>
      </w:r>
      <w:r>
        <w:t>c</w:t>
      </w:r>
      <w:r w:rsidRPr="00061C49">
        <w:t xml:space="preserve">haracterization of </w:t>
      </w:r>
      <w:r>
        <w:t>th</w:t>
      </w:r>
      <w:r w:rsidRPr="00061C49">
        <w:t xml:space="preserve">e Woodford </w:t>
      </w:r>
      <w:r>
        <w:t>S</w:t>
      </w:r>
      <w:r w:rsidRPr="00061C49">
        <w:t xml:space="preserve">hale in the </w:t>
      </w:r>
      <w:r>
        <w:t>SR</w:t>
      </w:r>
      <w:r w:rsidRPr="00061C49">
        <w:t xml:space="preserve"> was performed by Becerra-R</w:t>
      </w:r>
      <w:r>
        <w:t>o</w:t>
      </w:r>
      <w:r w:rsidRPr="00061C49">
        <w:t>ndon (2017)</w:t>
      </w:r>
      <w:r>
        <w:t>,</w:t>
      </w:r>
      <w:r w:rsidRPr="00061C49">
        <w:t xml:space="preserve"> Galvis (2017)</w:t>
      </w:r>
      <w:r>
        <w:t>, and Galvis et al. (2017a and 2017b)</w:t>
      </w:r>
      <w:r w:rsidRPr="00061C49">
        <w:t xml:space="preserve">. The geochemical characterization is complemented in this </w:t>
      </w:r>
      <w:r>
        <w:t xml:space="preserve">present </w:t>
      </w:r>
      <w:r w:rsidRPr="00061C49">
        <w:t>study, focusing on the integration of the previous work with new key selected biomarker analys</w:t>
      </w:r>
      <w:r>
        <w:t>e</w:t>
      </w:r>
      <w:r w:rsidRPr="00061C49">
        <w:t>s</w:t>
      </w:r>
      <w:r>
        <w:t>. The integration with previous studies is crucial</w:t>
      </w:r>
      <w:r w:rsidRPr="00061C49">
        <w:t xml:space="preserve"> for recognizing the origin and variations of the organic facies through the</w:t>
      </w:r>
      <w:r>
        <w:t xml:space="preserve"> vertical</w:t>
      </w:r>
      <w:r w:rsidRPr="00061C49">
        <w:t xml:space="preserve"> stratigraphic column and </w:t>
      </w:r>
      <w:r>
        <w:t>their</w:t>
      </w:r>
      <w:r w:rsidRPr="00061C49">
        <w:t xml:space="preserve"> relationship with the lithofacies, paleo-water conditions</w:t>
      </w:r>
      <w:r>
        <w:t>,</w:t>
      </w:r>
      <w:r w:rsidRPr="00061C49">
        <w:t xml:space="preserve"> and regional depositional models that correlate with the present-day subsurface Woodford Shale</w:t>
      </w:r>
      <w:r>
        <w:t xml:space="preserve"> reservoir conditions. This multi-scale data integration is crucial for understanding how the organic matter variations are from enclosed mini-basin fills in the basal Woodford towards a more open marine system in the Upper sections of the Woodford Shale</w:t>
      </w:r>
      <w:r w:rsidRPr="00061C49">
        <w:t xml:space="preserve">. </w:t>
      </w:r>
    </w:p>
    <w:p w14:paraId="3028848D" w14:textId="77777777" w:rsidR="00081C89" w:rsidRPr="00061C49" w:rsidRDefault="00081C89" w:rsidP="00081C89">
      <w:pPr>
        <w:ind w:firstLine="360"/>
      </w:pPr>
      <w:r w:rsidRPr="00061C49">
        <w:t xml:space="preserve">The </w:t>
      </w:r>
      <w:r>
        <w:t>SR</w:t>
      </w:r>
      <w:r w:rsidRPr="00061C49">
        <w:t xml:space="preserve"> total vertical stratigraphic exposure is approximately 355 ft thick, comprising the entire </w:t>
      </w:r>
      <w:r>
        <w:t>L</w:t>
      </w:r>
      <w:r w:rsidRPr="00061C49">
        <w:t xml:space="preserve">ower, </w:t>
      </w:r>
      <w:r>
        <w:t>M</w:t>
      </w:r>
      <w:r w:rsidRPr="00061C49">
        <w:t xml:space="preserve">iddle and </w:t>
      </w:r>
      <w:r>
        <w:t>U</w:t>
      </w:r>
      <w:r w:rsidRPr="00061C49">
        <w:t xml:space="preserve">pper members of the Woodford Shale (~314 ft), the uppermost portion of the underlying Hunton </w:t>
      </w:r>
      <w:r>
        <w:t>G</w:t>
      </w:r>
      <w:r w:rsidRPr="00061C49">
        <w:t>roup (28 ft</w:t>
      </w:r>
      <w:r>
        <w:t>; including the unconformity surface</w:t>
      </w:r>
      <w:r w:rsidRPr="00061C49">
        <w:t xml:space="preserve">) and the lowermost parts of the overlying Sycamore </w:t>
      </w:r>
      <w:r>
        <w:t>l</w:t>
      </w:r>
      <w:r w:rsidRPr="00061C49">
        <w:t xml:space="preserve">imestone (25 ft).  Thus, it offers a unique and complete Woodford </w:t>
      </w:r>
      <w:r>
        <w:t>S</w:t>
      </w:r>
      <w:r w:rsidRPr="00061C49">
        <w:t xml:space="preserve">hale section that preserves the stratigraphic relations with its units </w:t>
      </w:r>
      <w:r>
        <w:t xml:space="preserve">in the stratigraphic base and top, which allows understanding the transition of the poor organic matter content of pre-Woodford and post-Woodford Shale strata </w:t>
      </w:r>
      <w:r w:rsidRPr="00061C49">
        <w:t>(Figure 3.</w:t>
      </w:r>
      <w:r>
        <w:t>2</w:t>
      </w:r>
      <w:r w:rsidRPr="00061C49">
        <w:t>).</w:t>
      </w:r>
    </w:p>
    <w:p w14:paraId="1D71D750" w14:textId="77777777" w:rsidR="00081C89" w:rsidRDefault="00081C89" w:rsidP="00081C89">
      <w:pPr>
        <w:spacing w:after="0" w:line="276" w:lineRule="auto"/>
        <w:jc w:val="center"/>
      </w:pPr>
      <w:r>
        <w:rPr>
          <w:noProof/>
        </w:rPr>
        <w:lastRenderedPageBreak/>
        <w:drawing>
          <wp:inline distT="0" distB="0" distL="0" distR="0" wp14:anchorId="45242F14" wp14:editId="182EEDC1">
            <wp:extent cx="5706110" cy="5742940"/>
            <wp:effectExtent l="0" t="0" r="889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06110" cy="5742940"/>
                    </a:xfrm>
                    <a:prstGeom prst="rect">
                      <a:avLst/>
                    </a:prstGeom>
                    <a:noFill/>
                  </pic:spPr>
                </pic:pic>
              </a:graphicData>
            </a:graphic>
          </wp:inline>
        </w:drawing>
      </w:r>
    </w:p>
    <w:p w14:paraId="335DD37B" w14:textId="77777777" w:rsidR="00081C89" w:rsidRPr="000F3FAD" w:rsidRDefault="00081C89" w:rsidP="00081C89">
      <w:pPr>
        <w:pStyle w:val="Caption"/>
      </w:pPr>
      <w:bookmarkStart w:id="120" w:name="_Toc29308137"/>
      <w:bookmarkStart w:id="121" w:name="_Toc35861189"/>
      <w:r>
        <w:rPr>
          <w:b/>
        </w:rPr>
        <w:t xml:space="preserve">Figure 3.2. </w:t>
      </w:r>
      <w:r w:rsidRPr="00C4000A">
        <w:t>W</w:t>
      </w:r>
      <w:r w:rsidRPr="00CC20FB">
        <w:t>eathering response of the Woodford Shale of south-central Oklahoma</w:t>
      </w:r>
      <w:r>
        <w:t xml:space="preserve"> described by Galvis et al. (2017a)</w:t>
      </w:r>
      <w:r w:rsidRPr="00CC20FB">
        <w:t>.  Upper left:  aerial view of Speake Ranch outcrop quarry outlining the Woodford formational contacts with its underlying Hunton Group and overlying Pre-Sycamore limestone. Upper right and lower</w:t>
      </w:r>
      <w:r>
        <w:t xml:space="preserve"> images</w:t>
      </w:r>
      <w:r w:rsidRPr="00CC20FB">
        <w:t>: schematic weathering profiles</w:t>
      </w:r>
      <w:r>
        <w:t xml:space="preserve"> made by Galvis (2017),</w:t>
      </w:r>
      <w:r w:rsidRPr="00CC20FB">
        <w:t xml:space="preserve"> highlighting large-scale variations in the resistance of the Woodford Shale strata; the </w:t>
      </w:r>
      <w:r>
        <w:t>L</w:t>
      </w:r>
      <w:r w:rsidRPr="00CC20FB">
        <w:t xml:space="preserve">ower Woodford and </w:t>
      </w:r>
      <w:r>
        <w:t>M</w:t>
      </w:r>
      <w:r w:rsidRPr="00CC20FB">
        <w:t xml:space="preserve">iddle Woodford members are less resistant when compared with the </w:t>
      </w:r>
      <w:r>
        <w:t>U</w:t>
      </w:r>
      <w:r w:rsidRPr="00CC20FB">
        <w:t>pper Woodford member, which is more competent and usually develops</w:t>
      </w:r>
      <w:r>
        <w:t xml:space="preserve"> creeks </w:t>
      </w:r>
      <w:r w:rsidRPr="00CC20FB">
        <w:t>on outcrops</w:t>
      </w:r>
      <w:r w:rsidRPr="00234C6E">
        <w:t xml:space="preserve">. </w:t>
      </w:r>
      <w:r w:rsidRPr="000F3FAD">
        <w:t>Images courtesy of Galvis in Galvis (2017), and Galvis et al. (2017a).</w:t>
      </w:r>
      <w:bookmarkEnd w:id="120"/>
      <w:bookmarkEnd w:id="121"/>
    </w:p>
    <w:p w14:paraId="3186F119" w14:textId="77777777" w:rsidR="00081C89" w:rsidRPr="00F32958" w:rsidRDefault="00081C89" w:rsidP="00081C89">
      <w:pPr>
        <w:rPr>
          <w:lang w:bidi="en-US"/>
        </w:rPr>
      </w:pPr>
    </w:p>
    <w:p w14:paraId="20DC16A3" w14:textId="77777777" w:rsidR="00081C89" w:rsidRPr="009C3465" w:rsidRDefault="00081C89" w:rsidP="00081C89">
      <w:pPr>
        <w:pStyle w:val="Heading2"/>
        <w:numPr>
          <w:ilvl w:val="1"/>
          <w:numId w:val="10"/>
        </w:numPr>
      </w:pPr>
      <w:bookmarkStart w:id="122" w:name="_Toc25833546"/>
      <w:bookmarkStart w:id="123" w:name="_Toc29304862"/>
      <w:bookmarkStart w:id="124" w:name="_Toc35861102"/>
      <w:r w:rsidRPr="005D5AB0">
        <w:lastRenderedPageBreak/>
        <w:t xml:space="preserve">The Woodford </w:t>
      </w:r>
      <w:r>
        <w:t>S</w:t>
      </w:r>
      <w:r w:rsidRPr="005D5AB0">
        <w:t xml:space="preserve">hale </w:t>
      </w:r>
      <w:r>
        <w:t>g</w:t>
      </w:r>
      <w:r w:rsidRPr="005D5AB0">
        <w:t>eological characteristics in the outcrop</w:t>
      </w:r>
      <w:bookmarkEnd w:id="122"/>
      <w:bookmarkEnd w:id="123"/>
      <w:bookmarkEnd w:id="124"/>
    </w:p>
    <w:p w14:paraId="365D3ACA" w14:textId="77777777" w:rsidR="00081C89" w:rsidRPr="00203D19" w:rsidRDefault="00081C89" w:rsidP="00081C89">
      <w:pPr>
        <w:ind w:firstLine="720"/>
      </w:pPr>
      <w:r w:rsidRPr="005D5AB0">
        <w:t xml:space="preserve">For presenting the characterization of the Woodford Shale in this region of Oklahoma, this document refers to the most accepted </w:t>
      </w:r>
      <w:r>
        <w:t>f</w:t>
      </w:r>
      <w:r w:rsidRPr="005D5AB0">
        <w:t xml:space="preserve">ormation subdivision into the </w:t>
      </w:r>
      <w:r>
        <w:t>L</w:t>
      </w:r>
      <w:r w:rsidRPr="005D5AB0">
        <w:t xml:space="preserve">ower, </w:t>
      </w:r>
      <w:r>
        <w:t>M</w:t>
      </w:r>
      <w:r w:rsidRPr="005D5AB0">
        <w:t xml:space="preserve">iddle, and </w:t>
      </w:r>
      <w:r>
        <w:t>U</w:t>
      </w:r>
      <w:r w:rsidRPr="005D5AB0">
        <w:t>pper members, as initially adopted by Sullivan (1985), Hester et al. (</w:t>
      </w:r>
      <w:r>
        <w:t xml:space="preserve">1988 and </w:t>
      </w:r>
      <w:r w:rsidRPr="005D5AB0">
        <w:t xml:space="preserve">1990), and Lambert (1993). </w:t>
      </w:r>
      <w:r>
        <w:t xml:space="preserve">This terminology can be </w:t>
      </w:r>
      <w:r w:rsidRPr="005D5AB0">
        <w:t xml:space="preserve">counterproductive in terms of time-rock stratigraphy as correctly discussed by Turner </w:t>
      </w:r>
      <w:r>
        <w:t xml:space="preserve">et al. </w:t>
      </w:r>
      <w:r w:rsidRPr="005D5AB0">
        <w:t>(201</w:t>
      </w:r>
      <w:r>
        <w:t>5</w:t>
      </w:r>
      <w:r w:rsidRPr="005D5AB0">
        <w:t xml:space="preserve">), Becerra-Rondon (2017) and Galvis </w:t>
      </w:r>
      <w:r>
        <w:t xml:space="preserve">et al. </w:t>
      </w:r>
      <w:r w:rsidRPr="005D5AB0">
        <w:t>(2017</w:t>
      </w:r>
      <w:r>
        <w:t>a and 2017b</w:t>
      </w:r>
      <w:r w:rsidRPr="005D5AB0">
        <w:t xml:space="preserve">), </w:t>
      </w:r>
      <w:r>
        <w:t xml:space="preserve">but </w:t>
      </w:r>
      <w:r w:rsidRPr="005D5AB0">
        <w:t xml:space="preserve">this informal subdivision has demonstrated consistency among industry and academia, finding it useful for communication </w:t>
      </w:r>
      <w:r>
        <w:t xml:space="preserve">and reference of the main internal Woodford subdivisions as also reported in other Woodford Shale literature by </w:t>
      </w:r>
      <w:r w:rsidRPr="00CC568F">
        <w:t xml:space="preserve">Portas (2009), </w:t>
      </w:r>
      <w:r w:rsidRPr="009603A4">
        <w:t xml:space="preserve">Miceli-Romero (2010), </w:t>
      </w:r>
      <w:r w:rsidRPr="005D5AB0">
        <w:t>Badra</w:t>
      </w:r>
      <w:r>
        <w:t xml:space="preserve"> (2</w:t>
      </w:r>
      <w:r w:rsidRPr="005D5AB0">
        <w:t>011</w:t>
      </w:r>
      <w:r>
        <w:t xml:space="preserve">), </w:t>
      </w:r>
      <w:r w:rsidRPr="00CC568F">
        <w:t>Kilian (2011), Sierra-</w:t>
      </w:r>
      <w:r>
        <w:t>Perez</w:t>
      </w:r>
      <w:r w:rsidRPr="00CC568F">
        <w:t xml:space="preserve"> (2011), </w:t>
      </w:r>
      <w:r w:rsidRPr="005D5AB0">
        <w:t>Totten</w:t>
      </w:r>
      <w:r>
        <w:t xml:space="preserve"> (</w:t>
      </w:r>
      <w:r w:rsidRPr="005D5AB0">
        <w:t>2011</w:t>
      </w:r>
      <w:r>
        <w:t>),</w:t>
      </w:r>
      <w:r w:rsidRPr="005D5AB0">
        <w:t xml:space="preserve"> Althoff</w:t>
      </w:r>
      <w:r>
        <w:t xml:space="preserve"> (</w:t>
      </w:r>
      <w:r w:rsidRPr="005D5AB0">
        <w:t>2012</w:t>
      </w:r>
      <w:r>
        <w:t>),</w:t>
      </w:r>
      <w:r w:rsidRPr="005D5AB0">
        <w:t xml:space="preserve"> Amorocho</w:t>
      </w:r>
      <w:r>
        <w:t xml:space="preserve"> (</w:t>
      </w:r>
      <w:r w:rsidRPr="005D5AB0">
        <w:t>2012</w:t>
      </w:r>
      <w:r>
        <w:t>),</w:t>
      </w:r>
      <w:r w:rsidRPr="005D5AB0">
        <w:t xml:space="preserve"> Cardott</w:t>
      </w:r>
      <w:r>
        <w:t xml:space="preserve"> (</w:t>
      </w:r>
      <w:r w:rsidRPr="005D5AB0">
        <w:t>2012</w:t>
      </w:r>
      <w:r>
        <w:t xml:space="preserve"> and 2014),</w:t>
      </w:r>
      <w:r w:rsidRPr="005D5AB0">
        <w:t xml:space="preserve"> Chain</w:t>
      </w:r>
      <w:r>
        <w:t xml:space="preserve"> (</w:t>
      </w:r>
      <w:r w:rsidRPr="005D5AB0">
        <w:t>2012</w:t>
      </w:r>
      <w:r>
        <w:t xml:space="preserve">), </w:t>
      </w:r>
      <w:r w:rsidRPr="00CE64D7">
        <w:t>Gupta (201</w:t>
      </w:r>
      <w:r>
        <w:t>2</w:t>
      </w:r>
      <w:r w:rsidRPr="00CE64D7">
        <w:t xml:space="preserve">),  </w:t>
      </w:r>
      <w:r>
        <w:t xml:space="preserve">Miceli-Romero and Philp (2012), </w:t>
      </w:r>
      <w:r w:rsidRPr="009603A4">
        <w:t xml:space="preserve">Slatt et al. </w:t>
      </w:r>
      <w:r w:rsidRPr="00CE64D7">
        <w:t>(2012), Castillo (2013), Molinares (2013, 2019), Serna-Bernal (2013), Cardona</w:t>
      </w:r>
      <w:r>
        <w:t>-Valencia</w:t>
      </w:r>
      <w:r w:rsidRPr="00CE64D7">
        <w:t xml:space="preserve"> (2014), McCullough (2014), McCullough </w:t>
      </w:r>
      <w:r>
        <w:t xml:space="preserve">and Slatt </w:t>
      </w:r>
      <w:r w:rsidRPr="00CE64D7">
        <w:t>(2014), Ali (2015), Bontempi (2015), Connock (2015), DeGarmo (2015), Infante-Paez</w:t>
      </w:r>
      <w:r>
        <w:t xml:space="preserve"> et al.</w:t>
      </w:r>
      <w:r w:rsidRPr="00CE64D7">
        <w:t xml:space="preserve"> (201</w:t>
      </w:r>
      <w:r>
        <w:t>6</w:t>
      </w:r>
      <w:r w:rsidRPr="00CE64D7">
        <w:t xml:space="preserve">), </w:t>
      </w:r>
      <w:r>
        <w:t>Maynard</w:t>
      </w:r>
      <w:r w:rsidRPr="00CE64D7">
        <w:t xml:space="preserve"> (2016), Turner (2016), Villalba (2016), Wang (2016), </w:t>
      </w:r>
      <w:r w:rsidRPr="009603A4">
        <w:t>Zhang (201</w:t>
      </w:r>
      <w:r>
        <w:t>6</w:t>
      </w:r>
      <w:r w:rsidRPr="009603A4">
        <w:t>,</w:t>
      </w:r>
      <w:r>
        <w:t xml:space="preserve"> and 2019</w:t>
      </w:r>
      <w:r w:rsidRPr="009603A4">
        <w:t>)</w:t>
      </w:r>
      <w:r>
        <w:t xml:space="preserve">, </w:t>
      </w:r>
      <w:r w:rsidRPr="00CE64D7">
        <w:t xml:space="preserve">Becerra-Rondon (2017), Galvis (2017), Galvis et al. </w:t>
      </w:r>
      <w:r w:rsidRPr="00203D19">
        <w:t>(2017</w:t>
      </w:r>
      <w:r>
        <w:t>a and 2017b</w:t>
      </w:r>
      <w:r w:rsidRPr="00203D19">
        <w:t>), Ghosh (2017), Jones (2017), Connock et al. (2018), Liborius-Parada et al. (2017), Brito (2019),</w:t>
      </w:r>
      <w:r>
        <w:t xml:space="preserve"> M</w:t>
      </w:r>
      <w:r w:rsidRPr="00203D19">
        <w:t>ilad (2019)</w:t>
      </w:r>
      <w:r>
        <w:t>, Zhang and Slatt (2019), and Philp and DeGarmo (2020).</w:t>
      </w:r>
    </w:p>
    <w:p w14:paraId="31A52D7A" w14:textId="77777777" w:rsidR="00081C89" w:rsidRDefault="00081C89" w:rsidP="00081C89">
      <w:pPr>
        <w:ind w:firstLine="720"/>
      </w:pPr>
      <w:r w:rsidRPr="005D5AB0">
        <w:t xml:space="preserve">As an outstanding characteristic, the Woodford Shale at the </w:t>
      </w:r>
      <w:r>
        <w:t>SR</w:t>
      </w:r>
      <w:r w:rsidRPr="005D5AB0">
        <w:t xml:space="preserve"> outcrop exhibits</w:t>
      </w:r>
      <w:r>
        <w:t xml:space="preserve"> unique visible</w:t>
      </w:r>
      <w:r w:rsidRPr="005D5AB0">
        <w:t xml:space="preserve"> repetitio</w:t>
      </w:r>
      <w:r>
        <w:t>n</w:t>
      </w:r>
      <w:r w:rsidRPr="005D5AB0">
        <w:t>s</w:t>
      </w:r>
      <w:r>
        <w:t xml:space="preserve"> of</w:t>
      </w:r>
      <w:r w:rsidRPr="005D5AB0">
        <w:t xml:space="preserve"> alternations </w:t>
      </w:r>
      <w:r>
        <w:t>in</w:t>
      </w:r>
      <w:r w:rsidRPr="005D5AB0">
        <w:t xml:space="preserve"> mechanical stratigraphy (</w:t>
      </w:r>
      <w:r>
        <w:t xml:space="preserve">coupling of </w:t>
      </w:r>
      <w:r w:rsidRPr="005D5AB0">
        <w:t xml:space="preserve">hard </w:t>
      </w:r>
      <w:r>
        <w:t xml:space="preserve">[brittle] </w:t>
      </w:r>
      <w:r w:rsidRPr="005D5AB0">
        <w:t>and soft</w:t>
      </w:r>
      <w:r>
        <w:t xml:space="preserve"> [ductile, less brittle]</w:t>
      </w:r>
      <w:r w:rsidRPr="005D5AB0">
        <w:t xml:space="preserve"> rock bed</w:t>
      </w:r>
      <w:r>
        <w:t xml:space="preserve"> intervals</w:t>
      </w:r>
      <w:r w:rsidRPr="005D5AB0">
        <w:t>)</w:t>
      </w:r>
      <w:r>
        <w:t>. These sets of repetitions were defined in the SR by Becerra-Rondon (2017) and for the southern Oklahoma Woodford Shale I-35 section</w:t>
      </w:r>
      <w:r w:rsidRPr="005D5AB0">
        <w:t>. Becerra-Rondon (2017)</w:t>
      </w:r>
      <w:r>
        <w:t xml:space="preserve">, and </w:t>
      </w:r>
      <w:r w:rsidRPr="005D5AB0">
        <w:t xml:space="preserve">Galvis (2017) recognized the soft-to-hard ratio every half foot (Figure </w:t>
      </w:r>
      <w:r>
        <w:t>3.3 and Figure 3.4</w:t>
      </w:r>
      <w:r w:rsidRPr="005D5AB0">
        <w:t>)</w:t>
      </w:r>
      <w:r>
        <w:t xml:space="preserve">. Galvis (2017) </w:t>
      </w:r>
      <w:r w:rsidRPr="005D5AB0">
        <w:t xml:space="preserve">observed that </w:t>
      </w:r>
      <w:r>
        <w:t>the outcrop measured Gamma</w:t>
      </w:r>
      <w:r w:rsidRPr="005D5AB0">
        <w:t xml:space="preserve">-ray responses correlate </w:t>
      </w:r>
      <w:r w:rsidRPr="005D5AB0">
        <w:lastRenderedPageBreak/>
        <w:t xml:space="preserve">with </w:t>
      </w:r>
      <w:r>
        <w:t>the rock beds'</w:t>
      </w:r>
      <w:r w:rsidRPr="005D5AB0">
        <w:t xml:space="preserve"> soft-to-hard r</w:t>
      </w:r>
      <w:r>
        <w:t>atios. Becerra-Rondon (2017) reports the</w:t>
      </w:r>
      <w:r w:rsidRPr="005D5AB0">
        <w:t xml:space="preserve"> softer a</w:t>
      </w:r>
      <w:r>
        <w:t xml:space="preserve"> rock</w:t>
      </w:r>
      <w:r w:rsidRPr="005D5AB0">
        <w:t xml:space="preserve"> interval</w:t>
      </w:r>
      <w:r>
        <w:t>,</w:t>
      </w:r>
      <w:r w:rsidRPr="005D5AB0">
        <w:t xml:space="preserve"> the higher</w:t>
      </w:r>
      <w:r>
        <w:t xml:space="preserve"> is</w:t>
      </w:r>
      <w:r w:rsidRPr="005D5AB0">
        <w:t xml:space="preserve"> the radioactivity </w:t>
      </w:r>
      <w:r>
        <w:t xml:space="preserve">(higher values) from the Gamma-ray log response (Figure 3.4). </w:t>
      </w:r>
    </w:p>
    <w:p w14:paraId="28CE6FD9" w14:textId="77777777" w:rsidR="00081C89" w:rsidRDefault="00081C89" w:rsidP="00081C89">
      <w:pPr>
        <w:ind w:firstLine="720"/>
      </w:pPr>
      <w:r>
        <w:t xml:space="preserve">Additionally, in the SR, the higher the organic matter content correlates with softer beds and a higher Gamma-ray response log (Galvis et al., 2017a and 2017 b). In </w:t>
      </w:r>
      <w:r w:rsidRPr="005D5AB0">
        <w:t>the Woodford</w:t>
      </w:r>
      <w:r>
        <w:t xml:space="preserve"> Shale</w:t>
      </w:r>
      <w:r w:rsidRPr="005D5AB0">
        <w:t>, th</w:t>
      </w:r>
      <w:r>
        <w:t>ese</w:t>
      </w:r>
      <w:r w:rsidRPr="005D5AB0">
        <w:t xml:space="preserve"> observation</w:t>
      </w:r>
      <w:r>
        <w:t>s</w:t>
      </w:r>
      <w:r w:rsidRPr="005D5AB0">
        <w:t xml:space="preserve"> can be </w:t>
      </w:r>
      <w:r>
        <w:t xml:space="preserve">consistently </w:t>
      </w:r>
      <w:r w:rsidRPr="005D5AB0">
        <w:t xml:space="preserve">explained </w:t>
      </w:r>
      <w:r>
        <w:t>according to Slatt (2016</w:t>
      </w:r>
      <w:r w:rsidRPr="005D5AB0">
        <w:t>)</w:t>
      </w:r>
      <w:r>
        <w:t>, Becerra-Rondon (2017), and Galvis (2017a and 2017b). These studies mentioned that</w:t>
      </w:r>
      <w:r w:rsidRPr="005D5AB0">
        <w:t xml:space="preserve"> soft beds are the ones that present </w:t>
      </w:r>
      <w:r>
        <w:t>more</w:t>
      </w:r>
      <w:r w:rsidRPr="005D5AB0">
        <w:t xml:space="preserve"> clay </w:t>
      </w:r>
      <w:r>
        <w:t>minerals and higher preservation of total organic carbon (%TOC)</w:t>
      </w:r>
      <w:r w:rsidRPr="005D5AB0">
        <w:t>, and the hard bed counterparts show more silica content (</w:t>
      </w:r>
      <w:r>
        <w:t xml:space="preserve">quartz of </w:t>
      </w:r>
      <w:r w:rsidRPr="005D5AB0">
        <w:t>both detrital and biogenic</w:t>
      </w:r>
      <w:r>
        <w:t xml:space="preserve"> origin). The hard beds in the SR </w:t>
      </w:r>
      <w:r w:rsidRPr="005D5AB0">
        <w:t xml:space="preserve">cause the rock to be more </w:t>
      </w:r>
      <w:r>
        <w:t>resistant</w:t>
      </w:r>
      <w:r w:rsidRPr="005D5AB0">
        <w:t xml:space="preserve"> to stresses</w:t>
      </w:r>
      <w:r>
        <w:t xml:space="preserve">, fracturing, and </w:t>
      </w:r>
      <w:r w:rsidRPr="00F63A78">
        <w:t xml:space="preserve">deformation </w:t>
      </w:r>
      <w:r>
        <w:t>than the clay-rich and organic-rich fraction (Becerra-Rondon, 2017).</w:t>
      </w:r>
    </w:p>
    <w:p w14:paraId="12A59919" w14:textId="77777777" w:rsidR="00081C89" w:rsidRDefault="00081C89" w:rsidP="00081C89">
      <w:pPr>
        <w:spacing w:after="0" w:line="276" w:lineRule="auto"/>
        <w:ind w:left="720" w:hanging="720"/>
        <w:jc w:val="center"/>
      </w:pPr>
      <w:r>
        <w:rPr>
          <w:noProof/>
        </w:rPr>
        <w:drawing>
          <wp:inline distT="0" distB="0" distL="0" distR="0" wp14:anchorId="5B63D6A2" wp14:editId="202DF6AB">
            <wp:extent cx="4879975" cy="33935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03093" cy="3409605"/>
                    </a:xfrm>
                    <a:prstGeom prst="rect">
                      <a:avLst/>
                    </a:prstGeom>
                    <a:noFill/>
                  </pic:spPr>
                </pic:pic>
              </a:graphicData>
            </a:graphic>
          </wp:inline>
        </w:drawing>
      </w:r>
    </w:p>
    <w:p w14:paraId="75EF0F92" w14:textId="77777777" w:rsidR="00081C89" w:rsidRPr="000F3FAD" w:rsidRDefault="00081C89" w:rsidP="00081C89">
      <w:pPr>
        <w:pStyle w:val="Caption"/>
      </w:pPr>
      <w:bookmarkStart w:id="125" w:name="_Toc29308138"/>
      <w:bookmarkStart w:id="126" w:name="_Toc35861190"/>
      <w:r>
        <w:rPr>
          <w:b/>
        </w:rPr>
        <w:t xml:space="preserve">Figure 3.3. </w:t>
      </w:r>
      <w:r w:rsidRPr="00B7069D">
        <w:t xml:space="preserve">Field-based lithofacies classification of Woodford Shale mudrocks </w:t>
      </w:r>
      <w:r>
        <w:t xml:space="preserve">in the Speake Ranch outcrop and their classification based on mechanical stratigraphy </w:t>
      </w:r>
      <w:r w:rsidRPr="00B7069D">
        <w:t>(Galvis, 2017).</w:t>
      </w:r>
      <w:r w:rsidRPr="00C9091A">
        <w:t xml:space="preserve"> The first criterion by Galvis (2017) distinguishes between hard and soft </w:t>
      </w:r>
      <w:r>
        <w:t xml:space="preserve">(i.e., less hard) </w:t>
      </w:r>
      <w:r w:rsidRPr="00C9091A">
        <w:t>beds based on weathering responses, then textural and compositional descriptors are added based on parting responses and HCl reaction</w:t>
      </w:r>
      <w:r w:rsidRPr="00234C6E">
        <w:t xml:space="preserve">. </w:t>
      </w:r>
      <w:r w:rsidRPr="000F3FAD">
        <w:t>Image courtesy of Galvis in Becerra-Rendon (2017) and Galvis (2017).</w:t>
      </w:r>
      <w:bookmarkEnd w:id="125"/>
      <w:bookmarkEnd w:id="126"/>
      <w:r w:rsidRPr="000F3FAD">
        <w:t xml:space="preserve"> </w:t>
      </w:r>
    </w:p>
    <w:p w14:paraId="6F355CC8" w14:textId="77777777" w:rsidR="00081C89" w:rsidRPr="00F63A78" w:rsidRDefault="00081C89" w:rsidP="00081C89">
      <w:pPr>
        <w:pStyle w:val="Heading3"/>
        <w:numPr>
          <w:ilvl w:val="2"/>
          <w:numId w:val="10"/>
        </w:numPr>
      </w:pPr>
      <w:bookmarkStart w:id="127" w:name="_Toc25833547"/>
      <w:bookmarkStart w:id="128" w:name="_Toc29304863"/>
      <w:bookmarkStart w:id="129" w:name="_Toc35861103"/>
      <w:r w:rsidRPr="00F63A78">
        <w:lastRenderedPageBreak/>
        <w:t xml:space="preserve">The </w:t>
      </w:r>
      <w:r>
        <w:t>L</w:t>
      </w:r>
      <w:r w:rsidRPr="00F63A78">
        <w:t>ower Woodford member (LW)</w:t>
      </w:r>
      <w:bookmarkEnd w:id="127"/>
      <w:bookmarkEnd w:id="128"/>
      <w:bookmarkEnd w:id="129"/>
    </w:p>
    <w:p w14:paraId="6D355186" w14:textId="77777777" w:rsidR="00081C89" w:rsidRDefault="00081C89" w:rsidP="00081C89">
      <w:pPr>
        <w:spacing w:before="240"/>
        <w:ind w:firstLine="720"/>
      </w:pPr>
      <w:r w:rsidRPr="00F63A78">
        <w:t>Galvis (2017) and Galvis et al. (2017</w:t>
      </w:r>
      <w:r>
        <w:t>a</w:t>
      </w:r>
      <w:r w:rsidRPr="00F63A78">
        <w:t xml:space="preserve">) report the measured section of LW member at the </w:t>
      </w:r>
      <w:r>
        <w:t>SR</w:t>
      </w:r>
      <w:r w:rsidRPr="00F63A78">
        <w:t xml:space="preserve"> as about 105 ft thick (~32 meters</w:t>
      </w:r>
      <w:r>
        <w:t>, Figure 3.4.)</w:t>
      </w:r>
      <w:r w:rsidRPr="00F63A78">
        <w:t>. This member has the characteristics that generate topographic lows throughout the section because it is less resistant to weathering an</w:t>
      </w:r>
      <w:r>
        <w:t>d reworking by surface exposure</w:t>
      </w:r>
      <w:r w:rsidRPr="00F63A78">
        <w:t>. In this member, the soft</w:t>
      </w:r>
      <w:r>
        <w:t>er</w:t>
      </w:r>
      <w:r w:rsidRPr="00F63A78">
        <w:t xml:space="preserve"> beds dominate, making soft-to-hard ratios varying from 70/30 to 100/0, along with very high outcrop </w:t>
      </w:r>
      <w:r>
        <w:t>Gamma</w:t>
      </w:r>
      <w:r w:rsidRPr="00F63A78">
        <w:t>-ray responses ranging from 600 to 1300 c</w:t>
      </w:r>
      <w:r>
        <w:t>ounts per second [c</w:t>
      </w:r>
      <w:r w:rsidRPr="00F63A78">
        <w:t>ps,</w:t>
      </w:r>
      <w:r>
        <w:t>]</w:t>
      </w:r>
      <w:r w:rsidRPr="00F63A78">
        <w:t xml:space="preserve"> averaging 800 cps </w:t>
      </w:r>
      <w:r>
        <w:t>(Galvis et al., 2017a and 2017b; Figure 3.4 and Figure 3.6).</w:t>
      </w:r>
    </w:p>
    <w:p w14:paraId="31857F09" w14:textId="77777777" w:rsidR="00081C89" w:rsidRDefault="00081C89" w:rsidP="00081C89">
      <w:pPr>
        <w:ind w:firstLine="720"/>
      </w:pPr>
      <w:r w:rsidRPr="00F63A78">
        <w:t xml:space="preserve">The ‘soft’ component </w:t>
      </w:r>
      <w:r>
        <w:t>identified</w:t>
      </w:r>
      <w:r w:rsidRPr="00F63A78">
        <w:t xml:space="preserve"> in this member described by Galvis (2017) is mostly represented by his proposed lithofacies named </w:t>
      </w:r>
      <w:r>
        <w:t>“</w:t>
      </w:r>
      <w:r>
        <w:rPr>
          <w:i/>
        </w:rPr>
        <w:t>a</w:t>
      </w:r>
      <w:r w:rsidRPr="00627EFF">
        <w:rPr>
          <w:i/>
        </w:rPr>
        <w:t xml:space="preserve">rgillaceous, </w:t>
      </w:r>
      <w:r>
        <w:rPr>
          <w:i/>
        </w:rPr>
        <w:t>s</w:t>
      </w:r>
      <w:r w:rsidRPr="00627EFF">
        <w:rPr>
          <w:i/>
        </w:rPr>
        <w:t xml:space="preserve">iliceous, and </w:t>
      </w:r>
      <w:r>
        <w:rPr>
          <w:i/>
        </w:rPr>
        <w:t>d</w:t>
      </w:r>
      <w:r w:rsidRPr="00627EFF">
        <w:rPr>
          <w:i/>
        </w:rPr>
        <w:t>olomitic shales</w:t>
      </w:r>
      <w:r>
        <w:rPr>
          <w:i/>
        </w:rPr>
        <w:t>”</w:t>
      </w:r>
      <w:r w:rsidRPr="00F63A78">
        <w:t xml:space="preserve"> that, when compared with other members in this Woodford </w:t>
      </w:r>
      <w:r>
        <w:t>o</w:t>
      </w:r>
      <w:r w:rsidRPr="00F63A78">
        <w:t xml:space="preserve">utcrop, are the most abundant lithofacies within the </w:t>
      </w:r>
      <w:r>
        <w:t>L</w:t>
      </w:r>
      <w:r w:rsidRPr="00F63A78">
        <w:t xml:space="preserve">ower Woodford </w:t>
      </w:r>
      <w:r>
        <w:t>(</w:t>
      </w:r>
      <w:r w:rsidRPr="00F63A78">
        <w:t xml:space="preserve">Figure </w:t>
      </w:r>
      <w:r>
        <w:t>3.5 and Figure 3.6</w:t>
      </w:r>
      <w:r w:rsidRPr="00F63A78">
        <w:t xml:space="preserve">).  The </w:t>
      </w:r>
      <w:r>
        <w:t>“</w:t>
      </w:r>
      <w:r w:rsidRPr="00F63A78">
        <w:t>hard</w:t>
      </w:r>
      <w:r>
        <w:t>”</w:t>
      </w:r>
      <w:r w:rsidRPr="00F63A78">
        <w:t xml:space="preserve"> lithofacies counterpart </w:t>
      </w:r>
      <w:r>
        <w:t>was described by Galvis (2017) as</w:t>
      </w:r>
      <w:r w:rsidRPr="00F63A78">
        <w:t xml:space="preserve"> mainly composed of </w:t>
      </w:r>
      <w:r>
        <w:t>s</w:t>
      </w:r>
      <w:r w:rsidRPr="00F63A78">
        <w:t xml:space="preserve">iliceous rich </w:t>
      </w:r>
      <w:r>
        <w:t>m</w:t>
      </w:r>
      <w:r w:rsidRPr="00F63A78">
        <w:t xml:space="preserve">udstones and </w:t>
      </w:r>
      <w:r>
        <w:t>c</w:t>
      </w:r>
      <w:r w:rsidRPr="00F63A78">
        <w:t>herts, and these harder rock intervals only account for less than 30% of the stratigraphic thickness within this LW member</w:t>
      </w:r>
      <w:r>
        <w:t xml:space="preserve"> (</w:t>
      </w:r>
      <w:r w:rsidRPr="00F63A78">
        <w:t xml:space="preserve">Figure </w:t>
      </w:r>
      <w:r>
        <w:t>3.4</w:t>
      </w:r>
      <w:r w:rsidRPr="00F63A78">
        <w:t xml:space="preserve">).  The distribution of bed thicknesses in the LW has a preference of soft beds being much thicker (&gt;12 inches) than the hard beds (0.25- 2 inches </w:t>
      </w:r>
      <w:r>
        <w:t>o</w:t>
      </w:r>
      <w:r w:rsidRPr="00F63A78">
        <w:t>n average</w:t>
      </w:r>
      <w:r>
        <w:t xml:space="preserve">; </w:t>
      </w:r>
      <w:r w:rsidRPr="00F63A78">
        <w:t xml:space="preserve">Figure </w:t>
      </w:r>
      <w:r>
        <w:t>3.4</w:t>
      </w:r>
      <w:r w:rsidRPr="00F63A78">
        <w:t>).</w:t>
      </w:r>
      <w:r>
        <w:t xml:space="preserve"> </w:t>
      </w:r>
      <w:r w:rsidRPr="001C30F8">
        <w:t>Galvis (2017) and Galvis et al. (2017</w:t>
      </w:r>
      <w:r>
        <w:t>a</w:t>
      </w:r>
      <w:r w:rsidRPr="001C30F8">
        <w:t xml:space="preserve">) report that the contact between the </w:t>
      </w:r>
      <w:r>
        <w:t>L</w:t>
      </w:r>
      <w:r w:rsidRPr="001C30F8">
        <w:t xml:space="preserve">ower and </w:t>
      </w:r>
      <w:r>
        <w:t>M</w:t>
      </w:r>
      <w:r w:rsidRPr="001C30F8">
        <w:t xml:space="preserve">iddle Woodford members is represented by a significant turnaround point in the </w:t>
      </w:r>
      <w:r>
        <w:t>Gamma</w:t>
      </w:r>
      <w:r w:rsidRPr="001C30F8">
        <w:t xml:space="preserve">-ray profile (Figure </w:t>
      </w:r>
      <w:r>
        <w:t>3.4). As</w:t>
      </w:r>
      <w:r w:rsidRPr="001C30F8">
        <w:t xml:space="preserve"> reported by Galvis (2017), this change of member distinction coincides lithologically in the </w:t>
      </w:r>
      <w:r>
        <w:t>outcrop</w:t>
      </w:r>
      <w:r w:rsidRPr="001C30F8">
        <w:t xml:space="preserve"> with a zone of bioturbated </w:t>
      </w:r>
      <w:r>
        <w:t>d</w:t>
      </w:r>
      <w:r w:rsidRPr="001C30F8">
        <w:t xml:space="preserve">olomitic </w:t>
      </w:r>
      <w:r>
        <w:t>m</w:t>
      </w:r>
      <w:r w:rsidRPr="001C30F8">
        <w:t>udstones.</w:t>
      </w:r>
    </w:p>
    <w:p w14:paraId="696751C3" w14:textId="77777777" w:rsidR="00081C89" w:rsidRDefault="00081C89" w:rsidP="00081C89">
      <w:r>
        <w:rPr>
          <w:noProof/>
        </w:rPr>
        <w:lastRenderedPageBreak/>
        <w:drawing>
          <wp:inline distT="0" distB="0" distL="0" distR="0" wp14:anchorId="1E5CD497" wp14:editId="6A546FDB">
            <wp:extent cx="4395470" cy="7303770"/>
            <wp:effectExtent l="0" t="0" r="5080" b="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95470" cy="7303770"/>
                    </a:xfrm>
                    <a:prstGeom prst="rect">
                      <a:avLst/>
                    </a:prstGeom>
                    <a:noFill/>
                  </pic:spPr>
                </pic:pic>
              </a:graphicData>
            </a:graphic>
          </wp:inline>
        </w:drawing>
      </w:r>
      <w:r>
        <w:rPr>
          <w:noProof/>
        </w:rPr>
        <w:drawing>
          <wp:inline distT="0" distB="0" distL="0" distR="0" wp14:anchorId="44541DF1" wp14:editId="6A0D8A47">
            <wp:extent cx="1420495" cy="2365375"/>
            <wp:effectExtent l="0" t="0" r="8255" b="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0495" cy="2365375"/>
                    </a:xfrm>
                    <a:prstGeom prst="rect">
                      <a:avLst/>
                    </a:prstGeom>
                    <a:noFill/>
                  </pic:spPr>
                </pic:pic>
              </a:graphicData>
            </a:graphic>
          </wp:inline>
        </w:drawing>
      </w:r>
    </w:p>
    <w:p w14:paraId="3BB88958" w14:textId="77777777" w:rsidR="00081C89" w:rsidRPr="00BD1C7F" w:rsidRDefault="00081C89" w:rsidP="00081C89">
      <w:pPr>
        <w:pStyle w:val="Caption"/>
      </w:pPr>
      <w:bookmarkStart w:id="130" w:name="_Toc35861191"/>
      <w:r>
        <w:rPr>
          <w:b/>
        </w:rPr>
        <w:t xml:space="preserve">Figure 3.4. </w:t>
      </w:r>
      <w:r>
        <w:t>The t</w:t>
      </w:r>
      <w:r w:rsidRPr="00BD1C7F">
        <w:t xml:space="preserve">hirteen lithofacies </w:t>
      </w:r>
      <w:r>
        <w:t xml:space="preserve">that </w:t>
      </w:r>
      <w:r w:rsidRPr="00BD1C7F">
        <w:t xml:space="preserve">were recognized throughout the section </w:t>
      </w:r>
      <w:r>
        <w:t>b</w:t>
      </w:r>
      <w:r w:rsidRPr="00BD1C7F">
        <w:t>y</w:t>
      </w:r>
      <w:r>
        <w:t xml:space="preserve"> Becerra-Rendon (2017) and </w:t>
      </w:r>
      <w:r w:rsidRPr="00BD1C7F">
        <w:t xml:space="preserve">Galvis </w:t>
      </w:r>
      <w:r>
        <w:t xml:space="preserve">et al. (2017a). </w:t>
      </w:r>
      <w:r w:rsidRPr="00A6646F">
        <w:t>Image courtesy of Galvis in Galvis (2017).</w:t>
      </w:r>
      <w:bookmarkEnd w:id="130"/>
    </w:p>
    <w:p w14:paraId="3179D733" w14:textId="77777777" w:rsidR="00081C89" w:rsidRDefault="00081C89" w:rsidP="00081C89">
      <w:pPr>
        <w:spacing w:after="0"/>
        <w:jc w:val="center"/>
      </w:pPr>
      <w:r>
        <w:rPr>
          <w:noProof/>
        </w:rPr>
        <w:lastRenderedPageBreak/>
        <w:drawing>
          <wp:inline distT="0" distB="0" distL="0" distR="0" wp14:anchorId="247EBCEE" wp14:editId="2D22C8F5">
            <wp:extent cx="5706110" cy="4559935"/>
            <wp:effectExtent l="0" t="0" r="889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06110" cy="4559935"/>
                    </a:xfrm>
                    <a:prstGeom prst="rect">
                      <a:avLst/>
                    </a:prstGeom>
                    <a:noFill/>
                  </pic:spPr>
                </pic:pic>
              </a:graphicData>
            </a:graphic>
          </wp:inline>
        </w:drawing>
      </w:r>
    </w:p>
    <w:p w14:paraId="2A419E63" w14:textId="77777777" w:rsidR="00081C89" w:rsidRPr="005E7118" w:rsidRDefault="00081C89" w:rsidP="00081C89">
      <w:pPr>
        <w:pStyle w:val="Caption"/>
      </w:pPr>
      <w:bookmarkStart w:id="131" w:name="_Ref482368794"/>
      <w:bookmarkStart w:id="132" w:name="_Toc485209860"/>
      <w:bookmarkStart w:id="133" w:name="_Toc487546988"/>
      <w:bookmarkStart w:id="134" w:name="_Toc29308140"/>
      <w:bookmarkStart w:id="135" w:name="_Toc35861192"/>
      <w:r w:rsidRPr="009F78F1">
        <w:rPr>
          <w:b/>
        </w:rPr>
        <w:t>Figure 3.</w:t>
      </w:r>
      <w:bookmarkEnd w:id="131"/>
      <w:r w:rsidRPr="009F78F1">
        <w:rPr>
          <w:b/>
        </w:rPr>
        <w:t>5.</w:t>
      </w:r>
      <w:r w:rsidRPr="005E7118">
        <w:t xml:space="preserve"> </w:t>
      </w:r>
      <w:r w:rsidRPr="00627EFF">
        <w:t>C</w:t>
      </w:r>
      <w:r w:rsidRPr="005E7118">
        <w:t>yclical heterogeneity between soft and hard beds</w:t>
      </w:r>
      <w:r>
        <w:t xml:space="preserve"> for the Woodford Shale proposed by Becerra-Rondon (2017) and Galvis (2017)</w:t>
      </w:r>
      <w:r w:rsidRPr="005E7118">
        <w:t xml:space="preserve">. Soft beds are laminated and fissile, while hard beds are blocky with more vertical fractures.  The soft-to-hard ratio is measured by extracting the average bed thickness per bed per unit foot. </w:t>
      </w:r>
      <w:r w:rsidRPr="00234C6E">
        <w:t xml:space="preserve"> </w:t>
      </w:r>
      <w:bookmarkEnd w:id="132"/>
      <w:bookmarkEnd w:id="133"/>
      <w:r w:rsidRPr="000F3FAD">
        <w:rPr>
          <w:bCs w:val="0"/>
        </w:rPr>
        <w:t>Image courtesy of Galvis in Galvis (2017).</w:t>
      </w:r>
      <w:bookmarkEnd w:id="134"/>
      <w:bookmarkEnd w:id="135"/>
    </w:p>
    <w:p w14:paraId="32661428" w14:textId="77777777" w:rsidR="00081C89" w:rsidRPr="008B6978" w:rsidRDefault="00081C89" w:rsidP="00081C89">
      <w:pPr>
        <w:pStyle w:val="Heading3"/>
        <w:numPr>
          <w:ilvl w:val="2"/>
          <w:numId w:val="10"/>
        </w:numPr>
        <w:spacing w:before="240"/>
        <w:rPr>
          <w:b w:val="0"/>
          <w:bCs w:val="0"/>
        </w:rPr>
      </w:pPr>
      <w:bookmarkStart w:id="136" w:name="_Toc25833548"/>
      <w:bookmarkStart w:id="137" w:name="_Toc29304864"/>
      <w:bookmarkStart w:id="138" w:name="_Toc35861104"/>
      <w:r w:rsidRPr="008B6978">
        <w:rPr>
          <w:rStyle w:val="Heading3Char"/>
          <w:b/>
          <w:bCs/>
        </w:rPr>
        <w:t>The Middle Woodford member (MW</w:t>
      </w:r>
      <w:bookmarkEnd w:id="136"/>
      <w:bookmarkEnd w:id="137"/>
      <w:r w:rsidRPr="008B6978">
        <w:rPr>
          <w:b w:val="0"/>
          <w:bCs w:val="0"/>
        </w:rPr>
        <w:t>)</w:t>
      </w:r>
      <w:bookmarkEnd w:id="138"/>
    </w:p>
    <w:p w14:paraId="1120145B" w14:textId="77777777" w:rsidR="00081C89" w:rsidRDefault="00081C89" w:rsidP="00081C89">
      <w:pPr>
        <w:ind w:firstLine="720"/>
      </w:pPr>
      <w:r w:rsidRPr="00830DC4">
        <w:t>Galvis (2017) and Galvis et al. (2017</w:t>
      </w:r>
      <w:r>
        <w:t>a and 2017b</w:t>
      </w:r>
      <w:r w:rsidRPr="00830DC4">
        <w:t>) report</w:t>
      </w:r>
      <w:r>
        <w:t>ed</w:t>
      </w:r>
      <w:r w:rsidRPr="00830DC4">
        <w:t xml:space="preserve"> that the MW member at the </w:t>
      </w:r>
      <w:r>
        <w:t>SR</w:t>
      </w:r>
      <w:r w:rsidRPr="00830DC4">
        <w:t xml:space="preserve"> outcrop is about 104 ft thick (~31,6 meters) and is dominated by soft-to-hard ratios between 85/15 to 50/50. This mechanical stratigraphy ratio indicates that when compared </w:t>
      </w:r>
      <w:r>
        <w:t>with</w:t>
      </w:r>
      <w:r w:rsidRPr="00830DC4">
        <w:t xml:space="preserve"> the LW</w:t>
      </w:r>
      <w:r>
        <w:t>,</w:t>
      </w:r>
      <w:r w:rsidRPr="00830DC4">
        <w:t xml:space="preserve"> the proportion of hard beds increases gradually upward, while the soft ones decrease (Figure </w:t>
      </w:r>
      <w:r>
        <w:t>3.4 and Figure 3.6</w:t>
      </w:r>
      <w:r w:rsidRPr="00830DC4">
        <w:t xml:space="preserve">).  The outcrop </w:t>
      </w:r>
      <w:r>
        <w:t>Gamma</w:t>
      </w:r>
      <w:r w:rsidRPr="00830DC4">
        <w:t>-</w:t>
      </w:r>
      <w:r>
        <w:t>r</w:t>
      </w:r>
      <w:r w:rsidRPr="00830DC4">
        <w:t xml:space="preserve">ay radioactivity readings in this member </w:t>
      </w:r>
      <w:r>
        <w:t>were reported by Galvis (2017) as being</w:t>
      </w:r>
      <w:r w:rsidRPr="00830DC4">
        <w:t xml:space="preserve"> more homogenous, mostly ranging from 650 to 900 cps </w:t>
      </w:r>
      <w:r>
        <w:t>(</w:t>
      </w:r>
      <w:r w:rsidRPr="00830DC4">
        <w:t xml:space="preserve">Figure </w:t>
      </w:r>
      <w:r>
        <w:t>3.3</w:t>
      </w:r>
      <w:r w:rsidRPr="00830DC4">
        <w:t>).</w:t>
      </w:r>
      <w:r>
        <w:t xml:space="preserve"> </w:t>
      </w:r>
    </w:p>
    <w:p w14:paraId="16B9A806" w14:textId="77777777" w:rsidR="00081C89" w:rsidRDefault="00081C89" w:rsidP="00081C89">
      <w:pPr>
        <w:spacing w:after="0"/>
        <w:sectPr w:rsidR="00081C89" w:rsidSect="0095456D">
          <w:pgSz w:w="12240" w:h="15840"/>
          <w:pgMar w:top="1440" w:right="1440" w:bottom="1440" w:left="1440" w:header="720" w:footer="720" w:gutter="0"/>
          <w:cols w:space="720"/>
          <w:docGrid w:linePitch="360"/>
        </w:sectPr>
      </w:pPr>
    </w:p>
    <w:p w14:paraId="6B6FB429" w14:textId="77777777" w:rsidR="00081C89" w:rsidRDefault="00081C89" w:rsidP="00081C89">
      <w:pPr>
        <w:spacing w:after="0"/>
        <w:jc w:val="center"/>
      </w:pPr>
      <w:r>
        <w:rPr>
          <w:noProof/>
        </w:rPr>
        <w:lastRenderedPageBreak/>
        <w:drawing>
          <wp:inline distT="0" distB="0" distL="0" distR="0" wp14:anchorId="2A843852" wp14:editId="2D71690C">
            <wp:extent cx="6919595" cy="4559935"/>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19595" cy="4559935"/>
                    </a:xfrm>
                    <a:prstGeom prst="rect">
                      <a:avLst/>
                    </a:prstGeom>
                    <a:noFill/>
                  </pic:spPr>
                </pic:pic>
              </a:graphicData>
            </a:graphic>
          </wp:inline>
        </w:drawing>
      </w:r>
      <w:r>
        <w:rPr>
          <w:noProof/>
        </w:rPr>
        <w:drawing>
          <wp:inline distT="0" distB="0" distL="0" distR="0" wp14:anchorId="72D7C13B" wp14:editId="5A1CE666">
            <wp:extent cx="1078865" cy="2365375"/>
            <wp:effectExtent l="0" t="0" r="698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78865" cy="2365375"/>
                    </a:xfrm>
                    <a:prstGeom prst="rect">
                      <a:avLst/>
                    </a:prstGeom>
                    <a:noFill/>
                  </pic:spPr>
                </pic:pic>
              </a:graphicData>
            </a:graphic>
          </wp:inline>
        </w:drawing>
      </w:r>
    </w:p>
    <w:p w14:paraId="375F7BC3" w14:textId="77777777" w:rsidR="00081C89" w:rsidRPr="000F3FAD" w:rsidRDefault="00081C89" w:rsidP="00081C89">
      <w:pPr>
        <w:pStyle w:val="Caption"/>
      </w:pPr>
      <w:bookmarkStart w:id="139" w:name="_Toc29308141"/>
      <w:bookmarkStart w:id="140" w:name="_Toc35861193"/>
      <w:r w:rsidRPr="0001405A">
        <w:rPr>
          <w:b/>
        </w:rPr>
        <w:t>Figure 3.</w:t>
      </w:r>
      <w:r>
        <w:rPr>
          <w:b/>
        </w:rPr>
        <w:t>6</w:t>
      </w:r>
      <w:r w:rsidRPr="0001405A">
        <w:rPr>
          <w:b/>
        </w:rPr>
        <w:t xml:space="preserve">. </w:t>
      </w:r>
      <w:r>
        <w:t xml:space="preserve">Summarized outcrop description by Galvis (2017). </w:t>
      </w:r>
      <w:r w:rsidRPr="0001405A">
        <w:t>Integration of vertical distribution of lithofacies, soft-to-hard ratios</w:t>
      </w:r>
      <w:r>
        <w:t>,</w:t>
      </w:r>
      <w:r w:rsidRPr="0001405A">
        <w:t xml:space="preserve"> and distribution of bed thicknesses by </w:t>
      </w:r>
      <w:r>
        <w:t>the three</w:t>
      </w:r>
      <w:r w:rsidRPr="0001405A">
        <w:t xml:space="preserve"> Woodford members.  </w:t>
      </w:r>
      <w:r>
        <w:t xml:space="preserve">Galvis (2017) identified four main components in this section: 1)  the increasing upward trend of the </w:t>
      </w:r>
      <w:r w:rsidRPr="0001405A">
        <w:t xml:space="preserve"> hard bed</w:t>
      </w:r>
      <w:r>
        <w:t>s; 2)</w:t>
      </w:r>
      <w:r w:rsidRPr="0001405A">
        <w:t xml:space="preserve">  The LW is dominated by thick</w:t>
      </w:r>
      <w:r>
        <w:t>,</w:t>
      </w:r>
      <w:r w:rsidRPr="0001405A">
        <w:t xml:space="preserve"> soft beds of argillaceous and siliceous shales</w:t>
      </w:r>
      <w:r>
        <w:t>; 3)</w:t>
      </w:r>
      <w:r w:rsidRPr="0001405A">
        <w:t xml:space="preserve"> The MW is characterized by a nearly 50/50 mix of soft and hard beds of siliceous shales and cherts</w:t>
      </w:r>
      <w:r>
        <w:t>; 4)</w:t>
      </w:r>
      <w:r w:rsidRPr="0001405A">
        <w:t xml:space="preserve"> The UW is dominated by higher contents of hard beds of thick-bedded cherts, which </w:t>
      </w:r>
      <w:r>
        <w:t>Galvis (2017) identified of being</w:t>
      </w:r>
      <w:r w:rsidRPr="0001405A">
        <w:t xml:space="preserve"> intercalated with thin beds of siliceous</w:t>
      </w:r>
      <w:r>
        <w:t xml:space="preserve"> rich mudstones. </w:t>
      </w:r>
      <w:r w:rsidRPr="000F3FAD">
        <w:t>Image Courtesy of Galvis in Galvis (2017) and Galvis et al. (2017a).</w:t>
      </w:r>
      <w:bookmarkEnd w:id="139"/>
      <w:bookmarkEnd w:id="140"/>
    </w:p>
    <w:p w14:paraId="651BACD9" w14:textId="77777777" w:rsidR="00081C89" w:rsidRDefault="00081C89" w:rsidP="00081C89">
      <w:pPr>
        <w:rPr>
          <w:lang w:bidi="en-US"/>
        </w:rPr>
        <w:sectPr w:rsidR="00081C89" w:rsidSect="0095456D">
          <w:pgSz w:w="15840" w:h="12240" w:orient="landscape"/>
          <w:pgMar w:top="1440" w:right="1440" w:bottom="1440" w:left="1440" w:header="720" w:footer="720" w:gutter="0"/>
          <w:cols w:space="720"/>
          <w:docGrid w:linePitch="360"/>
        </w:sectPr>
      </w:pPr>
    </w:p>
    <w:p w14:paraId="71C2E5D5" w14:textId="21F55F88" w:rsidR="00081C89" w:rsidRDefault="00081C89" w:rsidP="00081C89">
      <w:pPr>
        <w:ind w:firstLine="720"/>
      </w:pPr>
      <w:r>
        <w:lastRenderedPageBreak/>
        <w:t>According to Becerra-Rondon (2017) and Galvis et al. (2017a and 2017b), t</w:t>
      </w:r>
      <w:r w:rsidRPr="002140C3">
        <w:t xml:space="preserve">he average bed thickness between soft and hard beds </w:t>
      </w:r>
      <w:r>
        <w:t>varies</w:t>
      </w:r>
      <w:r w:rsidRPr="002140C3">
        <w:t xml:space="preserve"> from 1-12 cm</w:t>
      </w:r>
      <w:r>
        <w:t>,</w:t>
      </w:r>
      <w:r w:rsidRPr="002140C3">
        <w:t xml:space="preserve"> and</w:t>
      </w:r>
      <w:r>
        <w:t xml:space="preserve"> in some cases, the layering occurs in</w:t>
      </w:r>
      <w:r w:rsidRPr="002140C3">
        <w:t xml:space="preserve"> 1-6 cm</w:t>
      </w:r>
      <w:r>
        <w:t xml:space="preserve"> intervals</w:t>
      </w:r>
      <w:r w:rsidRPr="002140C3">
        <w:t xml:space="preserve"> (Figure </w:t>
      </w:r>
      <w:r>
        <w:t>3.3). Galvis et al. (2017a and 2017b) interpreted this as</w:t>
      </w:r>
      <w:r w:rsidRPr="002140C3">
        <w:t xml:space="preserve"> the occurrence of high-frequency cycles of soft and hard </w:t>
      </w:r>
      <w:r w:rsidRPr="00B651C9">
        <w:t>bed</w:t>
      </w:r>
      <w:r>
        <w:t xml:space="preserve"> deposition and rapid changes in sedimentation rates and organic-inorganic factors. </w:t>
      </w:r>
      <w:r w:rsidRPr="00B651C9">
        <w:t>Galvis (2017) and Galvis et al. (2017</w:t>
      </w:r>
      <w:r>
        <w:t>a and 2017b</w:t>
      </w:r>
      <w:r w:rsidRPr="00B651C9">
        <w:t>) recognize</w:t>
      </w:r>
      <w:r>
        <w:t>d</w:t>
      </w:r>
      <w:r w:rsidRPr="00B651C9">
        <w:t xml:space="preserve"> that the lithofacies within this member are primarily represented by </w:t>
      </w:r>
      <w:r>
        <w:t>s</w:t>
      </w:r>
      <w:r w:rsidRPr="00B651C9">
        <w:t xml:space="preserve">iliceous </w:t>
      </w:r>
      <w:r>
        <w:t>s</w:t>
      </w:r>
      <w:r w:rsidRPr="00B651C9">
        <w:t xml:space="preserve">hales, </w:t>
      </w:r>
      <w:r>
        <w:t>c</w:t>
      </w:r>
      <w:r w:rsidRPr="00B651C9">
        <w:t xml:space="preserve">herts, and </w:t>
      </w:r>
      <w:r>
        <w:t>s</w:t>
      </w:r>
      <w:r w:rsidRPr="00B651C9">
        <w:t xml:space="preserve">iliceous mudstones (Figure </w:t>
      </w:r>
      <w:r>
        <w:t>3.3</w:t>
      </w:r>
      <w:r w:rsidRPr="00B651C9">
        <w:t xml:space="preserve">) and that the clay-rich and dolomitic lithofacies, as well as the </w:t>
      </w:r>
      <w:r>
        <w:t>a</w:t>
      </w:r>
      <w:r w:rsidRPr="00B651C9">
        <w:t xml:space="preserve">rgillaceous and </w:t>
      </w:r>
      <w:r>
        <w:t>d</w:t>
      </w:r>
      <w:r w:rsidRPr="00B651C9">
        <w:t xml:space="preserve">olomitic </w:t>
      </w:r>
      <w:r>
        <w:t>s</w:t>
      </w:r>
      <w:r w:rsidRPr="00B651C9">
        <w:t xml:space="preserve">hales, decrease upward abruptly from its underlying </w:t>
      </w:r>
      <w:r>
        <w:t>L</w:t>
      </w:r>
      <w:r w:rsidRPr="00B651C9">
        <w:t>ower Woodford member boundary.</w:t>
      </w:r>
      <w:r>
        <w:t xml:space="preserve"> </w:t>
      </w:r>
      <w:r w:rsidRPr="00B16464">
        <w:t xml:space="preserve">The contact between the </w:t>
      </w:r>
      <w:r>
        <w:t>M</w:t>
      </w:r>
      <w:r w:rsidRPr="00B16464">
        <w:t xml:space="preserve">iddle and </w:t>
      </w:r>
      <w:r>
        <w:t>U</w:t>
      </w:r>
      <w:r w:rsidRPr="00B16464">
        <w:t>pper Woodford members is reported by Galvis (2017)</w:t>
      </w:r>
      <w:r>
        <w:t>,</w:t>
      </w:r>
      <w:r w:rsidRPr="00B16464">
        <w:t xml:space="preserve"> and Galvis et al. (2017</w:t>
      </w:r>
      <w:r>
        <w:t>a</w:t>
      </w:r>
      <w:r w:rsidRPr="00B16464">
        <w:t>)</w:t>
      </w:r>
      <w:r>
        <w:t>,</w:t>
      </w:r>
      <w:r w:rsidRPr="00B16464">
        <w:t xml:space="preserve"> </w:t>
      </w:r>
      <w:r>
        <w:t>as being located a</w:t>
      </w:r>
      <w:r w:rsidRPr="00B16464">
        <w:t>t about 22</w:t>
      </w:r>
      <w:r>
        <w:t>0.5</w:t>
      </w:r>
      <w:r w:rsidRPr="00B16464">
        <w:t xml:space="preserve"> ft from the bottom of th</w:t>
      </w:r>
      <w:r>
        <w:t>e SR stratigraphic</w:t>
      </w:r>
      <w:r w:rsidRPr="00B16464">
        <w:t xml:space="preserve"> section. </w:t>
      </w:r>
      <w:r>
        <w:t>As described by Galvis (2017)</w:t>
      </w:r>
      <w:r w:rsidR="00C403D1">
        <w:t>,</w:t>
      </w:r>
      <w:r>
        <w:t xml:space="preserve"> t</w:t>
      </w:r>
      <w:r w:rsidRPr="00B16464">
        <w:t>his contact is marked by the first occurrence of phos</w:t>
      </w:r>
      <w:r>
        <w:t>phate</w:t>
      </w:r>
      <w:r w:rsidRPr="00B16464">
        <w:t xml:space="preserve"> nodules and concretions, which are of variable diameter (2-5cm) and shape. A </w:t>
      </w:r>
      <w:r>
        <w:t xml:space="preserve">log curve </w:t>
      </w:r>
      <w:r w:rsidRPr="00B16464">
        <w:t xml:space="preserve">trough also marks this contact in the outcrop </w:t>
      </w:r>
      <w:r>
        <w:t>Gamma</w:t>
      </w:r>
      <w:r w:rsidRPr="00B16464">
        <w:t>-</w:t>
      </w:r>
      <w:r>
        <w:t>r</w:t>
      </w:r>
      <w:r w:rsidRPr="00B16464">
        <w:t xml:space="preserve">ay radioactivity log response (Figure </w:t>
      </w:r>
      <w:r>
        <w:t>3.4</w:t>
      </w:r>
      <w:r w:rsidRPr="00B16464">
        <w:t>).</w:t>
      </w:r>
      <w:r>
        <w:t xml:space="preserve"> According to Turner et al. (2015), Jones (2017), </w:t>
      </w:r>
      <w:r w:rsidRPr="005B7FDE">
        <w:t>Molinares</w:t>
      </w:r>
      <w:r>
        <w:t xml:space="preserve"> (</w:t>
      </w:r>
      <w:r w:rsidRPr="005B7FDE">
        <w:t>201</w:t>
      </w:r>
      <w:r>
        <w:t>9</w:t>
      </w:r>
      <w:r w:rsidRPr="005B7FDE">
        <w:t>)</w:t>
      </w:r>
      <w:r>
        <w:t xml:space="preserve"> and Philp and DeGarmo (2020), in the south of Oklahoma, t</w:t>
      </w:r>
      <w:r w:rsidRPr="005B7FDE">
        <w:t>he Frasnian-F</w:t>
      </w:r>
      <w:r>
        <w:t>ammenian (F-F)</w:t>
      </w:r>
      <w:r w:rsidRPr="005B7FDE">
        <w:t xml:space="preserve"> mass extinction boundary occurs near the top of the MW</w:t>
      </w:r>
      <w:r>
        <w:t>.</w:t>
      </w:r>
    </w:p>
    <w:p w14:paraId="5CF816E3" w14:textId="77777777" w:rsidR="00081C89" w:rsidRPr="00AB6F7C" w:rsidRDefault="00081C89" w:rsidP="00081C89">
      <w:pPr>
        <w:pStyle w:val="Heading3"/>
        <w:numPr>
          <w:ilvl w:val="2"/>
          <w:numId w:val="10"/>
        </w:numPr>
      </w:pPr>
      <w:bookmarkStart w:id="141" w:name="_Toc25833549"/>
      <w:bookmarkStart w:id="142" w:name="_Toc29304865"/>
      <w:bookmarkStart w:id="143" w:name="_Toc35861105"/>
      <w:r w:rsidRPr="00AB6F7C">
        <w:t>The Upper Woodford member (UW)</w:t>
      </w:r>
      <w:bookmarkEnd w:id="141"/>
      <w:bookmarkEnd w:id="142"/>
      <w:bookmarkEnd w:id="143"/>
    </w:p>
    <w:p w14:paraId="3492DBB5" w14:textId="77777777" w:rsidR="00081C89" w:rsidRDefault="00081C89" w:rsidP="00081C89">
      <w:pPr>
        <w:spacing w:before="240"/>
        <w:ind w:firstLine="720"/>
      </w:pPr>
      <w:r w:rsidRPr="00AB6F7C">
        <w:t>Galvis (2017) and Galvis et al. (201</w:t>
      </w:r>
      <w:r>
        <w:t>7a and 2017b</w:t>
      </w:r>
      <w:r w:rsidRPr="00AB6F7C">
        <w:t xml:space="preserve">) describe this member at the </w:t>
      </w:r>
      <w:r>
        <w:t>SR a</w:t>
      </w:r>
      <w:r w:rsidRPr="00AB6F7C">
        <w:t xml:space="preserve">s about 92 ft thick (~28 meters) and generally more competent </w:t>
      </w:r>
      <w:r>
        <w:t xml:space="preserve">(harder beds) </w:t>
      </w:r>
      <w:r w:rsidRPr="00AB6F7C">
        <w:t xml:space="preserve">than its preceding members, and usually develops scarp slopes </w:t>
      </w:r>
      <w:r>
        <w:t xml:space="preserve">on the SR </w:t>
      </w:r>
      <w:r w:rsidRPr="00AB6F7C">
        <w:t>ranch</w:t>
      </w:r>
      <w:r>
        <w:t>lands</w:t>
      </w:r>
      <w:r w:rsidRPr="00AB6F7C">
        <w:t xml:space="preserve"> (Figure </w:t>
      </w:r>
      <w:r>
        <w:t>3.4 - 3.6</w:t>
      </w:r>
      <w:r w:rsidRPr="00AB6F7C">
        <w:t>).</w:t>
      </w:r>
      <w:r>
        <w:t xml:space="preserve"> T</w:t>
      </w:r>
      <w:r w:rsidRPr="00AB6F7C">
        <w:t xml:space="preserve">he </w:t>
      </w:r>
      <w:r>
        <w:t>r</w:t>
      </w:r>
      <w:r w:rsidRPr="00AB6F7C">
        <w:t xml:space="preserve">adioactivity responses in </w:t>
      </w:r>
      <w:r>
        <w:t>the o</w:t>
      </w:r>
      <w:r w:rsidRPr="00AB6F7C">
        <w:t xml:space="preserve">utcrop </w:t>
      </w:r>
      <w:r>
        <w:t>Gamma</w:t>
      </w:r>
      <w:r w:rsidRPr="00AB6F7C">
        <w:t>-</w:t>
      </w:r>
      <w:r>
        <w:t>r</w:t>
      </w:r>
      <w:r w:rsidRPr="00AB6F7C">
        <w:t xml:space="preserve">ay </w:t>
      </w:r>
      <w:r>
        <w:t xml:space="preserve">log </w:t>
      </w:r>
      <w:r w:rsidRPr="00AB6F7C">
        <w:t>measurements by Galvis (2017) are highly variable, ranging from 450 to 900 cps, with outlier values higher than 1200 cps near the most phos</w:t>
      </w:r>
      <w:r>
        <w:t>phatic</w:t>
      </w:r>
      <w:r w:rsidRPr="00AB6F7C">
        <w:t>-rich zone</w:t>
      </w:r>
      <w:r>
        <w:t xml:space="preserve">. According to Molinares (2013, and 2019), these high Gamma-ray values for the </w:t>
      </w:r>
      <w:r>
        <w:lastRenderedPageBreak/>
        <w:t xml:space="preserve">Woodford Shale are </w:t>
      </w:r>
      <w:r w:rsidRPr="00AB6F7C">
        <w:t xml:space="preserve">directly related to the higher </w:t>
      </w:r>
      <w:r>
        <w:t>u</w:t>
      </w:r>
      <w:r w:rsidRPr="00AB6F7C">
        <w:t>ranium content in the phos</w:t>
      </w:r>
      <w:r>
        <w:t>phatic</w:t>
      </w:r>
      <w:r w:rsidRPr="00AB6F7C">
        <w:t xml:space="preserve"> concretions rather than in the clay-rich beds</w:t>
      </w:r>
      <w:r>
        <w:t xml:space="preserve"> (</w:t>
      </w:r>
      <w:r w:rsidRPr="00AB6F7C">
        <w:t xml:space="preserve">Figure </w:t>
      </w:r>
      <w:r>
        <w:t>3.4 - 3.7</w:t>
      </w:r>
      <w:r w:rsidRPr="00AB6F7C">
        <w:t xml:space="preserve">).  </w:t>
      </w:r>
    </w:p>
    <w:p w14:paraId="01036F0C" w14:textId="77777777" w:rsidR="00081C89" w:rsidRPr="006D1CDF" w:rsidRDefault="00081C89" w:rsidP="00081C89">
      <w:pPr>
        <w:spacing w:after="0" w:line="276" w:lineRule="auto"/>
        <w:jc w:val="center"/>
        <w:rPr>
          <w:sz w:val="28"/>
        </w:rPr>
      </w:pPr>
      <w:bookmarkStart w:id="144" w:name="_Ref482891576"/>
      <w:r>
        <w:rPr>
          <w:noProof/>
          <w:sz w:val="28"/>
        </w:rPr>
        <w:drawing>
          <wp:inline distT="0" distB="0" distL="0" distR="0" wp14:anchorId="21BFBB89" wp14:editId="538A4080">
            <wp:extent cx="4700270" cy="6456045"/>
            <wp:effectExtent l="0" t="0" r="5080" b="190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00270" cy="6456045"/>
                    </a:xfrm>
                    <a:prstGeom prst="rect">
                      <a:avLst/>
                    </a:prstGeom>
                    <a:noFill/>
                  </pic:spPr>
                </pic:pic>
              </a:graphicData>
            </a:graphic>
          </wp:inline>
        </w:drawing>
      </w:r>
    </w:p>
    <w:p w14:paraId="7BC7CCFD" w14:textId="77777777" w:rsidR="00081C89" w:rsidRPr="000F3FAD" w:rsidRDefault="00081C89" w:rsidP="00081C89">
      <w:pPr>
        <w:pStyle w:val="Caption"/>
      </w:pPr>
      <w:bookmarkStart w:id="145" w:name="_Toc485209881"/>
      <w:bookmarkStart w:id="146" w:name="_Toc487547009"/>
      <w:bookmarkStart w:id="147" w:name="_Toc29308142"/>
      <w:bookmarkStart w:id="148" w:name="_Toc35861194"/>
      <w:bookmarkEnd w:id="144"/>
      <w:r w:rsidRPr="006D1CDF">
        <w:rPr>
          <w:b/>
        </w:rPr>
        <w:t>Figure 3</w:t>
      </w:r>
      <w:r>
        <w:rPr>
          <w:b/>
        </w:rPr>
        <w:t>.7</w:t>
      </w:r>
      <w:r w:rsidRPr="006D1CDF">
        <w:rPr>
          <w:b/>
        </w:rPr>
        <w:t>.</w:t>
      </w:r>
      <w:r w:rsidRPr="006D1CDF">
        <w:t xml:space="preserve"> Identified correlation by Becerra-R</w:t>
      </w:r>
      <w:r>
        <w:t>o</w:t>
      </w:r>
      <w:r w:rsidRPr="006D1CDF">
        <w:t xml:space="preserve">ndon (2017) and Galvis et al. (2017) between </w:t>
      </w:r>
      <w:r>
        <w:t>Gamma-</w:t>
      </w:r>
      <w:r w:rsidRPr="006D1CDF">
        <w:t xml:space="preserve">ray responses and the Soft-to-Hard ratios per foot by Woodford member in </w:t>
      </w:r>
      <w:r>
        <w:t>s</w:t>
      </w:r>
      <w:r w:rsidRPr="006D1CDF">
        <w:t>outhern Oklahoma. Galvis (2017) hi</w:t>
      </w:r>
      <w:r>
        <w:t>gh</w:t>
      </w:r>
      <w:r w:rsidRPr="006D1CDF">
        <w:t>lights the positive correlation between these two variables, implying a generalized increase in radioactivity with more soft beds per foot.</w:t>
      </w:r>
      <w:bookmarkEnd w:id="145"/>
      <w:bookmarkEnd w:id="146"/>
      <w:r w:rsidRPr="006D1CDF">
        <w:t xml:space="preserve"> </w:t>
      </w:r>
      <w:r w:rsidRPr="000F3FAD">
        <w:t>Image Courtesy of Galvis in Galvis (2017).</w:t>
      </w:r>
      <w:bookmarkEnd w:id="147"/>
      <w:bookmarkEnd w:id="148"/>
      <w:r w:rsidRPr="000F3FAD">
        <w:t xml:space="preserve"> </w:t>
      </w:r>
    </w:p>
    <w:p w14:paraId="3B0FF781" w14:textId="77777777" w:rsidR="00081C89" w:rsidRDefault="00081C89" w:rsidP="00081C89">
      <w:pPr>
        <w:spacing w:before="240"/>
        <w:ind w:firstLine="720"/>
      </w:pPr>
      <w:r w:rsidRPr="00AB6F7C">
        <w:lastRenderedPageBreak/>
        <w:t>The average soft-to-hard ratios</w:t>
      </w:r>
      <w:r>
        <w:t xml:space="preserve"> in the UW</w:t>
      </w:r>
      <w:r w:rsidRPr="00AB6F7C">
        <w:t xml:space="preserve"> identified by Becerra-R</w:t>
      </w:r>
      <w:r>
        <w:t>o</w:t>
      </w:r>
      <w:r w:rsidRPr="00AB6F7C">
        <w:t>ndon</w:t>
      </w:r>
      <w:r>
        <w:t xml:space="preserve"> (</w:t>
      </w:r>
      <w:r w:rsidRPr="00AB6F7C">
        <w:t>201</w:t>
      </w:r>
      <w:r>
        <w:t xml:space="preserve">7), and </w:t>
      </w:r>
      <w:r w:rsidRPr="00AB6F7C">
        <w:t>Galvis et al.</w:t>
      </w:r>
      <w:r>
        <w:t xml:space="preserve"> (</w:t>
      </w:r>
      <w:r w:rsidRPr="00AB6F7C">
        <w:t>2017</w:t>
      </w:r>
      <w:r>
        <w:t>a and 2017b</w:t>
      </w:r>
      <w:r w:rsidRPr="00AB6F7C">
        <w:t>) range from 40/60 to 5/95, with the regional characteristic that this is the hardest</w:t>
      </w:r>
      <w:r>
        <w:t xml:space="preserve"> and most brittle</w:t>
      </w:r>
      <w:r w:rsidRPr="00AB6F7C">
        <w:t xml:space="preserve"> interval among the Woodford members (Figure</w:t>
      </w:r>
      <w:r>
        <w:t xml:space="preserve"> 3.6 and Figure 3.7</w:t>
      </w:r>
      <w:r w:rsidRPr="00AB6F7C">
        <w:t>).</w:t>
      </w:r>
      <w:r>
        <w:t xml:space="preserve"> </w:t>
      </w:r>
      <w:r w:rsidRPr="00842A87">
        <w:t xml:space="preserve">The crucial highlight for this </w:t>
      </w:r>
      <w:r>
        <w:t>UW</w:t>
      </w:r>
      <w:r w:rsidRPr="00842A87">
        <w:t xml:space="preserve"> made by Galvis (2017), and Galvis et al. (2017</w:t>
      </w:r>
      <w:r>
        <w:t>a and 2017b</w:t>
      </w:r>
      <w:r w:rsidRPr="00842A87">
        <w:t xml:space="preserve">) is that the distributions of bed thickness reveal the dominance of thicker hard beds (2-8 inches) compared to the soft intervals (&lt;2 inches).  The </w:t>
      </w:r>
      <w:r>
        <w:t>c</w:t>
      </w:r>
      <w:r w:rsidRPr="00842A87">
        <w:t xml:space="preserve">herts and </w:t>
      </w:r>
      <w:r>
        <w:t>s</w:t>
      </w:r>
      <w:r w:rsidRPr="00842A87">
        <w:t xml:space="preserve">iliceous </w:t>
      </w:r>
      <w:r>
        <w:t>s</w:t>
      </w:r>
      <w:r w:rsidRPr="00842A87">
        <w:t>hale rich beds are the most abundant lithofacies (Figure</w:t>
      </w:r>
      <w:r>
        <w:t xml:space="preserve"> 3.6</w:t>
      </w:r>
      <w:r w:rsidRPr="00842A87">
        <w:t>), and according to Galvis (2017), t</w:t>
      </w:r>
      <w:r>
        <w:t xml:space="preserve">hat make </w:t>
      </w:r>
      <w:r w:rsidRPr="00842A87">
        <w:t>up about 80% of the lithofacies in this member.</w:t>
      </w:r>
      <w:r>
        <w:t xml:space="preserve"> </w:t>
      </w:r>
      <w:r w:rsidRPr="00842A87">
        <w:t>Galvis (2017) notes</w:t>
      </w:r>
      <w:r>
        <w:t xml:space="preserve"> in </w:t>
      </w:r>
      <w:r>
        <w:rPr>
          <w:iCs/>
        </w:rPr>
        <w:t>t</w:t>
      </w:r>
      <w:r w:rsidRPr="00EA58CE">
        <w:rPr>
          <w:iCs/>
        </w:rPr>
        <w:t xml:space="preserve">he </w:t>
      </w:r>
      <w:r>
        <w:rPr>
          <w:iCs/>
        </w:rPr>
        <w:t>SR</w:t>
      </w:r>
      <w:r w:rsidRPr="00842A87">
        <w:t xml:space="preserve"> that other field-scale features of this </w:t>
      </w:r>
      <w:r>
        <w:t>U</w:t>
      </w:r>
      <w:r w:rsidRPr="00842A87">
        <w:t>pper Woodford member include the abundant occurrence of phos</w:t>
      </w:r>
      <w:r>
        <w:t>phate</w:t>
      </w:r>
      <w:r w:rsidRPr="00842A87">
        <w:t xml:space="preserve"> nodules and concretions of variable diameter and shapes (0.5 – 10 inches), and </w:t>
      </w:r>
      <w:r>
        <w:t xml:space="preserve">also </w:t>
      </w:r>
      <w:r w:rsidRPr="00842A87">
        <w:t>observed bitumen filled microfractures</w:t>
      </w:r>
      <w:r>
        <w:t>.</w:t>
      </w:r>
    </w:p>
    <w:p w14:paraId="6E96DCF6" w14:textId="77777777" w:rsidR="00081C89" w:rsidRPr="001E7D67" w:rsidRDefault="00081C89" w:rsidP="00081C89">
      <w:pPr>
        <w:pStyle w:val="Heading2"/>
        <w:numPr>
          <w:ilvl w:val="1"/>
          <w:numId w:val="10"/>
        </w:numPr>
      </w:pPr>
      <w:bookmarkStart w:id="149" w:name="_Toc25833550"/>
      <w:bookmarkStart w:id="150" w:name="_Toc29304866"/>
      <w:r>
        <w:t xml:space="preserve"> </w:t>
      </w:r>
      <w:bookmarkStart w:id="151" w:name="_Toc35861106"/>
      <w:r w:rsidRPr="001E7D67">
        <w:t xml:space="preserve">Geochemical </w:t>
      </w:r>
      <w:r>
        <w:t>c</w:t>
      </w:r>
      <w:r w:rsidRPr="001E7D67">
        <w:t>haracterization</w:t>
      </w:r>
      <w:bookmarkEnd w:id="149"/>
      <w:bookmarkEnd w:id="150"/>
      <w:bookmarkEnd w:id="151"/>
    </w:p>
    <w:p w14:paraId="2CA7C60D" w14:textId="77777777" w:rsidR="00081C89" w:rsidRDefault="00081C89" w:rsidP="00081C89">
      <w:pPr>
        <w:tabs>
          <w:tab w:val="left" w:pos="1620"/>
        </w:tabs>
        <w:ind w:firstLine="360"/>
      </w:pPr>
      <w:r w:rsidRPr="002907EB">
        <w:t>A comprehensive series of geochemical analyses w</w:t>
      </w:r>
      <w:r>
        <w:t>as</w:t>
      </w:r>
      <w:r w:rsidRPr="002907EB">
        <w:t xml:space="preserve"> performed on </w:t>
      </w:r>
      <w:r>
        <w:t>536 Woodford Shale outcrop</w:t>
      </w:r>
      <w:r w:rsidRPr="002907EB">
        <w:t xml:space="preserve"> samples, including Rock</w:t>
      </w:r>
      <w:r>
        <w:t>-</w:t>
      </w:r>
      <w:r w:rsidRPr="002907EB">
        <w:t xml:space="preserve">Eval pyrolysis, </w:t>
      </w:r>
      <w:r>
        <w:t>t</w:t>
      </w:r>
      <w:r w:rsidRPr="002907EB">
        <w:t xml:space="preserve">otal </w:t>
      </w:r>
      <w:r>
        <w:t>o</w:t>
      </w:r>
      <w:r w:rsidRPr="002907EB">
        <w:t xml:space="preserve">rganic </w:t>
      </w:r>
      <w:r>
        <w:t>c</w:t>
      </w:r>
      <w:r w:rsidRPr="002907EB">
        <w:t>arbon (</w:t>
      </w:r>
      <w:r>
        <w:t>%</w:t>
      </w:r>
      <w:r w:rsidRPr="002907EB">
        <w:t xml:space="preserve">TOC), </w:t>
      </w:r>
      <w:r>
        <w:t>some measurements of v</w:t>
      </w:r>
      <w:r w:rsidRPr="002907EB">
        <w:t xml:space="preserve">itrinite </w:t>
      </w:r>
      <w:r>
        <w:t>r</w:t>
      </w:r>
      <w:r w:rsidRPr="002907EB">
        <w:t>eflectance (%R</w:t>
      </w:r>
      <w:r w:rsidRPr="002907EB">
        <w:rPr>
          <w:vertAlign w:val="subscript"/>
        </w:rPr>
        <w:t>o</w:t>
      </w:r>
      <w:r w:rsidRPr="002907EB">
        <w:t>)</w:t>
      </w:r>
      <w:r>
        <w:t>, and organic fluid inclusions (by courtesy of The Oklahoma Geological Survey -OGS- and directed by organic petrologist Mr. Brian Cardott)</w:t>
      </w:r>
      <w:r w:rsidRPr="002907EB">
        <w:t>. Additionally, crushed rock extracts were subjected to gas chromatography (GC) and gas chromatography-mass spectrometry (GC</w:t>
      </w:r>
      <w:r>
        <w:t>-</w:t>
      </w:r>
      <w:r w:rsidRPr="002907EB">
        <w:t>MS) for biomarker analyses. Rock</w:t>
      </w:r>
      <w:r>
        <w:t>-</w:t>
      </w:r>
      <w:r w:rsidRPr="002907EB">
        <w:t xml:space="preserve">Eval pyrolysis and </w:t>
      </w:r>
      <w:r>
        <w:t>%</w:t>
      </w:r>
      <w:r w:rsidRPr="002907EB">
        <w:t xml:space="preserve">TOC determination were performed at </w:t>
      </w:r>
      <w:r w:rsidRPr="001E7D67">
        <w:rPr>
          <w:color w:val="000000"/>
        </w:rPr>
        <w:t>GeoMark™</w:t>
      </w:r>
      <w:r w:rsidRPr="002907EB">
        <w:t xml:space="preserve"> Geochemical Services in Humble, Texas</w:t>
      </w:r>
      <w:r>
        <w:t>, and their results are very applicable in the screening process of organic parameters variability along with the vertical stratigraphy of a shale system</w:t>
      </w:r>
      <w:r w:rsidRPr="002907EB">
        <w:t>. The</w:t>
      </w:r>
      <w:r>
        <w:t xml:space="preserve"> biomarker</w:t>
      </w:r>
      <w:r w:rsidRPr="002907EB">
        <w:t xml:space="preserve"> analyses were performed at the University of Oklahoma Or</w:t>
      </w:r>
      <w:r>
        <w:t>ganic Geochemistry Laboratories under the supervision of Dr. R. Paul Philp. The details about the applied instrumental biomarker methodologies are described in Appendix B.</w:t>
      </w:r>
    </w:p>
    <w:p w14:paraId="3B659DCA" w14:textId="5D5E97CE" w:rsidR="00081C89" w:rsidRDefault="00081C89" w:rsidP="00081C89">
      <w:pPr>
        <w:ind w:firstLine="360"/>
      </w:pPr>
      <w:r w:rsidRPr="005439F7">
        <w:lastRenderedPageBreak/>
        <w:t xml:space="preserve">The data obtained for </w:t>
      </w:r>
      <w:r>
        <w:t xml:space="preserve">the </w:t>
      </w:r>
      <w:r w:rsidRPr="005439F7">
        <w:t xml:space="preserve">reservoir quality analyses of the </w:t>
      </w:r>
      <w:r>
        <w:t xml:space="preserve">SR </w:t>
      </w:r>
      <w:r w:rsidRPr="005439F7">
        <w:t xml:space="preserve">outcrop samples include the </w:t>
      </w:r>
      <w:r>
        <w:t>measured stratigraphic section, the</w:t>
      </w:r>
      <w:r w:rsidRPr="005439F7">
        <w:t xml:space="preserve"> lithostratigraph</w:t>
      </w:r>
      <w:r>
        <w:t>ic descriptions</w:t>
      </w:r>
      <w:r w:rsidRPr="005439F7">
        <w:t xml:space="preserve">, </w:t>
      </w:r>
      <w:r>
        <w:t>the calculated s</w:t>
      </w:r>
      <w:r w:rsidRPr="005439F7">
        <w:t xml:space="preserve">canning </w:t>
      </w:r>
      <w:r>
        <w:t>e</w:t>
      </w:r>
      <w:r w:rsidRPr="005439F7">
        <w:t xml:space="preserve">lectron </w:t>
      </w:r>
      <w:r>
        <w:t>m</w:t>
      </w:r>
      <w:r w:rsidRPr="005439F7">
        <w:t>icroscopy (SEM) porosit</w:t>
      </w:r>
      <w:r>
        <w:t>y, thin section analyses</w:t>
      </w:r>
      <w:r w:rsidRPr="005439F7">
        <w:t xml:space="preserve">, </w:t>
      </w:r>
      <w:r>
        <w:t xml:space="preserve">and </w:t>
      </w:r>
      <w:r w:rsidRPr="005439F7">
        <w:t>X-</w:t>
      </w:r>
      <w:r>
        <w:t>r</w:t>
      </w:r>
      <w:r w:rsidRPr="005439F7">
        <w:t xml:space="preserve">ay </w:t>
      </w:r>
      <w:r>
        <w:t>d</w:t>
      </w:r>
      <w:r w:rsidRPr="005439F7">
        <w:t>iffraction (XRD) mineral content analys</w:t>
      </w:r>
      <w:r>
        <w:t>e</w:t>
      </w:r>
      <w:r w:rsidRPr="005439F7">
        <w:t>s</w:t>
      </w:r>
      <w:r>
        <w:t xml:space="preserve"> by Galvis (2017). In addition, this study includes and complements the measured X-ray fluorescence (XRF) for each of the 536 samples, with</w:t>
      </w:r>
      <w:r w:rsidRPr="005439F7">
        <w:t xml:space="preserve"> </w:t>
      </w:r>
      <w:r>
        <w:t xml:space="preserve">an </w:t>
      </w:r>
      <w:r w:rsidRPr="005439F7">
        <w:t>integrated geochemi</w:t>
      </w:r>
      <w:r>
        <w:t>cal characterization (%TOC, r</w:t>
      </w:r>
      <w:r w:rsidRPr="005439F7">
        <w:t xml:space="preserve">elative </w:t>
      </w:r>
      <w:r>
        <w:t>h</w:t>
      </w:r>
      <w:r w:rsidRPr="005439F7">
        <w:t xml:space="preserve">ydrocarbon </w:t>
      </w:r>
      <w:r>
        <w:t>p</w:t>
      </w:r>
      <w:r w:rsidRPr="005439F7">
        <w:t>otential</w:t>
      </w:r>
      <w:r>
        <w:t xml:space="preserve"> (</w:t>
      </w:r>
      <w:r w:rsidRPr="005439F7">
        <w:t>RHP</w:t>
      </w:r>
      <w:r>
        <w:t>), biomarker contents, and inorganic geochemistry elemental distribution</w:t>
      </w:r>
      <w:r w:rsidRPr="005439F7">
        <w:t xml:space="preserve"> profiles)</w:t>
      </w:r>
      <w:r>
        <w:t xml:space="preserve">. For integrating all of the multi-scale data set, an unsupervised machine learning </w:t>
      </w:r>
      <w:r w:rsidRPr="005D3020">
        <w:rPr>
          <w:i/>
        </w:rPr>
        <w:t xml:space="preserve">K-means </w:t>
      </w:r>
      <w:r>
        <w:t xml:space="preserve">clustering technique is utilized for performing geostatistical sorting and correlation of all these properties in each sample acquired in the SR outcrop. This unsupervised clustering allowed </w:t>
      </w:r>
      <w:r w:rsidR="00C403D1">
        <w:t xml:space="preserve">us </w:t>
      </w:r>
      <w:r>
        <w:t>to interpret and group the SR samples with statistical similarities as “</w:t>
      </w:r>
      <w:r w:rsidRPr="005D3020">
        <w:rPr>
          <w:i/>
        </w:rPr>
        <w:t>K-means facies</w:t>
      </w:r>
      <w:r>
        <w:t xml:space="preserve">.” </w:t>
      </w:r>
      <w:r w:rsidRPr="005439F7">
        <w:t xml:space="preserve"> </w:t>
      </w:r>
    </w:p>
    <w:p w14:paraId="446329A5" w14:textId="77777777" w:rsidR="00081C89" w:rsidRDefault="00081C89" w:rsidP="00081C89">
      <w:pPr>
        <w:pStyle w:val="Heading3"/>
        <w:numPr>
          <w:ilvl w:val="2"/>
          <w:numId w:val="10"/>
        </w:numPr>
        <w:spacing w:line="480" w:lineRule="auto"/>
      </w:pPr>
      <w:bookmarkStart w:id="152" w:name="_Toc355559690"/>
      <w:bookmarkStart w:id="153" w:name="_Toc355793510"/>
      <w:bookmarkStart w:id="154" w:name="_Toc25833551"/>
      <w:bookmarkStart w:id="155" w:name="_Toc29304867"/>
      <w:bookmarkStart w:id="156" w:name="_Toc35861107"/>
      <w:r w:rsidRPr="0006611A">
        <w:t xml:space="preserve">Organic </w:t>
      </w:r>
      <w:r>
        <w:t>g</w:t>
      </w:r>
      <w:r w:rsidRPr="0006611A">
        <w:t xml:space="preserve">eochemistry </w:t>
      </w:r>
      <w:r>
        <w:t>%</w:t>
      </w:r>
      <w:r w:rsidRPr="0006611A">
        <w:t xml:space="preserve">TOC and </w:t>
      </w:r>
      <w:bookmarkEnd w:id="152"/>
      <w:r w:rsidRPr="0006611A">
        <w:t xml:space="preserve">RHP </w:t>
      </w:r>
      <w:r>
        <w:t>p</w:t>
      </w:r>
      <w:r w:rsidRPr="0006611A">
        <w:t>rofiling</w:t>
      </w:r>
      <w:bookmarkEnd w:id="153"/>
      <w:bookmarkEnd w:id="154"/>
      <w:bookmarkEnd w:id="155"/>
      <w:bookmarkEnd w:id="156"/>
      <w:r w:rsidRPr="0006611A">
        <w:t xml:space="preserve"> </w:t>
      </w:r>
    </w:p>
    <w:p w14:paraId="2B4181EC" w14:textId="77777777" w:rsidR="00081C89" w:rsidRDefault="00081C89" w:rsidP="00081C89">
      <w:pPr>
        <w:spacing w:before="240"/>
        <w:ind w:firstLine="720"/>
      </w:pPr>
      <w:r w:rsidRPr="005439F7">
        <w:t>Rock</w:t>
      </w:r>
      <w:r>
        <w:t>-</w:t>
      </w:r>
      <w:r w:rsidRPr="005439F7">
        <w:t xml:space="preserve">Eval </w:t>
      </w:r>
      <w:r>
        <w:t>p</w:t>
      </w:r>
      <w:r w:rsidRPr="005439F7">
        <w:t>yrolysis results include weight %TOC, S1, S2, S3, Tmax, hydrogen index (HI), oxygen index (OI), and</w:t>
      </w:r>
      <w:r>
        <w:t xml:space="preserve"> a</w:t>
      </w:r>
      <w:r w:rsidRPr="005439F7">
        <w:t xml:space="preserve"> </w:t>
      </w:r>
      <w:r>
        <w:t xml:space="preserve">pseudo Van Krevelen </w:t>
      </w:r>
      <w:r w:rsidRPr="005439F7">
        <w:t>kerogen type</w:t>
      </w:r>
      <w:r w:rsidRPr="009C6A88">
        <w:t xml:space="preserve"> </w:t>
      </w:r>
      <w:r>
        <w:t>plot</w:t>
      </w:r>
      <w:r w:rsidRPr="005439F7">
        <w:t xml:space="preserve">. </w:t>
      </w:r>
      <w:r>
        <w:t xml:space="preserve"> The %</w:t>
      </w:r>
      <w:r w:rsidRPr="005439F7">
        <w:t xml:space="preserve">TOC results </w:t>
      </w:r>
      <w:r>
        <w:t>are</w:t>
      </w:r>
      <w:r w:rsidRPr="005439F7">
        <w:t xml:space="preserve"> graphically represented </w:t>
      </w:r>
      <w:r>
        <w:t>next to the outcrop Gamma-ray response, as typically performed in other shale systems (Figure 3.8)</w:t>
      </w:r>
      <w:r w:rsidRPr="005439F7">
        <w:t xml:space="preserve">.  The </w:t>
      </w:r>
      <w:r w:rsidRPr="001E7D67">
        <w:rPr>
          <w:color w:val="000000"/>
        </w:rPr>
        <w:t xml:space="preserve">relative hydrocarbon potential </w:t>
      </w:r>
      <w:r w:rsidRPr="005439F7">
        <w:t xml:space="preserve">(RHP) </w:t>
      </w:r>
      <w:r w:rsidRPr="001E7D67">
        <w:rPr>
          <w:color w:val="000000"/>
        </w:rPr>
        <w:t xml:space="preserve">has been proposed as a screening tool for indications of anoxic and oxic depositional </w:t>
      </w:r>
      <w:r w:rsidRPr="005439F7">
        <w:t>environmental conditions</w:t>
      </w:r>
      <w:r>
        <w:t xml:space="preserve"> (Fang et</w:t>
      </w:r>
      <w:r w:rsidRPr="005439F7">
        <w:t xml:space="preserve"> al., 1993).</w:t>
      </w:r>
      <w:r>
        <w:t xml:space="preserve"> According to Fang et al. (1993), the f</w:t>
      </w:r>
      <w:r w:rsidRPr="005439F7">
        <w:t>luctuations in oxygenation conditions are reflected by variations in the relative hydrocarbon potential ratio</w:t>
      </w:r>
      <w:r>
        <w:t>, which</w:t>
      </w:r>
      <w:r w:rsidRPr="005439F7">
        <w:t xml:space="preserve"> is calculated using the following equation</w:t>
      </w:r>
      <w:r>
        <w:t xml:space="preserve"> (3.1)</w:t>
      </w:r>
      <w:r w:rsidRPr="005439F7">
        <w:t>:</w:t>
      </w:r>
    </w:p>
    <w:p w14:paraId="0B22128E" w14:textId="77777777" w:rsidR="00081C89" w:rsidRDefault="00081C89" w:rsidP="00081C89">
      <w:pPr>
        <w:jc w:val="center"/>
      </w:pPr>
      <m:oMath>
        <m:r>
          <m:rPr>
            <m:sty m:val="p"/>
          </m:rPr>
          <w:rPr>
            <w:rFonts w:ascii="Cambria Math" w:hAnsi="Cambria Math"/>
            <w:sz w:val="28"/>
          </w:rPr>
          <m:t>RHP=</m:t>
        </m:r>
        <m:f>
          <m:fPr>
            <m:ctrlPr>
              <w:rPr>
                <w:rFonts w:ascii="Cambria Math" w:hAnsi="Cambria Math"/>
                <w:sz w:val="28"/>
              </w:rPr>
            </m:ctrlPr>
          </m:fPr>
          <m:num>
            <m:r>
              <m:rPr>
                <m:sty m:val="p"/>
              </m:rPr>
              <w:rPr>
                <w:rFonts w:ascii="Cambria Math" w:hAnsi="Cambria Math"/>
                <w:sz w:val="28"/>
              </w:rPr>
              <m:t>S1 mg HC/g+S2 mg HC/g</m:t>
            </m:r>
          </m:num>
          <m:den>
            <m:r>
              <m:rPr>
                <m:sty m:val="p"/>
              </m:rPr>
              <w:rPr>
                <w:rFonts w:ascii="Cambria Math" w:hAnsi="Cambria Math"/>
                <w:sz w:val="28"/>
              </w:rPr>
              <m:t>%TOC [wt.%]</m:t>
            </m:r>
          </m:den>
        </m:f>
      </m:oMath>
      <w:r>
        <w:t xml:space="preserve">      </w:t>
      </w:r>
      <w:r w:rsidRPr="005439F7">
        <w:t>Fang et al.</w:t>
      </w:r>
      <w:r>
        <w:t>,</w:t>
      </w:r>
      <w:r w:rsidRPr="005439F7">
        <w:t xml:space="preserve"> (1993)</w:t>
      </w:r>
      <w:r>
        <w:t xml:space="preserve"> </w:t>
      </w:r>
      <w:r>
        <w:tab/>
      </w:r>
      <w:r>
        <w:tab/>
      </w:r>
      <w:r>
        <w:tab/>
      </w:r>
      <w:r>
        <w:tab/>
        <w:t>(3.1)</w:t>
      </w:r>
    </w:p>
    <w:p w14:paraId="352E8091" w14:textId="77777777" w:rsidR="00081C89" w:rsidRDefault="00081C89" w:rsidP="00081C89">
      <w:pPr>
        <w:ind w:firstLine="720"/>
      </w:pPr>
      <w:r w:rsidRPr="005439F7">
        <w:lastRenderedPageBreak/>
        <w:t>Fang et al. (1993),</w:t>
      </w:r>
      <w:r>
        <w:t xml:space="preserve"> </w:t>
      </w:r>
      <w:r w:rsidRPr="005439F7">
        <w:t>Miceli-Romero (2010)</w:t>
      </w:r>
      <w:r>
        <w:t xml:space="preserve">, Rodriguez and Philp (2010), </w:t>
      </w:r>
      <w:r w:rsidRPr="005439F7">
        <w:t xml:space="preserve">Slatt </w:t>
      </w:r>
      <w:r>
        <w:t>and Rodriguez</w:t>
      </w:r>
      <w:r w:rsidRPr="005439F7">
        <w:t xml:space="preserve"> (201</w:t>
      </w:r>
      <w:r>
        <w:t>2</w:t>
      </w:r>
      <w:r w:rsidRPr="005439F7">
        <w:t>)</w:t>
      </w:r>
      <w:r>
        <w:t xml:space="preserve">, </w:t>
      </w:r>
      <w:r w:rsidRPr="006A1C88">
        <w:t>Albaghdady</w:t>
      </w:r>
      <w:r>
        <w:t xml:space="preserve"> (2013), Slatt (2013a, 2013b), Torres-Parada (2013), Rodriguez and Katz (2017),</w:t>
      </w:r>
      <w:r w:rsidRPr="005439F7">
        <w:t xml:space="preserve"> </w:t>
      </w:r>
      <w:r>
        <w:t xml:space="preserve">and Liborius-Parada (2019), all </w:t>
      </w:r>
      <w:r w:rsidRPr="005439F7">
        <w:t xml:space="preserve">noted stratigraphic variations in the RHP in the </w:t>
      </w:r>
      <w:r>
        <w:t xml:space="preserve">La Luna Shale, </w:t>
      </w:r>
      <w:r w:rsidRPr="005439F7">
        <w:t xml:space="preserve">Barnett </w:t>
      </w:r>
      <w:r>
        <w:t xml:space="preserve">Shale, </w:t>
      </w:r>
      <w:r w:rsidRPr="005439F7">
        <w:t xml:space="preserve">and Woodford </w:t>
      </w:r>
      <w:r>
        <w:t>S</w:t>
      </w:r>
      <w:r w:rsidRPr="005439F7">
        <w:t>hale</w:t>
      </w:r>
      <w:r>
        <w:t xml:space="preserve"> with their organic matter and mineralogy content</w:t>
      </w:r>
      <w:r w:rsidRPr="005439F7">
        <w:t xml:space="preserve">. In </w:t>
      </w:r>
      <w:r>
        <w:t xml:space="preserve">the case of the Barnett Shale (Singh, 2008; </w:t>
      </w:r>
      <w:r w:rsidRPr="00D150A7">
        <w:t>Slatt and Rodriguez</w:t>
      </w:r>
      <w:r>
        <w:t xml:space="preserve">, </w:t>
      </w:r>
      <w:r w:rsidRPr="00D150A7">
        <w:t>2012</w:t>
      </w:r>
      <w:r>
        <w:t>; Figure 3.8)</w:t>
      </w:r>
      <w:r w:rsidRPr="005439F7">
        <w:t>, it was observed that changes in oxygen levels</w:t>
      </w:r>
      <w:r>
        <w:t>,</w:t>
      </w:r>
      <w:r w:rsidRPr="005439F7">
        <w:t xml:space="preserve"> as indicated by the RHP</w:t>
      </w:r>
      <w:r>
        <w:t>,</w:t>
      </w:r>
      <w:r w:rsidRPr="005439F7">
        <w:t xml:space="preserve"> showed a good correlation with changes in relative sea</w:t>
      </w:r>
      <w:r>
        <w:t>-</w:t>
      </w:r>
      <w:r w:rsidRPr="005439F7">
        <w:t xml:space="preserve">level fluctuations derived from the stratigraphic interpretations. </w:t>
      </w:r>
      <w:r>
        <w:t>The d</w:t>
      </w:r>
      <w:r w:rsidRPr="005439F7">
        <w:t>epths with maximum RHP values (anoxic conditions) correspond with interpreted stratigraphic flooding surfaces, while minimum RHP values (oxic conditions) correlate with oxidizing conditions due to lowered sea level</w:t>
      </w:r>
      <w:r>
        <w:t xml:space="preserve"> (</w:t>
      </w:r>
      <w:r w:rsidRPr="005439F7">
        <w:t xml:space="preserve">Slatt </w:t>
      </w:r>
      <w:r>
        <w:t xml:space="preserve">and Rodriguez, </w:t>
      </w:r>
      <w:r w:rsidRPr="005439F7">
        <w:t>201</w:t>
      </w:r>
      <w:r>
        <w:t>2)</w:t>
      </w:r>
      <w:r w:rsidRPr="005439F7">
        <w:t>.</w:t>
      </w:r>
    </w:p>
    <w:p w14:paraId="5407103E" w14:textId="77777777" w:rsidR="00081C89" w:rsidRPr="005439F7" w:rsidRDefault="00081C89" w:rsidP="00081C89">
      <w:pPr>
        <w:spacing w:after="0" w:line="276" w:lineRule="auto"/>
        <w:jc w:val="center"/>
        <w:rPr>
          <w:b/>
          <w:i/>
          <w:color w:val="FF0000"/>
          <w:sz w:val="28"/>
        </w:rPr>
      </w:pPr>
      <w:r>
        <w:rPr>
          <w:b/>
          <w:i/>
          <w:noProof/>
          <w:color w:val="FF0000"/>
          <w:sz w:val="28"/>
        </w:rPr>
        <w:drawing>
          <wp:inline distT="0" distB="0" distL="0" distR="0" wp14:anchorId="79D93E25" wp14:editId="1E3214DE">
            <wp:extent cx="4970640" cy="3958590"/>
            <wp:effectExtent l="0" t="0" r="1905" b="381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82253" cy="3967839"/>
                    </a:xfrm>
                    <a:prstGeom prst="rect">
                      <a:avLst/>
                    </a:prstGeom>
                    <a:noFill/>
                  </pic:spPr>
                </pic:pic>
              </a:graphicData>
            </a:graphic>
          </wp:inline>
        </w:drawing>
      </w:r>
    </w:p>
    <w:p w14:paraId="2E0704FF" w14:textId="77777777" w:rsidR="00081C89" w:rsidRDefault="00081C89" w:rsidP="00081C89">
      <w:pPr>
        <w:pStyle w:val="Caption"/>
      </w:pPr>
      <w:bookmarkStart w:id="157" w:name="_Toc355793968"/>
      <w:bookmarkStart w:id="158" w:name="_Toc29308143"/>
      <w:bookmarkStart w:id="159" w:name="_Toc35861195"/>
      <w:r w:rsidRPr="003C2A21">
        <w:rPr>
          <w:b/>
        </w:rPr>
        <w:t>Figure 3</w:t>
      </w:r>
      <w:r>
        <w:rPr>
          <w:b/>
        </w:rPr>
        <w:t>.8</w:t>
      </w:r>
      <w:r w:rsidRPr="003C2A21">
        <w:rPr>
          <w:b/>
        </w:rPr>
        <w:t>.</w:t>
      </w:r>
      <w:r>
        <w:t xml:space="preserve"> </w:t>
      </w:r>
      <w:r w:rsidRPr="005439F7">
        <w:t>Comparison of relative sea level and RHP curves for the Barnett Shale. Changes in oxic conditions</w:t>
      </w:r>
      <w:r>
        <w:t>,</w:t>
      </w:r>
      <w:r w:rsidRPr="005439F7">
        <w:t xml:space="preserve"> as indicated by the RHP</w:t>
      </w:r>
      <w:r>
        <w:t>,</w:t>
      </w:r>
      <w:r w:rsidRPr="005439F7">
        <w:t xml:space="preserve"> show a positive correlation with fluctuations in relative sea level. Modified from Miceli-Romero (2010)</w:t>
      </w:r>
      <w:r>
        <w:t xml:space="preserve">, Singh (2008), </w:t>
      </w:r>
      <w:r w:rsidRPr="005439F7">
        <w:t xml:space="preserve">and Slatt </w:t>
      </w:r>
      <w:r>
        <w:t>and Rodriguez</w:t>
      </w:r>
      <w:r w:rsidRPr="005439F7">
        <w:t xml:space="preserve"> (201</w:t>
      </w:r>
      <w:r>
        <w:t>2).</w:t>
      </w:r>
      <w:bookmarkEnd w:id="157"/>
      <w:bookmarkEnd w:id="158"/>
      <w:bookmarkEnd w:id="159"/>
    </w:p>
    <w:p w14:paraId="5E5788BF" w14:textId="48933D6E" w:rsidR="00081C89" w:rsidRDefault="00081C89" w:rsidP="00081C89">
      <w:pPr>
        <w:spacing w:before="240" w:after="0"/>
        <w:ind w:firstLine="720"/>
      </w:pPr>
      <w:r>
        <w:lastRenderedPageBreak/>
        <w:t>For the SR section, the RHP shows a lot of variabilities that occur through all of the Woodford Shale members (Figure 3.9). The pre-Woodford section has an initial cycle of rising-falling-rising of sea level (Figure 3.9). The lowermost Woodford Shale starts with a relative sea-level falling stage and fluctuates with rising-falling cycles towards the maximum flooding surface (MFS), covering the Lower and Middle Woodford members (Figure 3.9, from 30 to 194.5 ft). The basal Upper Woodford member starts at 220.5 ft with a general trend of the sea-level drop, and then drastic variable rising-falling cycles occur in the uppermost Upper Woodford member (Figure 3.9, 250-314 ft.). This Upper Woodford RHP variability, when compared to the %TOC and S1 curves in Figure 3.9, is not representative of rising and falling sea-level stages</w:t>
      </w:r>
      <w:r w:rsidR="00C403D1">
        <w:t>. I</w:t>
      </w:r>
      <w:r>
        <w:t xml:space="preserve">t is representing that RHP in the Upper member is affected by the high S1 peak from the migrated hydrocarbons that charge this member. In the SR outcrop, these RHP variabilities in the Upper Woodford member correlate to the high %TOC and S1 values that are associated with migrated hydrocarbons charging the microfractures in the Upper Woodford siliceous and chert rich shales (Figure 3.9, values higher than 10% from 250-310 ft). The Upper Woodford member has an overall falling sea level, as interpreted by Miceli-Romero and Philp (2012), Turner et al. (2015), Connock et al. (2018), Molinares (2019), and Philp and DeGarmo (2020). In this SR Woodford section, these RHP values are anomalous for this Upper member. </w:t>
      </w:r>
    </w:p>
    <w:p w14:paraId="5F25E69E" w14:textId="77777777" w:rsidR="00081C89" w:rsidRDefault="00081C89" w:rsidP="00081C89">
      <w:pPr>
        <w:spacing w:after="0" w:line="276" w:lineRule="auto"/>
        <w:jc w:val="center"/>
        <w:rPr>
          <w:lang w:bidi="en-US"/>
        </w:rPr>
      </w:pPr>
      <w:r>
        <w:rPr>
          <w:noProof/>
        </w:rPr>
        <w:lastRenderedPageBreak/>
        <w:drawing>
          <wp:inline distT="0" distB="0" distL="0" distR="0" wp14:anchorId="02575335" wp14:editId="6B1FC176">
            <wp:extent cx="5761355" cy="704850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1355" cy="7048500"/>
                    </a:xfrm>
                    <a:prstGeom prst="rect">
                      <a:avLst/>
                    </a:prstGeom>
                    <a:noFill/>
                  </pic:spPr>
                </pic:pic>
              </a:graphicData>
            </a:graphic>
          </wp:inline>
        </w:drawing>
      </w:r>
    </w:p>
    <w:p w14:paraId="4C0D366E" w14:textId="77777777" w:rsidR="00081C89" w:rsidRPr="00DD4B9E" w:rsidRDefault="00081C89" w:rsidP="00081C89">
      <w:pPr>
        <w:pStyle w:val="Caption"/>
      </w:pPr>
      <w:bookmarkStart w:id="160" w:name="_Toc35861196"/>
      <w:r w:rsidRPr="00DD4B9E">
        <w:rPr>
          <w:b/>
          <w:bCs w:val="0"/>
        </w:rPr>
        <w:t>Figure 3.9.</w:t>
      </w:r>
      <w:r>
        <w:t xml:space="preserve"> RHP curve in the Speake Ranch outcrop. MFS = maximum flooding surface.</w:t>
      </w:r>
      <w:bookmarkEnd w:id="160"/>
    </w:p>
    <w:p w14:paraId="31EDFD8B" w14:textId="77777777" w:rsidR="00081C89" w:rsidRPr="001E7D67" w:rsidRDefault="00081C89" w:rsidP="00081C89">
      <w:pPr>
        <w:pStyle w:val="Heading3"/>
        <w:numPr>
          <w:ilvl w:val="2"/>
          <w:numId w:val="10"/>
        </w:numPr>
        <w:spacing w:before="240"/>
        <w:rPr>
          <w:color w:val="000000"/>
        </w:rPr>
      </w:pPr>
      <w:bookmarkStart w:id="161" w:name="_Toc25833552"/>
      <w:bookmarkStart w:id="162" w:name="_Toc29304868"/>
      <w:bookmarkStart w:id="163" w:name="_Toc35861108"/>
      <w:r w:rsidRPr="00571A9A">
        <w:lastRenderedPageBreak/>
        <w:t xml:space="preserve">Sample </w:t>
      </w:r>
      <w:r>
        <w:t>h</w:t>
      </w:r>
      <w:r w:rsidRPr="00571A9A">
        <w:t xml:space="preserve">andling and </w:t>
      </w:r>
      <w:r>
        <w:t>p</w:t>
      </w:r>
      <w:r w:rsidRPr="00571A9A">
        <w:t>reparation</w:t>
      </w:r>
      <w:bookmarkEnd w:id="161"/>
      <w:bookmarkEnd w:id="162"/>
      <w:bookmarkEnd w:id="163"/>
    </w:p>
    <w:p w14:paraId="12248056" w14:textId="77777777" w:rsidR="00081C89" w:rsidRDefault="00081C89" w:rsidP="00081C89">
      <w:pPr>
        <w:spacing w:before="240"/>
        <w:ind w:firstLine="720"/>
      </w:pPr>
      <w:r w:rsidRPr="003917EA">
        <w:t>Forty-five</w:t>
      </w:r>
      <w:r w:rsidRPr="00571A9A">
        <w:t xml:space="preserve"> outcrop samples</w:t>
      </w:r>
      <w:r>
        <w:t xml:space="preserve">, out of the 536 collected by Galvis (2017), </w:t>
      </w:r>
      <w:r w:rsidRPr="00571A9A">
        <w:t xml:space="preserve">were taken from the </w:t>
      </w:r>
      <w:r>
        <w:t>SR section for the Woodford Shale. For compound recognition and comparison of the polycyclic aromatic hydrocarbons, an international coal tar standard was analyzed (</w:t>
      </w:r>
      <w:r w:rsidRPr="003E4AD8">
        <w:t>coal tar standard reference material #1597</w:t>
      </w:r>
      <w:r>
        <w:t xml:space="preserve">). </w:t>
      </w:r>
      <w:r w:rsidRPr="00571A9A">
        <w:t>Between 50 and 100</w:t>
      </w:r>
      <w:r>
        <w:t>g</w:t>
      </w:r>
      <w:r w:rsidRPr="00571A9A">
        <w:t xml:space="preserve"> of rock were taken for each sample at approximately 1f</w:t>
      </w:r>
      <w:r>
        <w:t>t</w:t>
      </w:r>
      <w:r w:rsidRPr="00571A9A">
        <w:t xml:space="preserve"> </w:t>
      </w:r>
      <w:r>
        <w:t>back into the outcrop from the surface by Galvis (2017) and used in this study</w:t>
      </w:r>
      <w:r w:rsidRPr="00571A9A">
        <w:t xml:space="preserve">. </w:t>
      </w:r>
    </w:p>
    <w:p w14:paraId="1D5C179F" w14:textId="77777777" w:rsidR="00081C89" w:rsidRPr="001E7D67" w:rsidRDefault="00081C89" w:rsidP="00081C89">
      <w:pPr>
        <w:pStyle w:val="Heading3"/>
        <w:numPr>
          <w:ilvl w:val="2"/>
          <w:numId w:val="10"/>
        </w:numPr>
      </w:pPr>
      <w:bookmarkStart w:id="164" w:name="_Toc25833553"/>
      <w:bookmarkStart w:id="165" w:name="_Toc29304869"/>
      <w:bookmarkStart w:id="166" w:name="_Toc35861109"/>
      <w:r w:rsidRPr="001E7D67">
        <w:t xml:space="preserve">Rock-Eval pyrolysis, </w:t>
      </w:r>
      <w:r>
        <w:t>t</w:t>
      </w:r>
      <w:r w:rsidRPr="001E7D67">
        <w:t xml:space="preserve">otal </w:t>
      </w:r>
      <w:r>
        <w:t>o</w:t>
      </w:r>
      <w:r w:rsidRPr="001E7D67">
        <w:t xml:space="preserve">rganic </w:t>
      </w:r>
      <w:r>
        <w:t>c</w:t>
      </w:r>
      <w:r w:rsidRPr="001E7D67">
        <w:t>arbon (</w:t>
      </w:r>
      <w:r>
        <w:t>%</w:t>
      </w:r>
      <w:r w:rsidRPr="001E7D67">
        <w:t xml:space="preserve">TOC), and X-Ray </w:t>
      </w:r>
      <w:r>
        <w:t>f</w:t>
      </w:r>
      <w:r w:rsidRPr="001E7D67">
        <w:t>luorescence (XRF).</w:t>
      </w:r>
      <w:bookmarkEnd w:id="164"/>
      <w:bookmarkEnd w:id="165"/>
      <w:bookmarkEnd w:id="166"/>
    </w:p>
    <w:p w14:paraId="7102E0F6" w14:textId="004964D7" w:rsidR="00081C89" w:rsidRDefault="00081C89" w:rsidP="00081C89">
      <w:pPr>
        <w:ind w:firstLine="720"/>
        <w:rPr>
          <w:color w:val="000000"/>
        </w:rPr>
      </w:pPr>
      <w:r w:rsidRPr="001E7D67">
        <w:rPr>
          <w:color w:val="000000"/>
        </w:rPr>
        <w:t xml:space="preserve">For performing the screening analysis of organic matter content in the acquired samples at the </w:t>
      </w:r>
      <w:r>
        <w:rPr>
          <w:color w:val="000000"/>
        </w:rPr>
        <w:t>SR</w:t>
      </w:r>
      <w:r w:rsidRPr="001E7D67">
        <w:rPr>
          <w:color w:val="000000"/>
        </w:rPr>
        <w:t xml:space="preserve">, one gram of each of the 536 samples in the Ranch was crushed and sent to GeoMark™ (Houston, TX) for courtesy Rock-Eval pyrolysis and </w:t>
      </w:r>
      <w:r>
        <w:rPr>
          <w:color w:val="000000"/>
        </w:rPr>
        <w:t>%</w:t>
      </w:r>
      <w:r w:rsidRPr="001E7D67">
        <w:rPr>
          <w:color w:val="000000"/>
        </w:rPr>
        <w:t>TOC measurements. The studies of Galvis (2017) and Galvis et al. (2017</w:t>
      </w:r>
      <w:r>
        <w:rPr>
          <w:color w:val="000000"/>
        </w:rPr>
        <w:t>a</w:t>
      </w:r>
      <w:r w:rsidRPr="001E7D67">
        <w:rPr>
          <w:color w:val="000000"/>
        </w:rPr>
        <w:t xml:space="preserve">) </w:t>
      </w:r>
      <w:r>
        <w:rPr>
          <w:color w:val="000000"/>
        </w:rPr>
        <w:t>included</w:t>
      </w:r>
      <w:r w:rsidRPr="001E7D67">
        <w:rPr>
          <w:color w:val="000000"/>
        </w:rPr>
        <w:t xml:space="preserve"> Rock-Eval pyrolysis analyses on 120 samples out of the 536 from this </w:t>
      </w:r>
      <w:r>
        <w:rPr>
          <w:color w:val="000000"/>
        </w:rPr>
        <w:t xml:space="preserve">SR </w:t>
      </w:r>
      <w:r w:rsidRPr="001E7D67">
        <w:rPr>
          <w:color w:val="000000"/>
        </w:rPr>
        <w:t>section</w:t>
      </w:r>
      <w:r>
        <w:rPr>
          <w:color w:val="000000"/>
        </w:rPr>
        <w:t>;</w:t>
      </w:r>
      <w:r w:rsidRPr="001E7D67">
        <w:rPr>
          <w:color w:val="000000"/>
        </w:rPr>
        <w:t xml:space="preserve"> therefore, this study presents a high-resolution, more detailed characterization of the organic matter content (OM), hydrogen index (HI), oxygen index (OI), and relative hydrocarbon potential (RHP) in each sample collected within the 314ft Woodford stratigraphic section (one sample was collected every half foot, including pre-Woodford and Post-Woodford strata). Peters and Cassa (1994) described that </w:t>
      </w:r>
      <w:r>
        <w:rPr>
          <w:color w:val="000000"/>
        </w:rPr>
        <w:t xml:space="preserve">to </w:t>
      </w:r>
      <w:r w:rsidRPr="001E7D67">
        <w:rPr>
          <w:color w:val="000000"/>
        </w:rPr>
        <w:t>determin</w:t>
      </w:r>
      <w:r>
        <w:rPr>
          <w:color w:val="000000"/>
        </w:rPr>
        <w:t>e</w:t>
      </w:r>
      <w:r w:rsidRPr="001E7D67">
        <w:rPr>
          <w:color w:val="000000"/>
        </w:rPr>
        <w:t xml:space="preserve"> the</w:t>
      </w:r>
      <w:r>
        <w:rPr>
          <w:color w:val="000000"/>
        </w:rPr>
        <w:t xml:space="preserve"> </w:t>
      </w:r>
      <w:r w:rsidRPr="001E7D67">
        <w:rPr>
          <w:color w:val="000000"/>
        </w:rPr>
        <w:t xml:space="preserve"> %TOC content in a rock sample</w:t>
      </w:r>
      <w:r w:rsidR="00C403D1">
        <w:rPr>
          <w:color w:val="000000"/>
        </w:rPr>
        <w:t>. T</w:t>
      </w:r>
      <w:r w:rsidRPr="001E7D67">
        <w:rPr>
          <w:color w:val="000000"/>
        </w:rPr>
        <w:t xml:space="preserve">he ground rock is acidified </w:t>
      </w:r>
      <w:r>
        <w:rPr>
          <w:color w:val="000000"/>
        </w:rPr>
        <w:t>with</w:t>
      </w:r>
      <w:r w:rsidRPr="001E7D67">
        <w:rPr>
          <w:color w:val="000000"/>
        </w:rPr>
        <w:t xml:space="preserve"> hydrochloric acid (HCl) to remove carbonate material, then combusted in a Leco carbon analyzer at 1,000 °C. The CO</w:t>
      </w:r>
      <w:r w:rsidRPr="001E7D67">
        <w:rPr>
          <w:color w:val="000000"/>
          <w:vertAlign w:val="subscript"/>
        </w:rPr>
        <w:t xml:space="preserve">2 </w:t>
      </w:r>
      <w:r w:rsidRPr="001E7D67">
        <w:rPr>
          <w:color w:val="000000"/>
        </w:rPr>
        <w:t xml:space="preserve">released from the combustion is detected by infrared detectors and used to calculate </w:t>
      </w:r>
      <w:r>
        <w:rPr>
          <w:color w:val="000000"/>
        </w:rPr>
        <w:t>%</w:t>
      </w:r>
      <w:r w:rsidRPr="001E7D67">
        <w:rPr>
          <w:color w:val="000000"/>
        </w:rPr>
        <w:t xml:space="preserve">TOC. </w:t>
      </w:r>
    </w:p>
    <w:p w14:paraId="167D3209" w14:textId="283026B1" w:rsidR="00081C89" w:rsidRPr="001E7D67" w:rsidRDefault="00081C89" w:rsidP="00081C89">
      <w:pPr>
        <w:ind w:firstLine="720"/>
        <w:rPr>
          <w:color w:val="000000"/>
        </w:rPr>
      </w:pPr>
      <w:r w:rsidRPr="001E7D67">
        <w:rPr>
          <w:color w:val="000000"/>
        </w:rPr>
        <w:t xml:space="preserve">For the pyrolysis measurements, the samples </w:t>
      </w:r>
      <w:r>
        <w:rPr>
          <w:color w:val="000000"/>
        </w:rPr>
        <w:t>were</w:t>
      </w:r>
      <w:r w:rsidRPr="001E7D67">
        <w:rPr>
          <w:color w:val="000000"/>
        </w:rPr>
        <w:t xml:space="preserve"> heated at a programmed temperature rate of 25 °C per minute, and a flame ionization detector measure</w:t>
      </w:r>
      <w:r>
        <w:rPr>
          <w:color w:val="000000"/>
        </w:rPr>
        <w:t>d</w:t>
      </w:r>
      <w:r w:rsidRPr="001E7D67">
        <w:rPr>
          <w:color w:val="000000"/>
        </w:rPr>
        <w:t xml:space="preserve"> the released hydrocarbons. As a part of th</w:t>
      </w:r>
      <w:r>
        <w:rPr>
          <w:color w:val="000000"/>
        </w:rPr>
        <w:t>e</w:t>
      </w:r>
      <w:r w:rsidRPr="001E7D67">
        <w:rPr>
          <w:color w:val="000000"/>
        </w:rPr>
        <w:t xml:space="preserve"> screening methodology, many bulk data measurements were </w:t>
      </w:r>
      <w:r w:rsidR="00FC03F7" w:rsidRPr="001E7D67">
        <w:rPr>
          <w:color w:val="000000"/>
        </w:rPr>
        <w:t>made</w:t>
      </w:r>
      <w:r w:rsidRPr="001E7D67">
        <w:rPr>
          <w:color w:val="000000"/>
        </w:rPr>
        <w:t xml:space="preserve"> percent carbonate </w:t>
      </w:r>
      <w:r w:rsidRPr="001E7D67">
        <w:rPr>
          <w:color w:val="000000"/>
        </w:rPr>
        <w:lastRenderedPageBreak/>
        <w:t>(</w:t>
      </w:r>
      <w:r w:rsidR="00FC03F7" w:rsidRPr="001E7D67">
        <w:rPr>
          <w:color w:val="000000"/>
        </w:rPr>
        <w:t>wt.</w:t>
      </w:r>
      <w:r w:rsidRPr="001E7D67">
        <w:rPr>
          <w:color w:val="000000"/>
        </w:rPr>
        <w:t>%), %TOC (</w:t>
      </w:r>
      <w:r w:rsidR="00FC03F7" w:rsidRPr="001E7D67">
        <w:rPr>
          <w:color w:val="000000"/>
        </w:rPr>
        <w:t>wt.</w:t>
      </w:r>
      <w:r w:rsidRPr="001E7D67">
        <w:rPr>
          <w:color w:val="000000"/>
        </w:rPr>
        <w:t>%), Rock-Eval S1 (mg HC/g), S2 (mg HC/g), S3 (mg CO2/g), and Tmax (°C).  From these measurements, specific calculations were undertaken to obtain other meaningful values: calculated relative maturity levels of vitrinite reflectance (%Ro), hydrogen index (HI; S2*100/</w:t>
      </w:r>
      <w:r>
        <w:rPr>
          <w:color w:val="000000"/>
        </w:rPr>
        <w:t>%</w:t>
      </w:r>
      <w:r w:rsidRPr="001E7D67">
        <w:rPr>
          <w:color w:val="000000"/>
        </w:rPr>
        <w:t>TOC), oxygen index (OI; S3*100/</w:t>
      </w:r>
      <w:r>
        <w:rPr>
          <w:color w:val="000000"/>
        </w:rPr>
        <w:t>%</w:t>
      </w:r>
      <w:r w:rsidRPr="001E7D67">
        <w:rPr>
          <w:color w:val="000000"/>
        </w:rPr>
        <w:t>TOC), S2/S3 concentration (mg HC/mg CO2), S1/</w:t>
      </w:r>
      <w:r>
        <w:rPr>
          <w:color w:val="000000"/>
        </w:rPr>
        <w:t>%</w:t>
      </w:r>
      <w:r w:rsidRPr="001E7D67">
        <w:rPr>
          <w:color w:val="000000"/>
        </w:rPr>
        <w:t>TOC normal oil content, and production index (PI=S1/[S1+S2]).</w:t>
      </w:r>
    </w:p>
    <w:p w14:paraId="5BF52FB3" w14:textId="77777777" w:rsidR="00081C89" w:rsidRDefault="00081C89" w:rsidP="00081C89">
      <w:pPr>
        <w:ind w:firstLine="720"/>
        <w:rPr>
          <w:color w:val="000000"/>
        </w:rPr>
      </w:pPr>
      <w:r w:rsidRPr="001E7D67">
        <w:rPr>
          <w:color w:val="000000"/>
        </w:rPr>
        <w:t>The pseudo van Krevelen diagrams (Figure 3.</w:t>
      </w:r>
      <w:r>
        <w:rPr>
          <w:color w:val="000000"/>
        </w:rPr>
        <w:t>10 -</w:t>
      </w:r>
      <w:r w:rsidRPr="001E7D67">
        <w:rPr>
          <w:color w:val="000000"/>
        </w:rPr>
        <w:t xml:space="preserve"> 3.1</w:t>
      </w:r>
      <w:r>
        <w:rPr>
          <w:color w:val="000000"/>
        </w:rPr>
        <w:t>2</w:t>
      </w:r>
      <w:r w:rsidRPr="001E7D67">
        <w:rPr>
          <w:color w:val="000000"/>
        </w:rPr>
        <w:t xml:space="preserve">) were applied for screening the organic matter content and variability along with the Woodford </w:t>
      </w:r>
      <w:r>
        <w:rPr>
          <w:color w:val="000000"/>
        </w:rPr>
        <w:t>S</w:t>
      </w:r>
      <w:r w:rsidRPr="001E7D67">
        <w:rPr>
          <w:color w:val="000000"/>
        </w:rPr>
        <w:t xml:space="preserve">hale members and lithofacies described by Galvis (2017). </w:t>
      </w:r>
      <w:r>
        <w:rPr>
          <w:color w:val="000000"/>
        </w:rPr>
        <w:t>T</w:t>
      </w:r>
      <w:r w:rsidRPr="001E7D67">
        <w:rPr>
          <w:color w:val="000000"/>
        </w:rPr>
        <w:t xml:space="preserve">he </w:t>
      </w:r>
      <w:r>
        <w:rPr>
          <w:color w:val="000000"/>
        </w:rPr>
        <w:t>%</w:t>
      </w:r>
      <w:r w:rsidRPr="001E7D67">
        <w:rPr>
          <w:color w:val="000000"/>
        </w:rPr>
        <w:t xml:space="preserve">TOC content for the </w:t>
      </w:r>
      <w:r>
        <w:rPr>
          <w:color w:val="000000"/>
        </w:rPr>
        <w:t>L</w:t>
      </w:r>
      <w:r w:rsidRPr="001E7D67">
        <w:rPr>
          <w:color w:val="000000"/>
        </w:rPr>
        <w:t xml:space="preserve">ower Woodford member varies from 0 to 20%, the HI from 300-780 (mg HC/g), and the OI from 0-20 (mg HC/g); for the  </w:t>
      </w:r>
      <w:r>
        <w:rPr>
          <w:color w:val="000000"/>
        </w:rPr>
        <w:t>M</w:t>
      </w:r>
      <w:r w:rsidRPr="001E7D67">
        <w:rPr>
          <w:color w:val="000000"/>
        </w:rPr>
        <w:t xml:space="preserve">iddle Woodford member, the </w:t>
      </w:r>
      <w:r>
        <w:rPr>
          <w:color w:val="000000"/>
        </w:rPr>
        <w:t>%</w:t>
      </w:r>
      <w:r w:rsidRPr="001E7D67">
        <w:rPr>
          <w:color w:val="000000"/>
        </w:rPr>
        <w:t xml:space="preserve">TOC varies from 0 to 16%, the HI from 40-600(mg HC/g),  and the OI from 5-200 (mg HC/g);  and for the  </w:t>
      </w:r>
      <w:r>
        <w:rPr>
          <w:color w:val="000000"/>
        </w:rPr>
        <w:t>U</w:t>
      </w:r>
      <w:r w:rsidRPr="001E7D67">
        <w:rPr>
          <w:color w:val="000000"/>
        </w:rPr>
        <w:t xml:space="preserve">pper Woodford member, the </w:t>
      </w:r>
      <w:r>
        <w:rPr>
          <w:color w:val="000000"/>
        </w:rPr>
        <w:t>%</w:t>
      </w:r>
      <w:r w:rsidRPr="001E7D67">
        <w:rPr>
          <w:color w:val="000000"/>
        </w:rPr>
        <w:t>TOC varies from 0 to 35%, the HI from 2-700 (mg HC/g),  and the OI from 8-180 (mg HC/g)</w:t>
      </w:r>
      <w:r>
        <w:rPr>
          <w:color w:val="000000"/>
        </w:rPr>
        <w:t>.</w:t>
      </w:r>
      <w:r w:rsidRPr="001E7D67">
        <w:rPr>
          <w:color w:val="000000"/>
        </w:rPr>
        <w:t xml:space="preserve"> The samples</w:t>
      </w:r>
      <w:r>
        <w:rPr>
          <w:color w:val="000000"/>
        </w:rPr>
        <w:t xml:space="preserve"> in the Upper Woodford</w:t>
      </w:r>
      <w:r w:rsidRPr="001E7D67">
        <w:rPr>
          <w:color w:val="000000"/>
        </w:rPr>
        <w:t xml:space="preserve"> of </w:t>
      </w:r>
      <w:r>
        <w:rPr>
          <w:color w:val="000000"/>
        </w:rPr>
        <w:t>%</w:t>
      </w:r>
      <w:r w:rsidRPr="001E7D67">
        <w:rPr>
          <w:color w:val="000000"/>
        </w:rPr>
        <w:t>TOC higher than 15% and HI higher than 550 in this member are susp</w:t>
      </w:r>
      <w:r>
        <w:rPr>
          <w:color w:val="000000"/>
        </w:rPr>
        <w:t>ected</w:t>
      </w:r>
      <w:r w:rsidRPr="001E7D67">
        <w:rPr>
          <w:color w:val="000000"/>
        </w:rPr>
        <w:t xml:space="preserve"> of </w:t>
      </w:r>
      <w:r>
        <w:rPr>
          <w:color w:val="000000"/>
        </w:rPr>
        <w:t>possibly containing</w:t>
      </w:r>
      <w:r w:rsidRPr="001E7D67">
        <w:rPr>
          <w:color w:val="000000"/>
        </w:rPr>
        <w:t xml:space="preserve"> migrated hydrocarbons charging the silica-rich lithologies through microfractures filled with bitumen, as described by Galvis (2017)</w:t>
      </w:r>
      <w:r>
        <w:rPr>
          <w:color w:val="000000"/>
        </w:rPr>
        <w:t>,</w:t>
      </w:r>
      <w:r w:rsidRPr="001E7D67">
        <w:rPr>
          <w:color w:val="000000"/>
        </w:rPr>
        <w:t xml:space="preserve"> </w:t>
      </w:r>
      <w:r>
        <w:rPr>
          <w:color w:val="000000"/>
        </w:rPr>
        <w:t>and Milad and Slatt (2018) for</w:t>
      </w:r>
      <w:r w:rsidRPr="001E7D67">
        <w:rPr>
          <w:color w:val="000000"/>
        </w:rPr>
        <w:t xml:space="preserve"> the </w:t>
      </w:r>
      <w:r>
        <w:rPr>
          <w:color w:val="000000"/>
        </w:rPr>
        <w:t>U</w:t>
      </w:r>
      <w:r w:rsidRPr="001E7D67">
        <w:rPr>
          <w:color w:val="000000"/>
        </w:rPr>
        <w:t xml:space="preserve">pper Woodford member. </w:t>
      </w:r>
    </w:p>
    <w:p w14:paraId="6833DB37" w14:textId="77777777" w:rsidR="00081C89" w:rsidRDefault="00081C89" w:rsidP="00081C89">
      <w:pPr>
        <w:spacing w:after="0"/>
        <w:jc w:val="center"/>
        <w:rPr>
          <w:color w:val="000000"/>
        </w:rPr>
        <w:sectPr w:rsidR="00081C89" w:rsidSect="0095456D">
          <w:pgSz w:w="12240" w:h="15840"/>
          <w:pgMar w:top="1440" w:right="1440" w:bottom="1440" w:left="1440" w:header="720" w:footer="720" w:gutter="0"/>
          <w:cols w:space="720"/>
          <w:docGrid w:linePitch="360"/>
        </w:sectPr>
      </w:pPr>
    </w:p>
    <w:p w14:paraId="286DAA1E" w14:textId="77777777" w:rsidR="00081C89" w:rsidRPr="001E7D67" w:rsidRDefault="00081C89" w:rsidP="00081C89">
      <w:pPr>
        <w:spacing w:after="0"/>
        <w:jc w:val="center"/>
        <w:rPr>
          <w:color w:val="000000"/>
        </w:rPr>
      </w:pPr>
      <w:r>
        <w:rPr>
          <w:noProof/>
          <w:color w:val="000000"/>
        </w:rPr>
        <w:lastRenderedPageBreak/>
        <w:drawing>
          <wp:inline distT="0" distB="0" distL="0" distR="0" wp14:anchorId="3C4DC853" wp14:editId="0F0AFDAF">
            <wp:extent cx="7547610" cy="5017135"/>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547610" cy="5017135"/>
                    </a:xfrm>
                    <a:prstGeom prst="rect">
                      <a:avLst/>
                    </a:prstGeom>
                    <a:noFill/>
                  </pic:spPr>
                </pic:pic>
              </a:graphicData>
            </a:graphic>
          </wp:inline>
        </w:drawing>
      </w:r>
    </w:p>
    <w:p w14:paraId="12241246" w14:textId="77777777" w:rsidR="00081C89" w:rsidRPr="001E7D67" w:rsidRDefault="00081C89" w:rsidP="00081C89">
      <w:pPr>
        <w:pStyle w:val="Caption"/>
      </w:pPr>
      <w:bookmarkStart w:id="167" w:name="_Toc29308144"/>
      <w:bookmarkStart w:id="168" w:name="_Toc35861197"/>
      <w:r w:rsidRPr="001E7D67">
        <w:rPr>
          <w:b/>
        </w:rPr>
        <w:t>Figure 3.</w:t>
      </w:r>
      <w:r>
        <w:rPr>
          <w:b/>
        </w:rPr>
        <w:t>10</w:t>
      </w:r>
      <w:r w:rsidRPr="001E7D67">
        <w:rPr>
          <w:b/>
        </w:rPr>
        <w:t>.</w:t>
      </w:r>
      <w:r w:rsidRPr="001E7D67">
        <w:t xml:space="preserve"> Modified </w:t>
      </w:r>
      <w:r>
        <w:t>p</w:t>
      </w:r>
      <w:r w:rsidRPr="001E7D67">
        <w:t xml:space="preserve">seudo van Krevelen plot for the 536 Speake Ranch samples. There are two trends in this plot, where high HI content and low OI are associated with anoxic restricted intervals and correspond to mostly the </w:t>
      </w:r>
      <w:r>
        <w:t>L</w:t>
      </w:r>
      <w:r w:rsidRPr="001E7D67">
        <w:t xml:space="preserve">ower and </w:t>
      </w:r>
      <w:r>
        <w:t>M</w:t>
      </w:r>
      <w:r w:rsidRPr="001E7D67">
        <w:t xml:space="preserve">iddle Woodford member samples. Some of the </w:t>
      </w:r>
      <w:r>
        <w:t>M</w:t>
      </w:r>
      <w:r w:rsidRPr="001E7D67">
        <w:t xml:space="preserve">iddle Woodford and </w:t>
      </w:r>
      <w:r>
        <w:t>U</w:t>
      </w:r>
      <w:r w:rsidRPr="001E7D67">
        <w:t xml:space="preserve">pper Woodford samples are transitional (in between these two significant clusters), and most of the </w:t>
      </w:r>
      <w:r>
        <w:t>U</w:t>
      </w:r>
      <w:r w:rsidRPr="001E7D67">
        <w:t>pper Woodford member samples yield in the cluster of more oxic conditions (HI&lt;200 mg HC/g, and OI&gt;60 mg HC/g).</w:t>
      </w:r>
      <w:bookmarkEnd w:id="167"/>
      <w:bookmarkEnd w:id="168"/>
    </w:p>
    <w:p w14:paraId="0CDDC4F3" w14:textId="77777777" w:rsidR="00081C89" w:rsidRPr="001E7D67" w:rsidRDefault="00081C89" w:rsidP="00081C89">
      <w:pPr>
        <w:spacing w:after="0"/>
        <w:jc w:val="center"/>
        <w:rPr>
          <w:color w:val="000000"/>
        </w:rPr>
      </w:pPr>
      <w:r>
        <w:rPr>
          <w:noProof/>
          <w:color w:val="000000"/>
        </w:rPr>
        <w:lastRenderedPageBreak/>
        <w:drawing>
          <wp:inline distT="0" distB="0" distL="0" distR="0" wp14:anchorId="33B2DAC6" wp14:editId="6F7F9A3F">
            <wp:extent cx="7266940" cy="4901565"/>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66940" cy="4901565"/>
                    </a:xfrm>
                    <a:prstGeom prst="rect">
                      <a:avLst/>
                    </a:prstGeom>
                    <a:noFill/>
                  </pic:spPr>
                </pic:pic>
              </a:graphicData>
            </a:graphic>
          </wp:inline>
        </w:drawing>
      </w:r>
    </w:p>
    <w:p w14:paraId="32D956A0" w14:textId="77777777" w:rsidR="00081C89" w:rsidRPr="001E7D67" w:rsidRDefault="00081C89" w:rsidP="00081C89">
      <w:pPr>
        <w:pStyle w:val="Caption"/>
      </w:pPr>
      <w:bookmarkStart w:id="169" w:name="_Toc29308145"/>
      <w:bookmarkStart w:id="170" w:name="_Toc35861198"/>
      <w:r w:rsidRPr="001E7D67">
        <w:rPr>
          <w:b/>
        </w:rPr>
        <w:t>Figure 3.1</w:t>
      </w:r>
      <w:r>
        <w:rPr>
          <w:b/>
        </w:rPr>
        <w:t>1</w:t>
      </w:r>
      <w:r w:rsidRPr="001E7D67">
        <w:rPr>
          <w:b/>
        </w:rPr>
        <w:t>.</w:t>
      </w:r>
      <w:r w:rsidRPr="001E7D67">
        <w:t xml:space="preserve"> Modified pseudo van Krevelen plot for the 536 Speake Ranch samples grouped per member. Mostly all of the </w:t>
      </w:r>
      <w:r>
        <w:t>L</w:t>
      </w:r>
      <w:r w:rsidRPr="001E7D67">
        <w:t xml:space="preserve">ower Woodford member samples have high HI (&gt;400) and </w:t>
      </w:r>
      <w:r>
        <w:t>l</w:t>
      </w:r>
      <w:r w:rsidRPr="001E7D67">
        <w:t xml:space="preserve">ow OI (&lt;20). Some of the </w:t>
      </w:r>
      <w:r>
        <w:t>M</w:t>
      </w:r>
      <w:r w:rsidRPr="001E7D67">
        <w:t xml:space="preserve">iddle Woodford and </w:t>
      </w:r>
      <w:r>
        <w:t>U</w:t>
      </w:r>
      <w:r w:rsidRPr="001E7D67">
        <w:t xml:space="preserve">pper Woodford samples are transitional (in between low OI and high OI areas), and most of the </w:t>
      </w:r>
      <w:r>
        <w:t>U</w:t>
      </w:r>
      <w:r w:rsidRPr="001E7D67">
        <w:t xml:space="preserve">pper Woodford member samples yield in the cluster of more oxic conditions (HI&lt;300, and OI&gt;60). The hard shale samples in the </w:t>
      </w:r>
      <w:r>
        <w:t>M</w:t>
      </w:r>
      <w:r w:rsidRPr="001E7D67">
        <w:t xml:space="preserve">iddle and </w:t>
      </w:r>
      <w:r>
        <w:t>U</w:t>
      </w:r>
      <w:r w:rsidRPr="001E7D67">
        <w:t>pper members are the ones with a higher content of OI.</w:t>
      </w:r>
      <w:bookmarkEnd w:id="169"/>
      <w:bookmarkEnd w:id="170"/>
      <w:r w:rsidRPr="001E7D67">
        <w:t xml:space="preserve"> </w:t>
      </w:r>
    </w:p>
    <w:p w14:paraId="56DD0261" w14:textId="77777777" w:rsidR="00081C89" w:rsidRPr="001E7D67" w:rsidRDefault="00081C89" w:rsidP="00081C89">
      <w:pPr>
        <w:spacing w:after="0"/>
        <w:jc w:val="center"/>
        <w:rPr>
          <w:color w:val="000000"/>
        </w:rPr>
      </w:pPr>
      <w:r>
        <w:rPr>
          <w:noProof/>
          <w:color w:val="000000"/>
        </w:rPr>
        <w:lastRenderedPageBreak/>
        <w:drawing>
          <wp:inline distT="0" distB="0" distL="0" distR="0" wp14:anchorId="0D4D4532" wp14:editId="68644EA0">
            <wp:extent cx="7901305" cy="4676140"/>
            <wp:effectExtent l="0" t="0" r="4445"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901305" cy="4676140"/>
                    </a:xfrm>
                    <a:prstGeom prst="rect">
                      <a:avLst/>
                    </a:prstGeom>
                    <a:noFill/>
                  </pic:spPr>
                </pic:pic>
              </a:graphicData>
            </a:graphic>
          </wp:inline>
        </w:drawing>
      </w:r>
    </w:p>
    <w:p w14:paraId="77B11D4D" w14:textId="77777777" w:rsidR="00081C89" w:rsidRPr="001E7D67" w:rsidRDefault="00081C89" w:rsidP="00081C89">
      <w:pPr>
        <w:pStyle w:val="Caption"/>
      </w:pPr>
      <w:bookmarkStart w:id="171" w:name="_Toc29308146"/>
      <w:bookmarkStart w:id="172" w:name="_Toc35861199"/>
      <w:r w:rsidRPr="001E7D67">
        <w:rPr>
          <w:b/>
        </w:rPr>
        <w:t>Figure 3.1</w:t>
      </w:r>
      <w:r>
        <w:rPr>
          <w:b/>
        </w:rPr>
        <w:t>2</w:t>
      </w:r>
      <w:r w:rsidRPr="001E7D67">
        <w:rPr>
          <w:b/>
        </w:rPr>
        <w:t xml:space="preserve">. </w:t>
      </w:r>
      <w:r w:rsidRPr="001E7D67">
        <w:t xml:space="preserve">Relationship of </w:t>
      </w:r>
      <w:r>
        <w:t>%TOC</w:t>
      </w:r>
      <w:r w:rsidRPr="001E7D67">
        <w:t xml:space="preserve"> and HI content with lithofacies described by Galvis (2017). Note that the highest </w:t>
      </w:r>
      <w:r>
        <w:t>%</w:t>
      </w:r>
      <w:r w:rsidRPr="001E7D67">
        <w:t xml:space="preserve">TOC is associated with the </w:t>
      </w:r>
      <w:r>
        <w:t>U</w:t>
      </w:r>
      <w:r w:rsidRPr="001E7D67">
        <w:t>pper Woodford siliceous shales that can be possibly hosting migrated hydrocarbons (</w:t>
      </w:r>
      <w:r>
        <w:t>%</w:t>
      </w:r>
      <w:r w:rsidRPr="001E7D67">
        <w:t xml:space="preserve">TOC higher than 20%, S1&gt;5 mg HC/g, S2&lt;80 mg HC/g), and, the </w:t>
      </w:r>
      <w:r>
        <w:t>L</w:t>
      </w:r>
      <w:r w:rsidRPr="001E7D67">
        <w:t xml:space="preserve">ower Woodford samples (circle shapes) of </w:t>
      </w:r>
      <w:r>
        <w:t>a</w:t>
      </w:r>
      <w:r w:rsidRPr="001E7D67">
        <w:t>rgillace</w:t>
      </w:r>
      <w:r>
        <w:t>o</w:t>
      </w:r>
      <w:r w:rsidRPr="001E7D67">
        <w:t xml:space="preserve">us shale and </w:t>
      </w:r>
      <w:r>
        <w:t>s</w:t>
      </w:r>
      <w:r w:rsidRPr="001E7D67">
        <w:t xml:space="preserve">iliceous shale lithofacies. There is a weak correlation </w:t>
      </w:r>
      <w:r>
        <w:t>between</w:t>
      </w:r>
      <w:r w:rsidRPr="001E7D67">
        <w:t xml:space="preserve"> </w:t>
      </w:r>
      <w:r>
        <w:t>%</w:t>
      </w:r>
      <w:r w:rsidRPr="001E7D67">
        <w:t xml:space="preserve">TOC and HI, because of the lower </w:t>
      </w:r>
      <w:r>
        <w:t>%</w:t>
      </w:r>
      <w:r w:rsidRPr="001E7D67">
        <w:t xml:space="preserve">TOC (&lt;5%) samples in the </w:t>
      </w:r>
      <w:r>
        <w:t>M</w:t>
      </w:r>
      <w:r w:rsidRPr="001E7D67">
        <w:t xml:space="preserve">iddle and </w:t>
      </w:r>
      <w:r>
        <w:t>L</w:t>
      </w:r>
      <w:r w:rsidRPr="001E7D67">
        <w:t xml:space="preserve">ower members present high HI values (&gt;400).  The black line corresponds to the weak linear correlation (18%) of </w:t>
      </w:r>
      <w:r>
        <w:t>%TOC</w:t>
      </w:r>
      <w:r w:rsidRPr="001E7D67">
        <w:t xml:space="preserve"> and HI (mg H/g Rock).</w:t>
      </w:r>
      <w:bookmarkEnd w:id="171"/>
      <w:bookmarkEnd w:id="172"/>
      <w:r w:rsidRPr="001E7D67">
        <w:t xml:space="preserve"> </w:t>
      </w:r>
    </w:p>
    <w:p w14:paraId="60BDF98C" w14:textId="77777777" w:rsidR="00081C89" w:rsidRDefault="00081C89" w:rsidP="00081C89">
      <w:pPr>
        <w:ind w:firstLine="720"/>
        <w:rPr>
          <w:color w:val="000000"/>
        </w:rPr>
        <w:sectPr w:rsidR="00081C89" w:rsidSect="0095456D">
          <w:pgSz w:w="15840" w:h="12240" w:orient="landscape"/>
          <w:pgMar w:top="1440" w:right="1440" w:bottom="1440" w:left="1440" w:header="720" w:footer="720" w:gutter="0"/>
          <w:cols w:space="720"/>
          <w:docGrid w:linePitch="360"/>
        </w:sectPr>
      </w:pPr>
    </w:p>
    <w:p w14:paraId="731B6352" w14:textId="77777777" w:rsidR="00081C89" w:rsidRPr="001E7D67" w:rsidRDefault="00081C89" w:rsidP="00081C89">
      <w:pPr>
        <w:ind w:firstLine="720"/>
        <w:rPr>
          <w:color w:val="000000"/>
        </w:rPr>
      </w:pPr>
      <w:r w:rsidRPr="001E7D67">
        <w:rPr>
          <w:color w:val="000000"/>
        </w:rPr>
        <w:lastRenderedPageBreak/>
        <w:t>The X</w:t>
      </w:r>
      <w:r>
        <w:rPr>
          <w:color w:val="000000"/>
        </w:rPr>
        <w:t>RF</w:t>
      </w:r>
      <w:r w:rsidRPr="001E7D67">
        <w:rPr>
          <w:color w:val="000000"/>
        </w:rPr>
        <w:t xml:space="preserve"> characterization of elemental proxies recognized by Becerra-Rondon (2017), and Galvis (2017) were complemented with proxies made from the Rock-Eval pyrolysis data and coupled with the hardness log for understanding the mechanical stratigraphic response and variations of each rock interval (Figure 3.1</w:t>
      </w:r>
      <w:r>
        <w:rPr>
          <w:color w:val="000000"/>
        </w:rPr>
        <w:t>3 -</w:t>
      </w:r>
      <w:r w:rsidRPr="001E7D67">
        <w:rPr>
          <w:color w:val="000000"/>
        </w:rPr>
        <w:t xml:space="preserve"> 3.1</w:t>
      </w:r>
      <w:r>
        <w:rPr>
          <w:color w:val="000000"/>
        </w:rPr>
        <w:t>7</w:t>
      </w:r>
      <w:r w:rsidRPr="001E7D67">
        <w:rPr>
          <w:color w:val="000000"/>
        </w:rPr>
        <w:t xml:space="preserve">).  There is a weak correlation between </w:t>
      </w:r>
      <w:r>
        <w:rPr>
          <w:color w:val="000000"/>
        </w:rPr>
        <w:t>%</w:t>
      </w:r>
      <w:r w:rsidRPr="001E7D67">
        <w:rPr>
          <w:color w:val="000000"/>
        </w:rPr>
        <w:t xml:space="preserve">TOC and HI, due to the lower </w:t>
      </w:r>
      <w:r>
        <w:rPr>
          <w:color w:val="000000"/>
        </w:rPr>
        <w:t>%</w:t>
      </w:r>
      <w:r w:rsidRPr="001E7D67">
        <w:rPr>
          <w:color w:val="000000"/>
        </w:rPr>
        <w:t>TOC (&lt;5%) in the samples of the Middle and Lower members with high HI values (&gt;400 mg HC/g), as can be observed in Figure 3.1</w:t>
      </w:r>
      <w:r>
        <w:rPr>
          <w:color w:val="000000"/>
        </w:rPr>
        <w:t>2</w:t>
      </w:r>
      <w:r w:rsidRPr="001E7D67">
        <w:rPr>
          <w:color w:val="000000"/>
        </w:rPr>
        <w:t xml:space="preserve"> and Figure 3.1</w:t>
      </w:r>
      <w:r>
        <w:rPr>
          <w:color w:val="000000"/>
        </w:rPr>
        <w:t>3</w:t>
      </w:r>
      <w:r w:rsidRPr="001E7D67">
        <w:rPr>
          <w:color w:val="000000"/>
        </w:rPr>
        <w:t>.</w:t>
      </w:r>
    </w:p>
    <w:p w14:paraId="7CBE3D77" w14:textId="77777777" w:rsidR="00081C89" w:rsidRDefault="00081C89" w:rsidP="00081C89">
      <w:pPr>
        <w:ind w:firstLine="720"/>
        <w:rPr>
          <w:color w:val="000000"/>
        </w:rPr>
      </w:pPr>
      <w:r w:rsidRPr="00907F9A">
        <w:rPr>
          <w:color w:val="000000"/>
        </w:rPr>
        <w:t xml:space="preserve"> </w:t>
      </w:r>
      <w:r w:rsidRPr="001E7D67">
        <w:rPr>
          <w:color w:val="000000"/>
        </w:rPr>
        <w:t>As interpreted</w:t>
      </w:r>
      <w:r>
        <w:rPr>
          <w:color w:val="000000"/>
        </w:rPr>
        <w:t xml:space="preserve"> for the Woodford Shale</w:t>
      </w:r>
      <w:r w:rsidRPr="001E7D67">
        <w:rPr>
          <w:color w:val="000000"/>
        </w:rPr>
        <w:t xml:space="preserve"> by Turner</w:t>
      </w:r>
      <w:r>
        <w:rPr>
          <w:color w:val="000000"/>
        </w:rPr>
        <w:t xml:space="preserve"> et al.</w:t>
      </w:r>
      <w:r w:rsidRPr="001E7D67">
        <w:rPr>
          <w:color w:val="000000"/>
        </w:rPr>
        <w:t xml:space="preserve"> </w:t>
      </w:r>
      <w:r w:rsidRPr="00442D27">
        <w:rPr>
          <w:color w:val="000000"/>
          <w:lang w:val="es-CO"/>
        </w:rPr>
        <w:t xml:space="preserve">(2015), Becerra-Rondon (2017), Galvis et al. </w:t>
      </w:r>
      <w:r w:rsidRPr="001E7D67">
        <w:rPr>
          <w:color w:val="000000"/>
        </w:rPr>
        <w:t>(2017</w:t>
      </w:r>
      <w:r>
        <w:rPr>
          <w:color w:val="000000"/>
        </w:rPr>
        <w:t>a</w:t>
      </w:r>
      <w:r w:rsidRPr="001E7D67">
        <w:rPr>
          <w:color w:val="000000"/>
        </w:rPr>
        <w:t>)</w:t>
      </w:r>
      <w:r>
        <w:rPr>
          <w:color w:val="000000"/>
        </w:rPr>
        <w:t>,</w:t>
      </w:r>
      <w:r w:rsidRPr="001E7D67">
        <w:rPr>
          <w:color w:val="000000"/>
        </w:rPr>
        <w:t xml:space="preserve"> the high response of the XRF proxy Si/Al indicates biogenic silica over detrital silica</w:t>
      </w:r>
      <w:r>
        <w:rPr>
          <w:color w:val="000000"/>
        </w:rPr>
        <w:t>.</w:t>
      </w:r>
      <w:r w:rsidRPr="001E7D67">
        <w:rPr>
          <w:color w:val="000000"/>
        </w:rPr>
        <w:t xml:space="preserve"> Galvis et al. (2017</w:t>
      </w:r>
      <w:r>
        <w:rPr>
          <w:color w:val="000000"/>
        </w:rPr>
        <w:t>a</w:t>
      </w:r>
      <w:r w:rsidRPr="001E7D67">
        <w:rPr>
          <w:color w:val="000000"/>
        </w:rPr>
        <w:t>) propose</w:t>
      </w:r>
      <w:r>
        <w:rPr>
          <w:color w:val="000000"/>
        </w:rPr>
        <w:t>d</w:t>
      </w:r>
      <w:r w:rsidRPr="001E7D67">
        <w:rPr>
          <w:color w:val="000000"/>
        </w:rPr>
        <w:t xml:space="preserve"> that the higher V and Mo/Al suggests more upwelling currents that deposited these heavy minerals rather than </w:t>
      </w:r>
      <w:r>
        <w:rPr>
          <w:color w:val="000000"/>
        </w:rPr>
        <w:t xml:space="preserve">the </w:t>
      </w:r>
      <w:r w:rsidRPr="001E7D67">
        <w:rPr>
          <w:color w:val="000000"/>
        </w:rPr>
        <w:t xml:space="preserve">concentration of these elements in </w:t>
      </w:r>
      <w:r>
        <w:rPr>
          <w:color w:val="000000"/>
        </w:rPr>
        <w:t xml:space="preserve">the anoxic </w:t>
      </w:r>
      <w:r w:rsidRPr="001E7D67">
        <w:rPr>
          <w:color w:val="000000"/>
        </w:rPr>
        <w:t>organic matter</w:t>
      </w:r>
      <w:r>
        <w:rPr>
          <w:color w:val="000000"/>
        </w:rPr>
        <w:t>-rich intervals</w:t>
      </w:r>
      <w:r w:rsidRPr="001E7D67">
        <w:rPr>
          <w:color w:val="000000"/>
        </w:rPr>
        <w:t xml:space="preserve">. </w:t>
      </w:r>
      <w:r w:rsidRPr="002508CE">
        <w:rPr>
          <w:color w:val="000000"/>
        </w:rPr>
        <w:t>A proposed normalized iron content (Fe ppm averaged by the percentage of soft vs. hard ratio per stratigraphic foot), marks the difference from the maximum flooding surface (MFS) to</w:t>
      </w:r>
      <w:r>
        <w:rPr>
          <w:color w:val="000000"/>
        </w:rPr>
        <w:t>wards</w:t>
      </w:r>
      <w:r w:rsidRPr="002508CE">
        <w:rPr>
          <w:color w:val="000000"/>
        </w:rPr>
        <w:t xml:space="preserve"> the Woodford </w:t>
      </w:r>
      <w:r>
        <w:rPr>
          <w:color w:val="000000"/>
        </w:rPr>
        <w:t xml:space="preserve">Shale </w:t>
      </w:r>
      <w:r w:rsidRPr="002508CE">
        <w:rPr>
          <w:color w:val="000000"/>
        </w:rPr>
        <w:t>top (Figure 3.16). The Fe difference indicates the association of Fe</w:t>
      </w:r>
      <w:r w:rsidRPr="002508CE">
        <w:rPr>
          <w:color w:val="000000"/>
          <w:vertAlign w:val="superscript"/>
        </w:rPr>
        <w:t>+2</w:t>
      </w:r>
      <w:r w:rsidRPr="002508CE">
        <w:rPr>
          <w:color w:val="000000"/>
        </w:rPr>
        <w:t xml:space="preserve"> and Fe</w:t>
      </w:r>
      <w:r w:rsidRPr="002508CE">
        <w:rPr>
          <w:color w:val="000000"/>
          <w:vertAlign w:val="superscript"/>
        </w:rPr>
        <w:t>+3</w:t>
      </w:r>
      <w:r w:rsidRPr="002508CE">
        <w:rPr>
          <w:color w:val="000000"/>
        </w:rPr>
        <w:t xml:space="preserve"> to the depositional anoxic conditions for organic matter preservation (Molinares et al., 2019). In the Upper Woodford member, the high V/Ni and U/Al </w:t>
      </w:r>
      <w:r>
        <w:rPr>
          <w:color w:val="000000"/>
        </w:rPr>
        <w:t xml:space="preserve">also </w:t>
      </w:r>
      <w:r w:rsidRPr="002508CE">
        <w:rPr>
          <w:color w:val="000000"/>
        </w:rPr>
        <w:t>indicates more upwelling currents that deposited these heavy elements</w:t>
      </w:r>
      <w:r>
        <w:rPr>
          <w:color w:val="000000"/>
        </w:rPr>
        <w:t xml:space="preserve"> </w:t>
      </w:r>
      <w:r w:rsidRPr="002508CE">
        <w:rPr>
          <w:color w:val="000000"/>
        </w:rPr>
        <w:t>(Turner et al., 2015; Molinares</w:t>
      </w:r>
      <w:r>
        <w:rPr>
          <w:color w:val="000000"/>
        </w:rPr>
        <w:t xml:space="preserve">,  </w:t>
      </w:r>
      <w:r w:rsidRPr="00AE0273">
        <w:rPr>
          <w:color w:val="000000"/>
        </w:rPr>
        <w:t>2019)</w:t>
      </w:r>
      <w:r w:rsidRPr="000F3FAD">
        <w:rPr>
          <w:color w:val="000000"/>
        </w:rPr>
        <w:t xml:space="preserve">. </w:t>
      </w:r>
    </w:p>
    <w:p w14:paraId="29490806" w14:textId="2ACCBD2A" w:rsidR="00081C89" w:rsidRDefault="00081C89" w:rsidP="00081C89">
      <w:pPr>
        <w:ind w:firstLine="720"/>
        <w:rPr>
          <w:color w:val="000000"/>
        </w:rPr>
      </w:pPr>
      <w:r>
        <w:rPr>
          <w:color w:val="000000"/>
        </w:rPr>
        <w:t>%TOC upscaled was calculated using a weighted average of the percentage of rock hardness in one stratigraphic foot. Galvis (2017) reported for every stratigraphic foot in the SR the percentage of soft and hard beds. The upscaled %TOC is obtained by multiplying a %TOC value, which is previously identified as soft or hard, with the percentage of that hardness in a stratigraphic foot (e.g.</w:t>
      </w:r>
      <w:r w:rsidR="00C403D1">
        <w:rPr>
          <w:color w:val="000000"/>
        </w:rPr>
        <w:t>,</w:t>
      </w:r>
      <w:r>
        <w:rPr>
          <w:color w:val="000000"/>
        </w:rPr>
        <w:t xml:space="preserve"> a %TOC point in a hard bed will be multiplied for the %hard in that stratigraphic foot were the sample was collected). This calculation is simplified using the following equation 3.2:</w:t>
      </w:r>
    </w:p>
    <w:p w14:paraId="71C5A984" w14:textId="77777777" w:rsidR="00081C89" w:rsidRPr="001E7D67" w:rsidRDefault="00081C89" w:rsidP="00081C89">
      <w:pPr>
        <w:rPr>
          <w:color w:val="000000"/>
        </w:rPr>
      </w:pPr>
      <w:r>
        <w:rPr>
          <w:color w:val="000000"/>
        </w:rPr>
        <w:lastRenderedPageBreak/>
        <w:t>Upscaled%TOC = (%TOC</w:t>
      </w:r>
      <w:r w:rsidRPr="000F3FAD">
        <w:rPr>
          <w:color w:val="000000"/>
          <w:vertAlign w:val="subscript"/>
        </w:rPr>
        <w:t>soft</w:t>
      </w:r>
      <w:r>
        <w:rPr>
          <w:color w:val="000000"/>
        </w:rPr>
        <w:t xml:space="preserve"> * % soft) + (%TOC</w:t>
      </w:r>
      <w:r w:rsidRPr="000F3FAD">
        <w:rPr>
          <w:color w:val="000000"/>
          <w:vertAlign w:val="subscript"/>
        </w:rPr>
        <w:t>hard</w:t>
      </w:r>
      <w:r>
        <w:rPr>
          <w:color w:val="000000"/>
          <w:vertAlign w:val="subscript"/>
        </w:rPr>
        <w:t xml:space="preserve"> </w:t>
      </w:r>
      <w:r>
        <w:rPr>
          <w:color w:val="000000"/>
        </w:rPr>
        <w:t xml:space="preserve">* % hard) in the same stratigraphic foot (3.2) </w:t>
      </w:r>
    </w:p>
    <w:p w14:paraId="470516E7" w14:textId="77777777" w:rsidR="00081C89" w:rsidRDefault="00081C89" w:rsidP="00081C89">
      <w:pPr>
        <w:ind w:firstLine="720"/>
        <w:rPr>
          <w:color w:val="000000"/>
        </w:rPr>
      </w:pPr>
      <w:r w:rsidRPr="001E7D67">
        <w:rPr>
          <w:color w:val="000000"/>
        </w:rPr>
        <w:t xml:space="preserve">Note how </w:t>
      </w:r>
      <w:r>
        <w:rPr>
          <w:color w:val="000000"/>
        </w:rPr>
        <w:t>after calculating the weighted average %TOC</w:t>
      </w:r>
      <w:r w:rsidRPr="001E7D67">
        <w:rPr>
          <w:color w:val="000000"/>
        </w:rPr>
        <w:t xml:space="preserve"> (</w:t>
      </w:r>
      <w:r>
        <w:rPr>
          <w:color w:val="000000"/>
        </w:rPr>
        <w:t>u</w:t>
      </w:r>
      <w:r w:rsidRPr="001E7D67">
        <w:rPr>
          <w:color w:val="000000"/>
        </w:rPr>
        <w:t xml:space="preserve">pscaled </w:t>
      </w:r>
      <w:r>
        <w:rPr>
          <w:color w:val="000000"/>
        </w:rPr>
        <w:t>%TOC</w:t>
      </w:r>
      <w:r w:rsidRPr="001E7D67">
        <w:rPr>
          <w:color w:val="000000"/>
        </w:rPr>
        <w:t>)</w:t>
      </w:r>
      <w:r>
        <w:rPr>
          <w:color w:val="000000"/>
        </w:rPr>
        <w:t>,</w:t>
      </w:r>
      <w:r w:rsidRPr="001E7D67">
        <w:rPr>
          <w:color w:val="000000"/>
        </w:rPr>
        <w:t xml:space="preserve"> </w:t>
      </w:r>
      <w:r>
        <w:rPr>
          <w:color w:val="000000"/>
        </w:rPr>
        <w:t xml:space="preserve">the obtained %TOC curve now </w:t>
      </w:r>
      <w:r w:rsidRPr="001E7D67">
        <w:rPr>
          <w:color w:val="000000"/>
        </w:rPr>
        <w:t xml:space="preserve">shows a clear common trend of </w:t>
      </w:r>
      <w:r>
        <w:rPr>
          <w:color w:val="000000"/>
        </w:rPr>
        <w:t>%</w:t>
      </w:r>
      <w:r w:rsidRPr="001E7D67">
        <w:rPr>
          <w:color w:val="000000"/>
        </w:rPr>
        <w:t xml:space="preserve">TOC decreasing from the </w:t>
      </w:r>
      <w:r>
        <w:rPr>
          <w:color w:val="000000"/>
        </w:rPr>
        <w:t>L</w:t>
      </w:r>
      <w:r w:rsidRPr="001E7D67">
        <w:rPr>
          <w:color w:val="000000"/>
        </w:rPr>
        <w:t>owermost Woodford Shale (15-20%) to</w:t>
      </w:r>
      <w:r>
        <w:rPr>
          <w:color w:val="000000"/>
        </w:rPr>
        <w:t>wards</w:t>
      </w:r>
      <w:r w:rsidRPr="001E7D67">
        <w:rPr>
          <w:color w:val="000000"/>
        </w:rPr>
        <w:t xml:space="preserve"> the </w:t>
      </w:r>
      <w:r>
        <w:rPr>
          <w:color w:val="000000"/>
        </w:rPr>
        <w:t>U</w:t>
      </w:r>
      <w:r w:rsidRPr="001E7D67">
        <w:rPr>
          <w:color w:val="000000"/>
        </w:rPr>
        <w:t>pper Woodford Shale (&lt;4%</w:t>
      </w:r>
      <w:r>
        <w:rPr>
          <w:color w:val="000000"/>
        </w:rPr>
        <w:t xml:space="preserve">; </w:t>
      </w:r>
      <w:r w:rsidRPr="001E7D67">
        <w:rPr>
          <w:color w:val="000000"/>
        </w:rPr>
        <w:t>Figure</w:t>
      </w:r>
      <w:r>
        <w:rPr>
          <w:color w:val="000000"/>
        </w:rPr>
        <w:t xml:space="preserve"> </w:t>
      </w:r>
      <w:r w:rsidRPr="001E7D67">
        <w:rPr>
          <w:color w:val="000000"/>
        </w:rPr>
        <w:t>3.1</w:t>
      </w:r>
      <w:r>
        <w:rPr>
          <w:color w:val="000000"/>
        </w:rPr>
        <w:t>7</w:t>
      </w:r>
      <w:r w:rsidRPr="001E7D67">
        <w:rPr>
          <w:color w:val="000000"/>
        </w:rPr>
        <w:t xml:space="preserve">).  </w:t>
      </w:r>
    </w:p>
    <w:p w14:paraId="294C6FC4" w14:textId="77777777" w:rsidR="00081C89" w:rsidRDefault="00081C89" w:rsidP="00081C89">
      <w:pPr>
        <w:ind w:firstLine="720"/>
        <w:rPr>
          <w:color w:val="000000"/>
        </w:rPr>
      </w:pPr>
    </w:p>
    <w:p w14:paraId="74686F7E" w14:textId="77777777" w:rsidR="00081C89" w:rsidRDefault="00081C89" w:rsidP="00081C89">
      <w:pPr>
        <w:spacing w:after="0"/>
        <w:jc w:val="center"/>
        <w:rPr>
          <w:b/>
          <w:color w:val="000000"/>
        </w:rPr>
        <w:sectPr w:rsidR="00081C89" w:rsidSect="0095456D">
          <w:pgSz w:w="12240" w:h="15840"/>
          <w:pgMar w:top="1440" w:right="1440" w:bottom="1440" w:left="1440" w:header="720" w:footer="720" w:gutter="0"/>
          <w:cols w:space="720"/>
          <w:docGrid w:linePitch="360"/>
        </w:sectPr>
      </w:pPr>
    </w:p>
    <w:p w14:paraId="658A24F0" w14:textId="77777777" w:rsidR="00081C89" w:rsidRPr="001E7D67" w:rsidRDefault="00081C89" w:rsidP="00081C89">
      <w:pPr>
        <w:spacing w:after="0"/>
        <w:jc w:val="center"/>
        <w:rPr>
          <w:b/>
          <w:color w:val="000000"/>
        </w:rPr>
      </w:pPr>
      <w:r>
        <w:rPr>
          <w:b/>
          <w:noProof/>
          <w:color w:val="000000"/>
        </w:rPr>
        <w:lastRenderedPageBreak/>
        <w:drawing>
          <wp:inline distT="0" distB="0" distL="0" distR="0" wp14:anchorId="6B294A8E" wp14:editId="2A1E2226">
            <wp:extent cx="8016875" cy="5450205"/>
            <wp:effectExtent l="0" t="0" r="3175"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016875" cy="5450205"/>
                    </a:xfrm>
                    <a:prstGeom prst="rect">
                      <a:avLst/>
                    </a:prstGeom>
                    <a:noFill/>
                  </pic:spPr>
                </pic:pic>
              </a:graphicData>
            </a:graphic>
          </wp:inline>
        </w:drawing>
      </w:r>
    </w:p>
    <w:p w14:paraId="7FB8083D" w14:textId="77777777" w:rsidR="00081C89" w:rsidRPr="001E7D67" w:rsidRDefault="00081C89" w:rsidP="00081C89">
      <w:pPr>
        <w:pStyle w:val="Caption"/>
        <w:jc w:val="center"/>
      </w:pPr>
      <w:bookmarkStart w:id="173" w:name="_Toc29308147"/>
      <w:bookmarkStart w:id="174" w:name="_Toc35861200"/>
      <w:r w:rsidRPr="001E7D67">
        <w:rPr>
          <w:b/>
        </w:rPr>
        <w:t>Figure 3.1</w:t>
      </w:r>
      <w:r>
        <w:rPr>
          <w:b/>
        </w:rPr>
        <w:t>3</w:t>
      </w:r>
      <w:r w:rsidRPr="001E7D67">
        <w:rPr>
          <w:b/>
        </w:rPr>
        <w:t>.</w:t>
      </w:r>
      <w:r w:rsidRPr="001E7D67">
        <w:t xml:space="preserve"> Depth plots of </w:t>
      </w:r>
      <w:r>
        <w:t>Gamma</w:t>
      </w:r>
      <w:r w:rsidRPr="001E7D67">
        <w:t>-</w:t>
      </w:r>
      <w:r>
        <w:t>r</w:t>
      </w:r>
      <w:r w:rsidRPr="001E7D67">
        <w:t>ay and Rock-Eval pyrolysis data for the 536 Speake Ranch samples.</w:t>
      </w:r>
      <w:bookmarkEnd w:id="173"/>
      <w:bookmarkEnd w:id="174"/>
    </w:p>
    <w:p w14:paraId="5221126E" w14:textId="77777777" w:rsidR="00081C89" w:rsidRPr="001E7D67" w:rsidRDefault="00081C89" w:rsidP="00081C89">
      <w:pPr>
        <w:rPr>
          <w:color w:val="000000"/>
        </w:rPr>
        <w:sectPr w:rsidR="00081C89" w:rsidRPr="001E7D67" w:rsidSect="0095456D">
          <w:pgSz w:w="15840" w:h="12240" w:orient="landscape"/>
          <w:pgMar w:top="1440" w:right="1440" w:bottom="1440" w:left="1440" w:header="720" w:footer="720" w:gutter="0"/>
          <w:cols w:space="720"/>
          <w:docGrid w:linePitch="360"/>
        </w:sectPr>
      </w:pPr>
    </w:p>
    <w:p w14:paraId="59CCF2FB" w14:textId="77777777" w:rsidR="00081C89" w:rsidRPr="001E7D67" w:rsidRDefault="00081C89" w:rsidP="00081C89">
      <w:pPr>
        <w:spacing w:after="0"/>
        <w:jc w:val="center"/>
        <w:rPr>
          <w:b/>
          <w:color w:val="000000"/>
        </w:rPr>
      </w:pPr>
      <w:r>
        <w:rPr>
          <w:b/>
          <w:noProof/>
          <w:color w:val="000000"/>
        </w:rPr>
        <w:lastRenderedPageBreak/>
        <w:drawing>
          <wp:inline distT="0" distB="0" distL="0" distR="0" wp14:anchorId="6110C952" wp14:editId="5C082D7F">
            <wp:extent cx="8016875" cy="5133340"/>
            <wp:effectExtent l="0" t="0" r="3175"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016875" cy="5133340"/>
                    </a:xfrm>
                    <a:prstGeom prst="rect">
                      <a:avLst/>
                    </a:prstGeom>
                    <a:noFill/>
                  </pic:spPr>
                </pic:pic>
              </a:graphicData>
            </a:graphic>
          </wp:inline>
        </w:drawing>
      </w:r>
    </w:p>
    <w:p w14:paraId="26926C0A" w14:textId="77777777" w:rsidR="00081C89" w:rsidRPr="001E7D67" w:rsidRDefault="00081C89" w:rsidP="00081C89">
      <w:pPr>
        <w:pStyle w:val="Caption"/>
      </w:pPr>
      <w:bookmarkStart w:id="175" w:name="_Toc29308148"/>
      <w:bookmarkStart w:id="176" w:name="_Toc35861201"/>
      <w:r w:rsidRPr="001E7D67">
        <w:rPr>
          <w:b/>
        </w:rPr>
        <w:t>Figure 3.1</w:t>
      </w:r>
      <w:r>
        <w:rPr>
          <w:b/>
        </w:rPr>
        <w:t>4</w:t>
      </w:r>
      <w:r w:rsidRPr="001E7D67">
        <w:rPr>
          <w:b/>
        </w:rPr>
        <w:t>.</w:t>
      </w:r>
      <w:r w:rsidRPr="001E7D67">
        <w:t xml:space="preserve"> Depth plots of </w:t>
      </w:r>
      <w:r>
        <w:t>Gamma</w:t>
      </w:r>
      <w:r w:rsidRPr="001E7D67">
        <w:t>-</w:t>
      </w:r>
      <w:r>
        <w:t>r</w:t>
      </w:r>
      <w:r w:rsidRPr="001E7D67">
        <w:t xml:space="preserve">ay, </w:t>
      </w:r>
      <w:r>
        <w:t>%TOC</w:t>
      </w:r>
      <w:r w:rsidRPr="001E7D67">
        <w:t>, and Galvis (2017) XRF data for the 536 Speake Ranch samples. High Si/Al indicates biogenic silica over detrital silica, and higher V and Mo/Al indicate upwelling currents that deposited these heavy minerals rather than concentration of these significant elements in the organic matter associated with clay-rich deposits.</w:t>
      </w:r>
      <w:bookmarkEnd w:id="175"/>
      <w:bookmarkEnd w:id="176"/>
      <w:r w:rsidRPr="001E7D67">
        <w:t xml:space="preserve"> </w:t>
      </w:r>
    </w:p>
    <w:p w14:paraId="5A4781D7" w14:textId="77777777" w:rsidR="00081C89" w:rsidRPr="001E7D67" w:rsidRDefault="00081C89" w:rsidP="00081C89">
      <w:pPr>
        <w:spacing w:after="0"/>
        <w:jc w:val="center"/>
        <w:rPr>
          <w:b/>
          <w:color w:val="000000"/>
        </w:rPr>
      </w:pPr>
      <w:r>
        <w:rPr>
          <w:b/>
          <w:noProof/>
          <w:color w:val="000000"/>
        </w:rPr>
        <w:lastRenderedPageBreak/>
        <w:drawing>
          <wp:inline distT="0" distB="0" distL="0" distR="0" wp14:anchorId="40C651C1" wp14:editId="133B332E">
            <wp:extent cx="6809472" cy="5194717"/>
            <wp:effectExtent l="0" t="0" r="0" b="6350"/>
            <wp:docPr id="8533" name="Picture 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12690" cy="5197172"/>
                    </a:xfrm>
                    <a:prstGeom prst="rect">
                      <a:avLst/>
                    </a:prstGeom>
                    <a:noFill/>
                  </pic:spPr>
                </pic:pic>
              </a:graphicData>
            </a:graphic>
          </wp:inline>
        </w:drawing>
      </w:r>
    </w:p>
    <w:p w14:paraId="044CF684" w14:textId="77777777" w:rsidR="00081C89" w:rsidRPr="001E7D67" w:rsidRDefault="00081C89" w:rsidP="00081C89">
      <w:pPr>
        <w:pStyle w:val="Caption"/>
      </w:pPr>
      <w:bookmarkStart w:id="177" w:name="_Toc29308149"/>
      <w:bookmarkStart w:id="178" w:name="_Toc35861202"/>
      <w:r w:rsidRPr="001E7D67">
        <w:rPr>
          <w:b/>
        </w:rPr>
        <w:t>Figure 3.1</w:t>
      </w:r>
      <w:r>
        <w:rPr>
          <w:b/>
        </w:rPr>
        <w:t>5</w:t>
      </w:r>
      <w:r w:rsidRPr="001E7D67">
        <w:rPr>
          <w:b/>
        </w:rPr>
        <w:t>.</w:t>
      </w:r>
      <w:r w:rsidRPr="001E7D67">
        <w:t xml:space="preserve"> Depth plots of </w:t>
      </w:r>
      <w:r>
        <w:t>Gamma</w:t>
      </w:r>
      <w:r w:rsidRPr="001E7D67">
        <w:t>-</w:t>
      </w:r>
      <w:r>
        <w:t>r</w:t>
      </w:r>
      <w:r w:rsidRPr="001E7D67">
        <w:t xml:space="preserve">ay, </w:t>
      </w:r>
      <w:r>
        <w:t>%TOC</w:t>
      </w:r>
      <w:r w:rsidRPr="001E7D67">
        <w:t>, S1, and Galvis’ (2017) XRF-hardness data for the 536 Speake Ranch samples</w:t>
      </w:r>
      <w:r>
        <w:t xml:space="preserve"> (dashed vertical line is the separation between a soft or a hard regime)</w:t>
      </w:r>
      <w:r w:rsidRPr="001E7D67">
        <w:t xml:space="preserve">. Possible migration of hydrocarbons in the </w:t>
      </w:r>
      <w:r>
        <w:t>U</w:t>
      </w:r>
      <w:r w:rsidRPr="001E7D67">
        <w:t xml:space="preserve">pper Woodford member due to the high </w:t>
      </w:r>
      <w:r>
        <w:t>%</w:t>
      </w:r>
      <w:r w:rsidRPr="001E7D67">
        <w:t>TOC (5 to 35%), and S1&gt;5 (mg HC/g).</w:t>
      </w:r>
      <w:bookmarkEnd w:id="177"/>
      <w:bookmarkEnd w:id="178"/>
    </w:p>
    <w:p w14:paraId="1799DE87" w14:textId="77777777" w:rsidR="00081C89" w:rsidRPr="001E7D67" w:rsidRDefault="00081C89" w:rsidP="00081C89">
      <w:pPr>
        <w:spacing w:after="0"/>
        <w:jc w:val="center"/>
        <w:rPr>
          <w:color w:val="000000"/>
        </w:rPr>
      </w:pPr>
      <w:r>
        <w:rPr>
          <w:noProof/>
          <w:color w:val="000000"/>
        </w:rPr>
        <w:lastRenderedPageBreak/>
        <w:drawing>
          <wp:inline distT="0" distB="0" distL="0" distR="0" wp14:anchorId="61272BEC" wp14:editId="36CCF020">
            <wp:extent cx="7529195" cy="4785995"/>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529195" cy="4785995"/>
                    </a:xfrm>
                    <a:prstGeom prst="rect">
                      <a:avLst/>
                    </a:prstGeom>
                    <a:noFill/>
                  </pic:spPr>
                </pic:pic>
              </a:graphicData>
            </a:graphic>
          </wp:inline>
        </w:drawing>
      </w:r>
    </w:p>
    <w:p w14:paraId="04FA99D8" w14:textId="77777777" w:rsidR="00081C89" w:rsidRPr="001E7D67" w:rsidRDefault="00081C89" w:rsidP="00081C89">
      <w:pPr>
        <w:pStyle w:val="Caption"/>
      </w:pPr>
      <w:bookmarkStart w:id="179" w:name="_Toc29308150"/>
      <w:bookmarkStart w:id="180" w:name="_Toc35861203"/>
      <w:r w:rsidRPr="001E7D67">
        <w:rPr>
          <w:b/>
        </w:rPr>
        <w:t>Figure 3.1</w:t>
      </w:r>
      <w:r>
        <w:rPr>
          <w:b/>
        </w:rPr>
        <w:t>6</w:t>
      </w:r>
      <w:r w:rsidRPr="001E7D67">
        <w:rPr>
          <w:b/>
        </w:rPr>
        <w:t xml:space="preserve">. </w:t>
      </w:r>
      <w:r w:rsidRPr="001E7D67">
        <w:t xml:space="preserve">Depth plots of </w:t>
      </w:r>
      <w:r>
        <w:t>Gamma</w:t>
      </w:r>
      <w:r w:rsidRPr="001E7D67">
        <w:t>-</w:t>
      </w:r>
      <w:r>
        <w:t>r</w:t>
      </w:r>
      <w:r w:rsidRPr="001E7D67">
        <w:t xml:space="preserve">ay, </w:t>
      </w:r>
      <w:r>
        <w:t>%TOC</w:t>
      </w:r>
      <w:r w:rsidRPr="001E7D67">
        <w:t>, S1, and Galvis</w:t>
      </w:r>
      <w:r>
        <w:t xml:space="preserve"> </w:t>
      </w:r>
      <w:r w:rsidRPr="001E7D67">
        <w:t xml:space="preserve">(2017) XRF-hardness data for the 536 Speake Ranch samples. Migrated hydrocarbons in the </w:t>
      </w:r>
      <w:r>
        <w:t>U</w:t>
      </w:r>
      <w:r w:rsidRPr="001E7D67">
        <w:t xml:space="preserve">pper Woodford member are a product of high </w:t>
      </w:r>
      <w:r>
        <w:t>%</w:t>
      </w:r>
      <w:r w:rsidRPr="001E7D67">
        <w:t xml:space="preserve">TOC (5 to 35%) and S1&gt;5 (mg HC/g). Note how hardness increases after the </w:t>
      </w:r>
      <w:r>
        <w:t>M</w:t>
      </w:r>
      <w:r w:rsidRPr="001E7D67">
        <w:t xml:space="preserve">iddle Woodford top, and the </w:t>
      </w:r>
      <w:r>
        <w:t>%</w:t>
      </w:r>
      <w:r w:rsidRPr="001E7D67">
        <w:t>TOC trend decreases. Also, a normalized iron content marks the difference from the maximum flooding surface (MFS) to the Woodford top. High V/Ni and U/Al indicates more upwelling currents that deposited these heavy minerals rather than the concentration of these elements in the clay-rich deposits organic matter.</w:t>
      </w:r>
      <w:bookmarkEnd w:id="179"/>
      <w:bookmarkEnd w:id="180"/>
    </w:p>
    <w:p w14:paraId="1CEC9ACF" w14:textId="77777777" w:rsidR="00081C89" w:rsidRPr="001E7D67" w:rsidRDefault="00081C89" w:rsidP="00081C89">
      <w:pPr>
        <w:spacing w:after="0" w:line="276" w:lineRule="auto"/>
        <w:rPr>
          <w:color w:val="000000"/>
        </w:rPr>
      </w:pPr>
      <w:r>
        <w:rPr>
          <w:noProof/>
          <w:color w:val="000000"/>
        </w:rPr>
        <w:lastRenderedPageBreak/>
        <w:drawing>
          <wp:inline distT="0" distB="0" distL="0" distR="0" wp14:anchorId="6F24CAF9" wp14:editId="718B9A01">
            <wp:extent cx="8230235" cy="4905375"/>
            <wp:effectExtent l="0" t="0" r="0" b="9525"/>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30235" cy="4905375"/>
                    </a:xfrm>
                    <a:prstGeom prst="rect">
                      <a:avLst/>
                    </a:prstGeom>
                    <a:noFill/>
                  </pic:spPr>
                </pic:pic>
              </a:graphicData>
            </a:graphic>
          </wp:inline>
        </w:drawing>
      </w:r>
    </w:p>
    <w:p w14:paraId="3BFBB88A" w14:textId="77777777" w:rsidR="00081C89" w:rsidRPr="00907F9A" w:rsidRDefault="00081C89" w:rsidP="00081C89">
      <w:pPr>
        <w:pStyle w:val="Caption"/>
        <w:rPr>
          <w:bCs w:val="0"/>
          <w:color w:val="000000"/>
        </w:rPr>
        <w:sectPr w:rsidR="00081C89" w:rsidRPr="00907F9A" w:rsidSect="0095456D">
          <w:pgSz w:w="15840" w:h="12240" w:orient="landscape"/>
          <w:pgMar w:top="1440" w:right="1440" w:bottom="1440" w:left="1440" w:header="720" w:footer="720" w:gutter="0"/>
          <w:cols w:space="720"/>
          <w:docGrid w:linePitch="360"/>
        </w:sectPr>
      </w:pPr>
      <w:bookmarkStart w:id="181" w:name="_Toc29308151"/>
      <w:bookmarkStart w:id="182" w:name="_Toc35861204"/>
      <w:r w:rsidRPr="001E7D67">
        <w:rPr>
          <w:b/>
        </w:rPr>
        <w:t>Figure 3.1</w:t>
      </w:r>
      <w:r>
        <w:rPr>
          <w:b/>
        </w:rPr>
        <w:t>7</w:t>
      </w:r>
      <w:r w:rsidRPr="001E7D67">
        <w:rPr>
          <w:b/>
        </w:rPr>
        <w:t>.</w:t>
      </w:r>
      <w:r w:rsidRPr="001E7D67">
        <w:t xml:space="preserve"> Depth plots of weighted average per percentage of mechanical stratigraphy in each stratigraphic foot. Logs of </w:t>
      </w:r>
      <w:r>
        <w:t>Gamma</w:t>
      </w:r>
      <w:r w:rsidRPr="001E7D67">
        <w:t>-</w:t>
      </w:r>
      <w:r>
        <w:t>r</w:t>
      </w:r>
      <w:r w:rsidRPr="001E7D67">
        <w:t xml:space="preserve">ay, </w:t>
      </w:r>
      <w:r>
        <w:t>%TOC</w:t>
      </w:r>
      <w:r w:rsidRPr="001E7D67">
        <w:t>, S1, and Galvis’ (2017) XRF-</w:t>
      </w:r>
      <w:r>
        <w:t>h</w:t>
      </w:r>
      <w:r w:rsidRPr="001E7D67">
        <w:t xml:space="preserve">ardness data for the 536 Speake Ranch samples. Possible migrated hydrocarbons in the </w:t>
      </w:r>
      <w:r>
        <w:t>U</w:t>
      </w:r>
      <w:r w:rsidRPr="001E7D67">
        <w:t xml:space="preserve">pper Woodford member resulted in the high </w:t>
      </w:r>
      <w:r>
        <w:t>%</w:t>
      </w:r>
      <w:r w:rsidRPr="001E7D67">
        <w:t xml:space="preserve">TOC (5 to 35%) and S1&gt;5. Note how the </w:t>
      </w:r>
      <w:r>
        <w:t>average %TOC</w:t>
      </w:r>
      <w:r w:rsidRPr="001E7D67">
        <w:t xml:space="preserve"> (Upscaled </w:t>
      </w:r>
      <w:r>
        <w:t>%TOC</w:t>
      </w:r>
      <w:r w:rsidRPr="001E7D67">
        <w:t xml:space="preserve">) shows a clear common trend of </w:t>
      </w:r>
      <w:r>
        <w:t>%</w:t>
      </w:r>
      <w:r w:rsidRPr="001E7D67">
        <w:t xml:space="preserve">TOC decreasing from the </w:t>
      </w:r>
      <w:r>
        <w:t>l</w:t>
      </w:r>
      <w:r w:rsidRPr="001E7D67">
        <w:t xml:space="preserve">owermost Woodford Shale (15-20%) to the </w:t>
      </w:r>
      <w:r>
        <w:t>U</w:t>
      </w:r>
      <w:r w:rsidRPr="001E7D67">
        <w:t>pper Woodford Shale (&lt;4%).</w:t>
      </w:r>
      <w:bookmarkEnd w:id="181"/>
      <w:r w:rsidRPr="001E7D67">
        <w:t xml:space="preserve"> </w:t>
      </w:r>
      <w:r>
        <w:t xml:space="preserve"> </w:t>
      </w:r>
      <w:r w:rsidRPr="00907F9A">
        <w:rPr>
          <w:color w:val="000000"/>
        </w:rPr>
        <w:t xml:space="preserve">The </w:t>
      </w:r>
      <w:r>
        <w:rPr>
          <w:color w:val="000000"/>
        </w:rPr>
        <w:t>%</w:t>
      </w:r>
      <w:r w:rsidRPr="00907F9A">
        <w:rPr>
          <w:color w:val="000000"/>
        </w:rPr>
        <w:t xml:space="preserve">TOC track with lines </w:t>
      </w:r>
      <w:r>
        <w:rPr>
          <w:color w:val="000000"/>
        </w:rPr>
        <w:t>shows the data</w:t>
      </w:r>
      <w:r w:rsidRPr="00907F9A">
        <w:rPr>
          <w:color w:val="000000"/>
        </w:rPr>
        <w:t xml:space="preserve"> variability in rocks under similar mechanical stratigraphic settings</w:t>
      </w:r>
      <w:r>
        <w:rPr>
          <w:color w:val="000000"/>
        </w:rPr>
        <w:t xml:space="preserve"> (soft and hard beds)</w:t>
      </w:r>
      <w:r w:rsidRPr="00907F9A">
        <w:rPr>
          <w:color w:val="000000"/>
        </w:rPr>
        <w:t>.</w:t>
      </w:r>
      <w:bookmarkEnd w:id="182"/>
    </w:p>
    <w:p w14:paraId="42E34898" w14:textId="0B81C265" w:rsidR="00081C89" w:rsidRPr="001E7D67" w:rsidRDefault="00081C89" w:rsidP="00081C89">
      <w:pPr>
        <w:ind w:firstLine="720"/>
        <w:rPr>
          <w:color w:val="000000"/>
        </w:rPr>
      </w:pPr>
      <w:r w:rsidRPr="001E7D67">
        <w:rPr>
          <w:color w:val="000000"/>
        </w:rPr>
        <w:lastRenderedPageBreak/>
        <w:t>As proposed by Molinares et al. (2019) for the Woodford Shale in the Wyche quarry, the enrichment factors were calculated for U, Mo, V, and Fe for understanding oxic and higher dilution trends (Figure 3.1</w:t>
      </w:r>
      <w:r>
        <w:rPr>
          <w:color w:val="000000"/>
        </w:rPr>
        <w:t>8</w:t>
      </w:r>
      <w:r w:rsidRPr="001E7D67">
        <w:rPr>
          <w:color w:val="000000"/>
        </w:rPr>
        <w:t xml:space="preserve">) which are identified to be much lower in the </w:t>
      </w:r>
      <w:r>
        <w:rPr>
          <w:color w:val="000000"/>
        </w:rPr>
        <w:t>M</w:t>
      </w:r>
      <w:r w:rsidRPr="001E7D67">
        <w:rPr>
          <w:color w:val="000000"/>
        </w:rPr>
        <w:t xml:space="preserve">iddle and </w:t>
      </w:r>
      <w:r>
        <w:rPr>
          <w:color w:val="000000"/>
        </w:rPr>
        <w:t>L</w:t>
      </w:r>
      <w:r w:rsidRPr="001E7D67">
        <w:rPr>
          <w:color w:val="000000"/>
        </w:rPr>
        <w:t xml:space="preserve">ower Woodford than in the </w:t>
      </w:r>
      <w:r>
        <w:rPr>
          <w:color w:val="000000"/>
        </w:rPr>
        <w:t>Up</w:t>
      </w:r>
      <w:r w:rsidRPr="001E7D67">
        <w:rPr>
          <w:color w:val="000000"/>
        </w:rPr>
        <w:t>per member. Aluminum (Al) was used as a normalization concentration factor to reduce the effects of the detrital and authigenic dilution (Calvert and Pederson, 1993; Tribovillard et al., 2006</w:t>
      </w:r>
      <w:r>
        <w:rPr>
          <w:color w:val="000000"/>
        </w:rPr>
        <w:t xml:space="preserve">; </w:t>
      </w:r>
      <w:r w:rsidRPr="001E7D67">
        <w:rPr>
          <w:color w:val="000000"/>
        </w:rPr>
        <w:t xml:space="preserve">Molinares, 2019). </w:t>
      </w:r>
      <w:r>
        <w:rPr>
          <w:color w:val="000000"/>
        </w:rPr>
        <w:t>Al</w:t>
      </w:r>
      <w:r w:rsidRPr="001E7D67">
        <w:rPr>
          <w:color w:val="000000"/>
        </w:rPr>
        <w:t xml:space="preserve"> normalized values of trace elements are usually given as x10</w:t>
      </w:r>
      <w:r w:rsidRPr="001E7D67">
        <w:rPr>
          <w:color w:val="000000"/>
          <w:vertAlign w:val="superscript"/>
        </w:rPr>
        <w:t xml:space="preserve">-4 </w:t>
      </w:r>
      <w:r w:rsidRPr="001E7D67">
        <w:rPr>
          <w:color w:val="000000"/>
        </w:rPr>
        <w:t>notation</w:t>
      </w:r>
      <w:r>
        <w:rPr>
          <w:color w:val="000000"/>
        </w:rPr>
        <w:t>,</w:t>
      </w:r>
      <w:r w:rsidRPr="001E7D67">
        <w:rPr>
          <w:color w:val="000000"/>
        </w:rPr>
        <w:t xml:space="preserve"> and it was applicable in this case because Al resides principally within the detrital clay fraction and</w:t>
      </w:r>
      <w:r>
        <w:rPr>
          <w:color w:val="000000"/>
        </w:rPr>
        <w:t xml:space="preserve"> their presence</w:t>
      </w:r>
      <w:r w:rsidRPr="001E7D67">
        <w:rPr>
          <w:color w:val="000000"/>
        </w:rPr>
        <w:t xml:space="preserve"> has not been identified </w:t>
      </w:r>
      <w:r>
        <w:rPr>
          <w:color w:val="000000"/>
        </w:rPr>
        <w:t xml:space="preserve">as an </w:t>
      </w:r>
      <w:r w:rsidRPr="001E7D67">
        <w:rPr>
          <w:color w:val="000000"/>
        </w:rPr>
        <w:t>evidence of significa</w:t>
      </w:r>
      <w:r>
        <w:rPr>
          <w:color w:val="000000"/>
        </w:rPr>
        <w:t>nt</w:t>
      </w:r>
      <w:r w:rsidRPr="001E7D67">
        <w:rPr>
          <w:color w:val="000000"/>
        </w:rPr>
        <w:t xml:space="preserve"> remobiliz</w:t>
      </w:r>
      <w:r>
        <w:rPr>
          <w:color w:val="000000"/>
        </w:rPr>
        <w:t xml:space="preserve">ation </w:t>
      </w:r>
      <w:r w:rsidRPr="001E7D67">
        <w:rPr>
          <w:color w:val="000000"/>
        </w:rPr>
        <w:t>during diagenesis (</w:t>
      </w:r>
      <w:r w:rsidRPr="00133164">
        <w:rPr>
          <w:color w:val="000000"/>
        </w:rPr>
        <w:t>Elmore et al., 2016;</w:t>
      </w:r>
      <w:r w:rsidRPr="001E7D67">
        <w:rPr>
          <w:color w:val="000000"/>
        </w:rPr>
        <w:t xml:space="preserve"> </w:t>
      </w:r>
      <w:r>
        <w:rPr>
          <w:color w:val="000000"/>
        </w:rPr>
        <w:t xml:space="preserve">Turner, 2016; </w:t>
      </w:r>
      <w:r w:rsidRPr="001E7D67">
        <w:rPr>
          <w:color w:val="000000"/>
        </w:rPr>
        <w:t xml:space="preserve">Ekwunife, 2017; Molinares, 2019). </w:t>
      </w:r>
      <w:r>
        <w:rPr>
          <w:color w:val="000000"/>
        </w:rPr>
        <w:t xml:space="preserve"> </w:t>
      </w:r>
      <w:r w:rsidRPr="001E7D67">
        <w:rPr>
          <w:color w:val="000000"/>
        </w:rPr>
        <w:t xml:space="preserve">The normalized </w:t>
      </w:r>
      <w:r>
        <w:rPr>
          <w:color w:val="000000"/>
        </w:rPr>
        <w:t>a</w:t>
      </w:r>
      <w:r w:rsidRPr="001E7D67">
        <w:rPr>
          <w:color w:val="000000"/>
        </w:rPr>
        <w:t>luminum concentration was used to calculate the enrichment factor (EF) plots, as proposed for the Woodford Shale by Ek</w:t>
      </w:r>
      <w:r>
        <w:rPr>
          <w:color w:val="000000"/>
        </w:rPr>
        <w:t>w</w:t>
      </w:r>
      <w:r w:rsidRPr="001E7D67">
        <w:rPr>
          <w:color w:val="000000"/>
        </w:rPr>
        <w:t>unife (2017) and Molinares (2019), and the results are</w:t>
      </w:r>
      <w:r>
        <w:rPr>
          <w:color w:val="000000"/>
        </w:rPr>
        <w:t xml:space="preserve"> obtained after applying the equation 3.3. and are</w:t>
      </w:r>
      <w:r w:rsidRPr="001E7D67">
        <w:rPr>
          <w:color w:val="000000"/>
        </w:rPr>
        <w:t xml:space="preserve"> shown in Figure 3.1</w:t>
      </w:r>
      <w:r>
        <w:rPr>
          <w:color w:val="000000"/>
        </w:rPr>
        <w:t>8</w:t>
      </w:r>
      <w:r w:rsidRPr="001E7D67">
        <w:rPr>
          <w:color w:val="000000"/>
        </w:rPr>
        <w:t>:</w:t>
      </w:r>
    </w:p>
    <w:p w14:paraId="2464CD7B" w14:textId="77777777" w:rsidR="00081C89" w:rsidRPr="001E7D67" w:rsidRDefault="00081C89" w:rsidP="00081C89">
      <w:pPr>
        <w:rPr>
          <w:color w:val="000000"/>
        </w:rPr>
      </w:pPr>
      <w:r>
        <w:rPr>
          <w:color w:val="000000"/>
        </w:rPr>
        <w:t>Enrichment factor (</w:t>
      </w:r>
      <w:r w:rsidRPr="001E7D67">
        <w:rPr>
          <w:color w:val="000000"/>
        </w:rPr>
        <w:t>EF</w:t>
      </w:r>
      <w:r>
        <w:rPr>
          <w:color w:val="000000"/>
        </w:rPr>
        <w:t>) of an</w:t>
      </w:r>
      <w:r w:rsidRPr="001E7D67">
        <w:rPr>
          <w:color w:val="000000"/>
        </w:rPr>
        <w:t xml:space="preserve"> element X = </w:t>
      </w:r>
      <w:r>
        <w:rPr>
          <w:color w:val="000000"/>
        </w:rPr>
        <w:t>(</w:t>
      </w:r>
      <w:r w:rsidRPr="001E7D67">
        <w:rPr>
          <w:color w:val="000000"/>
        </w:rPr>
        <w:t>[X]/Al sample</w:t>
      </w:r>
      <w:r>
        <w:rPr>
          <w:color w:val="000000"/>
        </w:rPr>
        <w:t>)</w:t>
      </w:r>
      <w:r w:rsidRPr="001E7D67">
        <w:rPr>
          <w:color w:val="000000"/>
        </w:rPr>
        <w:t xml:space="preserve"> /</w:t>
      </w:r>
      <w:r>
        <w:rPr>
          <w:color w:val="000000"/>
        </w:rPr>
        <w:t>(</w:t>
      </w:r>
      <w:r w:rsidRPr="001E7D67">
        <w:rPr>
          <w:color w:val="000000"/>
        </w:rPr>
        <w:t>[X]/Al average shale</w:t>
      </w:r>
      <w:r>
        <w:rPr>
          <w:color w:val="000000"/>
        </w:rPr>
        <w:t xml:space="preserve">), </w:t>
      </w:r>
      <w:r>
        <w:rPr>
          <w:color w:val="000000"/>
        </w:rPr>
        <w:tab/>
      </w:r>
      <w:r w:rsidRPr="001E7D67">
        <w:rPr>
          <w:color w:val="000000"/>
        </w:rPr>
        <w:t xml:space="preserve">  </w:t>
      </w:r>
      <w:r>
        <w:rPr>
          <w:color w:val="000000"/>
        </w:rPr>
        <w:t xml:space="preserve">  (3.3</w:t>
      </w:r>
      <w:r w:rsidRPr="001E7D67">
        <w:rPr>
          <w:color w:val="000000"/>
        </w:rPr>
        <w:t>)</w:t>
      </w:r>
    </w:p>
    <w:p w14:paraId="4A2BAE7E" w14:textId="77777777" w:rsidR="00081C89" w:rsidRDefault="00081C89" w:rsidP="00081C89">
      <w:pPr>
        <w:ind w:firstLine="720"/>
        <w:rPr>
          <w:color w:val="000000"/>
        </w:rPr>
      </w:pPr>
      <w:r w:rsidRPr="001E7D67">
        <w:rPr>
          <w:color w:val="000000"/>
        </w:rPr>
        <w:t>The EF compares the elemental concentration of the analyzed sample in terms of international standards</w:t>
      </w:r>
      <w:r>
        <w:rPr>
          <w:color w:val="000000"/>
        </w:rPr>
        <w:t xml:space="preserve"> (Algeo and Scheckler, 1998; Turner, 2016; </w:t>
      </w:r>
      <w:r w:rsidRPr="001E7D67">
        <w:rPr>
          <w:color w:val="000000"/>
        </w:rPr>
        <w:t>Ek</w:t>
      </w:r>
      <w:r>
        <w:rPr>
          <w:color w:val="000000"/>
        </w:rPr>
        <w:t>w</w:t>
      </w:r>
      <w:r w:rsidRPr="001E7D67">
        <w:rPr>
          <w:color w:val="000000"/>
        </w:rPr>
        <w:t>unife</w:t>
      </w:r>
      <w:r>
        <w:rPr>
          <w:color w:val="000000"/>
        </w:rPr>
        <w:t xml:space="preserve">, </w:t>
      </w:r>
      <w:r w:rsidRPr="001E7D67">
        <w:rPr>
          <w:color w:val="000000"/>
        </w:rPr>
        <w:t>2017</w:t>
      </w:r>
      <w:r>
        <w:rPr>
          <w:color w:val="000000"/>
        </w:rPr>
        <w:t xml:space="preserve">; </w:t>
      </w:r>
      <w:r w:rsidRPr="001E7D67">
        <w:rPr>
          <w:color w:val="000000"/>
        </w:rPr>
        <w:t>Molinares</w:t>
      </w:r>
      <w:r>
        <w:rPr>
          <w:color w:val="000000"/>
        </w:rPr>
        <w:t xml:space="preserve">, </w:t>
      </w:r>
      <w:r w:rsidRPr="001E7D67">
        <w:rPr>
          <w:color w:val="000000"/>
        </w:rPr>
        <w:t xml:space="preserve">2019). </w:t>
      </w:r>
      <w:r>
        <w:rPr>
          <w:color w:val="000000"/>
        </w:rPr>
        <w:t>A specific element</w:t>
      </w:r>
      <w:r w:rsidRPr="001E7D67">
        <w:rPr>
          <w:color w:val="000000"/>
        </w:rPr>
        <w:t xml:space="preserve"> enrichment is considered when the ppm values of </w:t>
      </w:r>
      <w:r>
        <w:rPr>
          <w:color w:val="000000"/>
        </w:rPr>
        <w:t>that</w:t>
      </w:r>
      <w:r w:rsidRPr="001E7D67">
        <w:rPr>
          <w:color w:val="000000"/>
        </w:rPr>
        <w:t xml:space="preserve"> specific element are greater than one</w:t>
      </w:r>
      <w:r>
        <w:rPr>
          <w:color w:val="000000"/>
        </w:rPr>
        <w:t xml:space="preserve"> </w:t>
      </w:r>
      <w:r w:rsidRPr="001E7D67">
        <w:rPr>
          <w:color w:val="000000"/>
        </w:rPr>
        <w:t xml:space="preserve">to </w:t>
      </w:r>
      <w:r>
        <w:rPr>
          <w:color w:val="000000"/>
        </w:rPr>
        <w:t xml:space="preserve">the </w:t>
      </w:r>
      <w:r w:rsidRPr="001E7D67">
        <w:rPr>
          <w:color w:val="000000"/>
        </w:rPr>
        <w:t>standards statistical mean</w:t>
      </w:r>
      <w:r>
        <w:rPr>
          <w:color w:val="000000"/>
        </w:rPr>
        <w:t xml:space="preserve"> (Tribovillard et al., 2006; Molinares, 2019)</w:t>
      </w:r>
      <w:r w:rsidRPr="001E7D67">
        <w:rPr>
          <w:color w:val="000000"/>
        </w:rPr>
        <w:t>.</w:t>
      </w:r>
      <w:r>
        <w:rPr>
          <w:color w:val="000000"/>
        </w:rPr>
        <w:t xml:space="preserve"> T</w:t>
      </w:r>
      <w:r w:rsidRPr="001E7D67">
        <w:rPr>
          <w:color w:val="000000"/>
        </w:rPr>
        <w:t>he values that are less than one</w:t>
      </w:r>
      <w:r>
        <w:rPr>
          <w:color w:val="000000"/>
        </w:rPr>
        <w:t xml:space="preserve"> to the standard</w:t>
      </w:r>
      <w:r w:rsidRPr="001E7D67">
        <w:rPr>
          <w:color w:val="000000"/>
        </w:rPr>
        <w:t xml:space="preserve"> are associated with depletions</w:t>
      </w:r>
      <w:r>
        <w:rPr>
          <w:color w:val="000000"/>
        </w:rPr>
        <w:t xml:space="preserve"> (Tribovillard et al., 2006; Algeo and Rowe, 2012; Molinares, 2019)</w:t>
      </w:r>
      <w:r w:rsidRPr="001E7D67">
        <w:rPr>
          <w:color w:val="000000"/>
        </w:rPr>
        <w:t xml:space="preserve">. The standard values are corresponding with </w:t>
      </w:r>
      <w:r>
        <w:rPr>
          <w:color w:val="000000"/>
        </w:rPr>
        <w:t xml:space="preserve">the </w:t>
      </w:r>
      <w:r w:rsidRPr="001E7D67">
        <w:rPr>
          <w:color w:val="000000"/>
        </w:rPr>
        <w:t xml:space="preserve">international average values for the </w:t>
      </w:r>
      <w:r>
        <w:rPr>
          <w:color w:val="000000"/>
        </w:rPr>
        <w:t xml:space="preserve">average shale lithologies and </w:t>
      </w:r>
      <w:r w:rsidRPr="001E7D67">
        <w:rPr>
          <w:color w:val="000000"/>
        </w:rPr>
        <w:t xml:space="preserve">upper continental crust compiled by Tribovillard et al. (2006). The Average EF from four modern anoxic basins analogs (Black Sea, Cariaco, Framvaren Fjord, and Saanich Inlet basins) </w:t>
      </w:r>
      <w:r>
        <w:rPr>
          <w:color w:val="000000"/>
        </w:rPr>
        <w:t xml:space="preserve">complied by Tribovillard et al. (2006) are </w:t>
      </w:r>
      <w:r w:rsidRPr="001E7D67">
        <w:rPr>
          <w:color w:val="000000"/>
        </w:rPr>
        <w:t xml:space="preserve">used for </w:t>
      </w:r>
      <w:r>
        <w:rPr>
          <w:color w:val="000000"/>
        </w:rPr>
        <w:t>element enrichment factor</w:t>
      </w:r>
      <w:r w:rsidRPr="001E7D67">
        <w:rPr>
          <w:color w:val="000000"/>
        </w:rPr>
        <w:t xml:space="preserve"> comparison</w:t>
      </w:r>
      <w:r>
        <w:rPr>
          <w:color w:val="000000"/>
        </w:rPr>
        <w:t xml:space="preserve"> of the SR with average shales and modern anoxic </w:t>
      </w:r>
      <w:r>
        <w:rPr>
          <w:color w:val="000000"/>
        </w:rPr>
        <w:lastRenderedPageBreak/>
        <w:t>basins</w:t>
      </w:r>
      <w:r w:rsidRPr="001E7D67">
        <w:rPr>
          <w:color w:val="000000"/>
        </w:rPr>
        <w:t xml:space="preserve"> (Table 3.1). The results </w:t>
      </w:r>
      <w:r>
        <w:rPr>
          <w:color w:val="000000"/>
        </w:rPr>
        <w:t xml:space="preserve">of EF in the SR </w:t>
      </w:r>
      <w:r w:rsidRPr="001E7D67">
        <w:rPr>
          <w:color w:val="000000"/>
        </w:rPr>
        <w:t>are shown in</w:t>
      </w:r>
      <w:r>
        <w:rPr>
          <w:color w:val="000000"/>
        </w:rPr>
        <w:t xml:space="preserve"> </w:t>
      </w:r>
      <w:r w:rsidRPr="001E7D67">
        <w:rPr>
          <w:color w:val="000000"/>
        </w:rPr>
        <w:t>Figure 3.1</w:t>
      </w:r>
      <w:r>
        <w:rPr>
          <w:color w:val="000000"/>
        </w:rPr>
        <w:t>8</w:t>
      </w:r>
      <w:r w:rsidRPr="001E7D67">
        <w:rPr>
          <w:color w:val="000000"/>
        </w:rPr>
        <w:t>, indicating</w:t>
      </w:r>
      <w:r>
        <w:rPr>
          <w:color w:val="000000"/>
        </w:rPr>
        <w:t xml:space="preserve"> a </w:t>
      </w:r>
      <w:r w:rsidRPr="001E7D67">
        <w:rPr>
          <w:color w:val="000000"/>
        </w:rPr>
        <w:t xml:space="preserve">higher enrichment factor in Ti, Zn, Zr and Fe for the </w:t>
      </w:r>
      <w:r>
        <w:rPr>
          <w:color w:val="000000"/>
        </w:rPr>
        <w:t>U</w:t>
      </w:r>
      <w:r w:rsidRPr="001E7D67">
        <w:rPr>
          <w:color w:val="000000"/>
        </w:rPr>
        <w:t>pper Woodford</w:t>
      </w:r>
      <w:r>
        <w:rPr>
          <w:color w:val="000000"/>
        </w:rPr>
        <w:t xml:space="preserve"> member</w:t>
      </w:r>
      <w:r w:rsidRPr="001E7D67">
        <w:rPr>
          <w:color w:val="000000"/>
        </w:rPr>
        <w:t xml:space="preserve"> and</w:t>
      </w:r>
      <w:r>
        <w:rPr>
          <w:color w:val="000000"/>
        </w:rPr>
        <w:t xml:space="preserve"> also</w:t>
      </w:r>
      <w:r w:rsidRPr="001E7D67">
        <w:rPr>
          <w:color w:val="000000"/>
        </w:rPr>
        <w:t xml:space="preserve"> in the </w:t>
      </w:r>
      <w:r>
        <w:rPr>
          <w:color w:val="000000"/>
        </w:rPr>
        <w:t>M</w:t>
      </w:r>
      <w:r w:rsidRPr="001E7D67">
        <w:rPr>
          <w:color w:val="000000"/>
        </w:rPr>
        <w:t xml:space="preserve">iddle Woodford </w:t>
      </w:r>
      <w:r>
        <w:rPr>
          <w:color w:val="000000"/>
        </w:rPr>
        <w:t xml:space="preserve">member </w:t>
      </w:r>
      <w:r w:rsidRPr="001E7D67">
        <w:rPr>
          <w:color w:val="000000"/>
        </w:rPr>
        <w:t xml:space="preserve">at the maximum flooding surface area (MFS) which indicates that the continental and detrital inputs were </w:t>
      </w:r>
      <w:r>
        <w:rPr>
          <w:color w:val="000000"/>
        </w:rPr>
        <w:t>increasing from this part of the stratigraphic section.</w:t>
      </w:r>
      <w:r w:rsidRPr="001E7D67">
        <w:rPr>
          <w:color w:val="000000"/>
        </w:rPr>
        <w:t xml:space="preserve"> </w:t>
      </w:r>
    </w:p>
    <w:p w14:paraId="08D1E434" w14:textId="77777777" w:rsidR="00081C89" w:rsidRDefault="00081C89" w:rsidP="00081C89">
      <w:pPr>
        <w:ind w:firstLine="720"/>
        <w:rPr>
          <w:color w:val="000000"/>
        </w:rPr>
      </w:pPr>
      <w:r w:rsidRPr="00165A89">
        <w:rPr>
          <w:color w:val="000000"/>
        </w:rPr>
        <w:t xml:space="preserve"> </w:t>
      </w:r>
      <w:r w:rsidRPr="001E7D67">
        <w:rPr>
          <w:color w:val="000000"/>
        </w:rPr>
        <w:t xml:space="preserve">The enrichment in the </w:t>
      </w:r>
      <w:r>
        <w:rPr>
          <w:color w:val="000000"/>
        </w:rPr>
        <w:t>U</w:t>
      </w:r>
      <w:r w:rsidRPr="001E7D67">
        <w:rPr>
          <w:color w:val="000000"/>
        </w:rPr>
        <w:t xml:space="preserve">pper Woodford member of organically related proxies U, Mo, V, are </w:t>
      </w:r>
      <w:r>
        <w:rPr>
          <w:color w:val="000000"/>
        </w:rPr>
        <w:t xml:space="preserve">likely to </w:t>
      </w:r>
      <w:r w:rsidRPr="001E7D67">
        <w:rPr>
          <w:color w:val="000000"/>
        </w:rPr>
        <w:t>relate to more open water circulation conditions that captured these heavy elements via upwelling current</w:t>
      </w:r>
      <w:r>
        <w:rPr>
          <w:color w:val="000000"/>
        </w:rPr>
        <w:t>s</w:t>
      </w:r>
      <w:r w:rsidRPr="001E7D67">
        <w:rPr>
          <w:color w:val="000000"/>
        </w:rPr>
        <w:t xml:space="preserve"> supply and concentrated these elements principally in the phos</w:t>
      </w:r>
      <w:r>
        <w:rPr>
          <w:color w:val="000000"/>
        </w:rPr>
        <w:t>phate</w:t>
      </w:r>
      <w:r w:rsidRPr="001E7D67">
        <w:rPr>
          <w:color w:val="000000"/>
        </w:rPr>
        <w:t xml:space="preserve"> concretions</w:t>
      </w:r>
      <w:r>
        <w:rPr>
          <w:color w:val="000000"/>
        </w:rPr>
        <w:t xml:space="preserve"> (similarly as proposed by Galvis, 2017)</w:t>
      </w:r>
      <w:r w:rsidRPr="001E7D67">
        <w:rPr>
          <w:color w:val="000000"/>
        </w:rPr>
        <w:t>. Also</w:t>
      </w:r>
      <w:r>
        <w:rPr>
          <w:color w:val="000000"/>
        </w:rPr>
        <w:t>,</w:t>
      </w:r>
      <w:r w:rsidRPr="001E7D67">
        <w:rPr>
          <w:color w:val="000000"/>
        </w:rPr>
        <w:t xml:space="preserve"> </w:t>
      </w:r>
      <w:r>
        <w:rPr>
          <w:color w:val="000000"/>
        </w:rPr>
        <w:t xml:space="preserve">the </w:t>
      </w:r>
      <w:r w:rsidRPr="001E7D67">
        <w:rPr>
          <w:color w:val="000000"/>
        </w:rPr>
        <w:t xml:space="preserve">possible migrated oil in the </w:t>
      </w:r>
      <w:r>
        <w:rPr>
          <w:color w:val="000000"/>
        </w:rPr>
        <w:t>U</w:t>
      </w:r>
      <w:r w:rsidRPr="001E7D67">
        <w:rPr>
          <w:color w:val="000000"/>
        </w:rPr>
        <w:t>pper Woodford siliceous rich lithologies (Figure</w:t>
      </w:r>
      <w:r>
        <w:rPr>
          <w:color w:val="000000"/>
        </w:rPr>
        <w:t xml:space="preserve"> 3.19 and Figure</w:t>
      </w:r>
      <w:r w:rsidRPr="001E7D67">
        <w:rPr>
          <w:color w:val="000000"/>
        </w:rPr>
        <w:t xml:space="preserve"> 3.</w:t>
      </w:r>
      <w:r>
        <w:rPr>
          <w:color w:val="000000"/>
        </w:rPr>
        <w:t>20</w:t>
      </w:r>
      <w:r w:rsidRPr="001E7D67">
        <w:rPr>
          <w:color w:val="000000"/>
        </w:rPr>
        <w:t xml:space="preserve">) </w:t>
      </w:r>
      <w:r>
        <w:rPr>
          <w:color w:val="000000"/>
        </w:rPr>
        <w:t>should be able to carry</w:t>
      </w:r>
      <w:r w:rsidRPr="001E7D67">
        <w:rPr>
          <w:color w:val="000000"/>
        </w:rPr>
        <w:t xml:space="preserve"> some heavy elements in their </w:t>
      </w:r>
      <w:r>
        <w:rPr>
          <w:color w:val="000000"/>
        </w:rPr>
        <w:t>high molecular polarity</w:t>
      </w:r>
      <w:r w:rsidRPr="001E7D67">
        <w:rPr>
          <w:color w:val="000000"/>
        </w:rPr>
        <w:t xml:space="preserve"> fractions that can be detected by the XRF beam</w:t>
      </w:r>
      <w:r>
        <w:rPr>
          <w:color w:val="000000"/>
        </w:rPr>
        <w:t>,</w:t>
      </w:r>
      <w:r w:rsidRPr="001E7D67">
        <w:rPr>
          <w:color w:val="000000"/>
        </w:rPr>
        <w:t xml:space="preserve"> since </w:t>
      </w:r>
      <w:r>
        <w:rPr>
          <w:color w:val="000000"/>
        </w:rPr>
        <w:t>the migrated bitumen</w:t>
      </w:r>
      <w:r w:rsidRPr="001E7D67">
        <w:rPr>
          <w:color w:val="000000"/>
        </w:rPr>
        <w:t xml:space="preserve"> provide</w:t>
      </w:r>
      <w:r>
        <w:rPr>
          <w:color w:val="000000"/>
        </w:rPr>
        <w:t>s saturation of the rock matrix.</w:t>
      </w:r>
      <w:r w:rsidRPr="001E7D67">
        <w:rPr>
          <w:color w:val="000000"/>
        </w:rPr>
        <w:t xml:space="preserve"> </w:t>
      </w:r>
    </w:p>
    <w:p w14:paraId="772C5CDA" w14:textId="5623B142" w:rsidR="00081C89" w:rsidRPr="00E90A75" w:rsidRDefault="00081C89" w:rsidP="00081C89">
      <w:pPr>
        <w:ind w:firstLine="720"/>
        <w:rPr>
          <w:color w:val="000000"/>
        </w:rPr>
      </w:pPr>
      <w:r>
        <w:rPr>
          <w:color w:val="000000"/>
        </w:rPr>
        <w:t xml:space="preserve">Figure 3.20 summarizes the three lithofacies described by Galvis et al. (2017) as the ones which constitute the SR Upper member and are the lithologies capable </w:t>
      </w:r>
      <w:r w:rsidR="00C403D1">
        <w:rPr>
          <w:color w:val="000000"/>
        </w:rPr>
        <w:t>of hosting</w:t>
      </w:r>
      <w:r>
        <w:rPr>
          <w:color w:val="000000"/>
        </w:rPr>
        <w:t xml:space="preserve"> the migrated hydrocarbons. For the chert lithofacies, the</w:t>
      </w:r>
      <w:r w:rsidRPr="00E90A75">
        <w:rPr>
          <w:color w:val="000000"/>
        </w:rPr>
        <w:t xml:space="preserve"> matrix is made of microcrystalline quartz aggregates</w:t>
      </w:r>
      <w:r>
        <w:rPr>
          <w:color w:val="000000"/>
        </w:rPr>
        <w:t>; w</w:t>
      </w:r>
      <w:r w:rsidRPr="00E90A75">
        <w:rPr>
          <w:color w:val="000000"/>
        </w:rPr>
        <w:t xml:space="preserve">ell-preserved radiolarian tests and </w:t>
      </w:r>
      <w:r w:rsidRPr="000F3FAD">
        <w:rPr>
          <w:i/>
          <w:color w:val="000000"/>
        </w:rPr>
        <w:t>Tasmanite</w:t>
      </w:r>
      <w:r w:rsidRPr="00E90A75">
        <w:rPr>
          <w:color w:val="000000"/>
        </w:rPr>
        <w:t>s are replaced by chalcedony quartz</w:t>
      </w:r>
      <w:r>
        <w:rPr>
          <w:color w:val="000000"/>
        </w:rPr>
        <w:t>; v</w:t>
      </w:r>
      <w:r w:rsidRPr="00E90A75">
        <w:rPr>
          <w:color w:val="000000"/>
        </w:rPr>
        <w:t>ertical microfractures are common, these are filled with bitumen and quartz</w:t>
      </w:r>
      <w:r>
        <w:rPr>
          <w:color w:val="000000"/>
        </w:rPr>
        <w:t xml:space="preserve"> (Galvis et al., 2017)</w:t>
      </w:r>
      <w:r w:rsidRPr="00E90A75">
        <w:rPr>
          <w:color w:val="000000"/>
        </w:rPr>
        <w:t>.</w:t>
      </w:r>
      <w:r>
        <w:rPr>
          <w:color w:val="000000"/>
        </w:rPr>
        <w:t xml:space="preserve"> For the siliceous mudstone lithologies, the</w:t>
      </w:r>
      <w:r w:rsidRPr="00E90A75">
        <w:rPr>
          <w:color w:val="000000"/>
        </w:rPr>
        <w:t xml:space="preserve"> micro</w:t>
      </w:r>
      <w:r>
        <w:rPr>
          <w:color w:val="000000"/>
        </w:rPr>
        <w:t xml:space="preserve"> </w:t>
      </w:r>
      <w:r w:rsidRPr="00E90A75">
        <w:rPr>
          <w:color w:val="000000"/>
        </w:rPr>
        <w:t>fabric is slightly laminated to massive</w:t>
      </w:r>
      <w:r>
        <w:rPr>
          <w:color w:val="000000"/>
        </w:rPr>
        <w:t>; t</w:t>
      </w:r>
      <w:r w:rsidRPr="00E90A75">
        <w:rPr>
          <w:color w:val="000000"/>
        </w:rPr>
        <w:t>he shale matrix is made of aggregates of micro-crystalline quartz (no visible discre</w:t>
      </w:r>
      <w:r>
        <w:rPr>
          <w:color w:val="000000"/>
        </w:rPr>
        <w:t xml:space="preserve">te grains contacts); </w:t>
      </w:r>
      <w:r w:rsidRPr="00E90A75">
        <w:rPr>
          <w:color w:val="000000"/>
        </w:rPr>
        <w:t xml:space="preserve">radiolarian and </w:t>
      </w:r>
      <w:r w:rsidRPr="000F3FAD">
        <w:rPr>
          <w:i/>
          <w:color w:val="000000"/>
        </w:rPr>
        <w:t>Tasmanites</w:t>
      </w:r>
      <w:r w:rsidRPr="00E90A75">
        <w:rPr>
          <w:color w:val="000000"/>
        </w:rPr>
        <w:t xml:space="preserve"> are </w:t>
      </w:r>
      <w:r>
        <w:rPr>
          <w:color w:val="000000"/>
        </w:rPr>
        <w:t xml:space="preserve">scattered through the matrix, </w:t>
      </w:r>
      <w:r w:rsidRPr="00E90A75">
        <w:rPr>
          <w:color w:val="000000"/>
        </w:rPr>
        <w:t>abundant</w:t>
      </w:r>
      <w:r>
        <w:rPr>
          <w:color w:val="000000"/>
        </w:rPr>
        <w:t>,</w:t>
      </w:r>
      <w:r w:rsidRPr="00E90A75">
        <w:rPr>
          <w:color w:val="000000"/>
        </w:rPr>
        <w:t xml:space="preserve"> well-preserved </w:t>
      </w:r>
      <w:r>
        <w:rPr>
          <w:color w:val="000000"/>
        </w:rPr>
        <w:t xml:space="preserve">and </w:t>
      </w:r>
      <w:r w:rsidRPr="00E90A75">
        <w:rPr>
          <w:color w:val="000000"/>
        </w:rPr>
        <w:t>filled with chalcedony and pyrite</w:t>
      </w:r>
      <w:r>
        <w:rPr>
          <w:color w:val="000000"/>
        </w:rPr>
        <w:t xml:space="preserve"> (Figure 3.20)</w:t>
      </w:r>
      <w:r w:rsidRPr="00E90A75">
        <w:rPr>
          <w:color w:val="000000"/>
        </w:rPr>
        <w:t>.</w:t>
      </w:r>
      <w:r>
        <w:rPr>
          <w:color w:val="000000"/>
        </w:rPr>
        <w:t xml:space="preserve"> For the siliceous shale lithofacies, the</w:t>
      </w:r>
      <w:r w:rsidRPr="00E90A75">
        <w:rPr>
          <w:color w:val="000000"/>
        </w:rPr>
        <w:t xml:space="preserve"> shale matrix is </w:t>
      </w:r>
      <w:r w:rsidR="00C403D1">
        <w:rPr>
          <w:color w:val="000000"/>
        </w:rPr>
        <w:t>most</w:t>
      </w:r>
      <w:r w:rsidRPr="00E90A75">
        <w:rPr>
          <w:color w:val="000000"/>
        </w:rPr>
        <w:t xml:space="preserve">ly made of microcrystalline authigenic quartz and clays; embedded coarser particles include silt-sized detrital quartz in laminae and flattened </w:t>
      </w:r>
      <w:r w:rsidRPr="000F3FAD">
        <w:rPr>
          <w:i/>
          <w:color w:val="000000"/>
        </w:rPr>
        <w:t>Tasmanites</w:t>
      </w:r>
      <w:r w:rsidRPr="00E90A75">
        <w:rPr>
          <w:color w:val="000000"/>
        </w:rPr>
        <w:t xml:space="preserve">; </w:t>
      </w:r>
      <w:r>
        <w:rPr>
          <w:color w:val="000000"/>
        </w:rPr>
        <w:t>s</w:t>
      </w:r>
      <w:r w:rsidRPr="00E90A75">
        <w:rPr>
          <w:color w:val="000000"/>
        </w:rPr>
        <w:t>iltier microlenses seem to provide better primary porosities within this lithofacies</w:t>
      </w:r>
      <w:r>
        <w:rPr>
          <w:color w:val="000000"/>
        </w:rPr>
        <w:t xml:space="preserve"> (Galvis, 2017; Figure 3.20).</w:t>
      </w:r>
    </w:p>
    <w:p w14:paraId="7BF31FB6" w14:textId="77777777" w:rsidR="00081C89" w:rsidRDefault="00081C89" w:rsidP="00081C89">
      <w:pPr>
        <w:ind w:firstLine="720"/>
        <w:rPr>
          <w:color w:val="000000"/>
        </w:rPr>
      </w:pPr>
    </w:p>
    <w:p w14:paraId="39148786" w14:textId="77777777" w:rsidR="00081C89" w:rsidRDefault="00081C89" w:rsidP="00081C89">
      <w:pPr>
        <w:jc w:val="center"/>
      </w:pPr>
      <w:r>
        <w:rPr>
          <w:noProof/>
        </w:rPr>
        <w:drawing>
          <wp:inline distT="0" distB="0" distL="0" distR="0" wp14:anchorId="13A019C4" wp14:editId="0009425C">
            <wp:extent cx="5505450" cy="2578735"/>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05450" cy="2578735"/>
                    </a:xfrm>
                    <a:prstGeom prst="rect">
                      <a:avLst/>
                    </a:prstGeom>
                    <a:noFill/>
                  </pic:spPr>
                </pic:pic>
              </a:graphicData>
            </a:graphic>
          </wp:inline>
        </w:drawing>
      </w:r>
    </w:p>
    <w:p w14:paraId="639FE3A3" w14:textId="77777777" w:rsidR="00081C89" w:rsidRDefault="00081C89" w:rsidP="00081C89">
      <w:pPr>
        <w:pStyle w:val="TOCHeading"/>
      </w:pPr>
      <w:r w:rsidRPr="001E7D67">
        <w:rPr>
          <w:b/>
          <w:bCs/>
        </w:rPr>
        <w:t>Table 3.1.</w:t>
      </w:r>
      <w:r w:rsidRPr="001E7D67">
        <w:t xml:space="preserve"> EF Factors of international standards for calculating the enrichment factors of trace elements</w:t>
      </w:r>
      <w:r>
        <w:t xml:space="preserve"> in</w:t>
      </w:r>
      <w:r w:rsidRPr="001E7D67">
        <w:t xml:space="preserve"> Tribovillard et al. (2006).</w:t>
      </w:r>
    </w:p>
    <w:p w14:paraId="07ECDAC1" w14:textId="77777777" w:rsidR="00081C89" w:rsidRDefault="00081C89" w:rsidP="00081C89">
      <w:pPr>
        <w:rPr>
          <w:color w:val="000000"/>
        </w:rPr>
        <w:sectPr w:rsidR="00081C89" w:rsidSect="0095456D">
          <w:pgSz w:w="12240" w:h="15840"/>
          <w:pgMar w:top="1440" w:right="1440" w:bottom="1440" w:left="1440" w:header="720" w:footer="720" w:gutter="0"/>
          <w:cols w:space="720"/>
          <w:docGrid w:linePitch="360"/>
        </w:sectPr>
      </w:pPr>
    </w:p>
    <w:p w14:paraId="2490DF3A" w14:textId="77777777" w:rsidR="00081C89" w:rsidRPr="001E7D67" w:rsidRDefault="00081C89" w:rsidP="00081C89">
      <w:pPr>
        <w:spacing w:after="0"/>
        <w:jc w:val="center"/>
        <w:rPr>
          <w:color w:val="000000"/>
        </w:rPr>
      </w:pPr>
      <w:r>
        <w:rPr>
          <w:noProof/>
          <w:color w:val="000000"/>
        </w:rPr>
        <w:lastRenderedPageBreak/>
        <w:drawing>
          <wp:inline distT="0" distB="0" distL="0" distR="0" wp14:anchorId="7E4361D7" wp14:editId="7A0D6B91">
            <wp:extent cx="7724140" cy="5358765"/>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24140" cy="5358765"/>
                    </a:xfrm>
                    <a:prstGeom prst="rect">
                      <a:avLst/>
                    </a:prstGeom>
                    <a:noFill/>
                  </pic:spPr>
                </pic:pic>
              </a:graphicData>
            </a:graphic>
          </wp:inline>
        </w:drawing>
      </w:r>
    </w:p>
    <w:p w14:paraId="64D087FD" w14:textId="77777777" w:rsidR="00081C89" w:rsidRPr="001E7D67" w:rsidRDefault="00081C89" w:rsidP="00081C89">
      <w:pPr>
        <w:pStyle w:val="Caption"/>
        <w:sectPr w:rsidR="00081C89" w:rsidRPr="001E7D67" w:rsidSect="0095456D">
          <w:pgSz w:w="15840" w:h="12240" w:orient="landscape"/>
          <w:pgMar w:top="1440" w:right="1440" w:bottom="1440" w:left="1440" w:header="720" w:footer="720" w:gutter="0"/>
          <w:cols w:space="720"/>
          <w:docGrid w:linePitch="360"/>
        </w:sectPr>
      </w:pPr>
      <w:bookmarkStart w:id="183" w:name="_Toc29308152"/>
      <w:bookmarkStart w:id="184" w:name="_Toc35861205"/>
      <w:r w:rsidRPr="001E7D67">
        <w:rPr>
          <w:b/>
        </w:rPr>
        <w:t>Figure 3.1</w:t>
      </w:r>
      <w:r>
        <w:rPr>
          <w:b/>
        </w:rPr>
        <w:t>8</w:t>
      </w:r>
      <w:r w:rsidRPr="001E7D67">
        <w:rPr>
          <w:b/>
        </w:rPr>
        <w:t xml:space="preserve">. </w:t>
      </w:r>
      <w:r w:rsidRPr="001E7D67">
        <w:t xml:space="preserve">Enrichment factors calculated for U, Mo, V, and Fe for understanding oxic and higher dilution trends, which are identified to be much lower in the </w:t>
      </w:r>
      <w:r>
        <w:t>M</w:t>
      </w:r>
      <w:r w:rsidRPr="001E7D67">
        <w:t xml:space="preserve">iddle and </w:t>
      </w:r>
      <w:r>
        <w:t>L</w:t>
      </w:r>
      <w:r w:rsidRPr="001E7D67">
        <w:t xml:space="preserve">ower Woodford (detrital input of sediments) than in the </w:t>
      </w:r>
      <w:r>
        <w:t>U</w:t>
      </w:r>
      <w:r w:rsidRPr="001E7D67">
        <w:t>pper member.</w:t>
      </w:r>
      <w:bookmarkEnd w:id="183"/>
      <w:bookmarkEnd w:id="184"/>
    </w:p>
    <w:p w14:paraId="2EFDDF89" w14:textId="77777777" w:rsidR="00081C89" w:rsidRPr="001E7D67" w:rsidRDefault="00081C89" w:rsidP="00081C89">
      <w:pPr>
        <w:spacing w:after="0" w:line="240" w:lineRule="auto"/>
        <w:jc w:val="center"/>
        <w:rPr>
          <w:b/>
          <w:color w:val="000000"/>
        </w:rPr>
      </w:pPr>
      <w:r>
        <w:rPr>
          <w:b/>
          <w:noProof/>
          <w:color w:val="000000"/>
        </w:rPr>
        <w:lastRenderedPageBreak/>
        <w:drawing>
          <wp:inline distT="0" distB="0" distL="0" distR="0" wp14:anchorId="6FE487E5" wp14:editId="2D3E3D86">
            <wp:extent cx="5041900" cy="269494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41900" cy="2694940"/>
                    </a:xfrm>
                    <a:prstGeom prst="rect">
                      <a:avLst/>
                    </a:prstGeom>
                    <a:noFill/>
                  </pic:spPr>
                </pic:pic>
              </a:graphicData>
            </a:graphic>
          </wp:inline>
        </w:drawing>
      </w:r>
    </w:p>
    <w:p w14:paraId="5C755074" w14:textId="77777777" w:rsidR="00081C89" w:rsidRPr="00176AEA" w:rsidRDefault="00081C89" w:rsidP="00081C89">
      <w:pPr>
        <w:spacing w:after="0" w:line="240" w:lineRule="auto"/>
        <w:jc w:val="center"/>
        <w:rPr>
          <w:b/>
          <w:color w:val="000000"/>
        </w:rPr>
      </w:pPr>
      <w:r>
        <w:rPr>
          <w:b/>
          <w:noProof/>
          <w:color w:val="000000"/>
        </w:rPr>
        <w:drawing>
          <wp:inline distT="0" distB="0" distL="0" distR="0" wp14:anchorId="47CB15B8" wp14:editId="550D1E17">
            <wp:extent cx="4889500" cy="2402205"/>
            <wp:effectExtent l="0" t="0" r="635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89500" cy="2402205"/>
                    </a:xfrm>
                    <a:prstGeom prst="rect">
                      <a:avLst/>
                    </a:prstGeom>
                    <a:noFill/>
                  </pic:spPr>
                </pic:pic>
              </a:graphicData>
            </a:graphic>
          </wp:inline>
        </w:drawing>
      </w:r>
    </w:p>
    <w:p w14:paraId="1B9C4923" w14:textId="77777777" w:rsidR="00081C89" w:rsidRPr="001E7D67" w:rsidRDefault="00081C89" w:rsidP="00081C89">
      <w:pPr>
        <w:spacing w:after="0" w:line="240" w:lineRule="auto"/>
        <w:jc w:val="center"/>
        <w:rPr>
          <w:b/>
          <w:color w:val="000000"/>
        </w:rPr>
      </w:pPr>
      <w:r>
        <w:rPr>
          <w:b/>
          <w:noProof/>
          <w:color w:val="000000"/>
        </w:rPr>
        <w:drawing>
          <wp:inline distT="0" distB="0" distL="0" distR="0" wp14:anchorId="734847EC" wp14:editId="36FC1455">
            <wp:extent cx="4889500" cy="2402205"/>
            <wp:effectExtent l="0" t="0" r="635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89500" cy="2402205"/>
                    </a:xfrm>
                    <a:prstGeom prst="rect">
                      <a:avLst/>
                    </a:prstGeom>
                    <a:noFill/>
                  </pic:spPr>
                </pic:pic>
              </a:graphicData>
            </a:graphic>
          </wp:inline>
        </w:drawing>
      </w:r>
    </w:p>
    <w:p w14:paraId="55AE72C5" w14:textId="77777777" w:rsidR="00081C89" w:rsidRPr="001E7D67" w:rsidRDefault="00081C89" w:rsidP="00081C89">
      <w:pPr>
        <w:pStyle w:val="Caption"/>
      </w:pPr>
      <w:bookmarkStart w:id="185" w:name="_Toc29308153"/>
      <w:bookmarkStart w:id="186" w:name="_Toc35861206"/>
      <w:r w:rsidRPr="001E7D67">
        <w:rPr>
          <w:b/>
        </w:rPr>
        <w:t>Figure 3.1</w:t>
      </w:r>
      <w:r>
        <w:rPr>
          <w:b/>
        </w:rPr>
        <w:t>9</w:t>
      </w:r>
      <w:r w:rsidRPr="001E7D67">
        <w:rPr>
          <w:b/>
        </w:rPr>
        <w:t xml:space="preserve">. </w:t>
      </w:r>
      <w:r>
        <w:t>Photomicrograph</w:t>
      </w:r>
      <w:r w:rsidRPr="001E7D67">
        <w:t xml:space="preserve"> analysis by courtesy of Mr. Brian Cardott, Oklahoma Geological Survey (OGS). He comments that the high S1 peak is undoubtedly from a migrated oil. Note that the fluorescence is not seen very well in the photomicrographs (better under the microscope).</w:t>
      </w:r>
      <w:bookmarkEnd w:id="185"/>
      <w:bookmarkEnd w:id="186"/>
    </w:p>
    <w:p w14:paraId="2075CC1B" w14:textId="77777777" w:rsidR="00081C89" w:rsidRPr="001E7D67" w:rsidRDefault="00081C89" w:rsidP="00081C89">
      <w:pPr>
        <w:spacing w:after="0"/>
        <w:jc w:val="center"/>
        <w:rPr>
          <w:b/>
          <w:color w:val="000000"/>
        </w:rPr>
      </w:pPr>
      <w:r>
        <w:rPr>
          <w:b/>
          <w:noProof/>
          <w:color w:val="000000"/>
        </w:rPr>
        <w:lastRenderedPageBreak/>
        <w:drawing>
          <wp:inline distT="0" distB="0" distL="0" distR="0" wp14:anchorId="7FA4D46C" wp14:editId="71762160">
            <wp:extent cx="5285740" cy="4011295"/>
            <wp:effectExtent l="0" t="0" r="0"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85740" cy="4011295"/>
                    </a:xfrm>
                    <a:prstGeom prst="rect">
                      <a:avLst/>
                    </a:prstGeom>
                    <a:noFill/>
                  </pic:spPr>
                </pic:pic>
              </a:graphicData>
            </a:graphic>
          </wp:inline>
        </w:drawing>
      </w:r>
    </w:p>
    <w:p w14:paraId="6223E7CC" w14:textId="77777777" w:rsidR="00081C89" w:rsidRDefault="00081C89" w:rsidP="00081C89">
      <w:pPr>
        <w:pStyle w:val="Caption"/>
      </w:pPr>
      <w:bookmarkStart w:id="187" w:name="_Toc29308154"/>
      <w:bookmarkStart w:id="188" w:name="_Toc35861207"/>
      <w:r w:rsidRPr="001E7D67">
        <w:rPr>
          <w:b/>
        </w:rPr>
        <w:t>Figure 3.</w:t>
      </w:r>
      <w:r>
        <w:rPr>
          <w:b/>
        </w:rPr>
        <w:t>20</w:t>
      </w:r>
      <w:r w:rsidRPr="001E7D67">
        <w:rPr>
          <w:b/>
        </w:rPr>
        <w:t xml:space="preserve">. </w:t>
      </w:r>
      <w:r w:rsidRPr="001E7D67">
        <w:t xml:space="preserve">Siliceous </w:t>
      </w:r>
      <w:r>
        <w:t>shale, siliceous mudstone and chert-rich</w:t>
      </w:r>
      <w:r w:rsidRPr="001E7D67">
        <w:t xml:space="preserve"> lithofacies proposed and described by Galvis (2017) in the Woodford Shale that served as hosting lithologies of migrated hydrocarbons identified by the fluid inclusion analyses.</w:t>
      </w:r>
      <w:bookmarkEnd w:id="187"/>
      <w:bookmarkEnd w:id="188"/>
    </w:p>
    <w:p w14:paraId="16805B99" w14:textId="77777777" w:rsidR="00081C89" w:rsidRPr="00C57C9A" w:rsidRDefault="00081C89" w:rsidP="00081C89"/>
    <w:p w14:paraId="5546B1EE" w14:textId="77777777" w:rsidR="00081C89" w:rsidRPr="001E7D67" w:rsidRDefault="00081C89" w:rsidP="00081C89">
      <w:pPr>
        <w:pStyle w:val="Heading3"/>
        <w:numPr>
          <w:ilvl w:val="2"/>
          <w:numId w:val="10"/>
        </w:numPr>
      </w:pPr>
      <w:bookmarkStart w:id="189" w:name="_Toc29304870"/>
      <w:bookmarkStart w:id="190" w:name="_Toc35861110"/>
      <w:r>
        <w:t>Sample selection criteria for biomarker analysis</w:t>
      </w:r>
      <w:bookmarkEnd w:id="189"/>
      <w:bookmarkEnd w:id="190"/>
    </w:p>
    <w:p w14:paraId="1424DDE4" w14:textId="77777777" w:rsidR="00081C89" w:rsidRPr="001E7D67" w:rsidRDefault="00081C89" w:rsidP="00081C89">
      <w:pPr>
        <w:spacing w:before="240"/>
        <w:ind w:firstLine="720"/>
        <w:rPr>
          <w:i/>
          <w:color w:val="000000"/>
        </w:rPr>
      </w:pPr>
      <w:r w:rsidRPr="001E7D67">
        <w:rPr>
          <w:color w:val="000000"/>
        </w:rPr>
        <w:t xml:space="preserve">The selection of the samples for biomarker analysis was based on the recognition of intervals with higher </w:t>
      </w:r>
      <w:r>
        <w:rPr>
          <w:color w:val="000000"/>
        </w:rPr>
        <w:t>%</w:t>
      </w:r>
      <w:r w:rsidRPr="001E7D67">
        <w:rPr>
          <w:color w:val="000000"/>
        </w:rPr>
        <w:t>TOC content, higher HI, and statistical cluster analysis using unsupervised K-means facies classification to incorporate the inorganic geochemical properties by the elemental composition analysis of X</w:t>
      </w:r>
      <w:r>
        <w:rPr>
          <w:color w:val="000000"/>
        </w:rPr>
        <w:t>RF</w:t>
      </w:r>
      <w:r w:rsidRPr="001E7D67">
        <w:rPr>
          <w:color w:val="000000"/>
        </w:rPr>
        <w:t xml:space="preserve"> data. This clustering technique was applied in an unsupervised manner</w:t>
      </w:r>
      <w:r>
        <w:rPr>
          <w:color w:val="000000"/>
        </w:rPr>
        <w:t xml:space="preserve">, as suggested by Franti and Sieranoja (2019), and Qiao et al. (2019) for big data clustering analytics. Unsupervised clustering </w:t>
      </w:r>
      <w:r w:rsidRPr="001E7D67">
        <w:rPr>
          <w:color w:val="000000"/>
        </w:rPr>
        <w:t xml:space="preserve">means that no user interpretation was applied, and each data site point at each sample was compared, and their statistical centroid correlation factors were </w:t>
      </w:r>
      <w:r w:rsidRPr="001E7D67">
        <w:rPr>
          <w:color w:val="000000"/>
        </w:rPr>
        <w:lastRenderedPageBreak/>
        <w:t>identified and grouped in clusters</w:t>
      </w:r>
      <w:r>
        <w:rPr>
          <w:color w:val="000000"/>
        </w:rPr>
        <w:t xml:space="preserve"> (Qiao et al., 2019). The result clusters are</w:t>
      </w:r>
      <w:r w:rsidRPr="001E7D67">
        <w:rPr>
          <w:color w:val="000000"/>
        </w:rPr>
        <w:t xml:space="preserve"> interpret</w:t>
      </w:r>
      <w:r>
        <w:rPr>
          <w:color w:val="000000"/>
        </w:rPr>
        <w:t>ed</w:t>
      </w:r>
      <w:r w:rsidRPr="001E7D67">
        <w:rPr>
          <w:color w:val="000000"/>
        </w:rPr>
        <w:t xml:space="preserve"> as “</w:t>
      </w:r>
      <w:r>
        <w:rPr>
          <w:color w:val="000000"/>
        </w:rPr>
        <w:t>f</w:t>
      </w:r>
      <w:r w:rsidRPr="001E7D67">
        <w:rPr>
          <w:color w:val="000000"/>
        </w:rPr>
        <w:t>acies” and refer</w:t>
      </w:r>
      <w:r>
        <w:rPr>
          <w:color w:val="000000"/>
        </w:rPr>
        <w:t>red</w:t>
      </w:r>
      <w:r w:rsidRPr="001E7D67">
        <w:rPr>
          <w:color w:val="000000"/>
        </w:rPr>
        <w:t xml:space="preserve"> to as </w:t>
      </w:r>
      <w:r w:rsidRPr="001E7D67">
        <w:rPr>
          <w:i/>
          <w:color w:val="000000"/>
        </w:rPr>
        <w:t xml:space="preserve">“K-means facies.” </w:t>
      </w:r>
    </w:p>
    <w:p w14:paraId="656132EA" w14:textId="77777777" w:rsidR="00081C89" w:rsidRPr="00EE6489" w:rsidRDefault="00081C89" w:rsidP="00081C89">
      <w:pPr>
        <w:ind w:firstLine="720"/>
      </w:pPr>
      <w:r>
        <w:t>The</w:t>
      </w:r>
      <w:r w:rsidRPr="00B10A31">
        <w:t xml:space="preserve"> </w:t>
      </w:r>
      <w:r>
        <w:t xml:space="preserve">K-means unsupervised machine learning classification obtained ten different clusters that were interpreted as </w:t>
      </w:r>
      <w:r>
        <w:rPr>
          <w:i/>
        </w:rPr>
        <w:t xml:space="preserve">K-means facies. </w:t>
      </w:r>
      <w:r>
        <w:rPr>
          <w:iCs/>
        </w:rPr>
        <w:t xml:space="preserve">The </w:t>
      </w:r>
      <w:r w:rsidRPr="00B10A31">
        <w:t>biomarker analyses are proposed to be conducted on</w:t>
      </w:r>
      <w:r>
        <w:t xml:space="preserve"> at least one </w:t>
      </w:r>
      <w:r w:rsidRPr="00B10A31">
        <w:t xml:space="preserve">sample </w:t>
      </w:r>
      <w:r>
        <w:t xml:space="preserve">of each of these ten </w:t>
      </w:r>
      <w:r>
        <w:rPr>
          <w:i/>
        </w:rPr>
        <w:t xml:space="preserve">K-means facies </w:t>
      </w:r>
      <w:r>
        <w:rPr>
          <w:iCs/>
        </w:rPr>
        <w:t>for covering the different rock types in the stratigraphic section. More samples were selected systematically, trying to expand every 20ft intervals of stratigraphic variations, and were interpreted to be representative for the 314 ft SR section, s</w:t>
      </w:r>
      <w:r>
        <w:t xml:space="preserve">ince typical Woodford Shale layers along the section are very likely to present </w:t>
      </w:r>
      <w:r w:rsidRPr="00B10A31">
        <w:t xml:space="preserve">a </w:t>
      </w:r>
      <w:r>
        <w:t xml:space="preserve">variable </w:t>
      </w:r>
      <w:r w:rsidRPr="00B10A31">
        <w:t>concentration of elemental Mo and V (from XRF),</w:t>
      </w:r>
      <w:r>
        <w:t xml:space="preserve"> </w:t>
      </w:r>
      <w:r w:rsidRPr="00B10A31">
        <w:t xml:space="preserve">high </w:t>
      </w:r>
      <w:r>
        <w:t>h</w:t>
      </w:r>
      <w:r w:rsidRPr="00B10A31">
        <w:t>ydrogen index</w:t>
      </w:r>
      <w:r>
        <w:t xml:space="preserve">, and </w:t>
      </w:r>
      <w:r w:rsidRPr="00B10A31">
        <w:t xml:space="preserve">low </w:t>
      </w:r>
      <w:r>
        <w:t>o</w:t>
      </w:r>
      <w:r w:rsidRPr="00B10A31">
        <w:t xml:space="preserve">xygen </w:t>
      </w:r>
      <w:r>
        <w:t>i</w:t>
      </w:r>
      <w:r w:rsidRPr="00B10A31">
        <w:t>ndex (</w:t>
      </w:r>
      <w:r>
        <w:t>f</w:t>
      </w:r>
      <w:r w:rsidRPr="00B10A31">
        <w:t xml:space="preserve">rom Rock-Eval </w:t>
      </w:r>
      <w:r>
        <w:t>p</w:t>
      </w:r>
      <w:r w:rsidRPr="00B10A31">
        <w:t xml:space="preserve">yrolysis). </w:t>
      </w:r>
      <w:r>
        <w:t xml:space="preserve">The K-means facies clustering results are in Table 3.2, under the column named </w:t>
      </w:r>
      <w:r w:rsidRPr="003E58E0">
        <w:rPr>
          <w:i/>
          <w:iCs/>
        </w:rPr>
        <w:t>“K-means Facies</w:t>
      </w:r>
      <w:r>
        <w:rPr>
          <w:i/>
          <w:iCs/>
        </w:rPr>
        <w:t xml:space="preserve">,” </w:t>
      </w:r>
      <w:r>
        <w:t xml:space="preserve">with values from 0 to 9. For K-means facies, each similar number corresponding to similar geostatistical facies.  The computational theory defines </w:t>
      </w:r>
      <w:r w:rsidRPr="00EE6489">
        <w:t xml:space="preserve">K-means </w:t>
      </w:r>
      <w:r>
        <w:t xml:space="preserve">as a </w:t>
      </w:r>
      <w:r w:rsidRPr="00EE6489">
        <w:t>clustering</w:t>
      </w:r>
      <w:r>
        <w:t xml:space="preserve"> tool that classifies related or unrelated data into </w:t>
      </w:r>
      <w:r>
        <w:rPr>
          <w:i/>
          <w:iCs/>
        </w:rPr>
        <w:t>n</w:t>
      </w:r>
      <w:r w:rsidRPr="00EE6489">
        <w:t xml:space="preserve"> observations </w:t>
      </w:r>
      <w:r w:rsidRPr="00027614">
        <w:rPr>
          <w:noProof/>
        </w:rPr>
        <w:drawing>
          <wp:inline distT="0" distB="0" distL="0" distR="0" wp14:anchorId="5BEB60AD" wp14:editId="6FE8AFFA">
            <wp:extent cx="939800" cy="190500"/>
            <wp:effectExtent l="0" t="0" r="0" b="0"/>
            <wp:docPr id="21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39800" cy="190500"/>
                    </a:xfrm>
                    <a:prstGeom prst="rect">
                      <a:avLst/>
                    </a:prstGeom>
                    <a:noFill/>
                    <a:ln>
                      <a:noFill/>
                    </a:ln>
                  </pic:spPr>
                </pic:pic>
              </a:graphicData>
            </a:graphic>
          </wp:inline>
        </w:drawing>
      </w:r>
      <w:r w:rsidRPr="00EE6489">
        <w:t xml:space="preserve"> into k clusters </w:t>
      </w:r>
      <w:r>
        <w:t>to minimize</w:t>
      </w:r>
      <w:r w:rsidRPr="00EE6489">
        <w:t xml:space="preserve"> the</w:t>
      </w:r>
      <w:r>
        <w:t xml:space="preserve"> c</w:t>
      </w:r>
      <w:r w:rsidRPr="00EE6489">
        <w:t>luster center</w:t>
      </w:r>
      <w:r>
        <w:t xml:space="preserve">. </w:t>
      </w:r>
      <w:r w:rsidRPr="00EE6489">
        <w:t>The K-means algorithm</w:t>
      </w:r>
      <w:r>
        <w:t xml:space="preserve"> and the most common steps are the following</w:t>
      </w:r>
      <w:r w:rsidRPr="00EE6489">
        <w:t>:</w:t>
      </w:r>
    </w:p>
    <w:p w14:paraId="5CEB38F6" w14:textId="77777777" w:rsidR="00081C89" w:rsidRPr="00EE6489" w:rsidRDefault="00081C89" w:rsidP="00081C89">
      <w:r>
        <w:rPr>
          <w:noProof/>
        </w:rPr>
        <w:drawing>
          <wp:inline distT="0" distB="0" distL="0" distR="0" wp14:anchorId="4CB3EF93" wp14:editId="2DFAA7A8">
            <wp:extent cx="2908300" cy="737870"/>
            <wp:effectExtent l="0" t="0" r="6350" b="508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08300" cy="737870"/>
                    </a:xfrm>
                    <a:prstGeom prst="rect">
                      <a:avLst/>
                    </a:prstGeom>
                    <a:noFill/>
                  </pic:spPr>
                </pic:pic>
              </a:graphicData>
            </a:graphic>
          </wp:inline>
        </w:drawing>
      </w:r>
      <w:r>
        <w:t>;</w:t>
      </w:r>
      <w:r>
        <w:tab/>
      </w:r>
      <w:r>
        <w:tab/>
      </w:r>
      <w:r>
        <w:tab/>
      </w:r>
      <w:r>
        <w:tab/>
      </w:r>
      <w:r>
        <w:tab/>
      </w:r>
      <w:r>
        <w:tab/>
        <w:t xml:space="preserve"> (3.4)</w:t>
      </w:r>
    </w:p>
    <w:p w14:paraId="46F51C2B" w14:textId="77777777" w:rsidR="00081C89" w:rsidRPr="00EE6489" w:rsidRDefault="00081C89" w:rsidP="00081C89">
      <w:r w:rsidRPr="00EE6489">
        <w:t>1. Initialize cluster centroids Ci with k random samples;</w:t>
      </w:r>
    </w:p>
    <w:p w14:paraId="44467F8D" w14:textId="77777777" w:rsidR="00081C89" w:rsidRPr="00EE6489" w:rsidRDefault="00081C89" w:rsidP="00081C89">
      <w:r w:rsidRPr="00EE6489">
        <w:t>2. Assign each observation xi to the nearest cluster center;</w:t>
      </w:r>
    </w:p>
    <w:p w14:paraId="5F982D92" w14:textId="77777777" w:rsidR="00081C89" w:rsidRPr="00EE6489" w:rsidRDefault="00081C89" w:rsidP="00081C89">
      <w:r w:rsidRPr="00EE6489">
        <w:t xml:space="preserve">3. Recalculate and update each cluster center </w:t>
      </w:r>
      <w:r w:rsidRPr="00027614">
        <w:rPr>
          <w:noProof/>
        </w:rPr>
        <w:drawing>
          <wp:inline distT="0" distB="0" distL="0" distR="0" wp14:anchorId="03FE95ED" wp14:editId="58CA59EC">
            <wp:extent cx="1511300" cy="254000"/>
            <wp:effectExtent l="0" t="0" r="0" b="0"/>
            <wp:docPr id="217" name="Picture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11300" cy="254000"/>
                    </a:xfrm>
                    <a:prstGeom prst="rect">
                      <a:avLst/>
                    </a:prstGeom>
                    <a:noFill/>
                    <a:ln>
                      <a:noFill/>
                    </a:ln>
                  </pic:spPr>
                </pic:pic>
              </a:graphicData>
            </a:graphic>
          </wp:inline>
        </w:drawing>
      </w:r>
      <w:r w:rsidRPr="00EE6489">
        <w:t>; where Ni is the</w:t>
      </w:r>
      <w:r>
        <w:t xml:space="preserve"> element</w:t>
      </w:r>
      <w:r w:rsidRPr="00EE6489">
        <w:t xml:space="preserve"> in the </w:t>
      </w:r>
      <w:r w:rsidRPr="008044E0">
        <w:rPr>
          <w:i/>
        </w:rPr>
        <w:t>i</w:t>
      </w:r>
      <w:r w:rsidRPr="008044E0">
        <w:rPr>
          <w:vertAlign w:val="superscript"/>
        </w:rPr>
        <w:t>th</w:t>
      </w:r>
      <w:r w:rsidRPr="00EE6489">
        <w:t xml:space="preserve"> cluster;</w:t>
      </w:r>
      <w:r>
        <w:t xml:space="preserve"> </w:t>
      </w:r>
      <w:r>
        <w:tab/>
      </w:r>
      <w:r>
        <w:tab/>
      </w:r>
      <w:r>
        <w:tab/>
      </w:r>
      <w:r>
        <w:tab/>
      </w:r>
      <w:r>
        <w:tab/>
      </w:r>
      <w:r>
        <w:tab/>
      </w:r>
      <w:r>
        <w:tab/>
      </w:r>
      <w:r>
        <w:tab/>
      </w:r>
      <w:r>
        <w:tab/>
      </w:r>
      <w:r>
        <w:tab/>
      </w:r>
      <w:r>
        <w:tab/>
        <w:t>(3.5)</w:t>
      </w:r>
    </w:p>
    <w:p w14:paraId="6C1922B6" w14:textId="77777777" w:rsidR="00081C89" w:rsidRPr="00EE6489" w:rsidRDefault="00081C89" w:rsidP="00081C89">
      <w:r w:rsidRPr="00EE6489">
        <w:lastRenderedPageBreak/>
        <w:t>4. Repeat steps 2 and 3 until Ci does not change.</w:t>
      </w:r>
    </w:p>
    <w:p w14:paraId="1B5596CE" w14:textId="77777777" w:rsidR="00081C89" w:rsidRDefault="00081C89" w:rsidP="00081C89">
      <w:pPr>
        <w:ind w:firstLine="720"/>
      </w:pPr>
      <w:r>
        <w:t>In the results of this unsupervised clustering methodology, the facies have been assigned as</w:t>
      </w:r>
      <w:r w:rsidRPr="00EE6489">
        <w:t xml:space="preserve"> voxels into </w:t>
      </w:r>
      <w:r>
        <w:t>ten</w:t>
      </w:r>
      <w:r w:rsidRPr="00EE6489">
        <w:t xml:space="preserve"> groups</w:t>
      </w:r>
      <w:r>
        <w:t xml:space="preserve"> that are labeled from 0 to 9 and represent a direct dependent relation between the elemental content from XRF and the organic matter characteristics provided by the Rock-eval pyrolysis into this unsupervised geometrical statistical technique (Table 3.2). </w:t>
      </w:r>
    </w:p>
    <w:p w14:paraId="3D872BE3" w14:textId="77777777" w:rsidR="00081C89" w:rsidRDefault="00081C89" w:rsidP="00081C89">
      <w:pPr>
        <w:ind w:firstLine="720"/>
      </w:pPr>
      <w:r>
        <w:t xml:space="preserve">Details about the organic geochemistry analytical sample preparation, molecular fractionations, and instrumental analysis settings are provided in </w:t>
      </w:r>
      <w:r w:rsidRPr="000F3FAD">
        <w:t>Appendix B</w:t>
      </w:r>
      <w:r w:rsidRPr="00DA7951">
        <w:rPr>
          <w:b/>
        </w:rPr>
        <w:t xml:space="preserve"> </w:t>
      </w:r>
      <w:r>
        <w:t xml:space="preserve">of this manuscript. </w:t>
      </w:r>
      <w:r w:rsidRPr="001E7D67">
        <w:rPr>
          <w:color w:val="000000"/>
        </w:rPr>
        <w:t>A summary of the entire laboratory workflow used to analyze samples is illustrated in Figure 3.2</w:t>
      </w:r>
      <w:r>
        <w:rPr>
          <w:color w:val="000000"/>
        </w:rPr>
        <w:t>1</w:t>
      </w:r>
      <w:r w:rsidRPr="001E7D67">
        <w:rPr>
          <w:color w:val="000000"/>
        </w:rPr>
        <w:t>.</w:t>
      </w:r>
    </w:p>
    <w:p w14:paraId="05AB6F25" w14:textId="77777777" w:rsidR="00081C89" w:rsidRPr="005439F7" w:rsidRDefault="00081C89" w:rsidP="00081C89">
      <w:pPr>
        <w:spacing w:after="0" w:line="360" w:lineRule="auto"/>
        <w:jc w:val="center"/>
      </w:pPr>
      <w:r>
        <w:rPr>
          <w:noProof/>
        </w:rPr>
        <w:drawing>
          <wp:inline distT="0" distB="0" distL="0" distR="0" wp14:anchorId="65E88EBF" wp14:editId="25B91153">
            <wp:extent cx="5480685" cy="4511675"/>
            <wp:effectExtent l="0" t="0" r="5715" b="317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0685" cy="4511675"/>
                    </a:xfrm>
                    <a:prstGeom prst="rect">
                      <a:avLst/>
                    </a:prstGeom>
                    <a:noFill/>
                  </pic:spPr>
                </pic:pic>
              </a:graphicData>
            </a:graphic>
          </wp:inline>
        </w:drawing>
      </w:r>
    </w:p>
    <w:p w14:paraId="1CD3A374" w14:textId="7343465C" w:rsidR="00081C89" w:rsidRDefault="00081C89" w:rsidP="00081C89">
      <w:pPr>
        <w:pStyle w:val="Caption"/>
      </w:pPr>
      <w:bookmarkStart w:id="191" w:name="_Toc135393294"/>
      <w:bookmarkStart w:id="192" w:name="_Toc355793965"/>
      <w:bookmarkStart w:id="193" w:name="_Toc29308155"/>
      <w:bookmarkStart w:id="194" w:name="_Toc35861208"/>
      <w:r w:rsidRPr="004107D6">
        <w:rPr>
          <w:b/>
        </w:rPr>
        <w:t>Figure 3</w:t>
      </w:r>
      <w:r>
        <w:rPr>
          <w:b/>
        </w:rPr>
        <w:t>.2</w:t>
      </w:r>
      <w:r w:rsidR="00BC222A">
        <w:rPr>
          <w:b/>
        </w:rPr>
        <w:t>1</w:t>
      </w:r>
      <w:r w:rsidRPr="004107D6">
        <w:rPr>
          <w:b/>
        </w:rPr>
        <w:t>.</w:t>
      </w:r>
      <w:r>
        <w:t xml:space="preserve"> </w:t>
      </w:r>
      <w:r w:rsidRPr="005439F7">
        <w:t>Schematic workflow used in the laboratory analysis.</w:t>
      </w:r>
      <w:bookmarkEnd w:id="191"/>
      <w:r w:rsidRPr="005439F7">
        <w:t xml:space="preserve"> Methodology from the OU Organic Geochemistry Group (OG2). Diagram modified from Miceli-Romero (201</w:t>
      </w:r>
      <w:r>
        <w:t>4</w:t>
      </w:r>
      <w:r w:rsidRPr="005439F7">
        <w:t>).</w:t>
      </w:r>
      <w:bookmarkEnd w:id="192"/>
      <w:bookmarkEnd w:id="193"/>
      <w:bookmarkEnd w:id="194"/>
      <w:r w:rsidRPr="005439F7">
        <w:t xml:space="preserve"> </w:t>
      </w:r>
    </w:p>
    <w:p w14:paraId="7E3257C7" w14:textId="77777777" w:rsidR="00081C89" w:rsidRPr="00220756" w:rsidRDefault="00081C89" w:rsidP="00081C89">
      <w:pPr>
        <w:rPr>
          <w:lang w:bidi="en-US"/>
        </w:rPr>
        <w:sectPr w:rsidR="00081C89" w:rsidRPr="00220756" w:rsidSect="0095456D">
          <w:pgSz w:w="12240" w:h="15840"/>
          <w:pgMar w:top="1440" w:right="1440" w:bottom="1440" w:left="1440" w:header="720" w:footer="720" w:gutter="0"/>
          <w:cols w:space="720"/>
          <w:docGrid w:linePitch="360"/>
        </w:sectPr>
      </w:pPr>
    </w:p>
    <w:p w14:paraId="6C5E67CC" w14:textId="77777777" w:rsidR="00081C89" w:rsidRPr="00660577" w:rsidRDefault="00081C89" w:rsidP="00081C89">
      <w:pPr>
        <w:spacing w:after="0" w:line="276" w:lineRule="auto"/>
        <w:jc w:val="center"/>
        <w:rPr>
          <w:lang w:bidi="en-US"/>
        </w:rPr>
      </w:pPr>
      <w:r w:rsidRPr="00FA3CC0">
        <w:rPr>
          <w:noProof/>
        </w:rPr>
        <w:lastRenderedPageBreak/>
        <w:drawing>
          <wp:inline distT="0" distB="0" distL="0" distR="0" wp14:anchorId="47DA721F" wp14:editId="2258E85B">
            <wp:extent cx="7858125" cy="5353050"/>
            <wp:effectExtent l="0" t="0" r="9525" b="0"/>
            <wp:docPr id="8529" name="Picture 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4">
                      <a:extLst>
                        <a:ext uri="{28A0092B-C50C-407E-A947-70E740481C1C}">
                          <a14:useLocalDpi xmlns:a14="http://schemas.microsoft.com/office/drawing/2010/main" val="0"/>
                        </a:ext>
                      </a:extLst>
                    </a:blip>
                    <a:srcRect r="1079"/>
                    <a:stretch/>
                  </pic:blipFill>
                  <pic:spPr bwMode="auto">
                    <a:xfrm>
                      <a:off x="0" y="0"/>
                      <a:ext cx="7858125" cy="5353050"/>
                    </a:xfrm>
                    <a:prstGeom prst="rect">
                      <a:avLst/>
                    </a:prstGeom>
                    <a:noFill/>
                    <a:ln>
                      <a:noFill/>
                    </a:ln>
                    <a:extLst>
                      <a:ext uri="{53640926-AAD7-44D8-BBD7-CCE9431645EC}">
                        <a14:shadowObscured xmlns:a14="http://schemas.microsoft.com/office/drawing/2010/main"/>
                      </a:ext>
                    </a:extLst>
                  </pic:spPr>
                </pic:pic>
              </a:graphicData>
            </a:graphic>
          </wp:inline>
        </w:drawing>
      </w:r>
    </w:p>
    <w:p w14:paraId="7CC0FCB5" w14:textId="77777777" w:rsidR="00081C89" w:rsidRPr="00A75BAA" w:rsidRDefault="00081C89" w:rsidP="00081C89">
      <w:pPr>
        <w:pStyle w:val="TOCHeading"/>
        <w:spacing w:before="0"/>
        <w:jc w:val="both"/>
      </w:pPr>
      <w:r w:rsidRPr="00660577">
        <w:rPr>
          <w:b/>
        </w:rPr>
        <w:t>T</w:t>
      </w:r>
      <w:r>
        <w:rPr>
          <w:b/>
        </w:rPr>
        <w:t>able</w:t>
      </w:r>
      <w:r w:rsidRPr="00660577">
        <w:rPr>
          <w:b/>
        </w:rPr>
        <w:t xml:space="preserve"> 3.</w:t>
      </w:r>
      <w:r>
        <w:rPr>
          <w:b/>
        </w:rPr>
        <w:t>2</w:t>
      </w:r>
      <w:r w:rsidRPr="00660577">
        <w:rPr>
          <w:b/>
        </w:rPr>
        <w:t xml:space="preserve">. </w:t>
      </w:r>
      <w:r>
        <w:t>Samples selected for biomarker analysis. Total of forty-five samples representing the different ten K-means facies along with the Woodford Shale Speake Ranch vertical stratigraphic variability. Data selection by the integration of Rock-Eval pyrolysis data, X-ray fluorescence (XRF) major elements analysis, outcrop measured Gamma-ray log, and hardness measurements by Galvis (2017).</w:t>
      </w:r>
    </w:p>
    <w:p w14:paraId="12ABB8D9" w14:textId="77777777" w:rsidR="00081C89" w:rsidRDefault="00081C89" w:rsidP="00081C89">
      <w:pPr>
        <w:rPr>
          <w:lang w:bidi="en-US"/>
        </w:rPr>
        <w:sectPr w:rsidR="00081C89" w:rsidSect="0095456D">
          <w:pgSz w:w="15840" w:h="12240" w:orient="landscape"/>
          <w:pgMar w:top="1440" w:right="1440" w:bottom="1440" w:left="1440" w:header="720" w:footer="720" w:gutter="0"/>
          <w:cols w:space="720"/>
          <w:docGrid w:linePitch="360"/>
        </w:sectPr>
      </w:pPr>
    </w:p>
    <w:p w14:paraId="60DF1181" w14:textId="77777777" w:rsidR="00081C89" w:rsidRPr="001E7D67" w:rsidRDefault="00081C89" w:rsidP="00081C89">
      <w:pPr>
        <w:pStyle w:val="Heading2"/>
        <w:numPr>
          <w:ilvl w:val="1"/>
          <w:numId w:val="10"/>
        </w:numPr>
      </w:pPr>
      <w:bookmarkStart w:id="195" w:name="_Toc25833557"/>
      <w:bookmarkStart w:id="196" w:name="_Toc29304871"/>
      <w:bookmarkStart w:id="197" w:name="_Toc35861111"/>
      <w:r w:rsidRPr="001E7D67">
        <w:lastRenderedPageBreak/>
        <w:t xml:space="preserve">Proposed </w:t>
      </w:r>
      <w:r>
        <w:t>b</w:t>
      </w:r>
      <w:r w:rsidRPr="001E7D67">
        <w:t xml:space="preserve">iomarkers as </w:t>
      </w:r>
      <w:r>
        <w:t>i</w:t>
      </w:r>
      <w:r w:rsidRPr="001E7D67">
        <w:t xml:space="preserve">ndicators of anoxic and oxic depositional environmental conditions between open marine and highly restricted </w:t>
      </w:r>
      <w:bookmarkEnd w:id="195"/>
      <w:r>
        <w:t>enclosed fills</w:t>
      </w:r>
      <w:bookmarkEnd w:id="196"/>
      <w:r>
        <w:t>.</w:t>
      </w:r>
      <w:bookmarkEnd w:id="197"/>
    </w:p>
    <w:p w14:paraId="68AF764D" w14:textId="77777777" w:rsidR="00081C89" w:rsidRDefault="00081C89" w:rsidP="00081C89">
      <w:pPr>
        <w:spacing w:before="240"/>
        <w:ind w:firstLine="360"/>
      </w:pPr>
      <w:bookmarkStart w:id="198" w:name="_Toc25833558"/>
      <w:bookmarkStart w:id="199" w:name="_Toc29304872"/>
      <w:r w:rsidRPr="000F3FAD">
        <w:rPr>
          <w:color w:val="000000"/>
        </w:rPr>
        <w:t>As mentioned in Chapter I, Rodriguez and Philp (2010), Miceli-Romero and Philp (2012), Slatt and Rodriguez (2012), Torres-Parada (2013), Miceli-Romero (2014), Connock et al. (2017), Jones (2017), Miceli-Romero et al. (2018), and Liborius-Parada (2019), proposed that biomarker analyses could detect fluctuating oxic/anoxic conditions during the deposition of unconventional resource shales</w:t>
      </w:r>
      <w:r>
        <w:rPr>
          <w:color w:val="000000"/>
        </w:rPr>
        <w:t xml:space="preserve"> of different geological ages and depositional environments</w:t>
      </w:r>
      <w:r w:rsidRPr="000F3FAD">
        <w:rPr>
          <w:color w:val="000000"/>
        </w:rPr>
        <w:t xml:space="preserve"> (Barnett, Woodford, Eagle Ford, and La Luna Shales)</w:t>
      </w:r>
      <w:bookmarkEnd w:id="198"/>
      <w:bookmarkEnd w:id="199"/>
      <w:r>
        <w:t>.</w:t>
      </w:r>
    </w:p>
    <w:p w14:paraId="2E5A4C27" w14:textId="77777777" w:rsidR="00081C89" w:rsidRPr="001E7D67" w:rsidRDefault="00081C89" w:rsidP="00081C89">
      <w:pPr>
        <w:spacing w:before="240"/>
        <w:ind w:firstLine="360"/>
      </w:pPr>
      <w:r>
        <w:t>This section presents the biomarker families that are correlated with the already established sequence stratigraphic framework for the SR in order to identify the relationships between the organic geochemistry trends and the SR stratigraphic sequences. For the characterization of enclosed mini-basin fill settings, these observations focused on the geochemical identification of anoxic and restricted conditions during the deposition for the Woodford Shale members. The biomarker compound families that are analyzed for 47 SR samples are the n-alkanes, steranes, monoaromatic steroids, diasteranes, pregnanes and homopregnanes, terpanes, tetracyclic polyprenoids (TPP), C</w:t>
      </w:r>
      <w:r w:rsidRPr="000F3FAD">
        <w:rPr>
          <w:vertAlign w:val="subscript"/>
        </w:rPr>
        <w:t xml:space="preserve">40 </w:t>
      </w:r>
      <w:r>
        <w:t xml:space="preserve">aromatic carotenoid and aryl isoprenoids, polycyclic aromatic hydrocarbons (PAHs). An analysis of the biodegradation effect on the samples is mentioned at the end of this SR geochemical characterization. </w:t>
      </w:r>
    </w:p>
    <w:p w14:paraId="59284863" w14:textId="77777777" w:rsidR="00081C89" w:rsidRDefault="00081C89" w:rsidP="00081C89">
      <w:pPr>
        <w:pStyle w:val="Heading3"/>
        <w:numPr>
          <w:ilvl w:val="2"/>
          <w:numId w:val="10"/>
        </w:numPr>
      </w:pPr>
      <w:bookmarkStart w:id="200" w:name="_Toc25833559"/>
      <w:bookmarkStart w:id="201" w:name="_Toc29304873"/>
      <w:bookmarkStart w:id="202" w:name="_Toc35861112"/>
      <w:r>
        <w:t>n-Alkanes</w:t>
      </w:r>
      <w:bookmarkEnd w:id="200"/>
      <w:bookmarkEnd w:id="201"/>
      <w:bookmarkEnd w:id="202"/>
    </w:p>
    <w:p w14:paraId="796DDE18" w14:textId="77777777" w:rsidR="00081C89" w:rsidRDefault="00081C89" w:rsidP="00081C89">
      <w:pPr>
        <w:ind w:firstLine="720"/>
        <w:rPr>
          <w:color w:val="000000"/>
        </w:rPr>
      </w:pPr>
      <w:r w:rsidRPr="00F81F1F">
        <w:rPr>
          <w:color w:val="000000"/>
        </w:rPr>
        <w:t>The n-alkane distributions are commonly obtained for crude oils</w:t>
      </w:r>
      <w:r>
        <w:rPr>
          <w:color w:val="000000"/>
        </w:rPr>
        <w:t>,</w:t>
      </w:r>
      <w:r w:rsidRPr="00F81F1F">
        <w:rPr>
          <w:color w:val="000000"/>
        </w:rPr>
        <w:t xml:space="preserve"> and source rock extracts by gas chromatography of the saturate fractions and are a </w:t>
      </w:r>
      <w:r>
        <w:rPr>
          <w:color w:val="000000"/>
        </w:rPr>
        <w:t xml:space="preserve">useful </w:t>
      </w:r>
      <w:r w:rsidRPr="00F81F1F">
        <w:rPr>
          <w:color w:val="000000"/>
        </w:rPr>
        <w:t xml:space="preserve">correlation tool and organic matter source indicator (Waples, 1985; Peters et al., 2005). </w:t>
      </w:r>
      <w:r w:rsidRPr="00586DE5">
        <w:rPr>
          <w:color w:val="000000"/>
        </w:rPr>
        <w:t xml:space="preserve">The origin of such compounds stems primarily </w:t>
      </w:r>
      <w:r w:rsidRPr="00586DE5">
        <w:rPr>
          <w:color w:val="000000"/>
        </w:rPr>
        <w:lastRenderedPageBreak/>
        <w:t xml:space="preserve">from lipids in living organisms </w:t>
      </w:r>
      <w:r>
        <w:rPr>
          <w:color w:val="000000"/>
        </w:rPr>
        <w:t xml:space="preserve">derived from lipids present in </w:t>
      </w:r>
      <w:r w:rsidRPr="00586DE5">
        <w:rPr>
          <w:color w:val="000000"/>
        </w:rPr>
        <w:t>waxes of higher</w:t>
      </w:r>
      <w:r>
        <w:rPr>
          <w:color w:val="000000"/>
        </w:rPr>
        <w:t>-</w:t>
      </w:r>
      <w:r w:rsidRPr="00586DE5">
        <w:rPr>
          <w:color w:val="000000"/>
        </w:rPr>
        <w:t>order plants (Eglinton and Hamilton, 1967), or algae in the case of lower carbon chain homologs (Smith, 1968</w:t>
      </w:r>
      <w:r>
        <w:rPr>
          <w:color w:val="000000"/>
        </w:rPr>
        <w:t xml:space="preserve">). </w:t>
      </w:r>
    </w:p>
    <w:p w14:paraId="06EE40A6" w14:textId="77777777" w:rsidR="00081C89" w:rsidRDefault="00081C89" w:rsidP="00081C89">
      <w:pPr>
        <w:ind w:firstLine="720"/>
        <w:rPr>
          <w:color w:val="000000"/>
        </w:rPr>
      </w:pPr>
      <w:r>
        <w:rPr>
          <w:color w:val="000000"/>
        </w:rPr>
        <w:t>The g</w:t>
      </w:r>
      <w:r w:rsidRPr="00F81F1F">
        <w:rPr>
          <w:color w:val="000000"/>
        </w:rPr>
        <w:t xml:space="preserve">as chromatography fingerprints for the saturate fractions of the </w:t>
      </w:r>
      <w:r>
        <w:rPr>
          <w:color w:val="000000"/>
        </w:rPr>
        <w:t>Woodford Shale SR</w:t>
      </w:r>
      <w:r w:rsidRPr="00F81F1F">
        <w:rPr>
          <w:color w:val="000000"/>
        </w:rPr>
        <w:t xml:space="preserve"> samples (Figure </w:t>
      </w:r>
      <w:r>
        <w:rPr>
          <w:color w:val="000000"/>
        </w:rPr>
        <w:t>3.22</w:t>
      </w:r>
      <w:r w:rsidRPr="00F81F1F">
        <w:rPr>
          <w:color w:val="000000"/>
        </w:rPr>
        <w:t xml:space="preserve">) do not show </w:t>
      </w:r>
      <w:r>
        <w:rPr>
          <w:color w:val="000000"/>
        </w:rPr>
        <w:t>significan</w:t>
      </w:r>
      <w:r w:rsidRPr="00F81F1F">
        <w:rPr>
          <w:color w:val="000000"/>
        </w:rPr>
        <w:t>t presence of n-alkanes, indicating weat</w:t>
      </w:r>
      <w:r>
        <w:rPr>
          <w:color w:val="000000"/>
        </w:rPr>
        <w:t xml:space="preserve">hering and subsequent depletion and any analysis based on the n-alkanes can lead to misinterpretations. </w:t>
      </w:r>
      <w:r w:rsidRPr="00F81F1F">
        <w:rPr>
          <w:color w:val="000000"/>
        </w:rPr>
        <w:t xml:space="preserve"> </w:t>
      </w:r>
      <w:r>
        <w:rPr>
          <w:color w:val="000000"/>
        </w:rPr>
        <w:t xml:space="preserve">Weathering and n-alkane removal were observed in all the samples of the SR stratigraphic section, and Figure 3.22 shows representative chromatograms for extracts of the Woodford Shale members of the SR. </w:t>
      </w:r>
    </w:p>
    <w:p w14:paraId="7D32D294" w14:textId="77777777" w:rsidR="00081C89" w:rsidRDefault="00081C89" w:rsidP="00081C89">
      <w:pPr>
        <w:spacing w:after="0" w:line="276" w:lineRule="auto"/>
        <w:jc w:val="center"/>
        <w:rPr>
          <w:color w:val="000000"/>
        </w:rPr>
      </w:pPr>
      <w:r>
        <w:rPr>
          <w:noProof/>
          <w:color w:val="000000"/>
        </w:rPr>
        <w:drawing>
          <wp:inline distT="0" distB="0" distL="0" distR="0" wp14:anchorId="47D69D69" wp14:editId="0F61A162">
            <wp:extent cx="5158105" cy="421957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65047" cy="4225254"/>
                    </a:xfrm>
                    <a:prstGeom prst="rect">
                      <a:avLst/>
                    </a:prstGeom>
                    <a:noFill/>
                  </pic:spPr>
                </pic:pic>
              </a:graphicData>
            </a:graphic>
          </wp:inline>
        </w:drawing>
      </w:r>
    </w:p>
    <w:p w14:paraId="21C57366" w14:textId="77777777" w:rsidR="00081C89" w:rsidRPr="00576E5E" w:rsidRDefault="00081C89" w:rsidP="00081C89">
      <w:pPr>
        <w:pStyle w:val="Caption"/>
        <w:rPr>
          <w:b/>
        </w:rPr>
      </w:pPr>
      <w:bookmarkStart w:id="203" w:name="_Toc29308157"/>
      <w:bookmarkStart w:id="204" w:name="_Toc35861209"/>
      <w:r>
        <w:rPr>
          <w:b/>
        </w:rPr>
        <w:t xml:space="preserve">Figure 3.22. </w:t>
      </w:r>
      <w:r w:rsidRPr="00576E5E">
        <w:t xml:space="preserve">Gas chromatograms of saturate fractions from bitumen extracts of </w:t>
      </w:r>
      <w:r>
        <w:t>Speake Ranch Woodford Shale</w:t>
      </w:r>
      <w:r w:rsidRPr="00576E5E">
        <w:t xml:space="preserve"> members. Note the </w:t>
      </w:r>
      <w:r>
        <w:t>severe</w:t>
      </w:r>
      <w:r w:rsidRPr="00576E5E">
        <w:t xml:space="preserve"> biodegradation level evidenced by the humps and the removal of n-alkane and depletion of isoprenoids.</w:t>
      </w:r>
      <w:bookmarkEnd w:id="203"/>
      <w:bookmarkEnd w:id="204"/>
    </w:p>
    <w:p w14:paraId="2EE8DECE" w14:textId="77777777" w:rsidR="00081C89" w:rsidRDefault="00081C89" w:rsidP="00081C89">
      <w:pPr>
        <w:ind w:firstLine="720"/>
        <w:rPr>
          <w:b/>
          <w:color w:val="000000"/>
        </w:rPr>
      </w:pPr>
      <w:r w:rsidRPr="00586DE5">
        <w:rPr>
          <w:color w:val="000000"/>
        </w:rPr>
        <w:lastRenderedPageBreak/>
        <w:t xml:space="preserve">Due to </w:t>
      </w:r>
      <w:r>
        <w:rPr>
          <w:color w:val="000000"/>
        </w:rPr>
        <w:t xml:space="preserve">the </w:t>
      </w:r>
      <w:r w:rsidRPr="00586DE5">
        <w:rPr>
          <w:color w:val="000000"/>
        </w:rPr>
        <w:t xml:space="preserve">preferential removal of alkanes </w:t>
      </w:r>
      <w:r>
        <w:rPr>
          <w:color w:val="000000"/>
        </w:rPr>
        <w:t xml:space="preserve">by intense </w:t>
      </w:r>
      <w:r w:rsidRPr="00586DE5">
        <w:rPr>
          <w:color w:val="000000"/>
        </w:rPr>
        <w:t>biodegradation</w:t>
      </w:r>
      <w:r>
        <w:rPr>
          <w:color w:val="000000"/>
        </w:rPr>
        <w:t xml:space="preserve"> processes and constant surface water recharge in the outcrop, the </w:t>
      </w:r>
      <w:r w:rsidRPr="00586DE5">
        <w:rPr>
          <w:color w:val="000000"/>
        </w:rPr>
        <w:t xml:space="preserve">isoprenoids were relatively more abundant </w:t>
      </w:r>
      <w:r>
        <w:rPr>
          <w:color w:val="000000"/>
        </w:rPr>
        <w:t>than the n-</w:t>
      </w:r>
      <w:r w:rsidRPr="00586DE5">
        <w:rPr>
          <w:color w:val="000000"/>
        </w:rPr>
        <w:t>alkanes in the more degraded samples</w:t>
      </w:r>
      <w:r>
        <w:rPr>
          <w:color w:val="000000"/>
        </w:rPr>
        <w:t>. In this study, it was not possible to determine</w:t>
      </w:r>
      <w:r w:rsidRPr="00586DE5">
        <w:rPr>
          <w:color w:val="000000"/>
        </w:rPr>
        <w:t xml:space="preserve"> the pristane/phytane ratio</w:t>
      </w:r>
      <w:r>
        <w:rPr>
          <w:color w:val="000000"/>
        </w:rPr>
        <w:t xml:space="preserve"> consistently since the</w:t>
      </w:r>
      <w:r w:rsidRPr="00586DE5">
        <w:rPr>
          <w:color w:val="000000"/>
        </w:rPr>
        <w:t xml:space="preserve"> </w:t>
      </w:r>
      <w:r>
        <w:rPr>
          <w:color w:val="000000"/>
        </w:rPr>
        <w:t>peaks</w:t>
      </w:r>
      <w:r w:rsidRPr="00586DE5">
        <w:rPr>
          <w:color w:val="000000"/>
        </w:rPr>
        <w:t xml:space="preserve"> </w:t>
      </w:r>
      <w:r>
        <w:rPr>
          <w:color w:val="000000"/>
        </w:rPr>
        <w:t>in many samples</w:t>
      </w:r>
      <w:r w:rsidRPr="00586DE5">
        <w:rPr>
          <w:color w:val="000000"/>
        </w:rPr>
        <w:t xml:space="preserve"> were too low to </w:t>
      </w:r>
      <w:r>
        <w:rPr>
          <w:color w:val="000000"/>
        </w:rPr>
        <w:t xml:space="preserve">identify the compounds or make any meaningful measurements in an accurate manner, but it is assumed that the ratio should </w:t>
      </w:r>
      <w:r w:rsidRPr="00586DE5">
        <w:rPr>
          <w:color w:val="000000"/>
        </w:rPr>
        <w:t>fluctuate from 0.9 to 1.1</w:t>
      </w:r>
      <w:r>
        <w:rPr>
          <w:color w:val="000000"/>
        </w:rPr>
        <w:t xml:space="preserve"> according to Jones (2017) who analyzed the less weathered Woodford section in the nearby Arbuckle Mountains structural trend.</w:t>
      </w:r>
      <w:r w:rsidRPr="005D5AB0">
        <w:rPr>
          <w:b/>
          <w:color w:val="000000"/>
        </w:rPr>
        <w:t xml:space="preserve"> </w:t>
      </w:r>
    </w:p>
    <w:p w14:paraId="36B85B01" w14:textId="77777777" w:rsidR="00081C89" w:rsidRDefault="00081C89" w:rsidP="00081C89">
      <w:pPr>
        <w:pStyle w:val="Heading3"/>
        <w:numPr>
          <w:ilvl w:val="2"/>
          <w:numId w:val="10"/>
        </w:numPr>
      </w:pPr>
      <w:bookmarkStart w:id="205" w:name="_Toc25833560"/>
      <w:bookmarkStart w:id="206" w:name="_Toc29304874"/>
      <w:bookmarkStart w:id="207" w:name="_Toc35861113"/>
      <w:r>
        <w:t>Steranes</w:t>
      </w:r>
      <w:bookmarkEnd w:id="205"/>
      <w:bookmarkEnd w:id="206"/>
      <w:bookmarkEnd w:id="207"/>
    </w:p>
    <w:p w14:paraId="59880ADB" w14:textId="77777777" w:rsidR="00081C89" w:rsidRDefault="00081C89" w:rsidP="00081C89">
      <w:pPr>
        <w:spacing w:before="240"/>
        <w:ind w:firstLine="720"/>
      </w:pPr>
      <w:r>
        <w:t>The s</w:t>
      </w:r>
      <w:r w:rsidRPr="005439F7">
        <w:t xml:space="preserve">terane distributions for the </w:t>
      </w:r>
      <w:r>
        <w:t>Woodford Shale SR</w:t>
      </w:r>
      <w:r w:rsidRPr="005439F7">
        <w:t xml:space="preserve"> samples were determined through analysis of the saturate</w:t>
      </w:r>
      <w:r>
        <w:t>,</w:t>
      </w:r>
      <w:r w:rsidRPr="005439F7">
        <w:t xml:space="preserve"> and </w:t>
      </w:r>
      <w:r>
        <w:t>branched and cyclic (</w:t>
      </w:r>
      <w:r w:rsidRPr="005439F7">
        <w:t>B</w:t>
      </w:r>
      <w:r>
        <w:t>&amp;</w:t>
      </w:r>
      <w:r w:rsidRPr="005439F7">
        <w:t>C</w:t>
      </w:r>
      <w:r>
        <w:t>),</w:t>
      </w:r>
      <w:r w:rsidRPr="005439F7">
        <w:t xml:space="preserve"> fractions by </w:t>
      </w:r>
      <w:r>
        <w:t>single ion monitoring gas chromatography-mass spectrometry (</w:t>
      </w:r>
      <w:r w:rsidRPr="005439F7">
        <w:t>SIM/GCMS</w:t>
      </w:r>
      <w:r>
        <w:t>)</w:t>
      </w:r>
      <w:r w:rsidRPr="005439F7">
        <w:t xml:space="preserve"> using the m/z 217 ion</w:t>
      </w:r>
      <w:r>
        <w:t xml:space="preserve"> (Figure 3.23 - 3.26)</w:t>
      </w:r>
      <w:r w:rsidRPr="005439F7">
        <w:t xml:space="preserve">. The </w:t>
      </w:r>
      <w:r>
        <w:t xml:space="preserve">resulting </w:t>
      </w:r>
      <w:r w:rsidRPr="005439F7">
        <w:t xml:space="preserve">fragmentograms (Figure </w:t>
      </w:r>
      <w:r>
        <w:t>3.24 and Figure 3.25</w:t>
      </w:r>
      <w:r w:rsidRPr="005439F7">
        <w:t>) show the C</w:t>
      </w:r>
      <w:r w:rsidRPr="005439F7">
        <w:rPr>
          <w:vertAlign w:val="subscript"/>
        </w:rPr>
        <w:t>27</w:t>
      </w:r>
      <w:r w:rsidRPr="005439F7">
        <w:t>, C</w:t>
      </w:r>
      <w:r w:rsidRPr="005439F7">
        <w:rPr>
          <w:vertAlign w:val="subscript"/>
        </w:rPr>
        <w:t>28</w:t>
      </w:r>
      <w:r>
        <w:rPr>
          <w:vertAlign w:val="subscript"/>
        </w:rPr>
        <w:t>,</w:t>
      </w:r>
      <w:r w:rsidRPr="005439F7">
        <w:t xml:space="preserve"> and C</w:t>
      </w:r>
      <w:r w:rsidRPr="005439F7">
        <w:rPr>
          <w:vertAlign w:val="subscript"/>
        </w:rPr>
        <w:t>29</w:t>
      </w:r>
      <w:r w:rsidRPr="005439F7">
        <w:t xml:space="preserve"> regular steranes</w:t>
      </w:r>
      <w:r>
        <w:t xml:space="preserve"> (</w:t>
      </w:r>
      <w:r w:rsidRPr="005439F7">
        <w:t xml:space="preserve">peak identifications are presented in Table </w:t>
      </w:r>
      <w:r>
        <w:t>3.3)</w:t>
      </w:r>
      <w:r w:rsidRPr="005439F7">
        <w:t xml:space="preserve">. This group of biomarkers is derived from sterols </w:t>
      </w:r>
      <w:r>
        <w:t>of eukaryotic</w:t>
      </w:r>
      <w:r w:rsidRPr="005439F7">
        <w:t xml:space="preserve"> organisms, principally algae</w:t>
      </w:r>
      <w:r>
        <w:t>,</w:t>
      </w:r>
      <w:r w:rsidRPr="005439F7">
        <w:t xml:space="preserve"> and higher plants (</w:t>
      </w:r>
      <w:r>
        <w:t xml:space="preserve">Blumer et al., 1971; </w:t>
      </w:r>
      <w:r w:rsidRPr="005439F7">
        <w:t>Peters et al., 2005)</w:t>
      </w:r>
      <w:r>
        <w:t xml:space="preserve"> but are rare or absent in prokaryotic organisms (Volkman, 1986)</w:t>
      </w:r>
      <w:r w:rsidRPr="005439F7">
        <w:t>. Huang and Meinschein (1979) used C</w:t>
      </w:r>
      <w:r w:rsidRPr="005439F7">
        <w:rPr>
          <w:vertAlign w:val="subscript"/>
        </w:rPr>
        <w:t>27</w:t>
      </w:r>
      <w:r w:rsidRPr="005439F7">
        <w:t>, C</w:t>
      </w:r>
      <w:r w:rsidRPr="005439F7">
        <w:rPr>
          <w:vertAlign w:val="subscript"/>
        </w:rPr>
        <w:t>28</w:t>
      </w:r>
      <w:r>
        <w:rPr>
          <w:vertAlign w:val="subscript"/>
        </w:rPr>
        <w:t>,</w:t>
      </w:r>
      <w:r w:rsidRPr="005439F7">
        <w:t xml:space="preserve"> and C</w:t>
      </w:r>
      <w:r w:rsidRPr="005439F7">
        <w:rPr>
          <w:vertAlign w:val="subscript"/>
        </w:rPr>
        <w:t>29</w:t>
      </w:r>
      <w:r w:rsidRPr="005439F7">
        <w:t xml:space="preserve"> sterol distributions and plotted them on a ternary diagram to define ecosystems. Moldowan et al. (1985) used this diagram to plot regular sterane distributions from crude oils and source rock extracts in order to assess depositional environments. </w:t>
      </w:r>
      <w:r>
        <w:t>O</w:t>
      </w:r>
      <w:r w:rsidRPr="005439F7">
        <w:t xml:space="preserve">ther authors (Dzou et al., 1995; Duan et al., 2006; </w:t>
      </w:r>
      <w:r>
        <w:t>Hodairi</w:t>
      </w:r>
      <w:r w:rsidRPr="005439F7">
        <w:t>, 20</w:t>
      </w:r>
      <w:r>
        <w:t>12</w:t>
      </w:r>
      <w:r w:rsidRPr="005439F7">
        <w:t xml:space="preserve">) have applied the same principle to determine organic matter source and for correlation studies. </w:t>
      </w:r>
    </w:p>
    <w:p w14:paraId="53155710" w14:textId="6341950A" w:rsidR="00081C89" w:rsidRDefault="00081C89" w:rsidP="00081C89">
      <w:pPr>
        <w:spacing w:before="240"/>
        <w:ind w:firstLine="720"/>
      </w:pPr>
      <w:r>
        <w:t xml:space="preserve">The </w:t>
      </w:r>
      <w:r w:rsidRPr="005439F7">
        <w:t>C</w:t>
      </w:r>
      <w:r w:rsidRPr="005439F7">
        <w:rPr>
          <w:vertAlign w:val="subscript"/>
        </w:rPr>
        <w:t>27</w:t>
      </w:r>
      <w:r w:rsidRPr="005439F7">
        <w:t xml:space="preserve"> </w:t>
      </w:r>
      <w:r>
        <w:t xml:space="preserve">steranes </w:t>
      </w:r>
      <w:r w:rsidRPr="005439F7">
        <w:t>(cholestane</w:t>
      </w:r>
      <w:r>
        <w:t>s</w:t>
      </w:r>
      <w:r w:rsidRPr="005439F7">
        <w:t>) are derived from sterols that are abundant in plankton and marine invertebrates.</w:t>
      </w:r>
      <w:r>
        <w:t xml:space="preserve"> The</w:t>
      </w:r>
      <w:r w:rsidRPr="005439F7">
        <w:t xml:space="preserve"> C</w:t>
      </w:r>
      <w:r w:rsidRPr="005439F7">
        <w:rPr>
          <w:vertAlign w:val="subscript"/>
        </w:rPr>
        <w:t>28</w:t>
      </w:r>
      <w:r w:rsidRPr="005439F7">
        <w:t xml:space="preserve"> (ergostane</w:t>
      </w:r>
      <w:r>
        <w:t>s</w:t>
      </w:r>
      <w:r w:rsidRPr="00005C1C">
        <w:t xml:space="preserve">) </w:t>
      </w:r>
      <w:r w:rsidRPr="00C51899">
        <w:t>are also derived from similar precursors, although they can also be generated from terrigenous organism</w:t>
      </w:r>
      <w:r w:rsidR="00B61E73">
        <w:t>s</w:t>
      </w:r>
      <w:r w:rsidRPr="00005C1C">
        <w:t xml:space="preserve"> (Huang and Meinschein, 1979; Peters et al., </w:t>
      </w:r>
      <w:r w:rsidRPr="00005C1C">
        <w:lastRenderedPageBreak/>
        <w:t xml:space="preserve">2005). </w:t>
      </w:r>
      <w:r w:rsidRPr="005439F7">
        <w:t>C</w:t>
      </w:r>
      <w:r w:rsidRPr="005439F7">
        <w:rPr>
          <w:vertAlign w:val="subscript"/>
        </w:rPr>
        <w:t>29</w:t>
      </w:r>
      <w:r w:rsidRPr="005439F7">
        <w:t xml:space="preserve"> </w:t>
      </w:r>
      <w:r>
        <w:t>S</w:t>
      </w:r>
      <w:r w:rsidRPr="005439F7">
        <w:t>teranes (stigmastane</w:t>
      </w:r>
      <w:r>
        <w:t>s</w:t>
      </w:r>
      <w:r w:rsidRPr="005439F7">
        <w:t>) originate from sterols present in terrigenous organic matter, but also marine algae (Volkman, 1986)</w:t>
      </w:r>
      <w:r>
        <w:t>.</w:t>
      </w:r>
      <w:r w:rsidRPr="007C7FC3">
        <w:t xml:space="preserve"> Generally, oils generated from kerogens containing organic matter derived from marine phytoplankton display enhanced amounts of C</w:t>
      </w:r>
      <w:r w:rsidRPr="00D54071">
        <w:rPr>
          <w:vertAlign w:val="subscript"/>
        </w:rPr>
        <w:t>27</w:t>
      </w:r>
      <w:r w:rsidRPr="007C7FC3">
        <w:t xml:space="preserve"> relative to C</w:t>
      </w:r>
      <w:r w:rsidRPr="00D54071">
        <w:rPr>
          <w:vertAlign w:val="subscript"/>
        </w:rPr>
        <w:t>29</w:t>
      </w:r>
      <w:r w:rsidRPr="007C7FC3">
        <w:t xml:space="preserve"> steranes (Mackenzie et al., 1982; Waples and Machihara, 1991)</w:t>
      </w:r>
      <w:r>
        <w:t>. T</w:t>
      </w:r>
      <w:r w:rsidRPr="00EC093F">
        <w:t>he presence of C</w:t>
      </w:r>
      <w:r w:rsidRPr="00D54071">
        <w:rPr>
          <w:vertAlign w:val="subscript"/>
        </w:rPr>
        <w:t>30</w:t>
      </w:r>
      <w:r w:rsidRPr="00EC093F">
        <w:t xml:space="preserve"> steranes (24-n-propylcholestanes) in oils and extracts </w:t>
      </w:r>
      <w:r>
        <w:t>is principally</w:t>
      </w:r>
      <w:r w:rsidRPr="00EC093F">
        <w:t xml:space="preserve"> related to </w:t>
      </w:r>
      <w:r w:rsidRPr="00B72FD4">
        <w:rPr>
          <w:i/>
        </w:rPr>
        <w:t>pelagophyte</w:t>
      </w:r>
      <w:r w:rsidRPr="00EC093F">
        <w:t xml:space="preserve"> algae, which indicate a contribution from marine phytoplankton organic matter (Moldowan, 1984; Moldowan et al., 1990; Summons et al., 1992; Peters and </w:t>
      </w:r>
      <w:r w:rsidRPr="004E20C6">
        <w:t>Moldowan, 1993; Peters et al., 2005).</w:t>
      </w:r>
      <w:r>
        <w:t xml:space="preserve"> </w:t>
      </w:r>
      <w:r w:rsidRPr="004E20C6">
        <w:t xml:space="preserve">From the </w:t>
      </w:r>
      <w:r>
        <w:t xml:space="preserve">ternary plot in Figure 3.23and the </w:t>
      </w:r>
      <w:r w:rsidRPr="004E20C6">
        <w:t xml:space="preserve">fragmentograms analyzed for the </w:t>
      </w:r>
      <w:r>
        <w:t>SR</w:t>
      </w:r>
      <w:r w:rsidRPr="004E20C6">
        <w:t xml:space="preserve"> samples (</w:t>
      </w:r>
      <w:r>
        <w:t xml:space="preserve">Table 3.3; </w:t>
      </w:r>
      <w:r w:rsidRPr="004E20C6">
        <w:t>Figure 3.</w:t>
      </w:r>
      <w:r>
        <w:t>24 and Figure 3.25</w:t>
      </w:r>
      <w:r w:rsidRPr="004E20C6">
        <w:t>)</w:t>
      </w:r>
      <w:r>
        <w:t xml:space="preserve">, </w:t>
      </w:r>
      <w:r w:rsidRPr="004E20C6">
        <w:t>it can be seen that C</w:t>
      </w:r>
      <w:r w:rsidRPr="004E20C6">
        <w:rPr>
          <w:vertAlign w:val="subscript"/>
        </w:rPr>
        <w:t>2</w:t>
      </w:r>
      <w:r>
        <w:rPr>
          <w:vertAlign w:val="subscript"/>
        </w:rPr>
        <w:t>9</w:t>
      </w:r>
      <w:r w:rsidRPr="004E20C6">
        <w:t xml:space="preserve"> steranes are in relatively higher proportions</w:t>
      </w:r>
      <w:r>
        <w:t xml:space="preserve"> (Figure 3.25; Table 3.3). </w:t>
      </w:r>
    </w:p>
    <w:p w14:paraId="74B9E30A" w14:textId="77777777" w:rsidR="00081C89" w:rsidRDefault="00081C89" w:rsidP="00081C89">
      <w:pPr>
        <w:spacing w:before="240"/>
      </w:pPr>
      <w:r>
        <w:t>Sterane ratios (Moldowan et al., 1985)</w:t>
      </w:r>
      <w:r>
        <w:tab/>
      </w:r>
      <w:r>
        <w:tab/>
      </w:r>
      <w:r>
        <w:tab/>
      </w:r>
      <w:r>
        <w:tab/>
      </w:r>
      <w:r>
        <w:tab/>
      </w:r>
      <w:r>
        <w:tab/>
      </w:r>
      <w:r>
        <w:tab/>
        <w:t xml:space="preserve">    (3.6) </w:t>
      </w:r>
    </w:p>
    <w:p w14:paraId="1A47FBDC" w14:textId="77777777" w:rsidR="00081C89" w:rsidRDefault="00081C89" w:rsidP="00081C89">
      <w:pPr>
        <w:spacing w:before="240"/>
        <w:rPr>
          <w:sz w:val="22"/>
          <w:szCs w:val="20"/>
        </w:rPr>
      </w:pPr>
      <w:r>
        <w:rPr>
          <w:sz w:val="22"/>
          <w:szCs w:val="20"/>
        </w:rPr>
        <w:t>%</w:t>
      </w:r>
      <w:r w:rsidRPr="00810A60">
        <w:rPr>
          <w:sz w:val="22"/>
          <w:szCs w:val="20"/>
        </w:rPr>
        <w:t>C</w:t>
      </w:r>
      <w:r w:rsidRPr="00810A60">
        <w:rPr>
          <w:sz w:val="22"/>
          <w:szCs w:val="20"/>
          <w:vertAlign w:val="subscript"/>
        </w:rPr>
        <w:t>27</w:t>
      </w:r>
      <w:r w:rsidRPr="00810A60">
        <w:rPr>
          <w:sz w:val="22"/>
          <w:szCs w:val="20"/>
        </w:rPr>
        <w:t xml:space="preserve"> = C</w:t>
      </w:r>
      <w:r w:rsidRPr="00810A60">
        <w:rPr>
          <w:sz w:val="22"/>
          <w:szCs w:val="20"/>
          <w:vertAlign w:val="subscript"/>
        </w:rPr>
        <w:t>2</w:t>
      </w:r>
      <w:r>
        <w:rPr>
          <w:sz w:val="22"/>
          <w:szCs w:val="20"/>
          <w:vertAlign w:val="subscript"/>
        </w:rPr>
        <w:t>7</w:t>
      </w:r>
      <w:r w:rsidRPr="00015DDB">
        <w:rPr>
          <w:sz w:val="22"/>
          <w:szCs w:val="20"/>
        </w:rPr>
        <w:t xml:space="preserve"> </w:t>
      </w:r>
      <w:r>
        <w:rPr>
          <w:sz w:val="22"/>
          <w:szCs w:val="20"/>
        </w:rPr>
        <w:t>s</w:t>
      </w:r>
      <w:r w:rsidRPr="00015DDB">
        <w:rPr>
          <w:sz w:val="22"/>
          <w:szCs w:val="20"/>
        </w:rPr>
        <w:t>terane</w:t>
      </w:r>
      <w:r>
        <w:rPr>
          <w:sz w:val="22"/>
          <w:szCs w:val="20"/>
        </w:rPr>
        <w:t xml:space="preserve">s / </w:t>
      </w:r>
      <w:r w:rsidRPr="00810A60">
        <w:rPr>
          <w:sz w:val="22"/>
          <w:szCs w:val="20"/>
        </w:rPr>
        <w:t>(C</w:t>
      </w:r>
      <w:r w:rsidRPr="00810A60">
        <w:rPr>
          <w:sz w:val="22"/>
          <w:szCs w:val="20"/>
          <w:vertAlign w:val="subscript"/>
        </w:rPr>
        <w:t>27</w:t>
      </w:r>
      <w:r>
        <w:rPr>
          <w:sz w:val="22"/>
          <w:szCs w:val="20"/>
          <w:vertAlign w:val="subscript"/>
        </w:rPr>
        <w:t xml:space="preserve"> </w:t>
      </w:r>
      <w:r w:rsidRPr="00015DDB">
        <w:rPr>
          <w:sz w:val="22"/>
          <w:szCs w:val="20"/>
        </w:rPr>
        <w:t>sterane</w:t>
      </w:r>
      <w:r>
        <w:rPr>
          <w:sz w:val="22"/>
          <w:szCs w:val="20"/>
        </w:rPr>
        <w:t xml:space="preserve">s </w:t>
      </w:r>
      <w:r w:rsidRPr="00015DDB">
        <w:rPr>
          <w:sz w:val="22"/>
          <w:szCs w:val="20"/>
        </w:rPr>
        <w:t xml:space="preserve">+ </w:t>
      </w:r>
      <w:r w:rsidRPr="00810A60">
        <w:rPr>
          <w:sz w:val="22"/>
          <w:szCs w:val="20"/>
        </w:rPr>
        <w:t>C</w:t>
      </w:r>
      <w:r w:rsidRPr="00810A60">
        <w:rPr>
          <w:sz w:val="22"/>
          <w:szCs w:val="20"/>
          <w:vertAlign w:val="subscript"/>
        </w:rPr>
        <w:t>28</w:t>
      </w:r>
      <w:r w:rsidRPr="00015DDB">
        <w:rPr>
          <w:sz w:val="22"/>
          <w:szCs w:val="20"/>
        </w:rPr>
        <w:t xml:space="preserve"> </w:t>
      </w:r>
      <w:r>
        <w:rPr>
          <w:sz w:val="22"/>
          <w:szCs w:val="20"/>
        </w:rPr>
        <w:t>s</w:t>
      </w:r>
      <w:r w:rsidRPr="00015DDB">
        <w:rPr>
          <w:sz w:val="22"/>
          <w:szCs w:val="20"/>
        </w:rPr>
        <w:t>terane</w:t>
      </w:r>
      <w:r>
        <w:rPr>
          <w:sz w:val="22"/>
          <w:szCs w:val="20"/>
        </w:rPr>
        <w:t xml:space="preserve">s </w:t>
      </w:r>
      <w:r w:rsidRPr="00015DDB">
        <w:rPr>
          <w:sz w:val="22"/>
          <w:szCs w:val="20"/>
        </w:rPr>
        <w:t xml:space="preserve">+ </w:t>
      </w:r>
      <w:r w:rsidRPr="00810A60">
        <w:rPr>
          <w:sz w:val="22"/>
          <w:szCs w:val="20"/>
        </w:rPr>
        <w:t>C</w:t>
      </w:r>
      <w:r w:rsidRPr="00810A60">
        <w:rPr>
          <w:sz w:val="22"/>
          <w:szCs w:val="20"/>
          <w:vertAlign w:val="subscript"/>
        </w:rPr>
        <w:t>29</w:t>
      </w:r>
      <w:r w:rsidRPr="00015DDB">
        <w:rPr>
          <w:sz w:val="22"/>
          <w:szCs w:val="20"/>
        </w:rPr>
        <w:t xml:space="preserve"> </w:t>
      </w:r>
      <w:r>
        <w:rPr>
          <w:sz w:val="22"/>
          <w:szCs w:val="20"/>
        </w:rPr>
        <w:t>s</w:t>
      </w:r>
      <w:r w:rsidRPr="00015DDB">
        <w:rPr>
          <w:sz w:val="22"/>
          <w:szCs w:val="20"/>
        </w:rPr>
        <w:t>terane</w:t>
      </w:r>
      <w:r>
        <w:rPr>
          <w:sz w:val="22"/>
          <w:szCs w:val="20"/>
        </w:rPr>
        <w:t>s</w:t>
      </w:r>
      <w:r w:rsidRPr="00810A60">
        <w:rPr>
          <w:sz w:val="22"/>
          <w:szCs w:val="20"/>
        </w:rPr>
        <w:t>) *100,</w:t>
      </w:r>
    </w:p>
    <w:p w14:paraId="5695D8E6" w14:textId="77777777" w:rsidR="00081C89" w:rsidRDefault="00081C89" w:rsidP="00081C89">
      <w:pPr>
        <w:spacing w:before="240"/>
        <w:rPr>
          <w:sz w:val="22"/>
          <w:szCs w:val="20"/>
        </w:rPr>
      </w:pPr>
      <w:r>
        <w:rPr>
          <w:sz w:val="22"/>
          <w:szCs w:val="20"/>
        </w:rPr>
        <w:t>%</w:t>
      </w:r>
      <w:r w:rsidRPr="00810A60">
        <w:rPr>
          <w:sz w:val="22"/>
          <w:szCs w:val="20"/>
        </w:rPr>
        <w:t>C</w:t>
      </w:r>
      <w:r w:rsidRPr="00810A60">
        <w:rPr>
          <w:sz w:val="22"/>
          <w:szCs w:val="20"/>
          <w:vertAlign w:val="subscript"/>
        </w:rPr>
        <w:t>2</w:t>
      </w:r>
      <w:r>
        <w:rPr>
          <w:sz w:val="22"/>
          <w:szCs w:val="20"/>
          <w:vertAlign w:val="subscript"/>
        </w:rPr>
        <w:t>8</w:t>
      </w:r>
      <w:r w:rsidRPr="00810A60">
        <w:rPr>
          <w:sz w:val="22"/>
          <w:szCs w:val="20"/>
        </w:rPr>
        <w:t xml:space="preserve"> = C</w:t>
      </w:r>
      <w:r w:rsidRPr="00810A60">
        <w:rPr>
          <w:sz w:val="22"/>
          <w:szCs w:val="20"/>
          <w:vertAlign w:val="subscript"/>
        </w:rPr>
        <w:t>2</w:t>
      </w:r>
      <w:r>
        <w:rPr>
          <w:sz w:val="22"/>
          <w:szCs w:val="20"/>
          <w:vertAlign w:val="subscript"/>
        </w:rPr>
        <w:t>8</w:t>
      </w:r>
      <w:r w:rsidRPr="00015DDB">
        <w:rPr>
          <w:sz w:val="22"/>
          <w:szCs w:val="20"/>
        </w:rPr>
        <w:t xml:space="preserve"> </w:t>
      </w:r>
      <w:r>
        <w:rPr>
          <w:sz w:val="22"/>
          <w:szCs w:val="20"/>
        </w:rPr>
        <w:t>s</w:t>
      </w:r>
      <w:r w:rsidRPr="00015DDB">
        <w:rPr>
          <w:sz w:val="22"/>
          <w:szCs w:val="20"/>
        </w:rPr>
        <w:t>terane</w:t>
      </w:r>
      <w:r>
        <w:rPr>
          <w:sz w:val="22"/>
          <w:szCs w:val="20"/>
        </w:rPr>
        <w:t xml:space="preserve">s / </w:t>
      </w:r>
      <w:r w:rsidRPr="00810A60">
        <w:rPr>
          <w:sz w:val="22"/>
          <w:szCs w:val="20"/>
        </w:rPr>
        <w:t>(C</w:t>
      </w:r>
      <w:r w:rsidRPr="00810A60">
        <w:rPr>
          <w:sz w:val="22"/>
          <w:szCs w:val="20"/>
          <w:vertAlign w:val="subscript"/>
        </w:rPr>
        <w:t>27</w:t>
      </w:r>
      <w:r w:rsidRPr="00910DB5">
        <w:rPr>
          <w:sz w:val="22"/>
          <w:szCs w:val="20"/>
        </w:rPr>
        <w:t xml:space="preserve"> sterane</w:t>
      </w:r>
      <w:r>
        <w:rPr>
          <w:sz w:val="22"/>
          <w:szCs w:val="20"/>
        </w:rPr>
        <w:t xml:space="preserve">s </w:t>
      </w:r>
      <w:r w:rsidRPr="00015DDB">
        <w:rPr>
          <w:sz w:val="22"/>
          <w:szCs w:val="20"/>
        </w:rPr>
        <w:t xml:space="preserve">+ </w:t>
      </w:r>
      <w:r w:rsidRPr="00810A60">
        <w:rPr>
          <w:sz w:val="22"/>
          <w:szCs w:val="20"/>
        </w:rPr>
        <w:t>C</w:t>
      </w:r>
      <w:r w:rsidRPr="00810A60">
        <w:rPr>
          <w:sz w:val="22"/>
          <w:szCs w:val="20"/>
          <w:vertAlign w:val="subscript"/>
        </w:rPr>
        <w:t>28</w:t>
      </w:r>
      <w:r w:rsidRPr="00015DDB">
        <w:rPr>
          <w:sz w:val="22"/>
          <w:szCs w:val="20"/>
        </w:rPr>
        <w:t xml:space="preserve"> </w:t>
      </w:r>
      <w:r>
        <w:rPr>
          <w:sz w:val="22"/>
          <w:szCs w:val="20"/>
        </w:rPr>
        <w:t>s</w:t>
      </w:r>
      <w:r w:rsidRPr="00015DDB">
        <w:rPr>
          <w:sz w:val="22"/>
          <w:szCs w:val="20"/>
        </w:rPr>
        <w:t>terane</w:t>
      </w:r>
      <w:r>
        <w:rPr>
          <w:sz w:val="22"/>
          <w:szCs w:val="20"/>
        </w:rPr>
        <w:t xml:space="preserve">s </w:t>
      </w:r>
      <w:r w:rsidRPr="00015DDB">
        <w:rPr>
          <w:sz w:val="22"/>
          <w:szCs w:val="20"/>
        </w:rPr>
        <w:t xml:space="preserve">+ </w:t>
      </w:r>
      <w:r w:rsidRPr="00810A60">
        <w:rPr>
          <w:sz w:val="22"/>
          <w:szCs w:val="20"/>
        </w:rPr>
        <w:t>C</w:t>
      </w:r>
      <w:r w:rsidRPr="00810A60">
        <w:rPr>
          <w:sz w:val="22"/>
          <w:szCs w:val="20"/>
          <w:vertAlign w:val="subscript"/>
        </w:rPr>
        <w:t>29</w:t>
      </w:r>
      <w:r w:rsidRPr="00015DDB">
        <w:rPr>
          <w:sz w:val="22"/>
          <w:szCs w:val="20"/>
        </w:rPr>
        <w:t xml:space="preserve"> </w:t>
      </w:r>
      <w:r>
        <w:rPr>
          <w:sz w:val="22"/>
          <w:szCs w:val="20"/>
        </w:rPr>
        <w:t>s</w:t>
      </w:r>
      <w:r w:rsidRPr="00015DDB">
        <w:rPr>
          <w:sz w:val="22"/>
          <w:szCs w:val="20"/>
        </w:rPr>
        <w:t>terane</w:t>
      </w:r>
      <w:r>
        <w:rPr>
          <w:sz w:val="22"/>
          <w:szCs w:val="20"/>
        </w:rPr>
        <w:t>s</w:t>
      </w:r>
      <w:r w:rsidRPr="00810A60">
        <w:rPr>
          <w:sz w:val="22"/>
          <w:szCs w:val="20"/>
        </w:rPr>
        <w:t>) *100,</w:t>
      </w:r>
    </w:p>
    <w:p w14:paraId="4DAECF50" w14:textId="77777777" w:rsidR="00081C89" w:rsidRDefault="00081C89" w:rsidP="00081C89">
      <w:pPr>
        <w:spacing w:before="240"/>
        <w:rPr>
          <w:sz w:val="22"/>
          <w:szCs w:val="20"/>
        </w:rPr>
      </w:pPr>
      <w:r>
        <w:rPr>
          <w:sz w:val="22"/>
          <w:szCs w:val="20"/>
        </w:rPr>
        <w:t>%</w:t>
      </w:r>
      <w:r w:rsidRPr="00810A60">
        <w:rPr>
          <w:sz w:val="22"/>
          <w:szCs w:val="20"/>
        </w:rPr>
        <w:t>C</w:t>
      </w:r>
      <w:r w:rsidRPr="00810A60">
        <w:rPr>
          <w:sz w:val="22"/>
          <w:szCs w:val="20"/>
          <w:vertAlign w:val="subscript"/>
        </w:rPr>
        <w:t>2</w:t>
      </w:r>
      <w:r>
        <w:rPr>
          <w:sz w:val="22"/>
          <w:szCs w:val="20"/>
          <w:vertAlign w:val="subscript"/>
        </w:rPr>
        <w:t>9</w:t>
      </w:r>
      <w:r w:rsidRPr="00810A60">
        <w:rPr>
          <w:sz w:val="22"/>
          <w:szCs w:val="20"/>
        </w:rPr>
        <w:t xml:space="preserve"> = C</w:t>
      </w:r>
      <w:r w:rsidRPr="00810A60">
        <w:rPr>
          <w:sz w:val="22"/>
          <w:szCs w:val="20"/>
          <w:vertAlign w:val="subscript"/>
        </w:rPr>
        <w:t>2</w:t>
      </w:r>
      <w:r>
        <w:rPr>
          <w:sz w:val="22"/>
          <w:szCs w:val="20"/>
          <w:vertAlign w:val="subscript"/>
        </w:rPr>
        <w:t>9</w:t>
      </w:r>
      <w:r w:rsidRPr="00015DDB">
        <w:rPr>
          <w:sz w:val="22"/>
          <w:szCs w:val="20"/>
        </w:rPr>
        <w:t xml:space="preserve"> </w:t>
      </w:r>
      <w:r>
        <w:rPr>
          <w:sz w:val="22"/>
          <w:szCs w:val="20"/>
        </w:rPr>
        <w:t>s</w:t>
      </w:r>
      <w:r w:rsidRPr="00015DDB">
        <w:rPr>
          <w:sz w:val="22"/>
          <w:szCs w:val="20"/>
        </w:rPr>
        <w:t>terane</w:t>
      </w:r>
      <w:r>
        <w:rPr>
          <w:sz w:val="22"/>
          <w:szCs w:val="20"/>
        </w:rPr>
        <w:t xml:space="preserve">s / </w:t>
      </w:r>
      <w:r w:rsidRPr="00810A60">
        <w:rPr>
          <w:sz w:val="22"/>
          <w:szCs w:val="20"/>
        </w:rPr>
        <w:t>(C</w:t>
      </w:r>
      <w:r w:rsidRPr="00810A60">
        <w:rPr>
          <w:sz w:val="22"/>
          <w:szCs w:val="20"/>
          <w:vertAlign w:val="subscript"/>
        </w:rPr>
        <w:t>27</w:t>
      </w:r>
      <w:r>
        <w:rPr>
          <w:sz w:val="22"/>
          <w:szCs w:val="20"/>
          <w:vertAlign w:val="subscript"/>
        </w:rPr>
        <w:t xml:space="preserve"> </w:t>
      </w:r>
      <w:r>
        <w:rPr>
          <w:sz w:val="22"/>
          <w:szCs w:val="20"/>
        </w:rPr>
        <w:t>s</w:t>
      </w:r>
      <w:r w:rsidRPr="00015DDB">
        <w:rPr>
          <w:sz w:val="22"/>
          <w:szCs w:val="20"/>
        </w:rPr>
        <w:t>terane</w:t>
      </w:r>
      <w:r>
        <w:rPr>
          <w:sz w:val="22"/>
          <w:szCs w:val="20"/>
        </w:rPr>
        <w:t xml:space="preserve">s </w:t>
      </w:r>
      <w:r w:rsidRPr="00015DDB">
        <w:rPr>
          <w:sz w:val="22"/>
          <w:szCs w:val="20"/>
        </w:rPr>
        <w:t xml:space="preserve">+ </w:t>
      </w:r>
      <w:r w:rsidRPr="00810A60">
        <w:rPr>
          <w:sz w:val="22"/>
          <w:szCs w:val="20"/>
        </w:rPr>
        <w:t>C</w:t>
      </w:r>
      <w:r w:rsidRPr="00810A60">
        <w:rPr>
          <w:sz w:val="22"/>
          <w:szCs w:val="20"/>
          <w:vertAlign w:val="subscript"/>
        </w:rPr>
        <w:t>28</w:t>
      </w:r>
      <w:r w:rsidRPr="00015DDB">
        <w:rPr>
          <w:sz w:val="22"/>
          <w:szCs w:val="20"/>
        </w:rPr>
        <w:t xml:space="preserve"> </w:t>
      </w:r>
      <w:r>
        <w:rPr>
          <w:sz w:val="22"/>
          <w:szCs w:val="20"/>
        </w:rPr>
        <w:t>s</w:t>
      </w:r>
      <w:r w:rsidRPr="00015DDB">
        <w:rPr>
          <w:sz w:val="22"/>
          <w:szCs w:val="20"/>
        </w:rPr>
        <w:t>terane</w:t>
      </w:r>
      <w:r>
        <w:rPr>
          <w:sz w:val="22"/>
          <w:szCs w:val="20"/>
        </w:rPr>
        <w:t xml:space="preserve">s </w:t>
      </w:r>
      <w:r w:rsidRPr="00015DDB">
        <w:rPr>
          <w:sz w:val="22"/>
          <w:szCs w:val="20"/>
        </w:rPr>
        <w:t xml:space="preserve">+ </w:t>
      </w:r>
      <w:r w:rsidRPr="00810A60">
        <w:rPr>
          <w:sz w:val="22"/>
          <w:szCs w:val="20"/>
        </w:rPr>
        <w:t>C</w:t>
      </w:r>
      <w:r w:rsidRPr="00810A60">
        <w:rPr>
          <w:sz w:val="22"/>
          <w:szCs w:val="20"/>
          <w:vertAlign w:val="subscript"/>
        </w:rPr>
        <w:t>29</w:t>
      </w:r>
      <w:r w:rsidRPr="00015DDB">
        <w:rPr>
          <w:sz w:val="22"/>
          <w:szCs w:val="20"/>
        </w:rPr>
        <w:t xml:space="preserve"> </w:t>
      </w:r>
      <w:r>
        <w:rPr>
          <w:sz w:val="22"/>
          <w:szCs w:val="20"/>
        </w:rPr>
        <w:t>s</w:t>
      </w:r>
      <w:r w:rsidRPr="00015DDB">
        <w:rPr>
          <w:sz w:val="22"/>
          <w:szCs w:val="20"/>
        </w:rPr>
        <w:t>terane</w:t>
      </w:r>
      <w:r>
        <w:rPr>
          <w:sz w:val="22"/>
          <w:szCs w:val="20"/>
        </w:rPr>
        <w:t>s</w:t>
      </w:r>
      <w:r w:rsidRPr="00810A60">
        <w:rPr>
          <w:sz w:val="22"/>
          <w:szCs w:val="20"/>
        </w:rPr>
        <w:t>) *100,</w:t>
      </w:r>
    </w:p>
    <w:p w14:paraId="46540F25" w14:textId="77777777" w:rsidR="00081C89" w:rsidRDefault="00081C89" w:rsidP="00081C89">
      <w:pPr>
        <w:spacing w:before="240" w:after="0"/>
        <w:rPr>
          <w:sz w:val="22"/>
          <w:szCs w:val="20"/>
        </w:rPr>
      </w:pPr>
      <w:r>
        <w:rPr>
          <w:sz w:val="22"/>
          <w:szCs w:val="20"/>
        </w:rPr>
        <w:t xml:space="preserve">Where, </w:t>
      </w:r>
    </w:p>
    <w:p w14:paraId="21D5EB8A" w14:textId="77777777" w:rsidR="00081C89" w:rsidRDefault="00081C89" w:rsidP="00081C89">
      <w:pPr>
        <w:spacing w:before="240"/>
        <w:rPr>
          <w:sz w:val="22"/>
          <w:szCs w:val="20"/>
        </w:rPr>
      </w:pPr>
      <w:r w:rsidRPr="00810A60">
        <w:rPr>
          <w:sz w:val="22"/>
          <w:szCs w:val="20"/>
        </w:rPr>
        <w:t>C</w:t>
      </w:r>
      <w:r w:rsidRPr="00810A60">
        <w:rPr>
          <w:sz w:val="22"/>
          <w:szCs w:val="20"/>
          <w:vertAlign w:val="subscript"/>
        </w:rPr>
        <w:t>27</w:t>
      </w:r>
      <w:r>
        <w:rPr>
          <w:sz w:val="22"/>
          <w:szCs w:val="20"/>
          <w:vertAlign w:val="subscript"/>
        </w:rPr>
        <w:t xml:space="preserve"> </w:t>
      </w:r>
      <w:r>
        <w:rPr>
          <w:sz w:val="22"/>
          <w:szCs w:val="20"/>
        </w:rPr>
        <w:t>s</w:t>
      </w:r>
      <w:r w:rsidRPr="00015DDB">
        <w:rPr>
          <w:sz w:val="22"/>
          <w:szCs w:val="20"/>
        </w:rPr>
        <w:t>terane</w:t>
      </w:r>
      <w:r>
        <w:rPr>
          <w:sz w:val="22"/>
          <w:szCs w:val="20"/>
        </w:rPr>
        <w:t xml:space="preserve">s = </w:t>
      </w:r>
      <w:r w:rsidRPr="00810A60">
        <w:rPr>
          <w:sz w:val="22"/>
          <w:szCs w:val="20"/>
        </w:rPr>
        <w:t>[14α(H),17α(H) + 14β(H),17β(H)-</w:t>
      </w:r>
      <w:r>
        <w:rPr>
          <w:sz w:val="22"/>
          <w:szCs w:val="20"/>
        </w:rPr>
        <w:t>C</w:t>
      </w:r>
      <w:r w:rsidRPr="00810A60">
        <w:rPr>
          <w:sz w:val="22"/>
          <w:szCs w:val="20"/>
        </w:rPr>
        <w:t>holestane (20S+ 20R)])</w:t>
      </w:r>
      <w:r>
        <w:rPr>
          <w:sz w:val="22"/>
          <w:szCs w:val="20"/>
        </w:rPr>
        <w:t xml:space="preserve">, </w:t>
      </w:r>
    </w:p>
    <w:p w14:paraId="26B9D298" w14:textId="77777777" w:rsidR="00081C89" w:rsidRDefault="00081C89" w:rsidP="00081C89">
      <w:pPr>
        <w:spacing w:before="240"/>
        <w:rPr>
          <w:sz w:val="22"/>
          <w:szCs w:val="20"/>
        </w:rPr>
      </w:pPr>
      <w:r w:rsidRPr="00810A60">
        <w:rPr>
          <w:sz w:val="22"/>
          <w:szCs w:val="20"/>
        </w:rPr>
        <w:t>C</w:t>
      </w:r>
      <w:r w:rsidRPr="00810A60">
        <w:rPr>
          <w:sz w:val="22"/>
          <w:szCs w:val="20"/>
          <w:vertAlign w:val="subscript"/>
        </w:rPr>
        <w:t>2</w:t>
      </w:r>
      <w:r>
        <w:rPr>
          <w:sz w:val="22"/>
          <w:szCs w:val="20"/>
          <w:vertAlign w:val="subscript"/>
        </w:rPr>
        <w:t xml:space="preserve">8 </w:t>
      </w:r>
      <w:r>
        <w:rPr>
          <w:sz w:val="22"/>
          <w:szCs w:val="20"/>
        </w:rPr>
        <w:t>s</w:t>
      </w:r>
      <w:r w:rsidRPr="00015DDB">
        <w:rPr>
          <w:sz w:val="22"/>
          <w:szCs w:val="20"/>
        </w:rPr>
        <w:t>terane</w:t>
      </w:r>
      <w:r>
        <w:rPr>
          <w:sz w:val="22"/>
          <w:szCs w:val="20"/>
        </w:rPr>
        <w:t>s = 24-Methyl-[</w:t>
      </w:r>
      <w:r w:rsidRPr="00810A60">
        <w:rPr>
          <w:sz w:val="22"/>
          <w:szCs w:val="20"/>
        </w:rPr>
        <w:t>14α(H),17α(H)</w:t>
      </w:r>
      <w:r>
        <w:rPr>
          <w:sz w:val="22"/>
          <w:szCs w:val="20"/>
        </w:rPr>
        <w:t xml:space="preserve"> </w:t>
      </w:r>
      <w:r w:rsidRPr="00810A60">
        <w:rPr>
          <w:sz w:val="22"/>
          <w:szCs w:val="20"/>
        </w:rPr>
        <w:t>+ 14β(H),17β(H)-</w:t>
      </w:r>
      <w:r>
        <w:rPr>
          <w:sz w:val="22"/>
          <w:szCs w:val="20"/>
        </w:rPr>
        <w:t>C</w:t>
      </w:r>
      <w:r w:rsidRPr="00810A60">
        <w:rPr>
          <w:sz w:val="22"/>
          <w:szCs w:val="20"/>
        </w:rPr>
        <w:t>holestane (20S+ 20R)])</w:t>
      </w:r>
      <w:r>
        <w:rPr>
          <w:sz w:val="22"/>
          <w:szCs w:val="20"/>
        </w:rPr>
        <w:t>,</w:t>
      </w:r>
    </w:p>
    <w:p w14:paraId="41D0D34E" w14:textId="77777777" w:rsidR="00081C89" w:rsidRPr="00810A60" w:rsidRDefault="00081C89" w:rsidP="00081C89">
      <w:pPr>
        <w:spacing w:before="240"/>
        <w:rPr>
          <w:sz w:val="22"/>
          <w:szCs w:val="20"/>
        </w:rPr>
      </w:pPr>
      <w:r w:rsidRPr="00810A60">
        <w:rPr>
          <w:sz w:val="22"/>
          <w:szCs w:val="20"/>
        </w:rPr>
        <w:t>C</w:t>
      </w:r>
      <w:r w:rsidRPr="00810A60">
        <w:rPr>
          <w:sz w:val="22"/>
          <w:szCs w:val="20"/>
          <w:vertAlign w:val="subscript"/>
        </w:rPr>
        <w:t>2</w:t>
      </w:r>
      <w:r>
        <w:rPr>
          <w:sz w:val="22"/>
          <w:szCs w:val="20"/>
          <w:vertAlign w:val="subscript"/>
        </w:rPr>
        <w:t xml:space="preserve">9 </w:t>
      </w:r>
      <w:r>
        <w:rPr>
          <w:sz w:val="22"/>
          <w:szCs w:val="20"/>
        </w:rPr>
        <w:t>s</w:t>
      </w:r>
      <w:r w:rsidRPr="00015DDB">
        <w:rPr>
          <w:sz w:val="22"/>
          <w:szCs w:val="20"/>
        </w:rPr>
        <w:t>terane</w:t>
      </w:r>
      <w:r>
        <w:rPr>
          <w:sz w:val="22"/>
          <w:szCs w:val="20"/>
        </w:rPr>
        <w:t>s = 24-Ethyl-[</w:t>
      </w:r>
      <w:r w:rsidRPr="00810A60">
        <w:rPr>
          <w:sz w:val="22"/>
          <w:szCs w:val="20"/>
        </w:rPr>
        <w:t>14α(H),17α(H) + 14β(H),17β(H)-</w:t>
      </w:r>
      <w:r>
        <w:rPr>
          <w:sz w:val="22"/>
          <w:szCs w:val="20"/>
        </w:rPr>
        <w:t>C</w:t>
      </w:r>
      <w:r w:rsidRPr="00810A60">
        <w:rPr>
          <w:sz w:val="22"/>
          <w:szCs w:val="20"/>
        </w:rPr>
        <w:t>holestane (20S+ 20R)])</w:t>
      </w:r>
      <w:r>
        <w:rPr>
          <w:sz w:val="22"/>
          <w:szCs w:val="20"/>
        </w:rPr>
        <w:t>.</w:t>
      </w:r>
    </w:p>
    <w:p w14:paraId="0347391F" w14:textId="125A0D48" w:rsidR="00081C89" w:rsidRDefault="00081C89" w:rsidP="00081C89">
      <w:pPr>
        <w:spacing w:before="240"/>
        <w:ind w:firstLine="720"/>
      </w:pPr>
      <w:r w:rsidRPr="004E20C6">
        <w:t>According to Zumberge (1984)</w:t>
      </w:r>
      <w:r>
        <w:t>,</w:t>
      </w:r>
      <w:r w:rsidRPr="004E20C6">
        <w:t xml:space="preserve"> </w:t>
      </w:r>
      <w:r>
        <w:t xml:space="preserve">Grantham (1986), </w:t>
      </w:r>
      <w:r w:rsidRPr="004E20C6">
        <w:t>Volkman (1986</w:t>
      </w:r>
      <w:r w:rsidRPr="009261E2">
        <w:t xml:space="preserve">), </w:t>
      </w:r>
      <w:r w:rsidRPr="009261E2">
        <w:rPr>
          <w:bCs/>
          <w:color w:val="000000"/>
        </w:rPr>
        <w:t>Grantham and Wa</w:t>
      </w:r>
      <w:r>
        <w:rPr>
          <w:bCs/>
          <w:color w:val="000000"/>
        </w:rPr>
        <w:t>kefield</w:t>
      </w:r>
      <w:r w:rsidRPr="009261E2">
        <w:rPr>
          <w:bCs/>
          <w:color w:val="000000"/>
        </w:rPr>
        <w:t xml:space="preserve"> (1988),</w:t>
      </w:r>
      <w:r>
        <w:rPr>
          <w:bCs/>
          <w:color w:val="000000"/>
        </w:rPr>
        <w:t xml:space="preserve"> a</w:t>
      </w:r>
      <w:r w:rsidRPr="004E20C6">
        <w:t xml:space="preserve">nd </w:t>
      </w:r>
      <w:r>
        <w:t>Peters et al.</w:t>
      </w:r>
      <w:r w:rsidRPr="004E20C6">
        <w:t xml:space="preserve"> (200</w:t>
      </w:r>
      <w:r>
        <w:t>5</w:t>
      </w:r>
      <w:r w:rsidRPr="004E20C6">
        <w:t>)</w:t>
      </w:r>
      <w:r>
        <w:t>,</w:t>
      </w:r>
      <w:r w:rsidRPr="004E20C6">
        <w:t xml:space="preserve"> this </w:t>
      </w:r>
      <w:r>
        <w:t>higher C</w:t>
      </w:r>
      <w:r w:rsidRPr="00162BA4">
        <w:rPr>
          <w:vertAlign w:val="subscript"/>
        </w:rPr>
        <w:t>2</w:t>
      </w:r>
      <w:r>
        <w:rPr>
          <w:vertAlign w:val="subscript"/>
        </w:rPr>
        <w:t>9</w:t>
      </w:r>
      <w:r>
        <w:t xml:space="preserve"> sterane </w:t>
      </w:r>
      <w:r w:rsidRPr="004E20C6">
        <w:t xml:space="preserve">distribution </w:t>
      </w:r>
      <w:r>
        <w:t>i</w:t>
      </w:r>
      <w:r w:rsidRPr="004E20C6">
        <w:t xml:space="preserve">n a source rock </w:t>
      </w:r>
      <w:r w:rsidRPr="004E20C6">
        <w:lastRenderedPageBreak/>
        <w:t>extract indicate</w:t>
      </w:r>
      <w:r>
        <w:t>s</w:t>
      </w:r>
      <w:r w:rsidRPr="004E20C6">
        <w:t xml:space="preserve"> a </w:t>
      </w:r>
      <w:r>
        <w:t>contribution of terrestrial</w:t>
      </w:r>
      <w:r w:rsidRPr="004E20C6">
        <w:t xml:space="preserve"> organic matter input. </w:t>
      </w:r>
      <w:r>
        <w:t>Caution must be considered when interpreting a land-plant source from C</w:t>
      </w:r>
      <w:r w:rsidRPr="00FE6400">
        <w:rPr>
          <w:vertAlign w:val="subscript"/>
        </w:rPr>
        <w:t>29</w:t>
      </w:r>
      <w:r>
        <w:t xml:space="preserve"> steranes alone, as there are recognized instances of C</w:t>
      </w:r>
      <w:r w:rsidRPr="00FE6400">
        <w:rPr>
          <w:vertAlign w:val="subscript"/>
        </w:rPr>
        <w:t>29</w:t>
      </w:r>
      <w:r>
        <w:t xml:space="preserve"> predominance in Precambrian rocks, which has been attributed to algae because land plants had not fully evolved yet (Grantham, 1986; Volkman et al., 1986). </w:t>
      </w:r>
      <w:r w:rsidRPr="004E20C6">
        <w:t>The relative proportion of the C</w:t>
      </w:r>
      <w:r w:rsidRPr="004E20C6">
        <w:rPr>
          <w:vertAlign w:val="subscript"/>
        </w:rPr>
        <w:t>27</w:t>
      </w:r>
      <w:r w:rsidRPr="004E20C6">
        <w:t>, C</w:t>
      </w:r>
      <w:r w:rsidRPr="004E20C6">
        <w:rPr>
          <w:vertAlign w:val="subscript"/>
        </w:rPr>
        <w:t>28</w:t>
      </w:r>
      <w:r w:rsidRPr="004E20C6">
        <w:t xml:space="preserve"> and C</w:t>
      </w:r>
      <w:r w:rsidRPr="004E20C6">
        <w:rPr>
          <w:vertAlign w:val="subscript"/>
        </w:rPr>
        <w:t>29</w:t>
      </w:r>
      <w:r w:rsidRPr="004E20C6">
        <w:t xml:space="preserve"> regular steranes was plotted on a ternary diagram (Figure </w:t>
      </w:r>
      <w:r>
        <w:t>3.23</w:t>
      </w:r>
      <w:r w:rsidRPr="004E20C6">
        <w:t>) to determine</w:t>
      </w:r>
      <w:r>
        <w:t xml:space="preserve"> possible</w:t>
      </w:r>
      <w:r w:rsidRPr="004E20C6">
        <w:t xml:space="preserve"> variations</w:t>
      </w:r>
      <w:r>
        <w:t xml:space="preserve"> in the SR Woodford Shale members after analyzing the fragmentograms summarized in Figure 3.25</w:t>
      </w:r>
      <w:r w:rsidRPr="004E20C6">
        <w:t>.</w:t>
      </w:r>
      <w:r>
        <w:t xml:space="preserve"> The C</w:t>
      </w:r>
      <w:r w:rsidRPr="00A6646F">
        <w:rPr>
          <w:vertAlign w:val="subscript"/>
        </w:rPr>
        <w:t>29</w:t>
      </w:r>
      <w:r>
        <w:t xml:space="preserve"> steranes are in relative higher abundance to the C</w:t>
      </w:r>
      <w:r w:rsidRPr="000F3FAD">
        <w:rPr>
          <w:vertAlign w:val="subscript"/>
        </w:rPr>
        <w:t>27</w:t>
      </w:r>
      <w:r>
        <w:t xml:space="preserve"> steranes, directly comparing each type of isomers (e.g.</w:t>
      </w:r>
      <w:r w:rsidR="00C403D1">
        <w:t>,</w:t>
      </w:r>
      <w:r>
        <w:t xml:space="preserve"> C</w:t>
      </w:r>
      <w:r w:rsidRPr="00A6646F">
        <w:rPr>
          <w:vertAlign w:val="subscript"/>
        </w:rPr>
        <w:t>29</w:t>
      </w:r>
      <w:r>
        <w:t xml:space="preserve"> αααR in a relative higher peak height and peak area than the C</w:t>
      </w:r>
      <w:r w:rsidRPr="00A6646F">
        <w:rPr>
          <w:vertAlign w:val="subscript"/>
        </w:rPr>
        <w:t>27</w:t>
      </w:r>
      <w:r>
        <w:t xml:space="preserve"> αααR; C</w:t>
      </w:r>
      <w:r w:rsidRPr="00A6646F">
        <w:rPr>
          <w:vertAlign w:val="subscript"/>
        </w:rPr>
        <w:t>29</w:t>
      </w:r>
      <w:r>
        <w:t xml:space="preserve"> αααS in a relative higher peak height and peak area than the C</w:t>
      </w:r>
      <w:r w:rsidRPr="00A6646F">
        <w:rPr>
          <w:vertAlign w:val="subscript"/>
        </w:rPr>
        <w:t>27</w:t>
      </w:r>
      <w:r>
        <w:t xml:space="preserve"> αααS), for the Lower and Middle members, but for the samples of the Upper Woodford member that are suspected with migrated hydrocarbons (samples 2.71.5 and 287.5 ft in Figure 3.25) the C</w:t>
      </w:r>
      <w:r w:rsidRPr="000F3FAD">
        <w:rPr>
          <w:vertAlign w:val="subscript"/>
        </w:rPr>
        <w:t>27</w:t>
      </w:r>
      <w:r>
        <w:t xml:space="preserve"> steranes predominate over the C</w:t>
      </w:r>
      <w:r w:rsidRPr="000F3FAD">
        <w:rPr>
          <w:vertAlign w:val="subscript"/>
        </w:rPr>
        <w:t>29</w:t>
      </w:r>
      <w:r>
        <w:t xml:space="preserve"> steranes. </w:t>
      </w:r>
    </w:p>
    <w:p w14:paraId="5E670F4F" w14:textId="77777777" w:rsidR="00081C89" w:rsidRDefault="00081C89" w:rsidP="00081C89">
      <w:pPr>
        <w:spacing w:before="240"/>
        <w:ind w:firstLine="720"/>
      </w:pPr>
      <w:r w:rsidRPr="004E20C6">
        <w:t xml:space="preserve">According to the regular sterane ternary diagram developed by Moldowan et al. (1985), most of </w:t>
      </w:r>
      <w:r>
        <w:t>SR</w:t>
      </w:r>
      <w:r w:rsidRPr="004E20C6">
        <w:t xml:space="preserve"> samples are clustered in </w:t>
      </w:r>
      <w:r>
        <w:t>a restricted area</w:t>
      </w:r>
      <w:r w:rsidRPr="004E20C6">
        <w:t xml:space="preserve"> of the plot</w:t>
      </w:r>
      <w:r>
        <w:t xml:space="preserve">, where the marine shale and marine carbonate in origin yields overlap, but </w:t>
      </w:r>
      <w:r w:rsidRPr="004E20C6">
        <w:t>with the integration with other biomarker parameters and recognized lithofacies, the samples are interpreted as marine shale source rocks</w:t>
      </w:r>
      <w:r>
        <w:t xml:space="preserve"> with contributions of terrestrial organic matter. </w:t>
      </w:r>
      <w:r w:rsidRPr="004E20C6">
        <w:t>This</w:t>
      </w:r>
      <w:r>
        <w:t xml:space="preserve"> </w:t>
      </w:r>
      <w:r w:rsidRPr="004E20C6">
        <w:t xml:space="preserve">interpretation </w:t>
      </w:r>
      <w:r>
        <w:t xml:space="preserve">of the organic matter principally of marine origin in the SR </w:t>
      </w:r>
      <w:r w:rsidRPr="004E20C6">
        <w:t xml:space="preserve">is also </w:t>
      </w:r>
      <w:r>
        <w:t>in agreement</w:t>
      </w:r>
      <w:r w:rsidRPr="004E20C6">
        <w:t xml:space="preserve"> with the conclusions </w:t>
      </w:r>
      <w:r>
        <w:t xml:space="preserve">in the Woodford Shale </w:t>
      </w:r>
      <w:r w:rsidRPr="004E20C6">
        <w:t xml:space="preserve">of </w:t>
      </w:r>
      <w:r>
        <w:t>Comer and Hinch (1987), Kirkland et al. (1992), Lo and Cardott (1995), Miceli-Romero and Philp (2012), Connock et al. (2018), and Philp and DeGarmo (2020).</w:t>
      </w:r>
    </w:p>
    <w:p w14:paraId="32C33A9F" w14:textId="3380D7E4" w:rsidR="00081C89" w:rsidRDefault="00081C89" w:rsidP="00081C89">
      <w:pPr>
        <w:spacing w:before="240"/>
        <w:ind w:firstLine="720"/>
      </w:pPr>
      <w:r w:rsidRPr="006A2FA5">
        <w:t>Seifert and Moldowan</w:t>
      </w:r>
      <w:r>
        <w:t xml:space="preserve"> (</w:t>
      </w:r>
      <w:r w:rsidRPr="006A2FA5">
        <w:t>1986</w:t>
      </w:r>
      <w:r>
        <w:t xml:space="preserve">) proposed that </w:t>
      </w:r>
      <w:r w:rsidRPr="00D540A2">
        <w:t xml:space="preserve">geochemical ratios of </w:t>
      </w:r>
      <w:r>
        <w:t>C</w:t>
      </w:r>
      <w:r w:rsidRPr="000F3FAD">
        <w:rPr>
          <w:vertAlign w:val="subscript"/>
        </w:rPr>
        <w:t>29</w:t>
      </w:r>
      <w:r>
        <w:t xml:space="preserve"> steranes </w:t>
      </w:r>
      <w:r w:rsidRPr="00D540A2">
        <w:t xml:space="preserve">isomers provide a useful tool for </w:t>
      </w:r>
      <w:r>
        <w:t xml:space="preserve">identifying the </w:t>
      </w:r>
      <w:r w:rsidRPr="00D540A2">
        <w:t xml:space="preserve">thermal maturity </w:t>
      </w:r>
      <w:r>
        <w:t>variations. Peters et al. (2005) support these ideas when identifying that the s</w:t>
      </w:r>
      <w:r w:rsidRPr="00D540A2">
        <w:t xml:space="preserve">teroid precursors in nature have only an R configuration at </w:t>
      </w:r>
      <w:r w:rsidRPr="00D540A2">
        <w:lastRenderedPageBreak/>
        <w:t>C-20, that with increasing maturation are progressively converted to mixture</w:t>
      </w:r>
      <w:r w:rsidR="00B61E73">
        <w:t>s</w:t>
      </w:r>
      <w:r w:rsidRPr="00D540A2">
        <w:t xml:space="preserve"> of R (biological) and S (thermal)</w:t>
      </w:r>
      <w:r>
        <w:t>.</w:t>
      </w:r>
      <w:r w:rsidRPr="00D540A2">
        <w:t xml:space="preserve"> </w:t>
      </w:r>
      <w:r>
        <w:t xml:space="preserve">For </w:t>
      </w:r>
      <w:r w:rsidRPr="00D540A2">
        <w:t>the C</w:t>
      </w:r>
      <w:r w:rsidRPr="000F3FAD">
        <w:rPr>
          <w:vertAlign w:val="subscript"/>
        </w:rPr>
        <w:t>29</w:t>
      </w:r>
      <w:r w:rsidRPr="00D540A2">
        <w:t xml:space="preserve"> 20S/(20S+20R) sterane ratio</w:t>
      </w:r>
      <w:r>
        <w:t>, this</w:t>
      </w:r>
      <w:r w:rsidRPr="00D540A2">
        <w:t xml:space="preserve"> increases with thermal maturity from 0 reaching equilibrium at 0.52 to 0.55 (Seifert and Moldowan, 1986; Peters et al., 2005).</w:t>
      </w:r>
      <w:r>
        <w:t xml:space="preserve"> Peters et al. (2005) also proposed that th</w:t>
      </w:r>
      <w:r w:rsidRPr="00D540A2">
        <w:t>e C</w:t>
      </w:r>
      <w:r w:rsidRPr="000F3FAD">
        <w:rPr>
          <w:vertAlign w:val="subscript"/>
        </w:rPr>
        <w:t>29</w:t>
      </w:r>
      <w:r w:rsidRPr="00D540A2">
        <w:t xml:space="preserve"> ββ/(ββ+αα) steranes ratio is not influenced by organic matter source, and its mixture is reached at higher maturity levels compared to the C</w:t>
      </w:r>
      <w:r w:rsidRPr="000F3FAD">
        <w:rPr>
          <w:vertAlign w:val="subscript"/>
        </w:rPr>
        <w:t>29</w:t>
      </w:r>
      <w:r w:rsidRPr="00D540A2">
        <w:t xml:space="preserve"> 20S/(20S+20R) steranes. With increasing thermal maturation isomerization at C-14 and C-17 in the C</w:t>
      </w:r>
      <w:r w:rsidRPr="000F3FAD">
        <w:rPr>
          <w:vertAlign w:val="subscript"/>
        </w:rPr>
        <w:t>29</w:t>
      </w:r>
      <w:r w:rsidRPr="00D540A2">
        <w:t xml:space="preserve"> 20S and 20R regular steranes increases the ββ/(ββ+αα) ratio from near-zero values to about 0.7</w:t>
      </w:r>
      <w:r>
        <w:t xml:space="preserve"> (Miceli-Romero and Philp, 2012; Miceli-Romero et al. 2018)</w:t>
      </w:r>
      <w:r w:rsidRPr="00D540A2">
        <w:t xml:space="preserve">. </w:t>
      </w:r>
      <w:r>
        <w:t xml:space="preserve">For the SR, there are differences in maturity levels based on the </w:t>
      </w:r>
      <w:r w:rsidRPr="00D540A2">
        <w:t>C</w:t>
      </w:r>
      <w:r w:rsidRPr="0069509B">
        <w:rPr>
          <w:vertAlign w:val="subscript"/>
        </w:rPr>
        <w:t>29</w:t>
      </w:r>
      <w:r w:rsidRPr="00D540A2">
        <w:t xml:space="preserve"> 20S/(20S+20R)</w:t>
      </w:r>
      <w:r>
        <w:t xml:space="preserve"> vs. </w:t>
      </w:r>
      <w:r w:rsidRPr="00D540A2">
        <w:t>C</w:t>
      </w:r>
      <w:r w:rsidRPr="000F3FAD">
        <w:rPr>
          <w:vertAlign w:val="subscript"/>
        </w:rPr>
        <w:t>29</w:t>
      </w:r>
      <w:r w:rsidRPr="00D540A2">
        <w:t xml:space="preserve"> ββ/(ββ+αα) steranes ratio</w:t>
      </w:r>
      <w:r>
        <w:t xml:space="preserve"> (Figure 3.25). This maturity assessment suggests a higher </w:t>
      </w:r>
      <w:r w:rsidRPr="00D540A2">
        <w:t xml:space="preserve">maturity level in the Upper and </w:t>
      </w:r>
      <w:r>
        <w:t xml:space="preserve">some uppermost </w:t>
      </w:r>
      <w:r w:rsidRPr="00D540A2">
        <w:t xml:space="preserve">Middle Woodford member samples, </w:t>
      </w:r>
      <w:r>
        <w:t xml:space="preserve">which </w:t>
      </w:r>
      <w:r w:rsidRPr="00D540A2">
        <w:t>correspond to the samples with suspected migrated hydrocarbons</w:t>
      </w:r>
      <w:r>
        <w:t xml:space="preserve"> (Figure 3.25)</w:t>
      </w:r>
      <w:r w:rsidRPr="00D540A2">
        <w:t xml:space="preserve">. </w:t>
      </w:r>
      <w:r w:rsidRPr="00C51899">
        <w:t xml:space="preserve">Peters et al. </w:t>
      </w:r>
      <w:r>
        <w:t>(</w:t>
      </w:r>
      <w:r w:rsidRPr="00C51899">
        <w:t>2005)</w:t>
      </w:r>
      <w:r>
        <w:t xml:space="preserve"> suggested that the o</w:t>
      </w:r>
      <w:r w:rsidRPr="00C51899">
        <w:t>rganic facies changes, weathering, and biodegradation may affect this maturity parameter</w:t>
      </w:r>
      <w:r>
        <w:t>. For this reason, it is interpreted that the lower maturity in the basal part of the SR stratigraphy, the Lower member, can be due to a more mature Woodford oil is charging the upper part of the Middle member and the Upper Woodford member (Figure 3.25 and Figure 3.26). Figure 3.25 shows the steranes αααR vs. αααS isomer predominance (C</w:t>
      </w:r>
      <w:r w:rsidRPr="007152AC">
        <w:rPr>
          <w:vertAlign w:val="subscript"/>
        </w:rPr>
        <w:t>27</w:t>
      </w:r>
      <w:r>
        <w:t>, C</w:t>
      </w:r>
      <w:r w:rsidRPr="007152AC">
        <w:rPr>
          <w:vertAlign w:val="subscript"/>
        </w:rPr>
        <w:t>28</w:t>
      </w:r>
      <w:r>
        <w:t>, C</w:t>
      </w:r>
      <w:r w:rsidRPr="007152AC">
        <w:rPr>
          <w:vertAlign w:val="subscript"/>
        </w:rPr>
        <w:t>29</w:t>
      </w:r>
      <w:r>
        <w:t xml:space="preserve"> steranes). These isomer thermal maturity differences are not expected because the outcrop suffered the same burial and uplifting events, therefore, all the rock intervals should have been exposed to similar thermal regimes. Samples in both the Lower and Middle Woodford members present a general trend of higher C</w:t>
      </w:r>
      <w:r w:rsidRPr="002444F3">
        <w:rPr>
          <w:vertAlign w:val="subscript"/>
        </w:rPr>
        <w:t>27</w:t>
      </w:r>
      <w:r>
        <w:t xml:space="preserve"> and C</w:t>
      </w:r>
      <w:r w:rsidRPr="002444F3">
        <w:rPr>
          <w:vertAlign w:val="subscript"/>
        </w:rPr>
        <w:t xml:space="preserve">29 </w:t>
      </w:r>
      <w:r>
        <w:t>αααR isomer predominance over the αααS (Figure 3.26), indicating low thermal maturity as expected from the vitrinite reflectance values of 0.58 Ro% reported by Galvis et al. (2017a).</w:t>
      </w:r>
    </w:p>
    <w:p w14:paraId="06ACA5FB" w14:textId="77777777" w:rsidR="00081C89" w:rsidRDefault="00081C89" w:rsidP="00081C89">
      <w:pPr>
        <w:spacing w:after="0" w:line="276" w:lineRule="auto"/>
        <w:jc w:val="center"/>
        <w:rPr>
          <w:b/>
        </w:rPr>
      </w:pPr>
      <w:r w:rsidRPr="007E7A4D">
        <w:rPr>
          <w:noProof/>
        </w:rPr>
        <w:lastRenderedPageBreak/>
        <w:drawing>
          <wp:inline distT="0" distB="0" distL="0" distR="0" wp14:anchorId="2F78F715" wp14:editId="4EABA93C">
            <wp:extent cx="4114800" cy="7572692"/>
            <wp:effectExtent l="0" t="0" r="0" b="0"/>
            <wp:docPr id="8514" name="Picture 8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3043" r="13424" b="3935"/>
                    <a:stretch/>
                  </pic:blipFill>
                  <pic:spPr bwMode="auto">
                    <a:xfrm>
                      <a:off x="0" y="0"/>
                      <a:ext cx="4119883" cy="7582046"/>
                    </a:xfrm>
                    <a:prstGeom prst="rect">
                      <a:avLst/>
                    </a:prstGeom>
                    <a:noFill/>
                    <a:ln>
                      <a:noFill/>
                    </a:ln>
                    <a:extLst>
                      <a:ext uri="{53640926-AAD7-44D8-BBD7-CCE9431645EC}">
                        <a14:shadowObscured xmlns:a14="http://schemas.microsoft.com/office/drawing/2010/main"/>
                      </a:ext>
                    </a:extLst>
                  </pic:spPr>
                </pic:pic>
              </a:graphicData>
            </a:graphic>
          </wp:inline>
        </w:drawing>
      </w:r>
    </w:p>
    <w:p w14:paraId="286834D9" w14:textId="77777777" w:rsidR="00081C89" w:rsidRDefault="00081C89" w:rsidP="00081C89">
      <w:pPr>
        <w:spacing w:line="276" w:lineRule="auto"/>
      </w:pPr>
      <w:r>
        <w:rPr>
          <w:b/>
        </w:rPr>
        <w:t xml:space="preserve">Table 3.3. </w:t>
      </w:r>
      <w:r w:rsidRPr="005439F7">
        <w:t>Identification of steranes in the m/z 217</w:t>
      </w:r>
      <w:r>
        <w:t>.3</w:t>
      </w:r>
      <w:r w:rsidRPr="005439F7">
        <w:t xml:space="preserve"> fragmentogram.</w:t>
      </w:r>
      <w:r>
        <w:t xml:space="preserve"> Compound nomenclature from Peters et al. (2005), and Miceli-Romero et al. (2018).</w:t>
      </w:r>
      <w:r w:rsidRPr="00504E95">
        <w:t xml:space="preserve"> Names </w:t>
      </w:r>
      <w:r>
        <w:t xml:space="preserve">refer </w:t>
      </w:r>
      <w:r w:rsidRPr="00504E95">
        <w:t xml:space="preserve">to </w:t>
      </w:r>
      <w:r>
        <w:t>peaks identified</w:t>
      </w:r>
      <w:r w:rsidRPr="00504E95">
        <w:t xml:space="preserve"> in Figure 3.24 and Figure 3.2</w:t>
      </w:r>
      <w:r>
        <w:t>5</w:t>
      </w:r>
      <w:r w:rsidRPr="00504E95">
        <w:t>.</w:t>
      </w:r>
    </w:p>
    <w:p w14:paraId="40C0382E" w14:textId="01550283" w:rsidR="00081C89" w:rsidRDefault="0089520B" w:rsidP="00081C89">
      <w:pPr>
        <w:spacing w:after="0"/>
        <w:jc w:val="center"/>
      </w:pPr>
      <w:r>
        <w:rPr>
          <w:noProof/>
        </w:rPr>
        <w:lastRenderedPageBreak/>
        <mc:AlternateContent>
          <mc:Choice Requires="wps">
            <w:drawing>
              <wp:anchor distT="0" distB="0" distL="114300" distR="114300" simplePos="0" relativeHeight="251807232" behindDoc="0" locked="0" layoutInCell="1" allowOverlap="1" wp14:anchorId="729982FC" wp14:editId="498C485A">
                <wp:simplePos x="0" y="0"/>
                <wp:positionH relativeFrom="column">
                  <wp:posOffset>29845</wp:posOffset>
                </wp:positionH>
                <wp:positionV relativeFrom="paragraph">
                  <wp:posOffset>111760</wp:posOffset>
                </wp:positionV>
                <wp:extent cx="235585" cy="235585"/>
                <wp:effectExtent l="0" t="0" r="0" b="0"/>
                <wp:wrapNone/>
                <wp:docPr id="7178" name="Rectangle 7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235585"/>
                        </a:xfrm>
                        <a:prstGeom prst="rect">
                          <a:avLst/>
                        </a:prstGeom>
                        <a:solidFill>
                          <a:srgbClr val="43C182"/>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ACCF3" id="Rectangle 7178" o:spid="_x0000_s1026" style="position:absolute;margin-left:2.35pt;margin-top:8.8pt;width:18.55pt;height:18.5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" fillcolor="#43c182"/>
            </w:pict>
          </mc:Fallback>
        </mc:AlternateContent>
      </w:r>
      <w:r>
        <w:rPr>
          <w:noProof/>
        </w:rPr>
        <mc:AlternateContent>
          <mc:Choice Requires="wps">
            <w:drawing>
              <wp:anchor distT="0" distB="0" distL="114300" distR="114300" simplePos="0" relativeHeight="251817472" behindDoc="0" locked="0" layoutInCell="1" allowOverlap="1" wp14:anchorId="1ABFAAD1" wp14:editId="0BEAFEC0">
                <wp:simplePos x="0" y="0"/>
                <wp:positionH relativeFrom="column">
                  <wp:posOffset>29845</wp:posOffset>
                </wp:positionH>
                <wp:positionV relativeFrom="paragraph">
                  <wp:posOffset>139700</wp:posOffset>
                </wp:positionV>
                <wp:extent cx="215265" cy="241300"/>
                <wp:effectExtent l="0" t="0" r="0" b="0"/>
                <wp:wrapNone/>
                <wp:docPr id="7173" name="Text Box 7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279FB5" w14:textId="77777777" w:rsidR="00EA43A0" w:rsidRPr="009237B5" w:rsidRDefault="00EA43A0" w:rsidP="00081C89">
                            <w:pPr>
                              <w:rPr>
                                <w:sz w:val="16"/>
                              </w:rPr>
                            </w:pPr>
                            <w:r w:rsidRPr="009237B5">
                              <w:rPr>
                                <w:sz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FAAD1" id="Text Box 7173" o:spid="_x0000_s1040" type="#_x0000_t202" style="position:absolute;left:0;text-align:left;margin-left:2.35pt;margin-top:11pt;width:16.95pt;height:19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" filled="f" stroked="f">
                <v:textbox>
                  <w:txbxContent>
                    <w:p w14:paraId="00279FB5" w14:textId="77777777" w:rsidR="00EA43A0" w:rsidRPr="009237B5" w:rsidRDefault="00EA43A0" w:rsidP="00081C89">
                      <w:pPr>
                        <w:rPr>
                          <w:sz w:val="16"/>
                        </w:rPr>
                      </w:pPr>
                      <w:r w:rsidRPr="009237B5">
                        <w:rPr>
                          <w:sz w:val="16"/>
                        </w:rPr>
                        <w:t>1</w:t>
                      </w:r>
                    </w:p>
                  </w:txbxContent>
                </v:textbox>
              </v:shape>
            </w:pict>
          </mc:Fallback>
        </mc:AlternateContent>
      </w:r>
      <w:r>
        <w:rPr>
          <w:noProof/>
        </w:rPr>
        <mc:AlternateContent>
          <mc:Choice Requires="wps">
            <w:drawing>
              <wp:anchor distT="0" distB="0" distL="114300" distR="114300" simplePos="0" relativeHeight="251808256" behindDoc="0" locked="0" layoutInCell="1" allowOverlap="1" wp14:anchorId="06FA9A7A" wp14:editId="0F0164E9">
                <wp:simplePos x="0" y="0"/>
                <wp:positionH relativeFrom="column">
                  <wp:posOffset>37465</wp:posOffset>
                </wp:positionH>
                <wp:positionV relativeFrom="paragraph">
                  <wp:posOffset>521970</wp:posOffset>
                </wp:positionV>
                <wp:extent cx="235585" cy="235585"/>
                <wp:effectExtent l="0" t="0" r="0" b="0"/>
                <wp:wrapNone/>
                <wp:docPr id="7177" name="Rectangle 7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235585"/>
                        </a:xfrm>
                        <a:prstGeom prst="rect">
                          <a:avLst/>
                        </a:prstGeom>
                        <a:solidFill>
                          <a:srgbClr val="B2A1C7"/>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E6A36" id="Rectangle 7177" o:spid="_x0000_s1026" style="position:absolute;margin-left:2.95pt;margin-top:41.1pt;width:18.55pt;height:18.5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" fillcolor="#b2a1c7"/>
            </w:pict>
          </mc:Fallback>
        </mc:AlternateContent>
      </w:r>
      <w:r>
        <w:rPr>
          <w:noProof/>
        </w:rPr>
        <mc:AlternateContent>
          <mc:Choice Requires="wps">
            <w:drawing>
              <wp:anchor distT="0" distB="0" distL="114300" distR="114300" simplePos="0" relativeHeight="251816448" behindDoc="0" locked="0" layoutInCell="1" allowOverlap="1" wp14:anchorId="5C99BB5B" wp14:editId="4E8DB91E">
                <wp:simplePos x="0" y="0"/>
                <wp:positionH relativeFrom="column">
                  <wp:posOffset>38100</wp:posOffset>
                </wp:positionH>
                <wp:positionV relativeFrom="paragraph">
                  <wp:posOffset>523875</wp:posOffset>
                </wp:positionV>
                <wp:extent cx="146685" cy="203200"/>
                <wp:effectExtent l="0" t="0" r="0" b="6350"/>
                <wp:wrapNone/>
                <wp:docPr id="7172" name="Text Box 7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20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8D41F2" w14:textId="77777777" w:rsidR="00EA43A0" w:rsidRPr="009237B5" w:rsidRDefault="00EA43A0" w:rsidP="00081C89">
                            <w:pPr>
                              <w:rPr>
                                <w:sz w:val="16"/>
                              </w:rPr>
                            </w:pPr>
                            <w:r>
                              <w:rPr>
                                <w:sz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9BB5B" id="Text Box 7172" o:spid="_x0000_s1041" type="#_x0000_t202" style="position:absolute;left:0;text-align:left;margin-left:3pt;margin-top:41.25pt;width:11.55pt;height:16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" filled="f" stroked="f">
                <v:textbox>
                  <w:txbxContent>
                    <w:p w14:paraId="028D41F2" w14:textId="77777777" w:rsidR="00EA43A0" w:rsidRPr="009237B5" w:rsidRDefault="00EA43A0" w:rsidP="00081C89">
                      <w:pPr>
                        <w:rPr>
                          <w:sz w:val="16"/>
                        </w:rPr>
                      </w:pPr>
                      <w:r>
                        <w:rPr>
                          <w:sz w:val="16"/>
                        </w:rPr>
                        <w:t>2</w:t>
                      </w:r>
                    </w:p>
                  </w:txbxContent>
                </v:textbox>
              </v:shape>
            </w:pict>
          </mc:Fallback>
        </mc:AlternateContent>
      </w:r>
      <w:r>
        <w:rPr>
          <w:noProof/>
        </w:rPr>
        <mc:AlternateContent>
          <mc:Choice Requires="wps">
            <w:drawing>
              <wp:anchor distT="0" distB="0" distL="114300" distR="114300" simplePos="0" relativeHeight="251809280" behindDoc="0" locked="0" layoutInCell="1" allowOverlap="1" wp14:anchorId="20E47ED0" wp14:editId="2B851FD6">
                <wp:simplePos x="0" y="0"/>
                <wp:positionH relativeFrom="column">
                  <wp:posOffset>37465</wp:posOffset>
                </wp:positionH>
                <wp:positionV relativeFrom="paragraph">
                  <wp:posOffset>881380</wp:posOffset>
                </wp:positionV>
                <wp:extent cx="235585" cy="235585"/>
                <wp:effectExtent l="0" t="0" r="0" b="0"/>
                <wp:wrapNone/>
                <wp:docPr id="7176" name="Rectangle 7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235585"/>
                        </a:xfrm>
                        <a:prstGeom prst="rect">
                          <a:avLst/>
                        </a:prstGeom>
                        <a:solidFill>
                          <a:srgbClr val="00B0F0"/>
                        </a:solidFill>
                        <a:ln w="9525" algn="ctr">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21ECD" id="Rectangle 7176" o:spid="_x0000_s1026" style="position:absolute;margin-left:2.95pt;margin-top:69.4pt;width:18.55pt;height:18.5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" fillcolor="#00b0f0"/>
            </w:pict>
          </mc:Fallback>
        </mc:AlternateContent>
      </w:r>
      <w:r>
        <w:rPr>
          <w:noProof/>
        </w:rPr>
        <mc:AlternateContent>
          <mc:Choice Requires="wps">
            <w:drawing>
              <wp:anchor distT="0" distB="0" distL="114300" distR="114300" simplePos="0" relativeHeight="251818496" behindDoc="0" locked="0" layoutInCell="1" allowOverlap="1" wp14:anchorId="707C7717" wp14:editId="174F4F10">
                <wp:simplePos x="0" y="0"/>
                <wp:positionH relativeFrom="column">
                  <wp:posOffset>98425</wp:posOffset>
                </wp:positionH>
                <wp:positionV relativeFrom="paragraph">
                  <wp:posOffset>930910</wp:posOffset>
                </wp:positionV>
                <wp:extent cx="215265" cy="241300"/>
                <wp:effectExtent l="0" t="0" r="0" b="0"/>
                <wp:wrapNone/>
                <wp:docPr id="7171" name="Text Box 7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34C599" w14:textId="77777777" w:rsidR="00EA43A0" w:rsidRPr="009237B5" w:rsidRDefault="00EA43A0" w:rsidP="00081C89">
                            <w:pPr>
                              <w:rPr>
                                <w:sz w:val="16"/>
                              </w:rPr>
                            </w:pPr>
                            <w:r>
                              <w:rPr>
                                <w:sz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C7717" id="Text Box 7171" o:spid="_x0000_s1042" type="#_x0000_t202" style="position:absolute;left:0;text-align:left;margin-left:7.75pt;margin-top:73.3pt;width:16.95pt;height:19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" filled="f" stroked="f">
                <v:textbox>
                  <w:txbxContent>
                    <w:p w14:paraId="0B34C599" w14:textId="77777777" w:rsidR="00EA43A0" w:rsidRPr="009237B5" w:rsidRDefault="00EA43A0" w:rsidP="00081C89">
                      <w:pPr>
                        <w:rPr>
                          <w:sz w:val="16"/>
                        </w:rPr>
                      </w:pPr>
                      <w:r>
                        <w:rPr>
                          <w:sz w:val="16"/>
                        </w:rPr>
                        <w:t>3</w:t>
                      </w:r>
                    </w:p>
                  </w:txbxContent>
                </v:textbox>
              </v:shape>
            </w:pict>
          </mc:Fallback>
        </mc:AlternateContent>
      </w:r>
      <w:r>
        <w:rPr>
          <w:noProof/>
        </w:rPr>
        <mc:AlternateContent>
          <mc:Choice Requires="wps">
            <w:drawing>
              <wp:anchor distT="0" distB="0" distL="114300" distR="114300" simplePos="0" relativeHeight="251810304" behindDoc="0" locked="0" layoutInCell="1" allowOverlap="1" wp14:anchorId="24E486CF" wp14:editId="0D71F872">
                <wp:simplePos x="0" y="0"/>
                <wp:positionH relativeFrom="column">
                  <wp:posOffset>38100</wp:posOffset>
                </wp:positionH>
                <wp:positionV relativeFrom="paragraph">
                  <wp:posOffset>1275715</wp:posOffset>
                </wp:positionV>
                <wp:extent cx="235585" cy="235585"/>
                <wp:effectExtent l="0" t="0" r="0" b="0"/>
                <wp:wrapNone/>
                <wp:docPr id="7175" name="Rectangle 7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235585"/>
                        </a:xfrm>
                        <a:prstGeom prst="rect">
                          <a:avLst/>
                        </a:prstGeom>
                        <a:solidFill>
                          <a:srgbClr val="D8D8D8"/>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B5484" id="Rectangle 7175" o:spid="_x0000_s1026" style="position:absolute;margin-left:3pt;margin-top:100.45pt;width:18.55pt;height:18.5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" fillcolor="#d8d8d8"/>
            </w:pict>
          </mc:Fallback>
        </mc:AlternateContent>
      </w:r>
      <w:r>
        <w:rPr>
          <w:noProof/>
        </w:rPr>
        <mc:AlternateContent>
          <mc:Choice Requires="wps">
            <w:drawing>
              <wp:anchor distT="0" distB="0" distL="114300" distR="114300" simplePos="0" relativeHeight="251819520" behindDoc="0" locked="0" layoutInCell="1" allowOverlap="1" wp14:anchorId="5AA455D1" wp14:editId="23C7D356">
                <wp:simplePos x="0" y="0"/>
                <wp:positionH relativeFrom="column">
                  <wp:posOffset>95250</wp:posOffset>
                </wp:positionH>
                <wp:positionV relativeFrom="paragraph">
                  <wp:posOffset>1295400</wp:posOffset>
                </wp:positionV>
                <wp:extent cx="215265" cy="241300"/>
                <wp:effectExtent l="0" t="0" r="0" b="0"/>
                <wp:wrapNone/>
                <wp:docPr id="7170" name="Text Box 7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F2585E" w14:textId="77777777" w:rsidR="00EA43A0" w:rsidRPr="009237B5" w:rsidRDefault="00EA43A0" w:rsidP="00081C89">
                            <w:pPr>
                              <w:rPr>
                                <w:sz w:val="16"/>
                              </w:rPr>
                            </w:pPr>
                            <w:r>
                              <w:rPr>
                                <w:sz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455D1" id="Text Box 7170" o:spid="_x0000_s1043" type="#_x0000_t202" style="position:absolute;left:0;text-align:left;margin-left:7.5pt;margin-top:102pt;width:16.95pt;height:19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" filled="f" stroked="f">
                <v:textbox>
                  <w:txbxContent>
                    <w:p w14:paraId="2BF2585E" w14:textId="77777777" w:rsidR="00EA43A0" w:rsidRPr="009237B5" w:rsidRDefault="00EA43A0" w:rsidP="00081C89">
                      <w:pPr>
                        <w:rPr>
                          <w:sz w:val="16"/>
                        </w:rPr>
                      </w:pPr>
                      <w:r>
                        <w:rPr>
                          <w:sz w:val="16"/>
                        </w:rPr>
                        <w:t>4</w:t>
                      </w:r>
                    </w:p>
                  </w:txbxContent>
                </v:textbox>
              </v:shape>
            </w:pict>
          </mc:Fallback>
        </mc:AlternateContent>
      </w:r>
      <w:r w:rsidR="00081C89">
        <w:rPr>
          <w:noProof/>
        </w:rPr>
        <mc:AlternateContent>
          <mc:Choice Requires="wps">
            <w:drawing>
              <wp:anchor distT="0" distB="0" distL="114300" distR="114300" simplePos="0" relativeHeight="251815424" behindDoc="0" locked="0" layoutInCell="1" allowOverlap="1" wp14:anchorId="2A883D03" wp14:editId="47996A3D">
                <wp:simplePos x="0" y="0"/>
                <wp:positionH relativeFrom="column">
                  <wp:posOffset>204470</wp:posOffset>
                </wp:positionH>
                <wp:positionV relativeFrom="paragraph">
                  <wp:posOffset>1275715</wp:posOffset>
                </wp:positionV>
                <wp:extent cx="1905000" cy="292735"/>
                <wp:effectExtent l="0"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92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C52E47" w14:textId="77777777" w:rsidR="00EA43A0" w:rsidRDefault="00EA43A0" w:rsidP="00081C89">
                            <w:r>
                              <w:t>Marine Shale &gt;350 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83D03" id="Text Box 121" o:spid="_x0000_s1044" type="#_x0000_t202" style="position:absolute;left:0;text-align:left;margin-left:16.1pt;margin-top:100.45pt;width:150pt;height:23.0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" filled="f" stroked="f">
                <v:textbox>
                  <w:txbxContent>
                    <w:p w14:paraId="60C52E47" w14:textId="77777777" w:rsidR="00EA43A0" w:rsidRDefault="00EA43A0" w:rsidP="00081C89">
                      <w:r>
                        <w:t>Marine Shale &gt;350 M.Y.</w:t>
                      </w:r>
                    </w:p>
                  </w:txbxContent>
                </v:textbox>
              </v:shape>
            </w:pict>
          </mc:Fallback>
        </mc:AlternateContent>
      </w:r>
      <w:r w:rsidR="00081C89">
        <w:rPr>
          <w:noProof/>
        </w:rPr>
        <mc:AlternateContent>
          <mc:Choice Requires="wps">
            <w:drawing>
              <wp:anchor distT="0" distB="0" distL="114300" distR="114300" simplePos="0" relativeHeight="251814400" behindDoc="0" locked="0" layoutInCell="1" allowOverlap="1" wp14:anchorId="638D914E" wp14:editId="490C53CC">
                <wp:simplePos x="0" y="0"/>
                <wp:positionH relativeFrom="column">
                  <wp:posOffset>204470</wp:posOffset>
                </wp:positionH>
                <wp:positionV relativeFrom="paragraph">
                  <wp:posOffset>873760</wp:posOffset>
                </wp:positionV>
                <wp:extent cx="1378585" cy="330835"/>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330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8D494A" w14:textId="77777777" w:rsidR="00EA43A0" w:rsidRDefault="00EA43A0" w:rsidP="00081C89">
                            <w:r>
                              <w:t>Marine Carbonate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D914E" id="Text Box 123" o:spid="_x0000_s1045" type="#_x0000_t202" style="position:absolute;left:0;text-align:left;margin-left:16.1pt;margin-top:68.8pt;width:108.55pt;height:26.0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" filled="f" stroked="f">
                <v:textbox>
                  <w:txbxContent>
                    <w:p w14:paraId="078D494A" w14:textId="77777777" w:rsidR="00EA43A0" w:rsidRDefault="00EA43A0" w:rsidP="00081C89">
                      <w:r>
                        <w:t>Marine Carbonate</w:t>
                      </w:r>
                    </w:p>
                  </w:txbxContent>
                </v:textbox>
              </v:shape>
            </w:pict>
          </mc:Fallback>
        </mc:AlternateContent>
      </w:r>
      <w:r w:rsidR="00081C89">
        <w:rPr>
          <w:noProof/>
        </w:rPr>
        <mc:AlternateContent>
          <mc:Choice Requires="wps">
            <w:drawing>
              <wp:anchor distT="0" distB="0" distL="114300" distR="114300" simplePos="0" relativeHeight="251813376" behindDoc="0" locked="0" layoutInCell="1" allowOverlap="1" wp14:anchorId="78F7999D" wp14:editId="4DCD1A70">
                <wp:simplePos x="0" y="0"/>
                <wp:positionH relativeFrom="column">
                  <wp:posOffset>204470</wp:posOffset>
                </wp:positionH>
                <wp:positionV relativeFrom="paragraph">
                  <wp:posOffset>499745</wp:posOffset>
                </wp:positionV>
                <wp:extent cx="1378585" cy="302260"/>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30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15A26" w14:textId="77777777" w:rsidR="00EA43A0" w:rsidRDefault="00EA43A0" w:rsidP="00081C89">
                            <w:r>
                              <w:t>Non-marine Shale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7999D" id="Text Box 125" o:spid="_x0000_s1046" type="#_x0000_t202" style="position:absolute;left:0;text-align:left;margin-left:16.1pt;margin-top:39.35pt;width:108.55pt;height:23.8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" filled="f" stroked="f">
                <v:textbox>
                  <w:txbxContent>
                    <w:p w14:paraId="52415A26" w14:textId="77777777" w:rsidR="00EA43A0" w:rsidRDefault="00EA43A0" w:rsidP="00081C89">
                      <w:r>
                        <w:t>Non-marine Shale</w:t>
                      </w:r>
                    </w:p>
                  </w:txbxContent>
                </v:textbox>
              </v:shape>
            </w:pict>
          </mc:Fallback>
        </mc:AlternateContent>
      </w:r>
      <w:r w:rsidR="00081C89">
        <w:rPr>
          <w:noProof/>
        </w:rPr>
        <mc:AlternateContent>
          <mc:Choice Requires="wps">
            <w:drawing>
              <wp:anchor distT="0" distB="0" distL="114300" distR="114300" simplePos="0" relativeHeight="251812352" behindDoc="0" locked="0" layoutInCell="1" allowOverlap="1" wp14:anchorId="507C2503" wp14:editId="0575DA96">
                <wp:simplePos x="0" y="0"/>
                <wp:positionH relativeFrom="column">
                  <wp:posOffset>204470</wp:posOffset>
                </wp:positionH>
                <wp:positionV relativeFrom="paragraph">
                  <wp:posOffset>83820</wp:posOffset>
                </wp:positionV>
                <wp:extent cx="1378585" cy="297180"/>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2C3B79" w14:textId="77777777" w:rsidR="00EA43A0" w:rsidRDefault="00EA43A0" w:rsidP="00081C89">
                            <w:r>
                              <w:t>Marine Shale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C2503" id="Text Box 126" o:spid="_x0000_s1047" type="#_x0000_t202" style="position:absolute;left:0;text-align:left;margin-left:16.1pt;margin-top:6.6pt;width:108.55pt;height:2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" filled="f" stroked="f">
                <v:textbox>
                  <w:txbxContent>
                    <w:p w14:paraId="302C3B79" w14:textId="77777777" w:rsidR="00EA43A0" w:rsidRDefault="00EA43A0" w:rsidP="00081C89">
                      <w:r>
                        <w:t>Marine Shale</w:t>
                      </w:r>
                    </w:p>
                  </w:txbxContent>
                </v:textbox>
              </v:shape>
            </w:pict>
          </mc:Fallback>
        </mc:AlternateContent>
      </w:r>
      <w:r w:rsidR="00081C89">
        <w:rPr>
          <w:noProof/>
        </w:rPr>
        <mc:AlternateContent>
          <mc:Choice Requires="wps">
            <w:drawing>
              <wp:anchor distT="0" distB="0" distL="114300" distR="114300" simplePos="0" relativeHeight="251811328" behindDoc="0" locked="0" layoutInCell="1" allowOverlap="1" wp14:anchorId="5A9FC309" wp14:editId="5E099855">
                <wp:simplePos x="0" y="0"/>
                <wp:positionH relativeFrom="column">
                  <wp:posOffset>287655</wp:posOffset>
                </wp:positionH>
                <wp:positionV relativeFrom="paragraph">
                  <wp:posOffset>111760</wp:posOffset>
                </wp:positionV>
                <wp:extent cx="1045845" cy="283210"/>
                <wp:effectExtent l="0" t="0" r="0" b="0"/>
                <wp:wrapNone/>
                <wp:docPr id="7174" name="Text Box 7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283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269E7A" w14:textId="77777777" w:rsidR="00EA43A0" w:rsidRDefault="00EA43A0" w:rsidP="00081C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FC309" id="Text Box 7174" o:spid="_x0000_s1048" type="#_x0000_t202" style="position:absolute;left:0;text-align:left;margin-left:22.65pt;margin-top:8.8pt;width:82.35pt;height:22.3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" filled="f" stroked="f">
                <v:textbox>
                  <w:txbxContent>
                    <w:p w14:paraId="0B269E7A" w14:textId="77777777" w:rsidR="00EA43A0" w:rsidRDefault="00EA43A0" w:rsidP="00081C89"/>
                  </w:txbxContent>
                </v:textbox>
              </v:shape>
            </w:pict>
          </mc:Fallback>
        </mc:AlternateContent>
      </w:r>
      <w:r w:rsidR="00081C89">
        <w:rPr>
          <w:noProof/>
        </w:rPr>
        <mc:AlternateContent>
          <mc:Choice Requires="wps">
            <w:drawing>
              <wp:anchor distT="0" distB="0" distL="114300" distR="114300" simplePos="0" relativeHeight="251806208" behindDoc="0" locked="0" layoutInCell="1" allowOverlap="1" wp14:anchorId="53E236ED" wp14:editId="28620468">
                <wp:simplePos x="0" y="0"/>
                <wp:positionH relativeFrom="column">
                  <wp:posOffset>-709930</wp:posOffset>
                </wp:positionH>
                <wp:positionV relativeFrom="paragraph">
                  <wp:posOffset>394970</wp:posOffset>
                </wp:positionV>
                <wp:extent cx="221615" cy="235585"/>
                <wp:effectExtent l="0" t="0" r="0" b="0"/>
                <wp:wrapNone/>
                <wp:docPr id="7179" name="Rectangle 7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F9039" id="Rectangle 7179" o:spid="_x0000_s1026" style="position:absolute;margin-left:-55.9pt;margin-top:31.1pt;width:17.45pt;height:18.5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" filled="f" stroked="f"/>
            </w:pict>
          </mc:Fallback>
        </mc:AlternateContent>
      </w:r>
      <w:r w:rsidR="00081C89">
        <w:rPr>
          <w:noProof/>
        </w:rPr>
        <mc:AlternateContent>
          <mc:Choice Requires="wps">
            <w:drawing>
              <wp:anchor distT="0" distB="0" distL="114300" distR="114300" simplePos="0" relativeHeight="251805184" behindDoc="0" locked="0" layoutInCell="1" allowOverlap="1" wp14:anchorId="534FC93F" wp14:editId="36E849F5">
                <wp:simplePos x="0" y="0"/>
                <wp:positionH relativeFrom="column">
                  <wp:posOffset>-709930</wp:posOffset>
                </wp:positionH>
                <wp:positionV relativeFrom="paragraph">
                  <wp:posOffset>-221615</wp:posOffset>
                </wp:positionV>
                <wp:extent cx="179705" cy="173355"/>
                <wp:effectExtent l="0" t="0" r="0" b="0"/>
                <wp:wrapNone/>
                <wp:docPr id="7180" name="Rectangle 7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F70A3" id="Rectangle 7180" o:spid="_x0000_s1026" style="position:absolute;margin-left:-55.9pt;margin-top:-17.45pt;width:14.15pt;height:13.6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" filled="f" stroked="f"/>
            </w:pict>
          </mc:Fallback>
        </mc:AlternateContent>
      </w:r>
      <w:r w:rsidR="00081C89">
        <w:rPr>
          <w:noProof/>
        </w:rPr>
        <w:drawing>
          <wp:inline distT="0" distB="0" distL="0" distR="0" wp14:anchorId="086A0E34" wp14:editId="5608CF8F">
            <wp:extent cx="5578475" cy="4876688"/>
            <wp:effectExtent l="0" t="0" r="3175" b="63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88649" cy="4885582"/>
                    </a:xfrm>
                    <a:prstGeom prst="rect">
                      <a:avLst/>
                    </a:prstGeom>
                    <a:noFill/>
                  </pic:spPr>
                </pic:pic>
              </a:graphicData>
            </a:graphic>
          </wp:inline>
        </w:drawing>
      </w:r>
    </w:p>
    <w:p w14:paraId="29382443" w14:textId="77777777" w:rsidR="00081C89" w:rsidRDefault="00081C89" w:rsidP="00081C89">
      <w:pPr>
        <w:pStyle w:val="Caption"/>
      </w:pPr>
      <w:bookmarkStart w:id="208" w:name="_Toc35861210"/>
      <w:r w:rsidRPr="002B6DBA">
        <w:rPr>
          <w:b/>
        </w:rPr>
        <w:t>Figure 3.</w:t>
      </w:r>
      <w:r>
        <w:rPr>
          <w:b/>
        </w:rPr>
        <w:t>23</w:t>
      </w:r>
      <w:r w:rsidRPr="002B6DBA">
        <w:rPr>
          <w:b/>
        </w:rPr>
        <w:t>.</w:t>
      </w:r>
      <w:r>
        <w:t xml:space="preserve"> </w:t>
      </w:r>
      <w:r w:rsidRPr="002B6DBA">
        <w:t>Ternary plot showing the relative proportions of the C</w:t>
      </w:r>
      <w:r w:rsidRPr="002B6DBA">
        <w:rPr>
          <w:vertAlign w:val="subscript"/>
        </w:rPr>
        <w:t>27</w:t>
      </w:r>
      <w:r w:rsidRPr="002B6DBA">
        <w:t>:C</w:t>
      </w:r>
      <w:r w:rsidRPr="002B6DBA">
        <w:rPr>
          <w:vertAlign w:val="subscript"/>
        </w:rPr>
        <w:t>28</w:t>
      </w:r>
      <w:r w:rsidRPr="002B6DBA">
        <w:t>:</w:t>
      </w:r>
      <w:r>
        <w:t xml:space="preserve"> </w:t>
      </w:r>
      <w:r w:rsidRPr="002B6DBA">
        <w:t>C</w:t>
      </w:r>
      <w:r w:rsidRPr="002B6DBA">
        <w:rPr>
          <w:vertAlign w:val="subscript"/>
        </w:rPr>
        <w:t>29</w:t>
      </w:r>
      <w:r w:rsidRPr="002B6DBA">
        <w:t xml:space="preserve"> steranes compared to distributions originally proposed by Moldowan (1985) for source rocks of varying ages.</w:t>
      </w:r>
      <w:bookmarkEnd w:id="208"/>
    </w:p>
    <w:p w14:paraId="69D3F93A" w14:textId="77777777" w:rsidR="00081C89" w:rsidRDefault="00081C89" w:rsidP="00081C89">
      <w:pPr>
        <w:spacing w:after="0" w:line="276" w:lineRule="auto"/>
        <w:jc w:val="center"/>
        <w:rPr>
          <w:lang w:bidi="en-US"/>
        </w:rPr>
        <w:sectPr w:rsidR="00081C89" w:rsidSect="0095456D">
          <w:pgSz w:w="12240" w:h="15840"/>
          <w:pgMar w:top="1440" w:right="1440" w:bottom="1440" w:left="1440" w:header="720" w:footer="720" w:gutter="0"/>
          <w:cols w:space="720"/>
          <w:docGrid w:linePitch="360"/>
        </w:sectPr>
      </w:pPr>
    </w:p>
    <w:p w14:paraId="040D0C94" w14:textId="77777777" w:rsidR="00081C89" w:rsidRPr="00D25974" w:rsidRDefault="00081C89" w:rsidP="00081C89">
      <w:pPr>
        <w:spacing w:after="0" w:line="276" w:lineRule="auto"/>
        <w:jc w:val="center"/>
        <w:rPr>
          <w:b/>
          <w:color w:val="000000"/>
        </w:rPr>
      </w:pPr>
      <w:r>
        <w:rPr>
          <w:b/>
          <w:noProof/>
          <w:color w:val="000000"/>
        </w:rPr>
        <w:lastRenderedPageBreak/>
        <w:drawing>
          <wp:inline distT="0" distB="0" distL="0" distR="0" wp14:anchorId="5759FA9E" wp14:editId="31F07423">
            <wp:extent cx="6160657" cy="3807725"/>
            <wp:effectExtent l="0" t="0" r="0" b="0"/>
            <wp:docPr id="8515" name="Picture 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96031" cy="3829589"/>
                    </a:xfrm>
                    <a:prstGeom prst="rect">
                      <a:avLst/>
                    </a:prstGeom>
                    <a:noFill/>
                  </pic:spPr>
                </pic:pic>
              </a:graphicData>
            </a:graphic>
          </wp:inline>
        </w:drawing>
      </w:r>
    </w:p>
    <w:p w14:paraId="03A82977" w14:textId="77777777" w:rsidR="00081C89" w:rsidRDefault="00081C89" w:rsidP="00081C89">
      <w:pPr>
        <w:pStyle w:val="Caption"/>
      </w:pPr>
      <w:bookmarkStart w:id="209" w:name="_Toc35861211"/>
      <w:r w:rsidRPr="005E49FF">
        <w:rPr>
          <w:b/>
        </w:rPr>
        <w:t>Figure 3.2</w:t>
      </w:r>
      <w:r>
        <w:rPr>
          <w:b/>
        </w:rPr>
        <w:t>4</w:t>
      </w:r>
      <w:r>
        <w:t xml:space="preserve">. </w:t>
      </w:r>
      <w:r w:rsidRPr="00E47FA9">
        <w:t>GC</w:t>
      </w:r>
      <w:r>
        <w:t>-</w:t>
      </w:r>
      <w:r w:rsidRPr="00E47FA9">
        <w:t xml:space="preserve">MS </w:t>
      </w:r>
      <w:r>
        <w:t>m</w:t>
      </w:r>
      <w:r w:rsidRPr="00E47FA9">
        <w:t>/z 217</w:t>
      </w:r>
      <w:r>
        <w:t>.3</w:t>
      </w:r>
      <w:r w:rsidRPr="00E47FA9">
        <w:t xml:space="preserve"> fragmentogram identifying C</w:t>
      </w:r>
      <w:r w:rsidRPr="005E49FF">
        <w:rPr>
          <w:vertAlign w:val="subscript"/>
        </w:rPr>
        <w:t>27</w:t>
      </w:r>
      <w:r w:rsidRPr="00E47FA9">
        <w:t>-C</w:t>
      </w:r>
      <w:r w:rsidRPr="005E49FF">
        <w:rPr>
          <w:vertAlign w:val="subscript"/>
        </w:rPr>
        <w:t>30</w:t>
      </w:r>
      <w:r w:rsidRPr="00E47FA9">
        <w:t xml:space="preserve"> steranes and diasteranes</w:t>
      </w:r>
      <w:r>
        <w:t xml:space="preserve"> in a Middle-Upper Woodford boundary sample</w:t>
      </w:r>
      <w:r w:rsidRPr="00E47FA9">
        <w:t xml:space="preserve">. Peak identities in Table </w:t>
      </w:r>
      <w:r>
        <w:t>3.3</w:t>
      </w:r>
      <w:r w:rsidRPr="00E47FA9">
        <w:t>.</w:t>
      </w:r>
      <w:bookmarkEnd w:id="209"/>
    </w:p>
    <w:p w14:paraId="654B6756" w14:textId="77777777" w:rsidR="00081C89" w:rsidRDefault="00081C89" w:rsidP="00081C89">
      <w:pPr>
        <w:rPr>
          <w:lang w:bidi="en-US"/>
        </w:rPr>
        <w:sectPr w:rsidR="00081C89" w:rsidSect="0095456D">
          <w:pgSz w:w="15840" w:h="12240" w:orient="landscape"/>
          <w:pgMar w:top="1440" w:right="1440" w:bottom="1440" w:left="1440" w:header="720" w:footer="720" w:gutter="0"/>
          <w:cols w:space="720"/>
          <w:docGrid w:linePitch="360"/>
        </w:sectPr>
      </w:pPr>
    </w:p>
    <w:p w14:paraId="18C8356C" w14:textId="77777777" w:rsidR="00081C89" w:rsidRDefault="00081C89" w:rsidP="00081C89">
      <w:pPr>
        <w:spacing w:after="0" w:line="276" w:lineRule="auto"/>
        <w:jc w:val="center"/>
        <w:rPr>
          <w:bCs/>
          <w:noProof/>
          <w:color w:val="000000"/>
        </w:rPr>
      </w:pPr>
    </w:p>
    <w:p w14:paraId="53B62848" w14:textId="77777777" w:rsidR="00081C89" w:rsidRDefault="00081C89" w:rsidP="00081C89">
      <w:pPr>
        <w:spacing w:after="0" w:line="276" w:lineRule="auto"/>
        <w:jc w:val="center"/>
        <w:rPr>
          <w:bCs/>
          <w:noProof/>
          <w:color w:val="000000"/>
        </w:rPr>
      </w:pPr>
      <w:r>
        <w:rPr>
          <w:bCs/>
          <w:noProof/>
          <w:color w:val="000000"/>
        </w:rPr>
        <w:t>a</w:t>
      </w:r>
    </w:p>
    <w:p w14:paraId="0E3426E7" w14:textId="77777777" w:rsidR="00081C89" w:rsidRDefault="00081C89" w:rsidP="00081C89">
      <w:pPr>
        <w:spacing w:after="0" w:line="276" w:lineRule="auto"/>
        <w:jc w:val="center"/>
        <w:rPr>
          <w:bCs/>
          <w:color w:val="000000"/>
        </w:rPr>
      </w:pPr>
      <w:r>
        <w:rPr>
          <w:bCs/>
          <w:noProof/>
          <w:color w:val="000000"/>
        </w:rPr>
        <w:drawing>
          <wp:inline distT="0" distB="0" distL="0" distR="0" wp14:anchorId="70A43C67" wp14:editId="67AE2584">
            <wp:extent cx="8052179" cy="4785246"/>
            <wp:effectExtent l="0" t="0" r="6350" b="0"/>
            <wp:docPr id="8534" name="Picture 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069395" cy="4795477"/>
                    </a:xfrm>
                    <a:prstGeom prst="rect">
                      <a:avLst/>
                    </a:prstGeom>
                    <a:noFill/>
                  </pic:spPr>
                </pic:pic>
              </a:graphicData>
            </a:graphic>
          </wp:inline>
        </w:drawing>
      </w:r>
    </w:p>
    <w:p w14:paraId="01C5301B" w14:textId="77777777" w:rsidR="00081C89" w:rsidRDefault="00081C89" w:rsidP="00081C89">
      <w:pPr>
        <w:pStyle w:val="Caption"/>
      </w:pPr>
      <w:bookmarkStart w:id="210" w:name="_Toc35861212"/>
      <w:r w:rsidRPr="00106FA2">
        <w:rPr>
          <w:b/>
        </w:rPr>
        <w:t>Figure 3.</w:t>
      </w:r>
      <w:r>
        <w:rPr>
          <w:b/>
        </w:rPr>
        <w:t>25</w:t>
      </w:r>
      <w:r w:rsidRPr="00106FA2">
        <w:rPr>
          <w:b/>
        </w:rPr>
        <w:t>.</w:t>
      </w:r>
      <w:r w:rsidRPr="00106FA2">
        <w:t xml:space="preserve">  </w:t>
      </w:r>
      <w:r>
        <w:t>M</w:t>
      </w:r>
      <w:r w:rsidRPr="00106FA2">
        <w:t>/</w:t>
      </w:r>
      <w:r>
        <w:t>z</w:t>
      </w:r>
      <w:r w:rsidRPr="00106FA2">
        <w:t xml:space="preserve"> 217.3 showing the </w:t>
      </w:r>
      <w:r>
        <w:t>s</w:t>
      </w:r>
      <w:r w:rsidRPr="00106FA2">
        <w:t>terane</w:t>
      </w:r>
      <w:r>
        <w:t>s</w:t>
      </w:r>
      <w:r w:rsidRPr="00106FA2">
        <w:t xml:space="preserve"> variations in the vertical stratigraphic section of the Woodford Shale</w:t>
      </w:r>
      <w:r>
        <w:t>. Peak identification in Table 3.3.</w:t>
      </w:r>
      <w:bookmarkEnd w:id="210"/>
      <w:r>
        <w:t xml:space="preserve"> </w:t>
      </w:r>
    </w:p>
    <w:p w14:paraId="04D33A87" w14:textId="77777777" w:rsidR="00081C89" w:rsidRDefault="00081C89" w:rsidP="00081C89"/>
    <w:p w14:paraId="367901CC" w14:textId="77777777" w:rsidR="00081C89" w:rsidRDefault="00081C89" w:rsidP="00081C89">
      <w:pPr>
        <w:spacing w:line="276" w:lineRule="auto"/>
        <w:jc w:val="center"/>
      </w:pPr>
      <w:r>
        <w:rPr>
          <w:noProof/>
        </w:rPr>
        <w:lastRenderedPageBreak/>
        <w:drawing>
          <wp:inline distT="0" distB="0" distL="0" distR="0" wp14:anchorId="1EE21A96" wp14:editId="6322B9F7">
            <wp:extent cx="6294452" cy="3571875"/>
            <wp:effectExtent l="0" t="0" r="0" b="0"/>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03545" cy="3577035"/>
                    </a:xfrm>
                    <a:prstGeom prst="rect">
                      <a:avLst/>
                    </a:prstGeom>
                    <a:noFill/>
                  </pic:spPr>
                </pic:pic>
              </a:graphicData>
            </a:graphic>
          </wp:inline>
        </w:drawing>
      </w:r>
    </w:p>
    <w:p w14:paraId="5B46B4C8" w14:textId="49D2542A" w:rsidR="00081C89" w:rsidRPr="0069509B" w:rsidRDefault="00081C89" w:rsidP="00081C89">
      <w:pPr>
        <w:pStyle w:val="Caption"/>
        <w:spacing w:line="276" w:lineRule="auto"/>
        <w:rPr>
          <w:b/>
        </w:rPr>
      </w:pPr>
      <w:bookmarkStart w:id="211" w:name="_Toc35861213"/>
      <w:r w:rsidRPr="0069509B">
        <w:rPr>
          <w:b/>
          <w:bCs w:val="0"/>
        </w:rPr>
        <w:t>Figure 3.</w:t>
      </w:r>
      <w:r>
        <w:rPr>
          <w:b/>
          <w:bCs w:val="0"/>
        </w:rPr>
        <w:t>26</w:t>
      </w:r>
      <w:r w:rsidRPr="0069509B">
        <w:rPr>
          <w:b/>
          <w:bCs w:val="0"/>
        </w:rPr>
        <w:t xml:space="preserve">. </w:t>
      </w:r>
      <w:r w:rsidRPr="00A6646F">
        <w:t>Plot of C</w:t>
      </w:r>
      <w:r w:rsidRPr="00A6646F">
        <w:rPr>
          <w:vertAlign w:val="subscript"/>
        </w:rPr>
        <w:t>29</w:t>
      </w:r>
      <w:r w:rsidRPr="00A6646F">
        <w:t xml:space="preserve"> ββ/(ββ+αα) steranes versus C</w:t>
      </w:r>
      <w:r w:rsidRPr="00A6646F">
        <w:rPr>
          <w:vertAlign w:val="subscript"/>
        </w:rPr>
        <w:t>29</w:t>
      </w:r>
      <w:r w:rsidRPr="00A6646F">
        <w:t xml:space="preserve"> 20S/(20S+20R) steranes showing variations in thermal maturity for </w:t>
      </w:r>
      <w:r>
        <w:t>Woodford</w:t>
      </w:r>
      <w:r w:rsidRPr="00A6646F">
        <w:t xml:space="preserve"> Shale </w:t>
      </w:r>
      <w:r>
        <w:t>SR members</w:t>
      </w:r>
      <w:r w:rsidRPr="00A6646F">
        <w:t>. Plot modified from Peters, 1999)</w:t>
      </w:r>
      <w:r>
        <w:t>. Lower maturity in the Lower member caused for probable re-working the organic matter. Higher maturity levels in the Upper and Middle Woodford member samples correspond to the samples with suspected migrated hydrocarbons.</w:t>
      </w:r>
      <w:bookmarkEnd w:id="211"/>
      <w:r>
        <w:t xml:space="preserve"> </w:t>
      </w:r>
    </w:p>
    <w:p w14:paraId="42924ABA" w14:textId="77777777" w:rsidR="00081C89" w:rsidRPr="000F3FAD" w:rsidRDefault="00081C89" w:rsidP="00081C89">
      <w:pPr>
        <w:sectPr w:rsidR="00081C89" w:rsidRPr="000F3FAD" w:rsidSect="0095456D">
          <w:pgSz w:w="15840" w:h="12240" w:orient="landscape"/>
          <w:pgMar w:top="1440" w:right="1440" w:bottom="1440" w:left="1440" w:header="720" w:footer="720" w:gutter="0"/>
          <w:cols w:space="720"/>
          <w:docGrid w:linePitch="360"/>
        </w:sectPr>
      </w:pPr>
    </w:p>
    <w:p w14:paraId="014994E5" w14:textId="77777777" w:rsidR="00081C89" w:rsidRDefault="00081C89" w:rsidP="00081C89">
      <w:pPr>
        <w:pStyle w:val="Heading3"/>
        <w:numPr>
          <w:ilvl w:val="2"/>
          <w:numId w:val="10"/>
        </w:numPr>
      </w:pPr>
      <w:bookmarkStart w:id="212" w:name="_Toc35861114"/>
      <w:r>
        <w:lastRenderedPageBreak/>
        <w:t>Monoaromatic steroids (MAS)</w:t>
      </w:r>
      <w:bookmarkEnd w:id="212"/>
    </w:p>
    <w:p w14:paraId="7EE1C810" w14:textId="24F3B4CA" w:rsidR="00081C89" w:rsidRDefault="00081C89" w:rsidP="00081C89">
      <w:pPr>
        <w:spacing w:before="240"/>
        <w:ind w:firstLine="720"/>
      </w:pPr>
      <w:r>
        <w:t>The C</w:t>
      </w:r>
      <w:r w:rsidRPr="00504E95">
        <w:rPr>
          <w:vertAlign w:val="subscript"/>
        </w:rPr>
        <w:t>27</w:t>
      </w:r>
      <w:r>
        <w:t>, C</w:t>
      </w:r>
      <w:r w:rsidRPr="00504E95">
        <w:rPr>
          <w:vertAlign w:val="subscript"/>
        </w:rPr>
        <w:t>28</w:t>
      </w:r>
      <w:r>
        <w:t>, and C</w:t>
      </w:r>
      <w:r w:rsidRPr="00504E95">
        <w:rPr>
          <w:vertAlign w:val="subscript"/>
        </w:rPr>
        <w:t>29</w:t>
      </w:r>
      <w:r>
        <w:t xml:space="preserve"> monoaromatic steroids (MAS) can also be used to provide </w:t>
      </w:r>
      <w:r w:rsidR="00916CCA">
        <w:t>a</w:t>
      </w:r>
      <w:r>
        <w:t xml:space="preserve"> characterization of the variations in the sources of these compounds (Moldowan et al., 1985; Riolo et al. 1985; Miceli-Romero and Philp, 2012; Miceli-Romero et al. 2018; Liborius-Parada, 2019). Moldowan et al. (1985) also reported that oils and bitumens derived from marine organic matter contain higher amounts of C</w:t>
      </w:r>
      <w:r w:rsidRPr="00504E95">
        <w:rPr>
          <w:vertAlign w:val="subscript"/>
        </w:rPr>
        <w:t xml:space="preserve">28 </w:t>
      </w:r>
      <w:r>
        <w:t>MAS than those of nonmarine origin, and some oils derived from marine carbonate source rocks contain higher amounts of C</w:t>
      </w:r>
      <w:r w:rsidRPr="00504E95">
        <w:rPr>
          <w:vertAlign w:val="subscript"/>
        </w:rPr>
        <w:t>29</w:t>
      </w:r>
      <w:r>
        <w:t xml:space="preserve"> MAS than oils derived from marine shales. The MAS presence in the SR was determined in the B&amp;C fraction through GCMS/SIM by analysis of the m/z 253.3 ion (Figure 3.27; Table 3.4). All the samples analyzed have a higher concentration of C</w:t>
      </w:r>
      <w:r w:rsidRPr="00504E95">
        <w:rPr>
          <w:vertAlign w:val="subscript"/>
        </w:rPr>
        <w:t xml:space="preserve">28 </w:t>
      </w:r>
      <w:r>
        <w:t>MAS, followed by C</w:t>
      </w:r>
      <w:r w:rsidRPr="00504E95">
        <w:rPr>
          <w:vertAlign w:val="subscript"/>
        </w:rPr>
        <w:t>27</w:t>
      </w:r>
      <w:r>
        <w:t xml:space="preserve"> and C</w:t>
      </w:r>
      <w:r w:rsidRPr="00504E95">
        <w:rPr>
          <w:vertAlign w:val="subscript"/>
        </w:rPr>
        <w:t>29</w:t>
      </w:r>
      <w:r>
        <w:t xml:space="preserve"> MAS, indicating a relatively homogeneous marine source rock facies (Figure 3.27; Table 3.4). Moldowan and Fago (1985) reported the maturation effects on the preservation of the MAS, but in the SR outcrop, the thermal maturity is very low, so any changes observed here will not be related to maturity changes but related to changes in sources and changes in the depositional environment. Lin et al. (1989) and Philp et al. (1989) reported for the southern Oklahoma shallow reservoirs and outcrops the preservation of MAS after </w:t>
      </w:r>
      <w:r w:rsidR="007E1A3D">
        <w:t>identifying</w:t>
      </w:r>
      <w:r>
        <w:t xml:space="preserve"> severe biodegradation processes in their bitumen samples. For this reason, the higher C</w:t>
      </w:r>
      <w:r w:rsidRPr="00B5715C">
        <w:rPr>
          <w:vertAlign w:val="subscript"/>
        </w:rPr>
        <w:t>28</w:t>
      </w:r>
      <w:r>
        <w:t xml:space="preserve"> MAS concentrations are reliable indicators of major marine depositional settings for all the SR samples.</w:t>
      </w:r>
    </w:p>
    <w:p w14:paraId="36C51AD4" w14:textId="77777777" w:rsidR="00081C89" w:rsidRDefault="00081C89" w:rsidP="00081C89">
      <w:pPr>
        <w:spacing w:before="240"/>
        <w:ind w:firstLine="720"/>
        <w:sectPr w:rsidR="00081C89" w:rsidSect="0095456D">
          <w:pgSz w:w="12240" w:h="15840"/>
          <w:pgMar w:top="1440" w:right="1440" w:bottom="1440" w:left="1440" w:header="720" w:footer="720"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5580"/>
      </w:tblGrid>
      <w:tr w:rsidR="00081C89" w:rsidRPr="001E7D67" w14:paraId="229AE784" w14:textId="77777777" w:rsidTr="003C111E">
        <w:trPr>
          <w:trHeight w:val="107"/>
          <w:jc w:val="center"/>
        </w:trPr>
        <w:tc>
          <w:tcPr>
            <w:tcW w:w="1795" w:type="dxa"/>
          </w:tcPr>
          <w:p w14:paraId="42A3168D" w14:textId="77777777" w:rsidR="00081C89" w:rsidRPr="001E7D67" w:rsidRDefault="00081C89" w:rsidP="003C111E">
            <w:pPr>
              <w:spacing w:line="276" w:lineRule="auto"/>
              <w:rPr>
                <w:sz w:val="23"/>
                <w:szCs w:val="23"/>
              </w:rPr>
            </w:pPr>
            <w:r w:rsidRPr="001E7D67">
              <w:rPr>
                <w:b/>
                <w:bCs/>
                <w:sz w:val="23"/>
                <w:szCs w:val="23"/>
              </w:rPr>
              <w:lastRenderedPageBreak/>
              <w:t xml:space="preserve">Peak number </w:t>
            </w:r>
          </w:p>
        </w:tc>
        <w:tc>
          <w:tcPr>
            <w:tcW w:w="5580" w:type="dxa"/>
          </w:tcPr>
          <w:p w14:paraId="05A4E968" w14:textId="77777777" w:rsidR="00081C89" w:rsidRPr="001E7D67" w:rsidRDefault="00081C89" w:rsidP="003C111E">
            <w:pPr>
              <w:spacing w:line="276" w:lineRule="auto"/>
              <w:rPr>
                <w:sz w:val="23"/>
                <w:szCs w:val="23"/>
              </w:rPr>
            </w:pPr>
            <w:r w:rsidRPr="001E7D67">
              <w:rPr>
                <w:b/>
                <w:bCs/>
                <w:sz w:val="23"/>
                <w:szCs w:val="23"/>
              </w:rPr>
              <w:t xml:space="preserve">Compounds name </w:t>
            </w:r>
          </w:p>
        </w:tc>
      </w:tr>
      <w:tr w:rsidR="00081C89" w:rsidRPr="001E7D67" w14:paraId="5CE940A4" w14:textId="77777777" w:rsidTr="003C111E">
        <w:trPr>
          <w:trHeight w:val="109"/>
          <w:jc w:val="center"/>
        </w:trPr>
        <w:tc>
          <w:tcPr>
            <w:tcW w:w="1795" w:type="dxa"/>
          </w:tcPr>
          <w:p w14:paraId="2BB0774A" w14:textId="77777777" w:rsidR="00081C89" w:rsidRPr="001E7D67" w:rsidRDefault="00081C89" w:rsidP="003C111E">
            <w:pPr>
              <w:spacing w:line="276" w:lineRule="auto"/>
              <w:rPr>
                <w:sz w:val="23"/>
                <w:szCs w:val="23"/>
              </w:rPr>
            </w:pPr>
            <w:r w:rsidRPr="001E7D67">
              <w:rPr>
                <w:b/>
                <w:bCs/>
                <w:sz w:val="23"/>
                <w:szCs w:val="23"/>
              </w:rPr>
              <w:t xml:space="preserve">1 </w:t>
            </w:r>
          </w:p>
        </w:tc>
        <w:tc>
          <w:tcPr>
            <w:tcW w:w="5580" w:type="dxa"/>
          </w:tcPr>
          <w:p w14:paraId="2BDD1E89" w14:textId="77777777" w:rsidR="00081C89" w:rsidRPr="001E7D67" w:rsidRDefault="00081C89" w:rsidP="003C111E">
            <w:pPr>
              <w:spacing w:line="276" w:lineRule="auto"/>
            </w:pPr>
            <w:r>
              <w:t>C</w:t>
            </w:r>
            <w:r w:rsidRPr="009A64AC">
              <w:rPr>
                <w:vertAlign w:val="subscript"/>
              </w:rPr>
              <w:t>21</w:t>
            </w:r>
            <w:r>
              <w:t xml:space="preserve"> P</w:t>
            </w:r>
            <w:r w:rsidRPr="001E7D67">
              <w:t xml:space="preserve">regnane </w:t>
            </w:r>
          </w:p>
        </w:tc>
      </w:tr>
      <w:tr w:rsidR="00081C89" w:rsidRPr="001E7D67" w14:paraId="09885ECB" w14:textId="77777777" w:rsidTr="003C111E">
        <w:trPr>
          <w:trHeight w:val="109"/>
          <w:jc w:val="center"/>
        </w:trPr>
        <w:tc>
          <w:tcPr>
            <w:tcW w:w="1795" w:type="dxa"/>
          </w:tcPr>
          <w:p w14:paraId="7B61A95E" w14:textId="77777777" w:rsidR="00081C89" w:rsidRPr="001E7D67" w:rsidRDefault="00081C89" w:rsidP="003C111E">
            <w:pPr>
              <w:spacing w:line="276" w:lineRule="auto"/>
              <w:rPr>
                <w:sz w:val="23"/>
                <w:szCs w:val="23"/>
              </w:rPr>
            </w:pPr>
            <w:r w:rsidRPr="001E7D67">
              <w:rPr>
                <w:b/>
                <w:bCs/>
                <w:sz w:val="23"/>
                <w:szCs w:val="23"/>
              </w:rPr>
              <w:t xml:space="preserve">2 </w:t>
            </w:r>
          </w:p>
        </w:tc>
        <w:tc>
          <w:tcPr>
            <w:tcW w:w="5580" w:type="dxa"/>
          </w:tcPr>
          <w:p w14:paraId="6CAB7A86" w14:textId="77777777" w:rsidR="00081C89" w:rsidRPr="001E7D67" w:rsidRDefault="00081C89" w:rsidP="003C111E">
            <w:pPr>
              <w:spacing w:line="276" w:lineRule="auto"/>
            </w:pPr>
            <w:r>
              <w:t>C</w:t>
            </w:r>
            <w:r w:rsidRPr="009A64AC">
              <w:rPr>
                <w:vertAlign w:val="subscript"/>
              </w:rPr>
              <w:t>2</w:t>
            </w:r>
            <w:r>
              <w:rPr>
                <w:vertAlign w:val="subscript"/>
              </w:rPr>
              <w:t xml:space="preserve">2 </w:t>
            </w:r>
            <w:r w:rsidRPr="001E7D67">
              <w:t>20-</w:t>
            </w:r>
            <w:r>
              <w:t>M</w:t>
            </w:r>
            <w:r w:rsidRPr="001E7D67">
              <w:t xml:space="preserve">ethylpregnane </w:t>
            </w:r>
          </w:p>
        </w:tc>
      </w:tr>
      <w:tr w:rsidR="00081C89" w:rsidRPr="001E7D67" w14:paraId="04926203" w14:textId="77777777" w:rsidTr="003C111E">
        <w:trPr>
          <w:trHeight w:val="109"/>
          <w:jc w:val="center"/>
        </w:trPr>
        <w:tc>
          <w:tcPr>
            <w:tcW w:w="1795" w:type="dxa"/>
          </w:tcPr>
          <w:p w14:paraId="4FA94BD1" w14:textId="77777777" w:rsidR="00081C89" w:rsidRPr="001E7D67" w:rsidRDefault="00081C89" w:rsidP="003C111E">
            <w:pPr>
              <w:spacing w:line="276" w:lineRule="auto"/>
              <w:rPr>
                <w:sz w:val="23"/>
                <w:szCs w:val="23"/>
              </w:rPr>
            </w:pPr>
            <w:r w:rsidRPr="001E7D67">
              <w:rPr>
                <w:b/>
                <w:bCs/>
                <w:sz w:val="23"/>
                <w:szCs w:val="23"/>
              </w:rPr>
              <w:t xml:space="preserve">3 </w:t>
            </w:r>
          </w:p>
        </w:tc>
        <w:tc>
          <w:tcPr>
            <w:tcW w:w="5580" w:type="dxa"/>
          </w:tcPr>
          <w:p w14:paraId="2CCE6200" w14:textId="77777777" w:rsidR="00081C89" w:rsidRPr="001E7D67" w:rsidRDefault="00081C89" w:rsidP="003C111E">
            <w:pPr>
              <w:spacing w:line="276" w:lineRule="auto"/>
            </w:pPr>
            <w:r>
              <w:t>5β-Chole</w:t>
            </w:r>
            <w:r w:rsidRPr="001E7D67">
              <w:t xml:space="preserve">stane 20S </w:t>
            </w:r>
          </w:p>
        </w:tc>
      </w:tr>
      <w:tr w:rsidR="00081C89" w:rsidRPr="001E7D67" w14:paraId="54CBE69D" w14:textId="77777777" w:rsidTr="003C111E">
        <w:trPr>
          <w:trHeight w:val="109"/>
          <w:jc w:val="center"/>
        </w:trPr>
        <w:tc>
          <w:tcPr>
            <w:tcW w:w="1795" w:type="dxa"/>
          </w:tcPr>
          <w:p w14:paraId="7EC6AF8E" w14:textId="77777777" w:rsidR="00081C89" w:rsidRPr="001E7D67" w:rsidRDefault="00081C89" w:rsidP="003C111E">
            <w:pPr>
              <w:spacing w:line="276" w:lineRule="auto"/>
              <w:rPr>
                <w:sz w:val="23"/>
                <w:szCs w:val="23"/>
              </w:rPr>
            </w:pPr>
            <w:r w:rsidRPr="001E7D67">
              <w:rPr>
                <w:b/>
                <w:bCs/>
                <w:sz w:val="23"/>
                <w:szCs w:val="23"/>
              </w:rPr>
              <w:t xml:space="preserve">4 </w:t>
            </w:r>
          </w:p>
        </w:tc>
        <w:tc>
          <w:tcPr>
            <w:tcW w:w="5580" w:type="dxa"/>
          </w:tcPr>
          <w:p w14:paraId="2749C9B5" w14:textId="77777777" w:rsidR="00081C89" w:rsidRPr="001E7D67" w:rsidRDefault="00081C89" w:rsidP="003C111E">
            <w:pPr>
              <w:spacing w:line="276" w:lineRule="auto"/>
            </w:pPr>
            <w:r>
              <w:t>D</w:t>
            </w:r>
            <w:r w:rsidRPr="001E7D67">
              <w:t xml:space="preserve">iacholestane 20S </w:t>
            </w:r>
          </w:p>
        </w:tc>
      </w:tr>
      <w:tr w:rsidR="00081C89" w:rsidRPr="001E7D67" w14:paraId="34F3B3AF" w14:textId="77777777" w:rsidTr="003C111E">
        <w:trPr>
          <w:trHeight w:val="109"/>
          <w:jc w:val="center"/>
        </w:trPr>
        <w:tc>
          <w:tcPr>
            <w:tcW w:w="1795" w:type="dxa"/>
          </w:tcPr>
          <w:p w14:paraId="2D5B0847" w14:textId="77777777" w:rsidR="00081C89" w:rsidRPr="001E7D67" w:rsidRDefault="00081C89" w:rsidP="003C111E">
            <w:pPr>
              <w:spacing w:line="276" w:lineRule="auto"/>
              <w:rPr>
                <w:sz w:val="23"/>
                <w:szCs w:val="23"/>
              </w:rPr>
            </w:pPr>
            <w:r w:rsidRPr="001E7D67">
              <w:rPr>
                <w:b/>
                <w:bCs/>
                <w:sz w:val="23"/>
                <w:szCs w:val="23"/>
              </w:rPr>
              <w:t xml:space="preserve">5 </w:t>
            </w:r>
          </w:p>
        </w:tc>
        <w:tc>
          <w:tcPr>
            <w:tcW w:w="5580" w:type="dxa"/>
          </w:tcPr>
          <w:p w14:paraId="18594D35" w14:textId="77777777" w:rsidR="00081C89" w:rsidRPr="001E7D67" w:rsidRDefault="00081C89" w:rsidP="003C111E">
            <w:pPr>
              <w:spacing w:line="276" w:lineRule="auto"/>
            </w:pPr>
            <w:r w:rsidRPr="001E7D67">
              <w:rPr>
                <w:sz w:val="23"/>
                <w:szCs w:val="23"/>
              </w:rPr>
              <w:t>5β-</w:t>
            </w:r>
            <w:r>
              <w:rPr>
                <w:sz w:val="23"/>
                <w:szCs w:val="23"/>
              </w:rPr>
              <w:t>Cholestane</w:t>
            </w:r>
            <w:r w:rsidRPr="001E7D67">
              <w:rPr>
                <w:sz w:val="23"/>
                <w:szCs w:val="23"/>
              </w:rPr>
              <w:t xml:space="preserve"> 20</w:t>
            </w:r>
            <w:r>
              <w:rPr>
                <w:sz w:val="23"/>
                <w:szCs w:val="23"/>
              </w:rPr>
              <w:t>R</w:t>
            </w:r>
            <w:r w:rsidRPr="001E7D67">
              <w:rPr>
                <w:sz w:val="23"/>
                <w:szCs w:val="23"/>
              </w:rPr>
              <w:t xml:space="preserve"> + </w:t>
            </w:r>
            <w:r>
              <w:rPr>
                <w:sz w:val="23"/>
                <w:szCs w:val="23"/>
              </w:rPr>
              <w:t>D</w:t>
            </w:r>
            <w:r w:rsidRPr="001E7D67">
              <w:rPr>
                <w:sz w:val="23"/>
                <w:szCs w:val="23"/>
              </w:rPr>
              <w:t>ia</w:t>
            </w:r>
            <w:r>
              <w:rPr>
                <w:sz w:val="23"/>
                <w:szCs w:val="23"/>
              </w:rPr>
              <w:t>cholestane</w:t>
            </w:r>
            <w:r w:rsidRPr="001E7D67">
              <w:rPr>
                <w:sz w:val="23"/>
                <w:szCs w:val="23"/>
              </w:rPr>
              <w:t xml:space="preserve"> 20</w:t>
            </w:r>
            <w:r>
              <w:rPr>
                <w:sz w:val="23"/>
                <w:szCs w:val="23"/>
              </w:rPr>
              <w:t>R</w:t>
            </w:r>
          </w:p>
        </w:tc>
      </w:tr>
      <w:tr w:rsidR="00081C89" w:rsidRPr="001E7D67" w14:paraId="3DA233AA" w14:textId="77777777" w:rsidTr="003C111E">
        <w:trPr>
          <w:trHeight w:val="110"/>
          <w:jc w:val="center"/>
        </w:trPr>
        <w:tc>
          <w:tcPr>
            <w:tcW w:w="1795" w:type="dxa"/>
          </w:tcPr>
          <w:p w14:paraId="04411AB8" w14:textId="77777777" w:rsidR="00081C89" w:rsidRPr="001E7D67" w:rsidRDefault="00081C89" w:rsidP="003C111E">
            <w:pPr>
              <w:spacing w:line="276" w:lineRule="auto"/>
              <w:rPr>
                <w:sz w:val="23"/>
                <w:szCs w:val="23"/>
              </w:rPr>
            </w:pPr>
            <w:r w:rsidRPr="001E7D67">
              <w:rPr>
                <w:b/>
                <w:bCs/>
                <w:sz w:val="23"/>
                <w:szCs w:val="23"/>
              </w:rPr>
              <w:t xml:space="preserve">6 </w:t>
            </w:r>
          </w:p>
        </w:tc>
        <w:tc>
          <w:tcPr>
            <w:tcW w:w="5580" w:type="dxa"/>
          </w:tcPr>
          <w:p w14:paraId="50AAA5A9" w14:textId="77777777" w:rsidR="00081C89" w:rsidRPr="001E7D67" w:rsidRDefault="00081C89" w:rsidP="003C111E">
            <w:pPr>
              <w:spacing w:line="276" w:lineRule="auto"/>
              <w:rPr>
                <w:sz w:val="23"/>
                <w:szCs w:val="23"/>
              </w:rPr>
            </w:pPr>
            <w:r w:rsidRPr="001E7D67">
              <w:rPr>
                <w:sz w:val="23"/>
                <w:szCs w:val="23"/>
              </w:rPr>
              <w:t>5β-</w:t>
            </w:r>
            <w:r>
              <w:rPr>
                <w:sz w:val="23"/>
                <w:szCs w:val="23"/>
              </w:rPr>
              <w:t>E</w:t>
            </w:r>
            <w:r w:rsidRPr="001E7D67">
              <w:rPr>
                <w:sz w:val="23"/>
                <w:szCs w:val="23"/>
              </w:rPr>
              <w:t xml:space="preserve">rgostane 20S + </w:t>
            </w:r>
            <w:r>
              <w:rPr>
                <w:sz w:val="23"/>
                <w:szCs w:val="23"/>
              </w:rPr>
              <w:t>D</w:t>
            </w:r>
            <w:r w:rsidRPr="001E7D67">
              <w:rPr>
                <w:sz w:val="23"/>
                <w:szCs w:val="23"/>
              </w:rPr>
              <w:t xml:space="preserve">iaergostane 20S </w:t>
            </w:r>
          </w:p>
        </w:tc>
      </w:tr>
      <w:tr w:rsidR="00081C89" w:rsidRPr="001E7D67" w14:paraId="1CAC4CC4" w14:textId="77777777" w:rsidTr="003C111E">
        <w:trPr>
          <w:trHeight w:val="109"/>
          <w:jc w:val="center"/>
        </w:trPr>
        <w:tc>
          <w:tcPr>
            <w:tcW w:w="1795" w:type="dxa"/>
          </w:tcPr>
          <w:p w14:paraId="12A4D07C" w14:textId="77777777" w:rsidR="00081C89" w:rsidRPr="001E7D67" w:rsidRDefault="00081C89" w:rsidP="003C111E">
            <w:pPr>
              <w:spacing w:line="276" w:lineRule="auto"/>
              <w:rPr>
                <w:sz w:val="23"/>
                <w:szCs w:val="23"/>
              </w:rPr>
            </w:pPr>
            <w:r w:rsidRPr="001E7D67">
              <w:rPr>
                <w:b/>
                <w:bCs/>
                <w:sz w:val="23"/>
                <w:szCs w:val="23"/>
              </w:rPr>
              <w:t xml:space="preserve">7 </w:t>
            </w:r>
          </w:p>
        </w:tc>
        <w:tc>
          <w:tcPr>
            <w:tcW w:w="5580" w:type="dxa"/>
          </w:tcPr>
          <w:p w14:paraId="57DEE2B6" w14:textId="77777777" w:rsidR="00081C89" w:rsidRPr="001E7D67" w:rsidRDefault="00081C89" w:rsidP="003C111E">
            <w:pPr>
              <w:spacing w:line="276" w:lineRule="auto"/>
            </w:pPr>
            <w:r w:rsidRPr="001E7D67">
              <w:t>5α-</w:t>
            </w:r>
            <w:r>
              <w:t>Choles</w:t>
            </w:r>
            <w:r w:rsidRPr="001E7D67">
              <w:t xml:space="preserve">tane 20R </w:t>
            </w:r>
          </w:p>
        </w:tc>
      </w:tr>
      <w:tr w:rsidR="00081C89" w:rsidRPr="001E7D67" w14:paraId="6F936847" w14:textId="77777777" w:rsidTr="003C111E">
        <w:trPr>
          <w:trHeight w:val="109"/>
          <w:jc w:val="center"/>
        </w:trPr>
        <w:tc>
          <w:tcPr>
            <w:tcW w:w="1795" w:type="dxa"/>
          </w:tcPr>
          <w:p w14:paraId="1909BD38" w14:textId="77777777" w:rsidR="00081C89" w:rsidRPr="001E7D67" w:rsidRDefault="00081C89" w:rsidP="003C111E">
            <w:pPr>
              <w:spacing w:line="276" w:lineRule="auto"/>
              <w:rPr>
                <w:sz w:val="23"/>
                <w:szCs w:val="23"/>
              </w:rPr>
            </w:pPr>
            <w:r w:rsidRPr="001E7D67">
              <w:rPr>
                <w:b/>
                <w:bCs/>
                <w:sz w:val="23"/>
                <w:szCs w:val="23"/>
              </w:rPr>
              <w:t xml:space="preserve">8 </w:t>
            </w:r>
          </w:p>
        </w:tc>
        <w:tc>
          <w:tcPr>
            <w:tcW w:w="5580" w:type="dxa"/>
          </w:tcPr>
          <w:p w14:paraId="25ACC1CC" w14:textId="77777777" w:rsidR="00081C89" w:rsidRPr="001E7D67" w:rsidRDefault="00081C89" w:rsidP="003C111E">
            <w:pPr>
              <w:spacing w:line="276" w:lineRule="auto"/>
            </w:pPr>
            <w:r w:rsidRPr="001E7D67">
              <w:t>5α-</w:t>
            </w:r>
            <w:r>
              <w:t>E</w:t>
            </w:r>
            <w:r w:rsidRPr="001E7D67">
              <w:t xml:space="preserve">rgostane 20S </w:t>
            </w:r>
          </w:p>
        </w:tc>
      </w:tr>
      <w:tr w:rsidR="00081C89" w:rsidRPr="00027397" w14:paraId="6D62E7AE" w14:textId="77777777" w:rsidTr="003C111E">
        <w:trPr>
          <w:trHeight w:val="110"/>
          <w:jc w:val="center"/>
        </w:trPr>
        <w:tc>
          <w:tcPr>
            <w:tcW w:w="1795" w:type="dxa"/>
          </w:tcPr>
          <w:p w14:paraId="05145C57" w14:textId="77777777" w:rsidR="00081C89" w:rsidRPr="001E7D67" w:rsidRDefault="00081C89" w:rsidP="003C111E">
            <w:pPr>
              <w:spacing w:line="276" w:lineRule="auto"/>
              <w:rPr>
                <w:sz w:val="23"/>
                <w:szCs w:val="23"/>
              </w:rPr>
            </w:pPr>
            <w:r w:rsidRPr="001E7D67">
              <w:rPr>
                <w:b/>
                <w:bCs/>
                <w:sz w:val="23"/>
                <w:szCs w:val="23"/>
              </w:rPr>
              <w:t xml:space="preserve">9 </w:t>
            </w:r>
          </w:p>
        </w:tc>
        <w:tc>
          <w:tcPr>
            <w:tcW w:w="5580" w:type="dxa"/>
          </w:tcPr>
          <w:p w14:paraId="7927227C" w14:textId="77777777" w:rsidR="00081C89" w:rsidRPr="001E7D67" w:rsidRDefault="00081C89" w:rsidP="003C111E">
            <w:pPr>
              <w:spacing w:line="276" w:lineRule="auto"/>
              <w:rPr>
                <w:sz w:val="23"/>
                <w:szCs w:val="23"/>
                <w:lang w:val="es-CO"/>
              </w:rPr>
            </w:pPr>
            <w:r w:rsidRPr="001E7D67">
              <w:rPr>
                <w:sz w:val="23"/>
                <w:szCs w:val="23"/>
                <w:lang w:val="es-CO"/>
              </w:rPr>
              <w:t>5</w:t>
            </w:r>
            <w:r w:rsidRPr="001E7D67">
              <w:rPr>
                <w:sz w:val="23"/>
                <w:szCs w:val="23"/>
              </w:rPr>
              <w:t>β</w:t>
            </w:r>
            <w:r w:rsidRPr="001E7D67">
              <w:rPr>
                <w:sz w:val="23"/>
                <w:szCs w:val="23"/>
                <w:lang w:val="es-CO"/>
              </w:rPr>
              <w:t>-</w:t>
            </w:r>
            <w:r>
              <w:rPr>
                <w:sz w:val="23"/>
                <w:szCs w:val="23"/>
                <w:lang w:val="es-CO"/>
              </w:rPr>
              <w:t>E</w:t>
            </w:r>
            <w:r w:rsidRPr="001E7D67">
              <w:rPr>
                <w:sz w:val="23"/>
                <w:szCs w:val="23"/>
                <w:lang w:val="es-CO"/>
              </w:rPr>
              <w:t xml:space="preserve">rgostane 20R + </w:t>
            </w:r>
            <w:r>
              <w:rPr>
                <w:sz w:val="23"/>
                <w:szCs w:val="23"/>
                <w:lang w:val="es-CO"/>
              </w:rPr>
              <w:t>D</w:t>
            </w:r>
            <w:r w:rsidRPr="001E7D67">
              <w:rPr>
                <w:sz w:val="23"/>
                <w:szCs w:val="23"/>
                <w:lang w:val="es-CO"/>
              </w:rPr>
              <w:t xml:space="preserve">iaergostane 20R </w:t>
            </w:r>
          </w:p>
        </w:tc>
      </w:tr>
      <w:tr w:rsidR="00081C89" w:rsidRPr="001E7D67" w14:paraId="0539F707" w14:textId="77777777" w:rsidTr="003C111E">
        <w:trPr>
          <w:trHeight w:val="110"/>
          <w:jc w:val="center"/>
        </w:trPr>
        <w:tc>
          <w:tcPr>
            <w:tcW w:w="1795" w:type="dxa"/>
          </w:tcPr>
          <w:p w14:paraId="065EE923" w14:textId="77777777" w:rsidR="00081C89" w:rsidRPr="001E7D67" w:rsidRDefault="00081C89" w:rsidP="003C111E">
            <w:pPr>
              <w:spacing w:line="276" w:lineRule="auto"/>
              <w:rPr>
                <w:sz w:val="23"/>
                <w:szCs w:val="23"/>
              </w:rPr>
            </w:pPr>
            <w:r w:rsidRPr="001E7D67">
              <w:rPr>
                <w:b/>
                <w:bCs/>
                <w:sz w:val="23"/>
                <w:szCs w:val="23"/>
              </w:rPr>
              <w:t xml:space="preserve">10 </w:t>
            </w:r>
          </w:p>
        </w:tc>
        <w:tc>
          <w:tcPr>
            <w:tcW w:w="5580" w:type="dxa"/>
          </w:tcPr>
          <w:p w14:paraId="02229EFD" w14:textId="77777777" w:rsidR="00081C89" w:rsidRPr="001E7D67" w:rsidRDefault="00081C89" w:rsidP="003C111E">
            <w:pPr>
              <w:spacing w:line="276" w:lineRule="auto"/>
              <w:rPr>
                <w:sz w:val="23"/>
                <w:szCs w:val="23"/>
              </w:rPr>
            </w:pPr>
            <w:r w:rsidRPr="001E7D67">
              <w:t>5</w:t>
            </w:r>
            <w:r w:rsidRPr="001E7D67">
              <w:rPr>
                <w:sz w:val="23"/>
                <w:szCs w:val="23"/>
              </w:rPr>
              <w:t>β-</w:t>
            </w:r>
            <w:r>
              <w:rPr>
                <w:sz w:val="23"/>
                <w:szCs w:val="23"/>
              </w:rPr>
              <w:t>S</w:t>
            </w:r>
            <w:r w:rsidRPr="001E7D67">
              <w:rPr>
                <w:sz w:val="23"/>
                <w:szCs w:val="23"/>
              </w:rPr>
              <w:t xml:space="preserve">tigmastane 20S + </w:t>
            </w:r>
            <w:r>
              <w:rPr>
                <w:sz w:val="23"/>
                <w:szCs w:val="23"/>
              </w:rPr>
              <w:t>D</w:t>
            </w:r>
            <w:r w:rsidRPr="001E7D67">
              <w:rPr>
                <w:sz w:val="23"/>
                <w:szCs w:val="23"/>
              </w:rPr>
              <w:t xml:space="preserve">iastigmastane 20S </w:t>
            </w:r>
          </w:p>
        </w:tc>
      </w:tr>
      <w:tr w:rsidR="00081C89" w:rsidRPr="001E7D67" w14:paraId="14D00F67" w14:textId="77777777" w:rsidTr="003C111E">
        <w:trPr>
          <w:trHeight w:val="109"/>
          <w:jc w:val="center"/>
        </w:trPr>
        <w:tc>
          <w:tcPr>
            <w:tcW w:w="1795" w:type="dxa"/>
          </w:tcPr>
          <w:p w14:paraId="1BC673FB" w14:textId="77777777" w:rsidR="00081C89" w:rsidRPr="001E7D67" w:rsidRDefault="00081C89" w:rsidP="003C111E">
            <w:pPr>
              <w:spacing w:line="276" w:lineRule="auto"/>
              <w:rPr>
                <w:sz w:val="23"/>
                <w:szCs w:val="23"/>
              </w:rPr>
            </w:pPr>
            <w:r w:rsidRPr="001E7D67">
              <w:rPr>
                <w:b/>
                <w:bCs/>
                <w:sz w:val="23"/>
                <w:szCs w:val="23"/>
              </w:rPr>
              <w:t xml:space="preserve">11 </w:t>
            </w:r>
          </w:p>
        </w:tc>
        <w:tc>
          <w:tcPr>
            <w:tcW w:w="5580" w:type="dxa"/>
          </w:tcPr>
          <w:p w14:paraId="275C23A4" w14:textId="77777777" w:rsidR="00081C89" w:rsidRPr="001E7D67" w:rsidRDefault="00081C89" w:rsidP="003C111E">
            <w:pPr>
              <w:spacing w:line="276" w:lineRule="auto"/>
            </w:pPr>
            <w:r w:rsidRPr="001E7D67">
              <w:t>5α-</w:t>
            </w:r>
            <w:r>
              <w:t>S</w:t>
            </w:r>
            <w:r w:rsidRPr="001E7D67">
              <w:t xml:space="preserve">tigmastane 20S </w:t>
            </w:r>
          </w:p>
        </w:tc>
      </w:tr>
      <w:tr w:rsidR="00081C89" w:rsidRPr="001E7D67" w14:paraId="05C4A8D1" w14:textId="77777777" w:rsidTr="003C111E">
        <w:trPr>
          <w:trHeight w:val="109"/>
          <w:jc w:val="center"/>
        </w:trPr>
        <w:tc>
          <w:tcPr>
            <w:tcW w:w="1795" w:type="dxa"/>
          </w:tcPr>
          <w:p w14:paraId="0CEBA2D3" w14:textId="77777777" w:rsidR="00081C89" w:rsidRPr="001E7D67" w:rsidRDefault="00081C89" w:rsidP="003C111E">
            <w:pPr>
              <w:spacing w:line="276" w:lineRule="auto"/>
              <w:rPr>
                <w:sz w:val="23"/>
                <w:szCs w:val="23"/>
              </w:rPr>
            </w:pPr>
            <w:r w:rsidRPr="001E7D67">
              <w:rPr>
                <w:b/>
                <w:bCs/>
                <w:sz w:val="23"/>
                <w:szCs w:val="23"/>
              </w:rPr>
              <w:t xml:space="preserve">12 </w:t>
            </w:r>
          </w:p>
        </w:tc>
        <w:tc>
          <w:tcPr>
            <w:tcW w:w="5580" w:type="dxa"/>
          </w:tcPr>
          <w:p w14:paraId="46D21D8E" w14:textId="77777777" w:rsidR="00081C89" w:rsidRPr="001E7D67" w:rsidRDefault="00081C89" w:rsidP="003C111E">
            <w:pPr>
              <w:spacing w:line="276" w:lineRule="auto"/>
              <w:rPr>
                <w:sz w:val="23"/>
                <w:szCs w:val="23"/>
              </w:rPr>
            </w:pPr>
            <w:r w:rsidRPr="001E7D67">
              <w:rPr>
                <w:sz w:val="23"/>
                <w:szCs w:val="23"/>
              </w:rPr>
              <w:t>5α-</w:t>
            </w:r>
            <w:r>
              <w:rPr>
                <w:sz w:val="23"/>
                <w:szCs w:val="23"/>
              </w:rPr>
              <w:t>E</w:t>
            </w:r>
            <w:r w:rsidRPr="001E7D67">
              <w:rPr>
                <w:sz w:val="23"/>
                <w:szCs w:val="23"/>
              </w:rPr>
              <w:t xml:space="preserve">rgostane 20R </w:t>
            </w:r>
          </w:p>
        </w:tc>
      </w:tr>
      <w:tr w:rsidR="00081C89" w:rsidRPr="001E7D67" w14:paraId="6DF4C66C" w14:textId="77777777" w:rsidTr="003C111E">
        <w:trPr>
          <w:trHeight w:val="110"/>
          <w:jc w:val="center"/>
        </w:trPr>
        <w:tc>
          <w:tcPr>
            <w:tcW w:w="1795" w:type="dxa"/>
          </w:tcPr>
          <w:p w14:paraId="648D1C03" w14:textId="77777777" w:rsidR="00081C89" w:rsidRPr="001E7D67" w:rsidRDefault="00081C89" w:rsidP="003C111E">
            <w:pPr>
              <w:spacing w:line="276" w:lineRule="auto"/>
              <w:rPr>
                <w:sz w:val="23"/>
                <w:szCs w:val="23"/>
              </w:rPr>
            </w:pPr>
            <w:r w:rsidRPr="001E7D67">
              <w:rPr>
                <w:b/>
                <w:bCs/>
                <w:sz w:val="23"/>
                <w:szCs w:val="23"/>
              </w:rPr>
              <w:t xml:space="preserve">13 </w:t>
            </w:r>
          </w:p>
        </w:tc>
        <w:tc>
          <w:tcPr>
            <w:tcW w:w="5580" w:type="dxa"/>
          </w:tcPr>
          <w:p w14:paraId="147880E0" w14:textId="77777777" w:rsidR="00081C89" w:rsidRPr="001E7D67" w:rsidRDefault="00081C89" w:rsidP="003C111E">
            <w:pPr>
              <w:spacing w:line="276" w:lineRule="auto"/>
              <w:rPr>
                <w:sz w:val="23"/>
                <w:szCs w:val="23"/>
              </w:rPr>
            </w:pPr>
            <w:r w:rsidRPr="001E7D67">
              <w:t>5</w:t>
            </w:r>
            <w:r w:rsidRPr="001E7D67">
              <w:rPr>
                <w:sz w:val="23"/>
                <w:szCs w:val="23"/>
              </w:rPr>
              <w:t>β-</w:t>
            </w:r>
            <w:r>
              <w:rPr>
                <w:sz w:val="23"/>
                <w:szCs w:val="23"/>
              </w:rPr>
              <w:t>S</w:t>
            </w:r>
            <w:r w:rsidRPr="001E7D67">
              <w:rPr>
                <w:sz w:val="23"/>
                <w:szCs w:val="23"/>
              </w:rPr>
              <w:t xml:space="preserve">tigmastane 20R + </w:t>
            </w:r>
            <w:r>
              <w:rPr>
                <w:sz w:val="23"/>
                <w:szCs w:val="23"/>
              </w:rPr>
              <w:t>D</w:t>
            </w:r>
            <w:r w:rsidRPr="001E7D67">
              <w:rPr>
                <w:sz w:val="23"/>
                <w:szCs w:val="23"/>
              </w:rPr>
              <w:t xml:space="preserve">iastigmastane 20R </w:t>
            </w:r>
          </w:p>
        </w:tc>
      </w:tr>
      <w:tr w:rsidR="00081C89" w:rsidRPr="001E7D67" w14:paraId="72B2D7FC" w14:textId="77777777" w:rsidTr="003C111E">
        <w:trPr>
          <w:trHeight w:val="109"/>
          <w:jc w:val="center"/>
        </w:trPr>
        <w:tc>
          <w:tcPr>
            <w:tcW w:w="1795" w:type="dxa"/>
          </w:tcPr>
          <w:p w14:paraId="626D0E26" w14:textId="77777777" w:rsidR="00081C89" w:rsidRPr="001E7D67" w:rsidRDefault="00081C89" w:rsidP="003C111E">
            <w:pPr>
              <w:spacing w:line="276" w:lineRule="auto"/>
              <w:rPr>
                <w:sz w:val="23"/>
                <w:szCs w:val="23"/>
              </w:rPr>
            </w:pPr>
            <w:r w:rsidRPr="001E7D67">
              <w:rPr>
                <w:b/>
                <w:bCs/>
                <w:sz w:val="23"/>
                <w:szCs w:val="23"/>
              </w:rPr>
              <w:t xml:space="preserve">14 </w:t>
            </w:r>
          </w:p>
        </w:tc>
        <w:tc>
          <w:tcPr>
            <w:tcW w:w="5580" w:type="dxa"/>
          </w:tcPr>
          <w:p w14:paraId="0CC4BDD2" w14:textId="77777777" w:rsidR="00081C89" w:rsidRPr="001E7D67" w:rsidRDefault="00081C89" w:rsidP="003C111E">
            <w:pPr>
              <w:spacing w:line="276" w:lineRule="auto"/>
              <w:rPr>
                <w:sz w:val="23"/>
                <w:szCs w:val="23"/>
              </w:rPr>
            </w:pPr>
            <w:r w:rsidRPr="001E7D67">
              <w:rPr>
                <w:sz w:val="23"/>
                <w:szCs w:val="23"/>
              </w:rPr>
              <w:t>5α-</w:t>
            </w:r>
            <w:r>
              <w:rPr>
                <w:sz w:val="23"/>
                <w:szCs w:val="23"/>
              </w:rPr>
              <w:t>S</w:t>
            </w:r>
            <w:r w:rsidRPr="001E7D67">
              <w:rPr>
                <w:sz w:val="23"/>
                <w:szCs w:val="23"/>
              </w:rPr>
              <w:t xml:space="preserve">tigmastane 20R </w:t>
            </w:r>
          </w:p>
        </w:tc>
      </w:tr>
    </w:tbl>
    <w:p w14:paraId="5214CF50" w14:textId="77777777" w:rsidR="00081C89" w:rsidRPr="000804E3" w:rsidRDefault="00081C89" w:rsidP="00081C89">
      <w:pPr>
        <w:rPr>
          <w:b/>
          <w:color w:val="000000"/>
        </w:rPr>
      </w:pPr>
    </w:p>
    <w:p w14:paraId="03621824" w14:textId="77777777" w:rsidR="00081C89" w:rsidRPr="00881D5A" w:rsidRDefault="00081C89" w:rsidP="00081C89">
      <w:pPr>
        <w:spacing w:line="276" w:lineRule="auto"/>
      </w:pPr>
      <w:r w:rsidRPr="008150E2">
        <w:rPr>
          <w:b/>
        </w:rPr>
        <w:t>Tabl</w:t>
      </w:r>
      <w:r>
        <w:rPr>
          <w:b/>
        </w:rPr>
        <w:t>e</w:t>
      </w:r>
      <w:r w:rsidRPr="008150E2">
        <w:rPr>
          <w:b/>
        </w:rPr>
        <w:t xml:space="preserve"> 3.</w:t>
      </w:r>
      <w:r>
        <w:rPr>
          <w:b/>
        </w:rPr>
        <w:t>4</w:t>
      </w:r>
      <w:r>
        <w:t xml:space="preserve">. </w:t>
      </w:r>
      <w:r w:rsidRPr="00881D5A">
        <w:t>Identification of monoaromatic steroids (</w:t>
      </w:r>
      <w:r>
        <w:t>MAS</w:t>
      </w:r>
      <w:r w:rsidRPr="00881D5A">
        <w:t>) in the m/z 253.3</w:t>
      </w:r>
      <w:r>
        <w:t>. Compound nomenclature from Peters et al. (2005), and Miceli-Romero et al. (2018).</w:t>
      </w:r>
    </w:p>
    <w:p w14:paraId="6544DC04" w14:textId="77777777" w:rsidR="00081C89" w:rsidRDefault="00081C89" w:rsidP="00081C89">
      <w:pPr>
        <w:spacing w:after="0" w:line="240" w:lineRule="auto"/>
        <w:jc w:val="center"/>
      </w:pPr>
      <w:r>
        <w:rPr>
          <w:noProof/>
        </w:rPr>
        <w:lastRenderedPageBreak/>
        <w:drawing>
          <wp:inline distT="0" distB="0" distL="0" distR="0" wp14:anchorId="464531E4" wp14:editId="6797C6A7">
            <wp:extent cx="5572125" cy="3660672"/>
            <wp:effectExtent l="0" t="0" r="0" b="0"/>
            <wp:docPr id="8516" name="Picture 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89879" cy="3672336"/>
                    </a:xfrm>
                    <a:prstGeom prst="rect">
                      <a:avLst/>
                    </a:prstGeom>
                    <a:noFill/>
                  </pic:spPr>
                </pic:pic>
              </a:graphicData>
            </a:graphic>
          </wp:inline>
        </w:drawing>
      </w:r>
    </w:p>
    <w:p w14:paraId="1DB97579" w14:textId="77777777" w:rsidR="00081C89" w:rsidRDefault="00081C89" w:rsidP="00081C89">
      <w:pPr>
        <w:pStyle w:val="Caption"/>
      </w:pPr>
      <w:bookmarkStart w:id="213" w:name="_Toc29308159"/>
      <w:bookmarkStart w:id="214" w:name="_Toc35861214"/>
      <w:r>
        <w:rPr>
          <w:b/>
        </w:rPr>
        <w:t xml:space="preserve">Figure 3.27. </w:t>
      </w:r>
      <w:r w:rsidRPr="004F17D0">
        <w:t>F</w:t>
      </w:r>
      <w:r w:rsidRPr="0044760A">
        <w:t xml:space="preserve">ragmentograms of the m/z 253.3 ion showing distribution of the monoaromatic steroids (MAS) in the </w:t>
      </w:r>
      <w:r>
        <w:t>branched and cyclic (</w:t>
      </w:r>
      <w:r w:rsidRPr="0044760A">
        <w:t>B&amp;C</w:t>
      </w:r>
      <w:r>
        <w:t>)</w:t>
      </w:r>
      <w:r w:rsidRPr="0044760A">
        <w:t xml:space="preserve"> fractions of the </w:t>
      </w:r>
      <w:r>
        <w:t>Speake Ranch</w:t>
      </w:r>
      <w:r w:rsidRPr="0044760A">
        <w:t xml:space="preserve"> samples. Peak identification is presented in Table </w:t>
      </w:r>
      <w:r>
        <w:t>3.4.</w:t>
      </w:r>
      <w:bookmarkEnd w:id="213"/>
      <w:bookmarkEnd w:id="214"/>
    </w:p>
    <w:p w14:paraId="6EDC6BA3" w14:textId="77777777" w:rsidR="00081C89" w:rsidRPr="00E10826" w:rsidRDefault="00081C89" w:rsidP="00081C89">
      <w:pPr>
        <w:pStyle w:val="Heading3"/>
        <w:numPr>
          <w:ilvl w:val="2"/>
          <w:numId w:val="10"/>
        </w:numPr>
        <w:spacing w:before="240"/>
      </w:pPr>
      <w:bookmarkStart w:id="215" w:name="_Toc25833561"/>
      <w:bookmarkStart w:id="216" w:name="_Toc29304875"/>
      <w:bookmarkStart w:id="217" w:name="_Toc35861115"/>
      <w:r w:rsidRPr="00E10826">
        <w:t>Diasteranes</w:t>
      </w:r>
      <w:bookmarkEnd w:id="215"/>
      <w:bookmarkEnd w:id="216"/>
      <w:bookmarkEnd w:id="217"/>
      <w:r w:rsidRPr="00E10826">
        <w:t xml:space="preserve"> </w:t>
      </w:r>
    </w:p>
    <w:p w14:paraId="191A2D66" w14:textId="77777777" w:rsidR="00081C89" w:rsidRPr="007F58A0" w:rsidRDefault="00081C89" w:rsidP="00081C89">
      <w:pPr>
        <w:ind w:firstLine="720"/>
        <w:rPr>
          <w:bCs/>
          <w:color w:val="000000"/>
        </w:rPr>
      </w:pPr>
      <w:r>
        <w:rPr>
          <w:bCs/>
          <w:color w:val="000000"/>
        </w:rPr>
        <w:t>The d</w:t>
      </w:r>
      <w:r w:rsidRPr="007F58A0">
        <w:rPr>
          <w:bCs/>
          <w:color w:val="000000"/>
        </w:rPr>
        <w:t>iasterane/sterane ratios are commonly used to discriminate carbonate from clay-rich source rocks, where low diasterane/sterane ratios indicate anoxic clay-poor or carbonate source rocks (Clark and Philp, 1989), and high ratios are usually a feature of source rocks containing abundant clays (Mello et al., 1988). During diagenesis, acidic sites on clays catalyze the conversion of steranes to diasteranes (</w:t>
      </w:r>
      <w:r>
        <w:rPr>
          <w:bCs/>
          <w:color w:val="000000"/>
        </w:rPr>
        <w:t xml:space="preserve">Grantham, 1986; </w:t>
      </w:r>
      <w:r w:rsidRPr="007F58A0">
        <w:rPr>
          <w:bCs/>
          <w:color w:val="000000"/>
        </w:rPr>
        <w:t>Grantham and Wakefield, 1988). It is also proposed that the proportion of diasteranes compared with regular steranes is known to be dependent upon maturity as well because the original steranes are converted gradually to mixtures of diasteranes and steranes (Hughes et al., 1985; Goodarzi et al., 1989). Seifert and Moldowan (19</w:t>
      </w:r>
      <w:r>
        <w:rPr>
          <w:bCs/>
          <w:color w:val="000000"/>
        </w:rPr>
        <w:t>86</w:t>
      </w:r>
      <w:r w:rsidRPr="007F58A0">
        <w:rPr>
          <w:bCs/>
          <w:color w:val="000000"/>
        </w:rPr>
        <w:t>) also suggested that high proportions of diasteranes compared with regular steranes in oil</w:t>
      </w:r>
      <w:r>
        <w:rPr>
          <w:bCs/>
          <w:color w:val="000000"/>
        </w:rPr>
        <w:t>s</w:t>
      </w:r>
      <w:r w:rsidRPr="007F58A0">
        <w:rPr>
          <w:bCs/>
          <w:color w:val="000000"/>
        </w:rPr>
        <w:t xml:space="preserve"> are consistent with </w:t>
      </w:r>
      <w:r>
        <w:rPr>
          <w:bCs/>
          <w:color w:val="000000"/>
        </w:rPr>
        <w:t>substantial</w:t>
      </w:r>
      <w:r w:rsidRPr="007F58A0">
        <w:rPr>
          <w:bCs/>
          <w:color w:val="000000"/>
        </w:rPr>
        <w:t xml:space="preserve"> biodegradation, resulting in </w:t>
      </w:r>
      <w:r>
        <w:rPr>
          <w:bCs/>
          <w:color w:val="000000"/>
        </w:rPr>
        <w:t xml:space="preserve">the </w:t>
      </w:r>
      <w:r w:rsidRPr="007F58A0">
        <w:rPr>
          <w:bCs/>
          <w:color w:val="000000"/>
        </w:rPr>
        <w:t xml:space="preserve">elimination of steranes relative to diasteranes. </w:t>
      </w:r>
    </w:p>
    <w:p w14:paraId="1C4C6C29" w14:textId="77777777" w:rsidR="00081C89" w:rsidRDefault="00081C89" w:rsidP="00081C89">
      <w:pPr>
        <w:pStyle w:val="Heading3"/>
        <w:numPr>
          <w:ilvl w:val="2"/>
          <w:numId w:val="10"/>
        </w:numPr>
      </w:pPr>
      <w:bookmarkStart w:id="218" w:name="_Toc25833562"/>
      <w:bookmarkStart w:id="219" w:name="_Toc29304876"/>
      <w:bookmarkStart w:id="220" w:name="_Toc35861116"/>
      <w:r>
        <w:lastRenderedPageBreak/>
        <w:t>Pregnanes and Homopregnane</w:t>
      </w:r>
      <w:bookmarkEnd w:id="218"/>
      <w:bookmarkEnd w:id="219"/>
      <w:r>
        <w:t>s</w:t>
      </w:r>
      <w:bookmarkEnd w:id="220"/>
    </w:p>
    <w:p w14:paraId="3ADE2D06" w14:textId="77777777" w:rsidR="00081C89" w:rsidRDefault="00081C89" w:rsidP="00081C89">
      <w:pPr>
        <w:spacing w:before="240"/>
        <w:ind w:firstLine="720"/>
        <w:rPr>
          <w:bCs/>
          <w:color w:val="000000"/>
        </w:rPr>
      </w:pPr>
      <w:r w:rsidRPr="00260349">
        <w:rPr>
          <w:bCs/>
          <w:color w:val="000000"/>
        </w:rPr>
        <w:t>The precursors of pregnane</w:t>
      </w:r>
      <w:r>
        <w:rPr>
          <w:bCs/>
          <w:color w:val="000000"/>
        </w:rPr>
        <w:t>s</w:t>
      </w:r>
      <w:r w:rsidRPr="00260349">
        <w:rPr>
          <w:bCs/>
          <w:color w:val="000000"/>
        </w:rPr>
        <w:t xml:space="preserve"> (C</w:t>
      </w:r>
      <w:r w:rsidRPr="00260349">
        <w:rPr>
          <w:bCs/>
          <w:color w:val="000000"/>
          <w:vertAlign w:val="subscript"/>
        </w:rPr>
        <w:t>21</w:t>
      </w:r>
      <w:r w:rsidRPr="00260349">
        <w:rPr>
          <w:bCs/>
          <w:color w:val="000000"/>
        </w:rPr>
        <w:t>H</w:t>
      </w:r>
      <w:r w:rsidRPr="00260349">
        <w:rPr>
          <w:bCs/>
          <w:color w:val="000000"/>
          <w:vertAlign w:val="subscript"/>
        </w:rPr>
        <w:t>36</w:t>
      </w:r>
      <w:r w:rsidRPr="00260349">
        <w:rPr>
          <w:bCs/>
          <w:color w:val="000000"/>
        </w:rPr>
        <w:t>) and homopregnane</w:t>
      </w:r>
      <w:r>
        <w:rPr>
          <w:bCs/>
          <w:color w:val="000000"/>
        </w:rPr>
        <w:t>s</w:t>
      </w:r>
      <w:r w:rsidRPr="00260349">
        <w:rPr>
          <w:bCs/>
          <w:color w:val="000000"/>
        </w:rPr>
        <w:t xml:space="preserve"> (C</w:t>
      </w:r>
      <w:r w:rsidRPr="00260349">
        <w:rPr>
          <w:bCs/>
          <w:color w:val="000000"/>
          <w:vertAlign w:val="subscript"/>
        </w:rPr>
        <w:t>22</w:t>
      </w:r>
      <w:r w:rsidRPr="00260349">
        <w:rPr>
          <w:bCs/>
          <w:color w:val="000000"/>
        </w:rPr>
        <w:t>H</w:t>
      </w:r>
      <w:r w:rsidRPr="00260349">
        <w:rPr>
          <w:bCs/>
          <w:color w:val="000000"/>
          <w:vertAlign w:val="subscript"/>
        </w:rPr>
        <w:t>38</w:t>
      </w:r>
      <w:r w:rsidRPr="00260349">
        <w:rPr>
          <w:bCs/>
          <w:color w:val="000000"/>
        </w:rPr>
        <w:t>) are pregnol and homopregnol</w:t>
      </w:r>
      <w:r>
        <w:rPr>
          <w:bCs/>
          <w:color w:val="000000"/>
        </w:rPr>
        <w:t>,</w:t>
      </w:r>
      <w:r w:rsidRPr="00260349">
        <w:rPr>
          <w:bCs/>
          <w:color w:val="000000"/>
        </w:rPr>
        <w:t xml:space="preserve"> which exist in protozoans (Yang, 1991</w:t>
      </w:r>
      <w:r>
        <w:rPr>
          <w:bCs/>
          <w:color w:val="000000"/>
        </w:rPr>
        <w:t>; Wang, 1993; Wang et al., 2015</w:t>
      </w:r>
      <w:r w:rsidRPr="00260349">
        <w:rPr>
          <w:bCs/>
          <w:color w:val="000000"/>
        </w:rPr>
        <w:t>).</w:t>
      </w:r>
      <w:r w:rsidRPr="00505938">
        <w:t xml:space="preserve"> </w:t>
      </w:r>
      <w:r w:rsidRPr="00505938">
        <w:rPr>
          <w:bCs/>
          <w:color w:val="000000"/>
        </w:rPr>
        <w:t xml:space="preserve">Wang (1993) analyzed extracts from the Springer </w:t>
      </w:r>
      <w:r>
        <w:rPr>
          <w:bCs/>
          <w:color w:val="000000"/>
        </w:rPr>
        <w:t>f</w:t>
      </w:r>
      <w:r w:rsidRPr="00505938">
        <w:rPr>
          <w:bCs/>
          <w:color w:val="000000"/>
        </w:rPr>
        <w:t>ormation</w:t>
      </w:r>
      <w:r>
        <w:rPr>
          <w:bCs/>
          <w:color w:val="000000"/>
        </w:rPr>
        <w:t xml:space="preserve"> in the Anadarko basin, Oklahoma, </w:t>
      </w:r>
      <w:r w:rsidRPr="00505938">
        <w:rPr>
          <w:bCs/>
          <w:color w:val="000000"/>
        </w:rPr>
        <w:t>and found that pregnanes were more resistant to weathering compared to regular steranes and diasteranes.</w:t>
      </w:r>
      <w:r>
        <w:rPr>
          <w:bCs/>
          <w:color w:val="000000"/>
        </w:rPr>
        <w:t xml:space="preserve"> ten Haven et al. (1985 and 1988), and Jiamo et al. (1988)</w:t>
      </w:r>
      <w:r w:rsidRPr="00260349">
        <w:rPr>
          <w:bCs/>
          <w:color w:val="000000"/>
        </w:rPr>
        <w:t xml:space="preserve"> </w:t>
      </w:r>
      <w:r>
        <w:rPr>
          <w:bCs/>
          <w:color w:val="000000"/>
        </w:rPr>
        <w:t>encountered them in higher concentration in rock samples from t</w:t>
      </w:r>
      <w:r w:rsidRPr="00260349">
        <w:rPr>
          <w:bCs/>
          <w:color w:val="000000"/>
        </w:rPr>
        <w:t>o hypersaline environments</w:t>
      </w:r>
      <w:r>
        <w:rPr>
          <w:bCs/>
          <w:color w:val="000000"/>
        </w:rPr>
        <w:t xml:space="preserve">, but they can </w:t>
      </w:r>
      <w:r w:rsidRPr="00260349">
        <w:rPr>
          <w:bCs/>
          <w:color w:val="000000"/>
        </w:rPr>
        <w:t>also</w:t>
      </w:r>
      <w:r>
        <w:rPr>
          <w:bCs/>
          <w:color w:val="000000"/>
        </w:rPr>
        <w:t xml:space="preserve"> be a</w:t>
      </w:r>
      <w:r w:rsidRPr="00260349">
        <w:rPr>
          <w:bCs/>
          <w:color w:val="000000"/>
        </w:rPr>
        <w:t xml:space="preserve"> result </w:t>
      </w:r>
      <w:r>
        <w:rPr>
          <w:bCs/>
          <w:color w:val="000000"/>
        </w:rPr>
        <w:t>of</w:t>
      </w:r>
      <w:r w:rsidRPr="00260349">
        <w:rPr>
          <w:bCs/>
          <w:color w:val="000000"/>
        </w:rPr>
        <w:t xml:space="preserve"> </w:t>
      </w:r>
      <w:r>
        <w:rPr>
          <w:bCs/>
          <w:color w:val="000000"/>
        </w:rPr>
        <w:t xml:space="preserve">the </w:t>
      </w:r>
      <w:r w:rsidRPr="00260349">
        <w:rPr>
          <w:bCs/>
          <w:color w:val="000000"/>
        </w:rPr>
        <w:t>thermal cracking of C</w:t>
      </w:r>
      <w:r w:rsidRPr="000C4F35">
        <w:rPr>
          <w:bCs/>
          <w:color w:val="000000"/>
          <w:vertAlign w:val="subscript"/>
        </w:rPr>
        <w:t>27</w:t>
      </w:r>
      <w:r w:rsidRPr="00260349">
        <w:rPr>
          <w:bCs/>
          <w:color w:val="000000"/>
        </w:rPr>
        <w:t>-C</w:t>
      </w:r>
      <w:r w:rsidRPr="000C4F35">
        <w:rPr>
          <w:bCs/>
          <w:color w:val="000000"/>
          <w:vertAlign w:val="subscript"/>
        </w:rPr>
        <w:t>29</w:t>
      </w:r>
      <w:r w:rsidRPr="00260349">
        <w:rPr>
          <w:bCs/>
          <w:color w:val="000000"/>
        </w:rPr>
        <w:t xml:space="preserve"> steranes (Mueller et al., 1995</w:t>
      </w:r>
      <w:r>
        <w:rPr>
          <w:bCs/>
          <w:color w:val="000000"/>
        </w:rPr>
        <w:t>; Wang et al., 2015; Miceli-Romero et al., 2018</w:t>
      </w:r>
      <w:r w:rsidRPr="00260349">
        <w:rPr>
          <w:bCs/>
          <w:color w:val="000000"/>
        </w:rPr>
        <w:t>). According to Peters et al. (2005</w:t>
      </w:r>
      <w:r>
        <w:rPr>
          <w:bCs/>
          <w:color w:val="000000"/>
        </w:rPr>
        <w:t>) and Wang et al. (2015),</w:t>
      </w:r>
      <w:r w:rsidRPr="00260349">
        <w:rPr>
          <w:bCs/>
          <w:color w:val="000000"/>
        </w:rPr>
        <w:t xml:space="preserve"> the pregnane</w:t>
      </w:r>
      <w:r>
        <w:rPr>
          <w:bCs/>
          <w:color w:val="000000"/>
        </w:rPr>
        <w:t>s</w:t>
      </w:r>
      <w:r w:rsidRPr="00260349">
        <w:rPr>
          <w:bCs/>
          <w:color w:val="000000"/>
        </w:rPr>
        <w:t xml:space="preserve"> and homopregnane</w:t>
      </w:r>
      <w:r>
        <w:rPr>
          <w:bCs/>
          <w:color w:val="000000"/>
        </w:rPr>
        <w:t>s</w:t>
      </w:r>
      <w:r w:rsidRPr="00260349">
        <w:rPr>
          <w:bCs/>
          <w:color w:val="000000"/>
        </w:rPr>
        <w:t xml:space="preserve"> </w:t>
      </w:r>
      <w:r>
        <w:rPr>
          <w:bCs/>
          <w:color w:val="000000"/>
        </w:rPr>
        <w:t>being resistant</w:t>
      </w:r>
      <w:r w:rsidRPr="00260349">
        <w:rPr>
          <w:bCs/>
          <w:color w:val="000000"/>
        </w:rPr>
        <w:t xml:space="preserve"> to biodegradation </w:t>
      </w:r>
      <w:r>
        <w:rPr>
          <w:bCs/>
          <w:color w:val="000000"/>
        </w:rPr>
        <w:t>can be associated with a change of the redox conditions, lithofacies, and mineral contents in the source rocks when compared with regular steranes and diasteranes</w:t>
      </w:r>
      <w:r w:rsidRPr="00260349">
        <w:rPr>
          <w:bCs/>
          <w:color w:val="000000"/>
        </w:rPr>
        <w:t xml:space="preserve">. These compounds were identified for </w:t>
      </w:r>
      <w:r>
        <w:rPr>
          <w:bCs/>
          <w:color w:val="000000"/>
        </w:rPr>
        <w:t>all samples</w:t>
      </w:r>
      <w:r w:rsidRPr="00260349">
        <w:rPr>
          <w:bCs/>
          <w:color w:val="000000"/>
        </w:rPr>
        <w:t xml:space="preserve"> and in a relatively lower </w:t>
      </w:r>
      <w:r>
        <w:rPr>
          <w:bCs/>
          <w:color w:val="000000"/>
        </w:rPr>
        <w:t>abundance</w:t>
      </w:r>
      <w:r w:rsidRPr="00260349">
        <w:rPr>
          <w:bCs/>
          <w:color w:val="000000"/>
        </w:rPr>
        <w:t xml:space="preserve"> in </w:t>
      </w:r>
      <w:r>
        <w:rPr>
          <w:bCs/>
          <w:color w:val="000000"/>
        </w:rPr>
        <w:t>the Upper Woodford</w:t>
      </w:r>
      <w:r w:rsidRPr="00260349">
        <w:rPr>
          <w:bCs/>
          <w:color w:val="000000"/>
        </w:rPr>
        <w:t xml:space="preserve"> member. This recognition allowed to estimate intervals of higher salinity relatively with other intervals by the </w:t>
      </w:r>
      <w:r>
        <w:rPr>
          <w:bCs/>
          <w:color w:val="000000"/>
        </w:rPr>
        <w:t>p</w:t>
      </w:r>
      <w:r w:rsidRPr="00260349">
        <w:rPr>
          <w:bCs/>
          <w:color w:val="000000"/>
        </w:rPr>
        <w:t>regnane</w:t>
      </w:r>
      <w:r>
        <w:rPr>
          <w:bCs/>
          <w:color w:val="000000"/>
        </w:rPr>
        <w:t>s</w:t>
      </w:r>
      <w:r w:rsidRPr="00260349">
        <w:rPr>
          <w:bCs/>
          <w:color w:val="000000"/>
        </w:rPr>
        <w:t>/(</w:t>
      </w:r>
      <w:r>
        <w:rPr>
          <w:bCs/>
          <w:color w:val="000000"/>
        </w:rPr>
        <w:t>p</w:t>
      </w:r>
      <w:r w:rsidRPr="00260349">
        <w:rPr>
          <w:bCs/>
          <w:color w:val="000000"/>
        </w:rPr>
        <w:t>regnane</w:t>
      </w:r>
      <w:r>
        <w:rPr>
          <w:bCs/>
          <w:color w:val="000000"/>
        </w:rPr>
        <w:t>s</w:t>
      </w:r>
      <w:r w:rsidRPr="00260349">
        <w:rPr>
          <w:bCs/>
          <w:color w:val="000000"/>
        </w:rPr>
        <w:t>+</w:t>
      </w:r>
      <w:r>
        <w:rPr>
          <w:bCs/>
          <w:color w:val="000000"/>
        </w:rPr>
        <w:t>s</w:t>
      </w:r>
      <w:r w:rsidRPr="00260349">
        <w:rPr>
          <w:bCs/>
          <w:color w:val="000000"/>
        </w:rPr>
        <w:t>terane</w:t>
      </w:r>
      <w:r>
        <w:rPr>
          <w:bCs/>
          <w:color w:val="000000"/>
        </w:rPr>
        <w:t>s</w:t>
      </w:r>
      <w:r w:rsidRPr="00260349">
        <w:rPr>
          <w:bCs/>
          <w:color w:val="000000"/>
        </w:rPr>
        <w:t>+</w:t>
      </w:r>
      <w:r>
        <w:rPr>
          <w:bCs/>
          <w:color w:val="000000"/>
        </w:rPr>
        <w:t>d</w:t>
      </w:r>
      <w:r w:rsidRPr="00260349">
        <w:rPr>
          <w:bCs/>
          <w:color w:val="000000"/>
        </w:rPr>
        <w:t>iasterane</w:t>
      </w:r>
      <w:r>
        <w:rPr>
          <w:bCs/>
          <w:color w:val="000000"/>
        </w:rPr>
        <w:t>s</w:t>
      </w:r>
      <w:r w:rsidRPr="00260349">
        <w:rPr>
          <w:bCs/>
          <w:color w:val="000000"/>
        </w:rPr>
        <w:t>) ratio</w:t>
      </w:r>
      <w:r>
        <w:rPr>
          <w:bCs/>
          <w:color w:val="000000"/>
        </w:rPr>
        <w:t xml:space="preserve"> (Wang et al., 2015; Liborius-Parada, 2019).  For the case of a sample with a high </w:t>
      </w:r>
      <w:r w:rsidRPr="003C73B1">
        <w:rPr>
          <w:bCs/>
          <w:color w:val="000000"/>
        </w:rPr>
        <w:t xml:space="preserve">concentration of diasteranes and </w:t>
      </w:r>
      <w:r>
        <w:rPr>
          <w:bCs/>
          <w:color w:val="000000"/>
        </w:rPr>
        <w:t xml:space="preserve">a </w:t>
      </w:r>
      <w:r w:rsidRPr="003C73B1">
        <w:rPr>
          <w:bCs/>
          <w:color w:val="000000"/>
        </w:rPr>
        <w:t>lower concentration of pregnanes</w:t>
      </w:r>
      <w:r>
        <w:rPr>
          <w:bCs/>
          <w:color w:val="000000"/>
        </w:rPr>
        <w:t>, this</w:t>
      </w:r>
      <w:r w:rsidRPr="003C73B1">
        <w:rPr>
          <w:bCs/>
          <w:color w:val="000000"/>
        </w:rPr>
        <w:t xml:space="preserve"> can be associated with oxic conditions, terrigenous input,</w:t>
      </w:r>
      <w:r>
        <w:rPr>
          <w:bCs/>
          <w:color w:val="000000"/>
        </w:rPr>
        <w:t xml:space="preserve"> and</w:t>
      </w:r>
      <w:r w:rsidRPr="003C73B1">
        <w:rPr>
          <w:bCs/>
          <w:color w:val="000000"/>
        </w:rPr>
        <w:t xml:space="preserve"> high clay content</w:t>
      </w:r>
      <w:r>
        <w:rPr>
          <w:bCs/>
          <w:color w:val="000000"/>
        </w:rPr>
        <w:t xml:space="preserve"> </w:t>
      </w:r>
      <w:r w:rsidRPr="003C73B1">
        <w:rPr>
          <w:bCs/>
          <w:color w:val="000000"/>
        </w:rPr>
        <w:t>(ten-Haven et al., 1985</w:t>
      </w:r>
      <w:r>
        <w:rPr>
          <w:bCs/>
          <w:color w:val="000000"/>
        </w:rPr>
        <w:t>; Wang et al., 2015; Liborius-Parada, 2019</w:t>
      </w:r>
      <w:r w:rsidRPr="003C73B1">
        <w:rPr>
          <w:bCs/>
          <w:color w:val="000000"/>
        </w:rPr>
        <w:t>).</w:t>
      </w:r>
      <w:r>
        <w:rPr>
          <w:bCs/>
          <w:color w:val="000000"/>
        </w:rPr>
        <w:t xml:space="preserve"> For the cases of</w:t>
      </w:r>
      <w:r w:rsidRPr="003C73B1">
        <w:rPr>
          <w:bCs/>
          <w:color w:val="000000"/>
        </w:rPr>
        <w:t xml:space="preserve"> low diasterane</w:t>
      </w:r>
      <w:r>
        <w:rPr>
          <w:bCs/>
          <w:color w:val="000000"/>
        </w:rPr>
        <w:t>s</w:t>
      </w:r>
      <w:r w:rsidRPr="003C73B1">
        <w:rPr>
          <w:bCs/>
          <w:color w:val="000000"/>
        </w:rPr>
        <w:t xml:space="preserve"> and high pregnane</w:t>
      </w:r>
      <w:r>
        <w:rPr>
          <w:bCs/>
          <w:color w:val="000000"/>
        </w:rPr>
        <w:t>s</w:t>
      </w:r>
      <w:r w:rsidRPr="003C73B1">
        <w:rPr>
          <w:bCs/>
          <w:color w:val="000000"/>
        </w:rPr>
        <w:t xml:space="preserve"> concentration</w:t>
      </w:r>
      <w:r>
        <w:rPr>
          <w:bCs/>
          <w:color w:val="000000"/>
        </w:rPr>
        <w:t xml:space="preserve">, </w:t>
      </w:r>
      <w:r w:rsidRPr="003C73B1">
        <w:rPr>
          <w:bCs/>
          <w:color w:val="000000"/>
        </w:rPr>
        <w:t>h</w:t>
      </w:r>
      <w:r>
        <w:rPr>
          <w:bCs/>
          <w:color w:val="000000"/>
        </w:rPr>
        <w:t xml:space="preserve">igh salinity in the oceanic waters of the depositional </w:t>
      </w:r>
      <w:r w:rsidRPr="003C73B1">
        <w:rPr>
          <w:bCs/>
          <w:color w:val="000000"/>
        </w:rPr>
        <w:t xml:space="preserve">environment and clastic-starved, non-terrigenous, sulfur-rich </w:t>
      </w:r>
      <w:r>
        <w:rPr>
          <w:bCs/>
          <w:color w:val="000000"/>
        </w:rPr>
        <w:t>conditions are likely to occur</w:t>
      </w:r>
      <w:r w:rsidRPr="003C73B1">
        <w:rPr>
          <w:bCs/>
          <w:color w:val="000000"/>
        </w:rPr>
        <w:t xml:space="preserve"> (ten-Haven et al., 1985</w:t>
      </w:r>
      <w:r>
        <w:rPr>
          <w:bCs/>
          <w:color w:val="000000"/>
        </w:rPr>
        <w:t>; Wang et al., 2015; Liborius-Parada, 2019</w:t>
      </w:r>
      <w:r w:rsidRPr="003C73B1">
        <w:rPr>
          <w:bCs/>
          <w:color w:val="000000"/>
        </w:rPr>
        <w:t>).</w:t>
      </w:r>
      <w:r>
        <w:rPr>
          <w:bCs/>
          <w:color w:val="000000"/>
        </w:rPr>
        <w:t xml:space="preserve"> In the low maturity SR samples, these conditions of low diasteranes and high pregnanes are interpreted as higher salinity in the paleo Woodford oceanic water. </w:t>
      </w:r>
    </w:p>
    <w:p w14:paraId="787207A2" w14:textId="77777777" w:rsidR="00081C89" w:rsidRDefault="00081C89" w:rsidP="00081C89">
      <w:pPr>
        <w:spacing w:before="240"/>
        <w:ind w:firstLine="720"/>
        <w:rPr>
          <w:bCs/>
          <w:color w:val="000000"/>
        </w:rPr>
      </w:pPr>
    </w:p>
    <w:p w14:paraId="499BC47E" w14:textId="77777777" w:rsidR="00081C89" w:rsidRDefault="00081C89" w:rsidP="00081C89">
      <w:pPr>
        <w:pStyle w:val="Heading3"/>
        <w:numPr>
          <w:ilvl w:val="2"/>
          <w:numId w:val="10"/>
        </w:numPr>
      </w:pPr>
      <w:bookmarkStart w:id="221" w:name="_Toc25833563"/>
      <w:bookmarkStart w:id="222" w:name="_Toc29304877"/>
      <w:bookmarkStart w:id="223" w:name="_Toc35861117"/>
      <w:r>
        <w:lastRenderedPageBreak/>
        <w:t>Terpanes</w:t>
      </w:r>
      <w:bookmarkEnd w:id="221"/>
      <w:bookmarkEnd w:id="222"/>
      <w:bookmarkEnd w:id="223"/>
    </w:p>
    <w:p w14:paraId="77CDEC50" w14:textId="77777777" w:rsidR="00081C89" w:rsidRPr="00A81536" w:rsidRDefault="00081C89" w:rsidP="00081C89">
      <w:pPr>
        <w:spacing w:after="0"/>
        <w:rPr>
          <w:lang w:eastAsia="ja-JP"/>
        </w:rPr>
      </w:pPr>
    </w:p>
    <w:p w14:paraId="31EFB166" w14:textId="77777777" w:rsidR="00081C89" w:rsidRDefault="00081C89" w:rsidP="00081C89">
      <w:pPr>
        <w:ind w:firstLine="720"/>
      </w:pPr>
      <w:r>
        <w:t>H</w:t>
      </w:r>
      <w:r w:rsidRPr="005439F7">
        <w:t xml:space="preserve">opanes </w:t>
      </w:r>
      <w:r>
        <w:t xml:space="preserve">are </w:t>
      </w:r>
      <w:r w:rsidRPr="005439F7">
        <w:t>pentacyclic triterpane</w:t>
      </w:r>
      <w:r>
        <w:t>s</w:t>
      </w:r>
      <w:r w:rsidRPr="005439F7">
        <w:t xml:space="preserve"> whose precursor</w:t>
      </w:r>
      <w:r>
        <w:t>s are</w:t>
      </w:r>
      <w:r w:rsidRPr="005439F7">
        <w:t xml:space="preserve"> derived from bacterial membrane lipids (bacteria and cyanoba</w:t>
      </w:r>
      <w:r>
        <w:t>c</w:t>
      </w:r>
      <w:r w:rsidRPr="005439F7">
        <w:t>teria; Ourisson et al., 1982</w:t>
      </w:r>
      <w:r>
        <w:t>; P</w:t>
      </w:r>
      <w:r w:rsidRPr="005439F7">
        <w:t xml:space="preserve">eters et al., </w:t>
      </w:r>
      <w:r>
        <w:t>2005).</w:t>
      </w:r>
      <w:r w:rsidRPr="005439F7">
        <w:t xml:space="preserve"> In the </w:t>
      </w:r>
      <w:r>
        <w:t>SR Woodford</w:t>
      </w:r>
      <w:r w:rsidRPr="005439F7">
        <w:t xml:space="preserve"> samples</w:t>
      </w:r>
      <w:r>
        <w:t>,</w:t>
      </w:r>
      <w:r w:rsidRPr="005439F7">
        <w:t xml:space="preserve"> </w:t>
      </w:r>
      <w:r>
        <w:t xml:space="preserve">the </w:t>
      </w:r>
      <w:r w:rsidRPr="005439F7">
        <w:t>hopane</w:t>
      </w:r>
      <w:r>
        <w:t>s</w:t>
      </w:r>
      <w:r w:rsidRPr="005439F7">
        <w:t xml:space="preserve"> distributions were analyzed by SIM/GCMS using </w:t>
      </w:r>
      <w:r>
        <w:t xml:space="preserve">mainly </w:t>
      </w:r>
      <w:r w:rsidRPr="005439F7">
        <w:t xml:space="preserve">the m/z 191 ion (Figure </w:t>
      </w:r>
      <w:r>
        <w:t>3.28 and Figure 3.29</w:t>
      </w:r>
      <w:r w:rsidRPr="005439F7">
        <w:t xml:space="preserve">). Peak identifications are given in Table </w:t>
      </w:r>
      <w:r>
        <w:t>3.5,</w:t>
      </w:r>
      <w:r w:rsidRPr="005439F7">
        <w:t xml:space="preserve"> and biomarker ratios based on the </w:t>
      </w:r>
      <w:r>
        <w:t xml:space="preserve">tricyclic terpanes and </w:t>
      </w:r>
      <w:r w:rsidRPr="005439F7">
        <w:t>hopane</w:t>
      </w:r>
      <w:r>
        <w:t xml:space="preserve">s </w:t>
      </w:r>
      <w:r w:rsidRPr="005439F7">
        <w:t xml:space="preserve">are presented in </w:t>
      </w:r>
      <w:r w:rsidRPr="00A30546">
        <w:rPr>
          <w:color w:val="000000" w:themeColor="text1"/>
        </w:rPr>
        <w:t xml:space="preserve">Table 3.6. </w:t>
      </w:r>
      <w:r w:rsidRPr="00871673">
        <w:t xml:space="preserve">The </w:t>
      </w:r>
      <w:r>
        <w:t>ratios of t</w:t>
      </w:r>
      <w:r w:rsidRPr="00871673">
        <w:t>ricyclic terpane</w:t>
      </w:r>
      <w:r>
        <w:t>s</w:t>
      </w:r>
      <w:r w:rsidRPr="00871673">
        <w:t xml:space="preserve"> </w:t>
      </w:r>
      <w:r>
        <w:t>vs. hopanes are a petroleum industry-standard tool</w:t>
      </w:r>
      <w:r w:rsidRPr="00871673">
        <w:t xml:space="preserve"> to predict</w:t>
      </w:r>
      <w:r>
        <w:t xml:space="preserve"> the</w:t>
      </w:r>
      <w:r w:rsidRPr="00871673">
        <w:t xml:space="preserve"> source</w:t>
      </w:r>
      <w:r>
        <w:t xml:space="preserve"> </w:t>
      </w:r>
      <w:r w:rsidRPr="00871673">
        <w:t xml:space="preserve">rock characteristics and to evaluate the extent of thermal maturity and biodegradation </w:t>
      </w:r>
      <w:r>
        <w:t xml:space="preserve">in oils and source rocks </w:t>
      </w:r>
      <w:r w:rsidRPr="00871673">
        <w:t>(Seifert and Moldowan, 198</w:t>
      </w:r>
      <w:r>
        <w:t>0</w:t>
      </w:r>
      <w:r w:rsidRPr="00871673">
        <w:t>; Zumberge, 198</w:t>
      </w:r>
      <w:r>
        <w:t>4</w:t>
      </w:r>
      <w:r w:rsidRPr="00871673">
        <w:t>; Peters</w:t>
      </w:r>
      <w:r>
        <w:t xml:space="preserve"> </w:t>
      </w:r>
      <w:r w:rsidRPr="00871673">
        <w:t>and Moldowan, 1993</w:t>
      </w:r>
      <w:r>
        <w:t>; Wenger et al., 2002</w:t>
      </w:r>
      <w:r w:rsidRPr="00871673">
        <w:t>)</w:t>
      </w:r>
      <w:r>
        <w:t>.</w:t>
      </w:r>
      <w:r w:rsidRPr="00871673">
        <w:t xml:space="preserve"> </w:t>
      </w:r>
    </w:p>
    <w:p w14:paraId="5375651A" w14:textId="77777777" w:rsidR="00081C89" w:rsidRDefault="00081C89" w:rsidP="00081C89">
      <w:pPr>
        <w:rPr>
          <w:rFonts w:eastAsia="Times New Roman"/>
          <w:b/>
          <w:bCs/>
          <w:color w:val="000000"/>
          <w:sz w:val="22"/>
        </w:rPr>
      </w:pPr>
      <w:r w:rsidRPr="00871673">
        <w:t>The widespread occurrences of tricyclic terpane</w:t>
      </w:r>
      <w:r>
        <w:t>s are</w:t>
      </w:r>
      <w:r w:rsidRPr="00871673">
        <w:t xml:space="preserve"> believed to result from precursors produced by algae (Seifert and Moldowan, 19</w:t>
      </w:r>
      <w:r>
        <w:t>80</w:t>
      </w:r>
      <w:r w:rsidRPr="00871673">
        <w:t>; Philp and Gilbert, 1986; Philp et al., 1992) and are typically absent, or occur in small</w:t>
      </w:r>
      <w:r>
        <w:t xml:space="preserve"> </w:t>
      </w:r>
      <w:r w:rsidRPr="00871673">
        <w:t>amounts, in oils from terrigenous source materials (Robinson, 1987; Peters et al., 2005).</w:t>
      </w:r>
      <w:r>
        <w:t xml:space="preserve"> </w:t>
      </w:r>
      <w:r w:rsidRPr="00871673">
        <w:t>Philp et al. (19</w:t>
      </w:r>
      <w:r>
        <w:t>92</w:t>
      </w:r>
      <w:r w:rsidRPr="00871673">
        <w:t>) pointed out that tricyclic terpane</w:t>
      </w:r>
      <w:r>
        <w:t>s</w:t>
      </w:r>
      <w:r w:rsidRPr="00871673">
        <w:t xml:space="preserve"> ha</w:t>
      </w:r>
      <w:r>
        <w:t>ve</w:t>
      </w:r>
      <w:r w:rsidRPr="00871673">
        <w:t xml:space="preserve"> also been reported in saline</w:t>
      </w:r>
      <w:r>
        <w:t xml:space="preserve"> </w:t>
      </w:r>
      <w:r w:rsidRPr="00871673">
        <w:t>lacustrine oils from China</w:t>
      </w:r>
      <w:r>
        <w:t xml:space="preserve"> </w:t>
      </w:r>
      <w:r w:rsidRPr="00871673">
        <w:t>and suggested a salinity-controlled occurrence of these</w:t>
      </w:r>
      <w:r>
        <w:t xml:space="preserve"> </w:t>
      </w:r>
      <w:r w:rsidRPr="00871673">
        <w:t xml:space="preserve">compounds. </w:t>
      </w:r>
      <w:r>
        <w:t>The t</w:t>
      </w:r>
      <w:r w:rsidRPr="00D40BEC">
        <w:t>ricyclic terpane</w:t>
      </w:r>
      <w:r>
        <w:t>s are</w:t>
      </w:r>
      <w:r w:rsidRPr="00D40BEC">
        <w:t xml:space="preserve"> generally more abundant in highly mature oils and/or source rocks because they are thermally more stable than other terpanes (Peters and Moldowan, 1993), and thus the ratio of tricyclic terpane</w:t>
      </w:r>
      <w:r>
        <w:t>s</w:t>
      </w:r>
      <w:r w:rsidRPr="00D40BEC">
        <w:t xml:space="preserve"> to 17α-hopanes will rise with increasing maturity (Waples and Machihara, 1990). The high abundance of extended tricyclic terpane</w:t>
      </w:r>
      <w:r>
        <w:t>s</w:t>
      </w:r>
      <w:r w:rsidRPr="00D40BEC">
        <w:t xml:space="preserve"> relative to hopanes in oils and/or source rocks may also be related to maturity effects and is also probably due to marine</w:t>
      </w:r>
      <w:r>
        <w:t>-</w:t>
      </w:r>
      <w:r w:rsidRPr="00D40BEC">
        <w:t>influenced depositional conditions (Seifert and Moldowan, 19</w:t>
      </w:r>
      <w:r>
        <w:t>80</w:t>
      </w:r>
      <w:r w:rsidRPr="00D40BEC">
        <w:t xml:space="preserve">; Philp et al., 1992). </w:t>
      </w:r>
    </w:p>
    <w:p w14:paraId="59B4887C" w14:textId="77777777" w:rsidR="00081C89" w:rsidRDefault="00081C89" w:rsidP="00081C89">
      <w:pPr>
        <w:rPr>
          <w:b/>
          <w:bCs/>
          <w:color w:val="000000"/>
        </w:rPr>
        <w:sectPr w:rsidR="00081C89" w:rsidSect="0095456D">
          <w:pgSz w:w="12240" w:h="15840"/>
          <w:pgMar w:top="1440" w:right="1440" w:bottom="1440" w:left="1440" w:header="720" w:footer="720" w:gutter="0"/>
          <w:cols w:space="720"/>
          <w:docGrid w:linePitch="360"/>
        </w:sectPr>
      </w:pPr>
    </w:p>
    <w:tbl>
      <w:tblPr>
        <w:tblW w:w="7223" w:type="dxa"/>
        <w:jc w:val="center"/>
        <w:tblLook w:val="04A0" w:firstRow="1" w:lastRow="0" w:firstColumn="1" w:lastColumn="0" w:noHBand="0" w:noVBand="1"/>
      </w:tblPr>
      <w:tblGrid>
        <w:gridCol w:w="1434"/>
        <w:gridCol w:w="5789"/>
      </w:tblGrid>
      <w:tr w:rsidR="00081C89" w:rsidRPr="00C51899" w14:paraId="2FE0A685" w14:textId="77777777" w:rsidTr="003C111E">
        <w:trPr>
          <w:trHeight w:hRule="exact" w:val="360"/>
          <w:jc w:val="center"/>
        </w:trPr>
        <w:tc>
          <w:tcPr>
            <w:tcW w:w="1434" w:type="dxa"/>
            <w:tcBorders>
              <w:top w:val="single" w:sz="4" w:space="0" w:color="auto"/>
              <w:left w:val="nil"/>
              <w:bottom w:val="single" w:sz="4" w:space="0" w:color="auto"/>
              <w:right w:val="nil"/>
            </w:tcBorders>
            <w:shd w:val="clear" w:color="auto" w:fill="auto"/>
            <w:noWrap/>
            <w:vAlign w:val="center"/>
          </w:tcPr>
          <w:p w14:paraId="7DE4E86A" w14:textId="77777777" w:rsidR="00081C89" w:rsidRPr="00C51899" w:rsidRDefault="00081C89" w:rsidP="003C111E">
            <w:pPr>
              <w:rPr>
                <w:b/>
                <w:bCs/>
                <w:color w:val="000000"/>
              </w:rPr>
            </w:pPr>
            <w:r w:rsidRPr="00C51899">
              <w:rPr>
                <w:b/>
                <w:bCs/>
                <w:color w:val="000000"/>
              </w:rPr>
              <w:lastRenderedPageBreak/>
              <w:t>Peak #</w:t>
            </w:r>
          </w:p>
        </w:tc>
        <w:tc>
          <w:tcPr>
            <w:tcW w:w="5789" w:type="dxa"/>
            <w:tcBorders>
              <w:top w:val="single" w:sz="4" w:space="0" w:color="auto"/>
              <w:left w:val="nil"/>
              <w:bottom w:val="single" w:sz="4" w:space="0" w:color="auto"/>
              <w:right w:val="nil"/>
            </w:tcBorders>
            <w:shd w:val="clear" w:color="auto" w:fill="auto"/>
            <w:noWrap/>
            <w:vAlign w:val="center"/>
          </w:tcPr>
          <w:p w14:paraId="51B535E0" w14:textId="77777777" w:rsidR="00081C89" w:rsidRPr="00C51899" w:rsidRDefault="00081C89" w:rsidP="003C111E">
            <w:pPr>
              <w:jc w:val="center"/>
              <w:rPr>
                <w:b/>
                <w:bCs/>
                <w:color w:val="000000"/>
              </w:rPr>
            </w:pPr>
            <w:r w:rsidRPr="00C51899">
              <w:rPr>
                <w:b/>
                <w:bCs/>
                <w:color w:val="000000"/>
              </w:rPr>
              <w:t>Compound</w:t>
            </w:r>
          </w:p>
        </w:tc>
      </w:tr>
      <w:tr w:rsidR="00081C89" w:rsidRPr="00C51899" w14:paraId="56C8C143"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5861157B" w14:textId="77777777" w:rsidR="00081C89" w:rsidRPr="00C51899" w:rsidRDefault="00081C89" w:rsidP="003C111E">
            <w:pPr>
              <w:jc w:val="center"/>
              <w:rPr>
                <w:b/>
                <w:color w:val="000000"/>
              </w:rPr>
            </w:pPr>
            <w:r w:rsidRPr="00C51899">
              <w:rPr>
                <w:b/>
                <w:color w:val="000000"/>
              </w:rPr>
              <w:t>1</w:t>
            </w:r>
          </w:p>
        </w:tc>
        <w:tc>
          <w:tcPr>
            <w:tcW w:w="5789" w:type="dxa"/>
            <w:tcBorders>
              <w:top w:val="nil"/>
              <w:left w:val="nil"/>
              <w:bottom w:val="nil"/>
              <w:right w:val="nil"/>
            </w:tcBorders>
            <w:shd w:val="clear" w:color="auto" w:fill="auto"/>
            <w:noWrap/>
            <w:vAlign w:val="center"/>
          </w:tcPr>
          <w:p w14:paraId="1F81EF5F" w14:textId="77777777" w:rsidR="00081C89" w:rsidRPr="00C51899" w:rsidRDefault="00081C89" w:rsidP="003C111E">
            <w:pPr>
              <w:rPr>
                <w:color w:val="000000"/>
              </w:rPr>
            </w:pPr>
            <w:r w:rsidRPr="00C51899">
              <w:rPr>
                <w:b/>
                <w:color w:val="000000"/>
              </w:rPr>
              <w:t>C</w:t>
            </w:r>
            <w:r w:rsidRPr="00C51899">
              <w:rPr>
                <w:b/>
                <w:color w:val="000000"/>
                <w:vertAlign w:val="subscript"/>
              </w:rPr>
              <w:t>20</w:t>
            </w:r>
            <w:r>
              <w:rPr>
                <w:color w:val="000000"/>
              </w:rPr>
              <w:t xml:space="preserve"> Tricyclic terpane </w:t>
            </w:r>
          </w:p>
        </w:tc>
      </w:tr>
      <w:tr w:rsidR="00081C89" w:rsidRPr="00C51899" w14:paraId="271A7E08"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6EAB188E" w14:textId="77777777" w:rsidR="00081C89" w:rsidRPr="00C51899" w:rsidRDefault="00081C89" w:rsidP="003C111E">
            <w:pPr>
              <w:jc w:val="center"/>
              <w:rPr>
                <w:b/>
                <w:color w:val="000000"/>
              </w:rPr>
            </w:pPr>
            <w:r w:rsidRPr="00C51899">
              <w:rPr>
                <w:b/>
                <w:color w:val="000000"/>
              </w:rPr>
              <w:t>2</w:t>
            </w:r>
          </w:p>
        </w:tc>
        <w:tc>
          <w:tcPr>
            <w:tcW w:w="5789" w:type="dxa"/>
            <w:tcBorders>
              <w:top w:val="nil"/>
              <w:left w:val="nil"/>
              <w:bottom w:val="nil"/>
              <w:right w:val="nil"/>
            </w:tcBorders>
            <w:shd w:val="clear" w:color="auto" w:fill="auto"/>
            <w:noWrap/>
            <w:vAlign w:val="center"/>
          </w:tcPr>
          <w:p w14:paraId="34D9EB09" w14:textId="77777777" w:rsidR="00081C89" w:rsidRPr="00C51899" w:rsidRDefault="00081C89" w:rsidP="003C111E">
            <w:pPr>
              <w:rPr>
                <w:color w:val="000000"/>
              </w:rPr>
            </w:pPr>
            <w:r w:rsidRPr="00C51899">
              <w:rPr>
                <w:b/>
                <w:color w:val="000000"/>
              </w:rPr>
              <w:t>C</w:t>
            </w:r>
            <w:r w:rsidRPr="00C51899">
              <w:rPr>
                <w:b/>
                <w:color w:val="000000"/>
                <w:vertAlign w:val="subscript"/>
              </w:rPr>
              <w:t>21</w:t>
            </w:r>
            <w:r w:rsidRPr="00C51899">
              <w:rPr>
                <w:color w:val="000000"/>
              </w:rPr>
              <w:t xml:space="preserve"> Tricyclic terpane</w:t>
            </w:r>
          </w:p>
        </w:tc>
      </w:tr>
      <w:tr w:rsidR="00081C89" w:rsidRPr="00C51899" w14:paraId="2507FFCF"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3E61B081" w14:textId="77777777" w:rsidR="00081C89" w:rsidRPr="00C51899" w:rsidRDefault="00081C89" w:rsidP="003C111E">
            <w:pPr>
              <w:jc w:val="center"/>
              <w:rPr>
                <w:b/>
                <w:color w:val="000000"/>
              </w:rPr>
            </w:pPr>
            <w:r w:rsidRPr="00C51899">
              <w:rPr>
                <w:b/>
                <w:color w:val="000000"/>
              </w:rPr>
              <w:t>3</w:t>
            </w:r>
          </w:p>
        </w:tc>
        <w:tc>
          <w:tcPr>
            <w:tcW w:w="5789" w:type="dxa"/>
            <w:tcBorders>
              <w:top w:val="nil"/>
              <w:left w:val="nil"/>
              <w:bottom w:val="nil"/>
              <w:right w:val="nil"/>
            </w:tcBorders>
            <w:shd w:val="clear" w:color="auto" w:fill="auto"/>
            <w:noWrap/>
            <w:vAlign w:val="center"/>
          </w:tcPr>
          <w:p w14:paraId="44BD1629" w14:textId="77777777" w:rsidR="00081C89" w:rsidRPr="00C51899" w:rsidRDefault="00081C89" w:rsidP="003C111E">
            <w:pPr>
              <w:rPr>
                <w:color w:val="000000"/>
              </w:rPr>
            </w:pPr>
            <w:r w:rsidRPr="00C51899">
              <w:rPr>
                <w:b/>
                <w:color w:val="000000"/>
              </w:rPr>
              <w:t>C</w:t>
            </w:r>
            <w:r w:rsidRPr="00C51899">
              <w:rPr>
                <w:b/>
                <w:color w:val="000000"/>
                <w:vertAlign w:val="subscript"/>
              </w:rPr>
              <w:t>22</w:t>
            </w:r>
            <w:r>
              <w:rPr>
                <w:color w:val="000000"/>
              </w:rPr>
              <w:t xml:space="preserve"> Tricyclic terpane</w:t>
            </w:r>
          </w:p>
        </w:tc>
      </w:tr>
      <w:tr w:rsidR="00081C89" w:rsidRPr="00C51899" w14:paraId="72F4E395"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3EED64AB" w14:textId="77777777" w:rsidR="00081C89" w:rsidRPr="00C51899" w:rsidRDefault="00081C89" w:rsidP="003C111E">
            <w:pPr>
              <w:jc w:val="center"/>
              <w:rPr>
                <w:b/>
                <w:color w:val="000000"/>
              </w:rPr>
            </w:pPr>
            <w:r w:rsidRPr="00C51899">
              <w:rPr>
                <w:b/>
                <w:color w:val="000000"/>
              </w:rPr>
              <w:t>4</w:t>
            </w:r>
          </w:p>
        </w:tc>
        <w:tc>
          <w:tcPr>
            <w:tcW w:w="5789" w:type="dxa"/>
            <w:tcBorders>
              <w:top w:val="nil"/>
              <w:left w:val="nil"/>
              <w:bottom w:val="nil"/>
              <w:right w:val="nil"/>
            </w:tcBorders>
            <w:shd w:val="clear" w:color="auto" w:fill="auto"/>
            <w:noWrap/>
            <w:vAlign w:val="center"/>
          </w:tcPr>
          <w:p w14:paraId="343BBE00" w14:textId="77777777" w:rsidR="00081C89" w:rsidRPr="00C51899" w:rsidRDefault="00081C89" w:rsidP="003C111E">
            <w:pPr>
              <w:rPr>
                <w:color w:val="000000"/>
              </w:rPr>
            </w:pPr>
            <w:r w:rsidRPr="00C51899">
              <w:rPr>
                <w:b/>
                <w:color w:val="000000"/>
              </w:rPr>
              <w:t>C</w:t>
            </w:r>
            <w:r w:rsidRPr="00C51899">
              <w:rPr>
                <w:b/>
                <w:color w:val="000000"/>
                <w:vertAlign w:val="subscript"/>
              </w:rPr>
              <w:t>23</w:t>
            </w:r>
            <w:r w:rsidRPr="00C51899">
              <w:rPr>
                <w:color w:val="000000"/>
              </w:rPr>
              <w:t xml:space="preserve"> Tricyclic terpane </w:t>
            </w:r>
          </w:p>
        </w:tc>
      </w:tr>
      <w:tr w:rsidR="00081C89" w:rsidRPr="00C51899" w14:paraId="1AF23CF1"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37CBC650" w14:textId="77777777" w:rsidR="00081C89" w:rsidRPr="00C51899" w:rsidRDefault="00081C89" w:rsidP="003C111E">
            <w:pPr>
              <w:jc w:val="center"/>
              <w:rPr>
                <w:b/>
                <w:color w:val="000000"/>
              </w:rPr>
            </w:pPr>
            <w:r w:rsidRPr="00C51899">
              <w:rPr>
                <w:b/>
                <w:color w:val="000000"/>
              </w:rPr>
              <w:t>5</w:t>
            </w:r>
          </w:p>
        </w:tc>
        <w:tc>
          <w:tcPr>
            <w:tcW w:w="5789" w:type="dxa"/>
            <w:tcBorders>
              <w:top w:val="nil"/>
              <w:left w:val="nil"/>
              <w:bottom w:val="nil"/>
              <w:right w:val="nil"/>
            </w:tcBorders>
            <w:shd w:val="clear" w:color="auto" w:fill="auto"/>
            <w:noWrap/>
            <w:vAlign w:val="center"/>
          </w:tcPr>
          <w:p w14:paraId="1F83B638" w14:textId="77777777" w:rsidR="00081C89" w:rsidRPr="00C51899" w:rsidRDefault="00081C89" w:rsidP="003C111E">
            <w:pPr>
              <w:rPr>
                <w:color w:val="000000"/>
              </w:rPr>
            </w:pPr>
            <w:r w:rsidRPr="00C51899">
              <w:rPr>
                <w:b/>
                <w:color w:val="000000"/>
              </w:rPr>
              <w:t>C</w:t>
            </w:r>
            <w:r w:rsidRPr="00C51899">
              <w:rPr>
                <w:b/>
                <w:color w:val="000000"/>
                <w:vertAlign w:val="subscript"/>
              </w:rPr>
              <w:t>24</w:t>
            </w:r>
            <w:r w:rsidRPr="00C51899">
              <w:rPr>
                <w:color w:val="000000"/>
              </w:rPr>
              <w:t xml:space="preserve"> Tricyclic terpane </w:t>
            </w:r>
          </w:p>
        </w:tc>
      </w:tr>
      <w:tr w:rsidR="00081C89" w:rsidRPr="00C51899" w14:paraId="045C1BF8"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5A189EAC" w14:textId="77777777" w:rsidR="00081C89" w:rsidRPr="00C51899" w:rsidRDefault="00081C89" w:rsidP="003C111E">
            <w:pPr>
              <w:jc w:val="center"/>
              <w:rPr>
                <w:b/>
                <w:color w:val="000000"/>
              </w:rPr>
            </w:pPr>
            <w:r w:rsidRPr="00C51899">
              <w:rPr>
                <w:b/>
                <w:color w:val="000000"/>
              </w:rPr>
              <w:t>6</w:t>
            </w:r>
          </w:p>
        </w:tc>
        <w:tc>
          <w:tcPr>
            <w:tcW w:w="5789" w:type="dxa"/>
            <w:tcBorders>
              <w:top w:val="nil"/>
              <w:left w:val="nil"/>
              <w:bottom w:val="nil"/>
              <w:right w:val="nil"/>
            </w:tcBorders>
            <w:shd w:val="clear" w:color="auto" w:fill="auto"/>
            <w:noWrap/>
            <w:vAlign w:val="center"/>
          </w:tcPr>
          <w:p w14:paraId="7D8C245E" w14:textId="77777777" w:rsidR="00081C89" w:rsidRPr="00C51899" w:rsidRDefault="00081C89" w:rsidP="003C111E">
            <w:pPr>
              <w:rPr>
                <w:color w:val="000000"/>
              </w:rPr>
            </w:pPr>
            <w:r w:rsidRPr="00C51899">
              <w:rPr>
                <w:b/>
                <w:color w:val="000000"/>
              </w:rPr>
              <w:t>C</w:t>
            </w:r>
            <w:r w:rsidRPr="00C51899">
              <w:rPr>
                <w:b/>
                <w:color w:val="000000"/>
                <w:vertAlign w:val="subscript"/>
              </w:rPr>
              <w:t>25</w:t>
            </w:r>
            <w:r w:rsidRPr="00C51899">
              <w:rPr>
                <w:color w:val="000000"/>
              </w:rPr>
              <w:t xml:space="preserve"> Tricyclic terpanes (22S and 22R)</w:t>
            </w:r>
          </w:p>
        </w:tc>
      </w:tr>
      <w:tr w:rsidR="00081C89" w:rsidRPr="00C51899" w14:paraId="0248A252"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5CA9A945" w14:textId="77777777" w:rsidR="00081C89" w:rsidRPr="00C51899" w:rsidRDefault="00081C89" w:rsidP="003C111E">
            <w:pPr>
              <w:jc w:val="center"/>
              <w:rPr>
                <w:b/>
                <w:color w:val="000000"/>
              </w:rPr>
            </w:pPr>
            <w:r w:rsidRPr="00C51899">
              <w:rPr>
                <w:b/>
                <w:color w:val="000000"/>
              </w:rPr>
              <w:t>7</w:t>
            </w:r>
          </w:p>
        </w:tc>
        <w:tc>
          <w:tcPr>
            <w:tcW w:w="5789" w:type="dxa"/>
            <w:tcBorders>
              <w:top w:val="nil"/>
              <w:left w:val="nil"/>
              <w:bottom w:val="nil"/>
              <w:right w:val="nil"/>
            </w:tcBorders>
            <w:shd w:val="clear" w:color="auto" w:fill="auto"/>
            <w:noWrap/>
            <w:vAlign w:val="center"/>
          </w:tcPr>
          <w:p w14:paraId="73CFB466" w14:textId="77777777" w:rsidR="00081C89" w:rsidRPr="00C51899" w:rsidRDefault="00081C89" w:rsidP="003C111E">
            <w:pPr>
              <w:rPr>
                <w:color w:val="000000"/>
              </w:rPr>
            </w:pPr>
            <w:r w:rsidRPr="00C51899">
              <w:rPr>
                <w:b/>
                <w:color w:val="000000"/>
              </w:rPr>
              <w:t>C</w:t>
            </w:r>
            <w:r w:rsidRPr="00C51899">
              <w:rPr>
                <w:b/>
                <w:color w:val="000000"/>
                <w:vertAlign w:val="subscript"/>
              </w:rPr>
              <w:t>24</w:t>
            </w:r>
            <w:r w:rsidRPr="00C51899">
              <w:rPr>
                <w:color w:val="000000"/>
              </w:rPr>
              <w:t xml:space="preserve"> Tetracyclic terpane</w:t>
            </w:r>
          </w:p>
        </w:tc>
      </w:tr>
      <w:tr w:rsidR="00081C89" w:rsidRPr="00C51899" w14:paraId="1B1AF12E"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3787E19B" w14:textId="77777777" w:rsidR="00081C89" w:rsidRPr="00C51899" w:rsidRDefault="00081C89" w:rsidP="003C111E">
            <w:pPr>
              <w:jc w:val="center"/>
              <w:rPr>
                <w:b/>
                <w:color w:val="000000"/>
              </w:rPr>
            </w:pPr>
            <w:r w:rsidRPr="00C51899">
              <w:rPr>
                <w:b/>
                <w:color w:val="000000"/>
              </w:rPr>
              <w:t>8</w:t>
            </w:r>
          </w:p>
        </w:tc>
        <w:tc>
          <w:tcPr>
            <w:tcW w:w="5789" w:type="dxa"/>
            <w:tcBorders>
              <w:top w:val="nil"/>
              <w:left w:val="nil"/>
              <w:bottom w:val="nil"/>
              <w:right w:val="nil"/>
            </w:tcBorders>
            <w:shd w:val="clear" w:color="auto" w:fill="auto"/>
            <w:noWrap/>
            <w:vAlign w:val="center"/>
          </w:tcPr>
          <w:p w14:paraId="72E6CB87" w14:textId="77777777" w:rsidR="00081C89" w:rsidRPr="00C51899" w:rsidRDefault="00081C89" w:rsidP="003C111E">
            <w:pPr>
              <w:rPr>
                <w:color w:val="000000"/>
              </w:rPr>
            </w:pPr>
            <w:r w:rsidRPr="00C51899">
              <w:rPr>
                <w:b/>
                <w:color w:val="000000"/>
              </w:rPr>
              <w:t>C</w:t>
            </w:r>
            <w:r w:rsidRPr="00C51899">
              <w:rPr>
                <w:b/>
                <w:color w:val="000000"/>
                <w:vertAlign w:val="subscript"/>
              </w:rPr>
              <w:t>26</w:t>
            </w:r>
            <w:r w:rsidRPr="00C51899">
              <w:rPr>
                <w:color w:val="000000"/>
              </w:rPr>
              <w:t xml:space="preserve"> Tricyclic terpanes (22S and 22R)</w:t>
            </w:r>
          </w:p>
        </w:tc>
      </w:tr>
      <w:tr w:rsidR="00081C89" w:rsidRPr="00C51899" w14:paraId="749D4239"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73A3445B" w14:textId="77777777" w:rsidR="00081C89" w:rsidRPr="00C51899" w:rsidRDefault="00081C89" w:rsidP="003C111E">
            <w:pPr>
              <w:jc w:val="center"/>
              <w:rPr>
                <w:b/>
                <w:color w:val="000000"/>
              </w:rPr>
            </w:pPr>
            <w:r w:rsidRPr="00C51899">
              <w:rPr>
                <w:b/>
                <w:color w:val="000000"/>
              </w:rPr>
              <w:t>9</w:t>
            </w:r>
          </w:p>
        </w:tc>
        <w:tc>
          <w:tcPr>
            <w:tcW w:w="5789" w:type="dxa"/>
            <w:tcBorders>
              <w:top w:val="nil"/>
              <w:left w:val="nil"/>
              <w:bottom w:val="nil"/>
              <w:right w:val="nil"/>
            </w:tcBorders>
            <w:shd w:val="clear" w:color="auto" w:fill="auto"/>
            <w:noWrap/>
            <w:vAlign w:val="center"/>
          </w:tcPr>
          <w:p w14:paraId="59823E4F" w14:textId="77777777" w:rsidR="00081C89" w:rsidRPr="00C51899" w:rsidRDefault="00081C89" w:rsidP="003C111E">
            <w:pPr>
              <w:rPr>
                <w:color w:val="000000"/>
              </w:rPr>
            </w:pPr>
            <w:r w:rsidRPr="00C51899">
              <w:rPr>
                <w:b/>
                <w:color w:val="000000"/>
              </w:rPr>
              <w:t>C</w:t>
            </w:r>
            <w:r w:rsidRPr="00C51899">
              <w:rPr>
                <w:b/>
                <w:color w:val="000000"/>
                <w:vertAlign w:val="subscript"/>
              </w:rPr>
              <w:t>28</w:t>
            </w:r>
            <w:r w:rsidRPr="00C51899">
              <w:rPr>
                <w:color w:val="000000"/>
              </w:rPr>
              <w:t xml:space="preserve"> Tricyclic terpanes (22S and 22R)</w:t>
            </w:r>
          </w:p>
        </w:tc>
      </w:tr>
      <w:tr w:rsidR="00081C89" w:rsidRPr="00C51899" w14:paraId="5E1FBBAB"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500289A1" w14:textId="77777777" w:rsidR="00081C89" w:rsidRPr="00C51899" w:rsidRDefault="00081C89" w:rsidP="003C111E">
            <w:pPr>
              <w:jc w:val="center"/>
              <w:rPr>
                <w:b/>
                <w:color w:val="000000"/>
              </w:rPr>
            </w:pPr>
            <w:r w:rsidRPr="00C51899">
              <w:rPr>
                <w:b/>
                <w:color w:val="000000"/>
              </w:rPr>
              <w:t>10</w:t>
            </w:r>
          </w:p>
        </w:tc>
        <w:tc>
          <w:tcPr>
            <w:tcW w:w="5789" w:type="dxa"/>
            <w:tcBorders>
              <w:top w:val="nil"/>
              <w:left w:val="nil"/>
              <w:bottom w:val="nil"/>
              <w:right w:val="nil"/>
            </w:tcBorders>
            <w:shd w:val="clear" w:color="auto" w:fill="auto"/>
            <w:noWrap/>
            <w:vAlign w:val="center"/>
          </w:tcPr>
          <w:p w14:paraId="0C66C852" w14:textId="77777777" w:rsidR="00081C89" w:rsidRPr="00C51899" w:rsidRDefault="00081C89" w:rsidP="003C111E">
            <w:pPr>
              <w:rPr>
                <w:color w:val="000000"/>
              </w:rPr>
            </w:pPr>
            <w:r w:rsidRPr="00C51899">
              <w:rPr>
                <w:b/>
                <w:color w:val="000000"/>
              </w:rPr>
              <w:t>C</w:t>
            </w:r>
            <w:r w:rsidRPr="00C51899">
              <w:rPr>
                <w:b/>
                <w:color w:val="000000"/>
                <w:vertAlign w:val="subscript"/>
              </w:rPr>
              <w:t>29</w:t>
            </w:r>
            <w:r w:rsidRPr="00C51899">
              <w:rPr>
                <w:color w:val="000000"/>
              </w:rPr>
              <w:t xml:space="preserve"> Tricyclic terpanes (22S and 22R)</w:t>
            </w:r>
          </w:p>
        </w:tc>
      </w:tr>
      <w:tr w:rsidR="00081C89" w:rsidRPr="00C51899" w14:paraId="2716428F"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026F6CB6" w14:textId="77777777" w:rsidR="00081C89" w:rsidRPr="00C51899" w:rsidRDefault="00081C89" w:rsidP="003C111E">
            <w:pPr>
              <w:jc w:val="center"/>
              <w:rPr>
                <w:b/>
                <w:color w:val="000000"/>
              </w:rPr>
            </w:pPr>
            <w:r w:rsidRPr="00C51899">
              <w:rPr>
                <w:b/>
                <w:color w:val="000000"/>
              </w:rPr>
              <w:t>11</w:t>
            </w:r>
          </w:p>
        </w:tc>
        <w:tc>
          <w:tcPr>
            <w:tcW w:w="5789" w:type="dxa"/>
            <w:tcBorders>
              <w:top w:val="nil"/>
              <w:left w:val="nil"/>
              <w:bottom w:val="nil"/>
              <w:right w:val="nil"/>
            </w:tcBorders>
            <w:shd w:val="clear" w:color="auto" w:fill="auto"/>
            <w:noWrap/>
            <w:vAlign w:val="center"/>
          </w:tcPr>
          <w:p w14:paraId="07AA3094" w14:textId="77777777" w:rsidR="00081C89" w:rsidRPr="00C51899" w:rsidRDefault="00081C89" w:rsidP="003C111E">
            <w:pPr>
              <w:rPr>
                <w:color w:val="000000"/>
              </w:rPr>
            </w:pPr>
            <w:r w:rsidRPr="00C51899">
              <w:rPr>
                <w:b/>
                <w:color w:val="000000"/>
              </w:rPr>
              <w:t>C</w:t>
            </w:r>
            <w:r w:rsidRPr="00C51899">
              <w:rPr>
                <w:b/>
                <w:color w:val="000000"/>
                <w:vertAlign w:val="subscript"/>
              </w:rPr>
              <w:t>27</w:t>
            </w:r>
            <w:r w:rsidRPr="00C51899">
              <w:rPr>
                <w:color w:val="000000"/>
              </w:rPr>
              <w:t xml:space="preserve"> 18α(H)-22,29,30-Trisnorneohopane (Ts)</w:t>
            </w:r>
          </w:p>
        </w:tc>
      </w:tr>
      <w:tr w:rsidR="00081C89" w:rsidRPr="00C51899" w14:paraId="116A6541"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1C04398A" w14:textId="77777777" w:rsidR="00081C89" w:rsidRPr="00C51899" w:rsidRDefault="00081C89" w:rsidP="003C111E">
            <w:pPr>
              <w:jc w:val="center"/>
              <w:rPr>
                <w:b/>
                <w:color w:val="000000"/>
              </w:rPr>
            </w:pPr>
            <w:r w:rsidRPr="00C51899">
              <w:rPr>
                <w:b/>
                <w:color w:val="000000"/>
              </w:rPr>
              <w:t>12</w:t>
            </w:r>
          </w:p>
        </w:tc>
        <w:tc>
          <w:tcPr>
            <w:tcW w:w="5789" w:type="dxa"/>
            <w:tcBorders>
              <w:top w:val="nil"/>
              <w:left w:val="nil"/>
              <w:bottom w:val="nil"/>
              <w:right w:val="nil"/>
            </w:tcBorders>
            <w:shd w:val="clear" w:color="auto" w:fill="auto"/>
            <w:noWrap/>
            <w:vAlign w:val="center"/>
          </w:tcPr>
          <w:p w14:paraId="6920264E" w14:textId="77777777" w:rsidR="00081C89" w:rsidRPr="00C51899" w:rsidRDefault="00081C89" w:rsidP="003C111E">
            <w:pPr>
              <w:rPr>
                <w:color w:val="000000"/>
              </w:rPr>
            </w:pPr>
            <w:r w:rsidRPr="00C51899">
              <w:rPr>
                <w:b/>
                <w:color w:val="000000"/>
              </w:rPr>
              <w:t>C</w:t>
            </w:r>
            <w:r w:rsidRPr="00C51899">
              <w:rPr>
                <w:b/>
                <w:color w:val="000000"/>
                <w:vertAlign w:val="subscript"/>
              </w:rPr>
              <w:t>27</w:t>
            </w:r>
            <w:r w:rsidRPr="00C51899">
              <w:rPr>
                <w:color w:val="000000"/>
              </w:rPr>
              <w:t xml:space="preserve"> 17α(H)-22,29,30-Trisnorhopane (Tm)</w:t>
            </w:r>
          </w:p>
        </w:tc>
      </w:tr>
      <w:tr w:rsidR="00081C89" w:rsidRPr="00C51899" w14:paraId="539C92EA"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39BB216A" w14:textId="77777777" w:rsidR="00081C89" w:rsidRPr="00C51899" w:rsidRDefault="00081C89" w:rsidP="003C111E">
            <w:pPr>
              <w:jc w:val="center"/>
              <w:rPr>
                <w:b/>
                <w:color w:val="000000"/>
              </w:rPr>
            </w:pPr>
            <w:r w:rsidRPr="00C51899">
              <w:rPr>
                <w:b/>
                <w:color w:val="000000"/>
              </w:rPr>
              <w:t>13</w:t>
            </w:r>
          </w:p>
        </w:tc>
        <w:tc>
          <w:tcPr>
            <w:tcW w:w="5789" w:type="dxa"/>
            <w:tcBorders>
              <w:top w:val="nil"/>
              <w:left w:val="nil"/>
              <w:bottom w:val="nil"/>
              <w:right w:val="nil"/>
            </w:tcBorders>
            <w:shd w:val="clear" w:color="auto" w:fill="auto"/>
            <w:noWrap/>
            <w:vAlign w:val="center"/>
          </w:tcPr>
          <w:p w14:paraId="5AFDBF31" w14:textId="77777777" w:rsidR="00081C89" w:rsidRPr="00C51899" w:rsidRDefault="00081C89" w:rsidP="003C111E">
            <w:pPr>
              <w:rPr>
                <w:color w:val="000000"/>
              </w:rPr>
            </w:pPr>
            <w:r w:rsidRPr="00C51899">
              <w:rPr>
                <w:b/>
                <w:color w:val="000000"/>
              </w:rPr>
              <w:t>C</w:t>
            </w:r>
            <w:r w:rsidRPr="00C51899">
              <w:rPr>
                <w:b/>
                <w:color w:val="000000"/>
                <w:vertAlign w:val="subscript"/>
              </w:rPr>
              <w:t>29</w:t>
            </w:r>
            <w:r w:rsidRPr="00C51899">
              <w:rPr>
                <w:color w:val="000000"/>
              </w:rPr>
              <w:t xml:space="preserve"> 17α(H),21β(H)-30-Norhopane</w:t>
            </w:r>
          </w:p>
        </w:tc>
      </w:tr>
      <w:tr w:rsidR="00081C89" w:rsidRPr="00C51899" w14:paraId="33AD0E24"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38BD0C3A" w14:textId="77777777" w:rsidR="00081C89" w:rsidRPr="00C51899" w:rsidRDefault="00081C89" w:rsidP="003C111E">
            <w:pPr>
              <w:jc w:val="center"/>
              <w:rPr>
                <w:b/>
                <w:color w:val="000000"/>
              </w:rPr>
            </w:pPr>
            <w:r w:rsidRPr="00C51899">
              <w:rPr>
                <w:b/>
                <w:color w:val="000000"/>
              </w:rPr>
              <w:t>14</w:t>
            </w:r>
          </w:p>
        </w:tc>
        <w:tc>
          <w:tcPr>
            <w:tcW w:w="5789" w:type="dxa"/>
            <w:tcBorders>
              <w:top w:val="nil"/>
              <w:left w:val="nil"/>
              <w:bottom w:val="nil"/>
              <w:right w:val="nil"/>
            </w:tcBorders>
            <w:shd w:val="clear" w:color="auto" w:fill="auto"/>
            <w:noWrap/>
            <w:vAlign w:val="center"/>
          </w:tcPr>
          <w:p w14:paraId="478AD227" w14:textId="77777777" w:rsidR="00081C89" w:rsidRPr="00C51899" w:rsidRDefault="00081C89" w:rsidP="003C111E">
            <w:pPr>
              <w:rPr>
                <w:b/>
                <w:color w:val="000000"/>
              </w:rPr>
            </w:pPr>
            <w:r w:rsidRPr="00C51899">
              <w:rPr>
                <w:b/>
                <w:color w:val="000000"/>
              </w:rPr>
              <w:t>C</w:t>
            </w:r>
            <w:r w:rsidRPr="00C51899">
              <w:rPr>
                <w:b/>
                <w:color w:val="000000"/>
                <w:vertAlign w:val="subscript"/>
              </w:rPr>
              <w:t>29</w:t>
            </w:r>
            <w:r w:rsidRPr="00C51899">
              <w:rPr>
                <w:b/>
                <w:color w:val="000000"/>
              </w:rPr>
              <w:t>Ts</w:t>
            </w:r>
            <w:r w:rsidRPr="00C51899">
              <w:rPr>
                <w:color w:val="000000"/>
              </w:rPr>
              <w:t xml:space="preserve"> 18α(H)-30-Norneohopane</w:t>
            </w:r>
          </w:p>
        </w:tc>
      </w:tr>
      <w:tr w:rsidR="00081C89" w:rsidRPr="00C51899" w14:paraId="693988B5"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11044B1B" w14:textId="77777777" w:rsidR="00081C89" w:rsidRPr="00C51899" w:rsidRDefault="00081C89" w:rsidP="003C111E">
            <w:pPr>
              <w:jc w:val="center"/>
              <w:rPr>
                <w:b/>
                <w:color w:val="000000"/>
              </w:rPr>
            </w:pPr>
            <w:r w:rsidRPr="00C51899">
              <w:rPr>
                <w:b/>
                <w:color w:val="000000"/>
              </w:rPr>
              <w:t>15</w:t>
            </w:r>
          </w:p>
        </w:tc>
        <w:tc>
          <w:tcPr>
            <w:tcW w:w="5789" w:type="dxa"/>
            <w:tcBorders>
              <w:top w:val="nil"/>
              <w:left w:val="nil"/>
              <w:bottom w:val="nil"/>
              <w:right w:val="nil"/>
            </w:tcBorders>
            <w:shd w:val="clear" w:color="auto" w:fill="auto"/>
            <w:noWrap/>
            <w:vAlign w:val="center"/>
          </w:tcPr>
          <w:p w14:paraId="6CC1FDFB" w14:textId="77777777" w:rsidR="00081C89" w:rsidRPr="00C51899" w:rsidRDefault="00081C89" w:rsidP="003C111E">
            <w:pPr>
              <w:rPr>
                <w:b/>
                <w:color w:val="000000"/>
              </w:rPr>
            </w:pPr>
            <w:r w:rsidRPr="00C51899">
              <w:rPr>
                <w:b/>
                <w:color w:val="000000"/>
              </w:rPr>
              <w:t>C</w:t>
            </w:r>
            <w:r w:rsidRPr="00C51899">
              <w:rPr>
                <w:b/>
                <w:color w:val="000000"/>
                <w:vertAlign w:val="subscript"/>
              </w:rPr>
              <w:t>30</w:t>
            </w:r>
            <w:r w:rsidRPr="00C51899">
              <w:rPr>
                <w:b/>
                <w:color w:val="000000"/>
              </w:rPr>
              <w:t xml:space="preserve">D </w:t>
            </w:r>
            <w:r w:rsidRPr="00C51899">
              <w:rPr>
                <w:color w:val="000000"/>
              </w:rPr>
              <w:t>15α-methyl-17α(H)-27-Norhopane (Diahopane)</w:t>
            </w:r>
          </w:p>
        </w:tc>
      </w:tr>
      <w:tr w:rsidR="00081C89" w:rsidRPr="00C51899" w14:paraId="7FADBD99"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5F3E71C7" w14:textId="77777777" w:rsidR="00081C89" w:rsidRPr="00C51899" w:rsidRDefault="00081C89" w:rsidP="003C111E">
            <w:pPr>
              <w:jc w:val="center"/>
              <w:rPr>
                <w:b/>
                <w:color w:val="000000"/>
              </w:rPr>
            </w:pPr>
            <w:r w:rsidRPr="00C51899">
              <w:rPr>
                <w:b/>
                <w:color w:val="000000"/>
              </w:rPr>
              <w:t>16</w:t>
            </w:r>
          </w:p>
        </w:tc>
        <w:tc>
          <w:tcPr>
            <w:tcW w:w="5789" w:type="dxa"/>
            <w:tcBorders>
              <w:top w:val="nil"/>
              <w:left w:val="nil"/>
              <w:bottom w:val="nil"/>
              <w:right w:val="nil"/>
            </w:tcBorders>
            <w:shd w:val="clear" w:color="auto" w:fill="auto"/>
            <w:noWrap/>
            <w:vAlign w:val="center"/>
          </w:tcPr>
          <w:p w14:paraId="799FB9F4" w14:textId="77777777" w:rsidR="00081C89" w:rsidRPr="00C51899" w:rsidRDefault="00081C89" w:rsidP="003C111E">
            <w:pPr>
              <w:rPr>
                <w:color w:val="000000"/>
              </w:rPr>
            </w:pPr>
            <w:r w:rsidRPr="00C51899">
              <w:rPr>
                <w:b/>
                <w:color w:val="000000"/>
              </w:rPr>
              <w:t>C</w:t>
            </w:r>
            <w:r w:rsidRPr="00C51899">
              <w:rPr>
                <w:b/>
                <w:color w:val="000000"/>
                <w:vertAlign w:val="subscript"/>
              </w:rPr>
              <w:t>29</w:t>
            </w:r>
            <w:r w:rsidRPr="00C51899">
              <w:rPr>
                <w:b/>
                <w:color w:val="000000"/>
              </w:rPr>
              <w:t xml:space="preserve"> </w:t>
            </w:r>
            <w:r w:rsidRPr="00C51899">
              <w:rPr>
                <w:color w:val="000000"/>
              </w:rPr>
              <w:t>17β(H),21α(H)-30-Normoretane</w:t>
            </w:r>
          </w:p>
        </w:tc>
      </w:tr>
      <w:tr w:rsidR="00081C89" w:rsidRPr="00C51899" w14:paraId="4BA9AC47"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474F8F71" w14:textId="77777777" w:rsidR="00081C89" w:rsidRPr="00C51899" w:rsidRDefault="00081C89" w:rsidP="003C111E">
            <w:pPr>
              <w:jc w:val="center"/>
              <w:rPr>
                <w:b/>
                <w:color w:val="000000"/>
              </w:rPr>
            </w:pPr>
            <w:r w:rsidRPr="00C51899">
              <w:rPr>
                <w:b/>
                <w:color w:val="000000"/>
              </w:rPr>
              <w:t>17</w:t>
            </w:r>
          </w:p>
        </w:tc>
        <w:tc>
          <w:tcPr>
            <w:tcW w:w="5789" w:type="dxa"/>
            <w:tcBorders>
              <w:top w:val="nil"/>
              <w:left w:val="nil"/>
              <w:bottom w:val="nil"/>
              <w:right w:val="nil"/>
            </w:tcBorders>
            <w:shd w:val="clear" w:color="auto" w:fill="auto"/>
            <w:noWrap/>
            <w:vAlign w:val="center"/>
          </w:tcPr>
          <w:p w14:paraId="523EBB70" w14:textId="77777777" w:rsidR="00081C89" w:rsidRPr="00C51899" w:rsidRDefault="00081C89" w:rsidP="003C111E">
            <w:pPr>
              <w:rPr>
                <w:color w:val="000000"/>
              </w:rPr>
            </w:pPr>
            <w:r w:rsidRPr="00C51899">
              <w:rPr>
                <w:b/>
                <w:color w:val="000000"/>
              </w:rPr>
              <w:t>C</w:t>
            </w:r>
            <w:r w:rsidRPr="00C51899">
              <w:rPr>
                <w:b/>
                <w:color w:val="000000"/>
                <w:vertAlign w:val="subscript"/>
              </w:rPr>
              <w:t>30</w:t>
            </w:r>
            <w:r w:rsidRPr="00C51899">
              <w:rPr>
                <w:color w:val="000000"/>
              </w:rPr>
              <w:t xml:space="preserve"> 17α(H),21β(H)-Hopane</w:t>
            </w:r>
          </w:p>
        </w:tc>
      </w:tr>
      <w:tr w:rsidR="00081C89" w:rsidRPr="00C51899" w14:paraId="29DF63A0"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4742EB8C" w14:textId="77777777" w:rsidR="00081C89" w:rsidRPr="00C51899" w:rsidRDefault="00081C89" w:rsidP="003C111E">
            <w:pPr>
              <w:jc w:val="center"/>
              <w:rPr>
                <w:b/>
                <w:color w:val="000000"/>
              </w:rPr>
            </w:pPr>
            <w:r w:rsidRPr="00C51899">
              <w:rPr>
                <w:b/>
                <w:color w:val="000000"/>
              </w:rPr>
              <w:t>18</w:t>
            </w:r>
          </w:p>
        </w:tc>
        <w:tc>
          <w:tcPr>
            <w:tcW w:w="5789" w:type="dxa"/>
            <w:tcBorders>
              <w:top w:val="nil"/>
              <w:left w:val="nil"/>
              <w:bottom w:val="nil"/>
              <w:right w:val="nil"/>
            </w:tcBorders>
            <w:shd w:val="clear" w:color="auto" w:fill="auto"/>
            <w:noWrap/>
            <w:vAlign w:val="center"/>
          </w:tcPr>
          <w:p w14:paraId="6D5325D6" w14:textId="77777777" w:rsidR="00081C89" w:rsidRPr="00C51899" w:rsidRDefault="00081C89" w:rsidP="003C111E">
            <w:pPr>
              <w:rPr>
                <w:b/>
                <w:color w:val="000000"/>
              </w:rPr>
            </w:pPr>
            <w:r w:rsidRPr="00C51899">
              <w:rPr>
                <w:b/>
                <w:color w:val="000000"/>
              </w:rPr>
              <w:t>C</w:t>
            </w:r>
            <w:r w:rsidRPr="00C51899">
              <w:rPr>
                <w:b/>
                <w:color w:val="000000"/>
                <w:vertAlign w:val="subscript"/>
              </w:rPr>
              <w:t>30</w:t>
            </w:r>
            <w:r w:rsidRPr="00C51899">
              <w:rPr>
                <w:color w:val="000000"/>
              </w:rPr>
              <w:t xml:space="preserve"> 17β(H),21α(H)-Moretane</w:t>
            </w:r>
          </w:p>
        </w:tc>
      </w:tr>
      <w:tr w:rsidR="00081C89" w:rsidRPr="00C51899" w14:paraId="16F94F77"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79FDC5B7" w14:textId="77777777" w:rsidR="00081C89" w:rsidRPr="00C51899" w:rsidRDefault="00081C89" w:rsidP="003C111E">
            <w:pPr>
              <w:jc w:val="center"/>
              <w:rPr>
                <w:b/>
                <w:color w:val="000000"/>
              </w:rPr>
            </w:pPr>
            <w:r w:rsidRPr="00C51899">
              <w:rPr>
                <w:b/>
                <w:color w:val="000000"/>
              </w:rPr>
              <w:t>19</w:t>
            </w:r>
          </w:p>
        </w:tc>
        <w:tc>
          <w:tcPr>
            <w:tcW w:w="5789" w:type="dxa"/>
            <w:tcBorders>
              <w:top w:val="nil"/>
              <w:left w:val="nil"/>
              <w:bottom w:val="nil"/>
              <w:right w:val="nil"/>
            </w:tcBorders>
            <w:shd w:val="clear" w:color="auto" w:fill="auto"/>
            <w:noWrap/>
            <w:vAlign w:val="center"/>
          </w:tcPr>
          <w:p w14:paraId="17970075" w14:textId="77777777" w:rsidR="00081C89" w:rsidRPr="00C51899" w:rsidRDefault="00081C89" w:rsidP="003C111E">
            <w:pPr>
              <w:rPr>
                <w:color w:val="000000"/>
              </w:rPr>
            </w:pPr>
            <w:r w:rsidRPr="00C51899">
              <w:rPr>
                <w:b/>
                <w:color w:val="000000"/>
              </w:rPr>
              <w:t>C</w:t>
            </w:r>
            <w:r w:rsidRPr="00C51899">
              <w:rPr>
                <w:b/>
                <w:color w:val="000000"/>
                <w:vertAlign w:val="subscript"/>
              </w:rPr>
              <w:t>31</w:t>
            </w:r>
            <w:r w:rsidRPr="00C51899">
              <w:rPr>
                <w:color w:val="000000"/>
              </w:rPr>
              <w:t xml:space="preserve"> 17α(H),21β(H)-Homohopanes (22S </w:t>
            </w:r>
            <w:r>
              <w:rPr>
                <w:color w:val="000000"/>
              </w:rPr>
              <w:t xml:space="preserve">and </w:t>
            </w:r>
            <w:r w:rsidRPr="00C51899">
              <w:rPr>
                <w:color w:val="000000"/>
              </w:rPr>
              <w:t>22R)</w:t>
            </w:r>
          </w:p>
        </w:tc>
      </w:tr>
      <w:tr w:rsidR="00081C89" w:rsidRPr="00C51899" w14:paraId="0D49F44D"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756A3C3A" w14:textId="77777777" w:rsidR="00081C89" w:rsidRPr="00C51899" w:rsidRDefault="00081C89" w:rsidP="003C111E">
            <w:pPr>
              <w:jc w:val="center"/>
              <w:rPr>
                <w:b/>
                <w:color w:val="000000"/>
              </w:rPr>
            </w:pPr>
            <w:r w:rsidRPr="00C51899">
              <w:rPr>
                <w:b/>
                <w:color w:val="000000"/>
              </w:rPr>
              <w:t>2</w:t>
            </w:r>
            <w:r>
              <w:rPr>
                <w:b/>
                <w:color w:val="000000"/>
              </w:rPr>
              <w:t>0</w:t>
            </w:r>
          </w:p>
        </w:tc>
        <w:tc>
          <w:tcPr>
            <w:tcW w:w="5789" w:type="dxa"/>
            <w:tcBorders>
              <w:top w:val="nil"/>
              <w:left w:val="nil"/>
              <w:bottom w:val="nil"/>
              <w:right w:val="nil"/>
            </w:tcBorders>
            <w:shd w:val="clear" w:color="auto" w:fill="auto"/>
            <w:noWrap/>
            <w:vAlign w:val="center"/>
          </w:tcPr>
          <w:p w14:paraId="07957F86" w14:textId="77777777" w:rsidR="00081C89" w:rsidRPr="00C51899" w:rsidRDefault="00081C89" w:rsidP="003C111E">
            <w:pPr>
              <w:rPr>
                <w:color w:val="000000"/>
              </w:rPr>
            </w:pPr>
            <w:r w:rsidRPr="00C51899">
              <w:rPr>
                <w:b/>
                <w:color w:val="000000"/>
              </w:rPr>
              <w:t>C</w:t>
            </w:r>
            <w:r w:rsidRPr="00C51899">
              <w:rPr>
                <w:b/>
                <w:color w:val="000000"/>
                <w:vertAlign w:val="subscript"/>
              </w:rPr>
              <w:t>32</w:t>
            </w:r>
            <w:r w:rsidRPr="00C51899">
              <w:rPr>
                <w:b/>
                <w:color w:val="000000"/>
              </w:rPr>
              <w:t xml:space="preserve"> </w:t>
            </w:r>
            <w:r w:rsidRPr="00C51899">
              <w:rPr>
                <w:color w:val="000000"/>
              </w:rPr>
              <w:t xml:space="preserve">17α(H),21β(H)-Bishomohopane (22S </w:t>
            </w:r>
            <w:r>
              <w:rPr>
                <w:color w:val="000000"/>
              </w:rPr>
              <w:t>and</w:t>
            </w:r>
            <w:r w:rsidRPr="00C51899">
              <w:rPr>
                <w:color w:val="000000"/>
              </w:rPr>
              <w:t xml:space="preserve"> 22R)</w:t>
            </w:r>
          </w:p>
        </w:tc>
      </w:tr>
      <w:tr w:rsidR="00081C89" w:rsidRPr="00C51899" w14:paraId="1CAC4C1F"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692DDF6C" w14:textId="77777777" w:rsidR="00081C89" w:rsidRPr="00C51899" w:rsidRDefault="00081C89" w:rsidP="003C111E">
            <w:pPr>
              <w:jc w:val="center"/>
              <w:rPr>
                <w:b/>
                <w:color w:val="000000"/>
              </w:rPr>
            </w:pPr>
            <w:r w:rsidRPr="00C51899">
              <w:rPr>
                <w:b/>
                <w:color w:val="000000"/>
              </w:rPr>
              <w:t>2</w:t>
            </w:r>
            <w:r>
              <w:rPr>
                <w:b/>
                <w:color w:val="000000"/>
              </w:rPr>
              <w:t>1</w:t>
            </w:r>
          </w:p>
        </w:tc>
        <w:tc>
          <w:tcPr>
            <w:tcW w:w="5789" w:type="dxa"/>
            <w:tcBorders>
              <w:top w:val="nil"/>
              <w:left w:val="nil"/>
              <w:bottom w:val="nil"/>
              <w:right w:val="nil"/>
            </w:tcBorders>
            <w:shd w:val="clear" w:color="auto" w:fill="auto"/>
            <w:noWrap/>
            <w:vAlign w:val="center"/>
          </w:tcPr>
          <w:p w14:paraId="1FE12DF1" w14:textId="77777777" w:rsidR="00081C89" w:rsidRPr="00C51899" w:rsidRDefault="00081C89" w:rsidP="003C111E">
            <w:pPr>
              <w:rPr>
                <w:color w:val="000000"/>
              </w:rPr>
            </w:pPr>
            <w:r w:rsidRPr="00C51899">
              <w:rPr>
                <w:b/>
                <w:color w:val="000000"/>
              </w:rPr>
              <w:t>C</w:t>
            </w:r>
            <w:r w:rsidRPr="00C51899">
              <w:rPr>
                <w:b/>
                <w:color w:val="000000"/>
                <w:vertAlign w:val="subscript"/>
              </w:rPr>
              <w:t>33</w:t>
            </w:r>
            <w:r w:rsidRPr="00C51899">
              <w:rPr>
                <w:color w:val="000000"/>
              </w:rPr>
              <w:t xml:space="preserve"> 17α(H),21β(H)-Trishomohopane (22S </w:t>
            </w:r>
            <w:r>
              <w:rPr>
                <w:color w:val="000000"/>
              </w:rPr>
              <w:t>and</w:t>
            </w:r>
            <w:r w:rsidRPr="00C51899">
              <w:rPr>
                <w:color w:val="000000"/>
              </w:rPr>
              <w:t xml:space="preserve"> 22R)</w:t>
            </w:r>
          </w:p>
        </w:tc>
      </w:tr>
      <w:tr w:rsidR="00081C89" w:rsidRPr="00C51899" w14:paraId="3AC711FF" w14:textId="77777777" w:rsidTr="003C111E">
        <w:trPr>
          <w:trHeight w:hRule="exact" w:val="360"/>
          <w:jc w:val="center"/>
        </w:trPr>
        <w:tc>
          <w:tcPr>
            <w:tcW w:w="1434" w:type="dxa"/>
            <w:tcBorders>
              <w:top w:val="nil"/>
              <w:left w:val="nil"/>
              <w:right w:val="nil"/>
            </w:tcBorders>
            <w:shd w:val="clear" w:color="auto" w:fill="auto"/>
            <w:noWrap/>
            <w:vAlign w:val="center"/>
          </w:tcPr>
          <w:p w14:paraId="18F10560" w14:textId="77777777" w:rsidR="00081C89" w:rsidRPr="00C51899" w:rsidRDefault="00081C89" w:rsidP="003C111E">
            <w:pPr>
              <w:jc w:val="center"/>
              <w:rPr>
                <w:b/>
                <w:color w:val="000000"/>
              </w:rPr>
            </w:pPr>
            <w:r w:rsidRPr="00C51899">
              <w:rPr>
                <w:b/>
                <w:color w:val="000000"/>
              </w:rPr>
              <w:t>2</w:t>
            </w:r>
            <w:r>
              <w:rPr>
                <w:b/>
                <w:color w:val="000000"/>
              </w:rPr>
              <w:t>2</w:t>
            </w:r>
          </w:p>
        </w:tc>
        <w:tc>
          <w:tcPr>
            <w:tcW w:w="5789" w:type="dxa"/>
            <w:tcBorders>
              <w:top w:val="nil"/>
              <w:left w:val="nil"/>
              <w:right w:val="nil"/>
            </w:tcBorders>
            <w:shd w:val="clear" w:color="auto" w:fill="auto"/>
            <w:noWrap/>
            <w:vAlign w:val="center"/>
          </w:tcPr>
          <w:p w14:paraId="7167EB9E" w14:textId="77777777" w:rsidR="00081C89" w:rsidRPr="00C51899" w:rsidRDefault="00081C89" w:rsidP="003C111E">
            <w:pPr>
              <w:rPr>
                <w:color w:val="000000"/>
              </w:rPr>
            </w:pPr>
            <w:r w:rsidRPr="00C51899">
              <w:rPr>
                <w:b/>
                <w:color w:val="000000"/>
              </w:rPr>
              <w:t>C</w:t>
            </w:r>
            <w:r w:rsidRPr="00C51899">
              <w:rPr>
                <w:b/>
                <w:color w:val="000000"/>
                <w:vertAlign w:val="subscript"/>
              </w:rPr>
              <w:t>34</w:t>
            </w:r>
            <w:r w:rsidRPr="00C51899">
              <w:rPr>
                <w:color w:val="000000"/>
              </w:rPr>
              <w:t xml:space="preserve"> 17α(H),21β(H)-Tetrakishomohopane (22S </w:t>
            </w:r>
            <w:r>
              <w:rPr>
                <w:color w:val="000000"/>
              </w:rPr>
              <w:t>and</w:t>
            </w:r>
            <w:r w:rsidRPr="00C51899">
              <w:rPr>
                <w:color w:val="000000"/>
              </w:rPr>
              <w:t xml:space="preserve"> 22R)</w:t>
            </w:r>
          </w:p>
        </w:tc>
      </w:tr>
      <w:tr w:rsidR="00081C89" w:rsidRPr="00C51899" w14:paraId="7493C319" w14:textId="77777777" w:rsidTr="003C111E">
        <w:trPr>
          <w:trHeight w:hRule="exact" w:val="360"/>
          <w:jc w:val="center"/>
        </w:trPr>
        <w:tc>
          <w:tcPr>
            <w:tcW w:w="1434" w:type="dxa"/>
            <w:tcBorders>
              <w:top w:val="nil"/>
              <w:left w:val="nil"/>
              <w:bottom w:val="nil"/>
              <w:right w:val="nil"/>
            </w:tcBorders>
            <w:shd w:val="clear" w:color="auto" w:fill="auto"/>
            <w:noWrap/>
            <w:vAlign w:val="center"/>
          </w:tcPr>
          <w:p w14:paraId="020A3862" w14:textId="77777777" w:rsidR="00081C89" w:rsidRPr="00C51899" w:rsidRDefault="00081C89" w:rsidP="003C111E">
            <w:pPr>
              <w:jc w:val="center"/>
              <w:rPr>
                <w:b/>
                <w:color w:val="000000"/>
              </w:rPr>
            </w:pPr>
            <w:r w:rsidRPr="00C51899">
              <w:rPr>
                <w:b/>
                <w:color w:val="000000"/>
              </w:rPr>
              <w:t>2</w:t>
            </w:r>
            <w:r>
              <w:rPr>
                <w:b/>
                <w:color w:val="000000"/>
              </w:rPr>
              <w:t>3</w:t>
            </w:r>
          </w:p>
        </w:tc>
        <w:tc>
          <w:tcPr>
            <w:tcW w:w="5789" w:type="dxa"/>
            <w:tcBorders>
              <w:top w:val="nil"/>
              <w:left w:val="nil"/>
              <w:bottom w:val="nil"/>
              <w:right w:val="nil"/>
            </w:tcBorders>
            <w:shd w:val="clear" w:color="auto" w:fill="auto"/>
            <w:noWrap/>
            <w:vAlign w:val="center"/>
          </w:tcPr>
          <w:p w14:paraId="5D21CBC9" w14:textId="77777777" w:rsidR="00081C89" w:rsidRPr="00C51899" w:rsidRDefault="00081C89" w:rsidP="003C111E">
            <w:pPr>
              <w:rPr>
                <w:color w:val="000000"/>
              </w:rPr>
            </w:pPr>
            <w:r w:rsidRPr="00C51899">
              <w:rPr>
                <w:b/>
                <w:color w:val="000000"/>
              </w:rPr>
              <w:t>C</w:t>
            </w:r>
            <w:r w:rsidRPr="00C51899">
              <w:rPr>
                <w:b/>
                <w:color w:val="000000"/>
                <w:vertAlign w:val="subscript"/>
              </w:rPr>
              <w:t>35</w:t>
            </w:r>
            <w:r w:rsidRPr="00C51899">
              <w:rPr>
                <w:color w:val="000000"/>
              </w:rPr>
              <w:t xml:space="preserve"> 17α(H),21β(H)-Pentakishomohopane (22S </w:t>
            </w:r>
            <w:r>
              <w:rPr>
                <w:color w:val="000000"/>
              </w:rPr>
              <w:t>and</w:t>
            </w:r>
            <w:r w:rsidRPr="00C51899">
              <w:rPr>
                <w:color w:val="000000"/>
              </w:rPr>
              <w:t xml:space="preserve"> 22R)</w:t>
            </w:r>
          </w:p>
        </w:tc>
      </w:tr>
      <w:tr w:rsidR="00081C89" w:rsidRPr="00C51899" w14:paraId="0C328D9F" w14:textId="77777777" w:rsidTr="003C111E">
        <w:trPr>
          <w:trHeight w:hRule="exact" w:val="360"/>
          <w:jc w:val="center"/>
        </w:trPr>
        <w:tc>
          <w:tcPr>
            <w:tcW w:w="1434" w:type="dxa"/>
            <w:tcBorders>
              <w:top w:val="nil"/>
              <w:left w:val="nil"/>
              <w:bottom w:val="single" w:sz="4" w:space="0" w:color="auto"/>
              <w:right w:val="nil"/>
            </w:tcBorders>
            <w:shd w:val="clear" w:color="auto" w:fill="auto"/>
            <w:noWrap/>
            <w:vAlign w:val="center"/>
          </w:tcPr>
          <w:p w14:paraId="63B08832" w14:textId="77777777" w:rsidR="00081C89" w:rsidRPr="00C51899" w:rsidRDefault="00081C89" w:rsidP="003C111E">
            <w:pPr>
              <w:jc w:val="center"/>
              <w:rPr>
                <w:b/>
                <w:color w:val="000000"/>
              </w:rPr>
            </w:pPr>
            <w:r w:rsidRPr="00C51899">
              <w:rPr>
                <w:b/>
                <w:color w:val="000000"/>
              </w:rPr>
              <w:t>G</w:t>
            </w:r>
          </w:p>
        </w:tc>
        <w:tc>
          <w:tcPr>
            <w:tcW w:w="5789" w:type="dxa"/>
            <w:tcBorders>
              <w:top w:val="nil"/>
              <w:left w:val="nil"/>
              <w:bottom w:val="single" w:sz="4" w:space="0" w:color="auto"/>
              <w:right w:val="nil"/>
            </w:tcBorders>
            <w:shd w:val="clear" w:color="auto" w:fill="auto"/>
            <w:noWrap/>
            <w:vAlign w:val="center"/>
          </w:tcPr>
          <w:p w14:paraId="0665D895" w14:textId="77777777" w:rsidR="00081C89" w:rsidRPr="00C51899" w:rsidRDefault="00081C89" w:rsidP="003C111E">
            <w:pPr>
              <w:rPr>
                <w:color w:val="000000"/>
              </w:rPr>
            </w:pPr>
            <w:r w:rsidRPr="00C51899">
              <w:rPr>
                <w:color w:val="000000"/>
              </w:rPr>
              <w:t>Gammacerane</w:t>
            </w:r>
          </w:p>
        </w:tc>
      </w:tr>
    </w:tbl>
    <w:p w14:paraId="0A6FB6CD" w14:textId="77777777" w:rsidR="00081C89" w:rsidRDefault="00081C89" w:rsidP="00081C89">
      <w:pPr>
        <w:spacing w:line="276" w:lineRule="auto"/>
        <w:rPr>
          <w:b/>
          <w:bCs/>
        </w:rPr>
      </w:pPr>
    </w:p>
    <w:p w14:paraId="7AC48620" w14:textId="77777777" w:rsidR="00081C89" w:rsidRDefault="00081C89" w:rsidP="00081C89">
      <w:pPr>
        <w:spacing w:line="276" w:lineRule="auto"/>
      </w:pPr>
      <w:r>
        <w:rPr>
          <w:b/>
          <w:bCs/>
        </w:rPr>
        <w:t>T</w:t>
      </w:r>
      <w:r w:rsidRPr="00CE4F19">
        <w:rPr>
          <w:b/>
          <w:bCs/>
        </w:rPr>
        <w:t>able 3.</w:t>
      </w:r>
      <w:r>
        <w:rPr>
          <w:b/>
          <w:bCs/>
        </w:rPr>
        <w:t>5</w:t>
      </w:r>
      <w:r w:rsidRPr="00CE4F19">
        <w:rPr>
          <w:b/>
          <w:bCs/>
        </w:rPr>
        <w:t>.</w:t>
      </w:r>
      <w:r>
        <w:t xml:space="preserve"> </w:t>
      </w:r>
      <w:r w:rsidRPr="00507D95">
        <w:t>Identi</w:t>
      </w:r>
      <w:r>
        <w:t xml:space="preserve">ty </w:t>
      </w:r>
      <w:r w:rsidRPr="005439F7">
        <w:t xml:space="preserve">of </w:t>
      </w:r>
      <w:r>
        <w:t xml:space="preserve">terpanes </w:t>
      </w:r>
      <w:r w:rsidRPr="005439F7">
        <w:t xml:space="preserve">in the </w:t>
      </w:r>
      <w:r>
        <w:t>m/z 191</w:t>
      </w:r>
      <w:r w:rsidRPr="005439F7">
        <w:t xml:space="preserve"> fragmentograms.</w:t>
      </w:r>
      <w:r>
        <w:t xml:space="preserve"> </w:t>
      </w:r>
      <w:r w:rsidRPr="00022F31">
        <w:t>Compound nomenclature from Peters et al. (2005), and Miceli-Romero et al. (2018).</w:t>
      </w:r>
    </w:p>
    <w:p w14:paraId="605A678B" w14:textId="77777777" w:rsidR="00081C89" w:rsidRDefault="00081C89" w:rsidP="00081C89">
      <w:pPr>
        <w:spacing w:line="276" w:lineRule="auto"/>
        <w:sectPr w:rsidR="00081C89" w:rsidSect="0095456D">
          <w:pgSz w:w="12240" w:h="15840"/>
          <w:pgMar w:top="1440" w:right="1440" w:bottom="1440" w:left="1440" w:header="720" w:footer="720" w:gutter="0"/>
          <w:cols w:space="720"/>
          <w:docGrid w:linePitch="360"/>
        </w:sectPr>
      </w:pPr>
    </w:p>
    <w:p w14:paraId="07432B52" w14:textId="77777777" w:rsidR="00081C89" w:rsidRDefault="00081C89" w:rsidP="00081C89">
      <w:pPr>
        <w:spacing w:after="0" w:line="276" w:lineRule="auto"/>
        <w:jc w:val="center"/>
      </w:pPr>
      <w:r w:rsidRPr="0074048C">
        <w:rPr>
          <w:noProof/>
        </w:rPr>
        <w:lastRenderedPageBreak/>
        <w:drawing>
          <wp:inline distT="0" distB="0" distL="0" distR="0" wp14:anchorId="44ACD1CE" wp14:editId="34F99D36">
            <wp:extent cx="8096665" cy="4648200"/>
            <wp:effectExtent l="0" t="0" r="0" b="0"/>
            <wp:docPr id="8535" name="Picture 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102937" cy="4651801"/>
                    </a:xfrm>
                    <a:prstGeom prst="rect">
                      <a:avLst/>
                    </a:prstGeom>
                    <a:noFill/>
                    <a:ln>
                      <a:noFill/>
                    </a:ln>
                  </pic:spPr>
                </pic:pic>
              </a:graphicData>
            </a:graphic>
          </wp:inline>
        </w:drawing>
      </w:r>
    </w:p>
    <w:p w14:paraId="36E1AAE0" w14:textId="77777777" w:rsidR="00081C89" w:rsidRDefault="00081C89" w:rsidP="00081C89">
      <w:pPr>
        <w:pStyle w:val="TOCHeading"/>
        <w:spacing w:before="0" w:line="276" w:lineRule="auto"/>
        <w:jc w:val="both"/>
        <w:sectPr w:rsidR="00081C89" w:rsidSect="0095456D">
          <w:pgSz w:w="15840" w:h="12240" w:orient="landscape"/>
          <w:pgMar w:top="1440" w:right="1440" w:bottom="1440" w:left="1440" w:header="720" w:footer="720" w:gutter="0"/>
          <w:cols w:space="720"/>
          <w:docGrid w:linePitch="360"/>
        </w:sectPr>
      </w:pPr>
      <w:r>
        <w:rPr>
          <w:b/>
        </w:rPr>
        <w:t xml:space="preserve">Table 3.6. </w:t>
      </w:r>
      <w:r w:rsidRPr="00B5784F">
        <w:t>Sterane</w:t>
      </w:r>
      <w:r>
        <w:t>s</w:t>
      </w:r>
      <w:r w:rsidRPr="00B5784F">
        <w:t>, terpane</w:t>
      </w:r>
      <w:r>
        <w:t>s, and hopanes ratios in the Speake Ranch Woodford 314 ft stratigraphic section with the respective K-means facies and %TOC. Kmeans Facies = unsupervised cluster analysis that generated statistical facies.  C26TT/C25TT= C</w:t>
      </w:r>
      <w:r w:rsidRPr="00987578">
        <w:rPr>
          <w:vertAlign w:val="subscript"/>
        </w:rPr>
        <w:t>26</w:t>
      </w:r>
      <w:r>
        <w:t>/C</w:t>
      </w:r>
      <w:r w:rsidRPr="00987578">
        <w:rPr>
          <w:vertAlign w:val="subscript"/>
        </w:rPr>
        <w:t>25</w:t>
      </w:r>
      <w:r>
        <w:t xml:space="preserve"> tricyclic terpanes ratio;  C</w:t>
      </w:r>
      <w:r w:rsidRPr="00987578">
        <w:rPr>
          <w:vertAlign w:val="subscript"/>
        </w:rPr>
        <w:t>31</w:t>
      </w:r>
      <w:r>
        <w:t>R/C</w:t>
      </w:r>
      <w:r w:rsidRPr="00987578">
        <w:rPr>
          <w:vertAlign w:val="subscript"/>
        </w:rPr>
        <w:t>30</w:t>
      </w:r>
      <w:r>
        <w:t xml:space="preserve">HH= </w:t>
      </w:r>
      <w:r w:rsidRPr="00C51899">
        <w:t>C</w:t>
      </w:r>
      <w:r w:rsidRPr="00C51899">
        <w:rPr>
          <w:vertAlign w:val="subscript"/>
        </w:rPr>
        <w:t>31</w:t>
      </w:r>
      <w:r w:rsidRPr="00C51899">
        <w:t>R/C</w:t>
      </w:r>
      <w:r w:rsidRPr="00C51899">
        <w:rPr>
          <w:vertAlign w:val="subscript"/>
        </w:rPr>
        <w:t>30</w:t>
      </w:r>
      <w:r>
        <w:t xml:space="preserve"> hopane ratio; G/G+C</w:t>
      </w:r>
      <w:r w:rsidRPr="00987578">
        <w:rPr>
          <w:vertAlign w:val="subscript"/>
        </w:rPr>
        <w:t>30</w:t>
      </w:r>
      <w:r>
        <w:t xml:space="preserve">HH= gammacerane  index;   Ts/Ts+Tm= Ts vs Tm ratio;  C35HH/C34HH = C35S/C34  hopanes ratio; </w:t>
      </w:r>
      <w:r w:rsidRPr="0074048C">
        <w:t xml:space="preserve">regular steranes/17α-hopanes </w:t>
      </w:r>
      <w:r>
        <w:t>= regular steranes/hopanes; C</w:t>
      </w:r>
      <w:r w:rsidRPr="00987578">
        <w:rPr>
          <w:vertAlign w:val="subscript"/>
        </w:rPr>
        <w:t>27</w:t>
      </w:r>
      <w:r>
        <w:t>%= %C</w:t>
      </w:r>
      <w:r w:rsidRPr="00987578">
        <w:rPr>
          <w:vertAlign w:val="subscript"/>
        </w:rPr>
        <w:t>27</w:t>
      </w:r>
      <w:r>
        <w:t xml:space="preserve"> steranes; C</w:t>
      </w:r>
      <w:r w:rsidRPr="00BF71C3">
        <w:rPr>
          <w:vertAlign w:val="subscript"/>
        </w:rPr>
        <w:t>2</w:t>
      </w:r>
      <w:r>
        <w:rPr>
          <w:vertAlign w:val="subscript"/>
        </w:rPr>
        <w:t>8</w:t>
      </w:r>
      <w:r>
        <w:t>%= %C</w:t>
      </w:r>
      <w:r w:rsidRPr="00BF71C3">
        <w:rPr>
          <w:vertAlign w:val="subscript"/>
        </w:rPr>
        <w:t>2</w:t>
      </w:r>
      <w:r>
        <w:rPr>
          <w:vertAlign w:val="subscript"/>
        </w:rPr>
        <w:t>8</w:t>
      </w:r>
      <w:r>
        <w:t xml:space="preserve"> steranes; C</w:t>
      </w:r>
      <w:r w:rsidRPr="00BF71C3">
        <w:rPr>
          <w:vertAlign w:val="subscript"/>
        </w:rPr>
        <w:t>2</w:t>
      </w:r>
      <w:r>
        <w:rPr>
          <w:vertAlign w:val="subscript"/>
        </w:rPr>
        <w:t>9</w:t>
      </w:r>
      <w:r>
        <w:t>% = %C</w:t>
      </w:r>
      <w:r w:rsidRPr="00BF71C3">
        <w:rPr>
          <w:vertAlign w:val="subscript"/>
        </w:rPr>
        <w:t>2</w:t>
      </w:r>
      <w:r>
        <w:rPr>
          <w:vertAlign w:val="subscript"/>
        </w:rPr>
        <w:t>9</w:t>
      </w:r>
      <w:r>
        <w:t xml:space="preserve"> steranes; DIAST IND = diasteranes index; STERANE IND = steranes index.</w:t>
      </w:r>
    </w:p>
    <w:p w14:paraId="0A653529" w14:textId="77777777" w:rsidR="00081C89" w:rsidRDefault="00081C89" w:rsidP="00081C89">
      <w:pPr>
        <w:spacing w:line="276" w:lineRule="auto"/>
        <w:jc w:val="center"/>
        <w:rPr>
          <w:b/>
        </w:rPr>
      </w:pPr>
      <w:r w:rsidRPr="00710889">
        <w:rPr>
          <w:b/>
        </w:rPr>
        <w:lastRenderedPageBreak/>
        <w:t xml:space="preserve"> </w:t>
      </w:r>
      <w:r w:rsidRPr="00710889">
        <w:rPr>
          <w:noProof/>
        </w:rPr>
        <w:drawing>
          <wp:inline distT="0" distB="0" distL="0" distR="0" wp14:anchorId="6710DE22" wp14:editId="0D269D10">
            <wp:extent cx="7620000" cy="5066771"/>
            <wp:effectExtent l="0" t="0" r="0" b="0"/>
            <wp:docPr id="8536" name="Picture 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628285" cy="5072280"/>
                    </a:xfrm>
                    <a:prstGeom prst="rect">
                      <a:avLst/>
                    </a:prstGeom>
                    <a:noFill/>
                    <a:ln>
                      <a:noFill/>
                    </a:ln>
                  </pic:spPr>
                </pic:pic>
              </a:graphicData>
            </a:graphic>
          </wp:inline>
        </w:drawing>
      </w:r>
    </w:p>
    <w:p w14:paraId="67B51AF1" w14:textId="77777777" w:rsidR="00081C89" w:rsidRPr="00552F37" w:rsidRDefault="00081C89" w:rsidP="00081C89">
      <w:pPr>
        <w:pStyle w:val="Caption"/>
        <w:jc w:val="center"/>
        <w:rPr>
          <w:b/>
          <w:color w:val="000000"/>
        </w:rPr>
        <w:sectPr w:rsidR="00081C89" w:rsidRPr="00552F37" w:rsidSect="0095456D">
          <w:pgSz w:w="15840" w:h="12240" w:orient="landscape"/>
          <w:pgMar w:top="1440" w:right="1440" w:bottom="1440" w:left="1440" w:header="720" w:footer="720" w:gutter="0"/>
          <w:cols w:space="720"/>
          <w:docGrid w:linePitch="360"/>
        </w:sectPr>
      </w:pPr>
      <w:bookmarkStart w:id="224" w:name="_Toc35861215"/>
      <w:r w:rsidRPr="001A5078">
        <w:rPr>
          <w:b/>
        </w:rPr>
        <w:t>Figure 3.2</w:t>
      </w:r>
      <w:r>
        <w:rPr>
          <w:b/>
        </w:rPr>
        <w:t>8</w:t>
      </w:r>
      <w:r w:rsidRPr="001A5078">
        <w:rPr>
          <w:b/>
        </w:rPr>
        <w:t>.</w:t>
      </w:r>
      <w:r>
        <w:t xml:space="preserve"> Tr</w:t>
      </w:r>
      <w:r w:rsidRPr="00E01B45">
        <w:t>icyclic terpane</w:t>
      </w:r>
      <w:r>
        <w:t>s</w:t>
      </w:r>
      <w:r w:rsidRPr="00E01B45">
        <w:t xml:space="preserve"> and hopane</w:t>
      </w:r>
      <w:r>
        <w:t>s</w:t>
      </w:r>
      <w:r w:rsidRPr="00E01B45">
        <w:t xml:space="preserve"> identification using m/z 191</w:t>
      </w:r>
      <w:r>
        <w:t>.3</w:t>
      </w:r>
      <w:r w:rsidRPr="00E01B45">
        <w:t xml:space="preserve"> plot of sample</w:t>
      </w:r>
      <w:r>
        <w:t xml:space="preserve"> 220b, Middle-Upper Woodford 220.5 ft boundary. Peaks nomenclature in Table 3.5.</w:t>
      </w:r>
      <w:bookmarkEnd w:id="224"/>
      <w:r>
        <w:t xml:space="preserve">  </w:t>
      </w:r>
    </w:p>
    <w:p w14:paraId="29D78078" w14:textId="57926149" w:rsidR="00081C89" w:rsidRDefault="00081C89" w:rsidP="00081C89">
      <w:pPr>
        <w:spacing w:before="240"/>
        <w:ind w:firstLine="720"/>
      </w:pPr>
      <w:r>
        <w:lastRenderedPageBreak/>
        <w:t>For the</w:t>
      </w:r>
      <w:r w:rsidRPr="00D40BEC">
        <w:t xml:space="preserve"> </w:t>
      </w:r>
      <w:r>
        <w:t xml:space="preserve">SR, the </w:t>
      </w:r>
      <w:r w:rsidRPr="00C51899">
        <w:t>regular steranes/17</w:t>
      </w:r>
      <w:r w:rsidRPr="00C51899">
        <w:rPr>
          <w:rFonts w:cstheme="minorHAnsi"/>
          <w:color w:val="000000"/>
        </w:rPr>
        <w:t>α-</w:t>
      </w:r>
      <w:r>
        <w:t>hop</w:t>
      </w:r>
      <w:r w:rsidRPr="00D40BEC">
        <w:t>ane</w:t>
      </w:r>
      <w:r>
        <w:t>s</w:t>
      </w:r>
      <w:r w:rsidRPr="00D40BEC">
        <w:t xml:space="preserve"> ratio is</w:t>
      </w:r>
      <w:r>
        <w:t xml:space="preserve">, on average, </w:t>
      </w:r>
      <w:r w:rsidRPr="00D40BEC">
        <w:t>0.</w:t>
      </w:r>
      <w:r>
        <w:t>48</w:t>
      </w:r>
      <w:r w:rsidRPr="00D40BEC">
        <w:t xml:space="preserve">. </w:t>
      </w:r>
      <w:r>
        <w:t xml:space="preserve">This </w:t>
      </w:r>
      <w:r w:rsidRPr="00007F20">
        <w:t>ratio is frequently used to evaluate eukaryote (plankton and/or benthic algae) versus prokaryote (bacteria) organic matter input in sediments</w:t>
      </w:r>
      <w:r>
        <w:t xml:space="preserve"> </w:t>
      </w:r>
      <w:r w:rsidRPr="00007F20">
        <w:t>(Peters et al., 2005). High values of this ratio are indicative of marine depositional environments, whereas low, near</w:t>
      </w:r>
      <w:r>
        <w:t>-</w:t>
      </w:r>
      <w:r w:rsidRPr="00007F20">
        <w:t xml:space="preserve">zero values are associated with terrigenous and/or reworked organic matter (Peters et al., 2005). </w:t>
      </w:r>
      <w:r w:rsidRPr="00D40BEC">
        <w:t xml:space="preserve">For the </w:t>
      </w:r>
      <w:r>
        <w:t>Lower Woodford member,</w:t>
      </w:r>
      <w:r w:rsidRPr="00D40BEC">
        <w:t xml:space="preserve"> the </w:t>
      </w:r>
      <w:r>
        <w:t>values range</w:t>
      </w:r>
      <w:r w:rsidRPr="00D40BEC">
        <w:t xml:space="preserve"> from 0.</w:t>
      </w:r>
      <w:r>
        <w:t>4</w:t>
      </w:r>
      <w:r w:rsidRPr="00D40BEC">
        <w:t xml:space="preserve">6 to </w:t>
      </w:r>
      <w:r>
        <w:t>1</w:t>
      </w:r>
      <w:r w:rsidRPr="00D40BEC">
        <w:t>.</w:t>
      </w:r>
      <w:r>
        <w:t>3</w:t>
      </w:r>
      <w:r w:rsidRPr="00D40BEC">
        <w:t>3</w:t>
      </w:r>
      <w:r>
        <w:t xml:space="preserve"> (Table 3.6)</w:t>
      </w:r>
      <w:r w:rsidRPr="00D40BEC">
        <w:t xml:space="preserve">, indicating that the rates vary from </w:t>
      </w:r>
      <w:r>
        <w:t>organic matter in</w:t>
      </w:r>
      <w:r w:rsidRPr="00D40BEC">
        <w:t xml:space="preserve"> marine deposits </w:t>
      </w:r>
      <w:r>
        <w:t>with</w:t>
      </w:r>
      <w:r w:rsidRPr="00D40BEC">
        <w:t xml:space="preserve"> high values </w:t>
      </w:r>
      <w:r>
        <w:t xml:space="preserve">of the ratio, </w:t>
      </w:r>
      <w:r w:rsidRPr="00D40BEC">
        <w:t xml:space="preserve">to </w:t>
      </w:r>
      <w:r>
        <w:t>a more prokaryotic input in the depositional conditions of samples</w:t>
      </w:r>
      <w:r w:rsidRPr="00D40BEC">
        <w:t xml:space="preserve"> with low values</w:t>
      </w:r>
      <w:r>
        <w:t xml:space="preserve"> of the ratio (Miceli-Romero and Philp, 2012)</w:t>
      </w:r>
      <w:r w:rsidRPr="00D40BEC">
        <w:t xml:space="preserve">. For the </w:t>
      </w:r>
      <w:r>
        <w:t xml:space="preserve">Middle </w:t>
      </w:r>
      <w:r w:rsidRPr="00D40BEC">
        <w:t>member, the ratio ranges from 0.</w:t>
      </w:r>
      <w:r>
        <w:t>31</w:t>
      </w:r>
      <w:r w:rsidRPr="00D40BEC">
        <w:t xml:space="preserve"> to </w:t>
      </w:r>
      <w:r>
        <w:t>1.13</w:t>
      </w:r>
      <w:r w:rsidRPr="00D40BEC">
        <w:t xml:space="preserve">, with </w:t>
      </w:r>
      <w:r>
        <w:t>a</w:t>
      </w:r>
      <w:r w:rsidRPr="00D40BEC">
        <w:t xml:space="preserve"> similar interpretation of marine deposits with higher values located at the </w:t>
      </w:r>
      <w:r>
        <w:t>maximum flooding surface (MFS located at 194.5 ft in Figure 3.29 and Figure 3.30</w:t>
      </w:r>
      <w:r w:rsidR="0094057C">
        <w:t>) and</w:t>
      </w:r>
      <w:r w:rsidRPr="00D40BEC">
        <w:t xml:space="preserve"> decreasing upwards </w:t>
      </w:r>
      <w:r>
        <w:t xml:space="preserve">with </w:t>
      </w:r>
      <w:r w:rsidRPr="00D40BEC">
        <w:t>more transitional deposits manifested by the low values for the ratio</w:t>
      </w:r>
      <w:r>
        <w:t xml:space="preserve"> in the Upper Woodford member</w:t>
      </w:r>
      <w:r w:rsidRPr="00D40BEC">
        <w:t xml:space="preserve">. For the </w:t>
      </w:r>
      <w:r>
        <w:t>Upper</w:t>
      </w:r>
      <w:r w:rsidRPr="00D40BEC">
        <w:t xml:space="preserve"> member, the </w:t>
      </w:r>
      <w:r w:rsidRPr="00C51899">
        <w:t>regular steranes/17</w:t>
      </w:r>
      <w:r w:rsidRPr="00C51899">
        <w:rPr>
          <w:rFonts w:cstheme="minorHAnsi"/>
          <w:color w:val="000000"/>
        </w:rPr>
        <w:t>α-</w:t>
      </w:r>
      <w:r>
        <w:t>hop</w:t>
      </w:r>
      <w:r w:rsidRPr="00D40BEC">
        <w:t>ane</w:t>
      </w:r>
      <w:r>
        <w:t>s</w:t>
      </w:r>
      <w:r w:rsidRPr="00D40BEC">
        <w:t xml:space="preserve"> ratio ranges from 0.</w:t>
      </w:r>
      <w:r>
        <w:t>09</w:t>
      </w:r>
      <w:r w:rsidRPr="00D40BEC">
        <w:t xml:space="preserve"> to 0.78</w:t>
      </w:r>
      <w:r>
        <w:t xml:space="preserve"> (Table 3.6),</w:t>
      </w:r>
      <w:r w:rsidRPr="00D40BEC">
        <w:t xml:space="preserve"> indicating a more </w:t>
      </w:r>
      <w:r w:rsidRPr="00C51899">
        <w:t>terrigenous and/or reworked organic matter</w:t>
      </w:r>
      <w:r w:rsidRPr="00D40BEC" w:rsidDel="00852C8D">
        <w:t xml:space="preserve"> </w:t>
      </w:r>
      <w:r>
        <w:t xml:space="preserve">deposited in silica-rich and chertier </w:t>
      </w:r>
      <w:r w:rsidRPr="00D40BEC">
        <w:t>rock matrix</w:t>
      </w:r>
      <w:r>
        <w:t xml:space="preserve"> (from identified lithofacies). </w:t>
      </w:r>
    </w:p>
    <w:p w14:paraId="4B684B2B" w14:textId="77777777" w:rsidR="00081C89" w:rsidRDefault="00081C89" w:rsidP="00081C89">
      <w:pPr>
        <w:ind w:firstLine="720"/>
      </w:pPr>
      <w:r w:rsidRPr="00D40BEC">
        <w:t xml:space="preserve">Hopanes are derived primarily from </w:t>
      </w:r>
      <w:r w:rsidRPr="00ED3811">
        <w:t xml:space="preserve">hopanoid compounds present in </w:t>
      </w:r>
      <w:r>
        <w:t xml:space="preserve">the </w:t>
      </w:r>
      <w:r w:rsidRPr="00ED3811">
        <w:t>cell membranes of prokaryo</w:t>
      </w:r>
      <w:r>
        <w:t>tes bacteria and cyanobacteria (Ourisson et al., 1982</w:t>
      </w:r>
      <w:r w:rsidRPr="00D40BEC">
        <w:t>)</w:t>
      </w:r>
      <w:r>
        <w:t>. The</w:t>
      </w:r>
      <w:r w:rsidRPr="00D40BEC">
        <w:t xml:space="preserve"> C</w:t>
      </w:r>
      <w:r w:rsidRPr="003C18FD">
        <w:rPr>
          <w:vertAlign w:val="subscript"/>
        </w:rPr>
        <w:t xml:space="preserve">29 </w:t>
      </w:r>
      <w:r w:rsidRPr="00C51899">
        <w:t>17</w:t>
      </w:r>
      <w:r w:rsidRPr="00C51899">
        <w:rPr>
          <w:rFonts w:cstheme="minorHAnsi"/>
          <w:color w:val="000000"/>
        </w:rPr>
        <w:t xml:space="preserve">α(H)-norhopane (30-Norhopane) </w:t>
      </w:r>
      <w:r w:rsidRPr="00D40BEC">
        <w:t>and C</w:t>
      </w:r>
      <w:r w:rsidRPr="003C18FD">
        <w:rPr>
          <w:vertAlign w:val="subscript"/>
        </w:rPr>
        <w:t>30</w:t>
      </w:r>
      <w:r w:rsidRPr="00D40BEC">
        <w:t xml:space="preserve"> 17α(H)-hopanes are the predominant triterpanes</w:t>
      </w:r>
      <w:r>
        <w:t xml:space="preserve"> commonly found as major peaks in the m/z 191 (</w:t>
      </w:r>
      <w:r w:rsidRPr="00DD0DC2">
        <w:rPr>
          <w:rFonts w:cstheme="minorHAnsi"/>
          <w:color w:val="000000"/>
        </w:rPr>
        <w:t>Waples and Machihara, 1991;</w:t>
      </w:r>
      <w:r w:rsidRPr="00C51899">
        <w:rPr>
          <w:rFonts w:cstheme="minorHAnsi"/>
          <w:color w:val="000000"/>
        </w:rPr>
        <w:t xml:space="preserve"> Peters et al., 2005)</w:t>
      </w:r>
      <w:r w:rsidRPr="00D40BEC">
        <w:t>. The C</w:t>
      </w:r>
      <w:r w:rsidRPr="003C18FD">
        <w:rPr>
          <w:vertAlign w:val="subscript"/>
        </w:rPr>
        <w:t>29</w:t>
      </w:r>
      <w:r w:rsidRPr="00D40BEC">
        <w:t>/C</w:t>
      </w:r>
      <w:r w:rsidRPr="003C18FD">
        <w:rPr>
          <w:vertAlign w:val="subscript"/>
        </w:rPr>
        <w:t>30</w:t>
      </w:r>
      <w:r w:rsidRPr="00D40BEC">
        <w:t xml:space="preserve"> hopane ratio is commonly used to distinguish carbonate from clastic lithology (Palacas et al., 1984; Peters and Moldowan, 1993).  Oils sourced from organic</w:t>
      </w:r>
      <w:r>
        <w:t>-</w:t>
      </w:r>
      <w:r w:rsidRPr="00D40BEC">
        <w:t xml:space="preserve">rich carbonates and evaporites are generally characterized by high values (&gt;1) </w:t>
      </w:r>
      <w:r>
        <w:t xml:space="preserve">for the </w:t>
      </w:r>
      <w:r w:rsidRPr="00D40BEC">
        <w:t>C</w:t>
      </w:r>
      <w:r w:rsidRPr="00C24536">
        <w:rPr>
          <w:vertAlign w:val="subscript"/>
        </w:rPr>
        <w:t>29</w:t>
      </w:r>
      <w:r w:rsidRPr="00D40BEC">
        <w:t>/C</w:t>
      </w:r>
      <w:r w:rsidRPr="00C24536">
        <w:rPr>
          <w:vertAlign w:val="subscript"/>
        </w:rPr>
        <w:t>30</w:t>
      </w:r>
      <w:r w:rsidRPr="00D40BEC">
        <w:t xml:space="preserve"> hopane ratio while low values of C</w:t>
      </w:r>
      <w:r w:rsidRPr="00C24536">
        <w:rPr>
          <w:vertAlign w:val="subscript"/>
        </w:rPr>
        <w:t>29</w:t>
      </w:r>
      <w:r w:rsidRPr="00D40BEC">
        <w:t>/C</w:t>
      </w:r>
      <w:r w:rsidRPr="00C24536">
        <w:rPr>
          <w:vertAlign w:val="subscript"/>
        </w:rPr>
        <w:t>30</w:t>
      </w:r>
      <w:r w:rsidRPr="00D40BEC">
        <w:t xml:space="preserve"> hopane ratios are characteristic of siliceous shal</w:t>
      </w:r>
      <w:r>
        <w:t>e</w:t>
      </w:r>
      <w:r w:rsidRPr="00D40BEC">
        <w:t xml:space="preserve"> deposits</w:t>
      </w:r>
      <w:r>
        <w:t xml:space="preserve"> (</w:t>
      </w:r>
      <w:r w:rsidRPr="00D40BEC" w:rsidDel="00F10A0B">
        <w:t xml:space="preserve"> </w:t>
      </w:r>
      <w:r w:rsidRPr="00D40BEC">
        <w:t xml:space="preserve">Zumberge, 1984; Price et al., 1987; Clark and </w:t>
      </w:r>
      <w:r w:rsidRPr="00D40BEC">
        <w:lastRenderedPageBreak/>
        <w:t>Philp, 1989</w:t>
      </w:r>
      <w:r>
        <w:t>;</w:t>
      </w:r>
      <w:r w:rsidRPr="00D40BEC">
        <w:t xml:space="preserve"> </w:t>
      </w:r>
      <w:r>
        <w:t>Figure 3.29 and Figure 3.30)</w:t>
      </w:r>
      <w:r w:rsidRPr="00D40BEC">
        <w:t xml:space="preserve">. </w:t>
      </w:r>
      <w:r>
        <w:t xml:space="preserve"> </w:t>
      </w:r>
      <w:r w:rsidRPr="00D40BEC">
        <w:t xml:space="preserve">For </w:t>
      </w:r>
      <w:r>
        <w:t>all the SR outcrop</w:t>
      </w:r>
      <w:r w:rsidRPr="00D40BEC">
        <w:t xml:space="preserve"> samples, the C</w:t>
      </w:r>
      <w:r w:rsidRPr="00744ABA">
        <w:rPr>
          <w:vertAlign w:val="subscript"/>
        </w:rPr>
        <w:t>29</w:t>
      </w:r>
      <w:r w:rsidRPr="00D40BEC">
        <w:t>/C</w:t>
      </w:r>
      <w:r w:rsidRPr="00744ABA">
        <w:rPr>
          <w:vertAlign w:val="subscript"/>
        </w:rPr>
        <w:t>30</w:t>
      </w:r>
      <w:r w:rsidRPr="00D40BEC">
        <w:t xml:space="preserve"> hopane</w:t>
      </w:r>
      <w:r>
        <w:t xml:space="preserve"> ratio</w:t>
      </w:r>
      <w:r w:rsidRPr="00D40BEC">
        <w:t xml:space="preserve"> ranged from 0.</w:t>
      </w:r>
      <w:r>
        <w:t>7</w:t>
      </w:r>
      <w:r w:rsidRPr="00D40BEC">
        <w:t xml:space="preserve"> to </w:t>
      </w:r>
      <w:r>
        <w:t xml:space="preserve">1 </w:t>
      </w:r>
      <w:r w:rsidRPr="00D40BEC">
        <w:t xml:space="preserve">(Table </w:t>
      </w:r>
      <w:r>
        <w:t>3.6</w:t>
      </w:r>
      <w:r w:rsidRPr="00D40BEC">
        <w:t>)</w:t>
      </w:r>
      <w:r>
        <w:t>.</w:t>
      </w:r>
      <w:r w:rsidRPr="00D40BEC">
        <w:t xml:space="preserve">  </w:t>
      </w:r>
    </w:p>
    <w:p w14:paraId="7B1886B6" w14:textId="6827EC07" w:rsidR="00081C89" w:rsidRPr="000D6EE6" w:rsidRDefault="00081C89" w:rsidP="00081C89">
      <w:pPr>
        <w:ind w:firstLine="720"/>
      </w:pPr>
      <w:r w:rsidRPr="00C51899">
        <w:t>Tricyclic terpanes (</w:t>
      </w:r>
      <w:r w:rsidR="007E1A3D">
        <w:t>c</w:t>
      </w:r>
      <w:r w:rsidRPr="00C51899">
        <w:t xml:space="preserve">heilanthanes) are </w:t>
      </w:r>
      <w:r>
        <w:t xml:space="preserve">thought to be </w:t>
      </w:r>
      <w:r w:rsidRPr="00C51899">
        <w:t>derived from algae and bacterial precursors (</w:t>
      </w:r>
      <w:r w:rsidRPr="00D40BEC">
        <w:t>Seifert and Moldowan, 19</w:t>
      </w:r>
      <w:r>
        <w:t xml:space="preserve">80; </w:t>
      </w:r>
      <w:r w:rsidRPr="00105DEB">
        <w:t>Aquino Neto et al., 198</w:t>
      </w:r>
      <w:r>
        <w:t xml:space="preserve">2; </w:t>
      </w:r>
      <w:r w:rsidRPr="00C51899">
        <w:t>Ourisson et al., 1982</w:t>
      </w:r>
      <w:r w:rsidRPr="00105DEB">
        <w:t>; Peters</w:t>
      </w:r>
      <w:r w:rsidRPr="00C51899">
        <w:t xml:space="preserve"> et al., 2005). </w:t>
      </w:r>
      <w:r w:rsidRPr="00464D4A">
        <w:t xml:space="preserve">Volkman et al. (1989) found significant amounts of tricyclic terpanes in bitumen from rocks containing </w:t>
      </w:r>
      <w:r w:rsidRPr="000F3FAD">
        <w:rPr>
          <w:i/>
        </w:rPr>
        <w:t>Tasmanites</w:t>
      </w:r>
      <w:r w:rsidRPr="00464D4A">
        <w:t xml:space="preserve">, suggesting an origin from these organisms. Philp and Gilbert (1986) determined that tricyclic terpanes are abundant in marine oils. </w:t>
      </w:r>
      <w:r>
        <w:t>T</w:t>
      </w:r>
      <w:r w:rsidRPr="000D6EE6">
        <w:t>he C</w:t>
      </w:r>
      <w:r w:rsidRPr="000F3FAD">
        <w:rPr>
          <w:vertAlign w:val="subscript"/>
        </w:rPr>
        <w:t>22</w:t>
      </w:r>
      <w:r w:rsidRPr="000D6EE6">
        <w:t>/C</w:t>
      </w:r>
      <w:r w:rsidRPr="000F3FAD">
        <w:rPr>
          <w:vertAlign w:val="subscript"/>
        </w:rPr>
        <w:t>21</w:t>
      </w:r>
      <w:r w:rsidRPr="000D6EE6">
        <w:t xml:space="preserve"> and the C</w:t>
      </w:r>
      <w:r w:rsidRPr="000F3FAD">
        <w:rPr>
          <w:vertAlign w:val="subscript"/>
        </w:rPr>
        <w:t>24</w:t>
      </w:r>
      <w:r w:rsidRPr="000D6EE6">
        <w:t>/C</w:t>
      </w:r>
      <w:r w:rsidRPr="000F3FAD">
        <w:rPr>
          <w:vertAlign w:val="subscript"/>
        </w:rPr>
        <w:t>23</w:t>
      </w:r>
      <w:r w:rsidRPr="000D6EE6">
        <w:t xml:space="preserve"> tricyclic terpane ratios assist in the identification of oils derived from carbonate rocks</w:t>
      </w:r>
      <w:r>
        <w:t xml:space="preserve"> (Philp and Gilbert, </w:t>
      </w:r>
      <w:r w:rsidRPr="00464D4A">
        <w:t>1986</w:t>
      </w:r>
      <w:r>
        <w:t>; Peters et al., 2005; Miceli-Romero et al., 2018</w:t>
      </w:r>
      <w:r w:rsidRPr="00464D4A">
        <w:t>)</w:t>
      </w:r>
      <w:r w:rsidRPr="000D6EE6">
        <w:t>. Extracts and oils derived from these source rocks typically show high C</w:t>
      </w:r>
      <w:r w:rsidRPr="000F3FAD">
        <w:rPr>
          <w:vertAlign w:val="subscript"/>
        </w:rPr>
        <w:t>22/</w:t>
      </w:r>
      <w:r w:rsidRPr="000D6EE6">
        <w:t>C</w:t>
      </w:r>
      <w:r w:rsidRPr="000F3FAD">
        <w:rPr>
          <w:vertAlign w:val="subscript"/>
        </w:rPr>
        <w:t>21</w:t>
      </w:r>
      <w:r w:rsidRPr="000F3FAD">
        <w:t xml:space="preserve"> (&gt;0.50) </w:t>
      </w:r>
      <w:r w:rsidRPr="000D6EE6">
        <w:t>and low C</w:t>
      </w:r>
      <w:r w:rsidRPr="000F3FAD">
        <w:rPr>
          <w:vertAlign w:val="subscript"/>
        </w:rPr>
        <w:t>24</w:t>
      </w:r>
      <w:r w:rsidRPr="000D6EE6">
        <w:t>/C</w:t>
      </w:r>
      <w:r w:rsidRPr="000F3FAD">
        <w:rPr>
          <w:vertAlign w:val="subscript"/>
        </w:rPr>
        <w:t xml:space="preserve">23 </w:t>
      </w:r>
      <w:r w:rsidRPr="000F3FAD">
        <w:t>(&lt; 0.50)</w:t>
      </w:r>
      <w:r>
        <w:rPr>
          <w:vertAlign w:val="subscript"/>
        </w:rPr>
        <w:t xml:space="preserve"> </w:t>
      </w:r>
      <w:r w:rsidRPr="000D6EE6">
        <w:t>tricyclic terpane</w:t>
      </w:r>
      <w:r>
        <w:t>s</w:t>
      </w:r>
      <w:r w:rsidRPr="000D6EE6">
        <w:t xml:space="preserve"> ratios, while marine source rocks show low C</w:t>
      </w:r>
      <w:r w:rsidRPr="000F3FAD">
        <w:rPr>
          <w:vertAlign w:val="subscript"/>
        </w:rPr>
        <w:t>22</w:t>
      </w:r>
      <w:r w:rsidRPr="000D6EE6">
        <w:t>/C</w:t>
      </w:r>
      <w:r w:rsidRPr="000F3FAD">
        <w:rPr>
          <w:vertAlign w:val="subscript"/>
        </w:rPr>
        <w:t>21</w:t>
      </w:r>
      <w:r w:rsidRPr="000D6EE6">
        <w:t xml:space="preserve"> (0.20-0.50) and high C</w:t>
      </w:r>
      <w:r w:rsidRPr="000F3FAD">
        <w:rPr>
          <w:vertAlign w:val="subscript"/>
        </w:rPr>
        <w:t>24</w:t>
      </w:r>
      <w:r w:rsidRPr="000D6EE6">
        <w:t>/C</w:t>
      </w:r>
      <w:r w:rsidRPr="000F3FAD">
        <w:rPr>
          <w:vertAlign w:val="subscript"/>
        </w:rPr>
        <w:t>23</w:t>
      </w:r>
      <w:r w:rsidRPr="000D6EE6">
        <w:t xml:space="preserve"> (0.50-1.00) tricyclic terpanes (Peters et al., 2005).</w:t>
      </w:r>
      <w:r>
        <w:t xml:space="preserve"> For the SR, all samples show </w:t>
      </w:r>
      <w:r w:rsidRPr="000D6EE6">
        <w:t>low C</w:t>
      </w:r>
      <w:r w:rsidRPr="00BF71C3">
        <w:rPr>
          <w:vertAlign w:val="subscript"/>
        </w:rPr>
        <w:t>22</w:t>
      </w:r>
      <w:r w:rsidRPr="000D6EE6">
        <w:t>/C</w:t>
      </w:r>
      <w:r w:rsidRPr="00BF71C3">
        <w:rPr>
          <w:vertAlign w:val="subscript"/>
        </w:rPr>
        <w:t>21</w:t>
      </w:r>
      <w:r w:rsidRPr="000D6EE6">
        <w:t xml:space="preserve"> (0.</w:t>
      </w:r>
      <w:r>
        <w:t>1</w:t>
      </w:r>
      <w:r w:rsidRPr="000D6EE6">
        <w:t>0-0.</w:t>
      </w:r>
      <w:r>
        <w:t>4</w:t>
      </w:r>
      <w:r w:rsidRPr="000D6EE6">
        <w:t>0)</w:t>
      </w:r>
      <w:r>
        <w:t xml:space="preserve"> and variable </w:t>
      </w:r>
      <w:r w:rsidRPr="000D6EE6">
        <w:t>C</w:t>
      </w:r>
      <w:r w:rsidRPr="000F3FAD">
        <w:rPr>
          <w:vertAlign w:val="subscript"/>
        </w:rPr>
        <w:t>24</w:t>
      </w:r>
      <w:r w:rsidRPr="000D6EE6">
        <w:t>/C</w:t>
      </w:r>
      <w:r w:rsidRPr="000F3FAD">
        <w:rPr>
          <w:vertAlign w:val="subscript"/>
        </w:rPr>
        <w:t>23</w:t>
      </w:r>
      <w:r w:rsidRPr="000D6EE6">
        <w:t xml:space="preserve"> (0.</w:t>
      </w:r>
      <w:r>
        <w:t>2</w:t>
      </w:r>
      <w:r w:rsidRPr="000D6EE6">
        <w:t>5-</w:t>
      </w:r>
      <w:r>
        <w:t>0</w:t>
      </w:r>
      <w:r w:rsidRPr="000D6EE6">
        <w:t>.</w:t>
      </w:r>
      <w:r>
        <w:t>6</w:t>
      </w:r>
      <w:r w:rsidRPr="000D6EE6">
        <w:t>0)</w:t>
      </w:r>
      <w:r>
        <w:t xml:space="preserve">, but the </w:t>
      </w:r>
      <w:r w:rsidRPr="000D6EE6">
        <w:t>C</w:t>
      </w:r>
      <w:r w:rsidRPr="00BF71C3">
        <w:rPr>
          <w:vertAlign w:val="subscript"/>
        </w:rPr>
        <w:t>22</w:t>
      </w:r>
      <w:r w:rsidRPr="000D6EE6">
        <w:t>/C</w:t>
      </w:r>
      <w:r w:rsidRPr="00BF71C3">
        <w:rPr>
          <w:vertAlign w:val="subscript"/>
        </w:rPr>
        <w:t>21</w:t>
      </w:r>
      <w:r>
        <w:rPr>
          <w:vertAlign w:val="subscript"/>
        </w:rPr>
        <w:t xml:space="preserve"> </w:t>
      </w:r>
      <w:r w:rsidRPr="000F3FAD">
        <w:t>being lower than</w:t>
      </w:r>
      <w:r>
        <w:rPr>
          <w:vertAlign w:val="subscript"/>
        </w:rPr>
        <w:t xml:space="preserve"> </w:t>
      </w:r>
      <w:r>
        <w:t xml:space="preserve">0.50 for all the samples indicates that are marine shales than marine carbonates (Figure 3.29 and 3.30). </w:t>
      </w:r>
    </w:p>
    <w:p w14:paraId="76F4E901" w14:textId="77777777" w:rsidR="00081C89" w:rsidRPr="00D40BEC" w:rsidRDefault="00081C89" w:rsidP="00081C89">
      <w:pPr>
        <w:ind w:firstLine="720"/>
      </w:pPr>
      <w:r w:rsidRPr="00D40BEC">
        <w:t>Connan et al. (1986) and Clark and Philp (1989) reported the occurrence of the C</w:t>
      </w:r>
      <w:r w:rsidRPr="00D77868">
        <w:rPr>
          <w:vertAlign w:val="subscript"/>
        </w:rPr>
        <w:t>24</w:t>
      </w:r>
      <w:r w:rsidRPr="00D40BEC">
        <w:t xml:space="preserve"> tetracyclic terpanes in samples from h</w:t>
      </w:r>
      <w:r>
        <w:t>igh salinity depositional</w:t>
      </w:r>
      <w:r w:rsidRPr="00D40BEC">
        <w:t xml:space="preserve"> environments. </w:t>
      </w:r>
      <w:r>
        <w:t>O</w:t>
      </w:r>
      <w:r w:rsidRPr="00D40BEC">
        <w:t>ther authors</w:t>
      </w:r>
      <w:r>
        <w:t xml:space="preserve"> </w:t>
      </w:r>
      <w:r w:rsidRPr="00D40BEC">
        <w:t>(Palacas et al., 1984; Connan et al., 1986</w:t>
      </w:r>
      <w:r>
        <w:t>) mention that</w:t>
      </w:r>
      <w:r w:rsidRPr="00D40BEC">
        <w:t xml:space="preserve"> C</w:t>
      </w:r>
      <w:r w:rsidRPr="00D77868">
        <w:rPr>
          <w:vertAlign w:val="subscript"/>
        </w:rPr>
        <w:t>24</w:t>
      </w:r>
      <w:r w:rsidRPr="00D40BEC">
        <w:t xml:space="preserve"> tetracyclic terpanes are usually found in relatively high concentrations in oils from evaporite-carbonate sequences and typically dominate the terpane distribution. The high preservation rate of organic matter in evaporitic </w:t>
      </w:r>
      <w:r>
        <w:t xml:space="preserve">(higher salinity) </w:t>
      </w:r>
      <w:r w:rsidRPr="00D40BEC">
        <w:t xml:space="preserve">environments is predominantly due to the decrease in solubility of oxygen with increasing salinity </w:t>
      </w:r>
      <w:r>
        <w:t xml:space="preserve">and limited water recharge caused by enclosed water circulations </w:t>
      </w:r>
      <w:r w:rsidRPr="00D40BEC">
        <w:t xml:space="preserve">(Sammy, 1985). </w:t>
      </w:r>
      <w:r>
        <w:t>Also</w:t>
      </w:r>
      <w:r w:rsidRPr="00D40BEC">
        <w:t xml:space="preserve">, tetracyclic terpanes are more resistant to biodegradation than hopanes (Aquino Neto et al., 1983). </w:t>
      </w:r>
      <w:r>
        <w:t xml:space="preserve">Because of the mudstone lithofacies identified for all the Woodford Shale members </w:t>
      </w:r>
      <w:r>
        <w:lastRenderedPageBreak/>
        <w:t xml:space="preserve">in the SR (varying from argillaceous, siliceous to chert-rich), </w:t>
      </w:r>
      <w:r w:rsidRPr="00C51899">
        <w:t>it is unlikely that the presence of the C</w:t>
      </w:r>
      <w:r w:rsidRPr="00C51899">
        <w:rPr>
          <w:vertAlign w:val="subscript"/>
        </w:rPr>
        <w:t>24</w:t>
      </w:r>
      <w:r w:rsidRPr="00C51899">
        <w:t xml:space="preserve"> tetracyclic terpane </w:t>
      </w:r>
      <w:r>
        <w:t>is</w:t>
      </w:r>
      <w:r w:rsidRPr="00C51899">
        <w:t xml:space="preserve"> related to a significant</w:t>
      </w:r>
      <w:r>
        <w:t xml:space="preserve"> carbonate evaporitic condition. The </w:t>
      </w:r>
      <w:r w:rsidRPr="00C1710F">
        <w:t>C</w:t>
      </w:r>
      <w:r w:rsidRPr="000F3FAD">
        <w:rPr>
          <w:vertAlign w:val="subscript"/>
        </w:rPr>
        <w:t>24</w:t>
      </w:r>
      <w:r w:rsidRPr="00C1710F">
        <w:t xml:space="preserve"> tetracyclic terpane/C</w:t>
      </w:r>
      <w:r w:rsidRPr="000F3FAD">
        <w:rPr>
          <w:vertAlign w:val="subscript"/>
        </w:rPr>
        <w:t>30</w:t>
      </w:r>
      <w:r w:rsidRPr="00C1710F">
        <w:t xml:space="preserve"> hopane ratio show</w:t>
      </w:r>
      <w:r>
        <w:t xml:space="preserve"> values and minor</w:t>
      </w:r>
      <w:r w:rsidRPr="00C1710F">
        <w:t xml:space="preserve"> variations</w:t>
      </w:r>
      <w:r>
        <w:t xml:space="preserve"> for all the SR samples (0.2-0.3).</w:t>
      </w:r>
    </w:p>
    <w:p w14:paraId="2C9BB2FE" w14:textId="168B4D73" w:rsidR="00081C89" w:rsidRDefault="00081C89" w:rsidP="00081C89">
      <w:pPr>
        <w:ind w:firstLine="720"/>
      </w:pPr>
      <w:r w:rsidRPr="00D40BEC">
        <w:t>The homohopane</w:t>
      </w:r>
      <w:r>
        <w:t>s</w:t>
      </w:r>
      <w:r w:rsidRPr="00D40BEC">
        <w:t xml:space="preserve"> index (HHI) is used as an indicator of redox potential (Eh) in marine sediments during diagenesis (Moldowan et al., 1991). The homohopanes (C</w:t>
      </w:r>
      <w:r w:rsidRPr="00984C02">
        <w:rPr>
          <w:vertAlign w:val="subscript"/>
        </w:rPr>
        <w:t>31</w:t>
      </w:r>
      <w:r w:rsidRPr="00D40BEC">
        <w:t xml:space="preserve"> to C</w:t>
      </w:r>
      <w:r w:rsidRPr="00984C02">
        <w:rPr>
          <w:vertAlign w:val="subscript"/>
        </w:rPr>
        <w:t>3</w:t>
      </w:r>
      <w:r>
        <w:rPr>
          <w:vertAlign w:val="subscript"/>
        </w:rPr>
        <w:t>5</w:t>
      </w:r>
      <w:r w:rsidRPr="00D40BEC">
        <w:t>) are believed to be derived from bacteriopolyhopanol present in prokaryotic cell membranes (</w:t>
      </w:r>
      <w:r w:rsidRPr="00C51899">
        <w:t>Peters and Moldowan, 1991; Waples and Machihara, 1991</w:t>
      </w:r>
      <w:r>
        <w:t xml:space="preserve">; </w:t>
      </w:r>
      <w:r w:rsidRPr="00D40BEC">
        <w:t xml:space="preserve">Peters et al., 2005). </w:t>
      </w:r>
      <w:r>
        <w:t xml:space="preserve">The </w:t>
      </w:r>
      <w:r w:rsidRPr="00C3370C">
        <w:t>higher proportions of the C</w:t>
      </w:r>
      <w:r w:rsidRPr="000F3FAD">
        <w:rPr>
          <w:vertAlign w:val="subscript"/>
        </w:rPr>
        <w:t>35</w:t>
      </w:r>
      <w:r w:rsidRPr="00C3370C">
        <w:t xml:space="preserve"> homohopane with respect to its C</w:t>
      </w:r>
      <w:r w:rsidRPr="000F3FAD">
        <w:rPr>
          <w:vertAlign w:val="subscript"/>
        </w:rPr>
        <w:t>34</w:t>
      </w:r>
      <w:r w:rsidRPr="00C3370C">
        <w:t xml:space="preserve"> homolog are associated with anoxic marine depositional environments due to preferential preservation of the C</w:t>
      </w:r>
      <w:r w:rsidRPr="000F3FAD">
        <w:rPr>
          <w:vertAlign w:val="subscript"/>
        </w:rPr>
        <w:t>35</w:t>
      </w:r>
      <w:r w:rsidRPr="00C3370C">
        <w:t xml:space="preserve"> homolog (Peters and Moldowan, 1991; Moldowan et al., 1992</w:t>
      </w:r>
      <w:r w:rsidR="00B61E73">
        <w:t xml:space="preserve">). </w:t>
      </w:r>
      <w:r w:rsidRPr="00D40BEC">
        <w:t>According to Peters and Moldowan</w:t>
      </w:r>
      <w:r>
        <w:t xml:space="preserve"> </w:t>
      </w:r>
      <w:r w:rsidRPr="00D40BEC">
        <w:t>(1993)</w:t>
      </w:r>
      <w:r>
        <w:t xml:space="preserve"> and Dahl et al. (1994)</w:t>
      </w:r>
      <w:r w:rsidR="00916CCA">
        <w:t>,</w:t>
      </w:r>
      <w:r w:rsidRPr="00D40BEC">
        <w:t xml:space="preserve"> low ratios of C</w:t>
      </w:r>
      <w:r w:rsidRPr="00984C02">
        <w:rPr>
          <w:vertAlign w:val="subscript"/>
        </w:rPr>
        <w:t>35</w:t>
      </w:r>
      <w:r>
        <w:t>S</w:t>
      </w:r>
      <w:r w:rsidRPr="00D40BEC">
        <w:t xml:space="preserve"> to C</w:t>
      </w:r>
      <w:r w:rsidRPr="00984C02">
        <w:rPr>
          <w:vertAlign w:val="subscript"/>
        </w:rPr>
        <w:t>34</w:t>
      </w:r>
      <w:r w:rsidRPr="000F3FAD">
        <w:t>S</w:t>
      </w:r>
      <w:r w:rsidRPr="00D40BEC">
        <w:t xml:space="preserve"> homohopanes (0.38–0.65) suggest prevailing oxic to sub-oxic (high Eh) conditions during deposition and hence low </w:t>
      </w:r>
      <w:r>
        <w:t xml:space="preserve">preservation </w:t>
      </w:r>
      <w:r w:rsidR="00B61E73">
        <w:t>of</w:t>
      </w:r>
      <w:r>
        <w:t xml:space="preserve"> </w:t>
      </w:r>
      <w:r w:rsidRPr="00D40BEC">
        <w:t>organic matter.</w:t>
      </w:r>
      <w:r>
        <w:t xml:space="preserve"> </w:t>
      </w:r>
      <w:r w:rsidRPr="00C51899">
        <w:t>Values of this ratio greater than 0.8 are frequently related to marine carbonate source rocks (Peters et al., 2005</w:t>
      </w:r>
      <w:r>
        <w:t>; Miceli-Romero et al., 2018</w:t>
      </w:r>
      <w:r w:rsidRPr="00C51899">
        <w:t xml:space="preserve">). </w:t>
      </w:r>
      <w:r w:rsidRPr="00D40BEC">
        <w:t xml:space="preserve"> For the </w:t>
      </w:r>
      <w:r>
        <w:t>SR</w:t>
      </w:r>
      <w:r w:rsidRPr="00D40BEC">
        <w:t xml:space="preserve"> samples</w:t>
      </w:r>
      <w:r>
        <w:t>,</w:t>
      </w:r>
      <w:r w:rsidRPr="00D40BEC">
        <w:t xml:space="preserve"> the C</w:t>
      </w:r>
      <w:r w:rsidRPr="00984C02">
        <w:rPr>
          <w:vertAlign w:val="subscript"/>
        </w:rPr>
        <w:t>35</w:t>
      </w:r>
      <w:r>
        <w:t>S</w:t>
      </w:r>
      <w:r w:rsidRPr="00D40BEC">
        <w:t>/C</w:t>
      </w:r>
      <w:r w:rsidRPr="00984C02">
        <w:rPr>
          <w:vertAlign w:val="subscript"/>
        </w:rPr>
        <w:t>34</w:t>
      </w:r>
      <w:r>
        <w:t>S</w:t>
      </w:r>
      <w:r w:rsidRPr="00D40BEC">
        <w:t xml:space="preserve"> ratio is higher than 0.65</w:t>
      </w:r>
      <w:r>
        <w:t xml:space="preserve"> but less than 0.8</w:t>
      </w:r>
      <w:r w:rsidRPr="00D40BEC">
        <w:t>, indicating a predominantly anoxic depositional environment, hence high preservation</w:t>
      </w:r>
      <w:r>
        <w:t xml:space="preserve"> of the </w:t>
      </w:r>
      <w:r w:rsidRPr="00C51899">
        <w:t>C</w:t>
      </w:r>
      <w:r w:rsidRPr="00C51899">
        <w:rPr>
          <w:vertAlign w:val="subscript"/>
        </w:rPr>
        <w:t>35</w:t>
      </w:r>
      <w:r w:rsidRPr="00C51899">
        <w:t xml:space="preserve"> </w:t>
      </w:r>
      <w:r>
        <w:t>homohopane</w:t>
      </w:r>
      <w:r w:rsidRPr="00D40BEC">
        <w:t xml:space="preserve"> and </w:t>
      </w:r>
      <w:r>
        <w:t>%</w:t>
      </w:r>
      <w:r w:rsidRPr="00D40BEC">
        <w:t>TOC values (</w:t>
      </w:r>
      <w:r>
        <w:t xml:space="preserve">Table 3.6; </w:t>
      </w:r>
      <w:r w:rsidRPr="00D40BEC">
        <w:t xml:space="preserve">Figure </w:t>
      </w:r>
      <w:r>
        <w:t>3.28 - 3.30</w:t>
      </w:r>
      <w:r w:rsidRPr="00D40BEC">
        <w:t>)</w:t>
      </w:r>
      <w:r>
        <w:t xml:space="preserve">. </w:t>
      </w:r>
    </w:p>
    <w:p w14:paraId="6C2E75D7" w14:textId="03337389" w:rsidR="00081C89" w:rsidRDefault="00081C89" w:rsidP="00081C89">
      <w:pPr>
        <w:ind w:firstLine="720"/>
      </w:pPr>
      <w:r w:rsidRPr="00D40BEC">
        <w:t xml:space="preserve">The Ts vs. Tm ratio </w:t>
      </w:r>
      <w:r>
        <w:t>is suggested</w:t>
      </w:r>
      <w:r w:rsidRPr="00D40BEC">
        <w:t xml:space="preserve"> as dependent on the depositional environment and the source of organic material</w:t>
      </w:r>
      <w:r w:rsidRPr="00D40BEC" w:rsidDel="00BB04D0">
        <w:t xml:space="preserve"> </w:t>
      </w:r>
      <w:r w:rsidRPr="00D40BEC">
        <w:t>(Philp et al., 1992</w:t>
      </w:r>
      <w:r>
        <w:t xml:space="preserve">; </w:t>
      </w:r>
      <w:r w:rsidRPr="00D40BEC">
        <w:t>Peters et al., 2005).</w:t>
      </w:r>
      <w:r>
        <w:t xml:space="preserve"> </w:t>
      </w:r>
      <w:r w:rsidRPr="00D40BEC">
        <w:t xml:space="preserve">The ratio is also affected by lithology and oxicity of the depositional environment, where bitumen from many </w:t>
      </w:r>
      <w:r>
        <w:t xml:space="preserve">high-salinity </w:t>
      </w:r>
      <w:r w:rsidRPr="00D40BEC">
        <w:t>source rocks show high Ts/ (Ts+Tm) ratios (Fan Pu et al., 1987; Peters et al., 2005). Moldowan et al. (1986) and Peters et al. (2005) observed that the</w:t>
      </w:r>
      <w:r>
        <w:t xml:space="preserve"> Ts/Tm</w:t>
      </w:r>
      <w:r w:rsidRPr="00D40BEC">
        <w:t xml:space="preserve"> ratio increases at lower Eh and decreases at higher pH for the depositional environment of a series of Lower Toarcian marine shales from southwestern Germany</w:t>
      </w:r>
      <w:r w:rsidRPr="00DE1035">
        <w:t xml:space="preserve">. It is reported in unusual cases that the ratio decreases in an anoxic (low </w:t>
      </w:r>
      <w:r w:rsidRPr="00DE1035">
        <w:lastRenderedPageBreak/>
        <w:t>Eh) section (McKirdy et al., 1983, and 1984; Rullkötter et al., 1985; Price et al., 1987).</w:t>
      </w:r>
      <w:r w:rsidRPr="00D40BEC">
        <w:t xml:space="preserve"> </w:t>
      </w:r>
      <w:r>
        <w:t>All of t</w:t>
      </w:r>
      <w:r w:rsidRPr="00D40BEC">
        <w:t xml:space="preserve">he </w:t>
      </w:r>
      <w:r>
        <w:t xml:space="preserve">SR </w:t>
      </w:r>
      <w:r w:rsidRPr="00D40BEC">
        <w:t>samples show relatively low Ts/Ts+Tm values (less than 0.</w:t>
      </w:r>
      <w:r>
        <w:t>3</w:t>
      </w:r>
      <w:r w:rsidRPr="00D40BEC">
        <w:t xml:space="preserve">, Figure </w:t>
      </w:r>
      <w:r>
        <w:t>3.29 and Figure 3.30</w:t>
      </w:r>
      <w:r w:rsidRPr="00D40BEC">
        <w:t>)</w:t>
      </w:r>
      <w:r>
        <w:t>. Even</w:t>
      </w:r>
      <w:r w:rsidR="00B61E73">
        <w:t xml:space="preserve"> if</w:t>
      </w:r>
      <w:r>
        <w:t xml:space="preserve"> the Ts/Ts+Tm values are low, t</w:t>
      </w:r>
      <w:r w:rsidRPr="00D40BEC">
        <w:t xml:space="preserve">he relative </w:t>
      </w:r>
      <w:r>
        <w:t xml:space="preserve">vertical </w:t>
      </w:r>
      <w:r w:rsidRPr="00D40BEC">
        <w:t xml:space="preserve">changes of this ratio </w:t>
      </w:r>
      <w:r>
        <w:t>in</w:t>
      </w:r>
      <w:r w:rsidRPr="00D40BEC">
        <w:t xml:space="preserve"> the stratigraphic column of </w:t>
      </w:r>
      <w:r>
        <w:t>the SR</w:t>
      </w:r>
      <w:r w:rsidRPr="00D40BEC">
        <w:t xml:space="preserve"> section (Figure </w:t>
      </w:r>
      <w:r>
        <w:t>3.28</w:t>
      </w:r>
      <w:r w:rsidRPr="00D40BEC">
        <w:t xml:space="preserve">) show the trends of change </w:t>
      </w:r>
      <w:r>
        <w:t>in</w:t>
      </w:r>
      <w:r w:rsidRPr="00D40BEC">
        <w:t xml:space="preserve"> anoxia</w:t>
      </w:r>
      <w:r>
        <w:t xml:space="preserve">. </w:t>
      </w:r>
    </w:p>
    <w:p w14:paraId="4D6BA274" w14:textId="77777777" w:rsidR="00081C89" w:rsidRDefault="00081C89" w:rsidP="00081C89">
      <w:pPr>
        <w:ind w:firstLine="720"/>
      </w:pPr>
      <w:r>
        <w:t>I</w:t>
      </w:r>
      <w:r w:rsidRPr="00D40BEC">
        <w:t>ncreasing trends</w:t>
      </w:r>
      <w:r>
        <w:t xml:space="preserve"> in the SR the Ts/Ts+Tm</w:t>
      </w:r>
      <w:r w:rsidRPr="00D40BEC">
        <w:t xml:space="preserve"> are related to more saline deposits at the </w:t>
      </w:r>
      <w:r>
        <w:t xml:space="preserve">Lower Woodford member, and base </w:t>
      </w:r>
      <w:r w:rsidRPr="00D40BEC">
        <w:t xml:space="preserve">of the </w:t>
      </w:r>
      <w:r>
        <w:t>Middle Woodford member, as suggested for the ratio by Moldowan et al. (1986) and Peters et al. (2005). The ratio is slightly high for the uppermost M</w:t>
      </w:r>
      <w:r w:rsidRPr="00D40BEC">
        <w:t xml:space="preserve">iddle </w:t>
      </w:r>
      <w:r>
        <w:t xml:space="preserve">member and decreases in the Upper </w:t>
      </w:r>
      <w:r w:rsidRPr="00D40BEC">
        <w:t>member</w:t>
      </w:r>
      <w:r>
        <w:t>,</w:t>
      </w:r>
      <w:r w:rsidRPr="00D40BEC">
        <w:t xml:space="preserve"> </w:t>
      </w:r>
      <w:r>
        <w:t>indicating more</w:t>
      </w:r>
      <w:r w:rsidRPr="00D40BEC">
        <w:t xml:space="preserve"> transitional deposits and suboxic depositional environments</w:t>
      </w:r>
      <w:r>
        <w:t xml:space="preserve"> for the uppermost Woodford Shale</w:t>
      </w:r>
      <w:r w:rsidRPr="00D40BEC">
        <w:t xml:space="preserve">. </w:t>
      </w:r>
    </w:p>
    <w:p w14:paraId="354424F7" w14:textId="77777777" w:rsidR="00081C89" w:rsidRDefault="00081C89" w:rsidP="00081C89">
      <w:pPr>
        <w:ind w:firstLine="720"/>
      </w:pPr>
      <w:r w:rsidRPr="00D40BEC">
        <w:t xml:space="preserve">The presence of </w:t>
      </w:r>
      <w:r>
        <w:t>gamma</w:t>
      </w:r>
      <w:r w:rsidRPr="00D40BEC">
        <w:t xml:space="preserve">cerane (peak </w:t>
      </w:r>
      <w:r>
        <w:t>gammacerane</w:t>
      </w:r>
      <w:r w:rsidRPr="00D40BEC">
        <w:t xml:space="preserve"> in Figure </w:t>
      </w:r>
      <w:r>
        <w:t>3.28 and Figure 3.29</w:t>
      </w:r>
      <w:r w:rsidRPr="00D40BEC">
        <w:t xml:space="preserve">) in the </w:t>
      </w:r>
      <w:r>
        <w:t>SR</w:t>
      </w:r>
      <w:r w:rsidRPr="00D40BEC">
        <w:t xml:space="preserve"> samples was determined by SIM/GCMS using the m/z 191 ion. Its presence suggests some variations </w:t>
      </w:r>
      <w:r>
        <w:t>i</w:t>
      </w:r>
      <w:r w:rsidRPr="00D40BEC">
        <w:t xml:space="preserve">n the depositional environment. </w:t>
      </w:r>
      <w:r>
        <w:t>Gamma</w:t>
      </w:r>
      <w:r w:rsidRPr="00D40BEC">
        <w:t>cerane is a C</w:t>
      </w:r>
      <w:r w:rsidRPr="00CE2B0A">
        <w:rPr>
          <w:vertAlign w:val="subscript"/>
        </w:rPr>
        <w:t>30</w:t>
      </w:r>
      <w:r w:rsidRPr="00D40BEC">
        <w:t xml:space="preserve"> triterpane derived from diagenesis of tetrahymanol, a compound biologically related </w:t>
      </w:r>
      <w:r>
        <w:t>to</w:t>
      </w:r>
      <w:r w:rsidRPr="00D40BEC">
        <w:t xml:space="preserve"> the freshwater </w:t>
      </w:r>
      <w:r w:rsidRPr="007F00CC">
        <w:rPr>
          <w:i/>
        </w:rPr>
        <w:t xml:space="preserve">ciliated protozoan </w:t>
      </w:r>
      <w:r>
        <w:rPr>
          <w:i/>
        </w:rPr>
        <w:t>T</w:t>
      </w:r>
      <w:r w:rsidRPr="007F00CC">
        <w:rPr>
          <w:i/>
        </w:rPr>
        <w:t>etrahymena</w:t>
      </w:r>
      <w:r>
        <w:rPr>
          <w:i/>
        </w:rPr>
        <w:t xml:space="preserve"> </w:t>
      </w:r>
      <w:r>
        <w:rPr>
          <w:iCs/>
        </w:rPr>
        <w:t>(ten Haven et al., 1989)</w:t>
      </w:r>
      <w:r w:rsidRPr="00D40BEC">
        <w:t xml:space="preserve">. </w:t>
      </w:r>
      <w:r>
        <w:t>Gamma</w:t>
      </w:r>
      <w:r w:rsidRPr="00D40BEC">
        <w:t>cerane is a</w:t>
      </w:r>
      <w:r>
        <w:t>n excellent</w:t>
      </w:r>
      <w:r w:rsidRPr="00D40BEC">
        <w:t xml:space="preserve"> indicator of water-column stratification during sedimentation in marine and non-marine environments, and is usually associated with hypersaline conditions at depth, especially in alkaline lakes and lagoonal carbonate-evaporite environments; however, it is not restricted to this type of setting (</w:t>
      </w:r>
      <w:r>
        <w:t xml:space="preserve">Sinninghe Damsté et al., 1995; </w:t>
      </w:r>
      <w:r w:rsidRPr="006D7107">
        <w:t>Schreiber et al., 2001</w:t>
      </w:r>
      <w:r>
        <w:t>). The presence of gammacerane</w:t>
      </w:r>
      <w:r w:rsidRPr="00A46060">
        <w:t xml:space="preserve"> </w:t>
      </w:r>
      <w:r>
        <w:t>has been interpreted as an indicator of</w:t>
      </w:r>
      <w:r w:rsidRPr="00A46060">
        <w:t xml:space="preserve"> the existence of a </w:t>
      </w:r>
      <w:r>
        <w:t xml:space="preserve">saline </w:t>
      </w:r>
      <w:r w:rsidRPr="00A46060">
        <w:t xml:space="preserve">stratified water column deposition of strata at </w:t>
      </w:r>
      <w:r>
        <w:t>the SR section</w:t>
      </w:r>
      <w:r w:rsidRPr="00A46060">
        <w:t xml:space="preserve">. </w:t>
      </w:r>
    </w:p>
    <w:p w14:paraId="124AF5FE" w14:textId="77777777" w:rsidR="00081C89" w:rsidRDefault="00081C89" w:rsidP="00081C89">
      <w:pPr>
        <w:ind w:firstLine="720"/>
      </w:pPr>
      <w:r w:rsidRPr="00A46060">
        <w:t xml:space="preserve">The geochemical log for the </w:t>
      </w:r>
      <w:r>
        <w:t>gamma</w:t>
      </w:r>
      <w:r w:rsidRPr="00A46060">
        <w:t>cerane index (</w:t>
      </w:r>
      <w:r>
        <w:t>gamma</w:t>
      </w:r>
      <w:r w:rsidRPr="00A46060">
        <w:t>cerane/</w:t>
      </w:r>
      <w:r>
        <w:t>gamma</w:t>
      </w:r>
      <w:r w:rsidRPr="00A46060">
        <w:t>cerane + C</w:t>
      </w:r>
      <w:r w:rsidRPr="004973F2">
        <w:rPr>
          <w:vertAlign w:val="subscript"/>
        </w:rPr>
        <w:t>30</w:t>
      </w:r>
      <w:r w:rsidRPr="00A46060">
        <w:t xml:space="preserve"> hopane</w:t>
      </w:r>
      <w:r>
        <w:t>s</w:t>
      </w:r>
      <w:r w:rsidRPr="00A46060">
        <w:t>)</w:t>
      </w:r>
      <w:r>
        <w:t xml:space="preserve"> in the SR is</w:t>
      </w:r>
      <w:r w:rsidRPr="00A46060">
        <w:t xml:space="preserve"> illustrated in Figure </w:t>
      </w:r>
      <w:r>
        <w:t>3.29</w:t>
      </w:r>
      <w:r w:rsidRPr="00A46060">
        <w:t xml:space="preserve">, </w:t>
      </w:r>
      <w:r>
        <w:t xml:space="preserve">which </w:t>
      </w:r>
      <w:r w:rsidRPr="00A46060">
        <w:t xml:space="preserve">shows a higher proportion of </w:t>
      </w:r>
      <w:r>
        <w:t>gamma</w:t>
      </w:r>
      <w:r w:rsidRPr="00A46060">
        <w:t xml:space="preserve">cerane in the base of </w:t>
      </w:r>
      <w:r>
        <w:t>the Lower,</w:t>
      </w:r>
      <w:r w:rsidRPr="00A46060">
        <w:t xml:space="preserve"> </w:t>
      </w:r>
      <w:r>
        <w:t>Middle, and</w:t>
      </w:r>
      <w:r w:rsidRPr="00A46060">
        <w:t xml:space="preserve"> </w:t>
      </w:r>
      <w:r>
        <w:t>Upper</w:t>
      </w:r>
      <w:r w:rsidRPr="00A46060">
        <w:t xml:space="preserve"> member</w:t>
      </w:r>
      <w:r>
        <w:t>s</w:t>
      </w:r>
      <w:r w:rsidRPr="00A46060">
        <w:t>. Th</w:t>
      </w:r>
      <w:r>
        <w:t>ese</w:t>
      </w:r>
      <w:r w:rsidRPr="00A46060">
        <w:t xml:space="preserve"> observation</w:t>
      </w:r>
      <w:r>
        <w:t>s</w:t>
      </w:r>
      <w:r w:rsidRPr="00A46060">
        <w:t xml:space="preserve"> suggest that water </w:t>
      </w:r>
      <w:r w:rsidRPr="00A46060">
        <w:lastRenderedPageBreak/>
        <w:t xml:space="preserve">stratification and salinity played an </w:t>
      </w:r>
      <w:r>
        <w:t>essential</w:t>
      </w:r>
      <w:r w:rsidRPr="00A46060">
        <w:t xml:space="preserve"> role </w:t>
      </w:r>
      <w:r>
        <w:t>in</w:t>
      </w:r>
      <w:r w:rsidRPr="00A46060">
        <w:t xml:space="preserve"> the transitions of all members, where the transgressive sequences were starting to be deposited</w:t>
      </w:r>
      <w:r>
        <w:t xml:space="preserve"> and very likely to fill the pre-existent enclosed mini-basins as the Lower member and basal Middle member deposits</w:t>
      </w:r>
      <w:r w:rsidRPr="00A46060">
        <w:t xml:space="preserve">. Peters et al. (2005) indicate </w:t>
      </w:r>
      <w:r>
        <w:t>that values of</w:t>
      </w:r>
      <w:r w:rsidRPr="00A46060">
        <w:t xml:space="preserve"> </w:t>
      </w:r>
      <w:r>
        <w:t>the gamma</w:t>
      </w:r>
      <w:r w:rsidRPr="00A46060">
        <w:t>cerane index</w:t>
      </w:r>
      <w:r>
        <w:t xml:space="preserve"> higher than 0.20 are </w:t>
      </w:r>
      <w:r w:rsidRPr="00A46060">
        <w:t>resulting from water salinity and stratification</w:t>
      </w:r>
      <w:r>
        <w:t>, which</w:t>
      </w:r>
      <w:r w:rsidRPr="00A46060">
        <w:t xml:space="preserve"> correlates with a decrease in pristane/phytane ratios due to low oxygen content in bottom waters. This relationship between </w:t>
      </w:r>
      <w:r>
        <w:t>gamma</w:t>
      </w:r>
      <w:r w:rsidRPr="00A46060">
        <w:t>cerane and pristane/phytane ratios could not be estimated due to the high degradation of these isoprenoids</w:t>
      </w:r>
      <w:r>
        <w:t xml:space="preserve"> in the n-alkane fractions</w:t>
      </w:r>
      <w:r w:rsidRPr="00A46060">
        <w:t xml:space="preserve">. </w:t>
      </w:r>
      <w:r>
        <w:t>For the SR, in the Lower and Middle members, the gamma</w:t>
      </w:r>
      <w:r w:rsidRPr="00A46060">
        <w:t>cerane index</w:t>
      </w:r>
      <w:r>
        <w:t xml:space="preserve"> values vary from 0.13-0.25), indicating a stratified water column, and fort the Upper Woodford members, the values drop from 0.14-0.09 (Table 3.6). </w:t>
      </w:r>
    </w:p>
    <w:p w14:paraId="60CBD814" w14:textId="77777777" w:rsidR="00081C89" w:rsidRDefault="00081C89" w:rsidP="00081C89">
      <w:pPr>
        <w:ind w:firstLine="720"/>
      </w:pPr>
      <w:r>
        <w:t>For the SR, t</w:t>
      </w:r>
      <w:r w:rsidRPr="00A46060">
        <w:t>he most abundant terpane in the majority of the samples is the C</w:t>
      </w:r>
      <w:r w:rsidRPr="00056F3E">
        <w:rPr>
          <w:vertAlign w:val="subscript"/>
        </w:rPr>
        <w:t xml:space="preserve">30 </w:t>
      </w:r>
      <w:r w:rsidRPr="00A46060">
        <w:t>hopane (C</w:t>
      </w:r>
      <w:r w:rsidRPr="00056F3E">
        <w:rPr>
          <w:vertAlign w:val="subscript"/>
        </w:rPr>
        <w:t>30</w:t>
      </w:r>
      <w:r w:rsidRPr="00A46060">
        <w:t xml:space="preserve"> 17α(H),21β(H)-</w:t>
      </w:r>
      <w:r>
        <w:t>h</w:t>
      </w:r>
      <w:r w:rsidRPr="00A46060">
        <w:t>opane), followed by the C</w:t>
      </w:r>
      <w:r w:rsidRPr="00056F3E">
        <w:rPr>
          <w:vertAlign w:val="subscript"/>
        </w:rPr>
        <w:t>23</w:t>
      </w:r>
      <w:r w:rsidRPr="00A46060">
        <w:t xml:space="preserve"> tricyclic terpane (Figure </w:t>
      </w:r>
      <w:r>
        <w:t>3.28 and Figure 3.29</w:t>
      </w:r>
      <w:r w:rsidRPr="00A46060">
        <w:t>). The C</w:t>
      </w:r>
      <w:r w:rsidRPr="00056F3E">
        <w:rPr>
          <w:vertAlign w:val="subscript"/>
        </w:rPr>
        <w:t>30</w:t>
      </w:r>
      <w:r w:rsidRPr="00A46060">
        <w:t xml:space="preserve"> hopane is thought to be derived from diploptene or diplopterol present in bacteria (Ourisson et al., 1982). Dzou et al. (1995) also suggested an origin from bacteriohopanetetrol, a compound present in bacterial membranes. A microbial and/or algal source has been proposed for the tricyclic terpanes</w:t>
      </w:r>
      <w:r>
        <w:t>,</w:t>
      </w:r>
      <w:r w:rsidRPr="00A46060">
        <w:t xml:space="preserve"> although it is thought that their bacterial origin is different from that of the C</w:t>
      </w:r>
      <w:r w:rsidRPr="00056F3E">
        <w:rPr>
          <w:vertAlign w:val="subscript"/>
        </w:rPr>
        <w:t>30</w:t>
      </w:r>
      <w:r w:rsidRPr="00A46060">
        <w:t xml:space="preserve"> hopane</w:t>
      </w:r>
      <w:r>
        <w:t>s</w:t>
      </w:r>
      <w:r w:rsidRPr="00A46060">
        <w:t xml:space="preserve"> (Ourisson et al., 1982). The ratio</w:t>
      </w:r>
      <w:r>
        <w:t>s</w:t>
      </w:r>
      <w:r w:rsidRPr="00A46060">
        <w:t xml:space="preserve"> C</w:t>
      </w:r>
      <w:r w:rsidRPr="00056F3E">
        <w:rPr>
          <w:vertAlign w:val="subscript"/>
        </w:rPr>
        <w:t>23</w:t>
      </w:r>
      <w:r>
        <w:t xml:space="preserve"> tricyclic</w:t>
      </w:r>
      <w:r w:rsidRPr="00A46060">
        <w:t>/C</w:t>
      </w:r>
      <w:r w:rsidRPr="00056F3E">
        <w:rPr>
          <w:vertAlign w:val="subscript"/>
        </w:rPr>
        <w:t>30</w:t>
      </w:r>
      <w:r w:rsidRPr="00A46060">
        <w:t xml:space="preserve"> hopane</w:t>
      </w:r>
      <w:r>
        <w:t>s</w:t>
      </w:r>
      <w:r w:rsidRPr="00A46060">
        <w:t xml:space="preserve"> ha</w:t>
      </w:r>
      <w:r>
        <w:t>ve</w:t>
      </w:r>
      <w:r w:rsidRPr="00A46060">
        <w:t xml:space="preserve"> been used to determine organic matter input and maturation; however, care must be taken when assessing which parameter has more influence on the samples analyzed, especially for immature samples (Seifert and Moldowan, 198</w:t>
      </w:r>
      <w:r>
        <w:t>0</w:t>
      </w:r>
      <w:r w:rsidRPr="00A46060">
        <w:t xml:space="preserve">; Dzou et al., 1995). This ratio has been used to evaluate biomarkers derived from bacterial or algal sources (tricyclics) against biomarkers derived from prokaryotes (hopanes; Peters et al., 2005). </w:t>
      </w:r>
    </w:p>
    <w:p w14:paraId="072D6A0F" w14:textId="59B37E65" w:rsidR="00081C89" w:rsidRDefault="00081C89" w:rsidP="00081C89">
      <w:pPr>
        <w:ind w:firstLine="720"/>
      </w:pPr>
      <w:r w:rsidRPr="00A46060">
        <w:lastRenderedPageBreak/>
        <w:t xml:space="preserve">For all three </w:t>
      </w:r>
      <w:r>
        <w:t xml:space="preserve">Woodford </w:t>
      </w:r>
      <w:r w:rsidRPr="00A46060">
        <w:t xml:space="preserve">members </w:t>
      </w:r>
      <w:r>
        <w:t xml:space="preserve">in </w:t>
      </w:r>
      <w:r w:rsidRPr="00A46060">
        <w:t xml:space="preserve">the </w:t>
      </w:r>
      <w:r>
        <w:t>SR,</w:t>
      </w:r>
      <w:r w:rsidRPr="00A46060">
        <w:t xml:space="preserve"> this C</w:t>
      </w:r>
      <w:r w:rsidRPr="00056F3E">
        <w:rPr>
          <w:vertAlign w:val="subscript"/>
        </w:rPr>
        <w:t>23</w:t>
      </w:r>
      <w:r>
        <w:t xml:space="preserve"> tricyclic</w:t>
      </w:r>
      <w:r w:rsidRPr="00A46060">
        <w:t>/C</w:t>
      </w:r>
      <w:r w:rsidRPr="00056F3E">
        <w:rPr>
          <w:vertAlign w:val="subscript"/>
        </w:rPr>
        <w:t>30</w:t>
      </w:r>
      <w:r w:rsidRPr="00A46060">
        <w:t xml:space="preserve"> hopane</w:t>
      </w:r>
      <w:r>
        <w:t>s</w:t>
      </w:r>
      <w:r w:rsidRPr="00A46060">
        <w:t xml:space="preserve"> parameter shows significant variations (Figure </w:t>
      </w:r>
      <w:r>
        <w:t>3.29 and Figure 3.30</w:t>
      </w:r>
      <w:r w:rsidRPr="00A46060">
        <w:t xml:space="preserve">; Table </w:t>
      </w:r>
      <w:r>
        <w:t>3.6</w:t>
      </w:r>
      <w:r w:rsidRPr="00A46060">
        <w:t xml:space="preserve">), where the ratio generally decreases with depth on the </w:t>
      </w:r>
      <w:r>
        <w:t>section</w:t>
      </w:r>
      <w:r w:rsidRPr="00A46060">
        <w:t xml:space="preserve">, possibly indicating a higher input of marine algae going up in the sequence. The </w:t>
      </w:r>
      <w:r>
        <w:t>relatively low abundance of the t</w:t>
      </w:r>
      <w:r w:rsidRPr="00A46060">
        <w:t>ricyclic terpane</w:t>
      </w:r>
      <w:r>
        <w:t>s</w:t>
      </w:r>
      <w:r w:rsidRPr="00A46060">
        <w:t>, the predominance of C</w:t>
      </w:r>
      <w:r w:rsidRPr="00540156">
        <w:rPr>
          <w:vertAlign w:val="subscript"/>
        </w:rPr>
        <w:t>27</w:t>
      </w:r>
      <w:r w:rsidRPr="00A46060">
        <w:t xml:space="preserve"> and C</w:t>
      </w:r>
      <w:r w:rsidRPr="00540156">
        <w:rPr>
          <w:vertAlign w:val="subscript"/>
        </w:rPr>
        <w:t>30</w:t>
      </w:r>
      <w:r w:rsidRPr="00A46060">
        <w:t xml:space="preserve"> steranes, the strong presence of C</w:t>
      </w:r>
      <w:r w:rsidRPr="00540156">
        <w:rPr>
          <w:vertAlign w:val="subscript"/>
        </w:rPr>
        <w:t>24</w:t>
      </w:r>
      <w:r w:rsidRPr="00A46060">
        <w:t xml:space="preserve"> tetracyclic, </w:t>
      </w:r>
      <w:r>
        <w:t xml:space="preserve">relative higher </w:t>
      </w:r>
      <w:r w:rsidRPr="00A46060">
        <w:t>pregnane</w:t>
      </w:r>
      <w:r>
        <w:t xml:space="preserve">s and </w:t>
      </w:r>
      <w:r w:rsidRPr="00A46060">
        <w:t>homopregnane</w:t>
      </w:r>
      <w:r>
        <w:t>s</w:t>
      </w:r>
      <w:r w:rsidRPr="00A46060">
        <w:t xml:space="preserve">, all support the organic matter </w:t>
      </w:r>
      <w:r w:rsidR="00FA1488">
        <w:t xml:space="preserve">has a </w:t>
      </w:r>
      <w:r w:rsidR="00826089">
        <w:t xml:space="preserve">predominant </w:t>
      </w:r>
      <w:r w:rsidRPr="00A46060">
        <w:t>anoxic</w:t>
      </w:r>
      <w:r>
        <w:t>,</w:t>
      </w:r>
      <w:r w:rsidRPr="00A46060">
        <w:t xml:space="preserve"> saline to </w:t>
      </w:r>
      <w:r>
        <w:t>high salinity</w:t>
      </w:r>
      <w:r w:rsidR="00FA1488">
        <w:t xml:space="preserve"> marine depositional environment </w:t>
      </w:r>
      <w:r w:rsidRPr="00A46060">
        <w:t xml:space="preserve">for samples </w:t>
      </w:r>
      <w:r w:rsidR="00826089">
        <w:t>of</w:t>
      </w:r>
      <w:r>
        <w:t xml:space="preserve"> the Lower and Middle </w:t>
      </w:r>
      <w:r w:rsidR="00826089">
        <w:t xml:space="preserve">Woodford Shale </w:t>
      </w:r>
      <w:r>
        <w:t>member, and for the siliceous mudstone</w:t>
      </w:r>
      <w:r w:rsidR="00115651">
        <w:t>s</w:t>
      </w:r>
      <w:r>
        <w:t xml:space="preserve"> at the basal Upper Woodford member (Table 3.6; Figure 3.29). </w:t>
      </w:r>
    </w:p>
    <w:p w14:paraId="744A7F69" w14:textId="7926F0B8" w:rsidR="00081C89" w:rsidRPr="00507EAC" w:rsidRDefault="00081C89" w:rsidP="00081C89">
      <w:pPr>
        <w:ind w:firstLine="720"/>
      </w:pPr>
      <w:r w:rsidRPr="00781B6D">
        <w:t>The C</w:t>
      </w:r>
      <w:r w:rsidRPr="000F3FAD">
        <w:rPr>
          <w:vertAlign w:val="subscript"/>
        </w:rPr>
        <w:t>31</w:t>
      </w:r>
      <w:r w:rsidRPr="00781B6D">
        <w:t xml:space="preserve"> 22R/C</w:t>
      </w:r>
      <w:r w:rsidRPr="000F3FAD">
        <w:rPr>
          <w:vertAlign w:val="subscript"/>
        </w:rPr>
        <w:t>30</w:t>
      </w:r>
      <w:r w:rsidRPr="00781B6D">
        <w:t xml:space="preserve"> hopane ratio (31R/30H) is applied to differentiate source rocks of marine versus lacustrine origin. C</w:t>
      </w:r>
      <w:r w:rsidRPr="000F3FAD">
        <w:rPr>
          <w:vertAlign w:val="subscript"/>
        </w:rPr>
        <w:t>31</w:t>
      </w:r>
      <w:r w:rsidRPr="00781B6D">
        <w:t xml:space="preserve"> 22R/C</w:t>
      </w:r>
      <w:r w:rsidRPr="000F3FAD">
        <w:rPr>
          <w:vertAlign w:val="subscript"/>
        </w:rPr>
        <w:t>30</w:t>
      </w:r>
      <w:r w:rsidRPr="00781B6D">
        <w:t xml:space="preserve"> hopane ratios greater than 0.25 are associated with marine shale, carbonate, and marl source rocks (Peters et al., 2005). </w:t>
      </w:r>
      <w:r>
        <w:t>In the Sr, the values for</w:t>
      </w:r>
      <w:r w:rsidRPr="00781B6D">
        <w:t xml:space="preserve"> this ratio (Figure </w:t>
      </w:r>
      <w:r>
        <w:t>3.31</w:t>
      </w:r>
      <w:r w:rsidRPr="00781B6D">
        <w:t>) do not show much variation between the different members, and the majority of samples have values of 31R/30H</w:t>
      </w:r>
      <w:r>
        <w:t xml:space="preserve"> vs</w:t>
      </w:r>
      <w:r w:rsidR="00916CCA">
        <w:t>.</w:t>
      </w:r>
      <w:r>
        <w:t xml:space="preserve"> C</w:t>
      </w:r>
      <w:r w:rsidRPr="000F3FAD">
        <w:rPr>
          <w:vertAlign w:val="subscript"/>
        </w:rPr>
        <w:t>26</w:t>
      </w:r>
      <w:r>
        <w:t>TT/C</w:t>
      </w:r>
      <w:r w:rsidRPr="000F3FAD">
        <w:rPr>
          <w:vertAlign w:val="subscript"/>
        </w:rPr>
        <w:t>25</w:t>
      </w:r>
      <w:r>
        <w:t>TT are</w:t>
      </w:r>
      <w:r w:rsidRPr="00781B6D">
        <w:t xml:space="preserve"> indicative of a marine origin</w:t>
      </w:r>
      <w:r>
        <w:t xml:space="preserve">. </w:t>
      </w:r>
      <w:r w:rsidRPr="00507EAC">
        <w:t>Only two Upper member samples are in an apparent lacustrine depositional setting, but th</w:t>
      </w:r>
      <w:r w:rsidR="00B61E73">
        <w:t xml:space="preserve">ese </w:t>
      </w:r>
      <w:r w:rsidRPr="00507EAC">
        <w:t>samples are the suspected migrated bitumen towards the outcrop</w:t>
      </w:r>
      <w:r>
        <w:t xml:space="preserve"> location that fill the upper Woodford silica</w:t>
      </w:r>
      <w:r w:rsidR="00B61E73">
        <w:t>-</w:t>
      </w:r>
      <w:r>
        <w:t>rich lithologies (Figure 3.20)</w:t>
      </w:r>
      <w:r w:rsidRPr="00507EAC">
        <w:t>.</w:t>
      </w:r>
    </w:p>
    <w:p w14:paraId="6906E7A9" w14:textId="1D8ACB7B" w:rsidR="00081C89" w:rsidRDefault="00081C89" w:rsidP="00081C89">
      <w:pPr>
        <w:spacing w:before="240"/>
        <w:ind w:firstLine="720"/>
      </w:pPr>
      <w:r w:rsidRPr="00542CEA">
        <w:t xml:space="preserve">Tm and </w:t>
      </w:r>
      <w:r>
        <w:t>Ts are</w:t>
      </w:r>
      <w:r w:rsidRPr="00542CEA">
        <w:t xml:space="preserve"> frequently used to assess maturation from immature to post mature stage (Peters et al., 2005). Tm becomes less stable than Ts with increasing thermal maturity; therefore, the Ts/(Ts+Tm) ratio can be used as a maturity indicator, particularly for samples of similar lithology and organic facies (Moldowan et al., 1994; Peters et al., 2005).</w:t>
      </w:r>
      <w:r>
        <w:t xml:space="preserve"> Differences in thermal maturity within the SR Woodford Shale samples can be observed when analyzing the differences in Ts, Tm (Figure 3.29 and Figure 3.32)</w:t>
      </w:r>
      <w:r w:rsidR="006F234B">
        <w:t>.</w:t>
      </w:r>
      <w:r>
        <w:t xml:space="preserve"> From the beginning of the Upper Woodford member </w:t>
      </w:r>
      <w:r>
        <w:lastRenderedPageBreak/>
        <w:t>(220.5 ft), a decrease can be observed in Tm over Ts (Figure 3.29 and Figure 3.32), and a much higher ratio of C</w:t>
      </w:r>
      <w:r w:rsidRPr="002444F3">
        <w:rPr>
          <w:vertAlign w:val="subscript"/>
        </w:rPr>
        <w:t>23</w:t>
      </w:r>
      <w:r>
        <w:t xml:space="preserve"> tricyclic terpane over C</w:t>
      </w:r>
      <w:r w:rsidRPr="002444F3">
        <w:rPr>
          <w:vertAlign w:val="subscript"/>
        </w:rPr>
        <w:t>30</w:t>
      </w:r>
      <w:r>
        <w:t xml:space="preserve"> hopane.</w:t>
      </w:r>
    </w:p>
    <w:p w14:paraId="48F23CCC" w14:textId="65EDA8AB" w:rsidR="00081C89" w:rsidRDefault="00081C89" w:rsidP="00081C89">
      <w:pPr>
        <w:spacing w:before="240"/>
        <w:ind w:firstLine="720"/>
      </w:pPr>
      <w:r>
        <w:t>Samples in both the Lower and Middle Woodford members present a general trend of high Tm (Figure 3.29 and Figure 3.32), indicating low thermal maturity as expected from the vitrinite reflectance values of 0.58 Ro% reported by Galvis et al. (2017a). These differences are probably indicating that the extracted organic matter has a higher value of thermal maturity in the Upper Woodford member than in the lower portions of the SR. These maturity differences might indicate that the Upper Woodford member lithofacies can be hosting migrated hydrocarbons (more mature Woodford oil charging the SR Upper Woodford microfractures), supported by the extremely high Rock-Eval pyrolysis S1 peak (free volatile hydrocarbons in the sample; Figure 3.19 and Figure 3.30).</w:t>
      </w:r>
    </w:p>
    <w:p w14:paraId="1013485C" w14:textId="77777777" w:rsidR="00081C89" w:rsidRDefault="00081C89" w:rsidP="00081C89">
      <w:pPr>
        <w:ind w:firstLine="720"/>
        <w:sectPr w:rsidR="00081C89" w:rsidSect="0095456D">
          <w:pgSz w:w="12240" w:h="15840"/>
          <w:pgMar w:top="1440" w:right="1440" w:bottom="1440" w:left="1440" w:header="720" w:footer="720" w:gutter="0"/>
          <w:cols w:space="720"/>
          <w:docGrid w:linePitch="360"/>
        </w:sectPr>
      </w:pPr>
    </w:p>
    <w:p w14:paraId="4ECBBAA0" w14:textId="77777777" w:rsidR="00081C89" w:rsidRDefault="00081C89" w:rsidP="00081C89">
      <w:pPr>
        <w:spacing w:after="0" w:line="276" w:lineRule="auto"/>
        <w:jc w:val="center"/>
        <w:rPr>
          <w:bCs/>
          <w:color w:val="000000"/>
        </w:rPr>
      </w:pPr>
      <w:r w:rsidRPr="0074048C">
        <w:lastRenderedPageBreak/>
        <w:t xml:space="preserve"> </w:t>
      </w:r>
      <w:r>
        <w:rPr>
          <w:bCs/>
          <w:noProof/>
          <w:color w:val="000000"/>
        </w:rPr>
        <w:drawing>
          <wp:inline distT="0" distB="0" distL="0" distR="0" wp14:anchorId="1D643912" wp14:editId="28EE1B3E">
            <wp:extent cx="7923189" cy="4846320"/>
            <wp:effectExtent l="0" t="0" r="1905" b="0"/>
            <wp:docPr id="8517" name="Picture 8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923189" cy="4846320"/>
                    </a:xfrm>
                    <a:prstGeom prst="rect">
                      <a:avLst/>
                    </a:prstGeom>
                    <a:noFill/>
                  </pic:spPr>
                </pic:pic>
              </a:graphicData>
            </a:graphic>
          </wp:inline>
        </w:drawing>
      </w:r>
    </w:p>
    <w:p w14:paraId="78C377B8" w14:textId="77777777" w:rsidR="00081C89" w:rsidRDefault="00081C89" w:rsidP="00081C89">
      <w:pPr>
        <w:pStyle w:val="Caption"/>
        <w:jc w:val="center"/>
      </w:pPr>
      <w:bookmarkStart w:id="225" w:name="_Toc29308163"/>
      <w:bookmarkStart w:id="226" w:name="_Toc35861216"/>
      <w:r>
        <w:rPr>
          <w:b/>
        </w:rPr>
        <w:t xml:space="preserve">Figure 3.29. </w:t>
      </w:r>
      <w:r>
        <w:t>Tr</w:t>
      </w:r>
      <w:r w:rsidRPr="00E01B45">
        <w:t>icyclic terpane</w:t>
      </w:r>
      <w:r>
        <w:t>s</w:t>
      </w:r>
      <w:r w:rsidRPr="00E01B45">
        <w:t xml:space="preserve"> and hopane</w:t>
      </w:r>
      <w:r>
        <w:t>s</w:t>
      </w:r>
      <w:r w:rsidRPr="00E01B45">
        <w:t xml:space="preserve"> identification using m/z 191.3 plot of sample</w:t>
      </w:r>
      <w:r>
        <w:t xml:space="preserve"> 220b, Middle-Upper Woodford members boundary at 220.5 ft. Peak identification in Table 3.5.</w:t>
      </w:r>
      <w:bookmarkEnd w:id="225"/>
      <w:bookmarkEnd w:id="226"/>
    </w:p>
    <w:p w14:paraId="7DD4C7C0" w14:textId="77777777" w:rsidR="00081C89" w:rsidRPr="00C57C9A" w:rsidRDefault="00081C89" w:rsidP="008D2D40">
      <w:pPr>
        <w:spacing w:after="0" w:line="276" w:lineRule="auto"/>
        <w:jc w:val="center"/>
      </w:pPr>
      <w:r w:rsidRPr="00930472">
        <w:rPr>
          <w:noProof/>
        </w:rPr>
        <w:lastRenderedPageBreak/>
        <w:drawing>
          <wp:inline distT="0" distB="0" distL="0" distR="0" wp14:anchorId="5197D9BC" wp14:editId="7E74DBD5">
            <wp:extent cx="8115300" cy="5038725"/>
            <wp:effectExtent l="0" t="0" r="0" b="9525"/>
            <wp:docPr id="7224" name="Picture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117677" cy="5040201"/>
                    </a:xfrm>
                    <a:prstGeom prst="rect">
                      <a:avLst/>
                    </a:prstGeom>
                    <a:noFill/>
                    <a:ln>
                      <a:noFill/>
                    </a:ln>
                  </pic:spPr>
                </pic:pic>
              </a:graphicData>
            </a:graphic>
          </wp:inline>
        </w:drawing>
      </w:r>
    </w:p>
    <w:p w14:paraId="66FFFEF8" w14:textId="77777777" w:rsidR="00081C89" w:rsidRDefault="00081C89" w:rsidP="00081C89">
      <w:pPr>
        <w:spacing w:after="0" w:line="276" w:lineRule="auto"/>
        <w:jc w:val="center"/>
      </w:pPr>
      <w:r w:rsidRPr="008A7045">
        <w:t xml:space="preserve"> </w:t>
      </w:r>
      <w:bookmarkStart w:id="227" w:name="_Toc29308164"/>
      <w:r>
        <w:rPr>
          <w:b/>
        </w:rPr>
        <w:t xml:space="preserve">Figure 3.30. </w:t>
      </w:r>
      <w:r w:rsidRPr="009368F0">
        <w:t>Comparison of tricyclic terpane</w:t>
      </w:r>
      <w:r>
        <w:t xml:space="preserve">s and </w:t>
      </w:r>
      <w:r w:rsidRPr="009368F0">
        <w:t>hopane</w:t>
      </w:r>
      <w:r>
        <w:t>s</w:t>
      </w:r>
      <w:r w:rsidRPr="009368F0">
        <w:t xml:space="preserve"> abundance, as compared to</w:t>
      </w:r>
      <w:r>
        <w:t xml:space="preserve"> Gamma-Ray log and %TOC classified by the mechanical stratigraphy of the rock layers (soft vs. hard; Galvis, 2017).</w:t>
      </w:r>
      <w:r w:rsidRPr="009368F0">
        <w:t xml:space="preserve"> (Tricyclic terpane / hopane</w:t>
      </w:r>
      <w:r>
        <w:t>s</w:t>
      </w:r>
      <w:r w:rsidRPr="009368F0">
        <w:t xml:space="preserve"> ratio = [C</w:t>
      </w:r>
      <w:r w:rsidRPr="0042516C">
        <w:rPr>
          <w:vertAlign w:val="subscript"/>
        </w:rPr>
        <w:t>28</w:t>
      </w:r>
      <w:r w:rsidRPr="009368F0">
        <w:t>-C</w:t>
      </w:r>
      <w:r w:rsidRPr="0042516C">
        <w:rPr>
          <w:vertAlign w:val="subscript"/>
        </w:rPr>
        <w:t>29</w:t>
      </w:r>
      <w:r w:rsidRPr="009368F0">
        <w:t xml:space="preserve"> tricyclic terpanes / C</w:t>
      </w:r>
      <w:r w:rsidRPr="0042516C">
        <w:rPr>
          <w:vertAlign w:val="subscript"/>
        </w:rPr>
        <w:t>29</w:t>
      </w:r>
      <w:r w:rsidRPr="009368F0">
        <w:t>-C</w:t>
      </w:r>
      <w:r w:rsidRPr="0042516C">
        <w:rPr>
          <w:vertAlign w:val="subscript"/>
        </w:rPr>
        <w:t>33</w:t>
      </w:r>
      <w:r>
        <w:t xml:space="preserve"> </w:t>
      </w:r>
      <w:r w:rsidRPr="009368F0">
        <w:t>hopanes]</w:t>
      </w:r>
      <w:r>
        <w:t>; gamma</w:t>
      </w:r>
      <w:r w:rsidRPr="007E1A40">
        <w:t xml:space="preserve">cerane </w:t>
      </w:r>
      <w:r>
        <w:t>i</w:t>
      </w:r>
      <w:r w:rsidRPr="007E1A40">
        <w:t>ndex = 10*</w:t>
      </w:r>
      <w:r>
        <w:t xml:space="preserve"> gamma</w:t>
      </w:r>
      <w:r w:rsidRPr="007E1A40">
        <w:t>cerane / [</w:t>
      </w:r>
      <w:r>
        <w:t>gamma</w:t>
      </w:r>
      <w:r w:rsidRPr="007E1A40">
        <w:t>cerane + C</w:t>
      </w:r>
      <w:r w:rsidRPr="0042516C">
        <w:rPr>
          <w:vertAlign w:val="subscript"/>
        </w:rPr>
        <w:t>30</w:t>
      </w:r>
      <w:r w:rsidRPr="007E1A40">
        <w:t xml:space="preserve"> hopane]; C</w:t>
      </w:r>
      <w:r w:rsidRPr="0042516C">
        <w:rPr>
          <w:vertAlign w:val="subscript"/>
        </w:rPr>
        <w:t>26</w:t>
      </w:r>
      <w:r w:rsidRPr="007E1A40">
        <w:t>/C</w:t>
      </w:r>
      <w:r w:rsidRPr="0042516C">
        <w:rPr>
          <w:vertAlign w:val="subscript"/>
        </w:rPr>
        <w:t>25</w:t>
      </w:r>
      <w:r w:rsidRPr="007E1A40">
        <w:t xml:space="preserve"> TT = C</w:t>
      </w:r>
      <w:r w:rsidRPr="0042516C">
        <w:rPr>
          <w:vertAlign w:val="subscript"/>
        </w:rPr>
        <w:t>26</w:t>
      </w:r>
      <w:r w:rsidRPr="007E1A40">
        <w:t>/C</w:t>
      </w:r>
      <w:r w:rsidRPr="0042516C">
        <w:rPr>
          <w:vertAlign w:val="subscript"/>
        </w:rPr>
        <w:t>25</w:t>
      </w:r>
      <w:r w:rsidRPr="007E1A40">
        <w:t xml:space="preserve"> tricyclic terpanes;</w:t>
      </w:r>
      <w:r>
        <w:t xml:space="preserve"> </w:t>
      </w:r>
      <w:r w:rsidRPr="007E1A40">
        <w:t>C</w:t>
      </w:r>
      <w:r w:rsidRPr="0042516C">
        <w:rPr>
          <w:vertAlign w:val="subscript"/>
        </w:rPr>
        <w:t>31</w:t>
      </w:r>
      <w:r w:rsidRPr="007E1A40">
        <w:t>R/ C</w:t>
      </w:r>
      <w:r w:rsidRPr="0042516C">
        <w:rPr>
          <w:vertAlign w:val="subscript"/>
        </w:rPr>
        <w:t>30</w:t>
      </w:r>
      <w:r w:rsidRPr="007E1A40">
        <w:t xml:space="preserve"> = C</w:t>
      </w:r>
      <w:r w:rsidRPr="0042516C">
        <w:rPr>
          <w:vertAlign w:val="subscript"/>
        </w:rPr>
        <w:t>31</w:t>
      </w:r>
      <w:r w:rsidRPr="007E1A40">
        <w:t>R/ C</w:t>
      </w:r>
      <w:r w:rsidRPr="0042516C">
        <w:rPr>
          <w:vertAlign w:val="subscript"/>
        </w:rPr>
        <w:t>30</w:t>
      </w:r>
      <w:r w:rsidRPr="007E1A40">
        <w:t xml:space="preserve"> hopanes; TT/Hop = [C</w:t>
      </w:r>
      <w:r w:rsidRPr="0042516C">
        <w:rPr>
          <w:vertAlign w:val="subscript"/>
        </w:rPr>
        <w:t>28</w:t>
      </w:r>
      <w:r w:rsidRPr="007E1A40">
        <w:t xml:space="preserve"> + C</w:t>
      </w:r>
      <w:r w:rsidRPr="0042516C">
        <w:rPr>
          <w:vertAlign w:val="subscript"/>
        </w:rPr>
        <w:t>29</w:t>
      </w:r>
      <w:r w:rsidRPr="007E1A40">
        <w:t xml:space="preserve"> tricyclic terpanes] / [C</w:t>
      </w:r>
      <w:r w:rsidRPr="0042516C">
        <w:rPr>
          <w:vertAlign w:val="subscript"/>
        </w:rPr>
        <w:t>29</w:t>
      </w:r>
      <w:r w:rsidRPr="007E1A40">
        <w:t xml:space="preserve"> –C</w:t>
      </w:r>
      <w:r w:rsidRPr="0042516C">
        <w:rPr>
          <w:vertAlign w:val="subscript"/>
        </w:rPr>
        <w:t>33</w:t>
      </w:r>
      <w:r>
        <w:t xml:space="preserve"> hopanes]</w:t>
      </w:r>
      <w:r w:rsidRPr="007E1A40">
        <w:t xml:space="preserve">; </w:t>
      </w:r>
      <w:r>
        <w:t>C</w:t>
      </w:r>
      <w:r w:rsidRPr="0042516C">
        <w:rPr>
          <w:vertAlign w:val="subscript"/>
        </w:rPr>
        <w:t>30</w:t>
      </w:r>
      <w:r>
        <w:t xml:space="preserve"> TPP/</w:t>
      </w:r>
      <w:r w:rsidRPr="007E1A40">
        <w:t>C</w:t>
      </w:r>
      <w:r w:rsidRPr="0042516C">
        <w:rPr>
          <w:vertAlign w:val="subscript"/>
        </w:rPr>
        <w:t>30</w:t>
      </w:r>
      <w:r>
        <w:t xml:space="preserve"> steranes</w:t>
      </w:r>
      <w:r w:rsidRPr="007E1A40">
        <w:t>)</w:t>
      </w:r>
      <w:r w:rsidRPr="009368F0">
        <w:t>.</w:t>
      </w:r>
      <w:bookmarkEnd w:id="227"/>
    </w:p>
    <w:p w14:paraId="05E5516E" w14:textId="77777777" w:rsidR="00081C89" w:rsidRDefault="00081C89" w:rsidP="00081C89">
      <w:pPr>
        <w:ind w:firstLine="720"/>
        <w:sectPr w:rsidR="00081C89" w:rsidSect="0095456D">
          <w:pgSz w:w="15840" w:h="12240" w:orient="landscape"/>
          <w:pgMar w:top="1440" w:right="1440" w:bottom="1440" w:left="1440" w:header="720" w:footer="720" w:gutter="0"/>
          <w:cols w:space="720"/>
          <w:docGrid w:linePitch="360"/>
        </w:sectPr>
      </w:pPr>
    </w:p>
    <w:p w14:paraId="49719A90" w14:textId="77777777" w:rsidR="00081C89" w:rsidRDefault="00081C89" w:rsidP="00081C89">
      <w:pPr>
        <w:ind w:firstLine="720"/>
      </w:pPr>
      <w:bookmarkStart w:id="228" w:name="_Toc25833564"/>
      <w:bookmarkStart w:id="229" w:name="_Toc29304878"/>
    </w:p>
    <w:p w14:paraId="26436998" w14:textId="77777777" w:rsidR="00081C89" w:rsidRDefault="00081C89" w:rsidP="00081C89">
      <w:pPr>
        <w:spacing w:after="0" w:line="276" w:lineRule="auto"/>
        <w:ind w:firstLine="720"/>
      </w:pPr>
      <w:r w:rsidRPr="001816C9">
        <w:rPr>
          <w:noProof/>
        </w:rPr>
        <w:drawing>
          <wp:inline distT="0" distB="0" distL="0" distR="0" wp14:anchorId="261FD34A" wp14:editId="2DF97F12">
            <wp:extent cx="5229225" cy="3124200"/>
            <wp:effectExtent l="0" t="0" r="9525" b="0"/>
            <wp:docPr id="7189"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29225" cy="3124200"/>
                    </a:xfrm>
                    <a:prstGeom prst="rect">
                      <a:avLst/>
                    </a:prstGeom>
                    <a:noFill/>
                    <a:ln>
                      <a:noFill/>
                    </a:ln>
                  </pic:spPr>
                </pic:pic>
              </a:graphicData>
            </a:graphic>
          </wp:inline>
        </w:drawing>
      </w:r>
    </w:p>
    <w:p w14:paraId="0336B98C" w14:textId="4C6F8D5A" w:rsidR="00081C89" w:rsidRPr="00D8131E" w:rsidRDefault="00081C89" w:rsidP="00081C89">
      <w:pPr>
        <w:pStyle w:val="Caption"/>
      </w:pPr>
      <w:bookmarkStart w:id="230" w:name="_Toc35861217"/>
      <w:r w:rsidRPr="000F3FAD">
        <w:rPr>
          <w:b/>
          <w:bCs w:val="0"/>
        </w:rPr>
        <w:t>Figure 3.3</w:t>
      </w:r>
      <w:r w:rsidRPr="00D8131E">
        <w:rPr>
          <w:b/>
          <w:bCs w:val="0"/>
        </w:rPr>
        <w:t>1</w:t>
      </w:r>
      <w:r w:rsidRPr="000F3FAD">
        <w:rPr>
          <w:b/>
          <w:bCs w:val="0"/>
        </w:rPr>
        <w:t>.</w:t>
      </w:r>
      <w:r w:rsidRPr="00D8131E">
        <w:t xml:space="preserve"> </w:t>
      </w:r>
      <w:r w:rsidRPr="000F3FAD">
        <w:t>C</w:t>
      </w:r>
      <w:r w:rsidRPr="000F3FAD">
        <w:rPr>
          <w:vertAlign w:val="subscript"/>
        </w:rPr>
        <w:t>26</w:t>
      </w:r>
      <w:r w:rsidRPr="000F3FAD">
        <w:t>/C</w:t>
      </w:r>
      <w:r w:rsidRPr="000F3FAD">
        <w:rPr>
          <w:vertAlign w:val="subscript"/>
        </w:rPr>
        <w:t xml:space="preserve">25 </w:t>
      </w:r>
      <w:r w:rsidRPr="000F3FAD">
        <w:t>vs</w:t>
      </w:r>
      <w:r>
        <w:t>.</w:t>
      </w:r>
      <w:r w:rsidRPr="000F3FAD">
        <w:t xml:space="preserve"> C</w:t>
      </w:r>
      <w:r w:rsidRPr="000F3FAD">
        <w:rPr>
          <w:vertAlign w:val="subscript"/>
        </w:rPr>
        <w:t>31</w:t>
      </w:r>
      <w:r w:rsidRPr="000F3FAD">
        <w:t>R/C</w:t>
      </w:r>
      <w:r w:rsidRPr="000F3FAD">
        <w:rPr>
          <w:vertAlign w:val="subscript"/>
        </w:rPr>
        <w:t>30</w:t>
      </w:r>
      <w:r w:rsidRPr="000F3FAD">
        <w:t xml:space="preserve"> Hopane shows that the </w:t>
      </w:r>
      <w:r>
        <w:t xml:space="preserve">Woodford Shale samples are </w:t>
      </w:r>
      <w:r w:rsidRPr="00D8131E">
        <w:t>mainly</w:t>
      </w:r>
      <w:r w:rsidRPr="000F3FAD">
        <w:t xml:space="preserve"> of marine origin (Dotted lines are used as a guide and do not represent fixed fields on the diagram. Plot modified from Peters et al., 2005)</w:t>
      </w:r>
      <w:r>
        <w:t>. Only two Upper member samples are in an apparent lacustrine depositional setting, but th</w:t>
      </w:r>
      <w:r w:rsidR="00916CCA">
        <w:t>ese</w:t>
      </w:r>
      <w:r>
        <w:t xml:space="preserve"> samples are the suspected migrated bitumen towards the outcrop.</w:t>
      </w:r>
      <w:bookmarkEnd w:id="230"/>
      <w:r>
        <w:t xml:space="preserve"> </w:t>
      </w:r>
    </w:p>
    <w:p w14:paraId="6578F4B7" w14:textId="77777777" w:rsidR="00081C89" w:rsidRDefault="00081C89" w:rsidP="00081C89">
      <w:pPr>
        <w:spacing w:line="276" w:lineRule="auto"/>
        <w:ind w:firstLine="720"/>
      </w:pPr>
      <w:r w:rsidRPr="001816C9">
        <w:rPr>
          <w:noProof/>
        </w:rPr>
        <w:drawing>
          <wp:inline distT="0" distB="0" distL="0" distR="0" wp14:anchorId="578CB06D" wp14:editId="4B592C19">
            <wp:extent cx="5016653" cy="2997200"/>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26097" cy="3002842"/>
                    </a:xfrm>
                    <a:prstGeom prst="rect">
                      <a:avLst/>
                    </a:prstGeom>
                    <a:noFill/>
                    <a:ln>
                      <a:noFill/>
                    </a:ln>
                  </pic:spPr>
                </pic:pic>
              </a:graphicData>
            </a:graphic>
          </wp:inline>
        </w:drawing>
      </w:r>
    </w:p>
    <w:p w14:paraId="6C510DE9" w14:textId="6DE32F6A" w:rsidR="00081C89" w:rsidRPr="00542CEA" w:rsidRDefault="00081C89" w:rsidP="00081C89">
      <w:pPr>
        <w:pStyle w:val="Caption"/>
      </w:pPr>
      <w:bookmarkStart w:id="231" w:name="_Toc35861218"/>
      <w:r w:rsidRPr="000F3FAD">
        <w:rPr>
          <w:b/>
          <w:bCs w:val="0"/>
        </w:rPr>
        <w:t>Figure 3.3</w:t>
      </w:r>
      <w:r>
        <w:rPr>
          <w:b/>
          <w:bCs w:val="0"/>
        </w:rPr>
        <w:t>2</w:t>
      </w:r>
      <w:r w:rsidRPr="000F3FAD">
        <w:rPr>
          <w:b/>
          <w:bCs w:val="0"/>
        </w:rPr>
        <w:t>.</w:t>
      </w:r>
      <w:r>
        <w:rPr>
          <w:b/>
          <w:bCs w:val="0"/>
        </w:rPr>
        <w:t xml:space="preserve"> </w:t>
      </w:r>
      <w:r w:rsidR="00916CCA">
        <w:t>A p</w:t>
      </w:r>
      <w:r w:rsidRPr="000F3FAD">
        <w:t>lot of diasteranes/(diasteranes+regular) C</w:t>
      </w:r>
      <w:r w:rsidRPr="000F3FAD">
        <w:rPr>
          <w:vertAlign w:val="subscript"/>
        </w:rPr>
        <w:t xml:space="preserve">27 </w:t>
      </w:r>
      <w:r w:rsidRPr="000F3FAD">
        <w:t>Steranes v</w:t>
      </w:r>
      <w:r>
        <w:t>s.</w:t>
      </w:r>
      <w:r w:rsidRPr="000F3FAD">
        <w:t xml:space="preserve"> Ts/(Ts+Tm) ratios shows differences in thermal maturity</w:t>
      </w:r>
      <w:r>
        <w:t xml:space="preserve"> </w:t>
      </w:r>
      <w:r w:rsidRPr="000F3FAD">
        <w:t>(Plot modified from Moldowan et al., 1994).</w:t>
      </w:r>
      <w:bookmarkEnd w:id="231"/>
    </w:p>
    <w:p w14:paraId="2BA2039F" w14:textId="77777777" w:rsidR="00081C89" w:rsidRDefault="00081C89" w:rsidP="00081C89">
      <w:pPr>
        <w:pStyle w:val="Heading3"/>
        <w:numPr>
          <w:ilvl w:val="2"/>
          <w:numId w:val="10"/>
        </w:numPr>
      </w:pPr>
      <w:bookmarkStart w:id="232" w:name="_Toc25833565"/>
      <w:bookmarkStart w:id="233" w:name="_Toc29304879"/>
      <w:bookmarkStart w:id="234" w:name="_Toc35861118"/>
      <w:bookmarkEnd w:id="228"/>
      <w:bookmarkEnd w:id="229"/>
      <w:r>
        <w:lastRenderedPageBreak/>
        <w:t>T</w:t>
      </w:r>
      <w:r w:rsidRPr="00106FA2">
        <w:t xml:space="preserve">etracyclic </w:t>
      </w:r>
      <w:r>
        <w:t>p</w:t>
      </w:r>
      <w:r w:rsidRPr="00106FA2">
        <w:t>olyprenoids</w:t>
      </w:r>
      <w:r>
        <w:t xml:space="preserve"> (TPP)</w:t>
      </w:r>
      <w:bookmarkEnd w:id="232"/>
      <w:bookmarkEnd w:id="233"/>
      <w:bookmarkEnd w:id="234"/>
    </w:p>
    <w:p w14:paraId="0171AC07" w14:textId="77777777" w:rsidR="00081C89" w:rsidRPr="009B6CA0" w:rsidRDefault="00081C89" w:rsidP="00081C89">
      <w:pPr>
        <w:spacing w:after="0"/>
        <w:rPr>
          <w:lang w:eastAsia="ja-JP"/>
        </w:rPr>
      </w:pPr>
    </w:p>
    <w:p w14:paraId="00E1440A" w14:textId="4D2BBC8F" w:rsidR="00081C89" w:rsidRDefault="00081C89" w:rsidP="00081C89">
      <w:pPr>
        <w:rPr>
          <w:color w:val="000000"/>
        </w:rPr>
      </w:pPr>
      <w:r w:rsidRPr="00CD5ED5">
        <w:tab/>
        <w:t xml:space="preserve">These biomarkers are highly specialized for lacustrine brackish environments, </w:t>
      </w:r>
      <w:r>
        <w:t>but also</w:t>
      </w:r>
      <w:r w:rsidRPr="00CD5ED5">
        <w:t xml:space="preserve"> from freshwater algae</w:t>
      </w:r>
      <w:r>
        <w:t xml:space="preserve"> species</w:t>
      </w:r>
      <w:r w:rsidRPr="00CD5ED5">
        <w:t xml:space="preserve"> (Holba et al., 2000</w:t>
      </w:r>
      <w:r>
        <w:t xml:space="preserve"> and 2003; Figure 3.33</w:t>
      </w:r>
      <w:r w:rsidRPr="00CD5ED5">
        <w:t>).</w:t>
      </w:r>
      <w:r>
        <w:t xml:space="preserve"> </w:t>
      </w:r>
      <w:r>
        <w:rPr>
          <w:color w:val="000000"/>
        </w:rPr>
        <w:t>Holba et al. (2003) encountered high levels of TPP in</w:t>
      </w:r>
      <w:r w:rsidRPr="00BF42E3">
        <w:rPr>
          <w:color w:val="000000"/>
        </w:rPr>
        <w:t xml:space="preserve"> near-shore facies </w:t>
      </w:r>
      <w:r>
        <w:rPr>
          <w:color w:val="000000"/>
        </w:rPr>
        <w:t xml:space="preserve">of samples </w:t>
      </w:r>
      <w:r w:rsidRPr="00BF42E3">
        <w:rPr>
          <w:color w:val="000000"/>
        </w:rPr>
        <w:t>that ha</w:t>
      </w:r>
      <w:r>
        <w:rPr>
          <w:color w:val="000000"/>
        </w:rPr>
        <w:t>ve</w:t>
      </w:r>
      <w:r w:rsidRPr="00BF42E3">
        <w:rPr>
          <w:color w:val="000000"/>
        </w:rPr>
        <w:t xml:space="preserve"> no marine palynomorphs but abundant </w:t>
      </w:r>
      <w:r w:rsidRPr="000F3FAD">
        <w:rPr>
          <w:i/>
          <w:color w:val="000000"/>
        </w:rPr>
        <w:t xml:space="preserve">Chlorococcalean </w:t>
      </w:r>
      <w:r w:rsidRPr="00BF42E3">
        <w:rPr>
          <w:color w:val="000000"/>
        </w:rPr>
        <w:t>(Green) algal nonmarine palynomorphs</w:t>
      </w:r>
      <w:r>
        <w:rPr>
          <w:color w:val="000000"/>
        </w:rPr>
        <w:t>. Holba et al. (2003) suggested that g</w:t>
      </w:r>
      <w:r w:rsidRPr="00BF42E3">
        <w:rPr>
          <w:color w:val="000000"/>
        </w:rPr>
        <w:t xml:space="preserve">reen algae (or </w:t>
      </w:r>
      <w:r w:rsidRPr="000F3FAD">
        <w:rPr>
          <w:i/>
          <w:color w:val="000000"/>
        </w:rPr>
        <w:t>Chlorophyt</w:t>
      </w:r>
      <w:r>
        <w:rPr>
          <w:i/>
          <w:color w:val="000000"/>
        </w:rPr>
        <w:t>a</w:t>
      </w:r>
      <w:r w:rsidRPr="00BF42E3">
        <w:rPr>
          <w:color w:val="000000"/>
        </w:rPr>
        <w:t>) are a possible source for the TPP compounds</w:t>
      </w:r>
      <w:r>
        <w:rPr>
          <w:color w:val="000000"/>
        </w:rPr>
        <w:t>. Holba (2000) compared the TPP ratio with the most consistent indicator of marine algal input, the 24-n-propylcholestanes (C</w:t>
      </w:r>
      <w:r w:rsidRPr="00096D89">
        <w:rPr>
          <w:color w:val="000000"/>
          <w:vertAlign w:val="subscript"/>
        </w:rPr>
        <w:t>30</w:t>
      </w:r>
      <w:r>
        <w:rPr>
          <w:color w:val="000000"/>
        </w:rPr>
        <w:t xml:space="preserve"> steranes</w:t>
      </w:r>
      <w:r w:rsidR="00916CCA">
        <w:rPr>
          <w:color w:val="000000"/>
        </w:rPr>
        <w:t>)</w:t>
      </w:r>
      <w:r>
        <w:rPr>
          <w:color w:val="000000"/>
        </w:rPr>
        <w:t xml:space="preserve"> derived from marine algae</w:t>
      </w:r>
      <w:r w:rsidR="00916CCA">
        <w:rPr>
          <w:color w:val="000000"/>
        </w:rPr>
        <w:t>,</w:t>
      </w:r>
      <w:r>
        <w:rPr>
          <w:color w:val="000000"/>
        </w:rPr>
        <w:t xml:space="preserve"> according to Moldowan et al., (1990). Holba et al. (2000 and 2003) concluded that marine oils have low TPP ratios and a high percentage of 24-n-propylcholestanes, whereas pure non-marine oils presented no detectable 24-n-propylcholestanes. Holba et al. (1998) mentioned that mixed inputs present a non-zero percentage of 24-n-propylcholestanes and elevated TPP ratios. Holba et al. (2000 and 2003) defined the TPP ratio (equation 3.7; Figure 3.33) using the peaks recognized in </w:t>
      </w:r>
      <w:r w:rsidRPr="00B10A31">
        <w:rPr>
          <w:color w:val="000000"/>
        </w:rPr>
        <w:t xml:space="preserve">m/z </w:t>
      </w:r>
      <w:r>
        <w:rPr>
          <w:color w:val="000000"/>
        </w:rPr>
        <w:t>414</w:t>
      </w:r>
      <w:r w:rsidRPr="00B10A31">
        <w:rPr>
          <w:color w:val="000000"/>
        </w:rPr>
        <w:t>→</w:t>
      </w:r>
      <w:r>
        <w:rPr>
          <w:color w:val="000000"/>
        </w:rPr>
        <w:t>259</w:t>
      </w:r>
      <w:r w:rsidRPr="00B10A31">
        <w:rPr>
          <w:color w:val="000000"/>
        </w:rPr>
        <w:t xml:space="preserve"> </w:t>
      </w:r>
      <w:r>
        <w:rPr>
          <w:color w:val="000000"/>
        </w:rPr>
        <w:t xml:space="preserve">and </w:t>
      </w:r>
      <w:r w:rsidRPr="00B10A31">
        <w:rPr>
          <w:color w:val="000000"/>
        </w:rPr>
        <w:t>m/z 358→217</w:t>
      </w:r>
      <w:r>
        <w:rPr>
          <w:color w:val="000000"/>
        </w:rPr>
        <w:t xml:space="preserve"> (Figure 3.33 – 3.36) as the following:</w:t>
      </w:r>
    </w:p>
    <w:p w14:paraId="5CFBEFA6" w14:textId="77777777" w:rsidR="00081C89" w:rsidRDefault="00081C89" w:rsidP="00081C89">
      <w:pPr>
        <w:rPr>
          <w:color w:val="000000"/>
        </w:rPr>
      </w:pPr>
    </w:p>
    <w:p w14:paraId="4825AB99" w14:textId="77777777" w:rsidR="00081C89" w:rsidRDefault="00081C89" w:rsidP="00081C89">
      <w:pPr>
        <w:rPr>
          <w:color w:val="000000"/>
        </w:rPr>
      </w:pPr>
      <w:r>
        <w:rPr>
          <w:color w:val="000000"/>
        </w:rPr>
        <w:t>TPP ratio = (2 * 21R TPP)/[(2 * 21R TPP+(Σ27-norcholestane isomers)]                                            (3.7)</w:t>
      </w:r>
    </w:p>
    <w:p w14:paraId="6834FA93" w14:textId="159B3D9A" w:rsidR="00081C89" w:rsidRDefault="00081C89" w:rsidP="00081C89">
      <w:pPr>
        <w:rPr>
          <w:color w:val="000000"/>
        </w:rPr>
      </w:pPr>
      <w:r>
        <w:rPr>
          <w:color w:val="000000"/>
        </w:rPr>
        <w:t>Σ27-norcholestane isomers = (</w:t>
      </w:r>
      <w:r>
        <w:t>13</w:t>
      </w:r>
      <w:r w:rsidRPr="00342CA1">
        <w:rPr>
          <w:bCs/>
        </w:rPr>
        <w:t>β</w:t>
      </w:r>
      <w:r>
        <w:t>,17</w:t>
      </w:r>
      <w:r w:rsidRPr="00342CA1">
        <w:rPr>
          <w:bCs/>
        </w:rPr>
        <w:t>α</w:t>
      </w:r>
      <w:r>
        <w:t>,20S-27-nordiacholestane + 13</w:t>
      </w:r>
      <w:r w:rsidRPr="00342CA1">
        <w:rPr>
          <w:bCs/>
        </w:rPr>
        <w:t>β</w:t>
      </w:r>
      <w:r>
        <w:t>,17</w:t>
      </w:r>
      <w:r w:rsidRPr="00342CA1">
        <w:rPr>
          <w:bCs/>
        </w:rPr>
        <w:t>α</w:t>
      </w:r>
      <w:r>
        <w:t xml:space="preserve">,20R-27-nordiacholestane + </w:t>
      </w:r>
      <w:r w:rsidRPr="00264A7B">
        <w:rPr>
          <w:color w:val="000000"/>
        </w:rPr>
        <w:t>5</w:t>
      </w:r>
      <w:r w:rsidRPr="00342CA1">
        <w:rPr>
          <w:bCs/>
        </w:rPr>
        <w:t>α</w:t>
      </w:r>
      <w:r w:rsidRPr="00264A7B">
        <w:rPr>
          <w:color w:val="000000"/>
        </w:rPr>
        <w:t>,14</w:t>
      </w:r>
      <w:r w:rsidRPr="00342CA1">
        <w:rPr>
          <w:bCs/>
        </w:rPr>
        <w:t>α</w:t>
      </w:r>
      <w:r w:rsidRPr="00264A7B">
        <w:rPr>
          <w:color w:val="000000"/>
        </w:rPr>
        <w:t>,17</w:t>
      </w:r>
      <w:r w:rsidRPr="00342CA1">
        <w:rPr>
          <w:bCs/>
        </w:rPr>
        <w:t>α</w:t>
      </w:r>
      <w:r w:rsidRPr="00264A7B">
        <w:rPr>
          <w:color w:val="000000"/>
        </w:rPr>
        <w:t>,20S-27-norcholestane</w:t>
      </w:r>
      <w:r>
        <w:rPr>
          <w:color w:val="000000"/>
        </w:rPr>
        <w:t xml:space="preserve"> +</w:t>
      </w:r>
      <w:r w:rsidRPr="00264A7B">
        <w:t xml:space="preserve"> </w:t>
      </w:r>
      <w:r w:rsidRPr="00264A7B">
        <w:rPr>
          <w:color w:val="000000"/>
        </w:rPr>
        <w:t>5</w:t>
      </w:r>
      <w:r w:rsidRPr="00342CA1">
        <w:rPr>
          <w:bCs/>
        </w:rPr>
        <w:t>α</w:t>
      </w:r>
      <w:r w:rsidRPr="00264A7B">
        <w:rPr>
          <w:color w:val="000000"/>
        </w:rPr>
        <w:t>,14</w:t>
      </w:r>
      <w:r w:rsidRPr="00342CA1">
        <w:rPr>
          <w:bCs/>
        </w:rPr>
        <w:t>β</w:t>
      </w:r>
      <w:r w:rsidRPr="00264A7B">
        <w:rPr>
          <w:color w:val="000000"/>
        </w:rPr>
        <w:t>,17</w:t>
      </w:r>
      <w:r w:rsidRPr="00342CA1">
        <w:rPr>
          <w:bCs/>
        </w:rPr>
        <w:t>β</w:t>
      </w:r>
      <w:r>
        <w:rPr>
          <w:bCs/>
        </w:rPr>
        <w:t>,</w:t>
      </w:r>
      <w:r w:rsidRPr="00264A7B">
        <w:rPr>
          <w:color w:val="000000"/>
        </w:rPr>
        <w:t>20R</w:t>
      </w:r>
      <w:r>
        <w:rPr>
          <w:color w:val="000000"/>
        </w:rPr>
        <w:t>-</w:t>
      </w:r>
      <w:r w:rsidRPr="00264A7B">
        <w:rPr>
          <w:color w:val="000000"/>
        </w:rPr>
        <w:t>27-</w:t>
      </w:r>
      <w:r>
        <w:rPr>
          <w:color w:val="000000"/>
        </w:rPr>
        <w:t>n</w:t>
      </w:r>
      <w:r w:rsidRPr="00264A7B">
        <w:rPr>
          <w:color w:val="000000"/>
        </w:rPr>
        <w:t>orcholestane</w:t>
      </w:r>
      <w:r>
        <w:rPr>
          <w:color w:val="000000"/>
        </w:rPr>
        <w:t>+</w:t>
      </w:r>
      <w:r w:rsidRPr="00264A7B">
        <w:rPr>
          <w:color w:val="000000"/>
        </w:rPr>
        <w:t xml:space="preserve"> 5</w:t>
      </w:r>
      <w:r w:rsidRPr="00342CA1">
        <w:rPr>
          <w:bCs/>
        </w:rPr>
        <w:t>α</w:t>
      </w:r>
      <w:r w:rsidRPr="00264A7B">
        <w:rPr>
          <w:color w:val="000000"/>
        </w:rPr>
        <w:t>, 14</w:t>
      </w:r>
      <w:r w:rsidRPr="00342CA1">
        <w:rPr>
          <w:bCs/>
        </w:rPr>
        <w:t>β</w:t>
      </w:r>
      <w:r w:rsidRPr="00264A7B">
        <w:rPr>
          <w:color w:val="000000"/>
        </w:rPr>
        <w:t>, 17</w:t>
      </w:r>
      <w:r w:rsidRPr="00342CA1">
        <w:rPr>
          <w:bCs/>
        </w:rPr>
        <w:t>β</w:t>
      </w:r>
      <w:r w:rsidRPr="00264A7B">
        <w:rPr>
          <w:color w:val="000000"/>
        </w:rPr>
        <w:t>, 20S-27-norcholestane</w:t>
      </w:r>
      <w:r>
        <w:rPr>
          <w:color w:val="000000"/>
        </w:rPr>
        <w:t>+</w:t>
      </w:r>
      <w:r w:rsidRPr="00264A7B">
        <w:t xml:space="preserve"> </w:t>
      </w:r>
      <w:r>
        <w:t>5</w:t>
      </w:r>
      <w:r w:rsidRPr="00342CA1">
        <w:rPr>
          <w:bCs/>
        </w:rPr>
        <w:t>α</w:t>
      </w:r>
      <w:r>
        <w:t>, 14</w:t>
      </w:r>
      <w:r w:rsidRPr="00342CA1">
        <w:rPr>
          <w:bCs/>
        </w:rPr>
        <w:t>α</w:t>
      </w:r>
      <w:r>
        <w:t>, 17</w:t>
      </w:r>
      <w:r w:rsidRPr="00342CA1">
        <w:rPr>
          <w:bCs/>
        </w:rPr>
        <w:t>α</w:t>
      </w:r>
      <w:r>
        <w:t>, 20R-27-norcholestane)</w:t>
      </w:r>
      <w:r w:rsidR="00356BE3">
        <w:t>.</w:t>
      </w:r>
      <w:r>
        <w:t xml:space="preserve">                                 </w:t>
      </w:r>
      <w:r w:rsidRPr="00264A7B">
        <w:rPr>
          <w:color w:val="000000"/>
        </w:rPr>
        <w:cr/>
      </w:r>
    </w:p>
    <w:p w14:paraId="537DCC1E" w14:textId="77777777" w:rsidR="00081C89" w:rsidRDefault="00081C89" w:rsidP="00081C89">
      <w:pPr>
        <w:ind w:firstLine="720"/>
      </w:pPr>
      <w:r w:rsidRPr="00B96026">
        <w:rPr>
          <w:color w:val="000000"/>
        </w:rPr>
        <w:lastRenderedPageBreak/>
        <w:t>S</w:t>
      </w:r>
      <w:r>
        <w:rPr>
          <w:color w:val="000000"/>
        </w:rPr>
        <w:t>c</w:t>
      </w:r>
      <w:r w:rsidRPr="00B96026">
        <w:rPr>
          <w:color w:val="000000"/>
        </w:rPr>
        <w:t>ha</w:t>
      </w:r>
      <w:r>
        <w:rPr>
          <w:color w:val="000000"/>
        </w:rPr>
        <w:t>e</w:t>
      </w:r>
      <w:r w:rsidRPr="00B96026">
        <w:rPr>
          <w:color w:val="000000"/>
        </w:rPr>
        <w:t>ffer et al.</w:t>
      </w:r>
      <w:r>
        <w:rPr>
          <w:color w:val="000000"/>
        </w:rPr>
        <w:t xml:space="preserve"> (</w:t>
      </w:r>
      <w:r w:rsidRPr="00B96026">
        <w:rPr>
          <w:color w:val="000000"/>
        </w:rPr>
        <w:t>1994</w:t>
      </w:r>
      <w:r>
        <w:rPr>
          <w:color w:val="000000"/>
        </w:rPr>
        <w:t>),</w:t>
      </w:r>
      <w:r w:rsidRPr="00B96026">
        <w:rPr>
          <w:color w:val="000000"/>
        </w:rPr>
        <w:t xml:space="preserve"> Poinsot et al.</w:t>
      </w:r>
      <w:r>
        <w:rPr>
          <w:color w:val="000000"/>
        </w:rPr>
        <w:t xml:space="preserve"> (1997 and </w:t>
      </w:r>
      <w:r w:rsidRPr="00B96026">
        <w:rPr>
          <w:color w:val="000000"/>
        </w:rPr>
        <w:t>1998</w:t>
      </w:r>
      <w:r>
        <w:rPr>
          <w:color w:val="000000"/>
        </w:rPr>
        <w:t xml:space="preserve">), and </w:t>
      </w:r>
      <w:r w:rsidRPr="00B10A31">
        <w:rPr>
          <w:color w:val="000000"/>
        </w:rPr>
        <w:t>Holba et al.</w:t>
      </w:r>
      <w:r>
        <w:rPr>
          <w:color w:val="000000"/>
        </w:rPr>
        <w:t xml:space="preserve"> (</w:t>
      </w:r>
      <w:r w:rsidRPr="00B10A31">
        <w:rPr>
          <w:color w:val="000000"/>
        </w:rPr>
        <w:t>200</w:t>
      </w:r>
      <w:r>
        <w:rPr>
          <w:color w:val="000000"/>
        </w:rPr>
        <w:t>3</w:t>
      </w:r>
      <w:r w:rsidRPr="00B10A31">
        <w:rPr>
          <w:color w:val="000000"/>
        </w:rPr>
        <w:t>)</w:t>
      </w:r>
      <w:r>
        <w:rPr>
          <w:color w:val="000000"/>
        </w:rPr>
        <w:t xml:space="preserve"> mentioned that under reducing non-marine conditions, which are usually low in free sulfate content, the parent backbone of the TPP precursors is probably preserved as saturate hydrocarbons in the bitumen and kerogens, whereas under anoxic, sulfate-rich conditions like the marine deposits. </w:t>
      </w:r>
      <w:r w:rsidRPr="00B96026">
        <w:rPr>
          <w:color w:val="000000"/>
        </w:rPr>
        <w:t>Poinsot et al.</w:t>
      </w:r>
      <w:r>
        <w:rPr>
          <w:color w:val="000000"/>
        </w:rPr>
        <w:t xml:space="preserve"> (1997 and </w:t>
      </w:r>
      <w:r w:rsidRPr="00B96026">
        <w:rPr>
          <w:color w:val="000000"/>
        </w:rPr>
        <w:t>1998</w:t>
      </w:r>
      <w:r>
        <w:rPr>
          <w:color w:val="000000"/>
        </w:rPr>
        <w:t>) mentioned that the functionalized C</w:t>
      </w:r>
      <w:r w:rsidRPr="00CA1B08">
        <w:rPr>
          <w:color w:val="000000"/>
          <w:vertAlign w:val="subscript"/>
        </w:rPr>
        <w:t>30</w:t>
      </w:r>
      <w:r>
        <w:rPr>
          <w:color w:val="000000"/>
        </w:rPr>
        <w:t xml:space="preserve"> TPP precursors are likely to undergo sulfurization, thus preserving them as heterocyclic compounds bound to kerogen. </w:t>
      </w:r>
      <w:r>
        <w:t>TPPs</w:t>
      </w:r>
      <w:r w:rsidRPr="00CD5ED5">
        <w:t xml:space="preserve"> were tentatively identified </w:t>
      </w:r>
      <w:r>
        <w:t xml:space="preserve">for the SR using GC-MS analysis on saturate fractions, the m/z 259.3, and m/z 217.3 fragmentogram comparisons (Figure 3.34). Precise identification and confirmation were made using the </w:t>
      </w:r>
      <w:r w:rsidRPr="00CD5ED5">
        <w:t>GC/MS/MS m/z 414</w:t>
      </w:r>
      <w:r w:rsidRPr="00CD5ED5">
        <w:sym w:font="Wingdings" w:char="F0E0"/>
      </w:r>
      <w:r w:rsidRPr="00CD5ED5">
        <w:t>259 transition</w:t>
      </w:r>
      <w:r>
        <w:t xml:space="preserve">s, as suggested by Holba et al. (2000, and 2003; Figure 3.33 - 3.36). </w:t>
      </w:r>
    </w:p>
    <w:p w14:paraId="1C0C7843" w14:textId="55BE9008" w:rsidR="00081C89" w:rsidRDefault="00081C89" w:rsidP="00081C89">
      <w:pPr>
        <w:ind w:firstLine="720"/>
      </w:pPr>
      <w:r>
        <w:t>Figure 3.35 illustrates the TPP vs</w:t>
      </w:r>
      <w:r w:rsidR="00450A02">
        <w:t>.</w:t>
      </w:r>
      <w:r>
        <w:t xml:space="preserve"> %C30 regular steranes plot and shows the yields proposed by Holba et al. (2000 and 2003) for the lacustrine, mixed facies and marine depositional settings. The values of Holba et al. (2003) for lacustrine settings in Figure 3.35 are from 0.2 – 1 in </w:t>
      </w:r>
      <w:r w:rsidR="00450A02">
        <w:t xml:space="preserve">the </w:t>
      </w:r>
      <w:r>
        <w:t>TPP ratio and near-to-zero values of the %C</w:t>
      </w:r>
      <w:r w:rsidRPr="000F3FAD">
        <w:rPr>
          <w:vertAlign w:val="subscript"/>
        </w:rPr>
        <w:t>30</w:t>
      </w:r>
      <w:r>
        <w:t xml:space="preserve"> regular sterane. The marine settings in the Holba et al. (2003) plot is for TPP ratios </w:t>
      </w:r>
      <w:r w:rsidR="00450A02">
        <w:t xml:space="preserve">of </w:t>
      </w:r>
      <w:r>
        <w:t>less than 0.2 and %C</w:t>
      </w:r>
      <w:r w:rsidRPr="000F3FAD">
        <w:rPr>
          <w:vertAlign w:val="subscript"/>
        </w:rPr>
        <w:t>30</w:t>
      </w:r>
      <w:r>
        <w:t xml:space="preserve"> regular steranes higher than 2% (Figure 3.35). The mixed facies are for TPP 0.2 – 0.4 And %C</w:t>
      </w:r>
      <w:r w:rsidRPr="000F3FAD">
        <w:rPr>
          <w:vertAlign w:val="subscript"/>
        </w:rPr>
        <w:t>30</w:t>
      </w:r>
      <w:r>
        <w:t xml:space="preserve"> regular steranes for 0-2% (Figure 3.35). In some of the SR samples,</w:t>
      </w:r>
      <w:r w:rsidRPr="00CD5ED5">
        <w:t xml:space="preserve"> the</w:t>
      </w:r>
      <w:r>
        <w:t xml:space="preserve"> TPPs were</w:t>
      </w:r>
      <w:r w:rsidRPr="00CD5ED5">
        <w:t xml:space="preserve"> found </w:t>
      </w:r>
      <w:r>
        <w:t>in relatively high</w:t>
      </w:r>
      <w:r w:rsidRPr="00CD5ED5">
        <w:t xml:space="preserve"> </w:t>
      </w:r>
      <w:r>
        <w:t>levels</w:t>
      </w:r>
      <w:r w:rsidRPr="00CD5ED5">
        <w:t xml:space="preserve"> that </w:t>
      </w:r>
      <w:r>
        <w:t>can</w:t>
      </w:r>
      <w:r w:rsidRPr="00CD5ED5">
        <w:t xml:space="preserve"> be distinguished on GC</w:t>
      </w:r>
      <w:r>
        <w:t>-</w:t>
      </w:r>
      <w:r w:rsidRPr="00CD5ED5">
        <w:t>MS</w:t>
      </w:r>
      <w:r>
        <w:t xml:space="preserve"> (Figure 3.33) and </w:t>
      </w:r>
      <w:r w:rsidR="006F234B">
        <w:t>are</w:t>
      </w:r>
      <w:r>
        <w:t xml:space="preserve"> reliable indicators that lacustrine kerogen particles reached the paleo Woodford ocean, where continental inputs were transported towards deeper basinal deposits</w:t>
      </w:r>
      <w:r w:rsidRPr="00CD5ED5">
        <w:t>.</w:t>
      </w:r>
      <w:r>
        <w:t xml:space="preserve"> Figure 3.36 illustrates the Holba et al. (2003) plot for depositional settings identification using </w:t>
      </w:r>
      <w:r w:rsidR="00450A02">
        <w:t xml:space="preserve">the </w:t>
      </w:r>
      <w:r>
        <w:t>TPP ratio vs. %C</w:t>
      </w:r>
      <w:r w:rsidRPr="007E7E23">
        <w:rPr>
          <w:vertAlign w:val="subscript"/>
        </w:rPr>
        <w:t>30</w:t>
      </w:r>
      <w:r>
        <w:t xml:space="preserve"> regular steranes in the SR. Note that despite recognizing TPP ratio values higher than 0.2, the %C</w:t>
      </w:r>
      <w:r w:rsidRPr="000F3FAD">
        <w:rPr>
          <w:vertAlign w:val="subscript"/>
        </w:rPr>
        <w:t>30</w:t>
      </w:r>
      <w:r>
        <w:t xml:space="preserve"> regular steranes plot for all the Woodford Shale members as marine depositional settings and mixed facies (Figure 3.36).   </w:t>
      </w:r>
    </w:p>
    <w:p w14:paraId="256E6241" w14:textId="78E3B294" w:rsidR="00081C89" w:rsidRDefault="00081C89" w:rsidP="00081C89">
      <w:pPr>
        <w:ind w:firstLine="720"/>
      </w:pPr>
      <w:r>
        <w:lastRenderedPageBreak/>
        <w:t>Holba et al. (2003) mentioned that the C</w:t>
      </w:r>
      <w:r w:rsidRPr="00E15D14">
        <w:rPr>
          <w:vertAlign w:val="subscript"/>
        </w:rPr>
        <w:t>30</w:t>
      </w:r>
      <w:r>
        <w:t>TPP/C</w:t>
      </w:r>
      <w:r w:rsidRPr="00E15D14">
        <w:rPr>
          <w:vertAlign w:val="subscript"/>
        </w:rPr>
        <w:t>30</w:t>
      </w:r>
      <w:r>
        <w:t>steranes higher than 0.4 correspond to their identified lacustrine and brackish facies. There are values of this ratio in the same range for the SR, but when comparing higher values of the TPP ratio (Figure 3.37 - 3.42) with the TPP ratio vs. %C</w:t>
      </w:r>
      <w:r w:rsidRPr="000F3FAD">
        <w:rPr>
          <w:vertAlign w:val="subscript"/>
        </w:rPr>
        <w:t>30</w:t>
      </w:r>
      <w:r>
        <w:t xml:space="preserve"> regular steranes  (&gt;0.2; Figure 3.36 and Figure 3.42) for the Middle and Upper members, suggest that depositional mechanisms brought the brackish TPPs towards the basin in a prog</w:t>
      </w:r>
      <w:r w:rsidR="006F234B">
        <w:t>r</w:t>
      </w:r>
      <w:r>
        <w:t>adational manner (seaward stepping). These identified TPPs were preserved, surviving the mechanical reworking that occurs during sediment transport (Figure 3.33, and Figure 3.37)</w:t>
      </w:r>
      <w:r w:rsidRPr="00CD5ED5">
        <w:t xml:space="preserve">. </w:t>
      </w:r>
      <w:r>
        <w:t>For the Lower Woodford member, the TPP ratio is low (Figure 3.40 – 3.42), as expected due to a principal transgressive system tract regime (Figure 3.36 and Figure 3.42)</w:t>
      </w:r>
      <w:r w:rsidRPr="000F3FAD">
        <w:t>.</w:t>
      </w:r>
      <w:r w:rsidRPr="00CD5ED5">
        <w:t xml:space="preserve"> </w:t>
      </w:r>
      <w:bookmarkStart w:id="235" w:name="_Toc355797744"/>
      <w:r>
        <w:t>The identification of TPPs in the SR might look relatively large</w:t>
      </w:r>
      <w:r w:rsidR="00450A02">
        <w:t>,</w:t>
      </w:r>
      <w:r>
        <w:t xml:space="preserve"> but a direct interpretation of these high peaks in the chromatograms (Figure 3.37 – 3.41) might be misleading since the chromatograms are normalized and then the TPPs are calculated as relative concentrations (TPP ratio; TPP ratio vs. %C</w:t>
      </w:r>
      <w:r w:rsidRPr="007E7E23">
        <w:rPr>
          <w:vertAlign w:val="subscript"/>
        </w:rPr>
        <w:t>30</w:t>
      </w:r>
      <w:r>
        <w:t xml:space="preserve"> regular steranes) and not as absolute concentrations. </w:t>
      </w:r>
    </w:p>
    <w:p w14:paraId="16BC2F22" w14:textId="77777777" w:rsidR="00081C89" w:rsidRDefault="00081C89" w:rsidP="00081C89">
      <w:pPr>
        <w:spacing w:line="276" w:lineRule="auto"/>
        <w:ind w:firstLine="720"/>
        <w:jc w:val="center"/>
        <w:rPr>
          <w:b/>
          <w:bCs/>
        </w:rPr>
      </w:pPr>
      <w:r w:rsidRPr="00E43D2E">
        <w:rPr>
          <w:noProof/>
        </w:rPr>
        <w:lastRenderedPageBreak/>
        <w:drawing>
          <wp:inline distT="0" distB="0" distL="0" distR="0" wp14:anchorId="36FDA781" wp14:editId="3C0FD355">
            <wp:extent cx="3666490" cy="5379720"/>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71923" cy="5387692"/>
                    </a:xfrm>
                    <a:prstGeom prst="rect">
                      <a:avLst/>
                    </a:prstGeom>
                    <a:noFill/>
                    <a:ln>
                      <a:noFill/>
                    </a:ln>
                  </pic:spPr>
                </pic:pic>
              </a:graphicData>
            </a:graphic>
          </wp:inline>
        </w:drawing>
      </w:r>
    </w:p>
    <w:p w14:paraId="4C68E4D2" w14:textId="77777777" w:rsidR="00081C89" w:rsidRDefault="00081C89" w:rsidP="00081C89">
      <w:pPr>
        <w:pStyle w:val="Caption"/>
      </w:pPr>
      <w:bookmarkStart w:id="236" w:name="_Toc35861219"/>
      <w:r>
        <w:rPr>
          <w:b/>
        </w:rPr>
        <w:t xml:space="preserve">Figure 3.33. </w:t>
      </w:r>
      <w:r w:rsidRPr="00342CA1">
        <w:t>GC/MS/MS mass chromatograms</w:t>
      </w:r>
      <w:r>
        <w:t xml:space="preserve"> of Holba et al. (2000 and 2003) TPP identification samples. </w:t>
      </w:r>
      <w:r w:rsidRPr="00342CA1">
        <w:t xml:space="preserve">A: 414 </w:t>
      </w:r>
      <w:r w:rsidRPr="00342CA1">
        <w:rPr>
          <w:rFonts w:ascii="Segoe UI Symbol" w:hAnsi="Segoe UI Symbol" w:cs="Segoe UI Symbol"/>
        </w:rPr>
        <w:t>➔</w:t>
      </w:r>
      <w:r w:rsidRPr="00342CA1">
        <w:t xml:space="preserve"> 259 lacustrine source-rock extract from Triassic Cacheuta Shale, Cuyo basin, Argentina. B: 414 </w:t>
      </w:r>
      <w:r w:rsidRPr="00342CA1">
        <w:rPr>
          <w:rFonts w:ascii="Segoe UI Symbol" w:hAnsi="Segoe UI Symbol" w:cs="Segoe UI Symbol"/>
        </w:rPr>
        <w:t>➔</w:t>
      </w:r>
      <w:r w:rsidRPr="00342CA1">
        <w:t xml:space="preserve"> 259 from Jurassic marine oil, Ekofisk field, North Sea, Norway. C: 358 </w:t>
      </w:r>
      <w:r w:rsidRPr="00342CA1">
        <w:rPr>
          <w:rFonts w:ascii="Segoe UI Symbol" w:hAnsi="Segoe UI Symbol" w:cs="Segoe UI Symbol"/>
        </w:rPr>
        <w:t>➔</w:t>
      </w:r>
      <w:r w:rsidRPr="00342CA1">
        <w:t xml:space="preserve"> 217 norcholestanes from Jurassic marine oil, Cook Inlet, Alaska. </w:t>
      </w:r>
      <w:r>
        <w:t xml:space="preserve">Compound structures and nomenclature: </w:t>
      </w:r>
      <w:r w:rsidRPr="00342CA1">
        <w:t>compound 1</w:t>
      </w:r>
      <w:r>
        <w:t>, peaks a = C</w:t>
      </w:r>
      <w:r w:rsidRPr="000F3FAD">
        <w:rPr>
          <w:vertAlign w:val="subscript"/>
        </w:rPr>
        <w:t>30</w:t>
      </w:r>
      <w:r>
        <w:t xml:space="preserve"> TPP 18</w:t>
      </w:r>
      <w:r w:rsidRPr="00342CA1">
        <w:t>α</w:t>
      </w:r>
      <w:r>
        <w:t xml:space="preserve">(h),21R; </w:t>
      </w:r>
      <w:r w:rsidRPr="00342CA1">
        <w:t xml:space="preserve">b = </w:t>
      </w:r>
      <w:r>
        <w:t>C</w:t>
      </w:r>
      <w:r w:rsidRPr="009B717E">
        <w:rPr>
          <w:vertAlign w:val="subscript"/>
        </w:rPr>
        <w:t>30</w:t>
      </w:r>
      <w:r>
        <w:t xml:space="preserve"> TPP 18</w:t>
      </w:r>
      <w:r w:rsidRPr="00342CA1">
        <w:t>α</w:t>
      </w:r>
      <w:r>
        <w:t>(h),21S;</w:t>
      </w:r>
      <w:r w:rsidRPr="00342CA1">
        <w:t xml:space="preserve"> c</w:t>
      </w:r>
      <w:r>
        <w:t xml:space="preserve"> </w:t>
      </w:r>
      <w:r w:rsidRPr="00342CA1">
        <w:t>=</w:t>
      </w:r>
      <w:r>
        <w:t xml:space="preserve"> 14</w:t>
      </w:r>
      <w:r w:rsidRPr="00342CA1">
        <w:t>α,</w:t>
      </w:r>
      <w:r>
        <w:t>17</w:t>
      </w:r>
      <w:r w:rsidRPr="00342CA1">
        <w:t>α,</w:t>
      </w:r>
      <w:r>
        <w:t>20S</w:t>
      </w:r>
      <w:r w:rsidRPr="00342CA1">
        <w:t>-3β-propylcholestane</w:t>
      </w:r>
      <w:r>
        <w:t>; d = 14</w:t>
      </w:r>
      <w:r w:rsidRPr="00342CA1">
        <w:t>β,</w:t>
      </w:r>
      <w:r>
        <w:t>17</w:t>
      </w:r>
      <w:r w:rsidRPr="00342CA1">
        <w:t>β,</w:t>
      </w:r>
      <w:r>
        <w:t>20R</w:t>
      </w:r>
      <w:r w:rsidRPr="00342CA1">
        <w:t>-3β-propylcholestane</w:t>
      </w:r>
      <w:r>
        <w:t>;</w:t>
      </w:r>
      <w:r w:rsidRPr="00342CA1">
        <w:t xml:space="preserve"> e </w:t>
      </w:r>
      <w:r>
        <w:t>= 14</w:t>
      </w:r>
      <w:r w:rsidRPr="00342CA1">
        <w:t>β,</w:t>
      </w:r>
      <w:r>
        <w:t>17</w:t>
      </w:r>
      <w:r w:rsidRPr="00342CA1">
        <w:t>β,</w:t>
      </w:r>
      <w:r>
        <w:t>20S</w:t>
      </w:r>
      <w:r w:rsidRPr="00342CA1">
        <w:t xml:space="preserve">-3β-propylcholestane, f = </w:t>
      </w:r>
      <w:r>
        <w:t>14</w:t>
      </w:r>
      <w:r w:rsidRPr="00342CA1">
        <w:t>α,</w:t>
      </w:r>
      <w:r>
        <w:t>17</w:t>
      </w:r>
      <w:r w:rsidRPr="00342CA1">
        <w:t>α,</w:t>
      </w:r>
      <w:r>
        <w:t>20R</w:t>
      </w:r>
      <w:r w:rsidRPr="00342CA1">
        <w:t>-3β-propylcholestane</w:t>
      </w:r>
      <w:r>
        <w:t>. For compound 2: g = 13</w:t>
      </w:r>
      <w:r w:rsidRPr="00342CA1">
        <w:t>β</w:t>
      </w:r>
      <w:r>
        <w:t>,17</w:t>
      </w:r>
      <w:r w:rsidRPr="00342CA1">
        <w:t>α</w:t>
      </w:r>
      <w:r>
        <w:t>,20S-27-nordiacholestane; h = 13</w:t>
      </w:r>
      <w:r w:rsidRPr="00342CA1">
        <w:t>β</w:t>
      </w:r>
      <w:r>
        <w:t>,17</w:t>
      </w:r>
      <w:r w:rsidRPr="00342CA1">
        <w:t>α</w:t>
      </w:r>
      <w:r>
        <w:t>,20R-27-nordiacholestane. For compound 3: peaks</w:t>
      </w:r>
      <w:r w:rsidRPr="00342CA1">
        <w:t xml:space="preserve"> </w:t>
      </w:r>
      <w:r>
        <w:t>i</w:t>
      </w:r>
      <w:r w:rsidRPr="00342CA1">
        <w:t xml:space="preserve"> =</w:t>
      </w:r>
      <w:r>
        <w:t xml:space="preserve"> </w:t>
      </w:r>
      <w:r w:rsidRPr="00264A7B">
        <w:rPr>
          <w:color w:val="000000"/>
        </w:rPr>
        <w:t>5</w:t>
      </w:r>
      <w:r w:rsidRPr="00342CA1">
        <w:t>α</w:t>
      </w:r>
      <w:r w:rsidRPr="00264A7B">
        <w:rPr>
          <w:color w:val="000000"/>
        </w:rPr>
        <w:t>,14</w:t>
      </w:r>
      <w:r w:rsidRPr="00342CA1">
        <w:t>α</w:t>
      </w:r>
      <w:r w:rsidRPr="00264A7B">
        <w:rPr>
          <w:color w:val="000000"/>
        </w:rPr>
        <w:t>,17</w:t>
      </w:r>
      <w:r w:rsidRPr="00342CA1">
        <w:t>α</w:t>
      </w:r>
      <w:r w:rsidRPr="00264A7B">
        <w:rPr>
          <w:color w:val="000000"/>
        </w:rPr>
        <w:t>,20S-27-norcholestane</w:t>
      </w:r>
      <w:r>
        <w:rPr>
          <w:color w:val="000000"/>
        </w:rPr>
        <w:t xml:space="preserve">; j = </w:t>
      </w:r>
      <w:r w:rsidRPr="00264A7B">
        <w:rPr>
          <w:color w:val="000000"/>
        </w:rPr>
        <w:t>5</w:t>
      </w:r>
      <w:r w:rsidRPr="00342CA1">
        <w:t>α</w:t>
      </w:r>
      <w:r w:rsidRPr="00264A7B">
        <w:rPr>
          <w:color w:val="000000"/>
        </w:rPr>
        <w:t>,14</w:t>
      </w:r>
      <w:r w:rsidRPr="00342CA1">
        <w:t>β</w:t>
      </w:r>
      <w:r w:rsidRPr="00264A7B">
        <w:rPr>
          <w:color w:val="000000"/>
        </w:rPr>
        <w:t>,17</w:t>
      </w:r>
      <w:r w:rsidRPr="00342CA1">
        <w:t>β</w:t>
      </w:r>
      <w:r>
        <w:rPr>
          <w:bCs w:val="0"/>
        </w:rPr>
        <w:t>,</w:t>
      </w:r>
      <w:r w:rsidRPr="00264A7B">
        <w:rPr>
          <w:color w:val="000000"/>
        </w:rPr>
        <w:t>20R</w:t>
      </w:r>
      <w:r>
        <w:rPr>
          <w:color w:val="000000"/>
        </w:rPr>
        <w:t>-</w:t>
      </w:r>
      <w:r w:rsidRPr="00264A7B">
        <w:rPr>
          <w:color w:val="000000"/>
        </w:rPr>
        <w:t>27-</w:t>
      </w:r>
      <w:r>
        <w:rPr>
          <w:color w:val="000000"/>
        </w:rPr>
        <w:t>n</w:t>
      </w:r>
      <w:r w:rsidRPr="00264A7B">
        <w:rPr>
          <w:color w:val="000000"/>
        </w:rPr>
        <w:t>orcholestane</w:t>
      </w:r>
      <w:r>
        <w:rPr>
          <w:color w:val="000000"/>
        </w:rPr>
        <w:t xml:space="preserve">; k = </w:t>
      </w:r>
      <w:r w:rsidRPr="00264A7B">
        <w:rPr>
          <w:color w:val="000000"/>
        </w:rPr>
        <w:t>5</w:t>
      </w:r>
      <w:r w:rsidRPr="00342CA1">
        <w:t>α</w:t>
      </w:r>
      <w:r w:rsidRPr="00264A7B">
        <w:rPr>
          <w:color w:val="000000"/>
        </w:rPr>
        <w:t>, 14</w:t>
      </w:r>
      <w:r w:rsidRPr="00342CA1">
        <w:t>β</w:t>
      </w:r>
      <w:r w:rsidRPr="00264A7B">
        <w:rPr>
          <w:color w:val="000000"/>
        </w:rPr>
        <w:t>, 17</w:t>
      </w:r>
      <w:r w:rsidRPr="00342CA1">
        <w:t>β</w:t>
      </w:r>
      <w:r w:rsidRPr="00264A7B">
        <w:rPr>
          <w:color w:val="000000"/>
        </w:rPr>
        <w:t>, 20S-27-norcholestane</w:t>
      </w:r>
      <w:r>
        <w:rPr>
          <w:color w:val="000000"/>
        </w:rPr>
        <w:t>; l =</w:t>
      </w:r>
      <w:r w:rsidRPr="00264A7B">
        <w:t xml:space="preserve"> </w:t>
      </w:r>
      <w:r>
        <w:t>5</w:t>
      </w:r>
      <w:r w:rsidRPr="00342CA1">
        <w:t>α</w:t>
      </w:r>
      <w:r>
        <w:t>, 14</w:t>
      </w:r>
      <w:r w:rsidRPr="00342CA1">
        <w:t>α</w:t>
      </w:r>
      <w:r>
        <w:t>, 17</w:t>
      </w:r>
      <w:r w:rsidRPr="00342CA1">
        <w:t>α</w:t>
      </w:r>
      <w:r>
        <w:t>, 20R-27-norcholestane. Modified from Holba et al. (2003).</w:t>
      </w:r>
      <w:bookmarkEnd w:id="236"/>
    </w:p>
    <w:bookmarkEnd w:id="235"/>
    <w:p w14:paraId="6F1F3257" w14:textId="77777777" w:rsidR="00081C89" w:rsidRDefault="00081C89" w:rsidP="00081C89">
      <w:pPr>
        <w:spacing w:after="0" w:line="240" w:lineRule="auto"/>
        <w:jc w:val="center"/>
        <w:rPr>
          <w:bCs/>
          <w:color w:val="000000"/>
        </w:rPr>
      </w:pPr>
      <w:r>
        <w:rPr>
          <w:bCs/>
          <w:noProof/>
          <w:color w:val="000000"/>
        </w:rPr>
        <w:lastRenderedPageBreak/>
        <w:drawing>
          <wp:inline distT="0" distB="0" distL="0" distR="0" wp14:anchorId="462B4B0E" wp14:editId="05EB3680">
            <wp:extent cx="5426075" cy="4785995"/>
            <wp:effectExtent l="0" t="0" r="3175" b="0"/>
            <wp:docPr id="8518" name="Picture 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26075" cy="4785995"/>
                    </a:xfrm>
                    <a:prstGeom prst="rect">
                      <a:avLst/>
                    </a:prstGeom>
                    <a:noFill/>
                  </pic:spPr>
                </pic:pic>
              </a:graphicData>
            </a:graphic>
          </wp:inline>
        </w:drawing>
      </w:r>
    </w:p>
    <w:p w14:paraId="1ADB1C95" w14:textId="77777777" w:rsidR="00081C89" w:rsidRDefault="00081C89" w:rsidP="00081C89">
      <w:pPr>
        <w:pStyle w:val="Caption"/>
        <w:jc w:val="center"/>
      </w:pPr>
      <w:bookmarkStart w:id="237" w:name="_Toc29308167"/>
      <w:bookmarkStart w:id="238" w:name="_Toc35861220"/>
      <w:r w:rsidRPr="0073666C">
        <w:rPr>
          <w:b/>
        </w:rPr>
        <w:t>Figure</w:t>
      </w:r>
      <w:r>
        <w:rPr>
          <w:b/>
        </w:rPr>
        <w:t xml:space="preserve"> 3.34</w:t>
      </w:r>
      <w:r w:rsidRPr="0073666C">
        <w:rPr>
          <w:b/>
        </w:rPr>
        <w:t>.</w:t>
      </w:r>
      <w:r>
        <w:t xml:space="preserve"> GC-MS saturate fraction of one sample in the Upper, one in the Middle, and one in the Lower Woodford members for screening in the m/z 259.3 the possible presence of TPP, confirmed with GC-MS/MS in Figure 3.37 – 3.39.</w:t>
      </w:r>
      <w:bookmarkEnd w:id="237"/>
      <w:bookmarkEnd w:id="238"/>
    </w:p>
    <w:p w14:paraId="62E44609" w14:textId="77777777" w:rsidR="00081C89" w:rsidRDefault="00081C89" w:rsidP="00081C89">
      <w:pPr>
        <w:rPr>
          <w:lang w:bidi="en-US"/>
        </w:rPr>
      </w:pPr>
    </w:p>
    <w:p w14:paraId="6A5FB32A" w14:textId="77777777" w:rsidR="00081C89" w:rsidRDefault="00081C89" w:rsidP="00081C89">
      <w:pPr>
        <w:spacing w:after="0" w:line="276" w:lineRule="auto"/>
        <w:jc w:val="center"/>
        <w:rPr>
          <w:lang w:bidi="en-US"/>
        </w:rPr>
      </w:pPr>
      <w:r w:rsidRPr="00C14056">
        <w:rPr>
          <w:noProof/>
        </w:rPr>
        <w:lastRenderedPageBreak/>
        <w:drawing>
          <wp:inline distT="0" distB="0" distL="0" distR="0" wp14:anchorId="2B967AE2" wp14:editId="46F4F449">
            <wp:extent cx="4810125" cy="3716541"/>
            <wp:effectExtent l="0" t="0" r="0"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816082" cy="3721144"/>
                    </a:xfrm>
                    <a:prstGeom prst="rect">
                      <a:avLst/>
                    </a:prstGeom>
                  </pic:spPr>
                </pic:pic>
              </a:graphicData>
            </a:graphic>
          </wp:inline>
        </w:drawing>
      </w:r>
    </w:p>
    <w:p w14:paraId="746941AC" w14:textId="77777777" w:rsidR="00081C89" w:rsidRDefault="00081C89" w:rsidP="00081C89">
      <w:pPr>
        <w:pStyle w:val="Caption"/>
      </w:pPr>
      <w:bookmarkStart w:id="239" w:name="_Toc35861221"/>
      <w:r w:rsidRPr="009B717E">
        <w:rPr>
          <w:b/>
        </w:rPr>
        <w:t>Figure 3.3</w:t>
      </w:r>
      <w:r>
        <w:rPr>
          <w:b/>
        </w:rPr>
        <w:t>5</w:t>
      </w:r>
      <w:r w:rsidRPr="009B717E">
        <w:rPr>
          <w:b/>
        </w:rPr>
        <w:t xml:space="preserve">. </w:t>
      </w:r>
      <w:r>
        <w:t>P</w:t>
      </w:r>
      <w:r w:rsidRPr="009B717E">
        <w:t>lots of biomarker indicators of depositional environment and biological input</w:t>
      </w:r>
      <w:r>
        <w:t xml:space="preserve"> (Holba et al., 2003)</w:t>
      </w:r>
      <w:r w:rsidRPr="009B717E">
        <w:t xml:space="preserve">. </w:t>
      </w:r>
      <w:r>
        <w:t xml:space="preserve">Holba et al. (2000 and 2003) proposed the </w:t>
      </w:r>
      <w:r w:rsidRPr="009B717E">
        <w:t>TPP ratio (</w:t>
      </w:r>
      <w:r>
        <w:t xml:space="preserve">an </w:t>
      </w:r>
      <w:r w:rsidRPr="009B717E">
        <w:t>indicator of fresh/ brac</w:t>
      </w:r>
      <w:r>
        <w:t>k</w:t>
      </w:r>
      <w:r w:rsidRPr="009B717E">
        <w:t xml:space="preserve">ish water algal input) </w:t>
      </w:r>
      <w:r>
        <w:t xml:space="preserve">vs. </w:t>
      </w:r>
      <w:r w:rsidRPr="009B717E">
        <w:t>%C</w:t>
      </w:r>
      <w:r w:rsidRPr="009B717E">
        <w:rPr>
          <w:vertAlign w:val="subscript"/>
        </w:rPr>
        <w:t>30</w:t>
      </w:r>
      <w:r w:rsidRPr="009B717E">
        <w:t xml:space="preserve"> 24-propylcholestanes (</w:t>
      </w:r>
      <w:r>
        <w:t xml:space="preserve">an </w:t>
      </w:r>
      <w:r w:rsidRPr="009B717E">
        <w:t>indicator of marine algal input).</w:t>
      </w:r>
      <w:bookmarkEnd w:id="239"/>
    </w:p>
    <w:p w14:paraId="05096783" w14:textId="77777777" w:rsidR="00081C89" w:rsidRDefault="00081C89" w:rsidP="00081C89">
      <w:pPr>
        <w:spacing w:after="0" w:line="276" w:lineRule="auto"/>
        <w:jc w:val="center"/>
        <w:rPr>
          <w:lang w:bidi="en-US"/>
        </w:rPr>
      </w:pPr>
      <w:r>
        <w:rPr>
          <w:noProof/>
        </w:rPr>
        <w:drawing>
          <wp:inline distT="0" distB="0" distL="0" distR="0" wp14:anchorId="3E4C7999" wp14:editId="16E1BDB3">
            <wp:extent cx="5804966" cy="2743200"/>
            <wp:effectExtent l="0" t="0" r="5715" b="0"/>
            <wp:docPr id="8542" name="Picture 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1">
                      <a:extLst>
                        <a:ext uri="{28A0092B-C50C-407E-A947-70E740481C1C}">
                          <a14:useLocalDpi xmlns:a14="http://schemas.microsoft.com/office/drawing/2010/main" val="0"/>
                        </a:ext>
                      </a:extLst>
                    </a:blip>
                    <a:srcRect l="1892" t="2327" r="2027"/>
                    <a:stretch/>
                  </pic:blipFill>
                  <pic:spPr bwMode="auto">
                    <a:xfrm>
                      <a:off x="0" y="0"/>
                      <a:ext cx="5825042" cy="2752687"/>
                    </a:xfrm>
                    <a:prstGeom prst="rect">
                      <a:avLst/>
                    </a:prstGeom>
                    <a:noFill/>
                    <a:ln>
                      <a:noFill/>
                    </a:ln>
                    <a:extLst>
                      <a:ext uri="{53640926-AAD7-44D8-BBD7-CCE9431645EC}">
                        <a14:shadowObscured xmlns:a14="http://schemas.microsoft.com/office/drawing/2010/main"/>
                      </a:ext>
                    </a:extLst>
                  </pic:spPr>
                </pic:pic>
              </a:graphicData>
            </a:graphic>
          </wp:inline>
        </w:drawing>
      </w:r>
    </w:p>
    <w:p w14:paraId="54D4C22A" w14:textId="77777777" w:rsidR="00081C89" w:rsidRDefault="00081C89" w:rsidP="00081C89">
      <w:pPr>
        <w:pStyle w:val="Caption"/>
        <w:sectPr w:rsidR="00081C89" w:rsidSect="0095456D">
          <w:pgSz w:w="12240" w:h="15840"/>
          <w:pgMar w:top="1440" w:right="1440" w:bottom="1440" w:left="1440" w:header="720" w:footer="720" w:gutter="0"/>
          <w:cols w:space="720"/>
          <w:docGrid w:linePitch="360"/>
        </w:sectPr>
      </w:pPr>
      <w:bookmarkStart w:id="240" w:name="_Toc35861222"/>
      <w:r w:rsidRPr="000F3FAD">
        <w:rPr>
          <w:b/>
          <w:bCs w:val="0"/>
        </w:rPr>
        <w:t>Figure</w:t>
      </w:r>
      <w:r>
        <w:rPr>
          <w:b/>
        </w:rPr>
        <w:t xml:space="preserve"> 3.36</w:t>
      </w:r>
      <w:r w:rsidRPr="000F3FAD">
        <w:rPr>
          <w:b/>
          <w:bCs w:val="0"/>
        </w:rPr>
        <w:t xml:space="preserve">. </w:t>
      </w:r>
      <w:r>
        <w:t>P</w:t>
      </w:r>
      <w:r w:rsidRPr="009B717E">
        <w:t>lots of biomarker indicators of depositional environment and biological input</w:t>
      </w:r>
      <w:r>
        <w:t xml:space="preserve"> for the SR using TPPs (Holba et al., 2003)</w:t>
      </w:r>
      <w:r w:rsidRPr="009B717E">
        <w:t xml:space="preserve">. </w:t>
      </w:r>
      <w:r>
        <w:t>Note that no samples yield in the lacustrine interval proposed by Holba et al. (2000 and 2003). Some upper Woodford and Middle Woodford samples are in the mixed organic matter according to this plot modified after Holba et al. (2003).</w:t>
      </w:r>
      <w:bookmarkEnd w:id="240"/>
      <w:r>
        <w:t xml:space="preserve"> </w:t>
      </w:r>
    </w:p>
    <w:p w14:paraId="01299A3B" w14:textId="77777777" w:rsidR="00081C89" w:rsidRPr="005879A4" w:rsidRDefault="00081C89" w:rsidP="00081C89">
      <w:pPr>
        <w:spacing w:after="0" w:line="240" w:lineRule="auto"/>
        <w:jc w:val="center"/>
        <w:rPr>
          <w:lang w:bidi="en-US"/>
        </w:rPr>
      </w:pPr>
      <w:r w:rsidRPr="00A97EA0">
        <w:rPr>
          <w:lang w:bidi="en-US"/>
        </w:rPr>
        <w:lastRenderedPageBreak/>
        <w:t xml:space="preserve"> </w:t>
      </w:r>
      <w:r w:rsidRPr="00A97EA0">
        <w:rPr>
          <w:noProof/>
        </w:rPr>
        <w:drawing>
          <wp:inline distT="0" distB="0" distL="0" distR="0" wp14:anchorId="6D372AB5" wp14:editId="786E41CF">
            <wp:extent cx="7940084" cy="5095875"/>
            <wp:effectExtent l="0" t="0" r="0"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961334" cy="5109513"/>
                    </a:xfrm>
                    <a:prstGeom prst="rect">
                      <a:avLst/>
                    </a:prstGeom>
                    <a:noFill/>
                    <a:ln>
                      <a:noFill/>
                    </a:ln>
                  </pic:spPr>
                </pic:pic>
              </a:graphicData>
            </a:graphic>
          </wp:inline>
        </w:drawing>
      </w:r>
    </w:p>
    <w:p w14:paraId="340E7C29" w14:textId="77777777" w:rsidR="00081C89" w:rsidRDefault="00081C89" w:rsidP="00081C89">
      <w:pPr>
        <w:pStyle w:val="Caption"/>
        <w:jc w:val="center"/>
      </w:pPr>
      <w:bookmarkStart w:id="241" w:name="_Toc29308168"/>
      <w:bookmarkStart w:id="242" w:name="_Toc35861223"/>
      <w:r w:rsidRPr="0073666C">
        <w:rPr>
          <w:b/>
        </w:rPr>
        <w:t>Figure</w:t>
      </w:r>
      <w:r>
        <w:rPr>
          <w:b/>
        </w:rPr>
        <w:t xml:space="preserve"> 3.37</w:t>
      </w:r>
      <w:r w:rsidRPr="0073666C">
        <w:rPr>
          <w:b/>
        </w:rPr>
        <w:t>.</w:t>
      </w:r>
      <w:r>
        <w:t xml:space="preserve"> GC-MS/MS in a Middle Woodford Shale sample, 220.5 ft. M/z 414→259 and m/z 358→217 for recognizing the presence of tetracyclic polyprenoids (TPP) and the TPP ratio when compared to the 27-norcholestanes using the methodology of Holba et al. (2000 and 2003). TPP Ratio of 0.18.</w:t>
      </w:r>
      <w:bookmarkEnd w:id="241"/>
      <w:r>
        <w:t xml:space="preserve"> Compound structures in Figure 3.30.</w:t>
      </w:r>
      <w:bookmarkEnd w:id="242"/>
    </w:p>
    <w:p w14:paraId="2ABE099D" w14:textId="77777777" w:rsidR="00081C89" w:rsidRDefault="00081C89" w:rsidP="00081C89">
      <w:pPr>
        <w:rPr>
          <w:lang w:bidi="en-US"/>
        </w:rPr>
      </w:pPr>
    </w:p>
    <w:p w14:paraId="57838D69" w14:textId="77777777" w:rsidR="00081C89" w:rsidRDefault="00081C89" w:rsidP="00081C89">
      <w:pPr>
        <w:spacing w:after="0" w:line="276" w:lineRule="auto"/>
        <w:jc w:val="center"/>
        <w:rPr>
          <w:lang w:bidi="en-US"/>
        </w:rPr>
      </w:pPr>
      <w:r w:rsidRPr="00662545">
        <w:rPr>
          <w:lang w:bidi="en-US"/>
        </w:rPr>
        <w:lastRenderedPageBreak/>
        <w:t xml:space="preserve"> </w:t>
      </w:r>
      <w:r w:rsidRPr="00662545">
        <w:rPr>
          <w:noProof/>
        </w:rPr>
        <w:drawing>
          <wp:inline distT="0" distB="0" distL="0" distR="0" wp14:anchorId="38DF9D4F" wp14:editId="75A2A3F5">
            <wp:extent cx="7772400" cy="4862269"/>
            <wp:effectExtent l="0" t="0" r="0" b="0"/>
            <wp:docPr id="7195" name="Pictur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3">
                      <a:extLst>
                        <a:ext uri="{28A0092B-C50C-407E-A947-70E740481C1C}">
                          <a14:useLocalDpi xmlns:a14="http://schemas.microsoft.com/office/drawing/2010/main" val="0"/>
                        </a:ext>
                      </a:extLst>
                    </a:blip>
                    <a:srcRect t="5779"/>
                    <a:stretch/>
                  </pic:blipFill>
                  <pic:spPr bwMode="auto">
                    <a:xfrm>
                      <a:off x="0" y="0"/>
                      <a:ext cx="7776906" cy="4865088"/>
                    </a:xfrm>
                    <a:prstGeom prst="rect">
                      <a:avLst/>
                    </a:prstGeom>
                    <a:noFill/>
                    <a:ln>
                      <a:noFill/>
                    </a:ln>
                    <a:extLst>
                      <a:ext uri="{53640926-AAD7-44D8-BBD7-CCE9431645EC}">
                        <a14:shadowObscured xmlns:a14="http://schemas.microsoft.com/office/drawing/2010/main"/>
                      </a:ext>
                    </a:extLst>
                  </pic:spPr>
                </pic:pic>
              </a:graphicData>
            </a:graphic>
          </wp:inline>
        </w:drawing>
      </w:r>
    </w:p>
    <w:p w14:paraId="6CD4CE45" w14:textId="77777777" w:rsidR="00081C89" w:rsidRDefault="00081C89" w:rsidP="00081C89">
      <w:pPr>
        <w:pStyle w:val="Caption"/>
        <w:jc w:val="center"/>
      </w:pPr>
      <w:bookmarkStart w:id="243" w:name="_Toc29308169"/>
      <w:bookmarkStart w:id="244" w:name="_Toc35861224"/>
      <w:r w:rsidRPr="0073666C">
        <w:rPr>
          <w:b/>
        </w:rPr>
        <w:t>Figure</w:t>
      </w:r>
      <w:r>
        <w:rPr>
          <w:b/>
        </w:rPr>
        <w:t xml:space="preserve"> 3.38</w:t>
      </w:r>
      <w:r w:rsidRPr="0073666C">
        <w:rPr>
          <w:b/>
        </w:rPr>
        <w:t>.</w:t>
      </w:r>
      <w:r>
        <w:t xml:space="preserve"> GC-MS/MS in a Middle Woodford Shale sample, 134.5 ft. M/z 414→259 and m/z 358→217 for recognizing the presence of tetracyclic polyprenoids (TPP) and the TPP ratio when compared to the 27-norcholestanes using the methodology of Holba et al. (2000 and 2003). TPP ratio 0.55, is the highest found in the Speake Ranch.</w:t>
      </w:r>
      <w:bookmarkEnd w:id="243"/>
      <w:r>
        <w:t xml:space="preserve"> Compound structures in Figure 3.30.</w:t>
      </w:r>
      <w:bookmarkEnd w:id="244"/>
    </w:p>
    <w:p w14:paraId="3AFA1C69" w14:textId="77777777" w:rsidR="00081C89" w:rsidRDefault="00081C89" w:rsidP="00081C89">
      <w:pPr>
        <w:spacing w:after="0" w:line="276" w:lineRule="auto"/>
        <w:jc w:val="center"/>
        <w:rPr>
          <w:lang w:bidi="en-US"/>
        </w:rPr>
      </w:pPr>
      <w:r w:rsidRPr="00052E36">
        <w:rPr>
          <w:lang w:bidi="en-US"/>
        </w:rPr>
        <w:lastRenderedPageBreak/>
        <w:t xml:space="preserve"> </w:t>
      </w:r>
      <w:r w:rsidRPr="00052E36">
        <w:rPr>
          <w:noProof/>
        </w:rPr>
        <w:drawing>
          <wp:inline distT="0" distB="0" distL="0" distR="0" wp14:anchorId="7B78DA0C" wp14:editId="6651FBDD">
            <wp:extent cx="7781925" cy="5219700"/>
            <wp:effectExtent l="0" t="0" r="0" b="0"/>
            <wp:docPr id="7196"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4">
                      <a:extLst>
                        <a:ext uri="{28A0092B-C50C-407E-A947-70E740481C1C}">
                          <a14:useLocalDpi xmlns:a14="http://schemas.microsoft.com/office/drawing/2010/main" val="0"/>
                        </a:ext>
                      </a:extLst>
                    </a:blip>
                    <a:srcRect t="7589" r="3996"/>
                    <a:stretch/>
                  </pic:blipFill>
                  <pic:spPr bwMode="auto">
                    <a:xfrm>
                      <a:off x="0" y="0"/>
                      <a:ext cx="7781925" cy="5219700"/>
                    </a:xfrm>
                    <a:prstGeom prst="rect">
                      <a:avLst/>
                    </a:prstGeom>
                    <a:noFill/>
                    <a:ln>
                      <a:noFill/>
                    </a:ln>
                    <a:extLst>
                      <a:ext uri="{53640926-AAD7-44D8-BBD7-CCE9431645EC}">
                        <a14:shadowObscured xmlns:a14="http://schemas.microsoft.com/office/drawing/2010/main"/>
                      </a:ext>
                    </a:extLst>
                  </pic:spPr>
                </pic:pic>
              </a:graphicData>
            </a:graphic>
          </wp:inline>
        </w:drawing>
      </w:r>
    </w:p>
    <w:p w14:paraId="2820BEFD" w14:textId="77777777" w:rsidR="00081C89" w:rsidRPr="00AD3CA2" w:rsidRDefault="00081C89" w:rsidP="00081C89">
      <w:pPr>
        <w:pStyle w:val="Caption"/>
        <w:jc w:val="center"/>
      </w:pPr>
      <w:bookmarkStart w:id="245" w:name="_Toc29308170"/>
      <w:bookmarkStart w:id="246" w:name="_Toc35861225"/>
      <w:r w:rsidRPr="0073666C">
        <w:rPr>
          <w:b/>
        </w:rPr>
        <w:t>Figure</w:t>
      </w:r>
      <w:r>
        <w:rPr>
          <w:b/>
        </w:rPr>
        <w:t xml:space="preserve"> 3.39</w:t>
      </w:r>
      <w:r w:rsidRPr="0073666C">
        <w:rPr>
          <w:b/>
        </w:rPr>
        <w:t>.</w:t>
      </w:r>
      <w:r>
        <w:t xml:space="preserve"> GC-MS/MS in a Lower Woodford Shale sample, 28.0 ft. M/z 414→259 and m/z 358→217 for recognizing the presence of tetracyclic polyprenoids (TPP) and the TPP ratio when compared to the 27-norcholestanes using the methodology of Holba et al. (2000 and 2003). TPP ratio 0.004, is the lowest found in the Speake Ranch.</w:t>
      </w:r>
      <w:bookmarkEnd w:id="245"/>
      <w:r>
        <w:t xml:space="preserve"> Compound structures in Figure 3.30.</w:t>
      </w:r>
      <w:bookmarkEnd w:id="246"/>
    </w:p>
    <w:p w14:paraId="0B4BB765" w14:textId="77777777" w:rsidR="00081C89" w:rsidRDefault="00081C89" w:rsidP="00081C89">
      <w:pPr>
        <w:rPr>
          <w:lang w:bidi="en-US"/>
        </w:rPr>
      </w:pPr>
    </w:p>
    <w:p w14:paraId="72C75C1B" w14:textId="77777777" w:rsidR="00081C89" w:rsidRDefault="00081C89" w:rsidP="00081C89">
      <w:pPr>
        <w:spacing w:after="0" w:line="240" w:lineRule="auto"/>
        <w:jc w:val="center"/>
        <w:rPr>
          <w:lang w:bidi="en-US"/>
        </w:rPr>
      </w:pPr>
      <w:r w:rsidRPr="005B7ED7">
        <w:rPr>
          <w:lang w:bidi="en-US"/>
        </w:rPr>
        <w:t xml:space="preserve"> </w:t>
      </w:r>
      <w:r w:rsidRPr="005B7ED7">
        <w:rPr>
          <w:noProof/>
        </w:rPr>
        <w:drawing>
          <wp:inline distT="0" distB="0" distL="0" distR="0" wp14:anchorId="723830B6" wp14:editId="70B1B7BE">
            <wp:extent cx="7656795" cy="4524375"/>
            <wp:effectExtent l="0" t="0" r="0" b="0"/>
            <wp:docPr id="7197"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5">
                      <a:extLst>
                        <a:ext uri="{28A0092B-C50C-407E-A947-70E740481C1C}">
                          <a14:useLocalDpi xmlns:a14="http://schemas.microsoft.com/office/drawing/2010/main" val="0"/>
                        </a:ext>
                      </a:extLst>
                    </a:blip>
                    <a:srcRect b="2129"/>
                    <a:stretch/>
                  </pic:blipFill>
                  <pic:spPr bwMode="auto">
                    <a:xfrm>
                      <a:off x="0" y="0"/>
                      <a:ext cx="7663443" cy="4528304"/>
                    </a:xfrm>
                    <a:prstGeom prst="rect">
                      <a:avLst/>
                    </a:prstGeom>
                    <a:noFill/>
                    <a:ln>
                      <a:noFill/>
                    </a:ln>
                    <a:extLst>
                      <a:ext uri="{53640926-AAD7-44D8-BBD7-CCE9431645EC}">
                        <a14:shadowObscured xmlns:a14="http://schemas.microsoft.com/office/drawing/2010/main"/>
                      </a:ext>
                    </a:extLst>
                  </pic:spPr>
                </pic:pic>
              </a:graphicData>
            </a:graphic>
          </wp:inline>
        </w:drawing>
      </w:r>
    </w:p>
    <w:p w14:paraId="65255D69" w14:textId="77777777" w:rsidR="00081C89" w:rsidRDefault="00081C89" w:rsidP="00081C89">
      <w:pPr>
        <w:pStyle w:val="Caption"/>
      </w:pPr>
      <w:bookmarkStart w:id="247" w:name="_Toc29308171"/>
      <w:bookmarkStart w:id="248" w:name="_Toc35861226"/>
      <w:r w:rsidRPr="0073666C">
        <w:rPr>
          <w:b/>
        </w:rPr>
        <w:t>Figure</w:t>
      </w:r>
      <w:r>
        <w:rPr>
          <w:b/>
        </w:rPr>
        <w:t xml:space="preserve"> 3.40</w:t>
      </w:r>
      <w:r w:rsidRPr="0073666C">
        <w:rPr>
          <w:b/>
        </w:rPr>
        <w:t>.</w:t>
      </w:r>
      <w:r>
        <w:t xml:space="preserve"> GC-MS/MS of the m/z 414→259 for recognizing the presence of tetracyclic polyprenoids (TPP) in eight samples of the Speake Ranch. Peak recognition criteria from Holba et al. (2000 and 2003): a = C</w:t>
      </w:r>
      <w:r w:rsidRPr="009B717E">
        <w:rPr>
          <w:vertAlign w:val="subscript"/>
        </w:rPr>
        <w:t>30</w:t>
      </w:r>
      <w:r>
        <w:t xml:space="preserve"> TPP 18</w:t>
      </w:r>
      <w:r w:rsidRPr="00342CA1">
        <w:t>α</w:t>
      </w:r>
      <w:r>
        <w:t xml:space="preserve">(h),21R; </w:t>
      </w:r>
      <w:r w:rsidRPr="00342CA1">
        <w:t xml:space="preserve">b = </w:t>
      </w:r>
      <w:r>
        <w:t xml:space="preserve"> C</w:t>
      </w:r>
      <w:r w:rsidRPr="009B717E">
        <w:rPr>
          <w:vertAlign w:val="subscript"/>
        </w:rPr>
        <w:t>30</w:t>
      </w:r>
      <w:r>
        <w:t xml:space="preserve"> TPP 18</w:t>
      </w:r>
      <w:r w:rsidRPr="00342CA1">
        <w:t>α</w:t>
      </w:r>
      <w:r>
        <w:t>(h),21S;</w:t>
      </w:r>
      <w:r w:rsidRPr="00342CA1">
        <w:t xml:space="preserve"> c</w:t>
      </w:r>
      <w:r>
        <w:t xml:space="preserve"> </w:t>
      </w:r>
      <w:r w:rsidRPr="00342CA1">
        <w:t>=</w:t>
      </w:r>
      <w:r>
        <w:t xml:space="preserve"> 14</w:t>
      </w:r>
      <w:r w:rsidRPr="00342CA1">
        <w:t>α,</w:t>
      </w:r>
      <w:r>
        <w:t>17</w:t>
      </w:r>
      <w:r w:rsidRPr="00342CA1">
        <w:t>α,</w:t>
      </w:r>
      <w:r>
        <w:t>20S</w:t>
      </w:r>
      <w:r w:rsidRPr="00342CA1">
        <w:t>-3β-propylcholestane</w:t>
      </w:r>
      <w:r>
        <w:t>; d = 14</w:t>
      </w:r>
      <w:r w:rsidRPr="00342CA1">
        <w:t>β,</w:t>
      </w:r>
      <w:r>
        <w:t>17</w:t>
      </w:r>
      <w:r w:rsidRPr="00342CA1">
        <w:t>β,</w:t>
      </w:r>
      <w:r>
        <w:t>20R</w:t>
      </w:r>
      <w:r w:rsidRPr="00342CA1">
        <w:t>-3β-propylcholestane</w:t>
      </w:r>
      <w:r>
        <w:t>;</w:t>
      </w:r>
      <w:r w:rsidRPr="00342CA1">
        <w:t xml:space="preserve"> e </w:t>
      </w:r>
      <w:r>
        <w:t>= 14</w:t>
      </w:r>
      <w:r w:rsidRPr="00342CA1">
        <w:t>β,</w:t>
      </w:r>
      <w:r>
        <w:t>17</w:t>
      </w:r>
      <w:r w:rsidRPr="00342CA1">
        <w:t>β,</w:t>
      </w:r>
      <w:r>
        <w:t>20S</w:t>
      </w:r>
      <w:r w:rsidRPr="00342CA1">
        <w:t>-3β-propylcholestane</w:t>
      </w:r>
      <w:r>
        <w:t>. Upper Woodford samples are the X7b and 271b; the Lower Woodford sample is the 28a. Others correspond to the Middle Woodford member.</w:t>
      </w:r>
      <w:bookmarkEnd w:id="247"/>
      <w:r>
        <w:t xml:space="preserve"> Compound structures in Figure 3.30.</w:t>
      </w:r>
      <w:bookmarkEnd w:id="248"/>
    </w:p>
    <w:p w14:paraId="657D6AAC" w14:textId="77777777" w:rsidR="00081C89" w:rsidRDefault="00081C89" w:rsidP="008054AB">
      <w:r w:rsidRPr="005F299C">
        <w:rPr>
          <w:noProof/>
        </w:rPr>
        <w:lastRenderedPageBreak/>
        <w:drawing>
          <wp:inline distT="0" distB="0" distL="0" distR="0" wp14:anchorId="6CE2D727" wp14:editId="5564D8FF">
            <wp:extent cx="7964794" cy="4724400"/>
            <wp:effectExtent l="0" t="0" r="0" b="0"/>
            <wp:docPr id="7199" name="Picture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6">
                      <a:extLst>
                        <a:ext uri="{28A0092B-C50C-407E-A947-70E740481C1C}">
                          <a14:useLocalDpi xmlns:a14="http://schemas.microsoft.com/office/drawing/2010/main" val="0"/>
                        </a:ext>
                      </a:extLst>
                    </a:blip>
                    <a:srcRect t="3019" b="2076"/>
                    <a:stretch/>
                  </pic:blipFill>
                  <pic:spPr bwMode="auto">
                    <a:xfrm>
                      <a:off x="0" y="0"/>
                      <a:ext cx="7965775" cy="4724982"/>
                    </a:xfrm>
                    <a:prstGeom prst="rect">
                      <a:avLst/>
                    </a:prstGeom>
                    <a:noFill/>
                    <a:ln>
                      <a:noFill/>
                    </a:ln>
                    <a:extLst>
                      <a:ext uri="{53640926-AAD7-44D8-BBD7-CCE9431645EC}">
                        <a14:shadowObscured xmlns:a14="http://schemas.microsoft.com/office/drawing/2010/main"/>
                      </a:ext>
                    </a:extLst>
                  </pic:spPr>
                </pic:pic>
              </a:graphicData>
            </a:graphic>
          </wp:inline>
        </w:drawing>
      </w:r>
    </w:p>
    <w:p w14:paraId="1772270C" w14:textId="77777777" w:rsidR="00081C89" w:rsidRPr="008054AB" w:rsidRDefault="00081C89" w:rsidP="008054AB">
      <w:pPr>
        <w:pStyle w:val="Caption"/>
      </w:pPr>
      <w:bookmarkStart w:id="249" w:name="_Toc35861227"/>
      <w:r w:rsidRPr="008054AB">
        <w:rPr>
          <w:b/>
          <w:bCs w:val="0"/>
        </w:rPr>
        <w:t>Figure 3.41.</w:t>
      </w:r>
      <w:r w:rsidRPr="008054AB">
        <w:t xml:space="preserve"> GC-MS/MS of the m/z 358→217 for recognizing the presence of tetracyclic polyprenoids (TPP) in eight samples of the Speake Ranch. Peak recognition criteria from Holba et al. (2000 and 2003): g = 13β,17α,20S-27-nordiacholestane; h = 13β,17α,20R-27-nordiacholestane; i = 5α,14α,17α,20S-27-norcholestane; j = 5α,14β,17β,20R-27-norcholestane; k = 5α, 14β, 17β, 20S-27-norcholestane; l = 5α, 14α, 17α, 20R-27-norcholestane.  Upper Woodford samples are the X7b and 271b; the Lower Woodford sample is the 28a. Others correspond to the Middle Woodford member. Compound structures in Figure 3.30.</w:t>
      </w:r>
      <w:bookmarkEnd w:id="249"/>
    </w:p>
    <w:p w14:paraId="1150B3AE" w14:textId="77777777" w:rsidR="00081C89" w:rsidRDefault="00081C89" w:rsidP="00081C89">
      <w:pPr>
        <w:spacing w:after="0" w:line="240" w:lineRule="auto"/>
        <w:jc w:val="center"/>
        <w:rPr>
          <w:lang w:bidi="en-US"/>
        </w:rPr>
      </w:pPr>
      <w:r>
        <w:rPr>
          <w:noProof/>
        </w:rPr>
        <w:lastRenderedPageBreak/>
        <w:drawing>
          <wp:inline distT="0" distB="0" distL="0" distR="0" wp14:anchorId="18E582C9" wp14:editId="1D6B95C1">
            <wp:extent cx="8115935" cy="4389755"/>
            <wp:effectExtent l="0" t="0" r="0" b="0"/>
            <wp:docPr id="8522" name="Picture 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115935" cy="4389755"/>
                    </a:xfrm>
                    <a:prstGeom prst="rect">
                      <a:avLst/>
                    </a:prstGeom>
                    <a:noFill/>
                  </pic:spPr>
                </pic:pic>
              </a:graphicData>
            </a:graphic>
          </wp:inline>
        </w:drawing>
      </w:r>
    </w:p>
    <w:p w14:paraId="6009D627" w14:textId="77777777" w:rsidR="00081C89" w:rsidRPr="006C1E5A" w:rsidRDefault="00081C89" w:rsidP="00081C89">
      <w:pPr>
        <w:pStyle w:val="Caption"/>
        <w:sectPr w:rsidR="00081C89" w:rsidRPr="006C1E5A" w:rsidSect="0095456D">
          <w:pgSz w:w="15840" w:h="12240" w:orient="landscape"/>
          <w:pgMar w:top="1440" w:right="1440" w:bottom="1440" w:left="1440" w:header="720" w:footer="720" w:gutter="0"/>
          <w:cols w:space="720"/>
          <w:docGrid w:linePitch="360"/>
        </w:sectPr>
      </w:pPr>
      <w:bookmarkStart w:id="250" w:name="_Toc29308172"/>
      <w:bookmarkStart w:id="251" w:name="_Toc35861228"/>
      <w:r>
        <w:rPr>
          <w:b/>
        </w:rPr>
        <w:t xml:space="preserve">Figure 3.42. </w:t>
      </w:r>
      <w:r w:rsidRPr="009368F0">
        <w:t xml:space="preserve">Comparison of tricyclic </w:t>
      </w:r>
      <w:r>
        <w:t>polyprenoid (TPP)</w:t>
      </w:r>
      <w:r w:rsidRPr="009368F0">
        <w:t xml:space="preserve"> abundance</w:t>
      </w:r>
      <w:r>
        <w:t xml:space="preserve"> (calculated as TPP ratio, with the methodology of Holba et al., 2000 and 2003) from the GC-MS/MS m/z 414→259 and m/z 358→217 ions. TPP ratio</w:t>
      </w:r>
      <w:r w:rsidRPr="009368F0">
        <w:t xml:space="preserve"> as compared to</w:t>
      </w:r>
      <w:r>
        <w:t xml:space="preserve"> Gamma-Ray log, %TOC (classified by the mechanical stratigraphy of the rock layers, soft vs. hard; Galvis et al., 2017a), Rock-Eval pyrolysis S1 peak, and TPP ratio to C</w:t>
      </w:r>
      <w:r w:rsidRPr="002C1E3E">
        <w:rPr>
          <w:vertAlign w:val="subscript"/>
        </w:rPr>
        <w:t>30</w:t>
      </w:r>
      <w:r>
        <w:t xml:space="preserve"> steranes from the GC-MS /z 191 and m/z 217 ions. Note the low TPP ratio in the Lower Woodford Shale for both TPP ratio points and TPP/C</w:t>
      </w:r>
      <w:r w:rsidRPr="002C1E3E">
        <w:rPr>
          <w:vertAlign w:val="subscript"/>
        </w:rPr>
        <w:t>30</w:t>
      </w:r>
      <w:r>
        <w:t xml:space="preserve"> steranes curve, then both TPP ratio and TPP/C</w:t>
      </w:r>
      <w:r w:rsidRPr="002C1E3E">
        <w:rPr>
          <w:vertAlign w:val="subscript"/>
        </w:rPr>
        <w:t>30</w:t>
      </w:r>
      <w:r>
        <w:t xml:space="preserve"> steranes are increasing from the start of the Middle Woodford member, and the values of the TPP ratio are higher in the uppermost portion of the Upper Woodford member.</w:t>
      </w:r>
      <w:bookmarkEnd w:id="250"/>
      <w:bookmarkEnd w:id="251"/>
      <w:r>
        <w:t xml:space="preserve"> </w:t>
      </w:r>
    </w:p>
    <w:p w14:paraId="74697BFE" w14:textId="77777777" w:rsidR="00081C89" w:rsidRPr="005D5AB0" w:rsidRDefault="00081C89" w:rsidP="00081C89">
      <w:pPr>
        <w:pStyle w:val="Heading3"/>
        <w:numPr>
          <w:ilvl w:val="2"/>
          <w:numId w:val="10"/>
        </w:numPr>
      </w:pPr>
      <w:bookmarkStart w:id="252" w:name="_Toc25833566"/>
      <w:bookmarkStart w:id="253" w:name="_Toc29304880"/>
      <w:bookmarkStart w:id="254" w:name="_Toc35861119"/>
      <w:r w:rsidRPr="005D5AB0">
        <w:lastRenderedPageBreak/>
        <w:t>C</w:t>
      </w:r>
      <w:r w:rsidRPr="005D5AB0">
        <w:rPr>
          <w:vertAlign w:val="subscript"/>
        </w:rPr>
        <w:t>40</w:t>
      </w:r>
      <w:r w:rsidRPr="005D5AB0">
        <w:t xml:space="preserve"> </w:t>
      </w:r>
      <w:r>
        <w:t>A</w:t>
      </w:r>
      <w:r w:rsidRPr="005D5AB0">
        <w:t xml:space="preserve">romatic </w:t>
      </w:r>
      <w:r>
        <w:t>c</w:t>
      </w:r>
      <w:r w:rsidRPr="005D5AB0">
        <w:t xml:space="preserve">arotenoids and </w:t>
      </w:r>
      <w:r>
        <w:t>a</w:t>
      </w:r>
      <w:r w:rsidRPr="005D5AB0">
        <w:t>ryl</w:t>
      </w:r>
      <w:r>
        <w:t xml:space="preserve"> </w:t>
      </w:r>
      <w:r w:rsidRPr="005D5AB0">
        <w:t>isoprenoids</w:t>
      </w:r>
      <w:bookmarkEnd w:id="252"/>
      <w:bookmarkEnd w:id="253"/>
      <w:bookmarkEnd w:id="254"/>
      <w:r w:rsidRPr="005D5AB0">
        <w:t xml:space="preserve"> </w:t>
      </w:r>
    </w:p>
    <w:p w14:paraId="0DC6B9B6" w14:textId="77777777" w:rsidR="00081C89" w:rsidRDefault="00081C89" w:rsidP="00081C89">
      <w:pPr>
        <w:ind w:firstLine="720"/>
        <w:rPr>
          <w:color w:val="000000"/>
        </w:rPr>
      </w:pPr>
      <w:r w:rsidRPr="00B10A31">
        <w:rPr>
          <w:color w:val="000000"/>
        </w:rPr>
        <w:t>Isorenieratane, a C</w:t>
      </w:r>
      <w:r w:rsidRPr="00B10A31">
        <w:rPr>
          <w:color w:val="000000"/>
          <w:vertAlign w:val="subscript"/>
        </w:rPr>
        <w:t>40</w:t>
      </w:r>
      <w:r w:rsidRPr="00B10A31">
        <w:rPr>
          <w:color w:val="000000"/>
        </w:rPr>
        <w:t xml:space="preserve"> diaromatic carotenoid pigment</w:t>
      </w:r>
      <w:r>
        <w:rPr>
          <w:color w:val="000000"/>
        </w:rPr>
        <w:t xml:space="preserve">, is generally thought to be </w:t>
      </w:r>
      <w:r w:rsidRPr="00B10A31">
        <w:rPr>
          <w:color w:val="000000"/>
        </w:rPr>
        <w:t xml:space="preserve">produced by the green sulfur bacteria </w:t>
      </w:r>
      <w:r>
        <w:rPr>
          <w:color w:val="000000"/>
        </w:rPr>
        <w:t xml:space="preserve">(GSB) </w:t>
      </w:r>
      <w:r w:rsidRPr="00072183">
        <w:rPr>
          <w:i/>
          <w:color w:val="000000"/>
        </w:rPr>
        <w:t>Chl</w:t>
      </w:r>
      <w:r w:rsidRPr="00B10A31">
        <w:rPr>
          <w:i/>
          <w:color w:val="000000"/>
        </w:rPr>
        <w:t>orobiaceae</w:t>
      </w:r>
      <w:r w:rsidRPr="00B10A31">
        <w:rPr>
          <w:color w:val="000000"/>
        </w:rPr>
        <w:t xml:space="preserve"> (Brown and Kenig, 2004; Schwark and Frimmel, 2004</w:t>
      </w:r>
      <w:r>
        <w:rPr>
          <w:color w:val="000000"/>
        </w:rPr>
        <w:t xml:space="preserve">; Brocks et al., 2005; </w:t>
      </w:r>
      <w:r w:rsidRPr="00B10A31">
        <w:rPr>
          <w:color w:val="000000"/>
        </w:rPr>
        <w:t>B</w:t>
      </w:r>
      <w:r>
        <w:rPr>
          <w:color w:val="000000"/>
        </w:rPr>
        <w:t>ryant and Dahl, 2006; Brocks and Summons, 2014)</w:t>
      </w:r>
      <w:r w:rsidRPr="00B10A31">
        <w:rPr>
          <w:color w:val="000000"/>
        </w:rPr>
        <w:t xml:space="preserve">. The importance of recognizing these carotenoids is that </w:t>
      </w:r>
      <w:r>
        <w:rPr>
          <w:i/>
          <w:color w:val="000000"/>
        </w:rPr>
        <w:t>C</w:t>
      </w:r>
      <w:r w:rsidRPr="00B10A31">
        <w:rPr>
          <w:i/>
          <w:color w:val="000000"/>
        </w:rPr>
        <w:t xml:space="preserve">hlorobiaceae </w:t>
      </w:r>
      <w:r w:rsidRPr="00B10A31">
        <w:rPr>
          <w:color w:val="000000"/>
        </w:rPr>
        <w:t>performs photosynthesis under light-penetrated, H</w:t>
      </w:r>
      <w:r w:rsidRPr="00B10A31">
        <w:rPr>
          <w:color w:val="000000"/>
          <w:vertAlign w:val="subscript"/>
        </w:rPr>
        <w:t>2</w:t>
      </w:r>
      <w:r w:rsidRPr="00B10A31">
        <w:rPr>
          <w:color w:val="000000"/>
        </w:rPr>
        <w:t>S-</w:t>
      </w:r>
      <w:r>
        <w:rPr>
          <w:color w:val="000000"/>
        </w:rPr>
        <w:t>saturated</w:t>
      </w:r>
      <w:r w:rsidRPr="00B10A31">
        <w:rPr>
          <w:color w:val="000000"/>
        </w:rPr>
        <w:t>, anoxic waters</w:t>
      </w:r>
      <w:r>
        <w:rPr>
          <w:color w:val="000000"/>
        </w:rPr>
        <w:t xml:space="preserve"> (Figure 3.43). </w:t>
      </w:r>
      <w:r w:rsidRPr="00B10A31">
        <w:rPr>
          <w:color w:val="000000"/>
        </w:rPr>
        <w:t xml:space="preserve">Frigaard and Dahl, </w:t>
      </w:r>
      <w:r>
        <w:rPr>
          <w:color w:val="000000"/>
        </w:rPr>
        <w:t xml:space="preserve">(2008) mentioned that </w:t>
      </w:r>
      <w:r>
        <w:rPr>
          <w:i/>
          <w:color w:val="000000"/>
        </w:rPr>
        <w:t>C</w:t>
      </w:r>
      <w:r w:rsidRPr="00B10A31">
        <w:rPr>
          <w:i/>
          <w:color w:val="000000"/>
        </w:rPr>
        <w:t>hlorobiaceae</w:t>
      </w:r>
      <w:r w:rsidRPr="00B10A31">
        <w:rPr>
          <w:color w:val="000000"/>
        </w:rPr>
        <w:t xml:space="preserve"> are phototrophic and autotrophic anaerobes </w:t>
      </w:r>
      <w:r>
        <w:rPr>
          <w:color w:val="000000"/>
        </w:rPr>
        <w:t xml:space="preserve">which </w:t>
      </w:r>
      <w:r w:rsidRPr="00B10A31">
        <w:rPr>
          <w:color w:val="000000"/>
        </w:rPr>
        <w:t>exclusively produce the carotenoids isorenieratane (</w:t>
      </w:r>
      <w:r w:rsidRPr="00A8127E">
        <w:rPr>
          <w:b/>
          <w:bCs/>
          <w:color w:val="000000"/>
        </w:rPr>
        <w:t>I</w:t>
      </w:r>
      <w:r>
        <w:rPr>
          <w:color w:val="000000"/>
        </w:rPr>
        <w:t>,</w:t>
      </w:r>
      <w:r w:rsidRPr="00B10A31">
        <w:rPr>
          <w:color w:val="000000"/>
        </w:rPr>
        <w:t xml:space="preserve"> brown strain</w:t>
      </w:r>
      <w:r>
        <w:rPr>
          <w:color w:val="000000"/>
        </w:rPr>
        <w:t>),</w:t>
      </w:r>
      <w:r w:rsidRPr="00B10A31">
        <w:rPr>
          <w:color w:val="000000"/>
        </w:rPr>
        <w:t xml:space="preserve"> chlorobactene (</w:t>
      </w:r>
      <w:r w:rsidRPr="00A8127E">
        <w:rPr>
          <w:b/>
          <w:bCs/>
          <w:color w:val="000000"/>
        </w:rPr>
        <w:t>VI</w:t>
      </w:r>
      <w:r>
        <w:rPr>
          <w:color w:val="000000"/>
        </w:rPr>
        <w:t>,</w:t>
      </w:r>
      <w:r w:rsidRPr="00B10A31">
        <w:rPr>
          <w:color w:val="000000"/>
        </w:rPr>
        <w:t xml:space="preserve"> green strain), paleorenieratane (</w:t>
      </w:r>
      <w:r w:rsidRPr="00A8127E">
        <w:rPr>
          <w:b/>
          <w:bCs/>
          <w:color w:val="000000"/>
        </w:rPr>
        <w:t>II</w:t>
      </w:r>
      <w:r>
        <w:rPr>
          <w:color w:val="000000"/>
        </w:rPr>
        <w:t>,</w:t>
      </w:r>
      <w:r w:rsidRPr="00B10A31">
        <w:rPr>
          <w:color w:val="000000"/>
        </w:rPr>
        <w:t xml:space="preserve"> origin unknown</w:t>
      </w:r>
      <w:r>
        <w:rPr>
          <w:color w:val="000000"/>
        </w:rPr>
        <w:t xml:space="preserve">; </w:t>
      </w:r>
      <w:r w:rsidRPr="00B10A31">
        <w:rPr>
          <w:color w:val="000000"/>
        </w:rPr>
        <w:t xml:space="preserve">see Figure </w:t>
      </w:r>
      <w:r>
        <w:rPr>
          <w:color w:val="000000"/>
        </w:rPr>
        <w:t xml:space="preserve">3.44 </w:t>
      </w:r>
      <w:r w:rsidRPr="00B10A31">
        <w:rPr>
          <w:color w:val="000000"/>
        </w:rPr>
        <w:t>for structures</w:t>
      </w:r>
      <w:r>
        <w:rPr>
          <w:color w:val="000000"/>
        </w:rPr>
        <w:t xml:space="preserve"> by Connock, 2015). </w:t>
      </w:r>
    </w:p>
    <w:p w14:paraId="1BCF271A" w14:textId="5BCA8AB2" w:rsidR="00081C89" w:rsidRDefault="00081C89" w:rsidP="00081C89">
      <w:pPr>
        <w:ind w:firstLine="720"/>
        <w:rPr>
          <w:color w:val="000000"/>
        </w:rPr>
      </w:pPr>
      <w:r w:rsidRPr="00434FDF">
        <w:rPr>
          <w:color w:val="000000"/>
        </w:rPr>
        <w:t>Isorenieratane and other diagenetic products of isorenieratane are excellent proxies for the assessment of past photic zone euxinia</w:t>
      </w:r>
      <w:r>
        <w:rPr>
          <w:color w:val="000000"/>
        </w:rPr>
        <w:t xml:space="preserve"> (PZE)</w:t>
      </w:r>
      <w:r w:rsidRPr="00434FDF">
        <w:rPr>
          <w:color w:val="000000"/>
        </w:rPr>
        <w:t xml:space="preserve"> present in the water column (Summons and Powell, 1986; Sinninghe Damst</w:t>
      </w:r>
      <w:r>
        <w:rPr>
          <w:color w:val="000000"/>
        </w:rPr>
        <w:t>é</w:t>
      </w:r>
      <w:r w:rsidRPr="00434FDF">
        <w:rPr>
          <w:color w:val="000000"/>
        </w:rPr>
        <w:t xml:space="preserve"> </w:t>
      </w:r>
      <w:r>
        <w:rPr>
          <w:color w:val="000000"/>
        </w:rPr>
        <w:t>et al., 1987,  1995;</w:t>
      </w:r>
      <w:r w:rsidRPr="00AA40B1">
        <w:rPr>
          <w:lang w:bidi="en-US"/>
        </w:rPr>
        <w:t xml:space="preserve"> </w:t>
      </w:r>
      <w:r>
        <w:rPr>
          <w:lang w:bidi="en-US"/>
        </w:rPr>
        <w:t>Requejo et al., 1992; Koopmans et al., 1996a and 1996b;</w:t>
      </w:r>
      <w:r w:rsidRPr="00AA40B1">
        <w:rPr>
          <w:color w:val="000000"/>
        </w:rPr>
        <w:t xml:space="preserve"> </w:t>
      </w:r>
      <w:r w:rsidRPr="00B10A31">
        <w:rPr>
          <w:color w:val="000000"/>
        </w:rPr>
        <w:t>Schwark and Frimmel, 2004</w:t>
      </w:r>
      <w:r>
        <w:rPr>
          <w:color w:val="000000"/>
        </w:rPr>
        <w:t xml:space="preserve">; </w:t>
      </w:r>
      <w:r w:rsidRPr="00434FDF">
        <w:rPr>
          <w:color w:val="000000"/>
        </w:rPr>
        <w:t>Sinninghe Damst</w:t>
      </w:r>
      <w:r>
        <w:rPr>
          <w:color w:val="000000"/>
        </w:rPr>
        <w:t>é</w:t>
      </w:r>
      <w:r w:rsidRPr="00434FDF">
        <w:rPr>
          <w:color w:val="000000"/>
        </w:rPr>
        <w:t xml:space="preserve"> and Schouten, 200</w:t>
      </w:r>
      <w:r>
        <w:rPr>
          <w:color w:val="000000"/>
        </w:rPr>
        <w:t>6</w:t>
      </w:r>
      <w:r w:rsidRPr="00434FDF">
        <w:rPr>
          <w:color w:val="000000"/>
        </w:rPr>
        <w:t>)</w:t>
      </w:r>
      <w:r>
        <w:rPr>
          <w:color w:val="000000"/>
        </w:rPr>
        <w:t xml:space="preserve">. These carotenoids </w:t>
      </w:r>
      <w:r w:rsidRPr="00434FDF">
        <w:rPr>
          <w:color w:val="000000"/>
        </w:rPr>
        <w:t>are usually used as indicators of past sedimentary conditions (</w:t>
      </w:r>
      <w:r w:rsidRPr="000F3FAD">
        <w:rPr>
          <w:color w:val="000000"/>
        </w:rPr>
        <w:t xml:space="preserve">Brown and Kenig, 2004; Grice et al., 2005; Marynowski </w:t>
      </w:r>
      <w:r w:rsidR="008D2D40" w:rsidRPr="000F3FAD">
        <w:rPr>
          <w:color w:val="000000"/>
        </w:rPr>
        <w:t>and Filipiak</w:t>
      </w:r>
      <w:r w:rsidRPr="000F3FAD">
        <w:rPr>
          <w:color w:val="000000"/>
        </w:rPr>
        <w:t>, 2007; Hays et al., 2007</w:t>
      </w:r>
      <w:r>
        <w:rPr>
          <w:color w:val="000000"/>
        </w:rPr>
        <w:t xml:space="preserve">; Table 3.7; </w:t>
      </w:r>
      <w:r w:rsidRPr="00B10A31">
        <w:rPr>
          <w:color w:val="000000"/>
        </w:rPr>
        <w:t>Figure</w:t>
      </w:r>
      <w:r>
        <w:rPr>
          <w:color w:val="000000"/>
        </w:rPr>
        <w:t>s</w:t>
      </w:r>
      <w:r w:rsidRPr="00B10A31">
        <w:rPr>
          <w:color w:val="000000"/>
        </w:rPr>
        <w:t xml:space="preserve"> </w:t>
      </w:r>
      <w:r>
        <w:rPr>
          <w:color w:val="000000"/>
        </w:rPr>
        <w:t>3.43 and 3.44</w:t>
      </w:r>
      <w:r w:rsidRPr="00B10A31">
        <w:rPr>
          <w:color w:val="000000"/>
        </w:rPr>
        <w:t>)</w:t>
      </w:r>
      <w:r>
        <w:rPr>
          <w:lang w:bidi="en-US"/>
        </w:rPr>
        <w:t>.</w:t>
      </w:r>
    </w:p>
    <w:p w14:paraId="751BDBD2" w14:textId="5246E2FB" w:rsidR="00081C89" w:rsidRDefault="00081C89" w:rsidP="00081C89">
      <w:pPr>
        <w:ind w:firstLine="720"/>
        <w:rPr>
          <w:color w:val="000000"/>
        </w:rPr>
      </w:pPr>
      <w:r w:rsidRPr="00FC527C">
        <w:rPr>
          <w:color w:val="000000"/>
        </w:rPr>
        <w:t xml:space="preserve">The GSB possesses a unique organelle, the </w:t>
      </w:r>
      <w:r>
        <w:rPr>
          <w:color w:val="000000"/>
        </w:rPr>
        <w:t>c</w:t>
      </w:r>
      <w:r w:rsidRPr="000F3FAD">
        <w:rPr>
          <w:color w:val="000000"/>
        </w:rPr>
        <w:t>hlorosome</w:t>
      </w:r>
      <w:r w:rsidRPr="00FC527C">
        <w:rPr>
          <w:color w:val="000000"/>
        </w:rPr>
        <w:t>, composed of bacteriochlorophyll (Hartgers et al., 1994; Frigaard and Dahl, 2008; Connock et al., 2018</w:t>
      </w:r>
      <w:r w:rsidRPr="000F3FAD">
        <w:rPr>
          <w:color w:val="000000"/>
        </w:rPr>
        <w:t xml:space="preserve">). According to Connock (2015), the </w:t>
      </w:r>
      <w:r w:rsidRPr="000F3FAD">
        <w:rPr>
          <w:iCs/>
          <w:color w:val="000000"/>
        </w:rPr>
        <w:t>chlorosomes</w:t>
      </w:r>
      <w:r w:rsidRPr="000F3FAD">
        <w:rPr>
          <w:color w:val="000000"/>
        </w:rPr>
        <w:t xml:space="preserve"> assist in the proliferation of GSB at extreme depths of the anaerobic photic zone, which was over 300 ft deep for the Woodford Shale in southern Oklahoma.  The development of this deep PZE is proposed in this SR study as an additional indicator of enclosed mini-basin fill settings because the erosion of pre-Woodford strata allowed the development of deep concave down depocenters. These depocenters are silled and these barriers prevented the oxygen recharge by open oceanic water circulations. In mini-basin fill settings, the restriction should have permitted </w:t>
      </w:r>
      <w:r w:rsidRPr="000F3FAD">
        <w:rPr>
          <w:color w:val="000000"/>
        </w:rPr>
        <w:lastRenderedPageBreak/>
        <w:t>thicker chemocline development, which can be identified for the Woodford Shale by analyzing the fluctuations of the PZE conditions (Connock, 2015; Connock et al., 2018).</w:t>
      </w:r>
      <w:r>
        <w:rPr>
          <w:color w:val="000000"/>
        </w:rPr>
        <w:t xml:space="preserve"> Overman et al. (1992) and Overman (2008) mentioned that at extreme depths of the PZE</w:t>
      </w:r>
      <w:r w:rsidR="00450A02">
        <w:rPr>
          <w:color w:val="000000"/>
        </w:rPr>
        <w:t>,</w:t>
      </w:r>
      <w:r>
        <w:rPr>
          <w:color w:val="000000"/>
        </w:rPr>
        <w:t xml:space="preserve"> the light intensities are low, which is essential for the development of</w:t>
      </w:r>
      <w:r w:rsidRPr="00B10A31">
        <w:rPr>
          <w:color w:val="000000"/>
        </w:rPr>
        <w:t xml:space="preserve"> GSB which lack flagella (characteristic of </w:t>
      </w:r>
      <w:r>
        <w:rPr>
          <w:i/>
          <w:color w:val="000000"/>
        </w:rPr>
        <w:t>C</w:t>
      </w:r>
      <w:r w:rsidRPr="00B848DB">
        <w:rPr>
          <w:i/>
          <w:color w:val="000000"/>
        </w:rPr>
        <w:t>hromatiaceae,</w:t>
      </w:r>
      <w:r w:rsidRPr="00B10A31">
        <w:rPr>
          <w:color w:val="000000"/>
        </w:rPr>
        <w:t xml:space="preserve"> purple sulfur bacteria)</w:t>
      </w:r>
      <w:r>
        <w:rPr>
          <w:color w:val="000000"/>
        </w:rPr>
        <w:t>,</w:t>
      </w:r>
      <w:r w:rsidRPr="00B10A31">
        <w:rPr>
          <w:color w:val="000000"/>
        </w:rPr>
        <w:t xml:space="preserve"> and instead utilize gas vacuoles for </w:t>
      </w:r>
      <w:r w:rsidRPr="008154E7">
        <w:rPr>
          <w:color w:val="000000"/>
        </w:rPr>
        <w:t xml:space="preserve">propulsion. </w:t>
      </w:r>
      <w:r>
        <w:rPr>
          <w:color w:val="000000"/>
        </w:rPr>
        <w:t>v</w:t>
      </w:r>
      <w:r w:rsidRPr="008154E7">
        <w:rPr>
          <w:color w:val="000000"/>
        </w:rPr>
        <w:t xml:space="preserve">an Gemerden (1983) and Connock (2015) mentioned that the GSB </w:t>
      </w:r>
      <w:r w:rsidRPr="000F3FAD">
        <w:rPr>
          <w:color w:val="000000"/>
        </w:rPr>
        <w:t>capable light scavengers</w:t>
      </w:r>
      <w:r w:rsidRPr="008154E7">
        <w:rPr>
          <w:color w:val="000000"/>
        </w:rPr>
        <w:t>, require H</w:t>
      </w:r>
      <w:r w:rsidRPr="008154E7">
        <w:rPr>
          <w:color w:val="000000"/>
          <w:vertAlign w:val="subscript"/>
        </w:rPr>
        <w:t>2</w:t>
      </w:r>
      <w:r w:rsidRPr="008154E7">
        <w:rPr>
          <w:color w:val="000000"/>
        </w:rPr>
        <w:t>S</w:t>
      </w:r>
      <w:r w:rsidRPr="00B10A31">
        <w:rPr>
          <w:color w:val="000000"/>
        </w:rPr>
        <w:t xml:space="preserve"> as an electron donor in addition to light to sustain me</w:t>
      </w:r>
      <w:r>
        <w:rPr>
          <w:color w:val="000000"/>
        </w:rPr>
        <w:t xml:space="preserve">tabolic function. </w:t>
      </w:r>
    </w:p>
    <w:p w14:paraId="48CCFD27" w14:textId="77777777" w:rsidR="00081C89" w:rsidRPr="00B10A31" w:rsidRDefault="00081C89" w:rsidP="00081C89">
      <w:pPr>
        <w:ind w:firstLine="720"/>
        <w:rPr>
          <w:color w:val="000000"/>
        </w:rPr>
      </w:pPr>
      <w:r w:rsidRPr="00B10A31">
        <w:rPr>
          <w:color w:val="000000"/>
        </w:rPr>
        <w:t xml:space="preserve">Sirevåg </w:t>
      </w:r>
      <w:r>
        <w:rPr>
          <w:color w:val="000000"/>
        </w:rPr>
        <w:t xml:space="preserve">and Ormerod (1970), </w:t>
      </w:r>
      <w:r w:rsidRPr="00E23397">
        <w:rPr>
          <w:color w:val="000000"/>
        </w:rPr>
        <w:t>Summons and Powell (1986</w:t>
      </w:r>
      <w:r>
        <w:rPr>
          <w:color w:val="000000"/>
        </w:rPr>
        <w:t>), and Connock et al. (2018) emphasized that i</w:t>
      </w:r>
      <w:r w:rsidRPr="00B10A31">
        <w:rPr>
          <w:color w:val="000000"/>
        </w:rPr>
        <w:t xml:space="preserve">n </w:t>
      </w:r>
      <w:r>
        <w:rPr>
          <w:color w:val="000000"/>
        </w:rPr>
        <w:t>the</w:t>
      </w:r>
      <w:r w:rsidRPr="008159E4">
        <w:rPr>
          <w:color w:val="000000"/>
        </w:rPr>
        <w:t xml:space="preserve"> </w:t>
      </w:r>
      <w:r w:rsidRPr="00B10A31">
        <w:rPr>
          <w:color w:val="000000"/>
        </w:rPr>
        <w:t>photosynthe</w:t>
      </w:r>
      <w:r>
        <w:rPr>
          <w:color w:val="000000"/>
        </w:rPr>
        <w:t xml:space="preserve">tic cycle of </w:t>
      </w:r>
      <w:r w:rsidRPr="00B10A31">
        <w:rPr>
          <w:color w:val="000000"/>
        </w:rPr>
        <w:t xml:space="preserve">green sulfur bacteria, </w:t>
      </w:r>
      <w:r>
        <w:rPr>
          <w:color w:val="000000"/>
        </w:rPr>
        <w:t>the molecule of c</w:t>
      </w:r>
      <w:r w:rsidRPr="00B10A31">
        <w:rPr>
          <w:color w:val="000000"/>
        </w:rPr>
        <w:t>arbon is fixed via the reductive tricarboxylic acid cycle (reverse TCA)</w:t>
      </w:r>
      <w:r>
        <w:rPr>
          <w:color w:val="000000"/>
        </w:rPr>
        <w:t>. This reverse TCA results</w:t>
      </w:r>
      <w:r w:rsidRPr="00B10A31">
        <w:rPr>
          <w:color w:val="000000"/>
        </w:rPr>
        <w:t xml:space="preserve"> </w:t>
      </w:r>
      <w:r>
        <w:rPr>
          <w:color w:val="000000"/>
        </w:rPr>
        <w:t xml:space="preserve">in </w:t>
      </w:r>
      <w:r w:rsidRPr="00B10A31">
        <w:rPr>
          <w:color w:val="000000"/>
        </w:rPr>
        <w:t xml:space="preserve">the biomass </w:t>
      </w:r>
      <w:r>
        <w:rPr>
          <w:color w:val="000000"/>
        </w:rPr>
        <w:t xml:space="preserve">becoming </w:t>
      </w:r>
      <w:r w:rsidRPr="00B10A31">
        <w:rPr>
          <w:color w:val="000000"/>
        </w:rPr>
        <w:t xml:space="preserve">enriched in </w:t>
      </w:r>
      <w:r w:rsidRPr="00B10A31">
        <w:rPr>
          <w:color w:val="000000"/>
          <w:vertAlign w:val="superscript"/>
        </w:rPr>
        <w:t>13</w:t>
      </w:r>
      <w:r w:rsidRPr="00B10A31">
        <w:rPr>
          <w:color w:val="000000"/>
        </w:rPr>
        <w:t xml:space="preserve">C </w:t>
      </w:r>
      <w:r>
        <w:rPr>
          <w:color w:val="000000"/>
        </w:rPr>
        <w:t xml:space="preserve">as mentioned by </w:t>
      </w:r>
      <w:r w:rsidRPr="00B10A31">
        <w:rPr>
          <w:color w:val="000000"/>
        </w:rPr>
        <w:t xml:space="preserve">Quandt et al. </w:t>
      </w:r>
      <w:r>
        <w:rPr>
          <w:color w:val="000000"/>
        </w:rPr>
        <w:t>(</w:t>
      </w:r>
      <w:r w:rsidRPr="00B10A31">
        <w:rPr>
          <w:color w:val="000000"/>
        </w:rPr>
        <w:t>1977</w:t>
      </w:r>
      <w:r>
        <w:rPr>
          <w:color w:val="000000"/>
        </w:rPr>
        <w:t>),</w:t>
      </w:r>
      <w:r w:rsidRPr="00B10A31">
        <w:rPr>
          <w:color w:val="000000"/>
        </w:rPr>
        <w:t xml:space="preserve"> Sirevåg</w:t>
      </w:r>
      <w:r>
        <w:rPr>
          <w:color w:val="000000"/>
        </w:rPr>
        <w:t xml:space="preserve"> et al. (1977),  Summons and Powell (1986),</w:t>
      </w:r>
      <w:r w:rsidRPr="00B10A31">
        <w:rPr>
          <w:color w:val="000000"/>
        </w:rPr>
        <w:t xml:space="preserve"> van der Meer et al.</w:t>
      </w:r>
      <w:r>
        <w:rPr>
          <w:color w:val="000000"/>
        </w:rPr>
        <w:t xml:space="preserve"> (</w:t>
      </w:r>
      <w:r w:rsidRPr="00B10A31">
        <w:rPr>
          <w:color w:val="000000"/>
        </w:rPr>
        <w:t>2001</w:t>
      </w:r>
      <w:r>
        <w:rPr>
          <w:color w:val="000000"/>
        </w:rPr>
        <w:t>), and Connock et al. (2018). The GSB</w:t>
      </w:r>
      <w:r w:rsidRPr="00B10A31">
        <w:rPr>
          <w:color w:val="000000"/>
        </w:rPr>
        <w:t xml:space="preserve"> retains </w:t>
      </w:r>
      <w:r>
        <w:rPr>
          <w:color w:val="000000"/>
        </w:rPr>
        <w:t>its</w:t>
      </w:r>
      <w:r w:rsidRPr="00B10A31">
        <w:rPr>
          <w:color w:val="000000"/>
        </w:rPr>
        <w:t xml:space="preserve"> isotopic signature despite structural changes during burial and diagenesis (Grice et al., 1996; Koopmans et al., 1996</w:t>
      </w:r>
      <w:r>
        <w:rPr>
          <w:color w:val="000000"/>
        </w:rPr>
        <w:t>a; Williford et al., 2016; Connock et al., 2018</w:t>
      </w:r>
      <w:r w:rsidRPr="00B10A31">
        <w:rPr>
          <w:color w:val="000000"/>
        </w:rPr>
        <w:t xml:space="preserve">). This isotopic effect assists the correlation of particular biomarkers to the GSB, </w:t>
      </w:r>
      <w:r>
        <w:rPr>
          <w:color w:val="000000"/>
        </w:rPr>
        <w:t xml:space="preserve">and Connock et al. (2018) emphasized that it </w:t>
      </w:r>
      <w:r w:rsidRPr="00B10A31">
        <w:rPr>
          <w:color w:val="000000"/>
        </w:rPr>
        <w:t>is useful from a paleoenvironmental perspective due to the specifi</w:t>
      </w:r>
      <w:r>
        <w:rPr>
          <w:color w:val="000000"/>
        </w:rPr>
        <w:t>c and unique requirements of GSB for the Woodford Shale and the development of PZE and variations in the euxinic conditions</w:t>
      </w:r>
      <w:r w:rsidRPr="00B10A31">
        <w:rPr>
          <w:color w:val="000000"/>
        </w:rPr>
        <w:t>.</w:t>
      </w:r>
      <w:r>
        <w:rPr>
          <w:color w:val="000000"/>
        </w:rPr>
        <w:t xml:space="preserve"> </w:t>
      </w:r>
      <w:r w:rsidRPr="002C7F0E">
        <w:t xml:space="preserve">The basal Woodford </w:t>
      </w:r>
      <w:r>
        <w:t>s</w:t>
      </w:r>
      <w:r w:rsidRPr="002C7F0E">
        <w:t>ea, which was relatively shallow in Oklahoma</w:t>
      </w:r>
      <w:r>
        <w:t xml:space="preserve"> (Comer, 2008)</w:t>
      </w:r>
      <w:r w:rsidRPr="002C7F0E">
        <w:t>, went through periods of restricted circulation, giving way to conditions that would cause PZE (Comer, 2008; Connock, 2015; Jones, 2017)</w:t>
      </w:r>
      <w:r>
        <w:t>, and these PZE conditions are proposed to be persistent in enclosed mini-basin fills systems.</w:t>
      </w:r>
    </w:p>
    <w:p w14:paraId="7B18905D" w14:textId="77777777" w:rsidR="00081C89" w:rsidRPr="00B10A31" w:rsidRDefault="00081C89" w:rsidP="00081C89">
      <w:pPr>
        <w:spacing w:line="240" w:lineRule="auto"/>
        <w:jc w:val="center"/>
        <w:rPr>
          <w:color w:val="000000"/>
        </w:rPr>
      </w:pPr>
      <w:r>
        <w:rPr>
          <w:noProof/>
          <w:color w:val="000000"/>
        </w:rPr>
        <w:lastRenderedPageBreak/>
        <w:drawing>
          <wp:inline distT="0" distB="0" distL="0" distR="0" wp14:anchorId="4FED56F9" wp14:editId="5F2E6692">
            <wp:extent cx="4557395" cy="4010371"/>
            <wp:effectExtent l="0" t="0" r="0" b="9525"/>
            <wp:docPr id="8523" name="Picture 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70056" cy="4021512"/>
                    </a:xfrm>
                    <a:prstGeom prst="rect">
                      <a:avLst/>
                    </a:prstGeom>
                    <a:noFill/>
                  </pic:spPr>
                </pic:pic>
              </a:graphicData>
            </a:graphic>
          </wp:inline>
        </w:drawing>
      </w:r>
    </w:p>
    <w:p w14:paraId="78673FC2" w14:textId="77777777" w:rsidR="00081C89" w:rsidRDefault="00081C89" w:rsidP="00081C89">
      <w:pPr>
        <w:pStyle w:val="Caption"/>
      </w:pPr>
      <w:bookmarkStart w:id="255" w:name="_Toc29308173"/>
      <w:bookmarkStart w:id="256" w:name="_Toc35861229"/>
      <w:r w:rsidRPr="00B10A31">
        <w:rPr>
          <w:b/>
        </w:rPr>
        <w:t xml:space="preserve">Figure </w:t>
      </w:r>
      <w:r>
        <w:rPr>
          <w:b/>
        </w:rPr>
        <w:t>3.43</w:t>
      </w:r>
      <w:r w:rsidRPr="00B10A31">
        <w:rPr>
          <w:b/>
        </w:rPr>
        <w:t xml:space="preserve">. </w:t>
      </w:r>
      <w:r w:rsidRPr="00B10A31">
        <w:t>Water column biological composition and structure during periods of euxinia proposed by Connock (2015).</w:t>
      </w:r>
      <w:r>
        <w:t xml:space="preserve"> Jones (2017) and</w:t>
      </w:r>
      <w:r w:rsidRPr="00B10A31">
        <w:t xml:space="preserve"> </w:t>
      </w:r>
      <w:r>
        <w:t>Connock et al. (2018) mentioned that for the Woodford Shale, t</w:t>
      </w:r>
      <w:r w:rsidRPr="00B10A31">
        <w:t>he invasion of the photic zone by H</w:t>
      </w:r>
      <w:r w:rsidRPr="00B10A31">
        <w:rPr>
          <w:vertAlign w:val="subscript"/>
        </w:rPr>
        <w:t>2</w:t>
      </w:r>
      <w:r w:rsidRPr="00B10A31">
        <w:t xml:space="preserve">S </w:t>
      </w:r>
      <w:r>
        <w:t xml:space="preserve">(PZE) </w:t>
      </w:r>
      <w:r w:rsidRPr="00B10A31">
        <w:t>c</w:t>
      </w:r>
      <w:r>
        <w:t>ould</w:t>
      </w:r>
      <w:r w:rsidRPr="00B10A31">
        <w:t xml:space="preserve"> be identified with the C</w:t>
      </w:r>
      <w:r w:rsidRPr="00B10A31">
        <w:rPr>
          <w:vertAlign w:val="subscript"/>
        </w:rPr>
        <w:t>40</w:t>
      </w:r>
      <w:r w:rsidRPr="00B10A31">
        <w:t xml:space="preserve"> </w:t>
      </w:r>
      <w:r>
        <w:t>c</w:t>
      </w:r>
      <w:r w:rsidRPr="00B10A31">
        <w:t>arotenoids.</w:t>
      </w:r>
      <w:r>
        <w:t xml:space="preserve"> The persistent PZE conditions are proposed to be indicators of enclosed mini-basin fills for the SR.</w:t>
      </w:r>
      <w:bookmarkEnd w:id="255"/>
      <w:bookmarkEnd w:id="256"/>
      <w:r>
        <w:t xml:space="preserve"> </w:t>
      </w:r>
    </w:p>
    <w:p w14:paraId="2C05FEF9" w14:textId="77777777" w:rsidR="00081C89" w:rsidRDefault="00081C89" w:rsidP="00081C89">
      <w:pPr>
        <w:spacing w:after="0"/>
        <w:rPr>
          <w:lang w:bidi="en-US"/>
        </w:rPr>
      </w:pPr>
    </w:p>
    <w:p w14:paraId="7D1355EB" w14:textId="047EA3E9" w:rsidR="00081C89" w:rsidRDefault="00081C89" w:rsidP="00081C89">
      <w:pPr>
        <w:ind w:firstLine="720"/>
        <w:rPr>
          <w:color w:val="000000"/>
        </w:rPr>
      </w:pPr>
      <w:r>
        <w:rPr>
          <w:lang w:bidi="en-US"/>
        </w:rPr>
        <w:t>Aryl isoprenoids are generally proposed to be derived from isorenieratane similarly to the C</w:t>
      </w:r>
      <w:r w:rsidRPr="00977278">
        <w:rPr>
          <w:vertAlign w:val="subscript"/>
          <w:lang w:bidi="en-US"/>
        </w:rPr>
        <w:t>40</w:t>
      </w:r>
      <w:r>
        <w:rPr>
          <w:lang w:bidi="en-US"/>
        </w:rPr>
        <w:t xml:space="preserve"> carotenoids (Summons and Powell, 1987; Brown and Kenig, 2004; Schwark and Frimmel, 2004; </w:t>
      </w:r>
      <w:r w:rsidRPr="00434FDF">
        <w:rPr>
          <w:color w:val="000000"/>
        </w:rPr>
        <w:t>Widayat</w:t>
      </w:r>
      <w:r>
        <w:rPr>
          <w:color w:val="000000"/>
        </w:rPr>
        <w:t xml:space="preserve">, </w:t>
      </w:r>
      <w:r w:rsidRPr="00434FDF">
        <w:rPr>
          <w:color w:val="000000"/>
        </w:rPr>
        <w:t>2011</w:t>
      </w:r>
      <w:r>
        <w:rPr>
          <w:color w:val="000000"/>
        </w:rPr>
        <w:t>; Widayat et al., 2016</w:t>
      </w:r>
      <w:r w:rsidRPr="00434FDF">
        <w:rPr>
          <w:color w:val="000000"/>
        </w:rPr>
        <w:t>)</w:t>
      </w:r>
      <w:r>
        <w:rPr>
          <w:color w:val="000000"/>
        </w:rPr>
        <w:t>.</w:t>
      </w:r>
      <w:r w:rsidRPr="00434FDF">
        <w:rPr>
          <w:color w:val="000000"/>
        </w:rPr>
        <w:t xml:space="preserve"> </w:t>
      </w:r>
      <w:r w:rsidRPr="00977278">
        <w:rPr>
          <w:lang w:bidi="en-US"/>
        </w:rPr>
        <w:t xml:space="preserve">The distribution and identification of aryl isoprenoids and carotenoids using the m/z 133 and m/z 134 ions </w:t>
      </w:r>
      <w:r>
        <w:rPr>
          <w:lang w:bidi="en-US"/>
        </w:rPr>
        <w:t xml:space="preserve">in previous studies </w:t>
      </w:r>
      <w:r w:rsidRPr="00977278">
        <w:rPr>
          <w:lang w:bidi="en-US"/>
        </w:rPr>
        <w:t>are shown in Figure 3.4</w:t>
      </w:r>
      <w:r>
        <w:rPr>
          <w:lang w:bidi="en-US"/>
        </w:rPr>
        <w:t>5</w:t>
      </w:r>
      <w:r w:rsidRPr="00977278">
        <w:rPr>
          <w:lang w:bidi="en-US"/>
        </w:rPr>
        <w:t xml:space="preserve"> (Marynowski and Filipiak, 2007)</w:t>
      </w:r>
      <w:r>
        <w:rPr>
          <w:lang w:bidi="en-US"/>
        </w:rPr>
        <w:t xml:space="preserve">. </w:t>
      </w:r>
      <w:r w:rsidRPr="00977278">
        <w:rPr>
          <w:lang w:bidi="en-US"/>
        </w:rPr>
        <w:t>The identification of aryl isoprenoids and carotenoids</w:t>
      </w:r>
      <w:r>
        <w:rPr>
          <w:lang w:bidi="en-US"/>
        </w:rPr>
        <w:t xml:space="preserve"> in</w:t>
      </w:r>
      <w:r w:rsidRPr="00977278">
        <w:rPr>
          <w:lang w:bidi="en-US"/>
        </w:rPr>
        <w:t xml:space="preserve"> the </w:t>
      </w:r>
      <w:r>
        <w:rPr>
          <w:lang w:bidi="en-US"/>
        </w:rPr>
        <w:t>SR</w:t>
      </w:r>
      <w:r w:rsidRPr="00977278">
        <w:rPr>
          <w:lang w:bidi="en-US"/>
        </w:rPr>
        <w:t xml:space="preserve"> in Figure 3.4</w:t>
      </w:r>
      <w:r>
        <w:rPr>
          <w:lang w:bidi="en-US"/>
        </w:rPr>
        <w:t xml:space="preserve">6 - </w:t>
      </w:r>
      <w:r w:rsidRPr="00977278">
        <w:rPr>
          <w:lang w:bidi="en-US"/>
        </w:rPr>
        <w:t>3.4</w:t>
      </w:r>
      <w:r>
        <w:rPr>
          <w:lang w:bidi="en-US"/>
        </w:rPr>
        <w:t>8</w:t>
      </w:r>
      <w:r w:rsidRPr="00977278">
        <w:rPr>
          <w:lang w:bidi="en-US"/>
        </w:rPr>
        <w:t xml:space="preserve">. </w:t>
      </w:r>
      <w:r>
        <w:rPr>
          <w:lang w:bidi="en-US"/>
        </w:rPr>
        <w:t>For the SR</w:t>
      </w:r>
      <w:r w:rsidR="00450A02">
        <w:rPr>
          <w:lang w:bidi="en-US"/>
        </w:rPr>
        <w:t>,</w:t>
      </w:r>
      <w:r>
        <w:rPr>
          <w:lang w:bidi="en-US"/>
        </w:rPr>
        <w:t xml:space="preserve"> t</w:t>
      </w:r>
      <w:r w:rsidRPr="00977278">
        <w:rPr>
          <w:lang w:bidi="en-US"/>
        </w:rPr>
        <w:t>he C</w:t>
      </w:r>
      <w:r w:rsidRPr="00977278">
        <w:rPr>
          <w:vertAlign w:val="subscript"/>
          <w:lang w:bidi="en-US"/>
        </w:rPr>
        <w:t>13</w:t>
      </w:r>
      <w:r w:rsidRPr="00977278">
        <w:rPr>
          <w:lang w:bidi="en-US"/>
        </w:rPr>
        <w:t>-C</w:t>
      </w:r>
      <w:r w:rsidRPr="00977278">
        <w:rPr>
          <w:vertAlign w:val="subscript"/>
          <w:lang w:bidi="en-US"/>
        </w:rPr>
        <w:t>31</w:t>
      </w:r>
      <w:r w:rsidRPr="00BF3165">
        <w:rPr>
          <w:lang w:bidi="en-US"/>
        </w:rPr>
        <w:t>, t</w:t>
      </w:r>
      <w:r w:rsidRPr="00977278">
        <w:rPr>
          <w:lang w:bidi="en-US"/>
        </w:rPr>
        <w:t>he C</w:t>
      </w:r>
      <w:r w:rsidRPr="00977278">
        <w:rPr>
          <w:vertAlign w:val="subscript"/>
          <w:lang w:bidi="en-US"/>
        </w:rPr>
        <w:t>32</w:t>
      </w:r>
      <w:r w:rsidRPr="00977278">
        <w:rPr>
          <w:lang w:bidi="en-US"/>
        </w:rPr>
        <w:t>+ aryl isoprenoids</w:t>
      </w:r>
      <w:r>
        <w:rPr>
          <w:lang w:bidi="en-US"/>
        </w:rPr>
        <w:t>,</w:t>
      </w:r>
      <w:r w:rsidRPr="00977278">
        <w:rPr>
          <w:lang w:bidi="en-US"/>
        </w:rPr>
        <w:t xml:space="preserve"> and C</w:t>
      </w:r>
      <w:r w:rsidRPr="00977278">
        <w:rPr>
          <w:vertAlign w:val="subscript"/>
          <w:lang w:bidi="en-US"/>
        </w:rPr>
        <w:t>40</w:t>
      </w:r>
      <w:r w:rsidRPr="00977278">
        <w:rPr>
          <w:lang w:bidi="en-US"/>
        </w:rPr>
        <w:t xml:space="preserve"> carotenoids appear in the aromatic fraction</w:t>
      </w:r>
      <w:r>
        <w:rPr>
          <w:lang w:bidi="en-US"/>
        </w:rPr>
        <w:t xml:space="preserve">s </w:t>
      </w:r>
      <w:r w:rsidRPr="00977278">
        <w:rPr>
          <w:lang w:bidi="en-US"/>
        </w:rPr>
        <w:t>(Figure 3.4</w:t>
      </w:r>
      <w:r>
        <w:rPr>
          <w:lang w:bidi="en-US"/>
        </w:rPr>
        <w:t>6</w:t>
      </w:r>
      <w:r w:rsidRPr="00977278">
        <w:rPr>
          <w:lang w:bidi="en-US"/>
        </w:rPr>
        <w:t xml:space="preserve"> and Figure 3.4</w:t>
      </w:r>
      <w:r>
        <w:rPr>
          <w:lang w:bidi="en-US"/>
        </w:rPr>
        <w:t>7</w:t>
      </w:r>
      <w:r w:rsidRPr="00977278">
        <w:rPr>
          <w:lang w:bidi="en-US"/>
        </w:rPr>
        <w:t>)</w:t>
      </w:r>
      <w:r>
        <w:rPr>
          <w:lang w:bidi="en-US"/>
        </w:rPr>
        <w:t>.</w:t>
      </w:r>
    </w:p>
    <w:p w14:paraId="69D412CD" w14:textId="77777777" w:rsidR="00081C89" w:rsidRPr="00B10A31" w:rsidRDefault="00081C89" w:rsidP="00081C89">
      <w:pPr>
        <w:spacing w:after="0"/>
        <w:jc w:val="center"/>
        <w:rPr>
          <w:color w:val="000000"/>
        </w:rPr>
      </w:pPr>
      <w:r>
        <w:rPr>
          <w:noProof/>
          <w:color w:val="000000"/>
        </w:rPr>
        <w:lastRenderedPageBreak/>
        <w:drawing>
          <wp:inline distT="0" distB="0" distL="0" distR="0" wp14:anchorId="1221E042" wp14:editId="38A50910">
            <wp:extent cx="4102735" cy="4846955"/>
            <wp:effectExtent l="0" t="0" r="0" b="0"/>
            <wp:docPr id="8524" name="Picture 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02735" cy="4846955"/>
                    </a:xfrm>
                    <a:prstGeom prst="rect">
                      <a:avLst/>
                    </a:prstGeom>
                    <a:noFill/>
                  </pic:spPr>
                </pic:pic>
              </a:graphicData>
            </a:graphic>
          </wp:inline>
        </w:drawing>
      </w:r>
    </w:p>
    <w:p w14:paraId="07E23B30" w14:textId="77777777" w:rsidR="00081C89" w:rsidRDefault="00081C89" w:rsidP="00081C89">
      <w:pPr>
        <w:pStyle w:val="Caption"/>
        <w:jc w:val="center"/>
      </w:pPr>
      <w:bookmarkStart w:id="257" w:name="_Toc29308174"/>
      <w:bookmarkStart w:id="258" w:name="_Toc35861230"/>
      <w:r w:rsidRPr="00B10A31">
        <w:rPr>
          <w:b/>
        </w:rPr>
        <w:t xml:space="preserve">Figure </w:t>
      </w:r>
      <w:r>
        <w:rPr>
          <w:b/>
        </w:rPr>
        <w:t>3.44</w:t>
      </w:r>
      <w:r w:rsidRPr="00B10A31">
        <w:rPr>
          <w:b/>
        </w:rPr>
        <w:t xml:space="preserve">. </w:t>
      </w:r>
      <w:r w:rsidRPr="00B10A31">
        <w:t>C</w:t>
      </w:r>
      <w:r w:rsidRPr="00B10A31">
        <w:rPr>
          <w:vertAlign w:val="subscript"/>
        </w:rPr>
        <w:t>40</w:t>
      </w:r>
      <w:r w:rsidRPr="00B10A31">
        <w:t xml:space="preserve"> carotenoid molecular structure</w:t>
      </w:r>
      <w:r>
        <w:t xml:space="preserve">. From Connock, </w:t>
      </w:r>
      <w:r w:rsidRPr="00B10A31">
        <w:t>2015.</w:t>
      </w:r>
      <w:bookmarkEnd w:id="257"/>
      <w:bookmarkEnd w:id="258"/>
    </w:p>
    <w:p w14:paraId="0D054575" w14:textId="77777777" w:rsidR="00081C89" w:rsidRPr="001C4392" w:rsidRDefault="00081C89" w:rsidP="00081C89">
      <w:pPr>
        <w:spacing w:after="0"/>
        <w:rPr>
          <w:lang w:bidi="en-US"/>
        </w:rPr>
      </w:pPr>
    </w:p>
    <w:p w14:paraId="1E4642A4" w14:textId="0962C444" w:rsidR="00081C89" w:rsidRPr="00C51899" w:rsidRDefault="00081C89" w:rsidP="00081C89">
      <w:pPr>
        <w:ind w:firstLine="720"/>
      </w:pPr>
      <w:r w:rsidRPr="007C6DD5">
        <w:rPr>
          <w:color w:val="000000"/>
        </w:rPr>
        <w:t>The 2,3,6</w:t>
      </w:r>
      <w:r>
        <w:rPr>
          <w:color w:val="000000"/>
        </w:rPr>
        <w:t xml:space="preserve"> </w:t>
      </w:r>
      <w:r w:rsidRPr="007C6DD5">
        <w:rPr>
          <w:color w:val="000000"/>
        </w:rPr>
        <w:t>trimethyl</w:t>
      </w:r>
      <w:r>
        <w:rPr>
          <w:color w:val="000000"/>
        </w:rPr>
        <w:t>-</w:t>
      </w:r>
      <w:r w:rsidRPr="007C6DD5">
        <w:rPr>
          <w:color w:val="000000"/>
        </w:rPr>
        <w:t>substituted aryl isoprenoids (m/z 133) are derived from both β-isorenieratane and β-carotan</w:t>
      </w:r>
      <w:r>
        <w:rPr>
          <w:color w:val="000000"/>
        </w:rPr>
        <w:t>e</w:t>
      </w:r>
      <w:r w:rsidRPr="007C6DD5">
        <w:rPr>
          <w:color w:val="000000"/>
        </w:rPr>
        <w:t>, which come from green sulfur bacteria and cyanobacteria, respectively</w:t>
      </w:r>
      <w:r>
        <w:rPr>
          <w:color w:val="000000"/>
        </w:rPr>
        <w:t xml:space="preserve"> (</w:t>
      </w:r>
      <w:r w:rsidRPr="007C6DD5">
        <w:rPr>
          <w:color w:val="000000"/>
        </w:rPr>
        <w:t>Koopmans et</w:t>
      </w:r>
      <w:r>
        <w:rPr>
          <w:color w:val="000000"/>
        </w:rPr>
        <w:t xml:space="preserve"> al.</w:t>
      </w:r>
      <w:r w:rsidRPr="007C6DD5">
        <w:rPr>
          <w:color w:val="000000"/>
        </w:rPr>
        <w:t>, 1996</w:t>
      </w:r>
      <w:r>
        <w:rPr>
          <w:color w:val="000000"/>
        </w:rPr>
        <w:t>a</w:t>
      </w:r>
      <w:r w:rsidRPr="007C6DD5">
        <w:rPr>
          <w:color w:val="000000"/>
        </w:rPr>
        <w:t>; Brown and Kenig, 2004</w:t>
      </w:r>
      <w:r>
        <w:rPr>
          <w:color w:val="000000"/>
        </w:rPr>
        <w:t>)</w:t>
      </w:r>
      <w:r w:rsidRPr="007C6DD5">
        <w:rPr>
          <w:color w:val="000000"/>
        </w:rPr>
        <w:t>. The 3,4,5</w:t>
      </w:r>
      <w:r>
        <w:rPr>
          <w:color w:val="000000"/>
        </w:rPr>
        <w:t xml:space="preserve"> </w:t>
      </w:r>
      <w:r w:rsidRPr="007C6DD5">
        <w:rPr>
          <w:color w:val="000000"/>
        </w:rPr>
        <w:t>trimethyl</w:t>
      </w:r>
      <w:r>
        <w:rPr>
          <w:color w:val="000000"/>
        </w:rPr>
        <w:t>-</w:t>
      </w:r>
      <w:r w:rsidRPr="007C6DD5">
        <w:rPr>
          <w:color w:val="000000"/>
        </w:rPr>
        <w:t xml:space="preserve">substituted aryl isoprenoids are derived solely from isorenieratane from </w:t>
      </w:r>
      <w:r>
        <w:rPr>
          <w:i/>
          <w:color w:val="000000"/>
        </w:rPr>
        <w:t>C</w:t>
      </w:r>
      <w:r w:rsidRPr="0043795D">
        <w:rPr>
          <w:i/>
          <w:color w:val="000000"/>
        </w:rPr>
        <w:t>hlorobiaceae</w:t>
      </w:r>
      <w:r w:rsidRPr="007C6DD5">
        <w:rPr>
          <w:color w:val="000000"/>
        </w:rPr>
        <w:t xml:space="preserve"> and therefore make for a more direct indicator of euxinia (</w:t>
      </w:r>
      <w:r w:rsidRPr="00B10A31">
        <w:rPr>
          <w:color w:val="000000"/>
        </w:rPr>
        <w:t>Summons and Powell, 198</w:t>
      </w:r>
      <w:r>
        <w:rPr>
          <w:color w:val="000000"/>
        </w:rPr>
        <w:t xml:space="preserve">7; </w:t>
      </w:r>
      <w:r w:rsidRPr="007C6DD5">
        <w:rPr>
          <w:color w:val="000000"/>
        </w:rPr>
        <w:t>Koopmans et</w:t>
      </w:r>
      <w:r>
        <w:rPr>
          <w:color w:val="000000"/>
        </w:rPr>
        <w:t xml:space="preserve"> al.</w:t>
      </w:r>
      <w:r w:rsidRPr="007C6DD5">
        <w:rPr>
          <w:color w:val="000000"/>
        </w:rPr>
        <w:t>, 1996</w:t>
      </w:r>
      <w:r>
        <w:rPr>
          <w:color w:val="000000"/>
        </w:rPr>
        <w:t>a</w:t>
      </w:r>
      <w:r w:rsidRPr="007C6DD5">
        <w:rPr>
          <w:color w:val="000000"/>
        </w:rPr>
        <w:t xml:space="preserve">; Brown and Kenig, 2004; Miceli-Romero and Philp, 2012). </w:t>
      </w:r>
      <w:r>
        <w:t xml:space="preserve">The identification of the </w:t>
      </w:r>
      <w:r w:rsidRPr="007C6DD5">
        <w:rPr>
          <w:color w:val="000000"/>
        </w:rPr>
        <w:t>2,3,6</w:t>
      </w:r>
      <w:r>
        <w:rPr>
          <w:color w:val="000000"/>
        </w:rPr>
        <w:t xml:space="preserve"> </w:t>
      </w:r>
      <w:r w:rsidRPr="007C6DD5">
        <w:rPr>
          <w:color w:val="000000"/>
        </w:rPr>
        <w:t>trimethyl</w:t>
      </w:r>
      <w:r>
        <w:rPr>
          <w:color w:val="000000"/>
        </w:rPr>
        <w:t>-</w:t>
      </w:r>
      <w:r>
        <w:rPr>
          <w:color w:val="000000"/>
        </w:rPr>
        <w:lastRenderedPageBreak/>
        <w:t xml:space="preserve">substituted and </w:t>
      </w:r>
      <w:r w:rsidRPr="007C6DD5">
        <w:rPr>
          <w:color w:val="000000"/>
        </w:rPr>
        <w:t>3,4,5</w:t>
      </w:r>
      <w:r>
        <w:rPr>
          <w:color w:val="000000"/>
        </w:rPr>
        <w:t xml:space="preserve"> </w:t>
      </w:r>
      <w:r w:rsidRPr="007C6DD5">
        <w:rPr>
          <w:color w:val="000000"/>
        </w:rPr>
        <w:t>trimethyl</w:t>
      </w:r>
      <w:r>
        <w:rPr>
          <w:color w:val="000000"/>
        </w:rPr>
        <w:t>-substituted aryl isoprenoids</w:t>
      </w:r>
      <w:r w:rsidRPr="00C51899">
        <w:t xml:space="preserve">, </w:t>
      </w:r>
      <w:r>
        <w:t>as</w:t>
      </w:r>
      <w:r w:rsidRPr="00C51899">
        <w:t xml:space="preserve"> derived from these bacteria</w:t>
      </w:r>
      <w:r w:rsidR="00450A02">
        <w:t>,</w:t>
      </w:r>
      <w:r w:rsidRPr="00C51899">
        <w:t xml:space="preserve"> can be specific indicators of photic zone anoxia (PZA; Schwark and Frimmel, 2004).</w:t>
      </w:r>
    </w:p>
    <w:p w14:paraId="08775CB5" w14:textId="72161F95" w:rsidR="00081C89" w:rsidRDefault="00081C89" w:rsidP="00081C89">
      <w:pPr>
        <w:ind w:firstLine="720"/>
        <w:rPr>
          <w:color w:val="000000"/>
        </w:rPr>
      </w:pPr>
      <w:r w:rsidRPr="007C6DD5">
        <w:rPr>
          <w:color w:val="000000"/>
        </w:rPr>
        <w:t>The aryl isoprenoid ratio (</w:t>
      </w:r>
      <w:r>
        <w:rPr>
          <w:color w:val="000000"/>
        </w:rPr>
        <w:t xml:space="preserve">AIR: </w:t>
      </w:r>
      <w:r w:rsidRPr="007C6DD5">
        <w:rPr>
          <w:color w:val="000000"/>
        </w:rPr>
        <w:t>2,3,6/3,4,5</w:t>
      </w:r>
      <w:r>
        <w:rPr>
          <w:color w:val="000000"/>
        </w:rPr>
        <w:t xml:space="preserve"> </w:t>
      </w:r>
      <w:r w:rsidRPr="007C6DD5">
        <w:rPr>
          <w:color w:val="000000"/>
        </w:rPr>
        <w:t>trimethyl</w:t>
      </w:r>
      <w:r>
        <w:rPr>
          <w:color w:val="000000"/>
        </w:rPr>
        <w:t>-substituted aryl isoprenoids; Figure 3.46 and Figure 3.47</w:t>
      </w:r>
      <w:r w:rsidRPr="007C6DD5">
        <w:rPr>
          <w:color w:val="000000"/>
        </w:rPr>
        <w:t xml:space="preserve">) can be utilized to assess relative amounts of aryl isoprenoids from </w:t>
      </w:r>
      <w:r>
        <w:rPr>
          <w:i/>
          <w:color w:val="000000"/>
        </w:rPr>
        <w:t>C</w:t>
      </w:r>
      <w:r w:rsidRPr="00C111C4">
        <w:rPr>
          <w:i/>
          <w:color w:val="000000"/>
        </w:rPr>
        <w:t>hlorobiaceae,</w:t>
      </w:r>
      <w:r w:rsidRPr="007C6DD5">
        <w:rPr>
          <w:color w:val="000000"/>
        </w:rPr>
        <w:t xml:space="preserve"> where lower values correspond with more green sulfur bacteria input, as opposed to cyanobacteria input</w:t>
      </w:r>
      <w:r>
        <w:rPr>
          <w:color w:val="000000"/>
        </w:rPr>
        <w:t xml:space="preserve"> (</w:t>
      </w:r>
      <w:r w:rsidRPr="00C51899">
        <w:t>Schwark and Frimmel, 2004</w:t>
      </w:r>
      <w:r>
        <w:t xml:space="preserve">; </w:t>
      </w:r>
      <w:r>
        <w:rPr>
          <w:color w:val="000000"/>
        </w:rPr>
        <w:t>Marynowski and Filipiak, 2007)</w:t>
      </w:r>
      <w:r w:rsidRPr="007C6DD5">
        <w:rPr>
          <w:color w:val="000000"/>
        </w:rPr>
        <w:t xml:space="preserve">. </w:t>
      </w:r>
      <w:r w:rsidRPr="0050217B">
        <w:rPr>
          <w:color w:val="000000"/>
        </w:rPr>
        <w:t>Schwark and Frimmel (2004) introduced this ratio by analyzing the proportions of the short-chain (C</w:t>
      </w:r>
      <w:r w:rsidRPr="000F3FAD">
        <w:rPr>
          <w:color w:val="000000"/>
          <w:vertAlign w:val="subscript"/>
        </w:rPr>
        <w:t>13</w:t>
      </w:r>
      <w:r w:rsidRPr="0050217B">
        <w:rPr>
          <w:color w:val="000000"/>
        </w:rPr>
        <w:t>-C</w:t>
      </w:r>
      <w:r w:rsidRPr="000F3FAD">
        <w:rPr>
          <w:color w:val="000000"/>
          <w:vertAlign w:val="subscript"/>
        </w:rPr>
        <w:t>17</w:t>
      </w:r>
      <w:r w:rsidRPr="0050217B">
        <w:rPr>
          <w:color w:val="000000"/>
        </w:rPr>
        <w:t>) and intermediate-chain (C</w:t>
      </w:r>
      <w:r w:rsidRPr="000F3FAD">
        <w:rPr>
          <w:color w:val="000000"/>
          <w:vertAlign w:val="subscript"/>
        </w:rPr>
        <w:t>18</w:t>
      </w:r>
      <w:r w:rsidRPr="0050217B">
        <w:rPr>
          <w:color w:val="000000"/>
        </w:rPr>
        <w:t>-C</w:t>
      </w:r>
      <w:r w:rsidRPr="000F3FAD">
        <w:rPr>
          <w:color w:val="000000"/>
          <w:vertAlign w:val="subscript"/>
        </w:rPr>
        <w:t>22</w:t>
      </w:r>
      <w:r w:rsidRPr="0050217B">
        <w:rPr>
          <w:color w:val="000000"/>
        </w:rPr>
        <w:t xml:space="preserve">) aryl isoprenoids. High AIR (3.0) </w:t>
      </w:r>
      <w:r w:rsidR="00450A02">
        <w:rPr>
          <w:color w:val="000000"/>
        </w:rPr>
        <w:t>is</w:t>
      </w:r>
      <w:r w:rsidRPr="0050217B">
        <w:rPr>
          <w:color w:val="000000"/>
        </w:rPr>
        <w:t xml:space="preserve"> associated with episodic PZA, which leads to alteration of the long- and intermediate-chain aryl isoprenoids. On the contrary, low AIR (0.5) indicates persistent PZA, which contributes to </w:t>
      </w:r>
      <w:r w:rsidR="00450A02">
        <w:rPr>
          <w:color w:val="000000"/>
        </w:rPr>
        <w:t xml:space="preserve">the </w:t>
      </w:r>
      <w:r w:rsidRPr="0050217B">
        <w:rPr>
          <w:color w:val="000000"/>
        </w:rPr>
        <w:t>preservation of the long-chain aryl isoprenoids (Schwark and Frimmel, 2004</w:t>
      </w:r>
      <w:r>
        <w:rPr>
          <w:color w:val="000000"/>
        </w:rPr>
        <w:t>; Miceli-Romero and Philp, 2012</w:t>
      </w:r>
      <w:r w:rsidRPr="0050217B">
        <w:rPr>
          <w:color w:val="000000"/>
        </w:rPr>
        <w:t>).</w:t>
      </w:r>
      <w:r>
        <w:rPr>
          <w:color w:val="000000"/>
        </w:rPr>
        <w:t xml:space="preserve"> </w:t>
      </w:r>
      <w:r w:rsidRPr="007C6DD5">
        <w:rPr>
          <w:color w:val="000000"/>
        </w:rPr>
        <w:t xml:space="preserve">Usually, a lower value </w:t>
      </w:r>
      <w:r>
        <w:rPr>
          <w:color w:val="000000"/>
        </w:rPr>
        <w:t xml:space="preserve">of AIR </w:t>
      </w:r>
      <w:r w:rsidRPr="007C6DD5">
        <w:rPr>
          <w:color w:val="000000"/>
        </w:rPr>
        <w:t>corresponds to more anoxic conditions and lower Pr/Ph ratios (</w:t>
      </w:r>
      <w:r w:rsidRPr="00C51899">
        <w:t>Schwark and Frimmel, 200</w:t>
      </w:r>
      <w:r>
        <w:rPr>
          <w:color w:val="000000"/>
        </w:rPr>
        <w:t>4).</w:t>
      </w:r>
      <w:r w:rsidRPr="007C6DD5">
        <w:rPr>
          <w:color w:val="000000"/>
        </w:rPr>
        <w:t xml:space="preserve"> </w:t>
      </w:r>
      <w:r>
        <w:rPr>
          <w:color w:val="000000"/>
        </w:rPr>
        <w:t xml:space="preserve"> </w:t>
      </w:r>
      <w:r w:rsidRPr="007C6DD5">
        <w:rPr>
          <w:color w:val="000000"/>
        </w:rPr>
        <w:t>A depth plot of 3,4,5</w:t>
      </w:r>
      <w:r>
        <w:rPr>
          <w:color w:val="000000"/>
        </w:rPr>
        <w:t xml:space="preserve"> </w:t>
      </w:r>
      <w:r w:rsidRPr="007C6DD5">
        <w:rPr>
          <w:color w:val="000000"/>
        </w:rPr>
        <w:t>trimethyl-substituted aryl isoprenoids, 2,3,6</w:t>
      </w:r>
      <w:r>
        <w:rPr>
          <w:color w:val="000000"/>
        </w:rPr>
        <w:t xml:space="preserve"> </w:t>
      </w:r>
      <w:r w:rsidRPr="007C6DD5">
        <w:rPr>
          <w:color w:val="000000"/>
        </w:rPr>
        <w:t>trimethyl</w:t>
      </w:r>
      <w:r>
        <w:rPr>
          <w:color w:val="000000"/>
        </w:rPr>
        <w:t>-substituted</w:t>
      </w:r>
      <w:r w:rsidRPr="007C6DD5">
        <w:rPr>
          <w:color w:val="000000"/>
        </w:rPr>
        <w:t xml:space="preserve"> aryl isoprenoids, and </w:t>
      </w:r>
      <w:r>
        <w:rPr>
          <w:color w:val="000000"/>
        </w:rPr>
        <w:t xml:space="preserve">the </w:t>
      </w:r>
      <w:r w:rsidRPr="007C6DD5">
        <w:rPr>
          <w:color w:val="000000"/>
        </w:rPr>
        <w:t>total sum of aryl isoprenoids demonstrate similar covariations from the base of the outcrop (Figure 3</w:t>
      </w:r>
      <w:r>
        <w:rPr>
          <w:color w:val="000000"/>
        </w:rPr>
        <w:t>.48</w:t>
      </w:r>
      <w:r w:rsidRPr="007C6DD5">
        <w:rPr>
          <w:color w:val="000000"/>
        </w:rPr>
        <w:t>). This may imply that the source of the 2,3,6</w:t>
      </w:r>
      <w:r>
        <w:rPr>
          <w:color w:val="000000"/>
        </w:rPr>
        <w:t xml:space="preserve"> </w:t>
      </w:r>
      <w:r w:rsidRPr="007C6DD5">
        <w:rPr>
          <w:color w:val="000000"/>
        </w:rPr>
        <w:t>trimethyl</w:t>
      </w:r>
      <w:r>
        <w:rPr>
          <w:color w:val="000000"/>
        </w:rPr>
        <w:t xml:space="preserve">-substituted </w:t>
      </w:r>
      <w:r w:rsidRPr="007C6DD5">
        <w:rPr>
          <w:color w:val="000000"/>
        </w:rPr>
        <w:t>aryl isoprenoids in the zone that covaries may also be mainly from isorenieratane and</w:t>
      </w:r>
      <w:r>
        <w:rPr>
          <w:color w:val="000000"/>
        </w:rPr>
        <w:t>,</w:t>
      </w:r>
      <w:r w:rsidRPr="007C6DD5">
        <w:rPr>
          <w:color w:val="000000"/>
        </w:rPr>
        <w:t xml:space="preserve"> therefore</w:t>
      </w:r>
      <w:r>
        <w:rPr>
          <w:color w:val="000000"/>
        </w:rPr>
        <w:t>,</w:t>
      </w:r>
      <w:r w:rsidRPr="007C6DD5">
        <w:rPr>
          <w:color w:val="000000"/>
        </w:rPr>
        <w:t xml:space="preserve"> a sign of PZE. </w:t>
      </w:r>
    </w:p>
    <w:p w14:paraId="662C3809" w14:textId="77777777" w:rsidR="00081C89" w:rsidRDefault="00081C89" w:rsidP="00081C89">
      <w:pPr>
        <w:ind w:firstLine="720"/>
        <w:rPr>
          <w:color w:val="000000"/>
        </w:rPr>
      </w:pPr>
      <w:r w:rsidRPr="007C6DD5">
        <w:rPr>
          <w:color w:val="000000"/>
        </w:rPr>
        <w:t>Previous AIR calculations</w:t>
      </w:r>
      <w:r>
        <w:rPr>
          <w:color w:val="000000"/>
        </w:rPr>
        <w:t xml:space="preserve"> for the Woodford Shale</w:t>
      </w:r>
      <w:r w:rsidRPr="007C6DD5">
        <w:rPr>
          <w:color w:val="000000"/>
        </w:rPr>
        <w:t xml:space="preserve"> have also </w:t>
      </w:r>
      <w:r>
        <w:rPr>
          <w:color w:val="000000"/>
        </w:rPr>
        <w:t>encountered</w:t>
      </w:r>
      <w:r w:rsidRPr="007C6DD5">
        <w:rPr>
          <w:color w:val="000000"/>
        </w:rPr>
        <w:t xml:space="preserve"> high values in the </w:t>
      </w:r>
      <w:r>
        <w:rPr>
          <w:color w:val="000000"/>
        </w:rPr>
        <w:t>U</w:t>
      </w:r>
      <w:r w:rsidRPr="007C6DD5">
        <w:rPr>
          <w:color w:val="000000"/>
        </w:rPr>
        <w:t>pper Woodford</w:t>
      </w:r>
      <w:r>
        <w:rPr>
          <w:color w:val="000000"/>
        </w:rPr>
        <w:t xml:space="preserve"> member</w:t>
      </w:r>
      <w:r w:rsidRPr="007C6DD5">
        <w:rPr>
          <w:color w:val="000000"/>
        </w:rPr>
        <w:t xml:space="preserve"> (6.09-12.80)</w:t>
      </w:r>
      <w:r>
        <w:rPr>
          <w:color w:val="000000"/>
        </w:rPr>
        <w:t xml:space="preserve"> by Miceli-Romero (2010) and Jones (2017)</w:t>
      </w:r>
      <w:r w:rsidRPr="007C6DD5">
        <w:rPr>
          <w:color w:val="000000"/>
        </w:rPr>
        <w:t xml:space="preserve">, which were attributed to relatively oxic conditions (Miceli-Romero and Philp, 2012), but the high preservation of aryl isoprenoids and carotenoids between </w:t>
      </w:r>
      <w:r>
        <w:rPr>
          <w:color w:val="000000"/>
        </w:rPr>
        <w:t>the lower portion of the Upper member in the SR</w:t>
      </w:r>
      <w:r w:rsidRPr="007C6DD5">
        <w:rPr>
          <w:color w:val="000000"/>
        </w:rPr>
        <w:t xml:space="preserve"> outcrop would suggest otherwise.  In the case of the </w:t>
      </w:r>
      <w:r>
        <w:rPr>
          <w:color w:val="000000"/>
        </w:rPr>
        <w:t>U</w:t>
      </w:r>
      <w:r w:rsidRPr="007C6DD5">
        <w:rPr>
          <w:color w:val="000000"/>
        </w:rPr>
        <w:t xml:space="preserve">pper Woodford, differences in the </w:t>
      </w:r>
      <w:r w:rsidRPr="007C6DD5">
        <w:rPr>
          <w:color w:val="000000"/>
        </w:rPr>
        <w:lastRenderedPageBreak/>
        <w:t xml:space="preserve">AIR between this and previous studies may arise from regional differences in </w:t>
      </w:r>
      <w:r>
        <w:rPr>
          <w:color w:val="000000"/>
        </w:rPr>
        <w:t xml:space="preserve">the </w:t>
      </w:r>
      <w:r w:rsidRPr="007C6DD5">
        <w:rPr>
          <w:color w:val="000000"/>
        </w:rPr>
        <w:t>organic deposition</w:t>
      </w:r>
      <w:r>
        <w:rPr>
          <w:color w:val="000000"/>
        </w:rPr>
        <w:t>, since the SR section is a restricted and anoxic Woodford deposit (Figure 3.48).</w:t>
      </w:r>
      <w:r w:rsidRPr="00434FDF">
        <w:rPr>
          <w:color w:val="000000"/>
        </w:rPr>
        <w:t xml:space="preserve">  </w:t>
      </w:r>
    </w:p>
    <w:p w14:paraId="496E9885" w14:textId="568C6CFB" w:rsidR="00081C89" w:rsidRDefault="00081C89" w:rsidP="00081C89">
      <w:pPr>
        <w:ind w:firstLine="720"/>
        <w:rPr>
          <w:color w:val="000000"/>
        </w:rPr>
      </w:pPr>
      <w:r>
        <w:rPr>
          <w:color w:val="000000"/>
        </w:rPr>
        <w:t>Figure 3.48 illustrates the SR variation of AIR for each Woodford member. For the Lower member, it can be observed at the base (10 to 40 ft) an AIR value of 2.0 – 5.0, indicating that the PZA was episodic, then PZA was more persistent for the middle and upper parts of the Lower member (60 – 120 ft). At the lower part of the Middle member, PZA is persistent but increases from 120.5 – 182.5 ft (Figure 3.48). At the M</w:t>
      </w:r>
      <w:r w:rsidR="00450A02">
        <w:rPr>
          <w:color w:val="000000"/>
        </w:rPr>
        <w:t>FS</w:t>
      </w:r>
      <w:r>
        <w:rPr>
          <w:color w:val="000000"/>
        </w:rPr>
        <w:t xml:space="preserve"> (194.5 ft) the AIR has a sharp increase (1.5 – 3.0) and is interpreted that the PZA was episodic, then after the M</w:t>
      </w:r>
      <w:r w:rsidR="00450A02">
        <w:rPr>
          <w:color w:val="000000"/>
        </w:rPr>
        <w:t>FS,</w:t>
      </w:r>
      <w:r>
        <w:rPr>
          <w:color w:val="000000"/>
        </w:rPr>
        <w:t xml:space="preserve"> the PZA is variable, with a general low trend of AIR value (0.5-1.5) indicating variable episodic PZA (Figure 3.48). The Upper Woodford member has higher AIR values and PZA is interpreted as episodic (Figure 3.48). </w:t>
      </w:r>
    </w:p>
    <w:p w14:paraId="32DE0BB2" w14:textId="77777777" w:rsidR="00081C89" w:rsidRPr="00B10A31" w:rsidRDefault="00081C89" w:rsidP="00081C89">
      <w:pPr>
        <w:spacing w:after="0" w:line="360" w:lineRule="auto"/>
        <w:jc w:val="center"/>
        <w:rPr>
          <w:color w:val="000000"/>
        </w:rPr>
      </w:pPr>
      <w:r>
        <w:rPr>
          <w:noProof/>
          <w:color w:val="000000"/>
        </w:rPr>
        <w:drawing>
          <wp:inline distT="0" distB="0" distL="0" distR="0" wp14:anchorId="2E59706C" wp14:editId="383AAF42">
            <wp:extent cx="5002917" cy="3012440"/>
            <wp:effectExtent l="0" t="0" r="7620" b="0"/>
            <wp:docPr id="8530" name="Picture 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33913" cy="3031104"/>
                    </a:xfrm>
                    <a:prstGeom prst="rect">
                      <a:avLst/>
                    </a:prstGeom>
                    <a:noFill/>
                  </pic:spPr>
                </pic:pic>
              </a:graphicData>
            </a:graphic>
          </wp:inline>
        </w:drawing>
      </w:r>
    </w:p>
    <w:p w14:paraId="0B737C4A" w14:textId="77777777" w:rsidR="00081C89" w:rsidRDefault="00081C89" w:rsidP="00081C89">
      <w:pPr>
        <w:pStyle w:val="Caption"/>
      </w:pPr>
      <w:bookmarkStart w:id="259" w:name="_Toc29308175"/>
      <w:bookmarkStart w:id="260" w:name="_Toc35861231"/>
      <w:r w:rsidRPr="00B10A31">
        <w:rPr>
          <w:b/>
        </w:rPr>
        <w:t xml:space="preserve">Figure </w:t>
      </w:r>
      <w:r>
        <w:rPr>
          <w:b/>
        </w:rPr>
        <w:t>3.45</w:t>
      </w:r>
      <w:r w:rsidRPr="00B10A31">
        <w:rPr>
          <w:b/>
        </w:rPr>
        <w:t xml:space="preserve">. </w:t>
      </w:r>
      <w:r w:rsidRPr="00B10A31">
        <w:t xml:space="preserve">Summed mass chromatogram m/z 133 + 134 of the organic-rich Devonian shale sample in Marynowski </w:t>
      </w:r>
      <w:r>
        <w:t>and Filipiak</w:t>
      </w:r>
      <w:r w:rsidRPr="00B10A31">
        <w:t xml:space="preserve"> (2007), showing the distribution of isorenieratane (filled triangle), 2,3,6-/3,4,5-TM substituted diaryl</w:t>
      </w:r>
      <w:r>
        <w:t>-</w:t>
      </w:r>
      <w:r w:rsidRPr="00B10A31">
        <w:t>isoprenoid (</w:t>
      </w:r>
      <w:r>
        <w:t xml:space="preserve">white </w:t>
      </w:r>
      <w:r w:rsidRPr="00B10A31">
        <w:t>triangle) and their related derivatives including aryl isoprenoids (numbers identify individual carbon number pseudohomologues).</w:t>
      </w:r>
      <w:bookmarkEnd w:id="259"/>
      <w:bookmarkEnd w:id="260"/>
    </w:p>
    <w:p w14:paraId="6873E771" w14:textId="77777777" w:rsidR="00081C89" w:rsidRDefault="00081C89" w:rsidP="00081C89">
      <w:pPr>
        <w:pStyle w:val="TOCHeading"/>
        <w:jc w:val="center"/>
        <w:rPr>
          <w:b/>
        </w:rPr>
      </w:pPr>
      <w:r w:rsidRPr="00CB6E53">
        <w:rPr>
          <w:noProof/>
        </w:rPr>
        <w:lastRenderedPageBreak/>
        <w:drawing>
          <wp:inline distT="0" distB="0" distL="0" distR="0" wp14:anchorId="3E625084" wp14:editId="5CB7B41D">
            <wp:extent cx="5619750" cy="6202680"/>
            <wp:effectExtent l="0" t="0" r="0" b="7620"/>
            <wp:docPr id="8538" name="Picture 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20366" cy="6203360"/>
                    </a:xfrm>
                    <a:prstGeom prst="rect">
                      <a:avLst/>
                    </a:prstGeom>
                    <a:noFill/>
                    <a:ln>
                      <a:noFill/>
                    </a:ln>
                  </pic:spPr>
                </pic:pic>
              </a:graphicData>
            </a:graphic>
          </wp:inline>
        </w:drawing>
      </w:r>
    </w:p>
    <w:p w14:paraId="4182BB9C" w14:textId="77777777" w:rsidR="00081C89" w:rsidRPr="0024235E" w:rsidRDefault="00081C89" w:rsidP="00081C89">
      <w:pPr>
        <w:pStyle w:val="TOCHeading"/>
        <w:jc w:val="both"/>
        <w:rPr>
          <w:b/>
        </w:rPr>
        <w:sectPr w:rsidR="00081C89" w:rsidRPr="0024235E" w:rsidSect="0095456D">
          <w:pgSz w:w="12240" w:h="15840"/>
          <w:pgMar w:top="1440" w:right="1440" w:bottom="1440" w:left="1440" w:header="720" w:footer="720" w:gutter="0"/>
          <w:cols w:space="720"/>
          <w:docGrid w:linePitch="360"/>
        </w:sectPr>
      </w:pPr>
      <w:r w:rsidRPr="0024235E">
        <w:rPr>
          <w:b/>
        </w:rPr>
        <w:t>Table 3.</w:t>
      </w:r>
      <w:r>
        <w:rPr>
          <w:b/>
        </w:rPr>
        <w:t>7</w:t>
      </w:r>
      <w:r w:rsidRPr="0024235E">
        <w:rPr>
          <w:b/>
        </w:rPr>
        <w:t>.</w:t>
      </w:r>
      <w:r>
        <w:rPr>
          <w:b/>
        </w:rPr>
        <w:t xml:space="preserve">  </w:t>
      </w:r>
      <w:r w:rsidRPr="004F5928">
        <w:t>Aryl-isoprenoid and C</w:t>
      </w:r>
      <w:r w:rsidRPr="004F5928">
        <w:rPr>
          <w:vertAlign w:val="subscript"/>
        </w:rPr>
        <w:t>40</w:t>
      </w:r>
      <w:r w:rsidRPr="004F5928">
        <w:t xml:space="preserve"> carotenoid concentrations in</w:t>
      </w:r>
      <w:r w:rsidRPr="00E53C12">
        <w:t xml:space="preserve"> the Speake Ranch Woodford 314 ft stratigraphic section with the respective K-means facies and </w:t>
      </w:r>
      <w:r>
        <w:t>%TOC</w:t>
      </w:r>
      <w:r w:rsidRPr="00E53C12">
        <w:t xml:space="preserve"> (Leco column).</w:t>
      </w:r>
      <w:r>
        <w:t xml:space="preserve"> C</w:t>
      </w:r>
      <w:r w:rsidRPr="000B3071">
        <w:rPr>
          <w:vertAlign w:val="subscript"/>
        </w:rPr>
        <w:t>40</w:t>
      </w:r>
      <w:r>
        <w:t xml:space="preserve"> carotenoid concentration normalized with amounts of extracted organic matter (EOM) after Soxhlet extractions (not to %TOC).</w:t>
      </w:r>
    </w:p>
    <w:p w14:paraId="4F64162E" w14:textId="77777777" w:rsidR="00081C89" w:rsidRDefault="00081C89" w:rsidP="00081C89">
      <w:pPr>
        <w:spacing w:after="0"/>
        <w:jc w:val="center"/>
        <w:rPr>
          <w:color w:val="000000"/>
        </w:rPr>
      </w:pPr>
      <w:r>
        <w:rPr>
          <w:noProof/>
          <w:color w:val="000000"/>
        </w:rPr>
        <w:lastRenderedPageBreak/>
        <w:drawing>
          <wp:inline distT="0" distB="0" distL="0" distR="0" wp14:anchorId="0E85A66A" wp14:editId="384DD6DF">
            <wp:extent cx="8030845" cy="5523002"/>
            <wp:effectExtent l="0" t="0" r="0" b="0"/>
            <wp:docPr id="8539" name="Picture 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033135" cy="5524577"/>
                    </a:xfrm>
                    <a:prstGeom prst="rect">
                      <a:avLst/>
                    </a:prstGeom>
                    <a:noFill/>
                  </pic:spPr>
                </pic:pic>
              </a:graphicData>
            </a:graphic>
          </wp:inline>
        </w:drawing>
      </w:r>
    </w:p>
    <w:p w14:paraId="4DB3B9A1" w14:textId="77777777" w:rsidR="00081C89" w:rsidRDefault="00081C89" w:rsidP="00081C89">
      <w:pPr>
        <w:pStyle w:val="Caption"/>
        <w:jc w:val="center"/>
      </w:pPr>
      <w:bookmarkStart w:id="261" w:name="_Toc29308176"/>
      <w:bookmarkStart w:id="262" w:name="_Toc35861232"/>
      <w:r>
        <w:rPr>
          <w:b/>
        </w:rPr>
        <w:t xml:space="preserve">Figure 3.46. </w:t>
      </w:r>
      <w:r w:rsidRPr="00B02FB6">
        <w:t>Identification of aryl isoprenoids, and C</w:t>
      </w:r>
      <w:r w:rsidRPr="00B02FB6">
        <w:rPr>
          <w:vertAlign w:val="subscript"/>
        </w:rPr>
        <w:t xml:space="preserve">40 </w:t>
      </w:r>
      <w:r>
        <w:t>c</w:t>
      </w:r>
      <w:r w:rsidRPr="00B02FB6">
        <w:t>arotenoids using m/z 133 + 134.</w:t>
      </w:r>
      <w:bookmarkEnd w:id="261"/>
      <w:r>
        <w:t xml:space="preserve"> Depth 28.0, Lower Woodford member.</w:t>
      </w:r>
      <w:bookmarkEnd w:id="262"/>
      <w:r>
        <w:t xml:space="preserve"> </w:t>
      </w:r>
    </w:p>
    <w:p w14:paraId="02E523F1" w14:textId="77777777" w:rsidR="00081C89" w:rsidRDefault="00081C89" w:rsidP="00081C89">
      <w:pPr>
        <w:spacing w:after="0" w:line="276" w:lineRule="auto"/>
        <w:jc w:val="center"/>
        <w:rPr>
          <w:color w:val="000000"/>
        </w:rPr>
      </w:pPr>
      <w:r>
        <w:rPr>
          <w:noProof/>
          <w:color w:val="000000"/>
        </w:rPr>
        <w:lastRenderedPageBreak/>
        <w:drawing>
          <wp:inline distT="0" distB="0" distL="0" distR="0" wp14:anchorId="1D3902DA" wp14:editId="2F2F36DE">
            <wp:extent cx="7882890" cy="5663565"/>
            <wp:effectExtent l="0" t="0" r="3810" b="0"/>
            <wp:docPr id="8513" name="Picture 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882890" cy="5663565"/>
                    </a:xfrm>
                    <a:prstGeom prst="rect">
                      <a:avLst/>
                    </a:prstGeom>
                    <a:noFill/>
                  </pic:spPr>
                </pic:pic>
              </a:graphicData>
            </a:graphic>
          </wp:inline>
        </w:drawing>
      </w:r>
    </w:p>
    <w:p w14:paraId="2BA08ED9" w14:textId="77777777" w:rsidR="00081C89" w:rsidRDefault="00081C89" w:rsidP="00081C89">
      <w:pPr>
        <w:pStyle w:val="Caption"/>
        <w:jc w:val="center"/>
      </w:pPr>
      <w:bookmarkStart w:id="263" w:name="_Toc29308177"/>
      <w:bookmarkStart w:id="264" w:name="_Toc35861233"/>
      <w:r w:rsidRPr="00677A0E">
        <w:rPr>
          <w:b/>
        </w:rPr>
        <w:t>Figure 3</w:t>
      </w:r>
      <w:r>
        <w:rPr>
          <w:b/>
        </w:rPr>
        <w:t>.47</w:t>
      </w:r>
      <w:r w:rsidRPr="00677A0E">
        <w:rPr>
          <w:b/>
        </w:rPr>
        <w:t>.</w:t>
      </w:r>
      <w:r>
        <w:t xml:space="preserve"> Aryl-isoprenoids and C</w:t>
      </w:r>
      <w:r w:rsidRPr="00677A0E">
        <w:rPr>
          <w:vertAlign w:val="subscript"/>
        </w:rPr>
        <w:t>40</w:t>
      </w:r>
      <w:r>
        <w:t xml:space="preserve"> carotenoids identified in the m/z 133+134 fraction of different Woodford member samples.</w:t>
      </w:r>
      <w:bookmarkEnd w:id="263"/>
      <w:bookmarkEnd w:id="264"/>
    </w:p>
    <w:p w14:paraId="4994DA73" w14:textId="77777777" w:rsidR="00081C89" w:rsidRPr="009368F0" w:rsidRDefault="00081C89" w:rsidP="00081C89">
      <w:pPr>
        <w:spacing w:after="0"/>
        <w:jc w:val="center"/>
      </w:pPr>
      <w:r>
        <w:rPr>
          <w:noProof/>
        </w:rPr>
        <w:lastRenderedPageBreak/>
        <w:drawing>
          <wp:inline distT="0" distB="0" distL="0" distR="0" wp14:anchorId="4158BC0A" wp14:editId="1CF1567C">
            <wp:extent cx="7933557" cy="5364480"/>
            <wp:effectExtent l="0" t="0" r="0" b="7620"/>
            <wp:docPr id="8540" name="Picture 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971552" cy="5390172"/>
                    </a:xfrm>
                    <a:prstGeom prst="rect">
                      <a:avLst/>
                    </a:prstGeom>
                    <a:noFill/>
                  </pic:spPr>
                </pic:pic>
              </a:graphicData>
            </a:graphic>
          </wp:inline>
        </w:drawing>
      </w:r>
    </w:p>
    <w:p w14:paraId="6E8D406C" w14:textId="77777777" w:rsidR="00081C89" w:rsidRDefault="00081C89" w:rsidP="00081C89">
      <w:pPr>
        <w:pStyle w:val="Caption"/>
        <w:rPr>
          <w:b/>
        </w:rPr>
      </w:pPr>
      <w:bookmarkStart w:id="265" w:name="_Toc29308178"/>
      <w:bookmarkStart w:id="266" w:name="_Toc35861234"/>
      <w:r>
        <w:rPr>
          <w:b/>
        </w:rPr>
        <w:t xml:space="preserve">Figure 3.48. </w:t>
      </w:r>
      <w:r w:rsidRPr="009368F0">
        <w:t xml:space="preserve">Comparison of </w:t>
      </w:r>
      <w:r>
        <w:t>gammacerane index and C</w:t>
      </w:r>
      <w:r w:rsidRPr="00FD671A">
        <w:rPr>
          <w:vertAlign w:val="subscript"/>
        </w:rPr>
        <w:t>40</w:t>
      </w:r>
      <w:r>
        <w:t xml:space="preserve"> carotenoids</w:t>
      </w:r>
      <w:r w:rsidRPr="009368F0">
        <w:t xml:space="preserve"> abundance, as compared to</w:t>
      </w:r>
      <w:r>
        <w:t xml:space="preserve"> Gamma-Ray log and %TOC classified by the mechanical stratigraphy of the rock layers (soft vs. hard; Galvis, 2017).</w:t>
      </w:r>
      <w:bookmarkEnd w:id="265"/>
      <w:bookmarkEnd w:id="266"/>
    </w:p>
    <w:p w14:paraId="3BED567C" w14:textId="77777777" w:rsidR="00081C89" w:rsidRPr="0043795D" w:rsidRDefault="00081C89" w:rsidP="00081C89">
      <w:pPr>
        <w:rPr>
          <w:lang w:bidi="en-US"/>
        </w:rPr>
        <w:sectPr w:rsidR="00081C89" w:rsidRPr="0043795D" w:rsidSect="0095456D">
          <w:pgSz w:w="15840" w:h="12240" w:orient="landscape"/>
          <w:pgMar w:top="1440" w:right="1440" w:bottom="1440" w:left="1440" w:header="720" w:footer="720" w:gutter="0"/>
          <w:cols w:space="720"/>
          <w:docGrid w:linePitch="360"/>
        </w:sectPr>
      </w:pPr>
    </w:p>
    <w:p w14:paraId="1B1BB894" w14:textId="77777777" w:rsidR="00081C89" w:rsidRPr="007F37B0" w:rsidRDefault="00081C89" w:rsidP="00081C89">
      <w:pPr>
        <w:pStyle w:val="Heading3"/>
        <w:numPr>
          <w:ilvl w:val="2"/>
          <w:numId w:val="10"/>
        </w:numPr>
      </w:pPr>
      <w:bookmarkStart w:id="267" w:name="_Toc25833567"/>
      <w:bookmarkStart w:id="268" w:name="_Toc29304881"/>
      <w:bookmarkStart w:id="269" w:name="_Toc35861120"/>
      <w:r w:rsidRPr="007F37B0">
        <w:lastRenderedPageBreak/>
        <w:t xml:space="preserve">Polycyclic </w:t>
      </w:r>
      <w:r>
        <w:t>a</w:t>
      </w:r>
      <w:r w:rsidRPr="007F37B0">
        <w:t xml:space="preserve">romatic </w:t>
      </w:r>
      <w:r>
        <w:t>h</w:t>
      </w:r>
      <w:r w:rsidRPr="007F37B0">
        <w:t>ydrocarbons (PAHs)</w:t>
      </w:r>
      <w:bookmarkEnd w:id="267"/>
      <w:bookmarkEnd w:id="268"/>
      <w:bookmarkEnd w:id="269"/>
    </w:p>
    <w:p w14:paraId="1184BDF7" w14:textId="77777777" w:rsidR="00081C89" w:rsidRDefault="00081C89" w:rsidP="00081C89">
      <w:pPr>
        <w:ind w:firstLine="720"/>
        <w:rPr>
          <w:color w:val="000000"/>
        </w:rPr>
      </w:pPr>
      <w:r>
        <w:rPr>
          <w:color w:val="000000"/>
        </w:rPr>
        <w:t>P</w:t>
      </w:r>
      <w:r w:rsidRPr="00AB4F65">
        <w:rPr>
          <w:color w:val="000000"/>
        </w:rPr>
        <w:t>olycyclic aromatic hydrocarbons (PAH</w:t>
      </w:r>
      <w:r>
        <w:rPr>
          <w:color w:val="000000"/>
        </w:rPr>
        <w:t>s</w:t>
      </w:r>
      <w:r w:rsidRPr="00AB4F65">
        <w:rPr>
          <w:color w:val="000000"/>
        </w:rPr>
        <w:t>) are the result of diagenetic and catagenic processes</w:t>
      </w:r>
      <w:r>
        <w:rPr>
          <w:color w:val="000000"/>
        </w:rPr>
        <w:t>, which cause</w:t>
      </w:r>
      <w:r w:rsidRPr="00AB4F65">
        <w:rPr>
          <w:color w:val="000000"/>
        </w:rPr>
        <w:t xml:space="preserve"> the aromatization of organic compounds prevalent in sediments and oils</w:t>
      </w:r>
      <w:r>
        <w:rPr>
          <w:color w:val="000000"/>
        </w:rPr>
        <w:t>.</w:t>
      </w:r>
      <w:r w:rsidRPr="00AB4F65">
        <w:rPr>
          <w:color w:val="000000"/>
        </w:rPr>
        <w:t xml:space="preserve"> </w:t>
      </w:r>
      <w:r>
        <w:rPr>
          <w:color w:val="000000"/>
        </w:rPr>
        <w:t xml:space="preserve">As such PAHs </w:t>
      </w:r>
      <w:r w:rsidRPr="00AB4F65">
        <w:rPr>
          <w:color w:val="000000"/>
        </w:rPr>
        <w:t xml:space="preserve">do not </w:t>
      </w:r>
      <w:r>
        <w:rPr>
          <w:color w:val="000000"/>
        </w:rPr>
        <w:t>precise</w:t>
      </w:r>
      <w:r w:rsidRPr="00AB4F65">
        <w:rPr>
          <w:color w:val="000000"/>
        </w:rPr>
        <w:t>ly meet the definition of biomarkers (Alexander et al., 1992; Stout et al., 2015)</w:t>
      </w:r>
      <w:r>
        <w:rPr>
          <w:color w:val="000000"/>
        </w:rPr>
        <w:t xml:space="preserve">. </w:t>
      </w:r>
      <w:r w:rsidRPr="007F37B0">
        <w:rPr>
          <w:color w:val="000000"/>
        </w:rPr>
        <w:t>The PAHs</w:t>
      </w:r>
      <w:r>
        <w:rPr>
          <w:color w:val="000000"/>
        </w:rPr>
        <w:t xml:space="preserve"> can be</w:t>
      </w:r>
      <w:r w:rsidRPr="007F37B0">
        <w:rPr>
          <w:color w:val="000000"/>
        </w:rPr>
        <w:t xml:space="preserve"> identified in the </w:t>
      </w:r>
      <w:r>
        <w:rPr>
          <w:color w:val="000000"/>
        </w:rPr>
        <w:t xml:space="preserve">SR section, and as discussed by DeGarmo (2015), Jones (2017), and Philp and DeGarmo (2020) are useful for addressing potential terrestrial inputs to the Woodford Shale in southern Oklahoma. These PAHs </w:t>
      </w:r>
      <w:r w:rsidRPr="007F37B0">
        <w:rPr>
          <w:color w:val="000000"/>
        </w:rPr>
        <w:t>include phenanthrenes, dibenzothiophenes, dibenzofurans, fluoranthene, benzofluoranthenes, perylenes, benzoperylenes, pyrenes, benzopyrenes, biphenyl, cadalene, chrysene, benzoanthracene, and triphenylene.</w:t>
      </w:r>
      <w:r>
        <w:rPr>
          <w:color w:val="000000"/>
        </w:rPr>
        <w:t xml:space="preserve"> If these terrestrial organic matter compounds are</w:t>
      </w:r>
      <w:r w:rsidRPr="009139C2">
        <w:rPr>
          <w:color w:val="000000"/>
        </w:rPr>
        <w:t xml:space="preserve"> </w:t>
      </w:r>
      <w:r>
        <w:rPr>
          <w:color w:val="000000"/>
        </w:rPr>
        <w:t>present or mixed with</w:t>
      </w:r>
      <w:r w:rsidRPr="009139C2">
        <w:rPr>
          <w:color w:val="000000"/>
        </w:rPr>
        <w:t xml:space="preserve"> marine-sourced organic matter, </w:t>
      </w:r>
      <w:r>
        <w:rPr>
          <w:color w:val="000000"/>
        </w:rPr>
        <w:t>the mechanisms that formed this mixture requires (1)</w:t>
      </w:r>
      <w:r w:rsidRPr="009139C2">
        <w:rPr>
          <w:color w:val="000000"/>
        </w:rPr>
        <w:t xml:space="preserve"> transport of material from the continent to the marine setting</w:t>
      </w:r>
      <w:r>
        <w:rPr>
          <w:color w:val="000000"/>
        </w:rPr>
        <w:t>,</w:t>
      </w:r>
      <w:r w:rsidRPr="009139C2">
        <w:rPr>
          <w:color w:val="000000"/>
        </w:rPr>
        <w:t xml:space="preserve"> and </w:t>
      </w:r>
      <w:r>
        <w:rPr>
          <w:color w:val="000000"/>
        </w:rPr>
        <w:t>(</w:t>
      </w:r>
      <w:r w:rsidRPr="009139C2">
        <w:rPr>
          <w:color w:val="000000"/>
        </w:rPr>
        <w:t xml:space="preserve">2) preservation of organic material </w:t>
      </w:r>
      <w:r>
        <w:rPr>
          <w:color w:val="000000"/>
        </w:rPr>
        <w:t xml:space="preserve">after transport mechanical reworking and physical degradation </w:t>
      </w:r>
      <w:r w:rsidRPr="009139C2">
        <w:rPr>
          <w:color w:val="000000"/>
        </w:rPr>
        <w:t>(</w:t>
      </w:r>
      <w:r>
        <w:rPr>
          <w:color w:val="000000"/>
        </w:rPr>
        <w:t xml:space="preserve">Connan et al., 1980; </w:t>
      </w:r>
      <w:r w:rsidRPr="009139C2">
        <w:rPr>
          <w:color w:val="000000"/>
        </w:rPr>
        <w:t>Tissot and Welte, 1984</w:t>
      </w:r>
      <w:r>
        <w:rPr>
          <w:color w:val="000000"/>
        </w:rPr>
        <w:t>; Jiang, 1998; Widayat, 2011, Li et al., 2012; DeGarmo, 2015; Fang et al., 2015; Widayat et al., 2016; Jones, 2017).</w:t>
      </w:r>
    </w:p>
    <w:p w14:paraId="2C78690D" w14:textId="77777777" w:rsidR="00081C89" w:rsidRPr="001C0810" w:rsidRDefault="00081C89" w:rsidP="00081C89">
      <w:pPr>
        <w:ind w:firstLine="720"/>
        <w:rPr>
          <w:color w:val="000000"/>
        </w:rPr>
      </w:pPr>
      <w:r>
        <w:rPr>
          <w:color w:val="000000"/>
        </w:rPr>
        <w:t>T</w:t>
      </w:r>
      <w:r w:rsidRPr="00002268">
        <w:rPr>
          <w:color w:val="000000"/>
        </w:rPr>
        <w:t xml:space="preserve">he occurrence of </w:t>
      </w:r>
      <w:r>
        <w:rPr>
          <w:color w:val="000000"/>
        </w:rPr>
        <w:t xml:space="preserve">the </w:t>
      </w:r>
      <w:r w:rsidRPr="00002268">
        <w:rPr>
          <w:color w:val="000000"/>
        </w:rPr>
        <w:t>terrestrial plant biomarkers in a marine setting would require transportation of continental material from river runoff, progradation, or transgression onto a previous</w:t>
      </w:r>
      <w:r>
        <w:rPr>
          <w:color w:val="000000"/>
        </w:rPr>
        <w:t>ly</w:t>
      </w:r>
      <w:r w:rsidRPr="00002268">
        <w:rPr>
          <w:color w:val="000000"/>
        </w:rPr>
        <w:t xml:space="preserve"> exposed soil horizon where PAHs may have accumulated</w:t>
      </w:r>
      <w:r>
        <w:rPr>
          <w:color w:val="000000"/>
        </w:rPr>
        <w:t>. These events are possible during sea-level fluctuations (drops in sea-level) during the depositional periods of the Woodford Shale</w:t>
      </w:r>
      <w:r w:rsidRPr="00002268">
        <w:rPr>
          <w:color w:val="000000"/>
        </w:rPr>
        <w:t xml:space="preserve">. </w:t>
      </w:r>
      <w:r>
        <w:rPr>
          <w:color w:val="000000"/>
        </w:rPr>
        <w:t xml:space="preserve">Fluoranthene, pyrene, perylene, benzo (e)pyrene, benzo(a)pyrene, benzo (g,h,i) pyrene have been identified </w:t>
      </w:r>
      <w:r w:rsidRPr="00002268">
        <w:rPr>
          <w:color w:val="000000"/>
        </w:rPr>
        <w:t xml:space="preserve">in </w:t>
      </w:r>
      <w:r>
        <w:rPr>
          <w:color w:val="000000"/>
        </w:rPr>
        <w:t>the</w:t>
      </w:r>
      <w:r w:rsidRPr="00002268">
        <w:rPr>
          <w:color w:val="000000"/>
        </w:rPr>
        <w:t xml:space="preserve"> </w:t>
      </w:r>
      <w:r>
        <w:rPr>
          <w:color w:val="000000"/>
        </w:rPr>
        <w:t>M</w:t>
      </w:r>
      <w:r w:rsidRPr="00002268">
        <w:rPr>
          <w:color w:val="000000"/>
        </w:rPr>
        <w:t xml:space="preserve">iddle and </w:t>
      </w:r>
      <w:r>
        <w:rPr>
          <w:color w:val="000000"/>
        </w:rPr>
        <w:t>U</w:t>
      </w:r>
      <w:r w:rsidRPr="00002268">
        <w:rPr>
          <w:color w:val="000000"/>
        </w:rPr>
        <w:t>pper</w:t>
      </w:r>
      <w:r>
        <w:rPr>
          <w:color w:val="000000"/>
        </w:rPr>
        <w:t xml:space="preserve"> members SR</w:t>
      </w:r>
      <w:r w:rsidRPr="00002268">
        <w:rPr>
          <w:color w:val="000000"/>
        </w:rPr>
        <w:t xml:space="preserve"> Woodford samples</w:t>
      </w:r>
      <w:r>
        <w:rPr>
          <w:color w:val="000000"/>
        </w:rPr>
        <w:t xml:space="preserve"> SR as </w:t>
      </w:r>
      <w:r w:rsidRPr="00002268">
        <w:rPr>
          <w:color w:val="000000"/>
        </w:rPr>
        <w:t xml:space="preserve"> terrestrial indicators</w:t>
      </w:r>
      <w:r>
        <w:rPr>
          <w:color w:val="000000"/>
        </w:rPr>
        <w:t xml:space="preserve"> (Table 3.8; Figure 3.49). The identification of high concentrations of these PAHs is a direct</w:t>
      </w:r>
      <w:r w:rsidRPr="00002268">
        <w:rPr>
          <w:color w:val="000000"/>
        </w:rPr>
        <w:t xml:space="preserve"> implication for the sequence stratigraphic framework </w:t>
      </w:r>
      <w:r>
        <w:rPr>
          <w:color w:val="000000"/>
        </w:rPr>
        <w:t>of the SR</w:t>
      </w:r>
      <w:r w:rsidRPr="00002268">
        <w:rPr>
          <w:color w:val="000000"/>
        </w:rPr>
        <w:t>, as higher concentration</w:t>
      </w:r>
      <w:r>
        <w:rPr>
          <w:color w:val="000000"/>
        </w:rPr>
        <w:t xml:space="preserve">s </w:t>
      </w:r>
      <w:r w:rsidRPr="00002268">
        <w:rPr>
          <w:color w:val="000000"/>
        </w:rPr>
        <w:t xml:space="preserve">would be expected </w:t>
      </w:r>
      <w:r>
        <w:rPr>
          <w:color w:val="000000"/>
        </w:rPr>
        <w:t xml:space="preserve">during a transition from transgressive system tract (TST) to highstand system </w:t>
      </w:r>
      <w:r>
        <w:rPr>
          <w:color w:val="000000"/>
        </w:rPr>
        <w:lastRenderedPageBreak/>
        <w:t>tract (HST) settings (sea-level drop that leads to progradational depositions towards the paleo basin).</w:t>
      </w:r>
      <w:r w:rsidRPr="000C0651">
        <w:rPr>
          <w:color w:val="000000"/>
        </w:rPr>
        <w:t xml:space="preserve"> </w:t>
      </w:r>
      <w:r>
        <w:rPr>
          <w:color w:val="000000"/>
        </w:rPr>
        <w:t xml:space="preserve">DeGarmo (2015) and Jones (2017) provided </w:t>
      </w:r>
      <w:r w:rsidRPr="000C0651">
        <w:rPr>
          <w:color w:val="000000"/>
        </w:rPr>
        <w:t>an example</w:t>
      </w:r>
      <w:r>
        <w:rPr>
          <w:color w:val="000000"/>
        </w:rPr>
        <w:t xml:space="preserve"> for the Woodford Shale in southern Oklahoma</w:t>
      </w:r>
      <w:r w:rsidRPr="000C0651">
        <w:rPr>
          <w:color w:val="000000"/>
        </w:rPr>
        <w:t xml:space="preserve"> </w:t>
      </w:r>
      <w:r>
        <w:rPr>
          <w:color w:val="000000"/>
        </w:rPr>
        <w:t xml:space="preserve">and </w:t>
      </w:r>
      <w:r w:rsidRPr="001C0810">
        <w:rPr>
          <w:color w:val="000000"/>
        </w:rPr>
        <w:t>Marynowski et al. (</w:t>
      </w:r>
      <w:r>
        <w:rPr>
          <w:color w:val="000000"/>
        </w:rPr>
        <w:t xml:space="preserve">2000 and </w:t>
      </w:r>
      <w:r w:rsidRPr="001C0810">
        <w:rPr>
          <w:color w:val="000000"/>
        </w:rPr>
        <w:t>2015)</w:t>
      </w:r>
      <w:r>
        <w:rPr>
          <w:color w:val="000000"/>
        </w:rPr>
        <w:t xml:space="preserve"> for other Devonian shales, that indicated </w:t>
      </w:r>
      <w:r w:rsidRPr="000C0651">
        <w:rPr>
          <w:color w:val="000000"/>
        </w:rPr>
        <w:t xml:space="preserve">dibenzofuran </w:t>
      </w:r>
      <w:r>
        <w:rPr>
          <w:color w:val="000000"/>
        </w:rPr>
        <w:t xml:space="preserve">was a </w:t>
      </w:r>
      <w:r w:rsidRPr="000C0651">
        <w:rPr>
          <w:color w:val="000000"/>
        </w:rPr>
        <w:t xml:space="preserve">prototypical biomarker </w:t>
      </w:r>
      <w:r>
        <w:rPr>
          <w:color w:val="000000"/>
        </w:rPr>
        <w:t xml:space="preserve">that could be </w:t>
      </w:r>
      <w:r w:rsidRPr="000C0651">
        <w:rPr>
          <w:color w:val="000000"/>
        </w:rPr>
        <w:t>used to identify plant input from continental sourc</w:t>
      </w:r>
      <w:r>
        <w:rPr>
          <w:color w:val="000000"/>
        </w:rPr>
        <w:t xml:space="preserve">es </w:t>
      </w:r>
      <w:r w:rsidRPr="00890465">
        <w:t>(Figure 3.</w:t>
      </w:r>
      <w:r>
        <w:t>50</w:t>
      </w:r>
      <w:r w:rsidRPr="00890465">
        <w:t>)</w:t>
      </w:r>
      <w:r>
        <w:t xml:space="preserve">. </w:t>
      </w:r>
      <w:r w:rsidRPr="000C0651">
        <w:rPr>
          <w:color w:val="000000"/>
        </w:rPr>
        <w:t>Septhon et al.</w:t>
      </w:r>
      <w:r>
        <w:rPr>
          <w:color w:val="000000"/>
        </w:rPr>
        <w:t xml:space="preserve"> (</w:t>
      </w:r>
      <w:r w:rsidRPr="000C0651">
        <w:rPr>
          <w:color w:val="000000"/>
        </w:rPr>
        <w:t>2005</w:t>
      </w:r>
      <w:r>
        <w:rPr>
          <w:color w:val="000000"/>
        </w:rPr>
        <w:t>), and</w:t>
      </w:r>
      <w:r w:rsidRPr="000C0651">
        <w:rPr>
          <w:color w:val="000000"/>
        </w:rPr>
        <w:t xml:space="preserve"> Mizukami et al.</w:t>
      </w:r>
      <w:r>
        <w:rPr>
          <w:color w:val="000000"/>
        </w:rPr>
        <w:t xml:space="preserve"> (2013 and </w:t>
      </w:r>
      <w:r w:rsidRPr="000C0651">
        <w:rPr>
          <w:color w:val="000000"/>
        </w:rPr>
        <w:t>2014)</w:t>
      </w:r>
      <w:r>
        <w:rPr>
          <w:color w:val="000000"/>
        </w:rPr>
        <w:t xml:space="preserve"> recognized d</w:t>
      </w:r>
      <w:r w:rsidRPr="000C0651">
        <w:rPr>
          <w:color w:val="000000"/>
        </w:rPr>
        <w:t xml:space="preserve">ibenzofuran (DBF) </w:t>
      </w:r>
      <w:r>
        <w:rPr>
          <w:color w:val="000000"/>
        </w:rPr>
        <w:t xml:space="preserve">as </w:t>
      </w:r>
      <w:r w:rsidRPr="000C0651">
        <w:rPr>
          <w:color w:val="000000"/>
        </w:rPr>
        <w:t>a product of weathered terrestrial organic matter</w:t>
      </w:r>
      <w:r>
        <w:rPr>
          <w:color w:val="000000"/>
        </w:rPr>
        <w:t>, and for this reason,</w:t>
      </w:r>
      <w:r w:rsidRPr="000C0651">
        <w:rPr>
          <w:color w:val="000000"/>
        </w:rPr>
        <w:t xml:space="preserve"> </w:t>
      </w:r>
      <w:r>
        <w:rPr>
          <w:color w:val="000000"/>
        </w:rPr>
        <w:t xml:space="preserve">it is proposed for the Woodford Shale in the SR </w:t>
      </w:r>
      <w:r w:rsidRPr="000C0651">
        <w:rPr>
          <w:color w:val="000000"/>
        </w:rPr>
        <w:t>as a</w:t>
      </w:r>
      <w:r>
        <w:rPr>
          <w:color w:val="000000"/>
        </w:rPr>
        <w:t xml:space="preserve"> possible</w:t>
      </w:r>
      <w:r w:rsidRPr="000C0651">
        <w:rPr>
          <w:color w:val="000000"/>
        </w:rPr>
        <w:t xml:space="preserve"> indicator of soil erosion </w:t>
      </w:r>
      <w:r>
        <w:rPr>
          <w:color w:val="000000"/>
        </w:rPr>
        <w:t xml:space="preserve">material </w:t>
      </w:r>
      <w:r w:rsidRPr="001C0810">
        <w:rPr>
          <w:color w:val="000000"/>
        </w:rPr>
        <w:t xml:space="preserve">transported towards the deeper basinal deposits via progadational events. </w:t>
      </w:r>
    </w:p>
    <w:p w14:paraId="2262D3AB" w14:textId="77777777" w:rsidR="00081C89" w:rsidRDefault="00081C89" w:rsidP="00081C89">
      <w:pPr>
        <w:ind w:firstLine="720"/>
        <w:rPr>
          <w:color w:val="000000"/>
        </w:rPr>
      </w:pPr>
      <w:r w:rsidRPr="001C0810">
        <w:rPr>
          <w:color w:val="000000"/>
        </w:rPr>
        <w:t xml:space="preserve">Other PAHs detected </w:t>
      </w:r>
      <w:r>
        <w:rPr>
          <w:color w:val="000000"/>
        </w:rPr>
        <w:t>in</w:t>
      </w:r>
      <w:r w:rsidRPr="001C0810">
        <w:rPr>
          <w:color w:val="000000"/>
        </w:rPr>
        <w:t xml:space="preserve"> the Woodford Shale in southern Oklahoma, and proposed for the </w:t>
      </w:r>
      <w:r>
        <w:rPr>
          <w:color w:val="000000"/>
        </w:rPr>
        <w:t>SR</w:t>
      </w:r>
      <w:r w:rsidRPr="001C0810">
        <w:rPr>
          <w:color w:val="000000"/>
        </w:rPr>
        <w:t xml:space="preserve">, </w:t>
      </w:r>
      <w:r>
        <w:rPr>
          <w:color w:val="000000"/>
        </w:rPr>
        <w:t>which</w:t>
      </w:r>
      <w:r w:rsidRPr="001C0810">
        <w:rPr>
          <w:color w:val="000000"/>
        </w:rPr>
        <w:t xml:space="preserve"> are also known to be derived from similar terrestrial plant origins include cadalene (a bicyclic compound derived from sesquiterpenoids; Jones, 2017) and perylene, which is not thought of as a direct product of higher plants (DeGarmo, 2015; Marynowski et al., 2015; Jones, 2017), but is instead considered a product of wood-degrading fungus, thus making it an indicator of terrestrial plant input (Marynowski et al., 2015; </w:t>
      </w:r>
      <w:r>
        <w:rPr>
          <w:color w:val="000000"/>
        </w:rPr>
        <w:t xml:space="preserve">Figure 3.50 and </w:t>
      </w:r>
      <w:r w:rsidRPr="001C0810">
        <w:rPr>
          <w:color w:val="000000"/>
        </w:rPr>
        <w:t>Figure 3.</w:t>
      </w:r>
      <w:r>
        <w:rPr>
          <w:color w:val="000000"/>
        </w:rPr>
        <w:t>51</w:t>
      </w:r>
      <w:r w:rsidRPr="001C0810">
        <w:rPr>
          <w:color w:val="000000"/>
        </w:rPr>
        <w:t xml:space="preserve">). </w:t>
      </w:r>
    </w:p>
    <w:p w14:paraId="445F0696" w14:textId="77777777" w:rsidR="00081C89" w:rsidRDefault="00081C89" w:rsidP="00081C89">
      <w:pPr>
        <w:ind w:firstLine="720"/>
        <w:rPr>
          <w:color w:val="000000"/>
        </w:rPr>
      </w:pPr>
      <w:r w:rsidRPr="001C0810">
        <w:rPr>
          <w:color w:val="000000"/>
        </w:rPr>
        <w:t xml:space="preserve">The PAHs tied to decomposed terrestrial plants, including pyrene, chrysene, DBF, and cadalene, showed increased concentrations in the </w:t>
      </w:r>
      <w:r>
        <w:rPr>
          <w:color w:val="000000"/>
        </w:rPr>
        <w:t>U</w:t>
      </w:r>
      <w:r w:rsidRPr="001C0810">
        <w:rPr>
          <w:color w:val="000000"/>
        </w:rPr>
        <w:t>pper-</w:t>
      </w:r>
      <w:r>
        <w:rPr>
          <w:color w:val="000000"/>
        </w:rPr>
        <w:t>M</w:t>
      </w:r>
      <w:r w:rsidRPr="001C0810">
        <w:rPr>
          <w:color w:val="000000"/>
        </w:rPr>
        <w:t xml:space="preserve">iddle Woodford </w:t>
      </w:r>
      <w:r>
        <w:rPr>
          <w:color w:val="000000"/>
        </w:rPr>
        <w:t>members boundary</w:t>
      </w:r>
      <w:r w:rsidRPr="001C0810">
        <w:rPr>
          <w:color w:val="000000"/>
        </w:rPr>
        <w:t>, followed by diminishing values towards the</w:t>
      </w:r>
      <w:r>
        <w:rPr>
          <w:color w:val="000000"/>
        </w:rPr>
        <w:t xml:space="preserve"> Upper</w:t>
      </w:r>
      <w:r w:rsidRPr="001C0810">
        <w:rPr>
          <w:color w:val="000000"/>
        </w:rPr>
        <w:t xml:space="preserve"> Woodford </w:t>
      </w:r>
      <w:r>
        <w:rPr>
          <w:color w:val="000000"/>
        </w:rPr>
        <w:t>m</w:t>
      </w:r>
      <w:r w:rsidRPr="001C0810">
        <w:rPr>
          <w:color w:val="000000"/>
        </w:rPr>
        <w:t>ember (Figure 3.</w:t>
      </w:r>
      <w:r>
        <w:rPr>
          <w:color w:val="000000"/>
        </w:rPr>
        <w:t>51</w:t>
      </w:r>
      <w:r w:rsidRPr="001C0810">
        <w:rPr>
          <w:color w:val="000000"/>
        </w:rPr>
        <w:t>)</w:t>
      </w:r>
      <w:r>
        <w:rPr>
          <w:color w:val="000000"/>
        </w:rPr>
        <w:t>. This trend was also ob</w:t>
      </w:r>
      <w:r w:rsidRPr="001C0810">
        <w:rPr>
          <w:color w:val="000000"/>
        </w:rPr>
        <w:t>served by DeGarmo (2015)</w:t>
      </w:r>
      <w:r>
        <w:rPr>
          <w:color w:val="000000"/>
        </w:rPr>
        <w:t xml:space="preserve">, </w:t>
      </w:r>
      <w:r w:rsidRPr="001C0810">
        <w:rPr>
          <w:color w:val="000000"/>
        </w:rPr>
        <w:t>Jones (2017)</w:t>
      </w:r>
      <w:r>
        <w:rPr>
          <w:color w:val="000000"/>
        </w:rPr>
        <w:t>,</w:t>
      </w:r>
      <w:r w:rsidRPr="001C0810">
        <w:rPr>
          <w:color w:val="000000"/>
        </w:rPr>
        <w:t xml:space="preserve"> </w:t>
      </w:r>
      <w:r>
        <w:rPr>
          <w:color w:val="000000"/>
        </w:rPr>
        <w:t xml:space="preserve">and Philp and DeGarmo (2020) </w:t>
      </w:r>
      <w:r w:rsidRPr="001C0810">
        <w:rPr>
          <w:color w:val="000000"/>
        </w:rPr>
        <w:t>for the Woodford Shale in</w:t>
      </w:r>
      <w:r>
        <w:rPr>
          <w:color w:val="000000"/>
        </w:rPr>
        <w:t xml:space="preserve"> other</w:t>
      </w:r>
      <w:r w:rsidRPr="001C0810">
        <w:rPr>
          <w:color w:val="000000"/>
        </w:rPr>
        <w:t xml:space="preserve"> </w:t>
      </w:r>
      <w:r>
        <w:rPr>
          <w:color w:val="000000"/>
        </w:rPr>
        <w:t>s</w:t>
      </w:r>
      <w:r w:rsidRPr="001C0810">
        <w:rPr>
          <w:color w:val="000000"/>
        </w:rPr>
        <w:t xml:space="preserve">outhern Oklahoma </w:t>
      </w:r>
      <w:r w:rsidRPr="00211E1C">
        <w:rPr>
          <w:color w:val="000000"/>
        </w:rPr>
        <w:t>outcrops. Pyrene</w:t>
      </w:r>
      <w:r>
        <w:rPr>
          <w:color w:val="000000"/>
        </w:rPr>
        <w:t xml:space="preserve"> and p</w:t>
      </w:r>
      <w:r w:rsidRPr="00774555">
        <w:rPr>
          <w:color w:val="000000"/>
        </w:rPr>
        <w:t xml:space="preserve">erylene </w:t>
      </w:r>
      <w:r>
        <w:rPr>
          <w:color w:val="000000"/>
        </w:rPr>
        <w:t>are</w:t>
      </w:r>
      <w:r w:rsidRPr="00774555">
        <w:rPr>
          <w:color w:val="000000"/>
        </w:rPr>
        <w:t xml:space="preserve"> frequently found with a suite of PAHs related to the partial combustion of organic matter from both forest fires and petroleum, including </w:t>
      </w:r>
      <w:r>
        <w:rPr>
          <w:color w:val="000000"/>
        </w:rPr>
        <w:t xml:space="preserve">(but not limited to) fluorene, </w:t>
      </w:r>
      <w:r w:rsidRPr="00774555">
        <w:rPr>
          <w:color w:val="000000"/>
        </w:rPr>
        <w:t>benzo(e)pyrene (BeP), benzo(a)pyrene (BaP), and benzo (g,</w:t>
      </w:r>
      <w:r>
        <w:rPr>
          <w:color w:val="000000"/>
        </w:rPr>
        <w:t xml:space="preserve"> </w:t>
      </w:r>
      <w:r w:rsidRPr="00774555">
        <w:rPr>
          <w:color w:val="000000"/>
        </w:rPr>
        <w:t>h,</w:t>
      </w:r>
      <w:r>
        <w:rPr>
          <w:color w:val="000000"/>
        </w:rPr>
        <w:t xml:space="preserve"> </w:t>
      </w:r>
      <w:r w:rsidRPr="00774555">
        <w:rPr>
          <w:color w:val="000000"/>
        </w:rPr>
        <w:t>i</w:t>
      </w:r>
      <w:r>
        <w:rPr>
          <w:color w:val="000000"/>
        </w:rPr>
        <w:t xml:space="preserve">) </w:t>
      </w:r>
      <w:r w:rsidRPr="00774555">
        <w:rPr>
          <w:color w:val="000000"/>
        </w:rPr>
        <w:t>perylene (BghiP)</w:t>
      </w:r>
      <w:r>
        <w:rPr>
          <w:color w:val="000000"/>
        </w:rPr>
        <w:t xml:space="preserve"> (</w:t>
      </w:r>
      <w:r>
        <w:t>Aizenshtat</w:t>
      </w:r>
      <w:r>
        <w:rPr>
          <w:color w:val="000000"/>
        </w:rPr>
        <w:t xml:space="preserve">, 1973; </w:t>
      </w:r>
      <w:r w:rsidRPr="00774555">
        <w:rPr>
          <w:color w:val="000000"/>
        </w:rPr>
        <w:t>Laflamme and Hites, 1978; Lichtfouse et al., 1997; Nabbefeld et al., 2010)</w:t>
      </w:r>
      <w:r>
        <w:rPr>
          <w:color w:val="000000"/>
        </w:rPr>
        <w:t xml:space="preserve">. </w:t>
      </w:r>
      <w:r w:rsidRPr="00774555">
        <w:rPr>
          <w:color w:val="000000"/>
        </w:rPr>
        <w:t>Maryno</w:t>
      </w:r>
      <w:r>
        <w:rPr>
          <w:color w:val="000000"/>
        </w:rPr>
        <w:t>w</w:t>
      </w:r>
      <w:r w:rsidRPr="00774555">
        <w:rPr>
          <w:color w:val="000000"/>
        </w:rPr>
        <w:t xml:space="preserve">ski </w:t>
      </w:r>
      <w:r>
        <w:rPr>
          <w:color w:val="000000"/>
        </w:rPr>
        <w:t xml:space="preserve">and Filipiak (2007), and </w:t>
      </w:r>
      <w:r w:rsidRPr="00774555">
        <w:rPr>
          <w:color w:val="000000"/>
        </w:rPr>
        <w:t>Maryno</w:t>
      </w:r>
      <w:r>
        <w:rPr>
          <w:color w:val="000000"/>
        </w:rPr>
        <w:t>w</w:t>
      </w:r>
      <w:r w:rsidRPr="00774555">
        <w:rPr>
          <w:color w:val="000000"/>
        </w:rPr>
        <w:t>ski et al. (2015)</w:t>
      </w:r>
      <w:r>
        <w:rPr>
          <w:color w:val="000000"/>
        </w:rPr>
        <w:t xml:space="preserve"> </w:t>
      </w:r>
      <w:r w:rsidRPr="00774555">
        <w:rPr>
          <w:color w:val="000000"/>
        </w:rPr>
        <w:lastRenderedPageBreak/>
        <w:t xml:space="preserve">used artificial maturation to track </w:t>
      </w:r>
      <w:r>
        <w:rPr>
          <w:color w:val="000000"/>
        </w:rPr>
        <w:t xml:space="preserve">the </w:t>
      </w:r>
      <w:r w:rsidRPr="00774555">
        <w:rPr>
          <w:color w:val="000000"/>
        </w:rPr>
        <w:t>transformation and degradation of perylene into its thermal products</w:t>
      </w:r>
      <w:r>
        <w:rPr>
          <w:color w:val="000000"/>
        </w:rPr>
        <w:t>. Figure 3.51 shows the higher content towards the end of the Middle Woodford Shale member and increasing in the uppermost upper Woodford member, which coincides with the start of the drop of sea level at the end of Woodford Shale and more progradation deposits into the basin.</w:t>
      </w:r>
    </w:p>
    <w:p w14:paraId="0C8C7C91" w14:textId="77777777" w:rsidR="00081C89" w:rsidRDefault="00081C89" w:rsidP="00081C89">
      <w:pPr>
        <w:ind w:firstLine="720"/>
        <w:rPr>
          <w:color w:val="000000"/>
        </w:rPr>
      </w:pPr>
    </w:p>
    <w:p w14:paraId="04937283" w14:textId="77777777" w:rsidR="00081C89" w:rsidRDefault="00081C89" w:rsidP="00081C89">
      <w:pPr>
        <w:spacing w:line="276" w:lineRule="auto"/>
        <w:jc w:val="center"/>
        <w:rPr>
          <w:color w:val="000000"/>
        </w:rPr>
      </w:pPr>
      <w:r w:rsidRPr="00A4620D">
        <w:rPr>
          <w:noProof/>
        </w:rPr>
        <w:lastRenderedPageBreak/>
        <w:drawing>
          <wp:inline distT="0" distB="0" distL="0" distR="0" wp14:anchorId="244558AD" wp14:editId="1367B0D4">
            <wp:extent cx="5832607" cy="6657975"/>
            <wp:effectExtent l="0" t="0" r="0" b="0"/>
            <wp:docPr id="8512" name="Picture 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35270" cy="6661015"/>
                    </a:xfrm>
                    <a:prstGeom prst="rect">
                      <a:avLst/>
                    </a:prstGeom>
                    <a:noFill/>
                    <a:ln>
                      <a:noFill/>
                    </a:ln>
                  </pic:spPr>
                </pic:pic>
              </a:graphicData>
            </a:graphic>
          </wp:inline>
        </w:drawing>
      </w:r>
    </w:p>
    <w:p w14:paraId="279CC908" w14:textId="77777777" w:rsidR="00081C89" w:rsidRPr="00626807" w:rsidRDefault="00081C89" w:rsidP="00081C89">
      <w:pPr>
        <w:pStyle w:val="TOCHeading"/>
        <w:rPr>
          <w:b/>
        </w:rPr>
        <w:sectPr w:rsidR="00081C89" w:rsidRPr="00626807" w:rsidSect="0095456D">
          <w:pgSz w:w="12240" w:h="15840"/>
          <w:pgMar w:top="1440" w:right="1440" w:bottom="1440" w:left="1440" w:header="720" w:footer="720" w:gutter="0"/>
          <w:cols w:space="720"/>
          <w:docGrid w:linePitch="360"/>
        </w:sectPr>
      </w:pPr>
      <w:r>
        <w:rPr>
          <w:b/>
        </w:rPr>
        <w:t xml:space="preserve">Table 3.8.  </w:t>
      </w:r>
      <w:r>
        <w:t xml:space="preserve">Applied polycyclic aromatic hydrocarbons (PAHs) </w:t>
      </w:r>
      <w:r w:rsidRPr="00680673">
        <w:t>in the Speake Ranch Woodford 314 ft stratigraphic section</w:t>
      </w:r>
      <w:r>
        <w:t>. K means corresponds to each geostatistical analysis of Rock-Eval data with XRF data for defining unsupervised facies clustering. Ten facies from 0 – 9 are identified. PAHs data comparison</w:t>
      </w:r>
      <w:r w:rsidRPr="00680673">
        <w:t xml:space="preserve"> with the respective K-means facies and </w:t>
      </w:r>
      <w:r>
        <w:t>%TOC</w:t>
      </w:r>
      <w:r w:rsidRPr="00680673">
        <w:t xml:space="preserve"> (Leco column)</w:t>
      </w:r>
      <w:r>
        <w:t xml:space="preserve"> for identifying progadational terrestrial organic matter inputs towards deeper basinal deposits of the Woodford Shale</w:t>
      </w:r>
      <w:r w:rsidRPr="00680673">
        <w:t>.</w:t>
      </w:r>
      <w:r>
        <w:t xml:space="preserve"> PAHs concentrations in μg/g EOM. </w:t>
      </w:r>
    </w:p>
    <w:p w14:paraId="44D90FA6" w14:textId="77777777" w:rsidR="00081C89" w:rsidRDefault="00081C89" w:rsidP="00081C89">
      <w:pPr>
        <w:spacing w:after="0"/>
        <w:jc w:val="center"/>
        <w:rPr>
          <w:color w:val="000000"/>
        </w:rPr>
      </w:pPr>
      <w:r>
        <w:rPr>
          <w:noProof/>
          <w:color w:val="000000"/>
        </w:rPr>
        <w:lastRenderedPageBreak/>
        <w:drawing>
          <wp:inline distT="0" distB="0" distL="0" distR="0" wp14:anchorId="0BF76F8A" wp14:editId="2E7EAF4A">
            <wp:extent cx="7700010" cy="5358765"/>
            <wp:effectExtent l="0" t="0" r="0" b="0"/>
            <wp:docPr id="8527" name="Picture 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700010" cy="5358765"/>
                    </a:xfrm>
                    <a:prstGeom prst="rect">
                      <a:avLst/>
                    </a:prstGeom>
                    <a:noFill/>
                  </pic:spPr>
                </pic:pic>
              </a:graphicData>
            </a:graphic>
          </wp:inline>
        </w:drawing>
      </w:r>
    </w:p>
    <w:p w14:paraId="563A21AE" w14:textId="77777777" w:rsidR="00081C89" w:rsidRDefault="00081C89" w:rsidP="00081C89">
      <w:pPr>
        <w:pStyle w:val="Caption"/>
      </w:pPr>
      <w:bookmarkStart w:id="270" w:name="_Toc35861235"/>
      <w:r>
        <w:rPr>
          <w:b/>
        </w:rPr>
        <w:t xml:space="preserve">Figure 3.49. </w:t>
      </w:r>
      <w:r w:rsidRPr="00A34CF8">
        <w:t>GC</w:t>
      </w:r>
      <w:r>
        <w:t>-</w:t>
      </w:r>
      <w:r w:rsidRPr="00A34CF8">
        <w:t xml:space="preserve">MS identification of fluoranthene, pyrene, benzofluoranthenes, benzopyrenes, and perylene, by comparing previously identified peaks for the coal tar standard with peaks in the </w:t>
      </w:r>
      <w:r>
        <w:t>Lower, Middle, and Upper Woodford member samples. M/z 202+252+276</w:t>
      </w:r>
      <w:bookmarkEnd w:id="270"/>
    </w:p>
    <w:p w14:paraId="0F2AE9E7" w14:textId="77777777" w:rsidR="00081C89" w:rsidRDefault="00081C89" w:rsidP="00081C89">
      <w:pPr>
        <w:pStyle w:val="Caption"/>
        <w:rPr>
          <w:b/>
        </w:rPr>
        <w:sectPr w:rsidR="00081C89" w:rsidSect="0095456D">
          <w:pgSz w:w="15840" w:h="12240" w:orient="landscape"/>
          <w:pgMar w:top="1440" w:right="1440" w:bottom="1440" w:left="1440" w:header="720" w:footer="720" w:gutter="0"/>
          <w:cols w:space="720"/>
          <w:docGrid w:linePitch="360"/>
        </w:sectPr>
      </w:pPr>
    </w:p>
    <w:p w14:paraId="7C5C06A6" w14:textId="77777777" w:rsidR="00081C89" w:rsidRDefault="00081C89" w:rsidP="00081C89">
      <w:pPr>
        <w:pStyle w:val="Caption"/>
        <w:rPr>
          <w:b/>
        </w:rPr>
      </w:pPr>
    </w:p>
    <w:p w14:paraId="7178164C" w14:textId="77777777" w:rsidR="00081C89" w:rsidRDefault="00081C89" w:rsidP="00081C89">
      <w:pPr>
        <w:jc w:val="center"/>
      </w:pPr>
      <w:r>
        <w:rPr>
          <w:noProof/>
        </w:rPr>
        <w:drawing>
          <wp:inline distT="0" distB="0" distL="0" distR="0" wp14:anchorId="4D177F86" wp14:editId="19842920">
            <wp:extent cx="3444240" cy="5072380"/>
            <wp:effectExtent l="0" t="0" r="3810" b="0"/>
            <wp:docPr id="8528" name="Picture 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444240" cy="5072380"/>
                    </a:xfrm>
                    <a:prstGeom prst="rect">
                      <a:avLst/>
                    </a:prstGeom>
                    <a:noFill/>
                  </pic:spPr>
                </pic:pic>
              </a:graphicData>
            </a:graphic>
          </wp:inline>
        </w:drawing>
      </w:r>
    </w:p>
    <w:p w14:paraId="26FC5586" w14:textId="77777777" w:rsidR="00081C89" w:rsidRPr="00776A80" w:rsidRDefault="00081C89" w:rsidP="00081C89">
      <w:pPr>
        <w:spacing w:after="0"/>
        <w:rPr>
          <w:lang w:bidi="en-US"/>
        </w:rPr>
      </w:pPr>
    </w:p>
    <w:p w14:paraId="3969CF85" w14:textId="77777777" w:rsidR="00081C89" w:rsidRDefault="00081C89" w:rsidP="00081C89">
      <w:pPr>
        <w:pStyle w:val="Caption"/>
        <w:rPr>
          <w:bCs w:val="0"/>
        </w:rPr>
        <w:sectPr w:rsidR="00081C89" w:rsidSect="0095456D">
          <w:pgSz w:w="12240" w:h="15840"/>
          <w:pgMar w:top="1440" w:right="1440" w:bottom="1440" w:left="1440" w:header="720" w:footer="720" w:gutter="0"/>
          <w:cols w:space="720"/>
          <w:docGrid w:linePitch="360"/>
        </w:sectPr>
      </w:pPr>
      <w:bookmarkStart w:id="271" w:name="_Toc35861236"/>
      <w:r w:rsidRPr="00FC2D9D">
        <w:rPr>
          <w:b/>
        </w:rPr>
        <w:t>Figure 3.</w:t>
      </w:r>
      <w:r>
        <w:rPr>
          <w:b/>
        </w:rPr>
        <w:t>50.</w:t>
      </w:r>
      <w:r>
        <w:t xml:space="preserve"> </w:t>
      </w:r>
      <w:r w:rsidRPr="00072134">
        <w:t xml:space="preserve">GC-MS identification of </w:t>
      </w:r>
      <w:r>
        <w:t>dibenzofuran and fluorene</w:t>
      </w:r>
      <w:r w:rsidRPr="00072134">
        <w:t xml:space="preserve"> by comparing previously identified peaks for the coal tar standard </w:t>
      </w:r>
      <w:r>
        <w:t xml:space="preserve">reference material #1597 </w:t>
      </w:r>
      <w:r w:rsidRPr="00072134">
        <w:t xml:space="preserve">with peaks in the </w:t>
      </w:r>
      <w:r>
        <w:t>L</w:t>
      </w:r>
      <w:r w:rsidRPr="00072134">
        <w:t xml:space="preserve">ower, </w:t>
      </w:r>
      <w:r>
        <w:t>M</w:t>
      </w:r>
      <w:r w:rsidRPr="00072134">
        <w:t xml:space="preserve">iddle, and </w:t>
      </w:r>
      <w:r>
        <w:t>U</w:t>
      </w:r>
      <w:r w:rsidRPr="00072134">
        <w:t>pper Woodford member</w:t>
      </w:r>
      <w:r>
        <w:t>s</w:t>
      </w:r>
      <w:r w:rsidRPr="00072134">
        <w:t xml:space="preserve"> samples. M/z </w:t>
      </w:r>
      <w:r>
        <w:t>166.3+168.3 ions. Retention times of the compounds shown with their relative abundance.   Differences in the retention times of the standard vs. the samples are related to a change of the GC column length that affected in a difference of 0.3 minutes of  the retention times.</w:t>
      </w:r>
      <w:bookmarkEnd w:id="271"/>
      <w:r>
        <w:t xml:space="preserve"> </w:t>
      </w:r>
    </w:p>
    <w:p w14:paraId="2B4AF2FD" w14:textId="77777777" w:rsidR="00081C89" w:rsidRDefault="00081C89" w:rsidP="00081C89">
      <w:pPr>
        <w:spacing w:after="0"/>
        <w:jc w:val="center"/>
        <w:rPr>
          <w:b/>
          <w:bCs/>
        </w:rPr>
      </w:pPr>
      <w:r>
        <w:rPr>
          <w:b/>
          <w:bCs/>
          <w:noProof/>
        </w:rPr>
        <w:lastRenderedPageBreak/>
        <w:drawing>
          <wp:inline distT="0" distB="0" distL="0" distR="0" wp14:anchorId="7E2A643F" wp14:editId="3B54CADC">
            <wp:extent cx="8077835" cy="5292090"/>
            <wp:effectExtent l="0" t="0" r="0" b="3810"/>
            <wp:docPr id="8532" name="Picture 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77835" cy="5292090"/>
                    </a:xfrm>
                    <a:prstGeom prst="rect">
                      <a:avLst/>
                    </a:prstGeom>
                    <a:noFill/>
                  </pic:spPr>
                </pic:pic>
              </a:graphicData>
            </a:graphic>
          </wp:inline>
        </w:drawing>
      </w:r>
    </w:p>
    <w:p w14:paraId="7558AD4C" w14:textId="77777777" w:rsidR="00081C89" w:rsidRDefault="00081C89" w:rsidP="00081C89">
      <w:pPr>
        <w:pStyle w:val="Caption"/>
        <w:rPr>
          <w:b/>
        </w:rPr>
      </w:pPr>
      <w:bookmarkStart w:id="272" w:name="_Toc35861237"/>
      <w:r>
        <w:rPr>
          <w:b/>
        </w:rPr>
        <w:t xml:space="preserve">Figure 3.51. </w:t>
      </w:r>
      <w:r w:rsidRPr="009368F0">
        <w:t xml:space="preserve">Comparison </w:t>
      </w:r>
      <w:r>
        <w:t>of polycyclic aromatic hydrocarbons (PAHs)</w:t>
      </w:r>
      <w:r w:rsidRPr="009368F0">
        <w:t xml:space="preserve"> </w:t>
      </w:r>
      <w:r>
        <w:t>concentrations</w:t>
      </w:r>
      <w:r w:rsidRPr="009368F0">
        <w:t xml:space="preserve"> to</w:t>
      </w:r>
      <w:r>
        <w:t xml:space="preserve"> the Gamma-ray log and %TOC classified by the mechanical stratigraphy of the rock layers (soft vs. hard; Galvis, 2017).</w:t>
      </w:r>
      <w:bookmarkEnd w:id="272"/>
    </w:p>
    <w:p w14:paraId="65FD3132" w14:textId="77777777" w:rsidR="00081C89" w:rsidRPr="00FB43E0" w:rsidRDefault="00081C89" w:rsidP="00081C89">
      <w:pPr>
        <w:rPr>
          <w:lang w:bidi="en-US"/>
        </w:rPr>
        <w:sectPr w:rsidR="00081C89" w:rsidRPr="00FB43E0" w:rsidSect="0095456D">
          <w:pgSz w:w="15840" w:h="12240" w:orient="landscape"/>
          <w:pgMar w:top="1440" w:right="1440" w:bottom="1440" w:left="1440" w:header="720" w:footer="720" w:gutter="0"/>
          <w:cols w:space="720"/>
          <w:docGrid w:linePitch="360"/>
        </w:sectPr>
      </w:pPr>
    </w:p>
    <w:p w14:paraId="3D553D48" w14:textId="77777777" w:rsidR="00081C89" w:rsidRPr="00A453D3" w:rsidRDefault="00081C89" w:rsidP="00081C89">
      <w:pPr>
        <w:pStyle w:val="Heading3"/>
        <w:numPr>
          <w:ilvl w:val="2"/>
          <w:numId w:val="10"/>
        </w:numPr>
        <w:spacing w:line="480" w:lineRule="auto"/>
      </w:pPr>
      <w:bookmarkStart w:id="273" w:name="_Toc29304882"/>
      <w:bookmarkStart w:id="274" w:name="_Toc35861121"/>
      <w:r>
        <w:lastRenderedPageBreak/>
        <w:t>Possible mass extinction events in the Speake Ranch stratigraphic section</w:t>
      </w:r>
      <w:bookmarkEnd w:id="273"/>
      <w:bookmarkEnd w:id="274"/>
    </w:p>
    <w:p w14:paraId="0A1CBF23" w14:textId="77777777" w:rsidR="00081C89" w:rsidRDefault="00081C89" w:rsidP="00081C89">
      <w:pPr>
        <w:ind w:firstLine="360"/>
        <w:rPr>
          <w:color w:val="000000"/>
        </w:rPr>
      </w:pPr>
      <w:r>
        <w:rPr>
          <w:color w:val="000000"/>
        </w:rPr>
        <w:t>The higher gamma</w:t>
      </w:r>
      <w:r w:rsidRPr="004F0540">
        <w:rPr>
          <w:color w:val="000000"/>
        </w:rPr>
        <w:t xml:space="preserve">cerane </w:t>
      </w:r>
      <w:r>
        <w:rPr>
          <w:color w:val="000000"/>
        </w:rPr>
        <w:t>index, high isorenieratane, and paleorenieratane concentrations, coupled with high</w:t>
      </w:r>
      <w:r w:rsidRPr="004F0540">
        <w:rPr>
          <w:color w:val="000000"/>
        </w:rPr>
        <w:t xml:space="preserve"> DBT</w:t>
      </w:r>
      <w:r>
        <w:rPr>
          <w:color w:val="000000"/>
        </w:rPr>
        <w:t>, DBF, all increasing in abundance</w:t>
      </w:r>
      <w:r w:rsidRPr="004F0540">
        <w:rPr>
          <w:color w:val="000000"/>
        </w:rPr>
        <w:t xml:space="preserve"> toward</w:t>
      </w:r>
      <w:r>
        <w:rPr>
          <w:color w:val="000000"/>
        </w:rPr>
        <w:t>s</w:t>
      </w:r>
      <w:r w:rsidRPr="004F0540">
        <w:rPr>
          <w:color w:val="000000"/>
        </w:rPr>
        <w:t xml:space="preserve"> the bottom of the outcrop suggests water column stratification, h</w:t>
      </w:r>
      <w:r>
        <w:rPr>
          <w:color w:val="000000"/>
        </w:rPr>
        <w:t>igh salinity in the paleo-water conditions</w:t>
      </w:r>
      <w:r w:rsidRPr="004F0540">
        <w:rPr>
          <w:color w:val="000000"/>
        </w:rPr>
        <w:t>, and H</w:t>
      </w:r>
      <w:r w:rsidRPr="00DA6A75">
        <w:rPr>
          <w:color w:val="000000"/>
          <w:vertAlign w:val="subscript"/>
        </w:rPr>
        <w:t>2</w:t>
      </w:r>
      <w:r w:rsidRPr="004F0540">
        <w:rPr>
          <w:color w:val="000000"/>
        </w:rPr>
        <w:t>S abundance</w:t>
      </w:r>
      <w:r>
        <w:rPr>
          <w:color w:val="000000"/>
        </w:rPr>
        <w:t>. These factors are</w:t>
      </w:r>
      <w:r w:rsidRPr="004F0540">
        <w:rPr>
          <w:color w:val="000000"/>
        </w:rPr>
        <w:t xml:space="preserve"> typically associated with restricted, reducing conditions</w:t>
      </w:r>
      <w:r>
        <w:rPr>
          <w:color w:val="000000"/>
        </w:rPr>
        <w:t>, and match the pre-criteria for enclosed mini-basin fill settings within a marine depositional system</w:t>
      </w:r>
      <w:r w:rsidRPr="004F0540">
        <w:rPr>
          <w:color w:val="000000"/>
        </w:rPr>
        <w:t>. Ad</w:t>
      </w:r>
      <w:r>
        <w:rPr>
          <w:color w:val="000000"/>
        </w:rPr>
        <w:t>d</w:t>
      </w:r>
      <w:r w:rsidRPr="004F0540">
        <w:rPr>
          <w:color w:val="000000"/>
        </w:rPr>
        <w:t>itionally,</w:t>
      </w:r>
      <w:r>
        <w:rPr>
          <w:color w:val="000000"/>
        </w:rPr>
        <w:t xml:space="preserve"> </w:t>
      </w:r>
      <w:r w:rsidRPr="004F0540">
        <w:rPr>
          <w:color w:val="000000"/>
        </w:rPr>
        <w:t xml:space="preserve">aryl isoprenoids and carotenoids from </w:t>
      </w:r>
      <w:r>
        <w:rPr>
          <w:i/>
          <w:color w:val="000000"/>
        </w:rPr>
        <w:t>C</w:t>
      </w:r>
      <w:r w:rsidRPr="00281D80">
        <w:rPr>
          <w:i/>
          <w:color w:val="000000"/>
        </w:rPr>
        <w:t>hlorobiaceae</w:t>
      </w:r>
      <w:r w:rsidRPr="004F0540">
        <w:rPr>
          <w:color w:val="000000"/>
        </w:rPr>
        <w:t>, which require PZE for habitation, demonstrate instances of euxinia in the basin</w:t>
      </w:r>
      <w:r>
        <w:rPr>
          <w:color w:val="000000"/>
        </w:rPr>
        <w:t>, which starts at the base of the Lower member, ending</w:t>
      </w:r>
      <w:r w:rsidRPr="004F0540">
        <w:rPr>
          <w:color w:val="000000"/>
        </w:rPr>
        <w:t xml:space="preserve"> </w:t>
      </w:r>
      <w:r>
        <w:rPr>
          <w:color w:val="000000"/>
        </w:rPr>
        <w:t xml:space="preserve">in </w:t>
      </w:r>
      <w:r w:rsidRPr="004F0540">
        <w:rPr>
          <w:color w:val="000000"/>
        </w:rPr>
        <w:t xml:space="preserve">the </w:t>
      </w:r>
      <w:r>
        <w:rPr>
          <w:color w:val="000000"/>
        </w:rPr>
        <w:t>lower part</w:t>
      </w:r>
      <w:r w:rsidRPr="004F0540">
        <w:rPr>
          <w:color w:val="000000"/>
        </w:rPr>
        <w:t xml:space="preserve"> of </w:t>
      </w:r>
      <w:r>
        <w:rPr>
          <w:color w:val="000000"/>
        </w:rPr>
        <w:t xml:space="preserve">the </w:t>
      </w:r>
      <w:r w:rsidRPr="004F0540">
        <w:rPr>
          <w:color w:val="000000"/>
        </w:rPr>
        <w:t>Woodford</w:t>
      </w:r>
      <w:r>
        <w:rPr>
          <w:color w:val="000000"/>
        </w:rPr>
        <w:t xml:space="preserve"> Upper member</w:t>
      </w:r>
      <w:r w:rsidRPr="004F0540">
        <w:rPr>
          <w:color w:val="000000"/>
        </w:rPr>
        <w:t xml:space="preserve"> deposition</w:t>
      </w:r>
      <w:r>
        <w:rPr>
          <w:color w:val="000000"/>
        </w:rPr>
        <w:t>. An interval of persistent PZE conditions is</w:t>
      </w:r>
      <w:r w:rsidRPr="004F0540">
        <w:rPr>
          <w:color w:val="000000"/>
        </w:rPr>
        <w:t xml:space="preserve"> associated with </w:t>
      </w:r>
      <w:r>
        <w:rPr>
          <w:color w:val="000000"/>
        </w:rPr>
        <w:t>a significant</w:t>
      </w:r>
      <w:r w:rsidRPr="004F0540">
        <w:rPr>
          <w:color w:val="000000"/>
        </w:rPr>
        <w:t xml:space="preserve"> period of established water column stratification within this section of the Woodford</w:t>
      </w:r>
      <w:r>
        <w:rPr>
          <w:color w:val="000000"/>
        </w:rPr>
        <w:t xml:space="preserve"> Shale</w:t>
      </w:r>
      <w:r w:rsidRPr="004F0540">
        <w:rPr>
          <w:color w:val="000000"/>
        </w:rPr>
        <w:t xml:space="preserve">. </w:t>
      </w:r>
      <w:r>
        <w:rPr>
          <w:color w:val="000000"/>
        </w:rPr>
        <w:t>It can be observed that at least on seven</w:t>
      </w:r>
      <w:r w:rsidRPr="004F0540">
        <w:rPr>
          <w:color w:val="000000"/>
        </w:rPr>
        <w:t xml:space="preserve"> occasions</w:t>
      </w:r>
      <w:r>
        <w:rPr>
          <w:color w:val="000000"/>
        </w:rPr>
        <w:t xml:space="preserve"> (three times</w:t>
      </w:r>
      <w:r w:rsidRPr="004F0540">
        <w:rPr>
          <w:color w:val="000000"/>
        </w:rPr>
        <w:t xml:space="preserve"> in the</w:t>
      </w:r>
      <w:r>
        <w:rPr>
          <w:color w:val="000000"/>
        </w:rPr>
        <w:t xml:space="preserve"> Lower, twice in the M</w:t>
      </w:r>
      <w:r w:rsidRPr="004F0540">
        <w:rPr>
          <w:color w:val="000000"/>
        </w:rPr>
        <w:t>iddle Woodford</w:t>
      </w:r>
      <w:r>
        <w:rPr>
          <w:color w:val="000000"/>
        </w:rPr>
        <w:t xml:space="preserve"> member,</w:t>
      </w:r>
      <w:r w:rsidRPr="004F0540">
        <w:rPr>
          <w:color w:val="000000"/>
        </w:rPr>
        <w:t xml:space="preserve"> and </w:t>
      </w:r>
      <w:r>
        <w:rPr>
          <w:color w:val="000000"/>
        </w:rPr>
        <w:t>twice</w:t>
      </w:r>
      <w:r w:rsidRPr="004F0540">
        <w:rPr>
          <w:color w:val="000000"/>
        </w:rPr>
        <w:t xml:space="preserve"> in the </w:t>
      </w:r>
      <w:r>
        <w:rPr>
          <w:color w:val="000000"/>
        </w:rPr>
        <w:t>U</w:t>
      </w:r>
      <w:r w:rsidRPr="004F0540">
        <w:rPr>
          <w:color w:val="000000"/>
        </w:rPr>
        <w:t>pper Woodford</w:t>
      </w:r>
      <w:r>
        <w:rPr>
          <w:color w:val="000000"/>
        </w:rPr>
        <w:t xml:space="preserve"> member), these cyclical periods </w:t>
      </w:r>
      <w:r w:rsidRPr="004F0540">
        <w:rPr>
          <w:color w:val="000000"/>
        </w:rPr>
        <w:t>demonstrate prominent stratification (~</w:t>
      </w:r>
      <w:r>
        <w:rPr>
          <w:color w:val="000000"/>
        </w:rPr>
        <w:t>15-40</w:t>
      </w:r>
      <w:r w:rsidRPr="004F0540">
        <w:rPr>
          <w:color w:val="000000"/>
        </w:rPr>
        <w:t xml:space="preserve"> feet </w:t>
      </w:r>
      <w:r>
        <w:rPr>
          <w:color w:val="000000"/>
        </w:rPr>
        <w:t>of gross thickness of these intervals</w:t>
      </w:r>
      <w:r w:rsidRPr="004F0540">
        <w:rPr>
          <w:color w:val="000000"/>
        </w:rPr>
        <w:t>)</w:t>
      </w:r>
      <w:r>
        <w:rPr>
          <w:color w:val="000000"/>
        </w:rPr>
        <w:t xml:space="preserve">. </w:t>
      </w:r>
    </w:p>
    <w:p w14:paraId="0BDD5C3D" w14:textId="72DFEABA" w:rsidR="00081C89" w:rsidRPr="004F0540" w:rsidRDefault="00081C89" w:rsidP="00081C89">
      <w:pPr>
        <w:ind w:firstLine="360"/>
        <w:rPr>
          <w:color w:val="000000"/>
        </w:rPr>
      </w:pPr>
      <w:r>
        <w:rPr>
          <w:color w:val="000000"/>
        </w:rPr>
        <w:t xml:space="preserve">The </w:t>
      </w:r>
      <w:r w:rsidRPr="004F0540">
        <w:rPr>
          <w:color w:val="000000"/>
        </w:rPr>
        <w:t>abundances of aryl isoprenoids, carotenoids, DB</w:t>
      </w:r>
      <w:r w:rsidR="00F0588E">
        <w:rPr>
          <w:color w:val="000000"/>
        </w:rPr>
        <w:t>T</w:t>
      </w:r>
      <w:r w:rsidRPr="004F0540">
        <w:rPr>
          <w:color w:val="000000"/>
        </w:rPr>
        <w:t xml:space="preserve"> and </w:t>
      </w:r>
      <w:r>
        <w:rPr>
          <w:color w:val="000000"/>
        </w:rPr>
        <w:t>gamma</w:t>
      </w:r>
      <w:r w:rsidRPr="004F0540">
        <w:rPr>
          <w:color w:val="000000"/>
        </w:rPr>
        <w:t>cerane</w:t>
      </w:r>
      <w:r>
        <w:rPr>
          <w:color w:val="000000"/>
        </w:rPr>
        <w:t>,</w:t>
      </w:r>
      <w:r w:rsidRPr="004F0540">
        <w:rPr>
          <w:color w:val="000000"/>
        </w:rPr>
        <w:t xml:space="preserve"> coincide</w:t>
      </w:r>
      <w:r>
        <w:rPr>
          <w:color w:val="000000"/>
        </w:rPr>
        <w:t xml:space="preserve"> and </w:t>
      </w:r>
      <w:r w:rsidRPr="004F0540">
        <w:rPr>
          <w:color w:val="000000"/>
        </w:rPr>
        <w:t>point to a distinct period of persistent PZE</w:t>
      </w:r>
      <w:r>
        <w:rPr>
          <w:color w:val="000000"/>
        </w:rPr>
        <w:t xml:space="preserve"> mostly for the Lower Woodford and Middle Woodford members, and slightly in the Upper Woodford member</w:t>
      </w:r>
      <w:r w:rsidRPr="004F0540">
        <w:rPr>
          <w:color w:val="000000"/>
        </w:rPr>
        <w:t>.</w:t>
      </w:r>
      <w:r>
        <w:rPr>
          <w:color w:val="000000"/>
        </w:rPr>
        <w:t xml:space="preserve"> Moreover, this </w:t>
      </w:r>
      <w:r w:rsidRPr="004F0540">
        <w:rPr>
          <w:color w:val="000000"/>
        </w:rPr>
        <w:t xml:space="preserve">study </w:t>
      </w:r>
      <w:r>
        <w:rPr>
          <w:color w:val="000000"/>
        </w:rPr>
        <w:t>proposes high concentrations of high isorenieratane and paleorenieratane, coupled with high</w:t>
      </w:r>
      <w:r w:rsidRPr="004F0540">
        <w:rPr>
          <w:color w:val="000000"/>
        </w:rPr>
        <w:t xml:space="preserve"> </w:t>
      </w:r>
      <w:r>
        <w:rPr>
          <w:color w:val="000000"/>
        </w:rPr>
        <w:t xml:space="preserve">concentrations of </w:t>
      </w:r>
      <w:r w:rsidRPr="004F0540">
        <w:rPr>
          <w:color w:val="000000"/>
        </w:rPr>
        <w:t>DBT</w:t>
      </w:r>
      <w:r>
        <w:rPr>
          <w:color w:val="000000"/>
        </w:rPr>
        <w:t>, DBF</w:t>
      </w:r>
      <w:r w:rsidRPr="008E11FB">
        <w:t xml:space="preserve"> </w:t>
      </w:r>
      <w:r w:rsidRPr="008E11FB">
        <w:rPr>
          <w:color w:val="000000"/>
        </w:rPr>
        <w:t>pyrene, chrysene, and cadalene</w:t>
      </w:r>
      <w:r w:rsidRPr="004F0540">
        <w:rPr>
          <w:color w:val="000000"/>
        </w:rPr>
        <w:t xml:space="preserve"> </w:t>
      </w:r>
      <w:r>
        <w:rPr>
          <w:color w:val="000000"/>
        </w:rPr>
        <w:t xml:space="preserve">as </w:t>
      </w:r>
      <w:r w:rsidRPr="004F0540">
        <w:rPr>
          <w:color w:val="000000"/>
        </w:rPr>
        <w:t>evidence of ecologic stress that characterized the primary extinctions of the Devonian period</w:t>
      </w:r>
      <w:r w:rsidR="00981594">
        <w:rPr>
          <w:color w:val="000000"/>
        </w:rPr>
        <w:t xml:space="preserve">. The extinction events in the Late Devonian period proposed for the SR are the </w:t>
      </w:r>
      <w:r w:rsidRPr="004F0540">
        <w:rPr>
          <w:color w:val="000000"/>
        </w:rPr>
        <w:t>Kellwasser and Hangenberg</w:t>
      </w:r>
      <w:r>
        <w:rPr>
          <w:color w:val="000000"/>
        </w:rPr>
        <w:t xml:space="preserve"> (K&amp;H)</w:t>
      </w:r>
      <w:r w:rsidRPr="004F0540">
        <w:rPr>
          <w:color w:val="000000"/>
        </w:rPr>
        <w:t xml:space="preserve"> </w:t>
      </w:r>
      <w:r>
        <w:rPr>
          <w:color w:val="000000"/>
        </w:rPr>
        <w:t>e</w:t>
      </w:r>
      <w:r w:rsidRPr="004F0540">
        <w:rPr>
          <w:color w:val="000000"/>
        </w:rPr>
        <w:t>vents</w:t>
      </w:r>
      <w:r w:rsidR="00F0588E">
        <w:rPr>
          <w:color w:val="000000"/>
        </w:rPr>
        <w:t>. The K&amp;H events have been recognized for the Devonian period</w:t>
      </w:r>
      <w:r w:rsidR="00981594">
        <w:rPr>
          <w:color w:val="000000"/>
        </w:rPr>
        <w:t xml:space="preserve"> </w:t>
      </w:r>
      <w:r>
        <w:rPr>
          <w:color w:val="000000"/>
        </w:rPr>
        <w:t xml:space="preserve">by McGhee (1981 and 1996), Sandberg et al. (1988), Nabbefeld et al. (2000),  </w:t>
      </w:r>
      <w:r w:rsidRPr="009949C2">
        <w:rPr>
          <w:color w:val="000000"/>
        </w:rPr>
        <w:t>Nowaczewski</w:t>
      </w:r>
      <w:r>
        <w:rPr>
          <w:color w:val="000000"/>
        </w:rPr>
        <w:t xml:space="preserve"> (2011), Becker et al. (2012), and Kaiser et al., (2015). </w:t>
      </w:r>
      <w:r>
        <w:rPr>
          <w:color w:val="000000"/>
        </w:rPr>
        <w:lastRenderedPageBreak/>
        <w:t xml:space="preserve">Galvis et al. (2017a and 2017b), and Becerra-Rondon (2017) proposed these K&amp;H events in the SR after a stratigraphic correlation to subsurface wells, locating the K&amp;H in the interval of 190-240 ft. Jones (2017) proposed the K&amp;H events to be present in the Woodford Shale, in a nearby section of the SR Arbuckle Mountains structural trend. Connock et al. (2018) using biomarker analyses, and Molinares (2019) using palynology analyses, identified the K&amp;H as well for the Woodford Shale in the Arkoma basin, Oklahoma. </w:t>
      </w:r>
    </w:p>
    <w:p w14:paraId="46283E51" w14:textId="2AFD00E9" w:rsidR="00081C89" w:rsidRDefault="00081C89" w:rsidP="00081C89">
      <w:pPr>
        <w:ind w:firstLine="720"/>
        <w:rPr>
          <w:color w:val="000000"/>
        </w:rPr>
      </w:pPr>
      <w:r>
        <w:rPr>
          <w:color w:val="000000"/>
        </w:rPr>
        <w:t>In the Woodford Shale SR section, the b</w:t>
      </w:r>
      <w:r w:rsidRPr="004F0540">
        <w:rPr>
          <w:color w:val="000000"/>
        </w:rPr>
        <w:t xml:space="preserve">iomarker </w:t>
      </w:r>
      <w:r>
        <w:rPr>
          <w:color w:val="000000"/>
        </w:rPr>
        <w:t>indicators</w:t>
      </w:r>
      <w:r w:rsidRPr="004F0540">
        <w:rPr>
          <w:color w:val="000000"/>
        </w:rPr>
        <w:t xml:space="preserve"> </w:t>
      </w:r>
      <w:r>
        <w:rPr>
          <w:color w:val="000000"/>
        </w:rPr>
        <w:t xml:space="preserve">of </w:t>
      </w:r>
      <w:r w:rsidRPr="004F0540">
        <w:rPr>
          <w:color w:val="000000"/>
        </w:rPr>
        <w:t>terrestrial organic matter and pyrogenic origin</w:t>
      </w:r>
      <w:r>
        <w:rPr>
          <w:color w:val="000000"/>
        </w:rPr>
        <w:t>s, coupled with PZE conditions,</w:t>
      </w:r>
      <w:r w:rsidRPr="004F0540">
        <w:rPr>
          <w:color w:val="000000"/>
        </w:rPr>
        <w:t xml:space="preserve"> </w:t>
      </w:r>
      <w:r>
        <w:rPr>
          <w:color w:val="000000"/>
        </w:rPr>
        <w:t>suggest the</w:t>
      </w:r>
      <w:r w:rsidR="00F0588E">
        <w:rPr>
          <w:color w:val="000000"/>
        </w:rPr>
        <w:t xml:space="preserve"> K&amp;H</w:t>
      </w:r>
      <w:r>
        <w:rPr>
          <w:color w:val="000000"/>
        </w:rPr>
        <w:t xml:space="preserve"> extinction events </w:t>
      </w:r>
      <w:r w:rsidR="00F0588E">
        <w:rPr>
          <w:color w:val="000000"/>
        </w:rPr>
        <w:t xml:space="preserve">are present in the </w:t>
      </w:r>
      <w:r>
        <w:rPr>
          <w:color w:val="000000"/>
        </w:rPr>
        <w:t xml:space="preserve">south SCOOP </w:t>
      </w:r>
      <w:r w:rsidR="00F0588E">
        <w:rPr>
          <w:color w:val="000000"/>
        </w:rPr>
        <w:t>Oklahoma p</w:t>
      </w:r>
      <w:r>
        <w:rPr>
          <w:color w:val="000000"/>
        </w:rPr>
        <w:t xml:space="preserve">etroleum province. </w:t>
      </w:r>
      <w:r w:rsidRPr="000F3FAD">
        <w:rPr>
          <w:color w:val="000000"/>
        </w:rPr>
        <w:t xml:space="preserve">These lines of evidence of the K&amp;H events are </w:t>
      </w:r>
      <w:r>
        <w:rPr>
          <w:color w:val="000000"/>
        </w:rPr>
        <w:t xml:space="preserve">principally </w:t>
      </w:r>
      <w:r w:rsidRPr="000F3FAD">
        <w:rPr>
          <w:color w:val="000000"/>
        </w:rPr>
        <w:t xml:space="preserve">based on the increased abundance of PAHs such as cadalene, perylene, fluorene, dibenzofuran, </w:t>
      </w:r>
      <w:r w:rsidR="007E1A3D" w:rsidRPr="000F3FAD">
        <w:rPr>
          <w:color w:val="000000"/>
        </w:rPr>
        <w:t>etc.</w:t>
      </w:r>
      <w:r w:rsidRPr="000F3FAD">
        <w:rPr>
          <w:color w:val="000000"/>
        </w:rPr>
        <w:t xml:space="preserve"> These PA</w:t>
      </w:r>
      <w:r>
        <w:rPr>
          <w:color w:val="000000"/>
        </w:rPr>
        <w:t>H</w:t>
      </w:r>
      <w:r w:rsidRPr="000F3FAD">
        <w:rPr>
          <w:color w:val="000000"/>
        </w:rPr>
        <w:t xml:space="preserve"> abundances suggest that the increased terrestrial input from land plants during the late Devonian, likely upset marine life by contributing to harsh, anoxic conditions that killed off many species between the </w:t>
      </w:r>
      <w:r w:rsidRPr="00E37BE2">
        <w:t xml:space="preserve">Frasnian-Famennian (F-F) </w:t>
      </w:r>
      <w:r w:rsidRPr="000F3FAD">
        <w:rPr>
          <w:color w:val="000000"/>
        </w:rPr>
        <w:t>and Devonian-Carboniferous</w:t>
      </w:r>
      <w:r>
        <w:rPr>
          <w:color w:val="000000"/>
        </w:rPr>
        <w:t xml:space="preserve"> (D-C)</w:t>
      </w:r>
      <w:r w:rsidRPr="000F3FAD">
        <w:rPr>
          <w:color w:val="000000"/>
        </w:rPr>
        <w:t xml:space="preserve"> boundaries</w:t>
      </w:r>
      <w:r w:rsidRPr="00E37BE2">
        <w:rPr>
          <w:color w:val="000000"/>
        </w:rPr>
        <w:t>.</w:t>
      </w:r>
      <w:r>
        <w:rPr>
          <w:color w:val="000000"/>
        </w:rPr>
        <w:t xml:space="preserve"> From the biomarker analysis, it is interpreted that the F-F event is located between 194.5 to 210 ft of SR (Figure 3.48 and Figure 3.51). This interpretation narrows the stratigraphic interval proposed by Galvis (2017), and Galvis et al. (2017a and 2017b), but the precise location of these F-F and D-C boundaries within the 314 ft of Woodford Shale SR stratigraphic section will require a much more detailed biomarker analysis coupled with biostratigraphic end of species recognitions, that should cover a closer vertical sample spacing than the one applied in this study</w:t>
      </w:r>
      <w:r w:rsidRPr="004F0540">
        <w:rPr>
          <w:color w:val="000000"/>
        </w:rPr>
        <w:t xml:space="preserve">.  </w:t>
      </w:r>
    </w:p>
    <w:p w14:paraId="10EB7F12" w14:textId="77777777" w:rsidR="00081C89" w:rsidRDefault="00081C89" w:rsidP="00081C89">
      <w:pPr>
        <w:ind w:firstLine="720"/>
        <w:rPr>
          <w:color w:val="000000"/>
        </w:rPr>
      </w:pPr>
      <w:r>
        <w:rPr>
          <w:color w:val="000000"/>
        </w:rPr>
        <w:t>It is proposed that for the Middle, and Lower Woodford Shale, the intervals with</w:t>
      </w:r>
      <w:r w:rsidRPr="004F0540">
        <w:rPr>
          <w:color w:val="000000"/>
        </w:rPr>
        <w:t xml:space="preserve"> </w:t>
      </w:r>
      <w:r>
        <w:rPr>
          <w:color w:val="000000"/>
        </w:rPr>
        <w:t xml:space="preserve">the </w:t>
      </w:r>
      <w:r w:rsidRPr="004F0540">
        <w:rPr>
          <w:color w:val="000000"/>
        </w:rPr>
        <w:t>excessive terrestrial organic matter</w:t>
      </w:r>
      <w:r>
        <w:rPr>
          <w:color w:val="000000"/>
        </w:rPr>
        <w:t xml:space="preserve"> was accumulated</w:t>
      </w:r>
      <w:r w:rsidRPr="004F0540">
        <w:rPr>
          <w:color w:val="000000"/>
        </w:rPr>
        <w:t xml:space="preserve"> due to the diversification of land plants, </w:t>
      </w:r>
      <w:r>
        <w:rPr>
          <w:color w:val="000000"/>
        </w:rPr>
        <w:t xml:space="preserve">which </w:t>
      </w:r>
      <w:r w:rsidRPr="004F0540">
        <w:rPr>
          <w:color w:val="000000"/>
        </w:rPr>
        <w:t xml:space="preserve">likely </w:t>
      </w:r>
      <w:r>
        <w:rPr>
          <w:color w:val="000000"/>
        </w:rPr>
        <w:t>suppressed</w:t>
      </w:r>
      <w:r w:rsidRPr="004F0540">
        <w:rPr>
          <w:color w:val="000000"/>
        </w:rPr>
        <w:t xml:space="preserve"> the marine ecosystem, and eventually led to </w:t>
      </w:r>
      <w:r>
        <w:rPr>
          <w:color w:val="000000"/>
        </w:rPr>
        <w:t>a significant</w:t>
      </w:r>
      <w:r w:rsidRPr="004F0540">
        <w:rPr>
          <w:color w:val="000000"/>
        </w:rPr>
        <w:t xml:space="preserve"> destruction of </w:t>
      </w:r>
      <w:r>
        <w:rPr>
          <w:color w:val="000000"/>
        </w:rPr>
        <w:lastRenderedPageBreak/>
        <w:t xml:space="preserve">the existing </w:t>
      </w:r>
      <w:r w:rsidRPr="004F0540">
        <w:rPr>
          <w:color w:val="000000"/>
        </w:rPr>
        <w:t xml:space="preserve">Devonian </w:t>
      </w:r>
      <w:r>
        <w:rPr>
          <w:color w:val="000000"/>
        </w:rPr>
        <w:t>biota</w:t>
      </w:r>
      <w:r w:rsidRPr="004F0540">
        <w:rPr>
          <w:color w:val="000000"/>
        </w:rPr>
        <w:t xml:space="preserve">. The increased nutrients available caused </w:t>
      </w:r>
      <w:r>
        <w:rPr>
          <w:color w:val="000000"/>
        </w:rPr>
        <w:t xml:space="preserve">the </w:t>
      </w:r>
      <w:r w:rsidRPr="004F0540">
        <w:rPr>
          <w:color w:val="000000"/>
        </w:rPr>
        <w:t>blooming of marine fauna, followed by over-consumption of oxygen, and therefore O</w:t>
      </w:r>
      <w:r w:rsidRPr="00340496">
        <w:rPr>
          <w:color w:val="000000"/>
          <w:vertAlign w:val="subscript"/>
        </w:rPr>
        <w:t>2</w:t>
      </w:r>
      <w:r w:rsidRPr="004F0540">
        <w:rPr>
          <w:color w:val="000000"/>
        </w:rPr>
        <w:t>-poor waters. At these intervals, high amounts of organic matter are preserved under euxinic conditions, and when found, may point to specific, regionally</w:t>
      </w:r>
      <w:r>
        <w:rPr>
          <w:color w:val="000000"/>
        </w:rPr>
        <w:t xml:space="preserve"> </w:t>
      </w:r>
      <w:r w:rsidRPr="004F0540">
        <w:rPr>
          <w:color w:val="000000"/>
        </w:rPr>
        <w:t>correlative unit</w:t>
      </w:r>
      <w:r>
        <w:rPr>
          <w:color w:val="000000"/>
        </w:rPr>
        <w:t>s</w:t>
      </w:r>
      <w:r w:rsidRPr="004F0540">
        <w:rPr>
          <w:color w:val="000000"/>
        </w:rPr>
        <w:t xml:space="preserve"> within the Woodford</w:t>
      </w:r>
      <w:r>
        <w:rPr>
          <w:color w:val="000000"/>
        </w:rPr>
        <w:t xml:space="preserve"> Shale</w:t>
      </w:r>
      <w:r w:rsidRPr="004F0540">
        <w:rPr>
          <w:color w:val="000000"/>
        </w:rPr>
        <w:t xml:space="preserve"> that could be rich in hydrocarbons. </w:t>
      </w:r>
    </w:p>
    <w:p w14:paraId="3576A09E" w14:textId="77777777" w:rsidR="00081C89" w:rsidRPr="00C92BA6" w:rsidRDefault="00081C89" w:rsidP="00081C89">
      <w:pPr>
        <w:pStyle w:val="Heading3"/>
        <w:numPr>
          <w:ilvl w:val="2"/>
          <w:numId w:val="10"/>
        </w:numPr>
      </w:pPr>
      <w:bookmarkStart w:id="275" w:name="_Toc35861122"/>
      <w:r w:rsidRPr="00C92BA6">
        <w:t>Biodegradation</w:t>
      </w:r>
      <w:bookmarkEnd w:id="275"/>
    </w:p>
    <w:p w14:paraId="22FCA764" w14:textId="3C53C3EA" w:rsidR="00081C89" w:rsidRDefault="00081C89" w:rsidP="00081C89">
      <w:pPr>
        <w:ind w:firstLine="720"/>
      </w:pPr>
      <w:r>
        <w:t>The SR sampled areas correspond to an old open quarry that floods during the rainy season. According to Ghosh (2017), the SR has outcrops over millions of years, with the significant tectonic uplifts starting after the end of the Mississippian-Pennsylvanian orogeny of the Arbuckle Mountains in southern Oklahoma. Also, the sampled rocks are in some small creeks and streams that cut the rocks of the SR (Galvis, 2017). These creeks provide outcrop exposure, and the rock samples have</w:t>
      </w:r>
      <w:r w:rsidR="00E52566">
        <w:t xml:space="preserve"> likely </w:t>
      </w:r>
      <w:r>
        <w:t xml:space="preserve">suffered chemical alterations from surface exposure, constant water recharge, and weathering over these long periods. The term “biodegradation” has been most commonly and extensively used for reservoirs and crude oils, rather than for soluble bitumen in source rock cores and outcrops. The occurrence of biodegradation affecting outcrops is enhanced by weathering and the different events of freshwater </w:t>
      </w:r>
      <w:r w:rsidRPr="000F3FAD">
        <w:t>washing, as has been reported in the Woodford Shale outcrops in southern Oklahoma by Lin et al. (1989),  Michael et al. (1989), Philp et al. (1989), Lo</w:t>
      </w:r>
      <w:r>
        <w:t xml:space="preserve"> and Cardott (1995), DeGarmo (2015) and Jones (2017). </w:t>
      </w:r>
    </w:p>
    <w:p w14:paraId="481DAF4D" w14:textId="77777777" w:rsidR="00E52566" w:rsidRDefault="00E52566" w:rsidP="00081C89">
      <w:pPr>
        <w:ind w:firstLine="720"/>
      </w:pPr>
      <w:r>
        <w:t>B</w:t>
      </w:r>
      <w:r w:rsidR="00081C89">
        <w:t>iodegradation is a process where ana</w:t>
      </w:r>
      <w:r w:rsidR="00081C89" w:rsidRPr="002F035B">
        <w:t>erobic bacteria are the primary factor</w:t>
      </w:r>
      <w:r w:rsidR="00081C89">
        <w:t>s</w:t>
      </w:r>
      <w:r w:rsidR="00081C89" w:rsidRPr="002F035B">
        <w:t xml:space="preserve"> in subsurface degradation of crude oil</w:t>
      </w:r>
      <w:r w:rsidR="00081C89">
        <w:t xml:space="preserve"> </w:t>
      </w:r>
      <w:r w:rsidR="00081C89" w:rsidRPr="002F035B">
        <w:t>(</w:t>
      </w:r>
      <w:r w:rsidR="00081C89" w:rsidRPr="000D62FD">
        <w:t>Wilkes et al., 2000; Wenger et al., 2002; Grasby et al., 2009).</w:t>
      </w:r>
      <w:r w:rsidR="00081C89" w:rsidRPr="002F035B">
        <w:t xml:space="preserve"> Peters and Moldowan</w:t>
      </w:r>
      <w:r w:rsidR="00081C89">
        <w:t xml:space="preserve"> </w:t>
      </w:r>
      <w:r w:rsidR="00081C89" w:rsidRPr="002F035B">
        <w:t>(1993) stated that oil c</w:t>
      </w:r>
      <w:r w:rsidR="00081C89">
        <w:t>ould</w:t>
      </w:r>
      <w:r w:rsidR="00081C89" w:rsidRPr="002F035B">
        <w:t xml:space="preserve"> be catabolized </w:t>
      </w:r>
      <w:r w:rsidR="00081C89">
        <w:t xml:space="preserve">(break down of large molecules) </w:t>
      </w:r>
      <w:r w:rsidR="00081C89" w:rsidRPr="002F035B">
        <w:t xml:space="preserve">by aerobic </w:t>
      </w:r>
      <w:r w:rsidR="00081C89">
        <w:t xml:space="preserve">and anaerobic </w:t>
      </w:r>
      <w:r w:rsidR="00081C89" w:rsidRPr="002F035B">
        <w:t>bacteria only if several requirements</w:t>
      </w:r>
      <w:r w:rsidR="00081C89">
        <w:t xml:space="preserve"> </w:t>
      </w:r>
      <w:r w:rsidR="00081C89" w:rsidRPr="002F035B">
        <w:t xml:space="preserve">are satisfied. These are: (i) access to surface </w:t>
      </w:r>
      <w:r w:rsidR="00081C89" w:rsidRPr="002F035B">
        <w:lastRenderedPageBreak/>
        <w:t>recharge waters containing oxygen; (ii)</w:t>
      </w:r>
      <w:r w:rsidR="00081C89">
        <w:t xml:space="preserve"> </w:t>
      </w:r>
      <w:r w:rsidR="00081C89" w:rsidRPr="002F035B">
        <w:t>temperatures no more than about 65 to 80°C; (iii) the crude oil must be free of H</w:t>
      </w:r>
      <w:r w:rsidR="00081C89" w:rsidRPr="00791AFC">
        <w:rPr>
          <w:vertAlign w:val="subscript"/>
        </w:rPr>
        <w:t>2</w:t>
      </w:r>
      <w:r w:rsidR="00081C89" w:rsidRPr="002F035B">
        <w:t>S,</w:t>
      </w:r>
      <w:r w:rsidR="00081C89">
        <w:t xml:space="preserve"> </w:t>
      </w:r>
      <w:r w:rsidR="00081C89" w:rsidRPr="002F035B">
        <w:t>which poisons the bacteria (Peters and Moldowan, 1993).</w:t>
      </w:r>
      <w:r w:rsidR="00081C89">
        <w:t xml:space="preserve"> </w:t>
      </w:r>
    </w:p>
    <w:p w14:paraId="51AE6093" w14:textId="432EFB3E" w:rsidR="00081C89" w:rsidRDefault="00081C89" w:rsidP="00081C89">
      <w:pPr>
        <w:ind w:firstLine="720"/>
      </w:pPr>
      <w:r>
        <w:t xml:space="preserve">The constant water recharge and prolonged surface exposure of the SR probably are the main elements that stimulated the weathering and biodegradation processes in the outcrop. Biodegradation can be understood as </w:t>
      </w:r>
      <w:r w:rsidRPr="002F035B">
        <w:t xml:space="preserve">sequential because some of the </w:t>
      </w:r>
      <w:r w:rsidR="006621DE">
        <w:t xml:space="preserve">less </w:t>
      </w:r>
      <w:r w:rsidRPr="002F035B">
        <w:t>resistant</w:t>
      </w:r>
      <w:r>
        <w:t xml:space="preserve"> organic</w:t>
      </w:r>
      <w:r w:rsidRPr="002F035B">
        <w:t xml:space="preserve"> </w:t>
      </w:r>
      <w:r w:rsidRPr="0087075C">
        <w:t xml:space="preserve">compound classes can be attacked before the destruction of the </w:t>
      </w:r>
      <w:r w:rsidR="006621DE">
        <w:t>more</w:t>
      </w:r>
      <w:r w:rsidRPr="0087075C">
        <w:t xml:space="preserve"> resistant classes (Lin et al., 1989; Peters and Moldowan, 1993).</w:t>
      </w:r>
      <w:r w:rsidRPr="002F035B">
        <w:t xml:space="preserve"> The general sequence of increasing</w:t>
      </w:r>
      <w:r>
        <w:t xml:space="preserve"> </w:t>
      </w:r>
      <w:r w:rsidRPr="002F035B">
        <w:t xml:space="preserve">resistance to biodegradation of biomarkers is </w:t>
      </w:r>
      <w:r w:rsidRPr="002F035B">
        <w:rPr>
          <w:i/>
          <w:iCs/>
        </w:rPr>
        <w:t>n</w:t>
      </w:r>
      <w:r w:rsidRPr="002F035B">
        <w:t>-alkanes, isoprenoids, steranes,</w:t>
      </w:r>
      <w:r>
        <w:t xml:space="preserve"> </w:t>
      </w:r>
      <w:r w:rsidRPr="002F035B">
        <w:t>hopanes/diasteranes, aromatic steroids, and porphyrins (</w:t>
      </w:r>
      <w:r>
        <w:t>Lin et al., 1989; Philp et al., 1989</w:t>
      </w:r>
      <w:r w:rsidRPr="0087075C">
        <w:t>; Chosson et al., 1992; Moldowan</w:t>
      </w:r>
      <w:r>
        <w:t xml:space="preserve"> </w:t>
      </w:r>
      <w:r w:rsidRPr="002F035B">
        <w:t>et al</w:t>
      </w:r>
      <w:r w:rsidRPr="000D62FD">
        <w:t>., 1992; Wenger et al., 2002).</w:t>
      </w:r>
      <w:r w:rsidRPr="002F035B">
        <w:t xml:space="preserve"> </w:t>
      </w:r>
    </w:p>
    <w:p w14:paraId="29BBB88D" w14:textId="77777777" w:rsidR="00081C89" w:rsidRDefault="00081C89" w:rsidP="00081C89">
      <w:pPr>
        <w:ind w:firstLine="720"/>
      </w:pPr>
      <w:r w:rsidRPr="002F035B">
        <w:t xml:space="preserve">Because of their differential resistance to biodegradation, </w:t>
      </w:r>
      <w:r>
        <w:t xml:space="preserve">a </w:t>
      </w:r>
      <w:r w:rsidRPr="002F035B">
        <w:t>comparison of the</w:t>
      </w:r>
      <w:r>
        <w:t xml:space="preserve"> </w:t>
      </w:r>
      <w:r w:rsidRPr="002F035B">
        <w:t xml:space="preserve">amounts of biomarker types in crude oils </w:t>
      </w:r>
      <w:r>
        <w:t>ranks</w:t>
      </w:r>
      <w:r w:rsidRPr="002F035B">
        <w:t xml:space="preserve"> the relative extent of</w:t>
      </w:r>
      <w:r>
        <w:t xml:space="preserve"> </w:t>
      </w:r>
      <w:r w:rsidRPr="002F035B">
        <w:t>biodegradation</w:t>
      </w:r>
      <w:r>
        <w:t xml:space="preserve"> (Wenger et al., 2002). The removal of biomarker groups like the n-alkane and isoprenoids recognizes the level of biodegradation for the soluble bitumen extracts of the SR samples as moderate (Figure 3.52), according to Lin et al. (1989) and Philp et al. (1989) for southern Oklahoma bitumens and the ranking proposed by </w:t>
      </w:r>
      <w:r w:rsidRPr="002F035B">
        <w:t>Wenger et al. (2002)</w:t>
      </w:r>
      <w:r>
        <w:t>. Wenger et al. (2002)</w:t>
      </w:r>
      <w:r w:rsidRPr="002F035B">
        <w:t xml:space="preserve"> developed a scale based on Volkman et al. (198</w:t>
      </w:r>
      <w:r>
        <w:t>6</w:t>
      </w:r>
      <w:r w:rsidRPr="002F035B">
        <w:t>)</w:t>
      </w:r>
      <w:r>
        <w:t xml:space="preserve"> </w:t>
      </w:r>
      <w:r w:rsidRPr="002F035B">
        <w:t>and Moldowan et al. (1992) to assess the extent of biodegradation based on the relative</w:t>
      </w:r>
      <w:r>
        <w:t xml:space="preserve"> </w:t>
      </w:r>
      <w:r w:rsidRPr="002F035B">
        <w:t xml:space="preserve">abundance of various hydrocarbon classes (Figure </w:t>
      </w:r>
      <w:r>
        <w:t>3.52</w:t>
      </w:r>
      <w:r w:rsidRPr="002F035B">
        <w:t>).</w:t>
      </w:r>
      <w:r>
        <w:t xml:space="preserve"> For this level of biodegradation, the biomarker interpretations of the SR samples focus on the steranes, terpanes, and aromatic hydrocarbons, and do not include precise n-alkane interpretations.</w:t>
      </w:r>
      <w:r w:rsidDel="00E641C9">
        <w:t xml:space="preserve"> </w:t>
      </w:r>
    </w:p>
    <w:p w14:paraId="21A3C833" w14:textId="77777777" w:rsidR="00081C89" w:rsidRDefault="00081C89" w:rsidP="00081C89">
      <w:pPr>
        <w:ind w:firstLine="720"/>
      </w:pPr>
      <w:r>
        <w:rPr>
          <w:noProof/>
        </w:rPr>
        <w:lastRenderedPageBreak/>
        <w:drawing>
          <wp:inline distT="0" distB="0" distL="0" distR="0" wp14:anchorId="3EF72B12" wp14:editId="2B3C2084">
            <wp:extent cx="5346700" cy="7071995"/>
            <wp:effectExtent l="0" t="0" r="6350" b="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346700" cy="7071995"/>
                    </a:xfrm>
                    <a:prstGeom prst="rect">
                      <a:avLst/>
                    </a:prstGeom>
                    <a:noFill/>
                  </pic:spPr>
                </pic:pic>
              </a:graphicData>
            </a:graphic>
          </wp:inline>
        </w:drawing>
      </w:r>
    </w:p>
    <w:p w14:paraId="2344113D" w14:textId="77777777" w:rsidR="00081C89" w:rsidRDefault="00081C89" w:rsidP="00081C89">
      <w:pPr>
        <w:pStyle w:val="Caption"/>
      </w:pPr>
      <w:bookmarkStart w:id="276" w:name="_Toc35861238"/>
      <w:r w:rsidRPr="00DA2DD5">
        <w:rPr>
          <w:b/>
        </w:rPr>
        <w:t>Figure 3.</w:t>
      </w:r>
      <w:r>
        <w:rPr>
          <w:b/>
        </w:rPr>
        <w:t>52</w:t>
      </w:r>
      <w:r w:rsidRPr="00DA2DD5">
        <w:rPr>
          <w:b/>
        </w:rPr>
        <w:t>.</w:t>
      </w:r>
      <w:r>
        <w:t xml:space="preserve"> Ranking of biodegradation levels</w:t>
      </w:r>
      <w:r w:rsidRPr="00761481">
        <w:t xml:space="preserve"> proposed by Wen</w:t>
      </w:r>
      <w:r>
        <w:t>g</w:t>
      </w:r>
      <w:r w:rsidRPr="00761481">
        <w:t xml:space="preserve">er et al. (2002). This chart represents the extent of biodegradation of mature crude oil based on differing resistance of compound classes to microbial attack. Dashed lines indicate where compound classes are initially </w:t>
      </w:r>
      <w:r w:rsidRPr="00761481">
        <w:lastRenderedPageBreak/>
        <w:t>altered, the solid gray lines indicate substantial depletion</w:t>
      </w:r>
      <w:r>
        <w:t>,</w:t>
      </w:r>
      <w:r w:rsidRPr="00761481">
        <w:t xml:space="preserve"> and the black arrows indicate </w:t>
      </w:r>
      <w:r>
        <w:t xml:space="preserve">those </w:t>
      </w:r>
      <w:r w:rsidRPr="00761481">
        <w:t xml:space="preserve">that </w:t>
      </w:r>
      <w:r>
        <w:t>indicate complete depletion.</w:t>
      </w:r>
      <w:bookmarkEnd w:id="276"/>
    </w:p>
    <w:p w14:paraId="05561A4B" w14:textId="77777777" w:rsidR="00081C89" w:rsidRPr="00FB115E" w:rsidRDefault="00081C89" w:rsidP="00081C89">
      <w:pPr>
        <w:pStyle w:val="Heading2"/>
        <w:numPr>
          <w:ilvl w:val="1"/>
          <w:numId w:val="10"/>
        </w:numPr>
      </w:pPr>
      <w:r>
        <w:t xml:space="preserve"> </w:t>
      </w:r>
      <w:bookmarkStart w:id="277" w:name="_Toc25833568"/>
      <w:bookmarkStart w:id="278" w:name="_Toc29304883"/>
      <w:bookmarkStart w:id="279" w:name="_Toc35861123"/>
      <w:r w:rsidRPr="00FB115E">
        <w:t xml:space="preserve">Geological, </w:t>
      </w:r>
      <w:r>
        <w:t>g</w:t>
      </w:r>
      <w:r w:rsidRPr="00FB115E">
        <w:t>eochemical</w:t>
      </w:r>
      <w:r>
        <w:t>,</w:t>
      </w:r>
      <w:r w:rsidRPr="00FB115E">
        <w:t xml:space="preserve"> and </w:t>
      </w:r>
      <w:r>
        <w:t>r</w:t>
      </w:r>
      <w:r w:rsidRPr="00FB115E">
        <w:t xml:space="preserve">egional </w:t>
      </w:r>
      <w:r>
        <w:t>s</w:t>
      </w:r>
      <w:r w:rsidRPr="00FB115E">
        <w:t xml:space="preserve">tratigraphic </w:t>
      </w:r>
      <w:r>
        <w:t>i</w:t>
      </w:r>
      <w:r w:rsidRPr="00FB115E">
        <w:t>ntegration</w:t>
      </w:r>
      <w:r>
        <w:t>s in the SR</w:t>
      </w:r>
      <w:r w:rsidRPr="00FB115E">
        <w:t>.</w:t>
      </w:r>
      <w:bookmarkEnd w:id="277"/>
      <w:bookmarkEnd w:id="278"/>
      <w:bookmarkEnd w:id="279"/>
      <w:r w:rsidRPr="00FB115E">
        <w:t xml:space="preserve"> </w:t>
      </w:r>
      <w:r w:rsidRPr="00FB115E">
        <w:tab/>
      </w:r>
    </w:p>
    <w:p w14:paraId="533B6D83" w14:textId="77AEF33F" w:rsidR="00081C89" w:rsidRDefault="00081C89" w:rsidP="00081C89">
      <w:pPr>
        <w:ind w:firstLine="360"/>
      </w:pPr>
      <w:r>
        <w:rPr>
          <w:color w:val="000000"/>
        </w:rPr>
        <w:t>For supplementing the organic and inorganic geochemistry analysis towards the identification of potential enclosed mini-basin fill depositional settings, a series of regional Woodford maps constructed with regional geological cross-sections are integrated into this study. One of the interpreted stratigraphic cross-sections is illustrated in Figure 3.53. This cross-section includes the SR outcrop Gamma-Ray log and allow</w:t>
      </w:r>
      <w:r w:rsidR="00450A02">
        <w:rPr>
          <w:color w:val="000000"/>
        </w:rPr>
        <w:t>s</w:t>
      </w:r>
      <w:r>
        <w:rPr>
          <w:color w:val="000000"/>
        </w:rPr>
        <w:t xml:space="preserve"> identification of similarities in the outcrop and the subsurface wells nearby to the SR (Figure 3.53). </w:t>
      </w:r>
      <w:r>
        <w:t xml:space="preserve">When flattened the well log correlation cross-section on the Woodford stratigraphic top, the thickness variation of the Woodford Shale is higher where the Hunton Group thins (Figure 3.53). This paleo structural highs and lows of the Hunton group allowed the formation of silled areas and </w:t>
      </w:r>
      <w:r w:rsidR="0094057C">
        <w:t>pockets and</w:t>
      </w:r>
      <w:r>
        <w:t xml:space="preserve"> are interpreted as structural indicators </w:t>
      </w:r>
      <w:r w:rsidR="004D454D">
        <w:t>that the</w:t>
      </w:r>
      <w:r>
        <w:t xml:space="preserve"> SR </w:t>
      </w:r>
      <w:r w:rsidR="004D454D">
        <w:t xml:space="preserve">locates </w:t>
      </w:r>
      <w:r>
        <w:t>in the fla</w:t>
      </w:r>
      <w:r w:rsidR="004D454D">
        <w:t>n</w:t>
      </w:r>
      <w:r>
        <w:t xml:space="preserve">k of a </w:t>
      </w:r>
      <w:r w:rsidR="00450A02">
        <w:t>significant</w:t>
      </w:r>
      <w:r>
        <w:t xml:space="preserve"> enclosed mini-basin fill setting, with the thickest Woodford Shale in the central part of the cross-section (Figure 3.53). </w:t>
      </w:r>
    </w:p>
    <w:p w14:paraId="29E51242" w14:textId="368D32FF" w:rsidR="00081C89" w:rsidRDefault="00081C89" w:rsidP="00081C89">
      <w:pPr>
        <w:ind w:firstLine="360"/>
      </w:pPr>
      <w:r>
        <w:t>The rock mechanics brittleness is much lower in the identified highly restricted intervals of the Lower and Middle Woodford members, as calculated and illustrated in Figure 3.54. Brittleness increases in the layers of more open water conditions and less anoxia (Figure 3.54; red-colored log intervals of the brittleness index track)</w:t>
      </w:r>
      <w:r w:rsidR="004D454D">
        <w:t>. A</w:t>
      </w:r>
      <w:r>
        <w:t>lso, as stated by Slatt and Abousleiman (2011)</w:t>
      </w:r>
      <w:r w:rsidR="00450A02">
        <w:t>,</w:t>
      </w:r>
      <w:r>
        <w:t xml:space="preserve"> in unconventional shales</w:t>
      </w:r>
      <w:r w:rsidR="00450A02">
        <w:t>,</w:t>
      </w:r>
      <w:r>
        <w:t xml:space="preserve"> this is due to a higher concentration of quartz as the principal component that provides the hardness level of individual rock layers. Figure 3.55 illustrates the rock mechanics variations and much higher brittleness index for the post-Woodford Shale Mississippian strata than the Woodford Shale layers (in Figure 3.54). </w:t>
      </w:r>
    </w:p>
    <w:p w14:paraId="53FA3562" w14:textId="77777777" w:rsidR="00081C89" w:rsidRDefault="00081C89" w:rsidP="00081C89">
      <w:pPr>
        <w:ind w:firstLine="360"/>
        <w:rPr>
          <w:color w:val="000000"/>
        </w:rPr>
      </w:pPr>
      <w:r>
        <w:rPr>
          <w:color w:val="000000"/>
        </w:rPr>
        <w:lastRenderedPageBreak/>
        <w:t xml:space="preserve">The maps of the Woodford Shale present-day depth (Figure 3.56), Woodford Shale gross thickness (Figure 3.57), Hunton group gross thickness (Figure 3.58), Woodford Shale average organic matter content (%TOC; Figure 3.59) and average maturity (Tmax ℃; Figure 3.60), were constructed with the database information of the Institute of Reservoir Characterization at the University of Oklahoma (IRC). This database consists of stratigraphic tops of thousands of vertically drilled wells, and hundreds of analyses performed on outcrop, core, and cutting rock samples. These datasets are unified into a state-wide database and published as the local to regional integration of the SR with subsurface data and nearby petroleum provinces. For the SR area, the outcrop is located in the area of highest average %TOC content (Figure 3.59), the Hunton group thins (Figure 3.58), and the Woodford Shale thickens towards the southwest (Figure 3.57). </w:t>
      </w:r>
    </w:p>
    <w:p w14:paraId="40DECE69" w14:textId="6DEA6356" w:rsidR="00081C89" w:rsidRDefault="004D454D" w:rsidP="00081C89">
      <w:pPr>
        <w:ind w:firstLine="360"/>
        <w:rPr>
          <w:color w:val="000000"/>
        </w:rPr>
      </w:pPr>
      <w:bookmarkStart w:id="280" w:name="_Hlk27583489"/>
      <w:r>
        <w:rPr>
          <w:color w:val="000000"/>
        </w:rPr>
        <w:t>The SR</w:t>
      </w:r>
      <w:r w:rsidR="00081C89">
        <w:rPr>
          <w:color w:val="000000"/>
        </w:rPr>
        <w:t xml:space="preserve"> is also surrounded by a lot of faulted provinces that according to Ghosh (2017) and Galvis (2017) are the reactivation of pre-existing fault grabens that could have acted as paleo structural lows that allowed more accommodation space, higher sedimentation rates due to the proximity to the paleo </w:t>
      </w:r>
      <w:r w:rsidR="00081C89" w:rsidRPr="008E6901">
        <w:rPr>
          <w:color w:val="000000"/>
        </w:rPr>
        <w:t>Wichita uplifts</w:t>
      </w:r>
      <w:r w:rsidR="00081C89">
        <w:rPr>
          <w:color w:val="000000"/>
        </w:rPr>
        <w:t xml:space="preserve"> sediment supply to the basin, favoring these factors to the development of restricted conditions to the water chemocline for preventing open water circulation. Ham et al. (1967), Suneson (1996 and 1997), Johnson (2008), and Ghosh (2017) mentioned that the Wichita and Ouachita orogen</w:t>
      </w:r>
      <w:r>
        <w:rPr>
          <w:color w:val="000000"/>
        </w:rPr>
        <w:t xml:space="preserve">ies </w:t>
      </w:r>
      <w:r w:rsidR="00081C89">
        <w:rPr>
          <w:color w:val="000000"/>
        </w:rPr>
        <w:t>occurred syn-depositionally with the Woodford Shale (410-330 My) and concluded in mid to late Mississippian.</w:t>
      </w:r>
    </w:p>
    <w:bookmarkEnd w:id="280"/>
    <w:p w14:paraId="3EA17BDE" w14:textId="20FC7136" w:rsidR="00081C89" w:rsidRDefault="00081C89" w:rsidP="00081C89">
      <w:pPr>
        <w:ind w:firstLine="360"/>
        <w:rPr>
          <w:color w:val="000000"/>
        </w:rPr>
      </w:pPr>
      <w:r w:rsidRPr="00F80A0B">
        <w:rPr>
          <w:color w:val="000000"/>
        </w:rPr>
        <w:t>Th</w:t>
      </w:r>
      <w:r w:rsidR="004D454D">
        <w:rPr>
          <w:color w:val="000000"/>
        </w:rPr>
        <w:t>e Wichita and Ouachita orogenies were the</w:t>
      </w:r>
      <w:r w:rsidRPr="00F80A0B">
        <w:rPr>
          <w:color w:val="000000"/>
        </w:rPr>
        <w:t xml:space="preserve"> major period of faulting and mountain building in southern Oklahoma and western Arkansas</w:t>
      </w:r>
      <w:r>
        <w:rPr>
          <w:color w:val="000000"/>
        </w:rPr>
        <w:t xml:space="preserve"> (Suneson 1996 and 1997)</w:t>
      </w:r>
      <w:r w:rsidRPr="00F80A0B">
        <w:rPr>
          <w:color w:val="000000"/>
        </w:rPr>
        <w:t>. The driving force behind this orogeny was the collision of the North American and Gondwanan plates (</w:t>
      </w:r>
      <w:r>
        <w:rPr>
          <w:color w:val="000000"/>
        </w:rPr>
        <w:t xml:space="preserve">Ham 1964; Ham et al., 1967; </w:t>
      </w:r>
      <w:r w:rsidRPr="00F80A0B">
        <w:rPr>
          <w:color w:val="000000"/>
        </w:rPr>
        <w:t xml:space="preserve">Suneson, </w:t>
      </w:r>
      <w:r>
        <w:rPr>
          <w:color w:val="000000"/>
        </w:rPr>
        <w:t xml:space="preserve">1996 and </w:t>
      </w:r>
      <w:r w:rsidRPr="00F80A0B">
        <w:rPr>
          <w:color w:val="000000"/>
        </w:rPr>
        <w:t xml:space="preserve">2012).  The Ouachita </w:t>
      </w:r>
      <w:r>
        <w:rPr>
          <w:color w:val="000000"/>
        </w:rPr>
        <w:t>o</w:t>
      </w:r>
      <w:r w:rsidRPr="00F80A0B">
        <w:rPr>
          <w:color w:val="000000"/>
        </w:rPr>
        <w:t xml:space="preserve">rogeny also initiated the formation of the Arkoma </w:t>
      </w:r>
      <w:r>
        <w:rPr>
          <w:color w:val="000000"/>
        </w:rPr>
        <w:t>b</w:t>
      </w:r>
      <w:r w:rsidRPr="00F80A0B">
        <w:rPr>
          <w:color w:val="000000"/>
        </w:rPr>
        <w:t xml:space="preserve">asin, which is an arcuate foreland </w:t>
      </w:r>
      <w:r w:rsidRPr="0059081B">
        <w:rPr>
          <w:color w:val="000000"/>
        </w:rPr>
        <w:t>basin (Byrnes and Lawyer, 1999;</w:t>
      </w:r>
      <w:r>
        <w:rPr>
          <w:color w:val="000000"/>
        </w:rPr>
        <w:t xml:space="preserve"> Ghosh, 2017</w:t>
      </w:r>
      <w:r w:rsidRPr="00F80A0B">
        <w:rPr>
          <w:color w:val="000000"/>
        </w:rPr>
        <w:t xml:space="preserve">).  </w:t>
      </w:r>
      <w:r>
        <w:rPr>
          <w:color w:val="000000"/>
        </w:rPr>
        <w:t xml:space="preserve">These </w:t>
      </w:r>
      <w:r>
        <w:rPr>
          <w:color w:val="000000"/>
        </w:rPr>
        <w:lastRenderedPageBreak/>
        <w:t>mentioned tectonic events allowed the availability of accommodation space and, combined with erosion and karstification of pre-Woodford Shale strata, might allow the development of silled restricted areas in the basin that acted as highly restricted</w:t>
      </w:r>
      <w:r w:rsidR="00597B83">
        <w:rPr>
          <w:color w:val="000000"/>
        </w:rPr>
        <w:t xml:space="preserve"> areas</w:t>
      </w:r>
      <w:r>
        <w:rPr>
          <w:color w:val="000000"/>
        </w:rPr>
        <w:t xml:space="preserve"> principally for the Lower and Middle Woodford members. </w:t>
      </w:r>
    </w:p>
    <w:p w14:paraId="5419D8CD" w14:textId="27790B1D" w:rsidR="00081C89" w:rsidRDefault="00081C89" w:rsidP="00081C89">
      <w:pPr>
        <w:ind w:firstLine="360"/>
      </w:pPr>
      <w:r>
        <w:rPr>
          <w:color w:val="000000"/>
        </w:rPr>
        <w:t>All of these mentioned characteristics are crucial factors for recognizing enclosed mini-basin fills settings within an open marine mudstone system. As observed with the different biomarker ratios integrated with the geological characterizations, the Lower and Middle members of the Woodford Shale were more anoxic and restricted. Th</w:t>
      </w:r>
      <w:r w:rsidR="00597B83">
        <w:rPr>
          <w:color w:val="000000"/>
        </w:rPr>
        <w:t>e</w:t>
      </w:r>
      <w:r>
        <w:rPr>
          <w:color w:val="000000"/>
        </w:rPr>
        <w:t xml:space="preserve"> upper part of the Middle member (after the Maximum flooding surface -MFS) and the lower part of the Upper member still have some intermittent episodes of anoxia and high sulfur (PZE), that subsequently ceased towards the uppermost Upper Woodford member. </w:t>
      </w:r>
      <w:r w:rsidR="00597B83">
        <w:rPr>
          <w:color w:val="000000"/>
        </w:rPr>
        <w:t xml:space="preserve">Finally, </w:t>
      </w:r>
      <w:r>
        <w:rPr>
          <w:color w:val="000000"/>
        </w:rPr>
        <w:t>the</w:t>
      </w:r>
      <w:r w:rsidRPr="000F3FAD">
        <w:rPr>
          <w:color w:val="000000"/>
        </w:rPr>
        <w:t xml:space="preserve"> organic matter fabric shut down in the Pre-Sycamore sections</w:t>
      </w:r>
      <w:r w:rsidRPr="00E01D6C">
        <w:rPr>
          <w:color w:val="000000"/>
        </w:rPr>
        <w:t xml:space="preserve"> (</w:t>
      </w:r>
      <w:r>
        <w:rPr>
          <w:color w:val="000000"/>
        </w:rPr>
        <w:t>post-Woodford Shale strata)</w:t>
      </w:r>
      <w:r>
        <w:t>.</w:t>
      </w:r>
    </w:p>
    <w:p w14:paraId="7E9F128D" w14:textId="77777777" w:rsidR="00081C89" w:rsidRDefault="00081C89" w:rsidP="00081C89"/>
    <w:p w14:paraId="3797A282" w14:textId="77777777" w:rsidR="00081C89" w:rsidRDefault="00081C89" w:rsidP="00081C89">
      <w:pPr>
        <w:sectPr w:rsidR="00081C89" w:rsidSect="0095456D">
          <w:pgSz w:w="12240" w:h="15840"/>
          <w:pgMar w:top="1440" w:right="1440" w:bottom="1440" w:left="1440" w:header="720" w:footer="720" w:gutter="0"/>
          <w:cols w:space="720"/>
          <w:docGrid w:linePitch="360"/>
        </w:sectPr>
      </w:pPr>
    </w:p>
    <w:p w14:paraId="4F4235A9" w14:textId="77777777" w:rsidR="00081C89" w:rsidRDefault="00081C89" w:rsidP="00081C89">
      <w:pPr>
        <w:spacing w:line="240" w:lineRule="auto"/>
      </w:pPr>
      <w:r>
        <w:rPr>
          <w:noProof/>
        </w:rPr>
        <w:lastRenderedPageBreak/>
        <w:drawing>
          <wp:inline distT="0" distB="0" distL="0" distR="0" wp14:anchorId="3CB82CAA" wp14:editId="00963EE4">
            <wp:extent cx="8230235" cy="4871085"/>
            <wp:effectExtent l="0" t="0" r="0" b="5715"/>
            <wp:docPr id="8519" name="Picture 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230235" cy="4871085"/>
                    </a:xfrm>
                    <a:prstGeom prst="rect">
                      <a:avLst/>
                    </a:prstGeom>
                    <a:noFill/>
                  </pic:spPr>
                </pic:pic>
              </a:graphicData>
            </a:graphic>
          </wp:inline>
        </w:drawing>
      </w:r>
    </w:p>
    <w:p w14:paraId="3A116578" w14:textId="1A6A60BC" w:rsidR="00081C89" w:rsidRDefault="00081C89" w:rsidP="00081C89">
      <w:pPr>
        <w:pStyle w:val="Caption"/>
        <w:rPr>
          <w:b/>
        </w:rPr>
        <w:sectPr w:rsidR="00081C89" w:rsidSect="0095456D">
          <w:pgSz w:w="15840" w:h="12240" w:orient="landscape"/>
          <w:pgMar w:top="1440" w:right="1440" w:bottom="1440" w:left="1440" w:header="720" w:footer="720" w:gutter="0"/>
          <w:cols w:space="720"/>
          <w:docGrid w:linePitch="360"/>
        </w:sectPr>
      </w:pPr>
      <w:bookmarkStart w:id="281" w:name="_Toc29308182"/>
      <w:bookmarkStart w:id="282" w:name="_Toc35861239"/>
      <w:r w:rsidRPr="00BE1B7B">
        <w:rPr>
          <w:b/>
        </w:rPr>
        <w:t>Figure 3</w:t>
      </w:r>
      <w:r>
        <w:rPr>
          <w:b/>
        </w:rPr>
        <w:t xml:space="preserve">.53. </w:t>
      </w:r>
      <w:r>
        <w:t>The stratigraphic cross-section in the Speake Ranch subsurface areas. The outcrop corresponds to the yellow star. The location map of this section is in Figure 3.56. When flattened on the Woodford stratigraphic top, the thickness variation of the Woodford Shale is highlighted where the Hunton Group thins.  This area in the south of Oklahoma likely corresponds with the basal Woodford deposits being in an enclosed mini-basin fills paleo-topographic setting (</w:t>
      </w:r>
      <w:r w:rsidR="002E43BE">
        <w:t>e</w:t>
      </w:r>
      <w:r>
        <w:t>rosion of Hunton Group and accumulation of high %TOC and restricted anoxic strata).</w:t>
      </w:r>
      <w:bookmarkEnd w:id="281"/>
      <w:bookmarkEnd w:id="282"/>
    </w:p>
    <w:p w14:paraId="486E749A" w14:textId="77777777" w:rsidR="00081C89" w:rsidRDefault="00081C89" w:rsidP="00081C89">
      <w:pPr>
        <w:spacing w:after="0"/>
        <w:jc w:val="center"/>
        <w:rPr>
          <w:b/>
          <w:bCs/>
        </w:rPr>
      </w:pPr>
      <w:r>
        <w:rPr>
          <w:b/>
          <w:bCs/>
          <w:noProof/>
        </w:rPr>
        <w:lastRenderedPageBreak/>
        <w:drawing>
          <wp:inline distT="0" distB="0" distL="0" distR="0" wp14:anchorId="1EF76F19" wp14:editId="156DC364">
            <wp:extent cx="7913370" cy="5090795"/>
            <wp:effectExtent l="0" t="0" r="0" b="0"/>
            <wp:docPr id="8520" name="Picture 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913370" cy="5090795"/>
                    </a:xfrm>
                    <a:prstGeom prst="rect">
                      <a:avLst/>
                    </a:prstGeom>
                    <a:noFill/>
                  </pic:spPr>
                </pic:pic>
              </a:graphicData>
            </a:graphic>
          </wp:inline>
        </w:drawing>
      </w:r>
    </w:p>
    <w:p w14:paraId="507C00C6" w14:textId="77777777" w:rsidR="00081C89" w:rsidRPr="00650D00" w:rsidRDefault="00081C89" w:rsidP="00081C89">
      <w:pPr>
        <w:pStyle w:val="Caption"/>
        <w:sectPr w:rsidR="00081C89" w:rsidRPr="00650D00" w:rsidSect="0095456D">
          <w:pgSz w:w="15840" w:h="12240" w:orient="landscape"/>
          <w:pgMar w:top="1440" w:right="1440" w:bottom="1440" w:left="1440" w:header="720" w:footer="720" w:gutter="0"/>
          <w:cols w:space="720"/>
          <w:docGrid w:linePitch="360"/>
        </w:sectPr>
      </w:pPr>
      <w:bookmarkStart w:id="283" w:name="_Toc29308183"/>
      <w:bookmarkStart w:id="284" w:name="_Toc35861240"/>
      <w:r>
        <w:rPr>
          <w:b/>
        </w:rPr>
        <w:t xml:space="preserve">Figure 3.54. </w:t>
      </w:r>
      <w:r>
        <w:t xml:space="preserve">Geomechanical characterization of dynamic properties (the methodology is detailed in </w:t>
      </w:r>
      <w:r w:rsidRPr="00247F1E">
        <w:rPr>
          <w:b/>
        </w:rPr>
        <w:t xml:space="preserve">Appendix </w:t>
      </w:r>
      <w:r>
        <w:rPr>
          <w:b/>
        </w:rPr>
        <w:t>8</w:t>
      </w:r>
      <w:r w:rsidRPr="00247F1E">
        <w:rPr>
          <w:b/>
        </w:rPr>
        <w:t>.1</w:t>
      </w:r>
      <w:r>
        <w:t>.) of the Woodford Shale strata nearby the Speake Ranch. Speake-1 well is the subsurface reference of the ranch outcrop, as is referenced in the image (similar Woodford thickness in the Speake Ranch outcrop and Speake-1 well).</w:t>
      </w:r>
      <w:bookmarkEnd w:id="283"/>
      <w:bookmarkEnd w:id="284"/>
      <w:r>
        <w:t xml:space="preserve"> </w:t>
      </w:r>
    </w:p>
    <w:p w14:paraId="40369B0C" w14:textId="77777777" w:rsidR="00081C89" w:rsidRDefault="00081C89" w:rsidP="00081C89">
      <w:pPr>
        <w:spacing w:after="0"/>
        <w:jc w:val="center"/>
        <w:rPr>
          <w:b/>
          <w:bCs/>
        </w:rPr>
      </w:pPr>
      <w:r>
        <w:rPr>
          <w:b/>
          <w:bCs/>
          <w:noProof/>
        </w:rPr>
        <w:lastRenderedPageBreak/>
        <w:drawing>
          <wp:inline distT="0" distB="0" distL="0" distR="0" wp14:anchorId="2EED7FE0" wp14:editId="684F7A78">
            <wp:extent cx="7700010" cy="5133340"/>
            <wp:effectExtent l="0" t="0" r="0" b="0"/>
            <wp:docPr id="8521" name="Picture 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700010" cy="5133340"/>
                    </a:xfrm>
                    <a:prstGeom prst="rect">
                      <a:avLst/>
                    </a:prstGeom>
                    <a:noFill/>
                  </pic:spPr>
                </pic:pic>
              </a:graphicData>
            </a:graphic>
          </wp:inline>
        </w:drawing>
      </w:r>
    </w:p>
    <w:p w14:paraId="09E70383" w14:textId="77777777" w:rsidR="00081C89" w:rsidRDefault="00081C89" w:rsidP="00081C89">
      <w:pPr>
        <w:pStyle w:val="Caption"/>
      </w:pPr>
      <w:bookmarkStart w:id="285" w:name="_Toc29308184"/>
      <w:bookmarkStart w:id="286" w:name="_Toc35861241"/>
      <w:r>
        <w:rPr>
          <w:b/>
        </w:rPr>
        <w:t xml:space="preserve">Figure 3.55. </w:t>
      </w:r>
      <w:r>
        <w:t xml:space="preserve">Geomechanical characterization of dynamic properties (Methodology is detailed in </w:t>
      </w:r>
      <w:r w:rsidRPr="00247F1E">
        <w:rPr>
          <w:b/>
        </w:rPr>
        <w:t xml:space="preserve">Appendix </w:t>
      </w:r>
      <w:r>
        <w:rPr>
          <w:b/>
        </w:rPr>
        <w:t>8</w:t>
      </w:r>
      <w:r w:rsidRPr="00247F1E">
        <w:rPr>
          <w:b/>
        </w:rPr>
        <w:t xml:space="preserve">.1.) </w:t>
      </w:r>
      <w:r>
        <w:t>of the Mississippian strata nearby the Speake Ranch. Speake-1 well is the subsurface reference of the Ranch outcrop. Sycamore subdivision and labeling based on the intervals described in Milad (2019) for the southern Oklahoma I-35 Sycamore outcrop.</w:t>
      </w:r>
      <w:bookmarkEnd w:id="285"/>
      <w:bookmarkEnd w:id="286"/>
      <w:r>
        <w:t xml:space="preserve"> </w:t>
      </w:r>
    </w:p>
    <w:p w14:paraId="7E7E7E7F" w14:textId="77777777" w:rsidR="00081C89" w:rsidRDefault="00081C89" w:rsidP="00081C89">
      <w:pPr>
        <w:spacing w:after="0" w:line="276" w:lineRule="auto"/>
        <w:jc w:val="center"/>
      </w:pPr>
      <w:r>
        <w:rPr>
          <w:noProof/>
        </w:rPr>
        <w:lastRenderedPageBreak/>
        <mc:AlternateContent>
          <mc:Choice Requires="wps">
            <w:drawing>
              <wp:anchor distT="0" distB="0" distL="114300" distR="114300" simplePos="0" relativeHeight="251800064" behindDoc="0" locked="0" layoutInCell="1" allowOverlap="1" wp14:anchorId="4C1A37BB" wp14:editId="24D8D2E8">
                <wp:simplePos x="0" y="0"/>
                <wp:positionH relativeFrom="column">
                  <wp:posOffset>4143375</wp:posOffset>
                </wp:positionH>
                <wp:positionV relativeFrom="paragraph">
                  <wp:posOffset>2827655</wp:posOffset>
                </wp:positionV>
                <wp:extent cx="142875" cy="104775"/>
                <wp:effectExtent l="19050" t="19050" r="9525" b="952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04775"/>
                        </a:xfrm>
                        <a:prstGeom prst="ellipse">
                          <a:avLst/>
                        </a:prstGeom>
                        <a:solidFill>
                          <a:srgbClr val="FFFF00"/>
                        </a:solid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D6770E" id="Oval 11" o:spid="_x0000_s1026" style="position:absolute;margin-left:326.25pt;margin-top:222.65pt;width:11.25pt;height:8.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" fillcolor="yellow" strokecolor="#0d0d0d" strokeweight="2.25pt">
                <v:stroke joinstyle="miter"/>
                <v:path arrowok="t"/>
              </v:oval>
            </w:pict>
          </mc:Fallback>
        </mc:AlternateContent>
      </w:r>
      <w:r>
        <w:rPr>
          <w:noProof/>
        </w:rPr>
        <w:drawing>
          <wp:inline distT="0" distB="0" distL="0" distR="0" wp14:anchorId="2D1FDD2F" wp14:editId="3A7511D1">
            <wp:extent cx="5534660" cy="5377924"/>
            <wp:effectExtent l="0" t="0" r="8890" b="0"/>
            <wp:docPr id="7227" name="Picture 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542750" cy="5385785"/>
                    </a:xfrm>
                    <a:prstGeom prst="rect">
                      <a:avLst/>
                    </a:prstGeom>
                    <a:noFill/>
                  </pic:spPr>
                </pic:pic>
              </a:graphicData>
            </a:graphic>
          </wp:inline>
        </w:drawing>
      </w:r>
    </w:p>
    <w:p w14:paraId="55C7BA08" w14:textId="77777777" w:rsidR="00081C89" w:rsidRPr="00650D00" w:rsidRDefault="00081C89" w:rsidP="00081C89">
      <w:pPr>
        <w:pStyle w:val="Caption"/>
        <w:sectPr w:rsidR="00081C89" w:rsidRPr="00650D00" w:rsidSect="0095456D">
          <w:pgSz w:w="15840" w:h="12240" w:orient="landscape"/>
          <w:pgMar w:top="1440" w:right="1440" w:bottom="1440" w:left="1440" w:header="720" w:footer="720" w:gutter="0"/>
          <w:cols w:space="720"/>
          <w:docGrid w:linePitch="360"/>
        </w:sectPr>
      </w:pPr>
      <w:bookmarkStart w:id="287" w:name="_Toc29308185"/>
      <w:bookmarkStart w:id="288" w:name="_Toc35861242"/>
      <w:r w:rsidRPr="008E033C">
        <w:rPr>
          <w:b/>
        </w:rPr>
        <w:t>Figure 3</w:t>
      </w:r>
      <w:r>
        <w:rPr>
          <w:b/>
        </w:rPr>
        <w:t>.56</w:t>
      </w:r>
      <w:r>
        <w:t xml:space="preserve">. Woodford Shale structure map [TVD-feet] in the regional areas nearby the Speake Ranch. The Speake Ranch location is highlighted in the </w:t>
      </w:r>
      <w:r w:rsidRPr="002F4E72">
        <w:t>yellow spot.</w:t>
      </w:r>
      <w:r>
        <w:t xml:space="preserve">  White diamonds and values correspond to average T-max [℃] maturity values for the Woodford Shale from the IRC Woodford-Mississippian consortium database.</w:t>
      </w:r>
      <w:bookmarkEnd w:id="287"/>
      <w:bookmarkEnd w:id="288"/>
      <w:r>
        <w:t xml:space="preserve">  </w:t>
      </w:r>
    </w:p>
    <w:p w14:paraId="6A38B453" w14:textId="77777777" w:rsidR="00081C89" w:rsidRDefault="00081C89" w:rsidP="00081C89">
      <w:pPr>
        <w:spacing w:after="0" w:line="276" w:lineRule="auto"/>
        <w:jc w:val="center"/>
      </w:pPr>
      <w:r>
        <w:rPr>
          <w:noProof/>
        </w:rPr>
        <w:lastRenderedPageBreak/>
        <mc:AlternateContent>
          <mc:Choice Requires="wps">
            <w:drawing>
              <wp:anchor distT="0" distB="0" distL="114300" distR="114300" simplePos="0" relativeHeight="251801088" behindDoc="0" locked="0" layoutInCell="1" allowOverlap="1" wp14:anchorId="38394C2D" wp14:editId="092C3E9B">
                <wp:simplePos x="0" y="0"/>
                <wp:positionH relativeFrom="column">
                  <wp:posOffset>4105275</wp:posOffset>
                </wp:positionH>
                <wp:positionV relativeFrom="paragraph">
                  <wp:posOffset>2771140</wp:posOffset>
                </wp:positionV>
                <wp:extent cx="142875" cy="104775"/>
                <wp:effectExtent l="19050" t="19050" r="9525" b="9525"/>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04775"/>
                        </a:xfrm>
                        <a:prstGeom prst="ellipse">
                          <a:avLst/>
                        </a:prstGeom>
                        <a:solidFill>
                          <a:srgbClr val="FFFF00"/>
                        </a:solid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64053E" id="Oval 12" o:spid="_x0000_s1026" style="position:absolute;margin-left:323.25pt;margin-top:218.2pt;width:11.25pt;height:8.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" fillcolor="yellow" strokecolor="#0d0d0d" strokeweight="2.25pt">
                <v:stroke joinstyle="miter"/>
                <v:path arrowok="t"/>
              </v:oval>
            </w:pict>
          </mc:Fallback>
        </mc:AlternateContent>
      </w:r>
      <w:r>
        <w:rPr>
          <w:noProof/>
        </w:rPr>
        <w:drawing>
          <wp:inline distT="0" distB="0" distL="0" distR="0" wp14:anchorId="016A7523" wp14:editId="6C1C755C">
            <wp:extent cx="5289929" cy="5335758"/>
            <wp:effectExtent l="0" t="0" r="6350" b="0"/>
            <wp:docPr id="7201" name="Picture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37049" cy="5383286"/>
                    </a:xfrm>
                    <a:prstGeom prst="rect">
                      <a:avLst/>
                    </a:prstGeom>
                    <a:noFill/>
                  </pic:spPr>
                </pic:pic>
              </a:graphicData>
            </a:graphic>
          </wp:inline>
        </w:drawing>
      </w:r>
    </w:p>
    <w:p w14:paraId="1C6AB1D1" w14:textId="77777777" w:rsidR="00081C89" w:rsidRPr="00650D00" w:rsidRDefault="00081C89" w:rsidP="00081C89">
      <w:pPr>
        <w:pStyle w:val="Caption"/>
        <w:sectPr w:rsidR="00081C89" w:rsidRPr="00650D00" w:rsidSect="0095456D">
          <w:pgSz w:w="15840" w:h="12240" w:orient="landscape"/>
          <w:pgMar w:top="1440" w:right="1440" w:bottom="1440" w:left="1440" w:header="720" w:footer="720" w:gutter="0"/>
          <w:cols w:space="720"/>
          <w:docGrid w:linePitch="360"/>
        </w:sectPr>
      </w:pPr>
      <w:bookmarkStart w:id="289" w:name="_Toc29308186"/>
      <w:bookmarkStart w:id="290" w:name="_Toc35861243"/>
      <w:r w:rsidRPr="008E033C">
        <w:rPr>
          <w:b/>
        </w:rPr>
        <w:t>Figure 3</w:t>
      </w:r>
      <w:r>
        <w:rPr>
          <w:b/>
        </w:rPr>
        <w:t>.57</w:t>
      </w:r>
      <w:r>
        <w:t xml:space="preserve">. Woodford Shale thickness [feet] map in the regional areas nearby the Speake Ranch. The Speake Ranch location is highlighted in the </w:t>
      </w:r>
      <w:r w:rsidRPr="001A4A69">
        <w:t>yellow spot.</w:t>
      </w:r>
      <w:r>
        <w:t xml:space="preserve">  White diamonds and values correspond to average T-max [℃] maturity values for the Woodford Shale from the IRC Woodford-Mississippian consortium database. Thickness values from 0 to 400 ft.</w:t>
      </w:r>
      <w:bookmarkEnd w:id="289"/>
      <w:bookmarkEnd w:id="290"/>
      <w:r>
        <w:t xml:space="preserve"> </w:t>
      </w:r>
    </w:p>
    <w:p w14:paraId="4434545A" w14:textId="77777777" w:rsidR="00081C89" w:rsidRDefault="00081C89" w:rsidP="00081C89">
      <w:pPr>
        <w:spacing w:after="0" w:line="276" w:lineRule="auto"/>
        <w:jc w:val="center"/>
      </w:pPr>
      <w:r>
        <w:rPr>
          <w:noProof/>
        </w:rPr>
        <w:lastRenderedPageBreak/>
        <mc:AlternateContent>
          <mc:Choice Requires="wps">
            <w:drawing>
              <wp:anchor distT="0" distB="0" distL="114300" distR="114300" simplePos="0" relativeHeight="251802112" behindDoc="0" locked="0" layoutInCell="1" allowOverlap="1" wp14:anchorId="1ACF4CBA" wp14:editId="1DBF35CB">
                <wp:simplePos x="0" y="0"/>
                <wp:positionH relativeFrom="column">
                  <wp:posOffset>4117340</wp:posOffset>
                </wp:positionH>
                <wp:positionV relativeFrom="paragraph">
                  <wp:posOffset>2839720</wp:posOffset>
                </wp:positionV>
                <wp:extent cx="142875" cy="104775"/>
                <wp:effectExtent l="19050" t="19050" r="9525" b="952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04775"/>
                        </a:xfrm>
                        <a:prstGeom prst="ellipse">
                          <a:avLst/>
                        </a:prstGeom>
                        <a:solidFill>
                          <a:srgbClr val="FFFF00"/>
                        </a:solid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29CB67" id="Oval 13" o:spid="_x0000_s1026" style="position:absolute;margin-left:324.2pt;margin-top:223.6pt;width:11.25pt;height:8.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" fillcolor="yellow" strokecolor="#0d0d0d" strokeweight="2.25pt">
                <v:stroke joinstyle="miter"/>
                <v:path arrowok="t"/>
              </v:oval>
            </w:pict>
          </mc:Fallback>
        </mc:AlternateContent>
      </w:r>
      <w:r>
        <w:rPr>
          <w:noProof/>
        </w:rPr>
        <w:drawing>
          <wp:inline distT="0" distB="0" distL="0" distR="0" wp14:anchorId="4B7F6564" wp14:editId="71619374">
            <wp:extent cx="5497047" cy="5358423"/>
            <wp:effectExtent l="0" t="0" r="8890" b="0"/>
            <wp:docPr id="7226" name="Picture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537800" cy="5398148"/>
                    </a:xfrm>
                    <a:prstGeom prst="rect">
                      <a:avLst/>
                    </a:prstGeom>
                    <a:noFill/>
                  </pic:spPr>
                </pic:pic>
              </a:graphicData>
            </a:graphic>
          </wp:inline>
        </w:drawing>
      </w:r>
    </w:p>
    <w:p w14:paraId="2694C7BB" w14:textId="77777777" w:rsidR="00081C89" w:rsidRDefault="00081C89" w:rsidP="00081C89">
      <w:pPr>
        <w:pStyle w:val="Caption"/>
      </w:pPr>
      <w:bookmarkStart w:id="291" w:name="_Toc29308187"/>
      <w:bookmarkStart w:id="292" w:name="_Toc35861244"/>
      <w:r w:rsidRPr="008E033C">
        <w:rPr>
          <w:b/>
        </w:rPr>
        <w:t>Figure 3</w:t>
      </w:r>
      <w:r>
        <w:rPr>
          <w:b/>
        </w:rPr>
        <w:t>.58</w:t>
      </w:r>
      <w:r>
        <w:t xml:space="preserve">. Hunton group thickness [feet] map in the regional areas nearby the Speake Ranch. The Speake Ranch location is highlighted in the </w:t>
      </w:r>
      <w:r w:rsidRPr="001A4A69">
        <w:t>yellow spot.</w:t>
      </w:r>
      <w:r>
        <w:t xml:space="preserve">  White diamonds and values correspond to average T-max [℃] maturity values for the Woodford Shale from the IRC Woodford-Mississippian consortium database. Thickness values from 0 to 700 ft.</w:t>
      </w:r>
      <w:bookmarkEnd w:id="291"/>
      <w:bookmarkEnd w:id="292"/>
      <w:r>
        <w:t xml:space="preserve"> </w:t>
      </w:r>
    </w:p>
    <w:p w14:paraId="34BF0BE7" w14:textId="77777777" w:rsidR="00081C89" w:rsidRDefault="00081C89" w:rsidP="00081C89">
      <w:pPr>
        <w:spacing w:after="0"/>
        <w:jc w:val="center"/>
      </w:pPr>
      <w:r>
        <w:rPr>
          <w:noProof/>
        </w:rPr>
        <w:lastRenderedPageBreak/>
        <mc:AlternateContent>
          <mc:Choice Requires="wps">
            <w:drawing>
              <wp:anchor distT="0" distB="0" distL="114300" distR="114300" simplePos="0" relativeHeight="251803136" behindDoc="0" locked="0" layoutInCell="1" allowOverlap="1" wp14:anchorId="4762B915" wp14:editId="316342DB">
                <wp:simplePos x="0" y="0"/>
                <wp:positionH relativeFrom="column">
                  <wp:posOffset>5200650</wp:posOffset>
                </wp:positionH>
                <wp:positionV relativeFrom="paragraph">
                  <wp:posOffset>3819525</wp:posOffset>
                </wp:positionV>
                <wp:extent cx="96520" cy="104775"/>
                <wp:effectExtent l="19050" t="19050" r="17780" b="28575"/>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 cy="104775"/>
                        </a:xfrm>
                        <a:prstGeom prst="ellipse">
                          <a:avLst/>
                        </a:prstGeom>
                        <a:solidFill>
                          <a:srgbClr val="FFFF00"/>
                        </a:solid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F47AE8" id="Oval 15" o:spid="_x0000_s1026" style="position:absolute;margin-left:409.5pt;margin-top:300.75pt;width:7.6pt;height:8.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" fillcolor="yellow" strokecolor="#0d0d0d" strokeweight="2.25pt">
                <v:stroke joinstyle="miter"/>
                <v:path arrowok="t"/>
              </v:oval>
            </w:pict>
          </mc:Fallback>
        </mc:AlternateContent>
      </w:r>
      <w:r>
        <w:rPr>
          <w:noProof/>
        </w:rPr>
        <w:drawing>
          <wp:inline distT="0" distB="0" distL="0" distR="0" wp14:anchorId="4808986F" wp14:editId="0CCCC21A">
            <wp:extent cx="4078605" cy="5133340"/>
            <wp:effectExtent l="0" t="0" r="0" b="0"/>
            <wp:docPr id="8525" name="Picture 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078605" cy="5133340"/>
                    </a:xfrm>
                    <a:prstGeom prst="rect">
                      <a:avLst/>
                    </a:prstGeom>
                    <a:noFill/>
                  </pic:spPr>
                </pic:pic>
              </a:graphicData>
            </a:graphic>
          </wp:inline>
        </w:drawing>
      </w:r>
    </w:p>
    <w:p w14:paraId="203874E3" w14:textId="77777777" w:rsidR="00081C89" w:rsidRDefault="00081C89" w:rsidP="00081C89">
      <w:pPr>
        <w:pStyle w:val="Caption"/>
      </w:pPr>
      <w:bookmarkStart w:id="293" w:name="_Toc29308188"/>
      <w:bookmarkStart w:id="294" w:name="_Toc35861245"/>
      <w:r w:rsidRPr="008E033C">
        <w:rPr>
          <w:b/>
        </w:rPr>
        <w:t>Figure 3</w:t>
      </w:r>
      <w:r>
        <w:rPr>
          <w:b/>
        </w:rPr>
        <w:t>.59</w:t>
      </w:r>
      <w:r>
        <w:t xml:space="preserve">. Woodford Shale average total organic carbon [%TOC] map on the regional scale of Oklahoma. The Speake Ranch location is highlighted in the </w:t>
      </w:r>
      <w:r w:rsidRPr="001A4A69">
        <w:t>yellow spot.</w:t>
      </w:r>
      <w:r>
        <w:t xml:space="preserve">  White diamonds and values correspond to average T-max [℃] maturity values for the Woodford Shale from the IRC Woodford-Mississippian consortium database.</w:t>
      </w:r>
      <w:bookmarkEnd w:id="293"/>
      <w:bookmarkEnd w:id="294"/>
      <w:r>
        <w:t xml:space="preserve">  </w:t>
      </w:r>
    </w:p>
    <w:p w14:paraId="30E8E562" w14:textId="77777777" w:rsidR="00081C89" w:rsidRDefault="00081C89" w:rsidP="00081C89">
      <w:pPr>
        <w:spacing w:after="0"/>
        <w:jc w:val="center"/>
      </w:pPr>
      <w:r>
        <w:rPr>
          <w:noProof/>
        </w:rPr>
        <w:lastRenderedPageBreak/>
        <mc:AlternateContent>
          <mc:Choice Requires="wps">
            <w:drawing>
              <wp:anchor distT="0" distB="0" distL="114300" distR="114300" simplePos="0" relativeHeight="251804160" behindDoc="0" locked="0" layoutInCell="1" allowOverlap="1" wp14:anchorId="263F28E0" wp14:editId="600FF383">
                <wp:simplePos x="0" y="0"/>
                <wp:positionH relativeFrom="column">
                  <wp:posOffset>5272026</wp:posOffset>
                </wp:positionH>
                <wp:positionV relativeFrom="paragraph">
                  <wp:posOffset>3837816</wp:posOffset>
                </wp:positionV>
                <wp:extent cx="190005" cy="178130"/>
                <wp:effectExtent l="19050" t="19050" r="19685" b="12700"/>
                <wp:wrapNone/>
                <wp:docPr id="8"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005" cy="178130"/>
                        </a:xfrm>
                        <a:prstGeom prst="ellipse">
                          <a:avLst/>
                        </a:prstGeom>
                        <a:solidFill>
                          <a:srgbClr val="FFFF00"/>
                        </a:solidFill>
                        <a:ln w="28575"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C9A509" id="Oval 19" o:spid="_x0000_s1026" style="position:absolute;margin-left:415.1pt;margin-top:302.2pt;width:14.95pt;height:14.0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" fillcolor="yellow" strokecolor="#0d0d0d" strokeweight="2.25pt">
                <v:stroke joinstyle="miter"/>
                <v:path arrowok="t"/>
              </v:oval>
            </w:pict>
          </mc:Fallback>
        </mc:AlternateContent>
      </w:r>
      <w:r>
        <w:rPr>
          <w:noProof/>
        </w:rPr>
        <w:drawing>
          <wp:inline distT="0" distB="0" distL="0" distR="0" wp14:anchorId="5EFDD622" wp14:editId="4B0CC59F">
            <wp:extent cx="4243070" cy="5163820"/>
            <wp:effectExtent l="0" t="0" r="5080" b="0"/>
            <wp:docPr id="8526" name="Picture 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243070" cy="5163820"/>
                    </a:xfrm>
                    <a:prstGeom prst="rect">
                      <a:avLst/>
                    </a:prstGeom>
                    <a:noFill/>
                  </pic:spPr>
                </pic:pic>
              </a:graphicData>
            </a:graphic>
          </wp:inline>
        </w:drawing>
      </w:r>
    </w:p>
    <w:p w14:paraId="71B4ADED" w14:textId="77777777" w:rsidR="00081C89" w:rsidRDefault="00081C89" w:rsidP="00081C89">
      <w:pPr>
        <w:pStyle w:val="Caption"/>
      </w:pPr>
      <w:bookmarkStart w:id="295" w:name="_Toc29308189"/>
      <w:bookmarkStart w:id="296" w:name="_Toc35861246"/>
      <w:r w:rsidRPr="008E033C">
        <w:rPr>
          <w:b/>
        </w:rPr>
        <w:t>Figure 3</w:t>
      </w:r>
      <w:r>
        <w:rPr>
          <w:b/>
        </w:rPr>
        <w:t>.60</w:t>
      </w:r>
      <w:r>
        <w:t xml:space="preserve">. Woodford Shale average Tmax maturity [℃] map on the regional scale of Oklahoma. The Speake Ranch location is highlighted in the </w:t>
      </w:r>
      <w:r w:rsidRPr="001A4A69">
        <w:t>yellow spot.</w:t>
      </w:r>
      <w:r>
        <w:t xml:space="preserve">  White diamonds and values correspond to average T-max maturity values for the Woodford Shale from the IRC Woodford-Mississippian consortium database.</w:t>
      </w:r>
      <w:bookmarkEnd w:id="295"/>
      <w:bookmarkEnd w:id="296"/>
      <w:r>
        <w:t xml:space="preserve">  </w:t>
      </w:r>
    </w:p>
    <w:p w14:paraId="3B814852" w14:textId="77777777" w:rsidR="00081C89" w:rsidRPr="00650D00" w:rsidRDefault="00081C89" w:rsidP="00081C89">
      <w:pPr>
        <w:sectPr w:rsidR="00081C89" w:rsidRPr="00650D00" w:rsidSect="0095456D">
          <w:pgSz w:w="15840" w:h="12240" w:orient="landscape"/>
          <w:pgMar w:top="1440" w:right="1440" w:bottom="1440" w:left="1440" w:header="720" w:footer="720" w:gutter="0"/>
          <w:cols w:space="720"/>
          <w:docGrid w:linePitch="360"/>
        </w:sectPr>
      </w:pPr>
    </w:p>
    <w:p w14:paraId="69C048EE" w14:textId="77777777" w:rsidR="00081C89" w:rsidRPr="00812E47" w:rsidRDefault="00081C89" w:rsidP="00081C89">
      <w:pPr>
        <w:pStyle w:val="ListParagraph"/>
        <w:keepNext/>
        <w:numPr>
          <w:ilvl w:val="0"/>
          <w:numId w:val="28"/>
        </w:numPr>
        <w:spacing w:before="60" w:after="60" w:line="480" w:lineRule="auto"/>
        <w:contextualSpacing w:val="0"/>
        <w:outlineLvl w:val="1"/>
        <w:rPr>
          <w:rFonts w:eastAsia="MS Mincho" w:cs="Arial"/>
          <w:b/>
          <w:bCs/>
          <w:iCs/>
          <w:vanish/>
          <w:szCs w:val="28"/>
          <w:lang w:eastAsia="ja-JP"/>
        </w:rPr>
      </w:pPr>
      <w:bookmarkStart w:id="297" w:name="_Toc32530907"/>
      <w:bookmarkStart w:id="298" w:name="_Toc32562169"/>
      <w:bookmarkStart w:id="299" w:name="_Toc33098674"/>
      <w:bookmarkStart w:id="300" w:name="_Toc33098758"/>
      <w:bookmarkStart w:id="301" w:name="_Toc33190498"/>
      <w:bookmarkStart w:id="302" w:name="_Toc33191373"/>
      <w:bookmarkStart w:id="303" w:name="_Toc33253053"/>
      <w:bookmarkStart w:id="304" w:name="_Toc34458337"/>
      <w:bookmarkStart w:id="305" w:name="_Toc34458566"/>
      <w:bookmarkStart w:id="306" w:name="_Toc35011086"/>
      <w:bookmarkStart w:id="307" w:name="_Toc35852224"/>
      <w:bookmarkStart w:id="308" w:name="_Toc35859650"/>
      <w:bookmarkStart w:id="309" w:name="_Toc35861124"/>
      <w:bookmarkEnd w:id="297"/>
      <w:bookmarkEnd w:id="298"/>
      <w:bookmarkEnd w:id="299"/>
      <w:bookmarkEnd w:id="300"/>
      <w:bookmarkEnd w:id="301"/>
      <w:bookmarkEnd w:id="302"/>
      <w:bookmarkEnd w:id="303"/>
      <w:bookmarkEnd w:id="304"/>
      <w:bookmarkEnd w:id="305"/>
      <w:bookmarkEnd w:id="306"/>
      <w:bookmarkEnd w:id="307"/>
      <w:bookmarkEnd w:id="308"/>
      <w:bookmarkEnd w:id="309"/>
    </w:p>
    <w:p w14:paraId="10BAB5D2" w14:textId="77777777" w:rsidR="00081C89" w:rsidRPr="00812E47" w:rsidRDefault="00081C89" w:rsidP="00081C89">
      <w:pPr>
        <w:pStyle w:val="ListParagraph"/>
        <w:keepNext/>
        <w:numPr>
          <w:ilvl w:val="1"/>
          <w:numId w:val="28"/>
        </w:numPr>
        <w:spacing w:before="60" w:after="60" w:line="480" w:lineRule="auto"/>
        <w:contextualSpacing w:val="0"/>
        <w:outlineLvl w:val="1"/>
        <w:rPr>
          <w:rFonts w:eastAsia="MS Mincho" w:cs="Arial"/>
          <w:b/>
          <w:bCs/>
          <w:iCs/>
          <w:vanish/>
          <w:szCs w:val="28"/>
          <w:lang w:eastAsia="ja-JP"/>
        </w:rPr>
      </w:pPr>
      <w:bookmarkStart w:id="310" w:name="_Toc32530908"/>
      <w:bookmarkStart w:id="311" w:name="_Toc32562170"/>
      <w:bookmarkStart w:id="312" w:name="_Toc33098675"/>
      <w:bookmarkStart w:id="313" w:name="_Toc33098759"/>
      <w:bookmarkStart w:id="314" w:name="_Toc33190499"/>
      <w:bookmarkStart w:id="315" w:name="_Toc33191374"/>
      <w:bookmarkStart w:id="316" w:name="_Toc33253054"/>
      <w:bookmarkStart w:id="317" w:name="_Toc34458338"/>
      <w:bookmarkStart w:id="318" w:name="_Toc34458567"/>
      <w:bookmarkStart w:id="319" w:name="_Toc35011087"/>
      <w:bookmarkStart w:id="320" w:name="_Toc35852225"/>
      <w:bookmarkStart w:id="321" w:name="_Toc35859651"/>
      <w:bookmarkStart w:id="322" w:name="_Toc35861125"/>
      <w:bookmarkEnd w:id="310"/>
      <w:bookmarkEnd w:id="311"/>
      <w:bookmarkEnd w:id="312"/>
      <w:bookmarkEnd w:id="313"/>
      <w:bookmarkEnd w:id="314"/>
      <w:bookmarkEnd w:id="315"/>
      <w:bookmarkEnd w:id="316"/>
      <w:bookmarkEnd w:id="317"/>
      <w:bookmarkEnd w:id="318"/>
      <w:bookmarkEnd w:id="319"/>
      <w:bookmarkEnd w:id="320"/>
      <w:bookmarkEnd w:id="321"/>
      <w:bookmarkEnd w:id="322"/>
    </w:p>
    <w:p w14:paraId="65DDE738" w14:textId="77777777" w:rsidR="00081C89" w:rsidRPr="00812E47" w:rsidRDefault="00081C89" w:rsidP="00081C89">
      <w:pPr>
        <w:pStyle w:val="ListParagraph"/>
        <w:keepNext/>
        <w:numPr>
          <w:ilvl w:val="1"/>
          <w:numId w:val="28"/>
        </w:numPr>
        <w:spacing w:before="60" w:after="60" w:line="480" w:lineRule="auto"/>
        <w:contextualSpacing w:val="0"/>
        <w:outlineLvl w:val="1"/>
        <w:rPr>
          <w:rFonts w:eastAsia="MS Mincho" w:cs="Arial"/>
          <w:b/>
          <w:bCs/>
          <w:iCs/>
          <w:vanish/>
          <w:szCs w:val="28"/>
          <w:lang w:eastAsia="ja-JP"/>
        </w:rPr>
      </w:pPr>
      <w:bookmarkStart w:id="323" w:name="_Toc32530909"/>
      <w:bookmarkStart w:id="324" w:name="_Toc32562171"/>
      <w:bookmarkStart w:id="325" w:name="_Toc33098676"/>
      <w:bookmarkStart w:id="326" w:name="_Toc33098760"/>
      <w:bookmarkStart w:id="327" w:name="_Toc33190500"/>
      <w:bookmarkStart w:id="328" w:name="_Toc33191375"/>
      <w:bookmarkStart w:id="329" w:name="_Toc33253055"/>
      <w:bookmarkStart w:id="330" w:name="_Toc34458339"/>
      <w:bookmarkStart w:id="331" w:name="_Toc34458568"/>
      <w:bookmarkStart w:id="332" w:name="_Toc35011088"/>
      <w:bookmarkStart w:id="333" w:name="_Toc35852226"/>
      <w:bookmarkStart w:id="334" w:name="_Toc35859652"/>
      <w:bookmarkStart w:id="335" w:name="_Toc35861126"/>
      <w:bookmarkEnd w:id="323"/>
      <w:bookmarkEnd w:id="324"/>
      <w:bookmarkEnd w:id="325"/>
      <w:bookmarkEnd w:id="326"/>
      <w:bookmarkEnd w:id="327"/>
      <w:bookmarkEnd w:id="328"/>
      <w:bookmarkEnd w:id="329"/>
      <w:bookmarkEnd w:id="330"/>
      <w:bookmarkEnd w:id="331"/>
      <w:bookmarkEnd w:id="332"/>
      <w:bookmarkEnd w:id="333"/>
      <w:bookmarkEnd w:id="334"/>
      <w:bookmarkEnd w:id="335"/>
    </w:p>
    <w:p w14:paraId="0CFC3673" w14:textId="77777777" w:rsidR="00081C89" w:rsidRPr="00812E47" w:rsidRDefault="00081C89" w:rsidP="00081C89">
      <w:pPr>
        <w:pStyle w:val="ListParagraph"/>
        <w:keepNext/>
        <w:numPr>
          <w:ilvl w:val="1"/>
          <w:numId w:val="28"/>
        </w:numPr>
        <w:spacing w:before="60" w:after="60" w:line="480" w:lineRule="auto"/>
        <w:contextualSpacing w:val="0"/>
        <w:outlineLvl w:val="1"/>
        <w:rPr>
          <w:rFonts w:eastAsia="MS Mincho" w:cs="Arial"/>
          <w:b/>
          <w:bCs/>
          <w:iCs/>
          <w:vanish/>
          <w:szCs w:val="28"/>
          <w:lang w:eastAsia="ja-JP"/>
        </w:rPr>
      </w:pPr>
      <w:bookmarkStart w:id="336" w:name="_Toc32530910"/>
      <w:bookmarkStart w:id="337" w:name="_Toc32562172"/>
      <w:bookmarkStart w:id="338" w:name="_Toc33098677"/>
      <w:bookmarkStart w:id="339" w:name="_Toc33098761"/>
      <w:bookmarkStart w:id="340" w:name="_Toc33190501"/>
      <w:bookmarkStart w:id="341" w:name="_Toc33191376"/>
      <w:bookmarkStart w:id="342" w:name="_Toc33253056"/>
      <w:bookmarkStart w:id="343" w:name="_Toc34458340"/>
      <w:bookmarkStart w:id="344" w:name="_Toc34458569"/>
      <w:bookmarkStart w:id="345" w:name="_Toc35011089"/>
      <w:bookmarkStart w:id="346" w:name="_Toc35852227"/>
      <w:bookmarkStart w:id="347" w:name="_Toc35859653"/>
      <w:bookmarkStart w:id="348" w:name="_Toc35861127"/>
      <w:bookmarkEnd w:id="336"/>
      <w:bookmarkEnd w:id="337"/>
      <w:bookmarkEnd w:id="338"/>
      <w:bookmarkEnd w:id="339"/>
      <w:bookmarkEnd w:id="340"/>
      <w:bookmarkEnd w:id="341"/>
      <w:bookmarkEnd w:id="342"/>
      <w:bookmarkEnd w:id="343"/>
      <w:bookmarkEnd w:id="344"/>
      <w:bookmarkEnd w:id="345"/>
      <w:bookmarkEnd w:id="346"/>
      <w:bookmarkEnd w:id="347"/>
      <w:bookmarkEnd w:id="348"/>
    </w:p>
    <w:p w14:paraId="42C18ADB" w14:textId="77777777" w:rsidR="00081C89" w:rsidRPr="00812E47" w:rsidRDefault="00081C89" w:rsidP="00081C89">
      <w:pPr>
        <w:pStyle w:val="ListParagraph"/>
        <w:keepNext/>
        <w:numPr>
          <w:ilvl w:val="1"/>
          <w:numId w:val="28"/>
        </w:numPr>
        <w:spacing w:before="60" w:after="60" w:line="480" w:lineRule="auto"/>
        <w:contextualSpacing w:val="0"/>
        <w:outlineLvl w:val="1"/>
        <w:rPr>
          <w:rFonts w:eastAsia="MS Mincho" w:cs="Arial"/>
          <w:b/>
          <w:bCs/>
          <w:iCs/>
          <w:vanish/>
          <w:szCs w:val="28"/>
          <w:lang w:eastAsia="ja-JP"/>
        </w:rPr>
      </w:pPr>
      <w:bookmarkStart w:id="349" w:name="_Toc32530911"/>
      <w:bookmarkStart w:id="350" w:name="_Toc32562173"/>
      <w:bookmarkStart w:id="351" w:name="_Toc33098678"/>
      <w:bookmarkStart w:id="352" w:name="_Toc33098762"/>
      <w:bookmarkStart w:id="353" w:name="_Toc33190502"/>
      <w:bookmarkStart w:id="354" w:name="_Toc33191377"/>
      <w:bookmarkStart w:id="355" w:name="_Toc33253057"/>
      <w:bookmarkStart w:id="356" w:name="_Toc34458341"/>
      <w:bookmarkStart w:id="357" w:name="_Toc34458570"/>
      <w:bookmarkStart w:id="358" w:name="_Toc35011090"/>
      <w:bookmarkStart w:id="359" w:name="_Toc35852228"/>
      <w:bookmarkStart w:id="360" w:name="_Toc35859654"/>
      <w:bookmarkStart w:id="361" w:name="_Toc35861128"/>
      <w:bookmarkEnd w:id="349"/>
      <w:bookmarkEnd w:id="350"/>
      <w:bookmarkEnd w:id="351"/>
      <w:bookmarkEnd w:id="352"/>
      <w:bookmarkEnd w:id="353"/>
      <w:bookmarkEnd w:id="354"/>
      <w:bookmarkEnd w:id="355"/>
      <w:bookmarkEnd w:id="356"/>
      <w:bookmarkEnd w:id="357"/>
      <w:bookmarkEnd w:id="358"/>
      <w:bookmarkEnd w:id="359"/>
      <w:bookmarkEnd w:id="360"/>
      <w:bookmarkEnd w:id="361"/>
    </w:p>
    <w:p w14:paraId="15F8CC6D" w14:textId="77777777" w:rsidR="00081C89" w:rsidRPr="00FB115E" w:rsidRDefault="00081C89" w:rsidP="00081C89">
      <w:pPr>
        <w:pStyle w:val="Heading2"/>
        <w:numPr>
          <w:ilvl w:val="1"/>
          <w:numId w:val="28"/>
        </w:numPr>
      </w:pPr>
      <w:r>
        <w:t xml:space="preserve"> </w:t>
      </w:r>
      <w:bookmarkStart w:id="362" w:name="_Toc25833569"/>
      <w:bookmarkStart w:id="363" w:name="_Toc29304884"/>
      <w:bookmarkStart w:id="364" w:name="_Toc35861129"/>
      <w:r w:rsidRPr="00FB115E">
        <w:t>Conclusions</w:t>
      </w:r>
      <w:bookmarkEnd w:id="362"/>
      <w:bookmarkEnd w:id="363"/>
      <w:bookmarkEnd w:id="364"/>
    </w:p>
    <w:p w14:paraId="04C73569" w14:textId="77777777" w:rsidR="00081C89" w:rsidRDefault="00081C89" w:rsidP="00081C89">
      <w:pPr>
        <w:ind w:firstLine="360"/>
        <w:rPr>
          <w:color w:val="000000"/>
        </w:rPr>
      </w:pPr>
      <w:r>
        <w:rPr>
          <w:color w:val="000000"/>
        </w:rPr>
        <w:t>Previous integrated studies (Serna-Bernal, 2013; Connock, 2015 DeGarmo, 2015; Becerra-Rondon, 2017; Ekwunife, 2017; Galvis et al., 2017a and 2017b; Jones 2017; Connock et al. 2018; Philp and DeGarmo, 2020) of lithostratigraphy and sequence stratigraphy of the Woodford Shale in southern Oklahoma</w:t>
      </w:r>
      <w:r w:rsidRPr="004F0540">
        <w:rPr>
          <w:color w:val="000000"/>
        </w:rPr>
        <w:t xml:space="preserve"> have shown similar </w:t>
      </w:r>
      <w:r>
        <w:rPr>
          <w:color w:val="000000"/>
        </w:rPr>
        <w:t>conclusions for</w:t>
      </w:r>
      <w:r w:rsidRPr="004F0540">
        <w:rPr>
          <w:color w:val="000000"/>
        </w:rPr>
        <w:t xml:space="preserve"> evidence of photic zone euxini</w:t>
      </w:r>
      <w:r>
        <w:rPr>
          <w:color w:val="000000"/>
        </w:rPr>
        <w:t>a</w:t>
      </w:r>
      <w:r w:rsidRPr="004F0540">
        <w:rPr>
          <w:color w:val="000000"/>
        </w:rPr>
        <w:t xml:space="preserve">, </w:t>
      </w:r>
      <w:r>
        <w:rPr>
          <w:color w:val="000000"/>
        </w:rPr>
        <w:t xml:space="preserve">with </w:t>
      </w:r>
      <w:r w:rsidRPr="004F0540">
        <w:rPr>
          <w:color w:val="000000"/>
        </w:rPr>
        <w:t>terrestrial organic input</w:t>
      </w:r>
      <w:r>
        <w:rPr>
          <w:color w:val="000000"/>
        </w:rPr>
        <w:t>s at the Woodford Shale top</w:t>
      </w:r>
      <w:r w:rsidRPr="004F0540">
        <w:rPr>
          <w:color w:val="000000"/>
        </w:rPr>
        <w:t xml:space="preserve"> culminating in the collapse </w:t>
      </w:r>
      <w:r>
        <w:rPr>
          <w:color w:val="000000"/>
        </w:rPr>
        <w:t>of</w:t>
      </w:r>
      <w:r w:rsidRPr="004F0540">
        <w:rPr>
          <w:color w:val="000000"/>
        </w:rPr>
        <w:t xml:space="preserve"> both the terrestrial and marine ecosystem</w:t>
      </w:r>
      <w:r>
        <w:rPr>
          <w:color w:val="000000"/>
        </w:rPr>
        <w:t>s for the post-Woodford Shale Mississippian strata</w:t>
      </w:r>
      <w:r w:rsidRPr="004F0540">
        <w:rPr>
          <w:color w:val="000000"/>
        </w:rPr>
        <w:t xml:space="preserve">. </w:t>
      </w:r>
      <w:r>
        <w:rPr>
          <w:color w:val="000000"/>
        </w:rPr>
        <w:t xml:space="preserve">This study is the first one to correlate the Woodford Shale SR outcrop integrated geological and geochemical characterization with nearby subsurface well log data corresponding to the south SCOOP Oklahoma petroleum province. </w:t>
      </w:r>
    </w:p>
    <w:p w14:paraId="6958BF61" w14:textId="77777777" w:rsidR="00081C89" w:rsidRPr="004F0540" w:rsidRDefault="00081C89" w:rsidP="00081C89">
      <w:pPr>
        <w:ind w:firstLine="360"/>
        <w:rPr>
          <w:color w:val="000000"/>
        </w:rPr>
      </w:pPr>
      <w:r>
        <w:rPr>
          <w:color w:val="000000"/>
        </w:rPr>
        <w:t>For</w:t>
      </w:r>
      <w:r w:rsidRPr="004F0540">
        <w:rPr>
          <w:color w:val="000000"/>
        </w:rPr>
        <w:t xml:space="preserve"> the </w:t>
      </w:r>
      <w:r>
        <w:rPr>
          <w:color w:val="000000"/>
        </w:rPr>
        <w:t>M</w:t>
      </w:r>
      <w:r w:rsidRPr="004F0540">
        <w:rPr>
          <w:color w:val="000000"/>
        </w:rPr>
        <w:t xml:space="preserve">iddle and </w:t>
      </w:r>
      <w:r>
        <w:rPr>
          <w:color w:val="000000"/>
        </w:rPr>
        <w:t>U</w:t>
      </w:r>
      <w:r w:rsidRPr="004F0540">
        <w:rPr>
          <w:color w:val="000000"/>
        </w:rPr>
        <w:t>pper Woodford</w:t>
      </w:r>
      <w:r>
        <w:rPr>
          <w:color w:val="000000"/>
        </w:rPr>
        <w:t xml:space="preserve">, the biomarker analyses </w:t>
      </w:r>
      <w:r w:rsidRPr="004F0540">
        <w:rPr>
          <w:color w:val="000000"/>
        </w:rPr>
        <w:t>provided evidence for a potential mechanism for mass extinctions involving eutrophication of shallow marine settings, followed by increased bioproductivity, oxygen consumption</w:t>
      </w:r>
      <w:r>
        <w:rPr>
          <w:color w:val="000000"/>
        </w:rPr>
        <w:t>,</w:t>
      </w:r>
      <w:r w:rsidRPr="004F0540">
        <w:rPr>
          <w:color w:val="000000"/>
        </w:rPr>
        <w:t xml:space="preserve"> and subsequent global euxinic seas. Based on sequence stratigraphic models</w:t>
      </w:r>
      <w:r>
        <w:rPr>
          <w:color w:val="000000"/>
        </w:rPr>
        <w:t xml:space="preserve"> by Slatt (2016)</w:t>
      </w:r>
      <w:r w:rsidRPr="004F0540">
        <w:rPr>
          <w:color w:val="000000"/>
        </w:rPr>
        <w:t>,</w:t>
      </w:r>
      <w:r>
        <w:rPr>
          <w:color w:val="000000"/>
        </w:rPr>
        <w:t xml:space="preserve"> combined with the biomarker analyses and XRF proxy interpretations</w:t>
      </w:r>
      <w:r w:rsidRPr="004F0540">
        <w:rPr>
          <w:color w:val="000000"/>
        </w:rPr>
        <w:t xml:space="preserve"> </w:t>
      </w:r>
      <w:r>
        <w:rPr>
          <w:color w:val="000000"/>
        </w:rPr>
        <w:t>it can be concluded that at</w:t>
      </w:r>
      <w:r w:rsidRPr="004F0540">
        <w:rPr>
          <w:color w:val="000000"/>
        </w:rPr>
        <w:t xml:space="preserve"> the</w:t>
      </w:r>
      <w:r>
        <w:rPr>
          <w:color w:val="000000"/>
        </w:rPr>
        <w:t xml:space="preserve"> start of the</w:t>
      </w:r>
      <w:r w:rsidRPr="004F0540">
        <w:rPr>
          <w:color w:val="000000"/>
        </w:rPr>
        <w:t xml:space="preserve"> maximum flooding surface</w:t>
      </w:r>
      <w:r>
        <w:rPr>
          <w:color w:val="000000"/>
        </w:rPr>
        <w:t>,</w:t>
      </w:r>
      <w:r w:rsidRPr="004F0540">
        <w:rPr>
          <w:color w:val="000000"/>
        </w:rPr>
        <w:t xml:space="preserve"> </w:t>
      </w:r>
      <w:r>
        <w:rPr>
          <w:color w:val="000000"/>
        </w:rPr>
        <w:t xml:space="preserve">it </w:t>
      </w:r>
      <w:r w:rsidRPr="004F0540">
        <w:rPr>
          <w:color w:val="000000"/>
        </w:rPr>
        <w:t>would define this Woodford section as an HST interval with</w:t>
      </w:r>
      <w:r>
        <w:rPr>
          <w:color w:val="000000"/>
        </w:rPr>
        <w:t xml:space="preserve"> a</w:t>
      </w:r>
      <w:r w:rsidRPr="004F0540">
        <w:rPr>
          <w:color w:val="000000"/>
        </w:rPr>
        <w:t xml:space="preserve"> </w:t>
      </w:r>
      <w:r>
        <w:rPr>
          <w:color w:val="000000"/>
        </w:rPr>
        <w:t>t</w:t>
      </w:r>
      <w:r w:rsidRPr="004F0540">
        <w:rPr>
          <w:color w:val="000000"/>
        </w:rPr>
        <w:t xml:space="preserve">ype II marine </w:t>
      </w:r>
      <w:r>
        <w:rPr>
          <w:color w:val="000000"/>
        </w:rPr>
        <w:t>kerogen</w:t>
      </w:r>
      <w:r w:rsidRPr="004F0540">
        <w:rPr>
          <w:color w:val="000000"/>
        </w:rPr>
        <w:t xml:space="preserve"> (Slatt et al., 201</w:t>
      </w:r>
      <w:r>
        <w:rPr>
          <w:color w:val="000000"/>
        </w:rPr>
        <w:t>1</w:t>
      </w:r>
      <w:r w:rsidRPr="004F0540">
        <w:rPr>
          <w:color w:val="000000"/>
        </w:rPr>
        <w:t>)</w:t>
      </w:r>
      <w:r>
        <w:rPr>
          <w:color w:val="000000"/>
        </w:rPr>
        <w:t xml:space="preserve"> and a typical open marine deposit</w:t>
      </w:r>
      <w:r w:rsidRPr="004F0540">
        <w:rPr>
          <w:color w:val="000000"/>
        </w:rPr>
        <w:t xml:space="preserve">. </w:t>
      </w:r>
      <w:r>
        <w:rPr>
          <w:color w:val="000000"/>
        </w:rPr>
        <w:t xml:space="preserve">The </w:t>
      </w:r>
      <w:r w:rsidRPr="004F0540">
        <w:rPr>
          <w:color w:val="000000"/>
        </w:rPr>
        <w:t>Rock</w:t>
      </w:r>
      <w:r>
        <w:rPr>
          <w:color w:val="000000"/>
        </w:rPr>
        <w:t>-</w:t>
      </w:r>
      <w:r w:rsidRPr="004F0540">
        <w:rPr>
          <w:color w:val="000000"/>
        </w:rPr>
        <w:t>Eval data, sterane</w:t>
      </w:r>
      <w:r>
        <w:rPr>
          <w:color w:val="000000"/>
        </w:rPr>
        <w:t>s</w:t>
      </w:r>
      <w:r w:rsidRPr="004F0540">
        <w:rPr>
          <w:color w:val="000000"/>
        </w:rPr>
        <w:t xml:space="preserve"> ratios, as well as the presence of 24-n-propylcholestanes, demonstrate the anticipated marine organic signature</w:t>
      </w:r>
      <w:r>
        <w:rPr>
          <w:color w:val="000000"/>
        </w:rPr>
        <w:t xml:space="preserve"> but with high levels of anoxic intervals overall in the SR section</w:t>
      </w:r>
      <w:r w:rsidRPr="004F0540">
        <w:rPr>
          <w:color w:val="000000"/>
        </w:rPr>
        <w:t xml:space="preserve">. </w:t>
      </w:r>
      <w:r>
        <w:rPr>
          <w:color w:val="000000"/>
        </w:rPr>
        <w:t>The r</w:t>
      </w:r>
      <w:r w:rsidRPr="004F0540">
        <w:rPr>
          <w:color w:val="000000"/>
        </w:rPr>
        <w:t>elatively higher amounts of C</w:t>
      </w:r>
      <w:r w:rsidRPr="0091055D">
        <w:rPr>
          <w:color w:val="000000"/>
          <w:vertAlign w:val="subscript"/>
        </w:rPr>
        <w:t>29</w:t>
      </w:r>
      <w:r w:rsidRPr="004F0540">
        <w:rPr>
          <w:color w:val="000000"/>
        </w:rPr>
        <w:t xml:space="preserve"> sterane</w:t>
      </w:r>
      <w:r>
        <w:rPr>
          <w:color w:val="000000"/>
        </w:rPr>
        <w:t>s</w:t>
      </w:r>
      <w:r w:rsidRPr="004F0540">
        <w:rPr>
          <w:color w:val="000000"/>
        </w:rPr>
        <w:t xml:space="preserve"> demonstrate the inclusion of some terrestrial input</w:t>
      </w:r>
      <w:r>
        <w:rPr>
          <w:color w:val="000000"/>
        </w:rPr>
        <w:t>, and this occurs in depositional cycles that include the upper part of the Lower Woodford member as well</w:t>
      </w:r>
      <w:r w:rsidRPr="004F0540">
        <w:rPr>
          <w:color w:val="000000"/>
        </w:rPr>
        <w:t xml:space="preserve">. </w:t>
      </w:r>
      <w:r>
        <w:rPr>
          <w:color w:val="000000"/>
        </w:rPr>
        <w:t>But the general higher concentration of C</w:t>
      </w:r>
      <w:r w:rsidRPr="000F3FAD">
        <w:rPr>
          <w:color w:val="000000"/>
          <w:vertAlign w:val="subscript"/>
        </w:rPr>
        <w:t>28</w:t>
      </w:r>
      <w:r>
        <w:rPr>
          <w:color w:val="000000"/>
        </w:rPr>
        <w:t xml:space="preserve"> MAS over the C</w:t>
      </w:r>
      <w:r w:rsidRPr="000F3FAD">
        <w:rPr>
          <w:color w:val="000000"/>
          <w:vertAlign w:val="subscript"/>
        </w:rPr>
        <w:t>27</w:t>
      </w:r>
      <w:r>
        <w:rPr>
          <w:color w:val="000000"/>
        </w:rPr>
        <w:t xml:space="preserve"> and C</w:t>
      </w:r>
      <w:r w:rsidRPr="000F3FAD">
        <w:rPr>
          <w:color w:val="000000"/>
          <w:vertAlign w:val="subscript"/>
        </w:rPr>
        <w:t>29</w:t>
      </w:r>
      <w:r>
        <w:rPr>
          <w:color w:val="000000"/>
        </w:rPr>
        <w:t xml:space="preserve"> MAS indicates that the principal depositional environment is marine. For this reason, the recognition of biomarkers related to terrestrial organic </w:t>
      </w:r>
      <w:r>
        <w:rPr>
          <w:color w:val="000000"/>
        </w:rPr>
        <w:lastRenderedPageBreak/>
        <w:t xml:space="preserve">matter inputs (PAHs and TPPs) are proposed as progradational processes that deposited these compounds from the continent towards deeper basinal areas. </w:t>
      </w:r>
    </w:p>
    <w:p w14:paraId="0CB2DBF6" w14:textId="77777777" w:rsidR="00081C89" w:rsidRPr="004F0540" w:rsidRDefault="00081C89" w:rsidP="00081C89">
      <w:pPr>
        <w:ind w:firstLine="360"/>
        <w:rPr>
          <w:color w:val="000000"/>
        </w:rPr>
      </w:pPr>
      <w:r>
        <w:rPr>
          <w:color w:val="000000"/>
        </w:rPr>
        <w:t>The proposed and identified specific</w:t>
      </w:r>
      <w:r w:rsidRPr="004F0540">
        <w:rPr>
          <w:color w:val="000000"/>
        </w:rPr>
        <w:t xml:space="preserve"> biomarkers gave insight into </w:t>
      </w:r>
      <w:r>
        <w:rPr>
          <w:color w:val="000000"/>
        </w:rPr>
        <w:t xml:space="preserve">the </w:t>
      </w:r>
      <w:r w:rsidRPr="004F0540">
        <w:rPr>
          <w:color w:val="000000"/>
        </w:rPr>
        <w:t xml:space="preserve">lithologic features of the Woodford Shale. </w:t>
      </w:r>
      <w:r>
        <w:rPr>
          <w:color w:val="000000"/>
        </w:rPr>
        <w:t xml:space="preserve">Relatively higher concentrations </w:t>
      </w:r>
      <w:r w:rsidRPr="004F0540">
        <w:rPr>
          <w:color w:val="000000"/>
        </w:rPr>
        <w:t>of diasteranes</w:t>
      </w:r>
      <w:r>
        <w:rPr>
          <w:color w:val="000000"/>
        </w:rPr>
        <w:t xml:space="preserve"> </w:t>
      </w:r>
      <w:r w:rsidRPr="004F0540">
        <w:rPr>
          <w:color w:val="000000"/>
        </w:rPr>
        <w:t xml:space="preserve">were </w:t>
      </w:r>
      <w:r>
        <w:rPr>
          <w:color w:val="000000"/>
        </w:rPr>
        <w:t xml:space="preserve">observed </w:t>
      </w:r>
      <w:r w:rsidRPr="004F0540">
        <w:rPr>
          <w:color w:val="000000"/>
        </w:rPr>
        <w:t>in units with the highest shale content</w:t>
      </w:r>
      <w:r>
        <w:rPr>
          <w:color w:val="000000"/>
        </w:rPr>
        <w:t>, as expected and correlated with the lithologies described by Galvis (2017) and Galvis et al. (2017a and 2017b)</w:t>
      </w:r>
      <w:r w:rsidRPr="004F0540">
        <w:rPr>
          <w:color w:val="000000"/>
        </w:rPr>
        <w:t xml:space="preserve"> and</w:t>
      </w:r>
      <w:r>
        <w:rPr>
          <w:color w:val="000000"/>
        </w:rPr>
        <w:t xml:space="preserve"> were particularly predominant in all the Lower and Middle Woodford Shale argillaceous rich mudstones facies</w:t>
      </w:r>
      <w:r w:rsidRPr="004F0540">
        <w:rPr>
          <w:color w:val="000000"/>
        </w:rPr>
        <w:t xml:space="preserve">. On </w:t>
      </w:r>
      <w:r>
        <w:rPr>
          <w:color w:val="000000"/>
        </w:rPr>
        <w:t>t</w:t>
      </w:r>
      <w:r w:rsidRPr="004F0540">
        <w:rPr>
          <w:color w:val="000000"/>
        </w:rPr>
        <w:t xml:space="preserve">he </w:t>
      </w:r>
      <w:r>
        <w:rPr>
          <w:color w:val="000000"/>
        </w:rPr>
        <w:t>o</w:t>
      </w:r>
      <w:r w:rsidRPr="004F0540">
        <w:rPr>
          <w:color w:val="000000"/>
        </w:rPr>
        <w:t xml:space="preserve">ther </w:t>
      </w:r>
      <w:r>
        <w:rPr>
          <w:color w:val="000000"/>
        </w:rPr>
        <w:t>h</w:t>
      </w:r>
      <w:r w:rsidRPr="004F0540">
        <w:rPr>
          <w:color w:val="000000"/>
        </w:rPr>
        <w:t xml:space="preserve">and, </w:t>
      </w:r>
      <w:r>
        <w:rPr>
          <w:color w:val="000000"/>
        </w:rPr>
        <w:t xml:space="preserve">the silica and </w:t>
      </w:r>
      <w:r w:rsidRPr="004F0540">
        <w:rPr>
          <w:color w:val="000000"/>
        </w:rPr>
        <w:t xml:space="preserve">chert-rich </w:t>
      </w:r>
      <w:r>
        <w:rPr>
          <w:color w:val="000000"/>
        </w:rPr>
        <w:t xml:space="preserve">rock intervals </w:t>
      </w:r>
      <w:r w:rsidRPr="004F0540">
        <w:rPr>
          <w:color w:val="000000"/>
        </w:rPr>
        <w:t>were characterized by relative</w:t>
      </w:r>
      <w:r>
        <w:rPr>
          <w:color w:val="000000"/>
        </w:rPr>
        <w:t>ly</w:t>
      </w:r>
      <w:r w:rsidRPr="004F0540">
        <w:rPr>
          <w:color w:val="000000"/>
        </w:rPr>
        <w:t xml:space="preserve"> high amounts of tricyclic terpane</w:t>
      </w:r>
      <w:r>
        <w:rPr>
          <w:color w:val="000000"/>
        </w:rPr>
        <w:t>s</w:t>
      </w:r>
      <w:r w:rsidRPr="004F0540">
        <w:rPr>
          <w:color w:val="000000"/>
        </w:rPr>
        <w:t xml:space="preserve">, which are indicative of </w:t>
      </w:r>
      <w:r>
        <w:rPr>
          <w:i/>
          <w:color w:val="000000"/>
        </w:rPr>
        <w:t>T</w:t>
      </w:r>
      <w:r w:rsidRPr="003C3EDF">
        <w:rPr>
          <w:i/>
          <w:color w:val="000000"/>
        </w:rPr>
        <w:t>asmanites</w:t>
      </w:r>
      <w:r w:rsidRPr="004F0540">
        <w:rPr>
          <w:color w:val="000000"/>
        </w:rPr>
        <w:t xml:space="preserve"> and algal input. </w:t>
      </w:r>
      <w:r w:rsidRPr="000F3FAD">
        <w:rPr>
          <w:i/>
          <w:iCs/>
          <w:color w:val="000000"/>
        </w:rPr>
        <w:t xml:space="preserve">Tasmanites </w:t>
      </w:r>
      <w:r>
        <w:rPr>
          <w:color w:val="000000"/>
        </w:rPr>
        <w:t xml:space="preserve">are also identified in the lithologies of the SR by the petrographic analyses of Galvis (2017). </w:t>
      </w:r>
      <w:r w:rsidRPr="004F0540">
        <w:rPr>
          <w:color w:val="000000"/>
        </w:rPr>
        <w:t>Upwellings causing chert deposition also provide</w:t>
      </w:r>
      <w:r>
        <w:rPr>
          <w:color w:val="000000"/>
        </w:rPr>
        <w:t>d</w:t>
      </w:r>
      <w:r w:rsidRPr="004F0540">
        <w:rPr>
          <w:color w:val="000000"/>
        </w:rPr>
        <w:t xml:space="preserve"> nutrient-rich waters, causing algal and planktonic blooms, as seen by the tricyclic terpane signature</w:t>
      </w:r>
      <w:r>
        <w:rPr>
          <w:color w:val="000000"/>
        </w:rPr>
        <w:t xml:space="preserve">, the increase of the TPP ratio and the integration with the XRF, XRF-EF data of U, Mo, V, Fe, S, and the ratios of Si/Al, Mo/Al. </w:t>
      </w:r>
      <w:r w:rsidRPr="004F0540">
        <w:rPr>
          <w:color w:val="000000"/>
        </w:rPr>
        <w:t xml:space="preserve"> </w:t>
      </w:r>
    </w:p>
    <w:p w14:paraId="44AD192D" w14:textId="77777777" w:rsidR="00081C89" w:rsidRDefault="00081C89" w:rsidP="00081C89">
      <w:pPr>
        <w:ind w:firstLine="360"/>
        <w:rPr>
          <w:color w:val="000000"/>
        </w:rPr>
      </w:pPr>
      <w:r w:rsidRPr="004F0540">
        <w:rPr>
          <w:color w:val="000000"/>
        </w:rPr>
        <w:t xml:space="preserve">By </w:t>
      </w:r>
      <w:r>
        <w:rPr>
          <w:color w:val="000000"/>
        </w:rPr>
        <w:t>applying the regional sequence stratigraphic model of the Woodford Shale in Oklahoma proposed by Slatt (2016), and integrating this into the SR section analysis, it can be concluded that there were</w:t>
      </w:r>
      <w:r w:rsidRPr="004F0540">
        <w:rPr>
          <w:color w:val="000000"/>
        </w:rPr>
        <w:t xml:space="preserve"> high levels of oxygenation and open marine circulation with </w:t>
      </w:r>
      <w:r>
        <w:rPr>
          <w:color w:val="000000"/>
        </w:rPr>
        <w:t>shallower</w:t>
      </w:r>
      <w:r w:rsidRPr="004F0540">
        <w:rPr>
          <w:color w:val="000000"/>
        </w:rPr>
        <w:t xml:space="preserve"> sea level</w:t>
      </w:r>
      <w:r>
        <w:rPr>
          <w:color w:val="000000"/>
        </w:rPr>
        <w:t xml:space="preserve"> after the end of the maximum flooding surface (MFS), towards the deposition of the Upper Woodford member layers. However, </w:t>
      </w:r>
      <w:r w:rsidRPr="004F0540">
        <w:rPr>
          <w:color w:val="000000"/>
        </w:rPr>
        <w:t>biomarkers from this analysis point to some instances of anoxia and marine restriction</w:t>
      </w:r>
      <w:r>
        <w:rPr>
          <w:color w:val="000000"/>
        </w:rPr>
        <w:t xml:space="preserve"> in the Upper Woodford, but with less preservation of the organic matter</w:t>
      </w:r>
      <w:r w:rsidRPr="004F0540">
        <w:rPr>
          <w:color w:val="000000"/>
        </w:rPr>
        <w:t xml:space="preserve">. </w:t>
      </w:r>
    </w:p>
    <w:p w14:paraId="3FAB9EA7" w14:textId="77777777" w:rsidR="00081C89" w:rsidRDefault="00081C89" w:rsidP="00081C89">
      <w:pPr>
        <w:ind w:firstLine="720"/>
        <w:rPr>
          <w:color w:val="000000"/>
        </w:rPr>
      </w:pPr>
      <w:r>
        <w:rPr>
          <w:color w:val="000000"/>
        </w:rPr>
        <w:t>Based on</w:t>
      </w:r>
      <w:r w:rsidRPr="004F0540">
        <w:rPr>
          <w:color w:val="000000"/>
        </w:rPr>
        <w:t xml:space="preserve"> </w:t>
      </w:r>
      <w:r>
        <w:rPr>
          <w:color w:val="000000"/>
        </w:rPr>
        <w:t xml:space="preserve">the </w:t>
      </w:r>
      <w:r w:rsidRPr="004F0540">
        <w:rPr>
          <w:color w:val="000000"/>
        </w:rPr>
        <w:t xml:space="preserve">increased abundances of PAHs such as cadalene, perylene, </w:t>
      </w:r>
      <w:r>
        <w:rPr>
          <w:color w:val="000000"/>
        </w:rPr>
        <w:t xml:space="preserve">fluorene, </w:t>
      </w:r>
      <w:r w:rsidRPr="004F0540">
        <w:rPr>
          <w:color w:val="000000"/>
        </w:rPr>
        <w:t xml:space="preserve">dibenzofuran, there is </w:t>
      </w:r>
      <w:r>
        <w:rPr>
          <w:color w:val="000000"/>
        </w:rPr>
        <w:t xml:space="preserve">an </w:t>
      </w:r>
      <w:r w:rsidRPr="004F0540">
        <w:rPr>
          <w:color w:val="000000"/>
        </w:rPr>
        <w:t xml:space="preserve">indication of increased terrestrial input from land plants during the </w:t>
      </w:r>
      <w:r>
        <w:rPr>
          <w:color w:val="000000"/>
        </w:rPr>
        <w:t>L</w:t>
      </w:r>
      <w:r w:rsidRPr="004F0540">
        <w:rPr>
          <w:color w:val="000000"/>
        </w:rPr>
        <w:t>ate Devonian</w:t>
      </w:r>
      <w:r>
        <w:rPr>
          <w:color w:val="000000"/>
        </w:rPr>
        <w:t>, which</w:t>
      </w:r>
      <w:r w:rsidRPr="004F0540">
        <w:rPr>
          <w:color w:val="000000"/>
        </w:rPr>
        <w:t xml:space="preserve"> likely upset marine life by contributing to harsh, anoxic conditions that killed off many species between the F-F and D</w:t>
      </w:r>
      <w:r>
        <w:rPr>
          <w:color w:val="000000"/>
        </w:rPr>
        <w:t>evonian</w:t>
      </w:r>
      <w:r w:rsidRPr="004F0540">
        <w:rPr>
          <w:color w:val="000000"/>
        </w:rPr>
        <w:t>-C</w:t>
      </w:r>
      <w:r>
        <w:rPr>
          <w:color w:val="000000"/>
        </w:rPr>
        <w:t>arboniferous</w:t>
      </w:r>
      <w:r w:rsidRPr="004F0540">
        <w:rPr>
          <w:color w:val="000000"/>
        </w:rPr>
        <w:t xml:space="preserve"> boundaries</w:t>
      </w:r>
      <w:r>
        <w:rPr>
          <w:color w:val="000000"/>
        </w:rPr>
        <w:t xml:space="preserve"> at the uppermost </w:t>
      </w:r>
      <w:r>
        <w:rPr>
          <w:color w:val="000000"/>
        </w:rPr>
        <w:lastRenderedPageBreak/>
        <w:t>Woodford Shale. It is interpreted that the F-F event is located between 202 ft to 220 ft of the section, but the precise location of these boundaries within the 314 ft of Woodford stratigraphic section will require a much more detailed analysis that covers a closer vertical sample spacing of biomarker samples than the one applied in this study and the combination with detailed biostratigraphic analysis</w:t>
      </w:r>
      <w:r w:rsidRPr="004F0540">
        <w:rPr>
          <w:color w:val="000000"/>
        </w:rPr>
        <w:t xml:space="preserve">.  </w:t>
      </w:r>
    </w:p>
    <w:p w14:paraId="35F23533" w14:textId="61EA2FE9" w:rsidR="00081C89" w:rsidRDefault="00081C89" w:rsidP="00081C89">
      <w:pPr>
        <w:ind w:firstLine="360"/>
        <w:rPr>
          <w:color w:val="000000"/>
        </w:rPr>
      </w:pPr>
      <w:r w:rsidRPr="004F0540">
        <w:rPr>
          <w:color w:val="000000"/>
        </w:rPr>
        <w:t xml:space="preserve">The recognition </w:t>
      </w:r>
      <w:r>
        <w:rPr>
          <w:color w:val="000000"/>
        </w:rPr>
        <w:t xml:space="preserve">and fluctuations in PZE through the vertical stratigraphy of the Woodford Shale might indicate that the conditions for an </w:t>
      </w:r>
      <w:r w:rsidR="007E1A3D">
        <w:rPr>
          <w:color w:val="000000"/>
        </w:rPr>
        <w:t>enclosed mini-basin fill setting</w:t>
      </w:r>
      <w:r>
        <w:rPr>
          <w:color w:val="000000"/>
        </w:rPr>
        <w:t xml:space="preserve"> were very likely to be present for the entire Lower Woodford member and the middle and lower parts of the Middle member in this location of Oklahoma. </w:t>
      </w:r>
      <w:r w:rsidR="007E1A3D">
        <w:rPr>
          <w:color w:val="000000"/>
        </w:rPr>
        <w:t>These enclosed mini-basin fill settings</w:t>
      </w:r>
      <w:r>
        <w:rPr>
          <w:color w:val="000000"/>
        </w:rPr>
        <w:t xml:space="preserve"> are critical for allowing the higher accumulation, restriction, and preservation of organic matter, which has a subsequen</w:t>
      </w:r>
      <w:r w:rsidR="00DC2BEA">
        <w:rPr>
          <w:color w:val="000000"/>
        </w:rPr>
        <w:t>t</w:t>
      </w:r>
      <w:r>
        <w:rPr>
          <w:color w:val="000000"/>
        </w:rPr>
        <w:t xml:space="preserve"> formation of rock beds principally in the intervals deposited below the maximum flooding surface (MFS). More increasing oxicity in the organic matter after the MFS is proposed to be an indicator of less restricted conditions. The biomarker indicators of terrestrial organic matter input and decrease in PZE conditions, combined with the XRF proxies of upwelling current effect</w:t>
      </w:r>
      <w:r w:rsidR="00DC2BEA">
        <w:rPr>
          <w:color w:val="000000"/>
        </w:rPr>
        <w:t>s</w:t>
      </w:r>
      <w:r>
        <w:rPr>
          <w:color w:val="000000"/>
        </w:rPr>
        <w:t>, are reliable signals of open marine depositional settings for the uppermost Woodford Shale intervals (upper part of the Middle member, and entire Upper member).</w:t>
      </w:r>
    </w:p>
    <w:p w14:paraId="27EFB8C6" w14:textId="77777777" w:rsidR="00081C89" w:rsidRDefault="00081C89" w:rsidP="00081C89">
      <w:pPr>
        <w:ind w:firstLine="360"/>
        <w:rPr>
          <w:color w:val="000000"/>
        </w:rPr>
      </w:pPr>
      <w:r>
        <w:rPr>
          <w:color w:val="000000"/>
        </w:rPr>
        <w:t xml:space="preserve">Additionally, on a more areally dispersed scale, the regional maps show areas of thinner pre-Woodford strata (Hunton Group) thicker Woodford intervals, and higher average bulk %TOC content under immature (low average Tmax, &lt;435 °C) conditions. It is essential to clarify that the Lower, Middle and Upper Woodford members present in this section might vary across the state of Oklahoma, so a direct one-to-one detailed comparison must be made when interpreting if the same enclosed mini-basin fills deposits are present in other areas where the Woodford members are identified or labeled with the same nomenclature (e.g., the Lower and Middle Woodford Shale </w:t>
      </w:r>
      <w:r>
        <w:rPr>
          <w:color w:val="000000"/>
        </w:rPr>
        <w:lastRenderedPageBreak/>
        <w:t xml:space="preserve">members might be lithologically different and thinner, or not present, in other areas of Oklahoma, and present lower %TOC content because of depletion caused by higher maturity levels). </w:t>
      </w:r>
    </w:p>
    <w:tbl>
      <w:tblPr>
        <w:tblpPr w:leftFromText="180" w:rightFromText="180" w:vertAnchor="text" w:horzAnchor="page" w:tblpX="3894" w:tblpY="165"/>
        <w:tblW w:w="5480" w:type="dxa"/>
        <w:tblLook w:val="04A0" w:firstRow="1" w:lastRow="0" w:firstColumn="1" w:lastColumn="0" w:noHBand="0" w:noVBand="1"/>
      </w:tblPr>
      <w:tblGrid>
        <w:gridCol w:w="2680"/>
        <w:gridCol w:w="2800"/>
      </w:tblGrid>
      <w:tr w:rsidR="00081C89" w:rsidRPr="004851B5" w14:paraId="6B9BD697" w14:textId="77777777" w:rsidTr="003C111E">
        <w:trPr>
          <w:trHeight w:val="345"/>
        </w:trPr>
        <w:tc>
          <w:tcPr>
            <w:tcW w:w="26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2905634" w14:textId="77777777" w:rsidR="00081C89" w:rsidRPr="004851B5" w:rsidRDefault="00081C89" w:rsidP="003C111E">
            <w:pPr>
              <w:spacing w:after="0" w:line="240" w:lineRule="auto"/>
              <w:jc w:val="center"/>
              <w:rPr>
                <w:rFonts w:eastAsia="Times New Roman"/>
                <w:b/>
                <w:bCs/>
                <w:color w:val="000000"/>
                <w:szCs w:val="24"/>
              </w:rPr>
            </w:pPr>
            <w:r w:rsidRPr="004851B5">
              <w:rPr>
                <w:rFonts w:eastAsia="Times New Roman"/>
                <w:b/>
                <w:bCs/>
                <w:color w:val="000000"/>
                <w:szCs w:val="24"/>
              </w:rPr>
              <w:t>Geochemical attribute</w:t>
            </w:r>
          </w:p>
        </w:tc>
        <w:tc>
          <w:tcPr>
            <w:tcW w:w="2800" w:type="dxa"/>
            <w:tcBorders>
              <w:top w:val="single" w:sz="12" w:space="0" w:color="auto"/>
              <w:left w:val="nil"/>
              <w:bottom w:val="single" w:sz="12" w:space="0" w:color="auto"/>
              <w:right w:val="single" w:sz="12" w:space="0" w:color="auto"/>
            </w:tcBorders>
            <w:shd w:val="clear" w:color="auto" w:fill="auto"/>
            <w:noWrap/>
            <w:vAlign w:val="center"/>
            <w:hideMark/>
          </w:tcPr>
          <w:p w14:paraId="6647CD4C" w14:textId="77777777" w:rsidR="00081C89" w:rsidRPr="004851B5" w:rsidRDefault="00081C89" w:rsidP="003C111E">
            <w:pPr>
              <w:spacing w:after="0" w:line="240" w:lineRule="auto"/>
              <w:jc w:val="center"/>
              <w:rPr>
                <w:rFonts w:eastAsia="Times New Roman"/>
                <w:b/>
                <w:bCs/>
                <w:color w:val="000000"/>
                <w:szCs w:val="24"/>
              </w:rPr>
            </w:pPr>
            <w:r w:rsidRPr="004851B5">
              <w:rPr>
                <w:rFonts w:eastAsia="Times New Roman"/>
                <w:b/>
                <w:bCs/>
                <w:color w:val="000000"/>
                <w:szCs w:val="24"/>
              </w:rPr>
              <w:t>Characteristic</w:t>
            </w:r>
          </w:p>
        </w:tc>
      </w:tr>
      <w:tr w:rsidR="00081C89" w:rsidRPr="004851B5" w14:paraId="626FEAB4" w14:textId="77777777" w:rsidTr="003C111E">
        <w:trPr>
          <w:trHeight w:val="330"/>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548453F8"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 xml:space="preserve">SR </w:t>
            </w:r>
            <w:r>
              <w:rPr>
                <w:rFonts w:eastAsia="Times New Roman"/>
                <w:color w:val="000000"/>
                <w:szCs w:val="24"/>
              </w:rPr>
              <w:t>stratigraphic d</w:t>
            </w:r>
            <w:r w:rsidRPr="004851B5">
              <w:rPr>
                <w:rFonts w:eastAsia="Times New Roman"/>
                <w:color w:val="000000"/>
                <w:szCs w:val="24"/>
              </w:rPr>
              <w:t>epth</w:t>
            </w:r>
          </w:p>
        </w:tc>
        <w:tc>
          <w:tcPr>
            <w:tcW w:w="2800" w:type="dxa"/>
            <w:tcBorders>
              <w:top w:val="nil"/>
              <w:left w:val="nil"/>
              <w:bottom w:val="single" w:sz="4" w:space="0" w:color="auto"/>
              <w:right w:val="single" w:sz="12" w:space="0" w:color="auto"/>
            </w:tcBorders>
            <w:shd w:val="clear" w:color="auto" w:fill="auto"/>
            <w:noWrap/>
            <w:vAlign w:val="center"/>
            <w:hideMark/>
          </w:tcPr>
          <w:p w14:paraId="73962755"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14.0 - 208.5 ft</w:t>
            </w:r>
          </w:p>
        </w:tc>
      </w:tr>
      <w:tr w:rsidR="00081C89" w:rsidRPr="004851B5" w14:paraId="44F7F70A"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7A8BDAEC"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n-Alkanes distribution</w:t>
            </w:r>
          </w:p>
        </w:tc>
        <w:tc>
          <w:tcPr>
            <w:tcW w:w="2800" w:type="dxa"/>
            <w:tcBorders>
              <w:top w:val="nil"/>
              <w:left w:val="nil"/>
              <w:bottom w:val="single" w:sz="4" w:space="0" w:color="auto"/>
              <w:right w:val="single" w:sz="12" w:space="0" w:color="auto"/>
            </w:tcBorders>
            <w:shd w:val="clear" w:color="auto" w:fill="auto"/>
            <w:noWrap/>
            <w:vAlign w:val="center"/>
            <w:hideMark/>
          </w:tcPr>
          <w:p w14:paraId="625A8046"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Not detected</w:t>
            </w:r>
          </w:p>
        </w:tc>
      </w:tr>
      <w:tr w:rsidR="00081C89" w:rsidRPr="004851B5" w14:paraId="6F762DFE" w14:textId="77777777" w:rsidTr="003C111E">
        <w:trPr>
          <w:trHeight w:val="37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77CD0CE7"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Steranes</w:t>
            </w:r>
          </w:p>
        </w:tc>
        <w:tc>
          <w:tcPr>
            <w:tcW w:w="2800" w:type="dxa"/>
            <w:tcBorders>
              <w:top w:val="nil"/>
              <w:left w:val="nil"/>
              <w:bottom w:val="single" w:sz="4" w:space="0" w:color="auto"/>
              <w:right w:val="single" w:sz="12" w:space="0" w:color="auto"/>
            </w:tcBorders>
            <w:shd w:val="clear" w:color="auto" w:fill="auto"/>
            <w:noWrap/>
            <w:vAlign w:val="center"/>
            <w:hideMark/>
          </w:tcPr>
          <w:p w14:paraId="1074E4B2"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C</w:t>
            </w:r>
            <w:r w:rsidRPr="004851B5">
              <w:rPr>
                <w:rFonts w:eastAsia="Times New Roman"/>
                <w:color w:val="000000"/>
                <w:szCs w:val="24"/>
                <w:vertAlign w:val="subscript"/>
              </w:rPr>
              <w:t>29</w:t>
            </w:r>
            <w:r w:rsidRPr="004851B5">
              <w:rPr>
                <w:rFonts w:eastAsia="Times New Roman"/>
                <w:color w:val="000000"/>
                <w:szCs w:val="24"/>
              </w:rPr>
              <w:t xml:space="preserve"> Steranes &gt; C</w:t>
            </w:r>
            <w:r w:rsidRPr="004851B5">
              <w:rPr>
                <w:rFonts w:eastAsia="Times New Roman"/>
                <w:color w:val="000000"/>
                <w:szCs w:val="24"/>
                <w:vertAlign w:val="subscript"/>
              </w:rPr>
              <w:t>27</w:t>
            </w:r>
            <w:r w:rsidRPr="004851B5">
              <w:rPr>
                <w:rFonts w:eastAsia="Times New Roman"/>
                <w:color w:val="000000"/>
                <w:szCs w:val="24"/>
              </w:rPr>
              <w:t xml:space="preserve"> steranes</w:t>
            </w:r>
          </w:p>
        </w:tc>
      </w:tr>
      <w:tr w:rsidR="00081C89" w:rsidRPr="004851B5" w14:paraId="7772AFAC"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23CF655B"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Regular steranes / hopanes</w:t>
            </w:r>
          </w:p>
        </w:tc>
        <w:tc>
          <w:tcPr>
            <w:tcW w:w="2800" w:type="dxa"/>
            <w:tcBorders>
              <w:top w:val="nil"/>
              <w:left w:val="nil"/>
              <w:bottom w:val="single" w:sz="4" w:space="0" w:color="auto"/>
              <w:right w:val="single" w:sz="12" w:space="0" w:color="auto"/>
            </w:tcBorders>
            <w:shd w:val="clear" w:color="auto" w:fill="auto"/>
            <w:noWrap/>
            <w:vAlign w:val="center"/>
            <w:hideMark/>
          </w:tcPr>
          <w:p w14:paraId="6670261A"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0.3</w:t>
            </w:r>
          </w:p>
        </w:tc>
      </w:tr>
      <w:tr w:rsidR="00081C89" w:rsidRPr="004851B5" w14:paraId="72CCB2F7"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05CA5FD6"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 xml:space="preserve">Sterane </w:t>
            </w:r>
            <w:r>
              <w:rPr>
                <w:rFonts w:eastAsia="Times New Roman"/>
                <w:color w:val="000000"/>
                <w:szCs w:val="24"/>
              </w:rPr>
              <w:t>i</w:t>
            </w:r>
            <w:r w:rsidRPr="004851B5">
              <w:rPr>
                <w:rFonts w:eastAsia="Times New Roman"/>
                <w:color w:val="000000"/>
                <w:szCs w:val="24"/>
              </w:rPr>
              <w:t>ndex</w:t>
            </w:r>
          </w:p>
        </w:tc>
        <w:tc>
          <w:tcPr>
            <w:tcW w:w="2800" w:type="dxa"/>
            <w:tcBorders>
              <w:top w:val="nil"/>
              <w:left w:val="nil"/>
              <w:bottom w:val="single" w:sz="4" w:space="0" w:color="auto"/>
              <w:right w:val="single" w:sz="12" w:space="0" w:color="auto"/>
            </w:tcBorders>
            <w:shd w:val="clear" w:color="auto" w:fill="auto"/>
            <w:noWrap/>
            <w:vAlign w:val="center"/>
            <w:hideMark/>
          </w:tcPr>
          <w:p w14:paraId="3FCB3C14"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0.15</w:t>
            </w:r>
          </w:p>
        </w:tc>
      </w:tr>
      <w:tr w:rsidR="00081C89" w:rsidRPr="004851B5" w14:paraId="30936283" w14:textId="77777777" w:rsidTr="003C111E">
        <w:trPr>
          <w:trHeight w:val="630"/>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31FA968E"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MAS</w:t>
            </w:r>
          </w:p>
        </w:tc>
        <w:tc>
          <w:tcPr>
            <w:tcW w:w="2800" w:type="dxa"/>
            <w:tcBorders>
              <w:top w:val="nil"/>
              <w:left w:val="nil"/>
              <w:bottom w:val="single" w:sz="4" w:space="0" w:color="auto"/>
              <w:right w:val="single" w:sz="12" w:space="0" w:color="auto"/>
            </w:tcBorders>
            <w:shd w:val="clear" w:color="auto" w:fill="auto"/>
            <w:vAlign w:val="center"/>
            <w:hideMark/>
          </w:tcPr>
          <w:p w14:paraId="756EA3EB"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5α-Ergostane 20S is the highest MAS</w:t>
            </w:r>
          </w:p>
        </w:tc>
      </w:tr>
      <w:tr w:rsidR="00081C89" w:rsidRPr="004851B5" w14:paraId="48289F9B"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2137040C"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C35S/C34S</w:t>
            </w:r>
          </w:p>
        </w:tc>
        <w:tc>
          <w:tcPr>
            <w:tcW w:w="2800" w:type="dxa"/>
            <w:tcBorders>
              <w:top w:val="nil"/>
              <w:left w:val="nil"/>
              <w:bottom w:val="single" w:sz="4" w:space="0" w:color="auto"/>
              <w:right w:val="single" w:sz="12" w:space="0" w:color="auto"/>
            </w:tcBorders>
            <w:shd w:val="clear" w:color="auto" w:fill="auto"/>
            <w:noWrap/>
            <w:vAlign w:val="center"/>
            <w:hideMark/>
          </w:tcPr>
          <w:p w14:paraId="56A30CA3"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0.55</w:t>
            </w:r>
          </w:p>
        </w:tc>
      </w:tr>
      <w:tr w:rsidR="00081C89" w:rsidRPr="004851B5" w14:paraId="732EF18B"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597FE7B5"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 xml:space="preserve">Gammacerane </w:t>
            </w:r>
            <w:r>
              <w:rPr>
                <w:rFonts w:eastAsia="Times New Roman"/>
                <w:color w:val="000000"/>
                <w:szCs w:val="24"/>
              </w:rPr>
              <w:t>i</w:t>
            </w:r>
            <w:r w:rsidRPr="004851B5">
              <w:rPr>
                <w:rFonts w:eastAsia="Times New Roman"/>
                <w:color w:val="000000"/>
                <w:szCs w:val="24"/>
              </w:rPr>
              <w:t>ndex</w:t>
            </w:r>
          </w:p>
        </w:tc>
        <w:tc>
          <w:tcPr>
            <w:tcW w:w="2800" w:type="dxa"/>
            <w:tcBorders>
              <w:top w:val="nil"/>
              <w:left w:val="nil"/>
              <w:bottom w:val="single" w:sz="4" w:space="0" w:color="auto"/>
              <w:right w:val="single" w:sz="12" w:space="0" w:color="auto"/>
            </w:tcBorders>
            <w:shd w:val="clear" w:color="auto" w:fill="auto"/>
            <w:noWrap/>
            <w:vAlign w:val="center"/>
            <w:hideMark/>
          </w:tcPr>
          <w:p w14:paraId="1AE8E1E6"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0.13</w:t>
            </w:r>
          </w:p>
        </w:tc>
      </w:tr>
      <w:tr w:rsidR="00081C89" w:rsidRPr="004851B5" w14:paraId="7CD4AD73"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6AF55C27"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AIR</w:t>
            </w:r>
          </w:p>
        </w:tc>
        <w:tc>
          <w:tcPr>
            <w:tcW w:w="2800" w:type="dxa"/>
            <w:tcBorders>
              <w:top w:val="nil"/>
              <w:left w:val="nil"/>
              <w:bottom w:val="single" w:sz="4" w:space="0" w:color="auto"/>
              <w:right w:val="single" w:sz="12" w:space="0" w:color="auto"/>
            </w:tcBorders>
            <w:shd w:val="clear" w:color="auto" w:fill="auto"/>
            <w:noWrap/>
            <w:vAlign w:val="center"/>
            <w:hideMark/>
          </w:tcPr>
          <w:p w14:paraId="61DD2B58"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0 - 2</w:t>
            </w:r>
          </w:p>
        </w:tc>
      </w:tr>
      <w:tr w:rsidR="00081C89" w:rsidRPr="004851B5" w14:paraId="0D4EAC38"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060F16DB"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Isorenieratane</w:t>
            </w:r>
          </w:p>
        </w:tc>
        <w:tc>
          <w:tcPr>
            <w:tcW w:w="2800" w:type="dxa"/>
            <w:tcBorders>
              <w:top w:val="nil"/>
              <w:left w:val="nil"/>
              <w:bottom w:val="single" w:sz="4" w:space="0" w:color="auto"/>
              <w:right w:val="single" w:sz="12" w:space="0" w:color="auto"/>
            </w:tcBorders>
            <w:shd w:val="clear" w:color="auto" w:fill="auto"/>
            <w:noWrap/>
            <w:vAlign w:val="center"/>
            <w:hideMark/>
          </w:tcPr>
          <w:p w14:paraId="0BEC8FA0"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5 μg/g EOM</w:t>
            </w:r>
          </w:p>
        </w:tc>
      </w:tr>
      <w:tr w:rsidR="00081C89" w:rsidRPr="004851B5" w14:paraId="1C513E0A"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1E319193"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Paleorenieratane</w:t>
            </w:r>
          </w:p>
        </w:tc>
        <w:tc>
          <w:tcPr>
            <w:tcW w:w="2800" w:type="dxa"/>
            <w:tcBorders>
              <w:top w:val="nil"/>
              <w:left w:val="nil"/>
              <w:bottom w:val="single" w:sz="4" w:space="0" w:color="auto"/>
              <w:right w:val="single" w:sz="12" w:space="0" w:color="auto"/>
            </w:tcBorders>
            <w:shd w:val="clear" w:color="auto" w:fill="auto"/>
            <w:noWrap/>
            <w:vAlign w:val="center"/>
            <w:hideMark/>
          </w:tcPr>
          <w:p w14:paraId="6EAA74D7"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40 μg/g EOM</w:t>
            </w:r>
          </w:p>
        </w:tc>
      </w:tr>
      <w:tr w:rsidR="00081C89" w:rsidRPr="004851B5" w14:paraId="76D69943"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73C5C8B1"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Renierapurpurane</w:t>
            </w:r>
          </w:p>
        </w:tc>
        <w:tc>
          <w:tcPr>
            <w:tcW w:w="2800" w:type="dxa"/>
            <w:tcBorders>
              <w:top w:val="nil"/>
              <w:left w:val="nil"/>
              <w:bottom w:val="single" w:sz="4" w:space="0" w:color="auto"/>
              <w:right w:val="single" w:sz="12" w:space="0" w:color="auto"/>
            </w:tcBorders>
            <w:shd w:val="clear" w:color="auto" w:fill="auto"/>
            <w:noWrap/>
            <w:vAlign w:val="center"/>
            <w:hideMark/>
          </w:tcPr>
          <w:p w14:paraId="05B11DF3"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0.6 μg/g EOM</w:t>
            </w:r>
          </w:p>
        </w:tc>
      </w:tr>
      <w:tr w:rsidR="00081C89" w:rsidRPr="004851B5" w14:paraId="0615A09E"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21C2A311"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DBF</w:t>
            </w:r>
          </w:p>
        </w:tc>
        <w:tc>
          <w:tcPr>
            <w:tcW w:w="2800" w:type="dxa"/>
            <w:tcBorders>
              <w:top w:val="nil"/>
              <w:left w:val="nil"/>
              <w:bottom w:val="single" w:sz="4" w:space="0" w:color="auto"/>
              <w:right w:val="single" w:sz="12" w:space="0" w:color="auto"/>
            </w:tcBorders>
            <w:shd w:val="clear" w:color="auto" w:fill="auto"/>
            <w:noWrap/>
            <w:vAlign w:val="center"/>
            <w:hideMark/>
          </w:tcPr>
          <w:p w14:paraId="42F6833D"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2.5 μg/g EOM</w:t>
            </w:r>
          </w:p>
        </w:tc>
      </w:tr>
      <w:tr w:rsidR="00081C89" w:rsidRPr="004851B5" w14:paraId="1F35B408" w14:textId="77777777" w:rsidTr="003C111E">
        <w:trPr>
          <w:trHeight w:val="315"/>
        </w:trPr>
        <w:tc>
          <w:tcPr>
            <w:tcW w:w="2680" w:type="dxa"/>
            <w:tcBorders>
              <w:top w:val="nil"/>
              <w:left w:val="single" w:sz="12" w:space="0" w:color="auto"/>
              <w:bottom w:val="single" w:sz="4" w:space="0" w:color="auto"/>
              <w:right w:val="single" w:sz="12" w:space="0" w:color="auto"/>
            </w:tcBorders>
            <w:shd w:val="clear" w:color="auto" w:fill="auto"/>
            <w:noWrap/>
            <w:vAlign w:val="center"/>
            <w:hideMark/>
          </w:tcPr>
          <w:p w14:paraId="06BF7EA1"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DBT</w:t>
            </w:r>
          </w:p>
        </w:tc>
        <w:tc>
          <w:tcPr>
            <w:tcW w:w="2800" w:type="dxa"/>
            <w:tcBorders>
              <w:top w:val="nil"/>
              <w:left w:val="nil"/>
              <w:bottom w:val="single" w:sz="4" w:space="0" w:color="auto"/>
              <w:right w:val="single" w:sz="12" w:space="0" w:color="auto"/>
            </w:tcBorders>
            <w:shd w:val="clear" w:color="auto" w:fill="auto"/>
            <w:noWrap/>
            <w:vAlign w:val="center"/>
            <w:hideMark/>
          </w:tcPr>
          <w:p w14:paraId="7B69A6EC"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&gt; 3.0 μg/g EOM</w:t>
            </w:r>
          </w:p>
        </w:tc>
      </w:tr>
      <w:tr w:rsidR="00081C89" w:rsidRPr="004851B5" w14:paraId="29D55714" w14:textId="77777777" w:rsidTr="003C111E">
        <w:trPr>
          <w:trHeight w:val="330"/>
        </w:trPr>
        <w:tc>
          <w:tcPr>
            <w:tcW w:w="2680" w:type="dxa"/>
            <w:tcBorders>
              <w:top w:val="nil"/>
              <w:left w:val="single" w:sz="12" w:space="0" w:color="auto"/>
              <w:bottom w:val="single" w:sz="12" w:space="0" w:color="auto"/>
              <w:right w:val="single" w:sz="12" w:space="0" w:color="auto"/>
            </w:tcBorders>
            <w:shd w:val="clear" w:color="auto" w:fill="auto"/>
            <w:noWrap/>
            <w:vAlign w:val="center"/>
            <w:hideMark/>
          </w:tcPr>
          <w:p w14:paraId="6A4859F7"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TPP ratio</w:t>
            </w:r>
          </w:p>
        </w:tc>
        <w:tc>
          <w:tcPr>
            <w:tcW w:w="2800" w:type="dxa"/>
            <w:tcBorders>
              <w:top w:val="nil"/>
              <w:left w:val="nil"/>
              <w:bottom w:val="single" w:sz="12" w:space="0" w:color="auto"/>
              <w:right w:val="single" w:sz="12" w:space="0" w:color="auto"/>
            </w:tcBorders>
            <w:shd w:val="clear" w:color="auto" w:fill="auto"/>
            <w:noWrap/>
            <w:vAlign w:val="center"/>
            <w:hideMark/>
          </w:tcPr>
          <w:p w14:paraId="74B0485F" w14:textId="77777777" w:rsidR="00081C89" w:rsidRPr="004851B5" w:rsidRDefault="00081C89" w:rsidP="003C111E">
            <w:pPr>
              <w:spacing w:after="0" w:line="240" w:lineRule="auto"/>
              <w:jc w:val="center"/>
              <w:rPr>
                <w:rFonts w:eastAsia="Times New Roman"/>
                <w:color w:val="000000"/>
                <w:szCs w:val="24"/>
              </w:rPr>
            </w:pPr>
            <w:r w:rsidRPr="004851B5">
              <w:rPr>
                <w:rFonts w:eastAsia="Times New Roman"/>
                <w:color w:val="000000"/>
                <w:szCs w:val="24"/>
              </w:rPr>
              <w:t>0.2 - 0.4</w:t>
            </w:r>
          </w:p>
        </w:tc>
      </w:tr>
    </w:tbl>
    <w:p w14:paraId="787A69C3" w14:textId="77777777" w:rsidR="00081C89" w:rsidRDefault="00081C89" w:rsidP="00081C89">
      <w:pPr>
        <w:ind w:firstLine="360"/>
        <w:rPr>
          <w:color w:val="000000"/>
        </w:rPr>
      </w:pPr>
    </w:p>
    <w:p w14:paraId="0B385355" w14:textId="77777777" w:rsidR="00081C89" w:rsidRDefault="00081C89" w:rsidP="00081C89">
      <w:pPr>
        <w:ind w:firstLine="360"/>
        <w:jc w:val="center"/>
        <w:rPr>
          <w:color w:val="000000"/>
        </w:rPr>
      </w:pPr>
    </w:p>
    <w:p w14:paraId="0AE1902A" w14:textId="77777777" w:rsidR="00081C89" w:rsidRDefault="00081C89" w:rsidP="00081C89">
      <w:pPr>
        <w:ind w:firstLine="360"/>
        <w:rPr>
          <w:color w:val="000000"/>
        </w:rPr>
      </w:pPr>
    </w:p>
    <w:p w14:paraId="0A645C26" w14:textId="77777777" w:rsidR="00081C89" w:rsidRDefault="00081C89" w:rsidP="00081C89">
      <w:pPr>
        <w:ind w:firstLine="360"/>
        <w:rPr>
          <w:color w:val="000000"/>
        </w:rPr>
      </w:pPr>
    </w:p>
    <w:p w14:paraId="472FDCD2" w14:textId="77777777" w:rsidR="00081C89" w:rsidRDefault="00081C89" w:rsidP="00081C89">
      <w:pPr>
        <w:ind w:firstLine="360"/>
        <w:rPr>
          <w:color w:val="000000"/>
        </w:rPr>
      </w:pPr>
    </w:p>
    <w:p w14:paraId="123734EA" w14:textId="77777777" w:rsidR="00081C89" w:rsidRDefault="00081C89" w:rsidP="00081C89">
      <w:pPr>
        <w:ind w:firstLine="360"/>
        <w:rPr>
          <w:color w:val="000000"/>
        </w:rPr>
      </w:pPr>
    </w:p>
    <w:p w14:paraId="6AF5B991" w14:textId="77777777" w:rsidR="00081C89" w:rsidRDefault="00081C89" w:rsidP="00081C89">
      <w:pPr>
        <w:ind w:firstLine="360"/>
        <w:rPr>
          <w:color w:val="000000"/>
        </w:rPr>
      </w:pPr>
    </w:p>
    <w:p w14:paraId="6FDCD13B" w14:textId="77777777" w:rsidR="00081C89" w:rsidRDefault="00081C89" w:rsidP="00081C89">
      <w:pPr>
        <w:ind w:firstLine="360"/>
        <w:rPr>
          <w:color w:val="000000"/>
        </w:rPr>
      </w:pPr>
    </w:p>
    <w:p w14:paraId="0553B175" w14:textId="77777777" w:rsidR="00081C89" w:rsidRDefault="00081C89" w:rsidP="00081C89">
      <w:pPr>
        <w:ind w:firstLine="360"/>
        <w:rPr>
          <w:color w:val="000000"/>
        </w:rPr>
      </w:pPr>
    </w:p>
    <w:p w14:paraId="76CB9411" w14:textId="77777777" w:rsidR="00081C89" w:rsidRDefault="00081C89" w:rsidP="00081C89">
      <w:pPr>
        <w:spacing w:line="360" w:lineRule="auto"/>
        <w:ind w:firstLine="360"/>
        <w:rPr>
          <w:color w:val="000000"/>
        </w:rPr>
      </w:pPr>
    </w:p>
    <w:p w14:paraId="7AFC43B6" w14:textId="77802531" w:rsidR="00081C89" w:rsidRDefault="00081C89" w:rsidP="00081C89">
      <w:pPr>
        <w:spacing w:line="360" w:lineRule="auto"/>
        <w:ind w:firstLine="360"/>
        <w:rPr>
          <w:color w:val="000000"/>
        </w:rPr>
      </w:pPr>
      <w:r w:rsidRPr="000F3FAD">
        <w:rPr>
          <w:b/>
          <w:bCs/>
          <w:color w:val="000000"/>
        </w:rPr>
        <w:t>Table 3.</w:t>
      </w:r>
      <w:r w:rsidR="00182756">
        <w:rPr>
          <w:b/>
          <w:bCs/>
          <w:color w:val="000000"/>
        </w:rPr>
        <w:t>10</w:t>
      </w:r>
      <w:r w:rsidRPr="000F3FAD">
        <w:rPr>
          <w:b/>
          <w:bCs/>
          <w:color w:val="000000"/>
        </w:rPr>
        <w:t>.</w:t>
      </w:r>
      <w:r>
        <w:rPr>
          <w:color w:val="000000"/>
        </w:rPr>
        <w:t xml:space="preserve"> Summary of biomarker characteristics in the SR interval interpreted as an enclosed mini-basin fill setting.</w:t>
      </w:r>
    </w:p>
    <w:p w14:paraId="3ABEA0EB" w14:textId="77777777" w:rsidR="00081C89" w:rsidRDefault="00081C89" w:rsidP="00081C89">
      <w:pPr>
        <w:ind w:firstLine="360"/>
        <w:rPr>
          <w:color w:val="000000"/>
        </w:rPr>
      </w:pPr>
    </w:p>
    <w:p w14:paraId="3E301E54" w14:textId="77777777" w:rsidR="00081C89" w:rsidRDefault="00081C89" w:rsidP="00081C89">
      <w:pPr>
        <w:ind w:firstLine="360"/>
        <w:rPr>
          <w:color w:val="000000"/>
        </w:rPr>
      </w:pPr>
    </w:p>
    <w:p w14:paraId="570856E1" w14:textId="77777777" w:rsidR="00081C89" w:rsidRDefault="00081C89" w:rsidP="00081C89">
      <w:pPr>
        <w:ind w:firstLine="360"/>
        <w:rPr>
          <w:color w:val="000000"/>
        </w:rPr>
      </w:pPr>
    </w:p>
    <w:p w14:paraId="75F9D1D2" w14:textId="77777777" w:rsidR="00081C89" w:rsidRDefault="00081C89" w:rsidP="00081C89">
      <w:pPr>
        <w:ind w:firstLine="360"/>
        <w:rPr>
          <w:color w:val="000000"/>
        </w:rPr>
      </w:pPr>
    </w:p>
    <w:p w14:paraId="0BF36E90" w14:textId="77777777" w:rsidR="00081C89" w:rsidRDefault="00081C89" w:rsidP="00081C89">
      <w:pPr>
        <w:ind w:firstLine="360"/>
        <w:rPr>
          <w:color w:val="000000"/>
        </w:rPr>
      </w:pPr>
    </w:p>
    <w:p w14:paraId="14E534CD" w14:textId="77777777" w:rsidR="00081C89" w:rsidRPr="00B60E9D" w:rsidRDefault="00081C89" w:rsidP="00081C89">
      <w:pPr>
        <w:pStyle w:val="Heading2"/>
        <w:numPr>
          <w:ilvl w:val="1"/>
          <w:numId w:val="28"/>
        </w:numPr>
      </w:pPr>
      <w:r>
        <w:lastRenderedPageBreak/>
        <w:t xml:space="preserve"> </w:t>
      </w:r>
      <w:bookmarkStart w:id="365" w:name="_Toc25833570"/>
      <w:bookmarkStart w:id="366" w:name="_Toc29304885"/>
      <w:bookmarkStart w:id="367" w:name="_Toc35861130"/>
      <w:r w:rsidRPr="00B60E9D">
        <w:t>Cited References</w:t>
      </w:r>
      <w:bookmarkEnd w:id="365"/>
      <w:bookmarkEnd w:id="366"/>
      <w:bookmarkEnd w:id="367"/>
    </w:p>
    <w:p w14:paraId="38274F93" w14:textId="77777777" w:rsidR="00081C89" w:rsidRPr="007F2E54" w:rsidRDefault="00081C89" w:rsidP="00081C89">
      <w:pPr>
        <w:pStyle w:val="ListParagraph"/>
        <w:numPr>
          <w:ilvl w:val="0"/>
          <w:numId w:val="11"/>
        </w:numPr>
      </w:pPr>
      <w:bookmarkStart w:id="368" w:name="_Hlk26369251"/>
      <w:r w:rsidRPr="007F2E54">
        <w:t>Aizenshtat, Z., 1973. Perylene and its geochemical significance. Geochimica et Cosmochimica Acta 37, 559-567.</w:t>
      </w:r>
    </w:p>
    <w:p w14:paraId="57248F98" w14:textId="77777777" w:rsidR="00081C89" w:rsidRPr="000F3FAD" w:rsidRDefault="00081C89" w:rsidP="00081C89">
      <w:pPr>
        <w:pStyle w:val="ListParagraph"/>
        <w:numPr>
          <w:ilvl w:val="0"/>
          <w:numId w:val="11"/>
        </w:numPr>
      </w:pPr>
      <w:r w:rsidRPr="000F3FAD">
        <w:t>Aizenshtat, Z., 1973. Perylene and its geochemical significance. Geochimica et Cosmochimica Acta 37, 559-567.</w:t>
      </w:r>
    </w:p>
    <w:p w14:paraId="30A5A837" w14:textId="77777777" w:rsidR="00081C89" w:rsidRPr="000F3FAD" w:rsidRDefault="00081C89" w:rsidP="00081C89">
      <w:pPr>
        <w:pStyle w:val="ListParagraph"/>
        <w:numPr>
          <w:ilvl w:val="0"/>
          <w:numId w:val="11"/>
        </w:numPr>
      </w:pPr>
      <w:r w:rsidRPr="000F3FAD">
        <w:t>Albaghdady, A., 2013.Organic geochemical characterization of source rocks (Sirt Shale) and crude oils from the Central Sirt basin, Lybia. Doctoral dissertation manuscript, The University of Oklahoma, p. 259.</w:t>
      </w:r>
    </w:p>
    <w:p w14:paraId="5E331255" w14:textId="77777777" w:rsidR="00081C89" w:rsidRPr="000F3FAD" w:rsidRDefault="00081C89" w:rsidP="00081C89">
      <w:pPr>
        <w:pStyle w:val="ListParagraph"/>
        <w:numPr>
          <w:ilvl w:val="0"/>
          <w:numId w:val="11"/>
        </w:numPr>
      </w:pPr>
      <w:r w:rsidRPr="000F3FAD">
        <w:t xml:space="preserve">Alexander, R., Larcher, A.V., Kagi, R.I., Price, P.L., 1992. An oil-source correlation study using age-specific plant-derived aromatic biomarkers. In: Moldowan, J.M., Albrecht, P., Philp, R.P., eds., Biological markers in sediments and petroleum, 1992. Prentice-Hall, Englewood Cliffs, New Jersey, 201-221. </w:t>
      </w:r>
    </w:p>
    <w:p w14:paraId="6853243D" w14:textId="77777777" w:rsidR="00081C89" w:rsidRPr="000F3FAD" w:rsidRDefault="00081C89" w:rsidP="00081C89">
      <w:pPr>
        <w:pStyle w:val="ListParagraph"/>
        <w:numPr>
          <w:ilvl w:val="0"/>
          <w:numId w:val="11"/>
        </w:numPr>
      </w:pPr>
      <w:r w:rsidRPr="000F3FAD">
        <w:t>Algeo, T.J., Scheckler, S.E., 1998. Terrestrial-marine teleconnections in the Devonian: links between the evolution of land plants, weathering processes, and marine anoxic events. Philosophical Translations of the Royal Society of London 1998, 353, 113-30.</w:t>
      </w:r>
    </w:p>
    <w:p w14:paraId="58A21E70" w14:textId="77777777" w:rsidR="00081C89" w:rsidRPr="000F3FAD" w:rsidRDefault="00081C89" w:rsidP="00081C89">
      <w:pPr>
        <w:pStyle w:val="ListParagraph"/>
        <w:numPr>
          <w:ilvl w:val="0"/>
          <w:numId w:val="11"/>
        </w:numPr>
      </w:pPr>
      <w:r w:rsidRPr="000F3FAD">
        <w:t>Algeo, T.J., Rowe, H., 2012. Paleoceanographic applications of trace-metal concentration data. Chemical Geology 324-325, 6-18.</w:t>
      </w:r>
    </w:p>
    <w:p w14:paraId="5E768634" w14:textId="77777777" w:rsidR="00081C89" w:rsidRPr="007F2E54" w:rsidRDefault="00081C89" w:rsidP="00081C89">
      <w:pPr>
        <w:pStyle w:val="ListParagraph"/>
        <w:numPr>
          <w:ilvl w:val="0"/>
          <w:numId w:val="11"/>
        </w:numPr>
      </w:pPr>
      <w:r w:rsidRPr="000F3FAD">
        <w:t>Ali, E.E., 2015. Integrated characterization of the Woodford Shale in southwest Cherokee platform, Oklahoma. M.Sc. thesis manuscript, The University of Oklahoma, p. 104</w:t>
      </w:r>
      <w:r w:rsidRPr="007F2E54">
        <w:t>.</w:t>
      </w:r>
    </w:p>
    <w:p w14:paraId="040758BA"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Althoff, C., 2012. Characterization of depositional megacycles in the Woodford trough of Central Oklahoma. M.Sc. thesis manuscript, The University of Oklahoma, p. 167.</w:t>
      </w:r>
    </w:p>
    <w:p w14:paraId="28E39743"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Amorocho-Sanchez, J.D., 2012. Sequence stratigraphy and seismic interpretation of the Upper Devonian- Lower Mississippian Woodford Shale in the Cherokee platform: a characterization approach for unconventional resources. M.Sc. thesis manuscript, The University of Oklahoma, p. 153.</w:t>
      </w:r>
    </w:p>
    <w:p w14:paraId="3E2EA7F4" w14:textId="77777777" w:rsidR="00081C89" w:rsidRPr="000F3FAD" w:rsidRDefault="00081C89" w:rsidP="00081C89">
      <w:pPr>
        <w:pStyle w:val="ListParagraph"/>
        <w:numPr>
          <w:ilvl w:val="0"/>
          <w:numId w:val="11"/>
        </w:numPr>
      </w:pPr>
      <w:r w:rsidRPr="000F3FAD">
        <w:t>Aquino Neto, F.R., Restle, A., Connan, J., Albrecht P., Ourisson, G., 1982. Novel tricyclic terpanes (C</w:t>
      </w:r>
      <w:r w:rsidRPr="000F3FAD">
        <w:rPr>
          <w:vertAlign w:val="subscript"/>
        </w:rPr>
        <w:t>19</w:t>
      </w:r>
      <w:r w:rsidRPr="000F3FAD">
        <w:t>, C</w:t>
      </w:r>
      <w:r w:rsidRPr="000F3FAD">
        <w:rPr>
          <w:vertAlign w:val="subscript"/>
        </w:rPr>
        <w:t>20</w:t>
      </w:r>
      <w:r w:rsidRPr="000F3FAD">
        <w:t xml:space="preserve">) in sediments and petroleums. Tetrahedron Letters, 23, 2027-30. </w:t>
      </w:r>
    </w:p>
    <w:p w14:paraId="1EEE017A" w14:textId="77777777" w:rsidR="00081C89" w:rsidRPr="000F3FAD" w:rsidRDefault="00081C89" w:rsidP="00081C89">
      <w:pPr>
        <w:pStyle w:val="ListParagraph"/>
        <w:numPr>
          <w:ilvl w:val="0"/>
          <w:numId w:val="11"/>
        </w:numPr>
      </w:pPr>
      <w:r w:rsidRPr="000F3FAD">
        <w:rPr>
          <w:lang w:val="es-CO"/>
        </w:rPr>
        <w:t xml:space="preserve">Aquino Neto, F.R., Trendel, J.M., Restle, A., Connan, J., Albrecht, P.A., 1983. </w:t>
      </w:r>
      <w:r w:rsidRPr="000F3FAD">
        <w:t xml:space="preserve">Occurrence and formation of tricyclic terpanes in sediments and petroleums. In: M. Bjorøy, eds.,    </w:t>
      </w:r>
      <w:r w:rsidRPr="000F3FAD">
        <w:lastRenderedPageBreak/>
        <w:t>Advances in organic geochemistry 1981. International Conference Proceedings John &amp; Sons, New York, p. 659-76.</w:t>
      </w:r>
    </w:p>
    <w:p w14:paraId="2BBB63E3" w14:textId="77777777" w:rsidR="00081C89" w:rsidRPr="000F3FAD" w:rsidRDefault="00081C89" w:rsidP="00081C89">
      <w:pPr>
        <w:pStyle w:val="ListParagraph"/>
        <w:numPr>
          <w:ilvl w:val="0"/>
          <w:numId w:val="11"/>
        </w:numPr>
      </w:pPr>
      <w:r w:rsidRPr="000F3FAD">
        <w:t>Badra, H., 2011. Field characterization and analog modeling of natural fractures in the Woodford Shale, southeast Oklahoma. M.Sc. thesis manuscript, The University of Oklahoma, p. 156.</w:t>
      </w:r>
    </w:p>
    <w:p w14:paraId="4EF3C8A4" w14:textId="77777777" w:rsidR="00081C89" w:rsidRPr="000F3FAD" w:rsidRDefault="00081C89" w:rsidP="00081C89">
      <w:pPr>
        <w:pStyle w:val="ListParagraph"/>
        <w:numPr>
          <w:ilvl w:val="0"/>
          <w:numId w:val="11"/>
        </w:numPr>
      </w:pPr>
      <w:r w:rsidRPr="000F3FAD">
        <w:t>Becerra-Rondon, D., 2017. Integrated geological characterization at the bed scale of the Woodford Shale at the I-35 outcrop, southern Oklahoma. M.Sc. thesis manuscript, The University of Oklahoma, p.  202.</w:t>
      </w:r>
    </w:p>
    <w:p w14:paraId="796518DC" w14:textId="77777777" w:rsidR="00081C89" w:rsidRPr="000F3FAD" w:rsidRDefault="00081C89" w:rsidP="00081C89">
      <w:pPr>
        <w:pStyle w:val="ListParagraph"/>
        <w:numPr>
          <w:ilvl w:val="0"/>
          <w:numId w:val="11"/>
        </w:numPr>
      </w:pPr>
      <w:r w:rsidRPr="000F3FAD">
        <w:t>Becker, R.T., Gradstein, F.M., Hammer, O., 2012. The Devonian period. In: Gradstein, F.M. Ogg, J.G., Schmitz, M.D., Ogg, G.M., eds., The Geologic Time Scale 2012. Elsevier, Amsterdam, 2, 559-601.</w:t>
      </w:r>
    </w:p>
    <w:p w14:paraId="3677B598" w14:textId="77777777" w:rsidR="00081C89" w:rsidRPr="000F3FAD" w:rsidRDefault="00081C89" w:rsidP="00081C89">
      <w:pPr>
        <w:pStyle w:val="ListParagraph"/>
        <w:numPr>
          <w:ilvl w:val="0"/>
          <w:numId w:val="11"/>
        </w:numPr>
      </w:pPr>
      <w:r w:rsidRPr="000F3FAD">
        <w:t xml:space="preserve">Blumer, M., Guillard, R.R.L., Chase, T., 1971. Hydrocarbons of marine plankton. Marine Biology, 8, 183-9. </w:t>
      </w:r>
    </w:p>
    <w:p w14:paraId="297E63DC" w14:textId="77777777" w:rsidR="00081C89" w:rsidRPr="007F2E54" w:rsidRDefault="00081C89" w:rsidP="00081C89">
      <w:pPr>
        <w:pStyle w:val="ListParagraph"/>
        <w:numPr>
          <w:ilvl w:val="0"/>
          <w:numId w:val="11"/>
        </w:numPr>
      </w:pPr>
      <w:r w:rsidRPr="000F3FAD">
        <w:t>Bontempi, C., 2015. High-resolution stratigraphy of thin-bedded shales/radiolarians, Woodford Shale, Arbuckle wilderness area, Murray County, Oklahoma: A new correlation tool. M.Sc. thesis manuscript, The University</w:t>
      </w:r>
      <w:r w:rsidRPr="007F2E54">
        <w:t xml:space="preserve"> of Oklahoma, p. 98.</w:t>
      </w:r>
    </w:p>
    <w:p w14:paraId="70C9A804"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Brito, R.J., 2014. Geological characterization and stratigraphic sequence framework of the Brown Shale, Central Sumatra basin, Indonesia: implications as an unconventional resource. M.Sc. thesis manuscript, The University of Oklahoma, p. 106.</w:t>
      </w:r>
    </w:p>
    <w:p w14:paraId="033F8B08"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Brito, R.J., 2019. The Woodford Shale in the Marietta basin: Oklahoma and North Texas. Doctoral dissertation manuscript, The University of Oklahoma, p. 182.</w:t>
      </w:r>
    </w:p>
    <w:p w14:paraId="37C562D6"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Brocks, J.J., Love, G.D., Summons, R.E., Knoll, A.H., Logan, G.A., Bowden, S.A., 2005. Biomarker evidence for green and purple sulfur bacteria in a stratified Palaeoproterozoic sea. Nature 437, 866-870.</w:t>
      </w:r>
    </w:p>
    <w:p w14:paraId="2A6D76AD" w14:textId="77777777" w:rsidR="00081C89" w:rsidRPr="000F3FAD" w:rsidRDefault="00081C89" w:rsidP="00081C89">
      <w:pPr>
        <w:pStyle w:val="ListParagraph"/>
        <w:numPr>
          <w:ilvl w:val="0"/>
          <w:numId w:val="11"/>
        </w:numPr>
      </w:pPr>
      <w:r w:rsidRPr="000F3FAD">
        <w:t>Brocks, J.J., Summons, R.E., 2014. Sedimentary hydrocarbons, biomarkers for early life. In: Turekian, K., Holland, H., eds., Elsevier Treatise on Geochemistry 2nd Edition 8, 61-103.</w:t>
      </w:r>
    </w:p>
    <w:p w14:paraId="446E878A" w14:textId="77777777" w:rsidR="00081C89" w:rsidRDefault="00081C89" w:rsidP="00081C89">
      <w:pPr>
        <w:pStyle w:val="ListParagraph"/>
        <w:numPr>
          <w:ilvl w:val="0"/>
          <w:numId w:val="11"/>
        </w:numPr>
      </w:pPr>
      <w:r w:rsidRPr="000F3FAD">
        <w:t>Brown, T.C., Kenig, F., 2004. Water column structure during deposition of Middle Devonian-Lower Mississippian black and green/gray shales of the Illinois and Michigan basins: A biomarker approach. Paleogeography, Palaeoclimatology, Palaeoecology 215, 59-85.</w:t>
      </w:r>
    </w:p>
    <w:p w14:paraId="5F5297EA" w14:textId="77777777" w:rsidR="00081C89" w:rsidRPr="000F3FAD" w:rsidRDefault="00081C89" w:rsidP="00081C89">
      <w:pPr>
        <w:pStyle w:val="ListParagraph"/>
        <w:numPr>
          <w:ilvl w:val="0"/>
          <w:numId w:val="11"/>
        </w:numPr>
      </w:pPr>
      <w:r w:rsidRPr="00941437">
        <w:lastRenderedPageBreak/>
        <w:t>Byrnes, A.P.</w:t>
      </w:r>
      <w:r>
        <w:t xml:space="preserve">, </w:t>
      </w:r>
      <w:r w:rsidRPr="00941437">
        <w:t>Lawyer,</w:t>
      </w:r>
      <w:r>
        <w:t xml:space="preserve"> G.,</w:t>
      </w:r>
      <w:r w:rsidRPr="00941437">
        <w:t xml:space="preserve"> 1999. Burial, Maturation, and Petroleum Generation History of the Arkoma Basin and Ouachita Foldbelt, Oklahoma and Arkansas. Natural Resources Research, 8</w:t>
      </w:r>
      <w:r>
        <w:t xml:space="preserve">, </w:t>
      </w:r>
      <w:r w:rsidRPr="00941437">
        <w:t>1.</w:t>
      </w:r>
    </w:p>
    <w:p w14:paraId="7E9AE397" w14:textId="77777777" w:rsidR="00081C89" w:rsidRPr="000F3FAD" w:rsidRDefault="00081C89" w:rsidP="00081C89">
      <w:pPr>
        <w:pStyle w:val="ListParagraph"/>
        <w:numPr>
          <w:ilvl w:val="0"/>
          <w:numId w:val="11"/>
        </w:numPr>
      </w:pPr>
      <w:r w:rsidRPr="000F3FAD">
        <w:t>Calvert, S.E., Pedersen, T.F., 1993. Geochemistry of recent oxic and anoxic marine sediments: Implications for the geological record. Marine Geology 113, 67–88.</w:t>
      </w:r>
    </w:p>
    <w:p w14:paraId="171A142A" w14:textId="77777777" w:rsidR="00081C89" w:rsidRPr="000F3FAD" w:rsidRDefault="00081C89" w:rsidP="00081C89">
      <w:pPr>
        <w:pStyle w:val="ListParagraph"/>
        <w:numPr>
          <w:ilvl w:val="0"/>
          <w:numId w:val="11"/>
        </w:numPr>
      </w:pPr>
      <w:r w:rsidRPr="000F3FAD">
        <w:t>Cardona-Valencia, L.F., 2014. Integrated characterization of the Woodford Shale in the southern Cherokee platform, Oklahoma. M.Sc. thesis manuscript, The University of Oklahoma, p. 98.</w:t>
      </w:r>
    </w:p>
    <w:p w14:paraId="5E844FEB" w14:textId="77777777" w:rsidR="00081C89" w:rsidRPr="000F3FAD" w:rsidRDefault="00081C89" w:rsidP="00081C89">
      <w:pPr>
        <w:pStyle w:val="ListParagraph"/>
        <w:numPr>
          <w:ilvl w:val="0"/>
          <w:numId w:val="11"/>
        </w:numPr>
      </w:pPr>
      <w:r w:rsidRPr="000F3FAD">
        <w:t xml:space="preserve">Cardott, B. J., 2012. Thermal maturity of Woodford Shale gas and oil plays, Oklahoma, USA. International Journal of Coal Geology, 1-13. </w:t>
      </w:r>
    </w:p>
    <w:p w14:paraId="14FAE136" w14:textId="77777777" w:rsidR="00081C89" w:rsidRPr="000F3FAD" w:rsidRDefault="00081C89" w:rsidP="00081C89">
      <w:pPr>
        <w:pStyle w:val="ListParagraph"/>
        <w:numPr>
          <w:ilvl w:val="0"/>
          <w:numId w:val="11"/>
        </w:numPr>
      </w:pPr>
      <w:r w:rsidRPr="000F3FAD">
        <w:t>Cardott, B.J., 2014. Woodford Shale play update: Expanded in the oil window. American Association of Petroleum Geologists, Search and Discovery article 80409.</w:t>
      </w:r>
    </w:p>
    <w:p w14:paraId="779E8B3D" w14:textId="77777777" w:rsidR="00081C89" w:rsidRPr="000F3FAD" w:rsidRDefault="00081C89" w:rsidP="00081C89">
      <w:pPr>
        <w:pStyle w:val="ListParagraph"/>
        <w:numPr>
          <w:ilvl w:val="0"/>
          <w:numId w:val="11"/>
        </w:numPr>
      </w:pPr>
      <w:r w:rsidRPr="000F3FAD">
        <w:t>Castillo, L.A, 2013. Integrated reservoir characterization of the Ordovician-Silurian Hunton carbonate, north Cherokee platform, Oklahoma. M.Sc. thesis manuscript, The University of Oklahoma, p. 90.</w:t>
      </w:r>
    </w:p>
    <w:p w14:paraId="18508CF6" w14:textId="77777777" w:rsidR="00081C89" w:rsidRPr="000F3FAD" w:rsidRDefault="00081C89" w:rsidP="00081C89">
      <w:pPr>
        <w:pStyle w:val="ListParagraph"/>
        <w:numPr>
          <w:ilvl w:val="0"/>
          <w:numId w:val="11"/>
        </w:numPr>
        <w:rPr>
          <w:bCs/>
        </w:rPr>
      </w:pPr>
      <w:r w:rsidRPr="000F3FAD">
        <w:rPr>
          <w:bCs/>
        </w:rPr>
        <w:t>Chain, A.R., 2012. Stratigraphy and composition of the Woodford Shale in depositionally updip and downdip wells, Anadarko Basin, Oklahoma. M.Sc. thesis manuscript, The University of Oklahoma, p. 138.</w:t>
      </w:r>
    </w:p>
    <w:p w14:paraId="653C7F20" w14:textId="6A263614" w:rsidR="00081C89" w:rsidRPr="000F3FAD" w:rsidRDefault="00081C89" w:rsidP="00081C89">
      <w:pPr>
        <w:pStyle w:val="ListParagraph"/>
        <w:numPr>
          <w:ilvl w:val="0"/>
          <w:numId w:val="11"/>
        </w:numPr>
        <w:rPr>
          <w:bCs/>
        </w:rPr>
      </w:pPr>
      <w:r w:rsidRPr="000F3FAD">
        <w:rPr>
          <w:bCs/>
        </w:rPr>
        <w:t>Chosson, P., Connan, J., Dessort, D., Lanau, C., 1992. In vitro biodegradation of steranes and terpanes: a clue to understanding geological situations. In: Moldowan, J.M., Albrecht, P., Philp, R.P., eds., Biological Markers in Sediments and Petroleum. Prentice</w:t>
      </w:r>
      <w:r w:rsidR="00450A02">
        <w:rPr>
          <w:bCs/>
        </w:rPr>
        <w:t>-</w:t>
      </w:r>
      <w:r w:rsidRPr="000F3FAD">
        <w:rPr>
          <w:bCs/>
        </w:rPr>
        <w:t>Hall, 320-349.</w:t>
      </w:r>
    </w:p>
    <w:p w14:paraId="5CE5CC95" w14:textId="77777777" w:rsidR="00081C89" w:rsidRPr="000F3FAD" w:rsidRDefault="00081C89" w:rsidP="00081C89">
      <w:pPr>
        <w:pStyle w:val="ListParagraph"/>
        <w:numPr>
          <w:ilvl w:val="0"/>
          <w:numId w:val="11"/>
        </w:numPr>
        <w:spacing w:after="200"/>
        <w:rPr>
          <w:rStyle w:val="update"/>
          <w:szCs w:val="24"/>
        </w:rPr>
      </w:pPr>
      <w:r w:rsidRPr="000F3FAD">
        <w:rPr>
          <w:rStyle w:val="update"/>
          <w:szCs w:val="24"/>
        </w:rPr>
        <w:t>Clark, J.P., Philp, R.P., 1989. Geochemical characterization of evaporate and carbonate depositional environments and correlation of associated crude oils in the black Creek Basin, Alberta. Bulletin of Canadian Petroleum Geology 37, 401–416.</w:t>
      </w:r>
    </w:p>
    <w:p w14:paraId="76E667C9" w14:textId="1C672443" w:rsidR="00081C89" w:rsidRDefault="00081C89" w:rsidP="00081C89">
      <w:pPr>
        <w:pStyle w:val="ListParagraph"/>
        <w:numPr>
          <w:ilvl w:val="0"/>
          <w:numId w:val="11"/>
        </w:numPr>
      </w:pPr>
      <w:r w:rsidRPr="000F3FAD">
        <w:t>Comer J. B., Hinch, H. H., 1987. Recognizing and quantifying expulsion of oil from the Woodford Shale and age-equivalent rocks in Oklahoma and Arkansas. American Association of Petroleum Geologists</w:t>
      </w:r>
      <w:r w:rsidRPr="007F2E54">
        <w:t xml:space="preserve"> Bulletin 71, 844-858.</w:t>
      </w:r>
    </w:p>
    <w:p w14:paraId="21680C76" w14:textId="77777777" w:rsidR="00A4508C" w:rsidRDefault="00A4508C" w:rsidP="00A4508C">
      <w:pPr>
        <w:pStyle w:val="ListParagraph"/>
        <w:numPr>
          <w:ilvl w:val="0"/>
          <w:numId w:val="11"/>
        </w:numPr>
      </w:pPr>
      <w:r w:rsidRPr="00312661">
        <w:t>Comer, J.B., 2005</w:t>
      </w:r>
      <w:r>
        <w:t xml:space="preserve">. </w:t>
      </w:r>
      <w:r w:rsidRPr="00312661">
        <w:t xml:space="preserve">Facies distributions and hydrocarbon production potential of the Woodford Shale in the </w:t>
      </w:r>
      <w:r>
        <w:t>s</w:t>
      </w:r>
      <w:r w:rsidRPr="00312661">
        <w:t xml:space="preserve">outhern midcontinent: in B.J. Cardott, eds., Unconventional energy </w:t>
      </w:r>
      <w:r w:rsidRPr="00312661">
        <w:lastRenderedPageBreak/>
        <w:t xml:space="preserve">resources in the </w:t>
      </w:r>
      <w:r>
        <w:t>s</w:t>
      </w:r>
      <w:r w:rsidRPr="00312661">
        <w:t xml:space="preserve">outhern </w:t>
      </w:r>
      <w:r>
        <w:t>m</w:t>
      </w:r>
      <w:r w:rsidRPr="00312661">
        <w:t>id</w:t>
      </w:r>
      <w:r>
        <w:t>-</w:t>
      </w:r>
      <w:r w:rsidRPr="00312661">
        <w:t>continent, 2004 symposium. Oklahoma Geological Survey, Circular 110, 51-62.</w:t>
      </w:r>
    </w:p>
    <w:p w14:paraId="00288D4C" w14:textId="77777777" w:rsidR="00081C89" w:rsidRPr="000F3FAD" w:rsidRDefault="00081C89" w:rsidP="00081C89">
      <w:pPr>
        <w:pStyle w:val="ListParagraph"/>
        <w:numPr>
          <w:ilvl w:val="0"/>
          <w:numId w:val="11"/>
        </w:numPr>
      </w:pPr>
      <w:r w:rsidRPr="000F3FAD">
        <w:t xml:space="preserve">Comer, J.B., 2008. Woodford Shale in southern mid-continent, USA, transgressive system tract marine source rocks on an arid passive continental margin with persistent oceanic upwelling. American Association of Petroleum Geologists Annual Convention, Search and Discovery Article 404026. </w:t>
      </w:r>
    </w:p>
    <w:p w14:paraId="2EC15914" w14:textId="77777777" w:rsidR="00081C89" w:rsidRPr="000F3FAD" w:rsidRDefault="00081C89" w:rsidP="00081C89">
      <w:pPr>
        <w:pStyle w:val="ListParagraph"/>
        <w:numPr>
          <w:ilvl w:val="0"/>
          <w:numId w:val="11"/>
        </w:numPr>
      </w:pPr>
      <w:r w:rsidRPr="000F3FAD">
        <w:t>Connan, J., Restle, A., Albrecht, P., 1980. Biodegradation of crude oil in the Aquitane basin. In: Douglas, D.G., and Maxwell, J. R., eds., Advances in Organic Geochemistry 1979, Pergamon Press, Oxford 12, 1-17.</w:t>
      </w:r>
    </w:p>
    <w:p w14:paraId="4A831E25" w14:textId="77777777" w:rsidR="00081C89" w:rsidRPr="000F3FAD" w:rsidRDefault="00081C89" w:rsidP="00081C89">
      <w:pPr>
        <w:pStyle w:val="ListParagraph"/>
        <w:numPr>
          <w:ilvl w:val="0"/>
          <w:numId w:val="11"/>
        </w:numPr>
      </w:pPr>
      <w:r w:rsidRPr="000F3FAD">
        <w:t>Connock, G.T., 2015. Paleoenvironmental interpretation of the Woodford Shale, Wyche farm shale pit, Pontotoc County, Arkoma basin, Oklahoma with a primary focus on water column structure. M.Sc. thesis manuscript, The University of Oklahoma, p. 266.</w:t>
      </w:r>
    </w:p>
    <w:p w14:paraId="23285D6A" w14:textId="77777777" w:rsidR="00081C89" w:rsidRPr="000F3FAD" w:rsidRDefault="00081C89" w:rsidP="00081C89">
      <w:pPr>
        <w:pStyle w:val="ListParagraph"/>
        <w:numPr>
          <w:ilvl w:val="0"/>
          <w:numId w:val="11"/>
        </w:numPr>
      </w:pPr>
      <w:r w:rsidRPr="000F3FAD">
        <w:t>Connock, GT., Nguyen, T.X., Philp, R.P., 2018. The development and extent of photic-zone euxinia concomitant with Woodford Shale deposition. AAPG Bulletin 102, 6,  959-986.</w:t>
      </w:r>
    </w:p>
    <w:p w14:paraId="5E947B88" w14:textId="77777777" w:rsidR="00081C89" w:rsidRPr="000F3FAD" w:rsidRDefault="00081C89" w:rsidP="00081C89">
      <w:pPr>
        <w:pStyle w:val="ListParagraph"/>
        <w:numPr>
          <w:ilvl w:val="0"/>
          <w:numId w:val="11"/>
        </w:numPr>
        <w:spacing w:after="200"/>
        <w:rPr>
          <w:rStyle w:val="update"/>
          <w:szCs w:val="24"/>
        </w:rPr>
      </w:pPr>
      <w:r w:rsidRPr="000F3FAD">
        <w:rPr>
          <w:rStyle w:val="update"/>
          <w:szCs w:val="24"/>
        </w:rPr>
        <w:t>Dahl, J.E., Moldowan, J.M., Teerman, S.C., McCaffrey, M.A., P., S., Pena, M., Stelting, C.E., 1994. Source rock quality determination from oil biomarkers I. – An example from the Aspen Shale, Scully's Gap, Wyoming. American Association of Petroleum Geologists AAPG Bulletin 78, 1507-1526.</w:t>
      </w:r>
    </w:p>
    <w:p w14:paraId="0153E9F3" w14:textId="77777777" w:rsidR="00081C89" w:rsidRPr="000F3FAD" w:rsidRDefault="00081C89" w:rsidP="00081C89">
      <w:pPr>
        <w:pStyle w:val="ListParagraph"/>
        <w:numPr>
          <w:ilvl w:val="0"/>
          <w:numId w:val="11"/>
        </w:numPr>
      </w:pPr>
      <w:r w:rsidRPr="000F3FAD">
        <w:t>DeGarmo, D., 2015. Geochemical characterization of the Woodford Shale (Devonian-Mississippian), McAlister cemetery quarry, Criner Hills uplift, Ardmore basin, Oklahoma. M.Sc. thesis manuscript, The University of Oklahoma, p. 223.</w:t>
      </w:r>
    </w:p>
    <w:p w14:paraId="0B42C514" w14:textId="77777777" w:rsidR="00081C89" w:rsidRPr="000F3FAD" w:rsidRDefault="00081C89" w:rsidP="00081C89">
      <w:pPr>
        <w:pStyle w:val="ListParagraph"/>
        <w:numPr>
          <w:ilvl w:val="0"/>
          <w:numId w:val="11"/>
        </w:numPr>
      </w:pPr>
      <w:r w:rsidRPr="000F3FAD">
        <w:t>Duan, Y., Zheng C., Wang Z., Wu B., Wang C., Zhang H., Qian Y., Zheng G., 2006. Biomarker geochemistry of crude oils from the Qaidam Basin, NW China. Journal of Petroleum Geology 29, 2, 175-188.</w:t>
      </w:r>
    </w:p>
    <w:p w14:paraId="1B8F53C8" w14:textId="77777777" w:rsidR="00081C89" w:rsidRPr="000F3FAD" w:rsidRDefault="00081C89" w:rsidP="00081C89">
      <w:pPr>
        <w:pStyle w:val="ListParagraph"/>
        <w:numPr>
          <w:ilvl w:val="0"/>
          <w:numId w:val="11"/>
        </w:numPr>
      </w:pPr>
      <w:r w:rsidRPr="000F3FAD">
        <w:t>Dzou, L.I.P., Noble R.A., Senftle J.T., 1995. Maturation effects on absolute biomarker concentration in a suite of coals and associated vitrinite concentrates. Organic Geochemistry 23, 7, 681-697.</w:t>
      </w:r>
    </w:p>
    <w:p w14:paraId="648DD185" w14:textId="77777777" w:rsidR="00081C89" w:rsidRPr="000F3FAD" w:rsidRDefault="00081C89" w:rsidP="00081C89">
      <w:pPr>
        <w:pStyle w:val="ListParagraph"/>
        <w:numPr>
          <w:ilvl w:val="0"/>
          <w:numId w:val="11"/>
        </w:numPr>
      </w:pPr>
      <w:r w:rsidRPr="000F3FAD">
        <w:t xml:space="preserve">Ekwunife, I.C., 2017. Assessing mudrock characteristics, high-resolution chemostratigraphy, and sequence stratigraphy of the Woodford Shale in the McAlister </w:t>
      </w:r>
      <w:r w:rsidRPr="000F3FAD">
        <w:lastRenderedPageBreak/>
        <w:t>cemetery quarry, Ardmore basin, Oklahoma. M.Sc. thesis manuscript, The University of Oklahoma, p. 167.</w:t>
      </w:r>
    </w:p>
    <w:p w14:paraId="2FABC3CE" w14:textId="77777777" w:rsidR="00081C89" w:rsidRPr="007F2E54" w:rsidRDefault="00081C89" w:rsidP="00081C89">
      <w:pPr>
        <w:pStyle w:val="ListParagraph"/>
        <w:numPr>
          <w:ilvl w:val="0"/>
          <w:numId w:val="11"/>
        </w:numPr>
      </w:pPr>
      <w:r w:rsidRPr="000F3FAD">
        <w:t>Elmore, R.D., Heij, G.W., Wickard, A.K., 2016. Paragenesis of mineralized fractures and diagenesis of prominent North American shales: The</w:t>
      </w:r>
      <w:r w:rsidRPr="007F2E54">
        <w:t xml:space="preserve"> sedimentary record. SEPM 14, 4-10.</w:t>
      </w:r>
    </w:p>
    <w:p w14:paraId="6B8387F4" w14:textId="77777777" w:rsidR="00081C89" w:rsidRPr="000F3FAD" w:rsidRDefault="00081C89" w:rsidP="00081C89">
      <w:pPr>
        <w:pStyle w:val="ListParagraph"/>
        <w:numPr>
          <w:ilvl w:val="0"/>
          <w:numId w:val="11"/>
        </w:numPr>
      </w:pPr>
      <w:r w:rsidRPr="000F3FAD">
        <w:t>Fang H., Jianyu C., Yongchuan S. and Yaozong L., 1993. Application of organic facies studies to sedimentary basin analysis: a case study from the Yitong Graben, China. Organic Geochemistry 20, 1, 27-42.</w:t>
      </w:r>
    </w:p>
    <w:p w14:paraId="30039ED7" w14:textId="77777777" w:rsidR="00081C89" w:rsidRPr="000F3FAD" w:rsidRDefault="00081C89" w:rsidP="00081C89">
      <w:pPr>
        <w:pStyle w:val="ListParagraph"/>
        <w:numPr>
          <w:ilvl w:val="0"/>
          <w:numId w:val="11"/>
        </w:numPr>
      </w:pPr>
      <w:r w:rsidRPr="000F3FAD">
        <w:t>Fang, R., Li, M., Wang, T.G., Zhang, L., Shi, S., 2015. Identification and distribution of pyrene, methylpyrenes, and their isomers in rock extracts and crude oils. Organic Geochemistry 83-84, 65-76.</w:t>
      </w:r>
    </w:p>
    <w:p w14:paraId="15F17A0C" w14:textId="77777777" w:rsidR="00081C89" w:rsidRPr="007F2E54" w:rsidRDefault="00081C89" w:rsidP="00081C89">
      <w:pPr>
        <w:pStyle w:val="ListParagraph"/>
        <w:numPr>
          <w:ilvl w:val="0"/>
          <w:numId w:val="11"/>
        </w:numPr>
      </w:pPr>
      <w:r w:rsidRPr="000F3FAD">
        <w:t>Franti, P., Sieranoja, S., 2019. How much can k-means be improved by using better initialization and repeats</w:t>
      </w:r>
      <w:r w:rsidRPr="007F2E54">
        <w:t>? Journal of Pattern Recognition, 93, 2019, 95-112.</w:t>
      </w:r>
    </w:p>
    <w:p w14:paraId="6BE3CCF6" w14:textId="77777777" w:rsidR="00081C89" w:rsidRPr="000F3FAD" w:rsidRDefault="00081C89" w:rsidP="00081C89">
      <w:pPr>
        <w:pStyle w:val="ListParagraph"/>
        <w:numPr>
          <w:ilvl w:val="0"/>
          <w:numId w:val="11"/>
        </w:numPr>
      </w:pPr>
      <w:r w:rsidRPr="000F3FAD">
        <w:t xml:space="preserve">Frigaard, N.U., Dahl, C., 2008. Sulfur metabolism in phototrophic sulfur bacteria. Elsevier Masson SAAS, p. 134. </w:t>
      </w:r>
    </w:p>
    <w:p w14:paraId="1D3AF8D3" w14:textId="77777777" w:rsidR="00081C89" w:rsidRPr="000F3FAD" w:rsidRDefault="00081C89" w:rsidP="00081C89">
      <w:pPr>
        <w:pStyle w:val="ListParagraph"/>
        <w:numPr>
          <w:ilvl w:val="0"/>
          <w:numId w:val="11"/>
        </w:numPr>
      </w:pPr>
      <w:r w:rsidRPr="000F3FAD">
        <w:rPr>
          <w:lang w:val="es-CO"/>
        </w:rPr>
        <w:t xml:space="preserve">Galvis-Portilla, H., Becerra-Rondon, D., Duarte, D., Slatt, R.M., 2016. </w:t>
      </w:r>
      <w:r w:rsidRPr="000F3FAD">
        <w:t xml:space="preserve">Rock and fracture characterization of the Woodford Shale along the I-35 Outcrop. American Association of Petroleum Geologists Search and Discovery Article #51240. </w:t>
      </w:r>
    </w:p>
    <w:p w14:paraId="7A686913" w14:textId="77777777" w:rsidR="00081C89" w:rsidRPr="000F3FAD" w:rsidRDefault="00081C89" w:rsidP="00081C89">
      <w:pPr>
        <w:pStyle w:val="ListParagraph"/>
        <w:numPr>
          <w:ilvl w:val="0"/>
          <w:numId w:val="11"/>
        </w:numPr>
      </w:pPr>
      <w:r w:rsidRPr="000F3FAD">
        <w:t xml:space="preserve">Galvis, H., 2017. Detailed lithostratigraphic characterization and sequence stratigraphy of a complete Woodford Shale outcrop section in southern Oklahoma. M.Sc. thesis manuscript, The University of Oklahoma, p. 170. </w:t>
      </w:r>
    </w:p>
    <w:p w14:paraId="12940779" w14:textId="77777777" w:rsidR="00081C89" w:rsidRPr="000F3FAD" w:rsidRDefault="00081C89" w:rsidP="00081C89">
      <w:pPr>
        <w:pStyle w:val="ListParagraph"/>
        <w:numPr>
          <w:ilvl w:val="0"/>
          <w:numId w:val="11"/>
        </w:numPr>
      </w:pPr>
      <w:r w:rsidRPr="000F3FAD">
        <w:t xml:space="preserve">Galvis, H., D. Becerra-Rondon, R.M. Slatt, 2017a. Lithofacies and stratigraphy of a complete Woodford Shale outcrop section in south Central Oklahoma: Geologic considerations for the evaluation of unconventional shale reservoirs. Interpretation 2017, 6, 1 SC15-SC27. </w:t>
      </w:r>
    </w:p>
    <w:p w14:paraId="53EF7350" w14:textId="77777777" w:rsidR="00081C89" w:rsidRPr="000F3FAD" w:rsidRDefault="00081C89" w:rsidP="00081C89">
      <w:pPr>
        <w:pStyle w:val="ListParagraph"/>
        <w:numPr>
          <w:ilvl w:val="0"/>
          <w:numId w:val="11"/>
        </w:numPr>
      </w:pPr>
      <w:r w:rsidRPr="000F3FAD">
        <w:t>Galvis, H., Becerra-Rondon, D., Slatt, R.M., 2017b. Let’s make outcrops recover their value, understanding the rock on the surface for predicting into the subsurface: Woodford Shale case study, Ardmore basin, Oklahoma. American Association of Petroleum Geologists, Search and Discovery Article 10907.</w:t>
      </w:r>
    </w:p>
    <w:p w14:paraId="2427B368" w14:textId="77777777" w:rsidR="00081C89" w:rsidRPr="000F3FAD" w:rsidRDefault="00081C89" w:rsidP="00081C89">
      <w:pPr>
        <w:pStyle w:val="ListParagraph"/>
        <w:numPr>
          <w:ilvl w:val="0"/>
          <w:numId w:val="11"/>
        </w:numPr>
      </w:pPr>
      <w:r w:rsidRPr="000F3FAD">
        <w:t>Ghosh, S., 2017. Integrated studies on Woodford Shale's natural fracture attributes, origin, and their relation to hydraulic fracturing. Doctorate dissertation manuscript, The University of Oklahoma, p. 264.</w:t>
      </w:r>
    </w:p>
    <w:p w14:paraId="221A737A" w14:textId="77777777" w:rsidR="00081C89" w:rsidRPr="000F3FAD" w:rsidRDefault="00081C89" w:rsidP="00081C89">
      <w:pPr>
        <w:pStyle w:val="ListParagraph"/>
        <w:numPr>
          <w:ilvl w:val="0"/>
          <w:numId w:val="11"/>
        </w:numPr>
      </w:pPr>
      <w:r w:rsidRPr="000F3FAD">
        <w:lastRenderedPageBreak/>
        <w:t>Goodarzi, F., Brooks, P.W., Embry, P.F., 1989. Regional maturity as determined by organic petrology and geochemistry of the Schei Point Group (Triassic) in Western Sverdrup Basin, Canadian Archipelago. Marine and Petroleum Geology 6, 290-302.</w:t>
      </w:r>
    </w:p>
    <w:p w14:paraId="6BCCC8DD" w14:textId="77777777" w:rsidR="00081C89" w:rsidRPr="000F3FAD" w:rsidRDefault="00081C89" w:rsidP="00081C89">
      <w:pPr>
        <w:pStyle w:val="ListParagraph"/>
        <w:numPr>
          <w:ilvl w:val="0"/>
          <w:numId w:val="11"/>
        </w:numPr>
      </w:pPr>
      <w:r w:rsidRPr="000F3FAD">
        <w:t>Grantham, P.J., 1986. The occurrence of unusual C</w:t>
      </w:r>
      <w:r w:rsidRPr="000F3FAD">
        <w:rPr>
          <w:vertAlign w:val="subscript"/>
        </w:rPr>
        <w:t>27</w:t>
      </w:r>
      <w:r w:rsidRPr="000F3FAD">
        <w:t xml:space="preserve"> and C</w:t>
      </w:r>
      <w:r w:rsidRPr="000F3FAD">
        <w:rPr>
          <w:vertAlign w:val="subscript"/>
        </w:rPr>
        <w:t>29</w:t>
      </w:r>
      <w:r w:rsidRPr="000F3FAD">
        <w:t xml:space="preserve"> sterane predominances in two types of Oman crude oil. Organic Geochemistry 9, 1-10.</w:t>
      </w:r>
    </w:p>
    <w:p w14:paraId="2A42B34F" w14:textId="77777777" w:rsidR="00081C89" w:rsidRPr="000F3FAD" w:rsidRDefault="00081C89" w:rsidP="00081C89">
      <w:pPr>
        <w:pStyle w:val="ListParagraph"/>
        <w:numPr>
          <w:ilvl w:val="0"/>
          <w:numId w:val="11"/>
        </w:numPr>
      </w:pPr>
      <w:r w:rsidRPr="000F3FAD">
        <w:t>Grantham, P.J., Wakefield, L.L., 1988. Variations in the sterane carbon number distributions of marine source rock derived crude oils through geological time.  Organic Geochemistry 12, 61-73.</w:t>
      </w:r>
    </w:p>
    <w:p w14:paraId="5BE59C43" w14:textId="77777777" w:rsidR="00081C89" w:rsidRPr="000F3FAD" w:rsidRDefault="00081C89" w:rsidP="00081C89">
      <w:pPr>
        <w:pStyle w:val="ListParagraph"/>
        <w:numPr>
          <w:ilvl w:val="0"/>
          <w:numId w:val="11"/>
        </w:numPr>
        <w:rPr>
          <w:rStyle w:val="update"/>
          <w:szCs w:val="24"/>
          <w:lang w:val="es-CO"/>
        </w:rPr>
      </w:pPr>
      <w:r w:rsidRPr="000F3FAD">
        <w:rPr>
          <w:rStyle w:val="update"/>
          <w:szCs w:val="24"/>
        </w:rPr>
        <w:t xml:space="preserve">Grasby, S.E., Chen, Z., Issler, D., Stasiuk, L., 2009. Evidence for deep anaerobic biodegradation associated with rapid sedimentation and burial in the Beaufort-Mackenzie basin, Canada. </w:t>
      </w:r>
      <w:r w:rsidRPr="000F3FAD">
        <w:rPr>
          <w:rStyle w:val="update"/>
          <w:szCs w:val="24"/>
          <w:lang w:val="es-CO"/>
        </w:rPr>
        <w:t xml:space="preserve">Applied </w:t>
      </w:r>
      <w:r w:rsidRPr="00DD4C6D">
        <w:rPr>
          <w:rStyle w:val="update"/>
          <w:szCs w:val="24"/>
        </w:rPr>
        <w:t>Geochemistry</w:t>
      </w:r>
      <w:r w:rsidRPr="000F3FAD">
        <w:rPr>
          <w:rStyle w:val="update"/>
          <w:szCs w:val="24"/>
          <w:lang w:val="es-CO"/>
        </w:rPr>
        <w:t xml:space="preserve"> 24, 536-542.</w:t>
      </w:r>
    </w:p>
    <w:p w14:paraId="12A8A9E2" w14:textId="77777777" w:rsidR="00081C89" w:rsidRPr="000F3FAD" w:rsidRDefault="00081C89" w:rsidP="00081C89">
      <w:pPr>
        <w:pStyle w:val="ListParagraph"/>
        <w:numPr>
          <w:ilvl w:val="0"/>
          <w:numId w:val="11"/>
        </w:numPr>
      </w:pPr>
      <w:r w:rsidRPr="000F3FAD">
        <w:t>Grice K., Cao C., Love G.D., Bottcher M. E., Twitchett R. J., Grosjean E., Summons R. E., Turgeon S. C., Dunning W., Jin Y., 2005. Photic zone euxinia during the Permian-Triassic Superanoxic Event. Science 307, 706-708.</w:t>
      </w:r>
    </w:p>
    <w:p w14:paraId="6B89FA06"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Gupta, N., 2012. Multi-scale characterization of the Woodford Shale in West-central Oklahoma: From scanning electron microscope to 3D seismic. Doctorate dissertation manuscript, The University of Oklahoma, p. 148.</w:t>
      </w:r>
    </w:p>
    <w:p w14:paraId="2749977E" w14:textId="77777777" w:rsidR="00081C89" w:rsidRPr="000F3FAD" w:rsidRDefault="00081C89" w:rsidP="00081C89">
      <w:pPr>
        <w:pStyle w:val="ListParagraph"/>
        <w:numPr>
          <w:ilvl w:val="0"/>
          <w:numId w:val="11"/>
        </w:numPr>
      </w:pPr>
      <w:r w:rsidRPr="000F3FAD">
        <w:t>Ham, W.E., Denison, R.E., Merritt, C.A., 1964. Basement rocks and structural evolution of southern Oklahoma. Oklahoma Geological Survey Bulletin 95, 1-302.</w:t>
      </w:r>
    </w:p>
    <w:p w14:paraId="4D45720C" w14:textId="77777777" w:rsidR="00081C89" w:rsidRPr="000F3FAD" w:rsidRDefault="00081C89" w:rsidP="00081C89">
      <w:pPr>
        <w:pStyle w:val="ListParagraph"/>
        <w:numPr>
          <w:ilvl w:val="0"/>
          <w:numId w:val="11"/>
        </w:numPr>
      </w:pPr>
      <w:r w:rsidRPr="000F3FAD">
        <w:t>Ham, W.E., Wilson, J.L., 1967. Paleozoic epeirogeny and orogeny in the central United States. American Journal of Science 265, 332-407.</w:t>
      </w:r>
    </w:p>
    <w:p w14:paraId="7C3515D1" w14:textId="77777777" w:rsidR="00081C89" w:rsidRPr="000F3FAD" w:rsidRDefault="00081C89" w:rsidP="00081C89">
      <w:pPr>
        <w:pStyle w:val="ListParagraph"/>
        <w:numPr>
          <w:ilvl w:val="0"/>
          <w:numId w:val="11"/>
        </w:numPr>
      </w:pPr>
      <w:r w:rsidRPr="000F3FAD">
        <w:t>Hartgers, W., Sinninghe Damsté, J. S., Requejo, A.G., Allan, J., Hayes, J. M., Ling, Y., Xie, T.M., Primack J., De Leeuw, J.W., 1994. A molecular and carbon isotopic study towards the origin and diagenetic fate of diaromatic carotenoids. Organic Geochemistry 22, 703-725.</w:t>
      </w:r>
    </w:p>
    <w:p w14:paraId="1B92DC81" w14:textId="77777777" w:rsidR="00081C89" w:rsidRPr="000F3FAD" w:rsidRDefault="00081C89" w:rsidP="00081C89">
      <w:pPr>
        <w:pStyle w:val="ListParagraph"/>
        <w:numPr>
          <w:ilvl w:val="0"/>
          <w:numId w:val="11"/>
        </w:numPr>
      </w:pPr>
      <w:r w:rsidRPr="000F3FAD">
        <w:t>Hays, L.E., Beatty, T., Henderson, C.M., Love, G.D., Summons, R.E., 2007. Evidence for photic zone euxinia through the end-Permian mass extinction in the Panthalassic Ocean (Peace River basin, Western Canada). Paleo world 16, 1-3, 39-50.</w:t>
      </w:r>
    </w:p>
    <w:p w14:paraId="6C21F1CA" w14:textId="77777777" w:rsidR="00081C89" w:rsidRPr="000F3FAD" w:rsidRDefault="00081C89" w:rsidP="00081C89">
      <w:pPr>
        <w:pStyle w:val="ListParagraph"/>
        <w:numPr>
          <w:ilvl w:val="0"/>
          <w:numId w:val="11"/>
        </w:numPr>
      </w:pPr>
      <w:r w:rsidRPr="000F3FAD">
        <w:t xml:space="preserve">Hester, T.C., Sahl, H.L., Schmoker, J.W., 1988. Cross-sections based on Gamma-ray, density, and resistivity logs showing stratigraphic units of the Woodford Shale, Anadarko basin, Oklahoma. United States Geological Survey Bulletin 1866-D, 1-38. </w:t>
      </w:r>
    </w:p>
    <w:p w14:paraId="6D45C3AC" w14:textId="77777777" w:rsidR="00081C89" w:rsidRPr="000F3FAD" w:rsidRDefault="00081C89" w:rsidP="00081C89">
      <w:pPr>
        <w:pStyle w:val="ListParagraph"/>
        <w:numPr>
          <w:ilvl w:val="0"/>
          <w:numId w:val="11"/>
        </w:numPr>
      </w:pPr>
      <w:r w:rsidRPr="000F3FAD">
        <w:lastRenderedPageBreak/>
        <w:t xml:space="preserve">Hester, T.C., Schmoker, J.W., Sahl, H.L., 1990. Log-derived regional source rock characteristics of the Woodford Shale, Anadarko basin, Oklahoma. U.S. Geological Survey Bulletin 1866-D, p. 38. </w:t>
      </w:r>
    </w:p>
    <w:p w14:paraId="28708FE7" w14:textId="77777777" w:rsidR="00081C89" w:rsidRPr="000F3FAD" w:rsidRDefault="00081C89" w:rsidP="00081C89">
      <w:pPr>
        <w:pStyle w:val="ListParagraph"/>
        <w:numPr>
          <w:ilvl w:val="0"/>
          <w:numId w:val="11"/>
        </w:numPr>
      </w:pPr>
      <w:r w:rsidRPr="000F3FAD">
        <w:t>Holba, A.G., Dzou, L.I.P., Masterson, W.D., Hughes, W.B., Huizinga, B.J., Singletary, M. S., Moldowan, J.M., Mello, M.R., Tegelaar, E., 1998. Application of 24-norcholestanes for constraining source age of petroleum. Organic Geochemistry 29, 5-7, 1269-1283.</w:t>
      </w:r>
    </w:p>
    <w:p w14:paraId="014D527C" w14:textId="77777777" w:rsidR="00081C89" w:rsidRPr="000F3FAD" w:rsidRDefault="00081C89" w:rsidP="00081C89">
      <w:pPr>
        <w:pStyle w:val="ListParagraph"/>
        <w:numPr>
          <w:ilvl w:val="0"/>
          <w:numId w:val="11"/>
        </w:numPr>
      </w:pPr>
      <w:r w:rsidRPr="000F3FAD">
        <w:t>Holba, A.G., Tegelaar, E., Ellis, L., Singletary, M.S., Albrecht, P., 2000. Tetracyclic polyprenoids: indicators of freshwater (lacustrine) algal input. Geology 28, 251-254.</w:t>
      </w:r>
    </w:p>
    <w:p w14:paraId="0E62100E" w14:textId="77777777" w:rsidR="00081C89" w:rsidRPr="000F3FAD" w:rsidRDefault="00081C89" w:rsidP="00081C89">
      <w:pPr>
        <w:pStyle w:val="ListParagraph"/>
        <w:numPr>
          <w:ilvl w:val="0"/>
          <w:numId w:val="11"/>
        </w:numPr>
      </w:pPr>
      <w:r w:rsidRPr="000F3FAD">
        <w:t>Holba, A.G., Dzou, L.I., Wood, G.D., Ellis, L., Adam, P., Schaeffer, P., Albrecht, P., Greene, T., Hughes, W.B., 2003. Application of tetracyclic polyprenoids as indicators of input from fresh-brackish water environments. Organic Geochemistry 34, 441–469.</w:t>
      </w:r>
    </w:p>
    <w:p w14:paraId="630E949E" w14:textId="77777777" w:rsidR="00081C89" w:rsidRPr="000F3FAD" w:rsidRDefault="00081C89" w:rsidP="00081C89">
      <w:pPr>
        <w:pStyle w:val="ListParagraph"/>
        <w:numPr>
          <w:ilvl w:val="0"/>
          <w:numId w:val="11"/>
        </w:numPr>
      </w:pPr>
      <w:r w:rsidRPr="000F3FAD">
        <w:t>Huang, W.Y., Meinschein, W.G., 1979. Sterols as ecological indicators. Geochimica et Cosmochimica Acta 43, 739-745.</w:t>
      </w:r>
    </w:p>
    <w:p w14:paraId="41686B32" w14:textId="77777777" w:rsidR="00081C89" w:rsidRPr="000F3FAD" w:rsidRDefault="00081C89" w:rsidP="00081C89">
      <w:pPr>
        <w:pStyle w:val="ListParagraph"/>
        <w:numPr>
          <w:ilvl w:val="0"/>
          <w:numId w:val="11"/>
        </w:numPr>
      </w:pPr>
      <w:r w:rsidRPr="000F3FAD">
        <w:t xml:space="preserve">Hughes, W.B., Holba, A.G., Miller, D.E., Richardson, J.S., 1985. Geochemistry of greater Ekofisk crude oils. In: Thomas, B. M., Dore´, A.G., Eggen, S.S., Home, P.C. &amp; Larsen, R.M. (Eds.) Petroleum Geochemistry in Exploration of the Norwegian Shelf. Graham and Trotman, London, p. 75–92. </w:t>
      </w:r>
    </w:p>
    <w:p w14:paraId="5DE52DA3" w14:textId="77777777" w:rsidR="00081C89" w:rsidRPr="000F3FAD" w:rsidRDefault="00081C89" w:rsidP="00081C89">
      <w:pPr>
        <w:pStyle w:val="ListParagraph"/>
        <w:numPr>
          <w:ilvl w:val="0"/>
          <w:numId w:val="11"/>
        </w:numPr>
      </w:pPr>
      <w:r w:rsidRPr="000F3FAD">
        <w:t>Infante-Paez, L.E., Cardona, L.F., McCullough, B., Slatt, R.M., 2016. Seismic analysis of paleo topography and stratigraphic controls on total organic carbon: Rich sweet spot distribution in the Woodford Shale, Oklahoma, USA. Interpretation 5, 1, T33-T47.</w:t>
      </w:r>
    </w:p>
    <w:p w14:paraId="3C14A334" w14:textId="77777777" w:rsidR="00081C89" w:rsidRPr="000F3FAD" w:rsidRDefault="00081C89" w:rsidP="00081C89">
      <w:pPr>
        <w:pStyle w:val="ListParagraph"/>
        <w:numPr>
          <w:ilvl w:val="0"/>
          <w:numId w:val="11"/>
        </w:numPr>
      </w:pPr>
      <w:r w:rsidRPr="000F3FAD">
        <w:t>Jiamo, F., Guoying, S., Dehan, L., 1988. Organic geochemical characteristics of major types of terrestrial petroleum source rocks in China. In: Fleet, A.J., Klets, K., Talbot, M.R., eds., Lacustrine petroleum source rocks. Geological Society of London Special Publications 40, 279-289.</w:t>
      </w:r>
    </w:p>
    <w:p w14:paraId="7EC5C553" w14:textId="77777777" w:rsidR="00081C89" w:rsidRPr="000F3FAD" w:rsidRDefault="00081C89" w:rsidP="00081C89">
      <w:pPr>
        <w:pStyle w:val="ListParagraph"/>
        <w:numPr>
          <w:ilvl w:val="0"/>
          <w:numId w:val="11"/>
        </w:numPr>
      </w:pPr>
      <w:r w:rsidRPr="000F3FAD">
        <w:t xml:space="preserve">Jiang, C., Alexander, R., Kagi, R.I., Murray, A.P., 1998. Polycyclic aromatic hydrocarbons in ancient sediments and their relationships to paleoclimate. Organic Geochemistry 29, 5-7, 1721-1735. </w:t>
      </w:r>
    </w:p>
    <w:p w14:paraId="042FED47" w14:textId="77777777" w:rsidR="00081C89" w:rsidRPr="000F3FAD" w:rsidRDefault="00081C89" w:rsidP="00081C89">
      <w:pPr>
        <w:pStyle w:val="ListParagraph"/>
        <w:numPr>
          <w:ilvl w:val="0"/>
          <w:numId w:val="11"/>
        </w:numPr>
      </w:pPr>
      <w:r w:rsidRPr="000F3FAD">
        <w:t>Johnson, K.S, Branson C.C., Curtis, N.M., Ham, W.E., 1972. Geology and earth resources of Oklahoma. An atlas of maps and cross-sections.  Oklahoma Geological Survey OGS, Educational Publication 1, 1-8.</w:t>
      </w:r>
    </w:p>
    <w:p w14:paraId="3DAE7477" w14:textId="77777777" w:rsidR="00081C89" w:rsidRPr="000F3FAD" w:rsidRDefault="00081C89" w:rsidP="00081C89">
      <w:pPr>
        <w:pStyle w:val="ListParagraph"/>
        <w:numPr>
          <w:ilvl w:val="0"/>
          <w:numId w:val="11"/>
        </w:numPr>
      </w:pPr>
      <w:r w:rsidRPr="000F3FAD">
        <w:lastRenderedPageBreak/>
        <w:t xml:space="preserve">Johnson, K.S., Cardott, B. J., 1992. Geologic framework and hydrocarbon source rocks of Oklahoma. Oklahoma Geological Survey Circular 93, 21-37. </w:t>
      </w:r>
    </w:p>
    <w:p w14:paraId="68B6D17E" w14:textId="77777777" w:rsidR="00081C89" w:rsidRPr="000F3FAD" w:rsidRDefault="00081C89" w:rsidP="00081C89">
      <w:pPr>
        <w:pStyle w:val="ListParagraph"/>
        <w:numPr>
          <w:ilvl w:val="0"/>
          <w:numId w:val="11"/>
        </w:numPr>
      </w:pPr>
      <w:r w:rsidRPr="000F3FAD">
        <w:t xml:space="preserve">Johnson, K. S., Amsden, T.W., Denison, R. E., Dutton, S.P., Goldstein, A. G., Rascoe Jr., B., Sutherland, P.K., Thompson, D.M., 1989. Geology of the southern Midcontinent. Oklahoma Geological Survey Special Publication 89-2, 1-53. </w:t>
      </w:r>
    </w:p>
    <w:p w14:paraId="488FCDED" w14:textId="77777777" w:rsidR="00081C89" w:rsidRPr="000F3FAD" w:rsidRDefault="00081C89" w:rsidP="00081C89">
      <w:pPr>
        <w:pStyle w:val="ListParagraph"/>
        <w:numPr>
          <w:ilvl w:val="0"/>
          <w:numId w:val="11"/>
        </w:numPr>
      </w:pPr>
      <w:r w:rsidRPr="000F3FAD">
        <w:t>Johnson, K.S., 2008. The geologic history of Oklahoma. Oklahoma Geological Survey. Educational Publication 9, 2-9.</w:t>
      </w:r>
    </w:p>
    <w:p w14:paraId="4FDBE04D"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Jones, L.C., 2017. An integrated analysis of sequence stratigraphy, petroleum geochemistry, and Devonian mass extinction events in the Woodford Shale, southern Oklahoma. M.Sc. thesis manuscript, The University of Oklahoma, p. 219.</w:t>
      </w:r>
    </w:p>
    <w:p w14:paraId="4138D6B2" w14:textId="77777777" w:rsidR="00081C89" w:rsidRPr="000F3FAD" w:rsidRDefault="00081C89" w:rsidP="00081C89">
      <w:pPr>
        <w:pStyle w:val="ListParagraph"/>
        <w:numPr>
          <w:ilvl w:val="0"/>
          <w:numId w:val="11"/>
        </w:numPr>
      </w:pPr>
      <w:r w:rsidRPr="000F3FAD">
        <w:t>Kaiser, S.I., Aretz, M., Becker, R.T., 2015. The global Hangenberg crisis (Devonian-Carboniferous transition): a review of first-order mass extinction. Geological Society of London, Special Publications 2015, 423, 387-437.</w:t>
      </w:r>
    </w:p>
    <w:p w14:paraId="3C9133A5" w14:textId="77777777" w:rsidR="00081C89" w:rsidRPr="000F3FAD" w:rsidRDefault="00081C89" w:rsidP="00081C89">
      <w:pPr>
        <w:pStyle w:val="ListParagraph"/>
        <w:numPr>
          <w:ilvl w:val="0"/>
          <w:numId w:val="11"/>
        </w:numPr>
      </w:pPr>
      <w:r w:rsidRPr="000F3FAD">
        <w:t>Kilian, B.J., 2012. Sequence Stratigraphy of the Woodford Shale, Anadarko basin, Oklahoma: Implications on regional Woodford target correlation. M.Sc. thesis manuscript, The University of Oklahoma, p. 102.</w:t>
      </w:r>
    </w:p>
    <w:p w14:paraId="297717A3"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Kirkland D.W., Denison, R.E., Summers, D.M., Gormly, J.R., 1992. Geology and organic geochemistry of the Woodford Shale in the Criner Hills and western Arbuckle Mountains, Oklahoma. Oklahoma Geological Survey, Circular 93, 38-69.</w:t>
      </w:r>
    </w:p>
    <w:p w14:paraId="58D281C2" w14:textId="77777777" w:rsidR="00081C89" w:rsidRPr="000F3FAD" w:rsidRDefault="00081C89" w:rsidP="00081C89">
      <w:pPr>
        <w:pStyle w:val="ListParagraph"/>
        <w:numPr>
          <w:ilvl w:val="0"/>
          <w:numId w:val="11"/>
        </w:numPr>
      </w:pPr>
      <w:r w:rsidRPr="000F3FAD">
        <w:t xml:space="preserve">Koopmans, M.P., Koster, J., Van Kaam-Peters, H. M. E., Kenig, F., Schouten, S., Hartgers, W.A., De Leeuw, J.Q., Sinninghe Damsté, J.S., 1996a. Diagenetic and catagenetic products of isorenieratane: Molecular indicators for photic zone anoxia. Geochimica Cosmochimica Acta 60, 4467-4496. </w:t>
      </w:r>
    </w:p>
    <w:p w14:paraId="1EC8DC80" w14:textId="77777777" w:rsidR="00081C89" w:rsidRPr="000F3FAD" w:rsidRDefault="00081C89" w:rsidP="00081C89">
      <w:pPr>
        <w:pStyle w:val="ListParagraph"/>
        <w:numPr>
          <w:ilvl w:val="0"/>
          <w:numId w:val="11"/>
        </w:numPr>
      </w:pPr>
      <w:r w:rsidRPr="000F3FAD">
        <w:t>Koopmans, M.P., Schouten, S., Kohnen, M.E.L, Sinninghe Damsté, J.S., 1996b. The restricted utility of aryl isoprenoids as indicators for photic zone anoxicity. Geochimica et Cosmochimica Acta 60, 4873-4876.</w:t>
      </w:r>
    </w:p>
    <w:p w14:paraId="1ABFD8FE" w14:textId="77777777" w:rsidR="00081C89" w:rsidRPr="000F3FAD" w:rsidRDefault="00081C89" w:rsidP="00081C89">
      <w:pPr>
        <w:pStyle w:val="ListParagraph"/>
        <w:numPr>
          <w:ilvl w:val="0"/>
          <w:numId w:val="11"/>
        </w:numPr>
      </w:pPr>
      <w:r w:rsidRPr="000F3FAD">
        <w:t xml:space="preserve">Laflamme, R.E., Hites, R.A., 1978. The global distribution of polycyclic aromatic hydrocarbons in recent sediments. Geochimica et Cosmochimica Acta 42, 289-303. </w:t>
      </w:r>
    </w:p>
    <w:p w14:paraId="4CF44E7B"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 xml:space="preserve">Lambert, M.W., 1993. Internal stratigraphy and organic facies of the Devonian-Mississippian Chattanooga (Woodford) Shale in Oklahoma and Kansas. In: Katz, B.J., </w:t>
      </w:r>
      <w:r w:rsidRPr="000F3FAD">
        <w:rPr>
          <w:rFonts w:eastAsia="Times New Roman"/>
          <w:color w:val="000000"/>
        </w:rPr>
        <w:lastRenderedPageBreak/>
        <w:t>Pratt, L.M., eds., Source rocks in a sequence stratigraphic framework. AAPG Studies in Geology 37, 163-176.</w:t>
      </w:r>
    </w:p>
    <w:p w14:paraId="5373A617" w14:textId="52DC282B" w:rsidR="00081C89" w:rsidRPr="000F3FAD" w:rsidRDefault="00081C89" w:rsidP="00081C89">
      <w:pPr>
        <w:pStyle w:val="ListParagraph"/>
        <w:numPr>
          <w:ilvl w:val="0"/>
          <w:numId w:val="11"/>
        </w:numPr>
      </w:pPr>
      <w:r w:rsidRPr="000F3FAD">
        <w:t xml:space="preserve">Li, M., Shi, S., Wang, T.G., 2012. Identification and distribution of chrysene, </w:t>
      </w:r>
      <w:r w:rsidR="00DD4C6D" w:rsidRPr="000F3FAD">
        <w:t>methyl chrysenes</w:t>
      </w:r>
      <w:r w:rsidRPr="000F3FAD">
        <w:t>, and their isomers in crude oils and rock extracts. Organic Geochemistry 52, 55-66.</w:t>
      </w:r>
    </w:p>
    <w:p w14:paraId="16B79F4B" w14:textId="77777777" w:rsidR="00081C89" w:rsidRPr="000F3FAD" w:rsidRDefault="00081C89" w:rsidP="00081C89">
      <w:pPr>
        <w:pStyle w:val="ListParagraph"/>
        <w:numPr>
          <w:ilvl w:val="0"/>
          <w:numId w:val="11"/>
        </w:numPr>
      </w:pPr>
      <w:r w:rsidRPr="000F3FAD">
        <w:t>Liborius-Parada, A.D.L., Sneddon, A., Wu, S., 2017. Geochemical insights into the Oswego formation in Kingfisher County, Oklahoma. Oklahoma City Geological Society, Shale Saker 68, 4, p. 176.</w:t>
      </w:r>
    </w:p>
    <w:p w14:paraId="1D66B90B" w14:textId="77777777" w:rsidR="00081C89" w:rsidRPr="000F3FAD" w:rsidRDefault="00081C89" w:rsidP="00081C89">
      <w:pPr>
        <w:pStyle w:val="ListParagraph"/>
        <w:numPr>
          <w:ilvl w:val="0"/>
          <w:numId w:val="11"/>
        </w:numPr>
      </w:pPr>
      <w:r w:rsidRPr="000F3FAD">
        <w:rPr>
          <w:lang w:val="es-CO"/>
        </w:rPr>
        <w:t xml:space="preserve">Liborius-Parada, A.D.L., 2019. </w:t>
      </w:r>
      <w:r w:rsidRPr="000F3FAD">
        <w:t>Applied petroleum source rock evaluation and high-resolution sequence stratigraphy for unconventional reservoirs in La Luna formation (Cenomanian-Santonian) Northwest Maracaibo basin, Venezuela. Doctoral dissertation manuscript. The University of Oklahoma, p. 379.</w:t>
      </w:r>
    </w:p>
    <w:p w14:paraId="08D5A8B3" w14:textId="77777777" w:rsidR="00081C89" w:rsidRPr="000F3FAD" w:rsidRDefault="00081C89" w:rsidP="00081C89">
      <w:pPr>
        <w:pStyle w:val="ListParagraph"/>
        <w:numPr>
          <w:ilvl w:val="0"/>
          <w:numId w:val="11"/>
        </w:numPr>
      </w:pPr>
      <w:r w:rsidRPr="000F3FAD">
        <w:t>Lichtfouse, E., Budzinski, H., Garrigues, P., Eglinton, T.I., 1997. Ancient polycyclic aromatic hydrocarbons in modern soils: 13C, 14C and biomarker evidence. Organic Geochemistry 26, 353-359.</w:t>
      </w:r>
    </w:p>
    <w:p w14:paraId="07B59C5E" w14:textId="77777777" w:rsidR="00081C89" w:rsidRPr="000F3FAD" w:rsidRDefault="00081C89" w:rsidP="00081C89">
      <w:pPr>
        <w:pStyle w:val="ListParagraph"/>
        <w:numPr>
          <w:ilvl w:val="0"/>
          <w:numId w:val="11"/>
        </w:numPr>
      </w:pPr>
      <w:r w:rsidRPr="000F3FAD">
        <w:rPr>
          <w:lang w:val="es-CO"/>
        </w:rPr>
        <w:t xml:space="preserve">Lo, H.B., Cardott, B.J., 1995. </w:t>
      </w:r>
      <w:r w:rsidRPr="000F3FAD">
        <w:t>Detection of natural weathering of upper McAlester coal and Woodford Shale, Oklahoma, U.S.A. Organic Geochemistry 22, 73-83.</w:t>
      </w:r>
    </w:p>
    <w:p w14:paraId="5D3C849C" w14:textId="77777777" w:rsidR="00081C89" w:rsidRPr="000F3FAD" w:rsidRDefault="00081C89" w:rsidP="00081C89">
      <w:pPr>
        <w:pStyle w:val="ListParagraph"/>
        <w:numPr>
          <w:ilvl w:val="0"/>
          <w:numId w:val="11"/>
        </w:numPr>
      </w:pPr>
      <w:r w:rsidRPr="000F3FAD">
        <w:t>Mackenzie, A.S., Lamb, N.A., Maxwell, J.R., 1982. Steroid hydrocarbons and the thermal history of sediments. Nature 295, 223-6.</w:t>
      </w:r>
    </w:p>
    <w:p w14:paraId="75B832EE" w14:textId="77777777" w:rsidR="00081C89" w:rsidRPr="000F3FAD" w:rsidRDefault="00081C89" w:rsidP="00081C89">
      <w:pPr>
        <w:pStyle w:val="ListParagraph"/>
        <w:numPr>
          <w:ilvl w:val="0"/>
          <w:numId w:val="11"/>
        </w:numPr>
      </w:pPr>
      <w:r w:rsidRPr="000F3FAD">
        <w:t xml:space="preserve">Marynowski, L., Narkiewicz, M., Grelowski, C., 2000. Biomarkers as environmental indicators in a carbonate complex, examples from the Middle Devonian, the Holy Cross Mountains, Poland. Sedimentary Geology 137, 187–212. </w:t>
      </w:r>
    </w:p>
    <w:p w14:paraId="3686C1A2" w14:textId="77777777" w:rsidR="00081C89" w:rsidRPr="000F3FAD" w:rsidRDefault="00081C89" w:rsidP="00081C89">
      <w:pPr>
        <w:pStyle w:val="ListParagraph"/>
        <w:numPr>
          <w:ilvl w:val="0"/>
          <w:numId w:val="11"/>
        </w:numPr>
      </w:pPr>
      <w:r w:rsidRPr="000F3FAD">
        <w:t>Marynowski, L., Filipiak, P., 2007. Water column euxinia and wildfire evidence during the deposition of the Upper Famennian Hangenberg event horizon from the Holy Cross Mountains (Central Poland). Geology Magazine 144, 569-595.</w:t>
      </w:r>
    </w:p>
    <w:p w14:paraId="6ABF305A" w14:textId="77777777" w:rsidR="00081C89" w:rsidRPr="000F3FAD" w:rsidRDefault="00081C89" w:rsidP="00081C89">
      <w:pPr>
        <w:pStyle w:val="ListParagraph"/>
        <w:numPr>
          <w:ilvl w:val="0"/>
          <w:numId w:val="11"/>
        </w:numPr>
      </w:pPr>
      <w:r w:rsidRPr="000F3FAD">
        <w:t>Marynowski, L., Smolarek, J., Hautevelle, Y., 2015. Perylene degradation during the gradual onset of organic matter maturation. International Journal of Coal Geology 139, 17-25.</w:t>
      </w:r>
    </w:p>
    <w:p w14:paraId="43AED7FE" w14:textId="77777777" w:rsidR="00081C89" w:rsidRPr="000F3FAD" w:rsidRDefault="00081C89" w:rsidP="00081C89">
      <w:pPr>
        <w:pStyle w:val="ListParagraph"/>
        <w:numPr>
          <w:ilvl w:val="0"/>
          <w:numId w:val="11"/>
        </w:numPr>
      </w:pPr>
      <w:r w:rsidRPr="000F3FAD">
        <w:t>Maynard, S., 2016. Correlation of bioturbated facies, chemostratigraphy, total organic carbon, and sequence stratigraphy in the Woodford Shale of south-central Oklahoma. M.Sc. thesis manuscript, The University of Oklahoma, p. 119.</w:t>
      </w:r>
    </w:p>
    <w:p w14:paraId="25A1094F" w14:textId="77777777" w:rsidR="00081C89" w:rsidRPr="000F3FAD" w:rsidRDefault="00081C89" w:rsidP="00081C89">
      <w:pPr>
        <w:pStyle w:val="ListParagraph"/>
        <w:numPr>
          <w:ilvl w:val="0"/>
          <w:numId w:val="11"/>
        </w:numPr>
      </w:pPr>
      <w:r w:rsidRPr="000F3FAD">
        <w:lastRenderedPageBreak/>
        <w:t>McCullough, B.J., 2014. Sequence-stratigraphic framework and characterization of the Woodford Shale on the southern Cherokee platform of Central Oklahoma. M.Sc. thesis manuscript, The University of Oklahoma, p. 212.</w:t>
      </w:r>
    </w:p>
    <w:p w14:paraId="2DEEF3F7"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McCullough, B., Slatt, R.M., 2014. Paleotopographic control on the variability of Woodford Shale strata across the southern Cherokee platform area of central Oklahoma: A mechanism for increased preservation-potential of organic content: AAPG Search and Discovery article 1125.</w:t>
      </w:r>
    </w:p>
    <w:p w14:paraId="43122385" w14:textId="25566539" w:rsidR="00081C89" w:rsidRPr="000F3FAD" w:rsidRDefault="00081C89" w:rsidP="00081C89">
      <w:pPr>
        <w:pStyle w:val="ListParagraph"/>
        <w:numPr>
          <w:ilvl w:val="0"/>
          <w:numId w:val="11"/>
        </w:numPr>
      </w:pPr>
      <w:r w:rsidRPr="000F3FAD">
        <w:t xml:space="preserve">McKirdy, D.M., Aldridge, A.K., Ypma, P.J.M., 1983. A geochemical comparison of some crude oils from pre-Ordovician carbonate rocks. In: </w:t>
      </w:r>
      <w:r w:rsidR="005751ED" w:rsidRPr="000F3FAD">
        <w:t>Bjorøy</w:t>
      </w:r>
      <w:r w:rsidRPr="000F3FAD">
        <w:t>, M., eds., Advances in Organic Geochemistry 1981. Organic Geochemistry, London: Wiley, p. 99-107.</w:t>
      </w:r>
    </w:p>
    <w:p w14:paraId="29E98886" w14:textId="77777777" w:rsidR="00081C89" w:rsidRPr="000F3FAD" w:rsidRDefault="00081C89" w:rsidP="00081C89">
      <w:pPr>
        <w:pStyle w:val="ListParagraph"/>
        <w:numPr>
          <w:ilvl w:val="0"/>
          <w:numId w:val="11"/>
        </w:numPr>
      </w:pPr>
      <w:r w:rsidRPr="000F3FAD">
        <w:t xml:space="preserve">McGhee, G.R., 1981. Evolutionary replacement of ecological equivalents in late Devonian benthic marine communities. Paleogeography, Palaeoclimatology, Palaeoecology 34, 267-283.  </w:t>
      </w:r>
    </w:p>
    <w:p w14:paraId="7F274309" w14:textId="77777777" w:rsidR="00081C89" w:rsidRPr="000F3FAD" w:rsidRDefault="00081C89" w:rsidP="00081C89">
      <w:pPr>
        <w:pStyle w:val="ListParagraph"/>
        <w:numPr>
          <w:ilvl w:val="0"/>
          <w:numId w:val="11"/>
        </w:numPr>
      </w:pPr>
      <w:r w:rsidRPr="000F3FAD">
        <w:t xml:space="preserve">McGhee, G. R., 1996. The late Devonian mass extinction: The Frasnian/Famennian crisis. Columbia University Press, 303. </w:t>
      </w:r>
    </w:p>
    <w:p w14:paraId="20439F9E" w14:textId="77777777" w:rsidR="00081C89" w:rsidRPr="000F3FAD" w:rsidRDefault="00081C89" w:rsidP="00081C89">
      <w:pPr>
        <w:pStyle w:val="ListParagraph"/>
        <w:numPr>
          <w:ilvl w:val="0"/>
          <w:numId w:val="11"/>
        </w:numPr>
      </w:pPr>
      <w:r w:rsidRPr="000F3FAD">
        <w:t>Mello, M.R., Telnaes, N., P.C., G., Chicarelli, M.I., Brassell, S.C., Maxwell, J.R., 1988. Organic geochemical characterization of depositional environment in Brazilian marginal basins. Organic Geochemistry 13, 31-46.</w:t>
      </w:r>
    </w:p>
    <w:p w14:paraId="5D4F20E0"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 xml:space="preserve">Miceli-Romero, A.A, 2010. Geochemical characterization of the Woodford Shale, central and southeastern Oklahoma. M.Sc. thesis manuscript, The University of Oklahoma, p. 149. </w:t>
      </w:r>
    </w:p>
    <w:p w14:paraId="3FAD1F38"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Miceli-Romero, A.A., Philp, R.P., 2012. Organic geochemistry of the Woodford Shale, southeastern Oklahoma: How variable can shales be? AAPG Bulletin 96, 3, 493-517.</w:t>
      </w:r>
    </w:p>
    <w:p w14:paraId="6F938C1F"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lang w:val="es-CO"/>
        </w:rPr>
        <w:t xml:space="preserve">Miceli-Romero, A.A., Nguyen, T., Philp, R.P., 2018. </w:t>
      </w:r>
      <w:r w:rsidRPr="000F3FAD">
        <w:rPr>
          <w:rFonts w:eastAsia="Times New Roman"/>
          <w:color w:val="000000"/>
        </w:rPr>
        <w:t>Organic geochemistry of the Eagle Ford group in Texas. AAPG Bulletin 107, 7, 1379-1412.</w:t>
      </w:r>
    </w:p>
    <w:p w14:paraId="0A7366DE" w14:textId="77777777" w:rsidR="00081C89" w:rsidRPr="000F3FAD" w:rsidRDefault="00081C89" w:rsidP="00081C89">
      <w:pPr>
        <w:pStyle w:val="ListParagraph"/>
        <w:numPr>
          <w:ilvl w:val="0"/>
          <w:numId w:val="11"/>
        </w:numPr>
      </w:pPr>
      <w:r w:rsidRPr="000F3FAD">
        <w:t>Milad, B., Slatt, R.M., 2018. Impact of lithofacies variations and structural changes on natural fracture distributions. Interpretation, 6, 4, 1-15.</w:t>
      </w:r>
    </w:p>
    <w:p w14:paraId="083E11D1" w14:textId="77777777" w:rsidR="00081C89" w:rsidRPr="000F3FAD" w:rsidRDefault="00081C89" w:rsidP="00081C89">
      <w:pPr>
        <w:pStyle w:val="ListParagraph"/>
        <w:numPr>
          <w:ilvl w:val="0"/>
          <w:numId w:val="11"/>
        </w:numPr>
      </w:pPr>
      <w:r w:rsidRPr="000F3FAD">
        <w:t>Milad., B., 2019. Integrated reservoir characterization and geological upscaling for reservoir flow simulations of the Sycamore/Meramec and Hunton plays in Oklahoma. Doctoral dissertation manuscript, The University of Oklahoma, p. 179.</w:t>
      </w:r>
    </w:p>
    <w:p w14:paraId="503E371F"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lastRenderedPageBreak/>
        <w:t>Mizukami, T., Kaiho, K., Oba, M., 2013. Significant changes in land vegetation and oceanic redox across the Cretaceous/Paleogene boundary. Palaeogeography, Palaeoclimatology, Palaeoecology 369, 41-47.</w:t>
      </w:r>
    </w:p>
    <w:p w14:paraId="7DD582F0"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Mizukami, T., Kaiho, K., Oba, M., 2014. A spike of woody plant biomarkers in the deep-sea iridium layer at the Cretaceous/Paleogene boundary. Palaeogeography, Palaeoclimatology, Palaeoecology 412, 241-248.</w:t>
      </w:r>
    </w:p>
    <w:p w14:paraId="030D39DC" w14:textId="77777777" w:rsidR="00081C89" w:rsidRPr="000F3FAD" w:rsidRDefault="00081C89" w:rsidP="00081C89">
      <w:pPr>
        <w:pStyle w:val="ListParagraph"/>
        <w:numPr>
          <w:ilvl w:val="0"/>
          <w:numId w:val="11"/>
        </w:numPr>
      </w:pPr>
      <w:r w:rsidRPr="000F3FAD">
        <w:rPr>
          <w:lang w:val="es-CO"/>
        </w:rPr>
        <w:t xml:space="preserve">Moldowan, J. M., Seifert, W. K., 1979. </w:t>
      </w:r>
      <w:r w:rsidRPr="000F3FAD">
        <w:t xml:space="preserve">Head-to-head linked isoprenoid hydrocarbons in petroleum. Science 204, 169-71. </w:t>
      </w:r>
    </w:p>
    <w:p w14:paraId="2D716C63" w14:textId="77777777" w:rsidR="00081C89" w:rsidRPr="000F3FAD" w:rsidRDefault="00081C89" w:rsidP="00081C89">
      <w:pPr>
        <w:pStyle w:val="ListParagraph"/>
        <w:numPr>
          <w:ilvl w:val="0"/>
          <w:numId w:val="11"/>
        </w:numPr>
      </w:pPr>
      <w:r w:rsidRPr="000F3FAD">
        <w:t>Moldowan, J.M., 1984. C30-steranes, novel markers for marine petroleums and sedimentary rocks. Geochimica et Cosmochimica Acta 48, 2767-2768.</w:t>
      </w:r>
    </w:p>
    <w:p w14:paraId="7357E609" w14:textId="77777777" w:rsidR="00081C89" w:rsidRPr="000F3FAD" w:rsidRDefault="00081C89" w:rsidP="00081C89">
      <w:pPr>
        <w:pStyle w:val="ListParagraph"/>
        <w:numPr>
          <w:ilvl w:val="0"/>
          <w:numId w:val="11"/>
        </w:numPr>
      </w:pPr>
      <w:r w:rsidRPr="000F3FAD">
        <w:t>Moldowan, J.M., Fago, F., 1985. Structure and significance of a novel rearranged monoaromatic steroid hydrocarbon in petroleum. Geochimica et Cosmochimica Acta 50, 3, 343-351.</w:t>
      </w:r>
    </w:p>
    <w:p w14:paraId="0E20D079" w14:textId="77777777" w:rsidR="00081C89" w:rsidRPr="000F3FAD" w:rsidRDefault="00081C89" w:rsidP="00081C89">
      <w:pPr>
        <w:pStyle w:val="ListParagraph"/>
        <w:numPr>
          <w:ilvl w:val="0"/>
          <w:numId w:val="11"/>
        </w:numPr>
      </w:pPr>
      <w:r w:rsidRPr="000F3FAD">
        <w:rPr>
          <w:lang w:val="es-CO"/>
        </w:rPr>
        <w:t xml:space="preserve">Moldowan, J.M., Seifert, W. K., Gallegos, E.J., 1985. </w:t>
      </w:r>
      <w:r w:rsidRPr="000F3FAD">
        <w:t xml:space="preserve">Relationship between petroleum composition and depositional environment of petroleum source rocks. American Association of Petroleum Geologists Bulletin 69, 1255-68. </w:t>
      </w:r>
    </w:p>
    <w:p w14:paraId="1BEA6656" w14:textId="77777777" w:rsidR="00081C89" w:rsidRPr="000F3FAD" w:rsidRDefault="00081C89" w:rsidP="00081C89">
      <w:pPr>
        <w:pStyle w:val="ListParagraph"/>
        <w:numPr>
          <w:ilvl w:val="0"/>
          <w:numId w:val="11"/>
        </w:numPr>
      </w:pPr>
      <w:r w:rsidRPr="000F3FAD">
        <w:t>Moldowan, J.M., Fago, F.J., Lee, C.Y., Jacobson, S.R., Watt, D.S., Slougui, N.E., Jeganathan, A., Young, D.C., 1990. Sedimentary 24-n-propylcholestanes, molecular fossils diagnostic of marine algae. Science 247, 309-312.</w:t>
      </w:r>
    </w:p>
    <w:p w14:paraId="0A64A373" w14:textId="77777777" w:rsidR="00081C89" w:rsidRPr="000F3FAD" w:rsidRDefault="00081C89" w:rsidP="00081C89">
      <w:pPr>
        <w:pStyle w:val="ListParagraph"/>
        <w:numPr>
          <w:ilvl w:val="0"/>
          <w:numId w:val="11"/>
        </w:numPr>
      </w:pPr>
      <w:r w:rsidRPr="000F3FAD">
        <w:t xml:space="preserve">Moldowan, J.M., Lee, C.Y., Sundararaman, P., 1992. Source correlation and maturity of select oils and rocks from the Central Adriatic basin (Italy and Yugoslavia). In: Moldowan. J.M., Albrecht, P., Philp, R.P., eds., Biological Markers in Sediments and Petroleum. Prentice-Hall, Englewood Cliffs, New Jersey, 370-401. </w:t>
      </w:r>
    </w:p>
    <w:p w14:paraId="51DF1AB7" w14:textId="77777777" w:rsidR="00081C89" w:rsidRPr="000F3FAD" w:rsidRDefault="00081C89" w:rsidP="00081C89">
      <w:pPr>
        <w:pStyle w:val="ListParagraph"/>
        <w:numPr>
          <w:ilvl w:val="0"/>
          <w:numId w:val="11"/>
        </w:numPr>
      </w:pPr>
      <w:r w:rsidRPr="000F3FAD">
        <w:rPr>
          <w:rFonts w:eastAsia="Times New Roman"/>
          <w:color w:val="000000"/>
        </w:rPr>
        <w:t>Molinares, C.E., 2013. Stratigraphy and palynomorphs composition of the Woodford Shale in the Wyche Farm shale pit, Pontotoc County, Oklahoma. M.Sc. thesis manuscript, The University of Oklahoma, p. 104</w:t>
      </w:r>
      <w:r w:rsidRPr="000F3FAD">
        <w:t>.</w:t>
      </w:r>
    </w:p>
    <w:p w14:paraId="7710B133" w14:textId="77777777" w:rsidR="00081C89" w:rsidRPr="000F3FAD" w:rsidRDefault="00081C89" w:rsidP="00081C89">
      <w:pPr>
        <w:pStyle w:val="ListParagraph"/>
        <w:numPr>
          <w:ilvl w:val="0"/>
          <w:numId w:val="11"/>
        </w:numPr>
      </w:pPr>
      <w:r w:rsidRPr="000F3FAD">
        <w:t>Molinares, C.E., 2019. The Frasnian/Famennian (F/F) transition in the Woodford Shale, south-central Oklahoma – a multiproxy approach. Doctoral dissertation manuscript, The University of Oklahoma, p. 117.</w:t>
      </w:r>
    </w:p>
    <w:p w14:paraId="566ADFBF" w14:textId="77777777" w:rsidR="00081C89" w:rsidRPr="000F3FAD" w:rsidRDefault="00081C89" w:rsidP="00081C89">
      <w:pPr>
        <w:pStyle w:val="ListParagraph"/>
        <w:numPr>
          <w:ilvl w:val="0"/>
          <w:numId w:val="11"/>
        </w:numPr>
      </w:pPr>
      <w:r w:rsidRPr="000F3FAD">
        <w:lastRenderedPageBreak/>
        <w:t xml:space="preserve">Nabbefeld, B., Grice, K., Summons, R.E., Lindsay, E.H., Cao, C., 2010. Significance of polycyclic aromatic hydrocarbons (PAHs) in Permian/Triassic boundary sections. Applied Geochemistry 25, 1374-1382. </w:t>
      </w:r>
    </w:p>
    <w:p w14:paraId="5D1683B8" w14:textId="77777777" w:rsidR="00081C89" w:rsidRPr="000F3FAD" w:rsidRDefault="00081C89" w:rsidP="00081C89">
      <w:pPr>
        <w:pStyle w:val="ListParagraph"/>
        <w:numPr>
          <w:ilvl w:val="0"/>
          <w:numId w:val="11"/>
        </w:numPr>
      </w:pPr>
      <w:r w:rsidRPr="000F3FAD">
        <w:t>Nowaczewski, V., 2011. Biomarker and paleontological investigations of the Late Devonian extinctions, Woodford Shale, southern Oklahoma. M.Sc. thesis manuscript, University of Kansas, p. 96.</w:t>
      </w:r>
    </w:p>
    <w:p w14:paraId="43C801CF" w14:textId="77777777" w:rsidR="00081C89" w:rsidRPr="000F3FAD" w:rsidRDefault="00081C89" w:rsidP="00081C89">
      <w:pPr>
        <w:pStyle w:val="ListParagraph"/>
        <w:numPr>
          <w:ilvl w:val="0"/>
          <w:numId w:val="11"/>
        </w:numPr>
      </w:pPr>
      <w:r w:rsidRPr="000F3FAD">
        <w:t>Ourisson, G., Albrecht, P., Rohmer, M., 1982. Predictive microbial biochemistry – from molecular fossils to prokaryotic membranes. Trends in Biochemical Sciences 7, 236-239.</w:t>
      </w:r>
    </w:p>
    <w:p w14:paraId="6AFA457A" w14:textId="77777777" w:rsidR="00081C89" w:rsidRPr="000F3FAD" w:rsidRDefault="00081C89" w:rsidP="00081C89">
      <w:pPr>
        <w:pStyle w:val="ListParagraph"/>
        <w:numPr>
          <w:ilvl w:val="0"/>
          <w:numId w:val="11"/>
        </w:numPr>
      </w:pPr>
      <w:r w:rsidRPr="000F3FAD">
        <w:t xml:space="preserve">Overmann, J., 2008. Ecology of phototrophic sulfur bacteria. In: Sulfur Metabolism in Phototrophic Organisms 2, 375-396. </w:t>
      </w:r>
    </w:p>
    <w:p w14:paraId="1E484D03" w14:textId="7E75F7A5" w:rsidR="00081C89" w:rsidRPr="000F3FAD" w:rsidRDefault="00081C89" w:rsidP="00081C89">
      <w:pPr>
        <w:pStyle w:val="ListParagraph"/>
        <w:numPr>
          <w:ilvl w:val="0"/>
          <w:numId w:val="11"/>
        </w:numPr>
      </w:pPr>
      <w:r w:rsidRPr="000F3FAD">
        <w:t>Overmann, J., Cypionka, H., Pfennig, N., 1992. An extremely low-light adapted phototrophic sulfur bacterium from the Black Sea. Oceanography 37, 150155.</w:t>
      </w:r>
    </w:p>
    <w:p w14:paraId="56BF30F3" w14:textId="77777777" w:rsidR="00081C89" w:rsidRPr="000F3FAD" w:rsidRDefault="00081C89" w:rsidP="00081C89">
      <w:pPr>
        <w:pStyle w:val="ListParagraph"/>
        <w:numPr>
          <w:ilvl w:val="0"/>
          <w:numId w:val="11"/>
        </w:numPr>
      </w:pPr>
      <w:r w:rsidRPr="000F3FAD">
        <w:t>Paxton, S.T., Olsen, T., Price, C., Gross, E., Allison, S. 2015. Spectral Gamma-Ray profile of Woodford Shale - OHMEGCO locality, Oklahoma. Ardmore Geological Society Presentations, 2015, p. 108.</w:t>
      </w:r>
    </w:p>
    <w:p w14:paraId="7FC5B157" w14:textId="77777777" w:rsidR="00081C89" w:rsidRPr="000F3FAD" w:rsidRDefault="00081C89" w:rsidP="00081C89">
      <w:pPr>
        <w:pStyle w:val="ListParagraph"/>
        <w:numPr>
          <w:ilvl w:val="0"/>
          <w:numId w:val="11"/>
        </w:numPr>
      </w:pPr>
      <w:r w:rsidRPr="000F3FAD">
        <w:t xml:space="preserve">Peters, K.E., 1986. Guidelines for evaluating petroleum source rock using programmed pyrolysis. American Association of Petroleum Geologists Bulletin, 70, 318-29. </w:t>
      </w:r>
    </w:p>
    <w:p w14:paraId="5E31595B" w14:textId="23BE8346" w:rsidR="00081C89" w:rsidRPr="000F3FAD" w:rsidRDefault="00081C89" w:rsidP="00081C89">
      <w:pPr>
        <w:pStyle w:val="ListParagraph"/>
        <w:numPr>
          <w:ilvl w:val="0"/>
          <w:numId w:val="11"/>
        </w:numPr>
      </w:pPr>
      <w:r w:rsidRPr="000F3FAD">
        <w:t>Peters, K.E., Moldowan, J.M., 1993. The Biomarker Guide: Interpreting Molecular Fossils in Petroleum and Ancient Sediments. Prentice</w:t>
      </w:r>
      <w:r w:rsidR="00450A02">
        <w:t>-</w:t>
      </w:r>
      <w:r w:rsidRPr="000F3FAD">
        <w:t>Hall, Englewood Cliffs, N.J., p. 363.</w:t>
      </w:r>
    </w:p>
    <w:p w14:paraId="263DD08D" w14:textId="77777777" w:rsidR="00081C89" w:rsidRPr="000F3FAD" w:rsidRDefault="00081C89" w:rsidP="00081C89">
      <w:pPr>
        <w:pStyle w:val="ListParagraph"/>
        <w:numPr>
          <w:ilvl w:val="0"/>
          <w:numId w:val="11"/>
        </w:numPr>
      </w:pPr>
      <w:r w:rsidRPr="000F3FAD">
        <w:t xml:space="preserve">Peters, K.E., Cassa, M.R., 1994. Applied source rock geochemistry. In: Magoon, L.B., and Dow, W.G., eds., The petroleum system – from source to trap, American Association of Petroleum Geologists Memoir 94, 93-117. </w:t>
      </w:r>
    </w:p>
    <w:p w14:paraId="2C76788E" w14:textId="77777777" w:rsidR="00081C89" w:rsidRPr="000F3FAD" w:rsidRDefault="00081C89" w:rsidP="00081C89">
      <w:pPr>
        <w:pStyle w:val="ListParagraph"/>
        <w:numPr>
          <w:ilvl w:val="0"/>
          <w:numId w:val="11"/>
        </w:numPr>
      </w:pPr>
      <w:r w:rsidRPr="000F3FAD">
        <w:t>Peters, K.E., Walters, C.C., Moldowan, J.W., 2005. The biomarker guide, Volume 1, Biomarkers, and isotopes in the environment and human history. Cambridge University Press, New York, second edition, p. 1155. Volume 2, Biomarkers, and isotopes in petroleum exploration and earth history. Cambridge University Press, New York, second edition, p. 471.</w:t>
      </w:r>
    </w:p>
    <w:p w14:paraId="57FBB66D" w14:textId="77777777" w:rsidR="00081C89" w:rsidRPr="000F3FAD" w:rsidRDefault="00081C89" w:rsidP="00081C89">
      <w:pPr>
        <w:pStyle w:val="ListParagraph"/>
        <w:numPr>
          <w:ilvl w:val="0"/>
          <w:numId w:val="11"/>
        </w:numPr>
      </w:pPr>
      <w:r w:rsidRPr="000F3FAD">
        <w:t>Philp, R.P., Gilbert, T.D., 1986. Biomarker distributions in Australian oils predominantly derived from terrigenous source material. In: Leythauser D., Rullkötter J., eds., Advances in Organic Geochemistry 1985. Pergamon Press, Oxford, 73-84.</w:t>
      </w:r>
    </w:p>
    <w:p w14:paraId="6E926171" w14:textId="77777777" w:rsidR="00081C89" w:rsidRPr="000F3FAD" w:rsidRDefault="00081C89" w:rsidP="00081C89">
      <w:pPr>
        <w:pStyle w:val="ListParagraph"/>
        <w:numPr>
          <w:ilvl w:val="0"/>
          <w:numId w:val="11"/>
        </w:numPr>
      </w:pPr>
      <w:r w:rsidRPr="000F3FAD">
        <w:lastRenderedPageBreak/>
        <w:t>Philp, R.P., Chen, J.H., Fu, J.M., Sheng, G.Y., 1992. A geochemical investigation of crude oils and source rocks from Biyang Basin, China. Organic Geochemistry 18, 933-945.</w:t>
      </w:r>
    </w:p>
    <w:p w14:paraId="00B110D5" w14:textId="77777777" w:rsidR="00081C89" w:rsidRPr="000F3FAD" w:rsidRDefault="00081C89" w:rsidP="00081C89">
      <w:pPr>
        <w:pStyle w:val="ListParagraph"/>
        <w:numPr>
          <w:ilvl w:val="0"/>
          <w:numId w:val="11"/>
        </w:numPr>
      </w:pPr>
      <w:r w:rsidRPr="000F3FAD">
        <w:t>Philp, R.P., DeGarmo, C.D., 2020. Geochemical characterization of the Devonian-Mississippian Woodford Shale from the McAlister Cemetery Quarry, Criner Hills Uplift, Ardmore basin, Oklahoma. Marine and Petroleum Geology 112, February 2020, 104078.</w:t>
      </w:r>
    </w:p>
    <w:p w14:paraId="23DF7AB2" w14:textId="5EBED624" w:rsidR="00081C89" w:rsidRPr="000F3FAD" w:rsidRDefault="00081C89" w:rsidP="00081C89">
      <w:pPr>
        <w:pStyle w:val="ListParagraph"/>
        <w:numPr>
          <w:ilvl w:val="0"/>
          <w:numId w:val="11"/>
        </w:numPr>
      </w:pPr>
      <w:r w:rsidRPr="000F3FAD">
        <w:t>Poinsot, J., Schneckenburger, P., Adam, P., Schaeﬀer, P., Trendel, J., Albrecht, P., 1997. Novel polycyclic polyprenoid sulﬁdes in sediments. Chemical Communications</w:t>
      </w:r>
      <w:r w:rsidR="00450A02">
        <w:t>,</w:t>
      </w:r>
      <w:r w:rsidRPr="000F3FAD">
        <w:t xml:space="preserve"> 2191–2192. </w:t>
      </w:r>
    </w:p>
    <w:p w14:paraId="4F72C4CC" w14:textId="77777777" w:rsidR="00081C89" w:rsidRPr="000F3FAD" w:rsidRDefault="00081C89" w:rsidP="00081C89">
      <w:pPr>
        <w:pStyle w:val="ListParagraph"/>
        <w:numPr>
          <w:ilvl w:val="0"/>
          <w:numId w:val="11"/>
        </w:numPr>
      </w:pPr>
      <w:r w:rsidRPr="000F3FAD">
        <w:t>Poinsot, J., Schneckenburger, P., Adam, P., Schaeﬀer, P., Trendel, J.M., Riva, A., Albrecht, P., 1998. Novel polycyclic sulﬁdes derived from regular polyprenoids in sediments: characterization, distribution, and geochemical signiﬁcance. Geochimica et Cosmochimica Acta 62, 5, 805–814.</w:t>
      </w:r>
    </w:p>
    <w:p w14:paraId="00F4AC0E" w14:textId="77777777" w:rsidR="00081C89" w:rsidRPr="000F3FAD" w:rsidRDefault="00081C89" w:rsidP="00081C89">
      <w:pPr>
        <w:pStyle w:val="ListParagraph"/>
        <w:numPr>
          <w:ilvl w:val="0"/>
          <w:numId w:val="11"/>
        </w:numPr>
      </w:pPr>
      <w:r w:rsidRPr="000F3FAD">
        <w:t>Portas, R. M., 2009. Characterization and Origin of Fracture Patterns in the Woodford Shale in Southeastern Oklahoma for Application to Exploration and Development. M. S. thesis manuscript, University of Oklahoma, p. 110.</w:t>
      </w:r>
    </w:p>
    <w:p w14:paraId="45793A1A" w14:textId="77777777" w:rsidR="00081C89" w:rsidRPr="000F3FAD" w:rsidRDefault="00081C89" w:rsidP="00081C89">
      <w:pPr>
        <w:pStyle w:val="ListParagraph"/>
        <w:numPr>
          <w:ilvl w:val="0"/>
          <w:numId w:val="11"/>
        </w:numPr>
      </w:pPr>
      <w:r w:rsidRPr="000F3FAD">
        <w:t>Price, P.L., O'Sullivan, T., Alexander, R., 1987. The nature and occurrence of oil in Seram, Indonesia. In: Proceedings of the Indonesian Petroleum Association, 16th Annual Convention. Indonesian Petroleum Association Jakarta 1, 141-173.</w:t>
      </w:r>
    </w:p>
    <w:p w14:paraId="56B6C6F2" w14:textId="77777777" w:rsidR="00081C89" w:rsidRPr="000F3FAD" w:rsidRDefault="00081C89" w:rsidP="00081C89">
      <w:pPr>
        <w:pStyle w:val="ListParagraph"/>
        <w:numPr>
          <w:ilvl w:val="0"/>
          <w:numId w:val="11"/>
        </w:numPr>
      </w:pPr>
      <w:r w:rsidRPr="000F3FAD">
        <w:t xml:space="preserve">Qiao, J., Cai, X., Xiao, Q., Chen, Z., Kulkarni, P., Ferris, C., Kamarthi, S., Sridhar, S., 2019. Data on MRI brain lesion segmentation using K-means and Gaussian Mixture model-expectation maximization. Journal Data 27, 2019, 104628, p. 9. </w:t>
      </w:r>
    </w:p>
    <w:p w14:paraId="3CFB0C81" w14:textId="77777777" w:rsidR="00081C89" w:rsidRPr="000F3FAD" w:rsidRDefault="00081C89" w:rsidP="00081C89">
      <w:pPr>
        <w:pStyle w:val="ListParagraph"/>
        <w:numPr>
          <w:ilvl w:val="0"/>
          <w:numId w:val="11"/>
        </w:numPr>
      </w:pPr>
      <w:r w:rsidRPr="000F3FAD">
        <w:t>Quandt, L., Gottschalk, G., Ziegler, H., Stichler, W., 1977. Isotope discrimination by photosynthetic bacteria. FEMS Microbiology Letters, 1, 125-128.</w:t>
      </w:r>
    </w:p>
    <w:p w14:paraId="061B7B7F" w14:textId="77777777" w:rsidR="00081C89" w:rsidRPr="000F3FAD" w:rsidRDefault="00081C89" w:rsidP="00081C89">
      <w:pPr>
        <w:pStyle w:val="ListParagraph"/>
        <w:numPr>
          <w:ilvl w:val="0"/>
          <w:numId w:val="11"/>
        </w:numPr>
      </w:pPr>
      <w:r w:rsidRPr="000F3FAD">
        <w:rPr>
          <w:lang w:val="es-CO"/>
        </w:rPr>
        <w:t xml:space="preserve">Requejo, A. G., Allan, J., Creaney, S., Gray, N. R., Cole, K. S., 1992. </w:t>
      </w:r>
      <w:r w:rsidRPr="000F3FAD">
        <w:t>Aryl isoprenoids and diaromatic carotenoids in Paleozoic source rocks and oils from the Western Canada and Williston basins. Organic Geochemistry 19, 245-264.</w:t>
      </w:r>
    </w:p>
    <w:p w14:paraId="675D6750" w14:textId="77777777" w:rsidR="00081C89" w:rsidRPr="000F3FAD" w:rsidRDefault="00081C89" w:rsidP="00081C89">
      <w:pPr>
        <w:pStyle w:val="ListParagraph"/>
        <w:numPr>
          <w:ilvl w:val="0"/>
          <w:numId w:val="11"/>
        </w:numPr>
      </w:pPr>
      <w:r w:rsidRPr="000F3FAD">
        <w:rPr>
          <w:lang w:val="es-CO"/>
        </w:rPr>
        <w:t xml:space="preserve">Riolo, J., Ludwig, B., Albrecht, P., 1985. </w:t>
      </w:r>
      <w:r w:rsidRPr="000F3FAD">
        <w:t>Synthesis of ring C monoaromatic steroid hydrocarbons occurring in Geological samples. Tetrahedron Letters 26, 22, 2697-2700.</w:t>
      </w:r>
    </w:p>
    <w:p w14:paraId="05516067" w14:textId="77777777" w:rsidR="00081C89" w:rsidRPr="000F3FAD" w:rsidRDefault="00081C89" w:rsidP="00081C89">
      <w:pPr>
        <w:pStyle w:val="ListParagraph"/>
        <w:numPr>
          <w:ilvl w:val="0"/>
          <w:numId w:val="11"/>
        </w:numPr>
      </w:pPr>
      <w:r w:rsidRPr="000F3FAD">
        <w:rPr>
          <w:lang w:val="es-CO"/>
        </w:rPr>
        <w:t xml:space="preserve">Rodriguez, N.D., Katz, B. J., 2017. </w:t>
      </w:r>
      <w:r w:rsidRPr="000F3FAD">
        <w:t xml:space="preserve">The effect of oil-based drilling mud (OBM) on the assessment of hydrocarbon charge potential: Are we underestimating source rock </w:t>
      </w:r>
      <w:r w:rsidRPr="000F3FAD">
        <w:lastRenderedPageBreak/>
        <w:t>potential? Annual Meeting of the American Association of Petroleum Geologists, Search and Discovery Article 90291.</w:t>
      </w:r>
    </w:p>
    <w:p w14:paraId="1DEBF7F5" w14:textId="77777777" w:rsidR="00081C89" w:rsidRPr="000F3FAD" w:rsidRDefault="00081C89" w:rsidP="00081C89">
      <w:pPr>
        <w:pStyle w:val="ListParagraph"/>
        <w:numPr>
          <w:ilvl w:val="0"/>
          <w:numId w:val="11"/>
        </w:numPr>
      </w:pPr>
      <w:r w:rsidRPr="000F3FAD">
        <w:t>Rullkötter, J., Spiro, B., Nissenbaum, A., 1985. Biological marker characteristics of oils and as</w:t>
      </w:r>
      <w:r>
        <w:t>phalts</w:t>
      </w:r>
      <w:r w:rsidRPr="000F3FAD">
        <w:t xml:space="preserve"> from carbonate source rocks in a rapidly subsiding graben, Dead Sea. Geochimica et Cosmochimica Acta 49, 1357-1370.</w:t>
      </w:r>
    </w:p>
    <w:p w14:paraId="00942FC0" w14:textId="77777777" w:rsidR="00081C89" w:rsidRPr="000F3FAD" w:rsidRDefault="00081C89" w:rsidP="00081C89">
      <w:pPr>
        <w:pStyle w:val="ListParagraph"/>
        <w:numPr>
          <w:ilvl w:val="0"/>
          <w:numId w:val="11"/>
        </w:numPr>
      </w:pPr>
      <w:r w:rsidRPr="000F3FAD">
        <w:t>Sammy, N., 1985. Biological systems in northern Australia solar salt and fields. In: Schreiber, B.C., Harner, L., eds., 6th International Symposium on Salt. Salt Institute, Alexandria, Virginia 1, 207-215.</w:t>
      </w:r>
    </w:p>
    <w:p w14:paraId="4FF87FA3" w14:textId="77777777" w:rsidR="00081C89" w:rsidRPr="000F3FAD" w:rsidRDefault="00081C89" w:rsidP="00081C89">
      <w:pPr>
        <w:pStyle w:val="ListParagraph"/>
        <w:numPr>
          <w:ilvl w:val="0"/>
          <w:numId w:val="11"/>
        </w:numPr>
      </w:pPr>
      <w:r w:rsidRPr="000F3FAD">
        <w:t>Sandberg, C.A., Ziegler, W., Dreesen, R., Butler, J.L., 1988. Part 3: Late Frasnian mass extinction: conodont event stratigraphy, global changes, and possible causes. Courier Forschung-Institut Senckenberg 102, 263-307.</w:t>
      </w:r>
    </w:p>
    <w:p w14:paraId="0B457479" w14:textId="77777777" w:rsidR="00081C89" w:rsidRPr="000F3FAD" w:rsidRDefault="00081C89" w:rsidP="00081C89">
      <w:pPr>
        <w:pStyle w:val="ListParagraph"/>
        <w:numPr>
          <w:ilvl w:val="0"/>
          <w:numId w:val="11"/>
        </w:numPr>
      </w:pPr>
      <w:r w:rsidRPr="000F3FAD">
        <w:t xml:space="preserve">Schaeﬀer, P., Poinsot, J., Hauke, V., Adam, P., Wehrung, P., Trendel, J.M., Albrecht, P., Dessort, D., Connan, J., 1994. Novel optically active hydrocarbons in sediments: evidence for an extensive biological cyclization of higher regular polyprenols. Angewandte Chemie International Edition 33, 11, 1166–1169. </w:t>
      </w:r>
    </w:p>
    <w:p w14:paraId="02920640" w14:textId="77777777" w:rsidR="00081C89" w:rsidRPr="000F3FAD" w:rsidRDefault="00081C89" w:rsidP="00081C89">
      <w:pPr>
        <w:pStyle w:val="ListParagraph"/>
        <w:numPr>
          <w:ilvl w:val="0"/>
          <w:numId w:val="11"/>
        </w:numPr>
      </w:pPr>
      <w:r w:rsidRPr="000F3FAD">
        <w:t>Schreiber, B.C., Philp, R.P., Benali, S., Helman, M.L., De la Peña, J.A., Marfil, R., Kendall, C.S., 2001. Characterization of organic matter formed in hypersaline carbonate/evaporite environments: Hydrocarbon potential and biomarkers obtained through artificial maturation studies. Journal of Petroleum Geology, 24, 3, 309-338.</w:t>
      </w:r>
    </w:p>
    <w:p w14:paraId="370672E2" w14:textId="77777777" w:rsidR="00081C89" w:rsidRPr="000F3FAD" w:rsidRDefault="00081C89" w:rsidP="00081C89">
      <w:pPr>
        <w:pStyle w:val="ListParagraph"/>
        <w:numPr>
          <w:ilvl w:val="0"/>
          <w:numId w:val="11"/>
        </w:numPr>
      </w:pPr>
      <w:r w:rsidRPr="000F3FAD">
        <w:t>Schwark, L., Frimmel, A., 2004. Chemostratigraphy of the Posidonia Black Shale, SW Germany II. Assessment of extent and persistence of photic-zone anoxia using aryl isoprenoids distributions. Chemical Geology 206, 231-248.</w:t>
      </w:r>
    </w:p>
    <w:p w14:paraId="0D721356" w14:textId="77777777" w:rsidR="00081C89" w:rsidRPr="000F3FAD" w:rsidRDefault="00081C89" w:rsidP="00081C89">
      <w:pPr>
        <w:pStyle w:val="ListParagraph"/>
        <w:numPr>
          <w:ilvl w:val="0"/>
          <w:numId w:val="11"/>
        </w:numPr>
      </w:pPr>
      <w:r w:rsidRPr="000F3FAD">
        <w:t>Seifert, W.K., Moldowan, J.M., 1979. The effect of biodegradation on steranes and terpanes in crude oils. Geochimica et Cosmochimica Acta 43, 111-126.</w:t>
      </w:r>
    </w:p>
    <w:p w14:paraId="6C5C7C71" w14:textId="77777777" w:rsidR="00081C89" w:rsidRPr="000F3FAD" w:rsidRDefault="00081C89" w:rsidP="00081C89">
      <w:pPr>
        <w:pStyle w:val="ListParagraph"/>
        <w:numPr>
          <w:ilvl w:val="0"/>
          <w:numId w:val="11"/>
        </w:numPr>
      </w:pPr>
      <w:r w:rsidRPr="000F3FAD">
        <w:t xml:space="preserve">Seifert, W.K., Moldowan, J.M., 1980. The effect of thermal stress on source-rock quality as measured by hopane stereochemistry. Physics and Chemistry of the Earth 12, 229-237. </w:t>
      </w:r>
    </w:p>
    <w:p w14:paraId="331EEFB7" w14:textId="77777777" w:rsidR="00081C89" w:rsidRDefault="00081C89" w:rsidP="00081C89">
      <w:pPr>
        <w:pStyle w:val="ListParagraph"/>
        <w:numPr>
          <w:ilvl w:val="0"/>
          <w:numId w:val="11"/>
        </w:numPr>
      </w:pPr>
      <w:r w:rsidRPr="000F3FAD">
        <w:t>Seifert, W.K., Moldowan, J.M., Jones, R.W., 1980. Application of biological marker chemistry to petroleum exploration. In Proc. Tenth World Petroleum Congress, Bucharest, Romania. September 1979. Paper SP8, 425-440.</w:t>
      </w:r>
    </w:p>
    <w:p w14:paraId="44DF1247" w14:textId="77777777" w:rsidR="00081C89" w:rsidRDefault="00081C89" w:rsidP="00081C89">
      <w:pPr>
        <w:pStyle w:val="ListParagraph"/>
        <w:numPr>
          <w:ilvl w:val="0"/>
          <w:numId w:val="11"/>
        </w:numPr>
      </w:pPr>
      <w:r w:rsidRPr="00254A8F">
        <w:t>Seifert, W.K.</w:t>
      </w:r>
      <w:r>
        <w:t xml:space="preserve">, </w:t>
      </w:r>
      <w:r w:rsidRPr="00254A8F">
        <w:t>Moldowan, J.M.</w:t>
      </w:r>
      <w:r>
        <w:t xml:space="preserve">, </w:t>
      </w:r>
      <w:r w:rsidRPr="00254A8F">
        <w:t>1986</w:t>
      </w:r>
      <w:r>
        <w:t>.</w:t>
      </w:r>
      <w:r w:rsidRPr="00254A8F">
        <w:t xml:space="preserve"> Use of biological markers in petroleum exploration. In</w:t>
      </w:r>
      <w:r>
        <w:t>:</w:t>
      </w:r>
      <w:r w:rsidRPr="00254A8F">
        <w:t xml:space="preserve"> Johns, R.B.</w:t>
      </w:r>
      <w:r>
        <w:t xml:space="preserve">, </w:t>
      </w:r>
      <w:r w:rsidRPr="00254A8F">
        <w:t>ed</w:t>
      </w:r>
      <w:r>
        <w:t>s</w:t>
      </w:r>
      <w:r w:rsidRPr="00254A8F">
        <w:t>.</w:t>
      </w:r>
      <w:r>
        <w:t>,</w:t>
      </w:r>
      <w:r w:rsidRPr="00254A8F">
        <w:t xml:space="preserve"> Methods in </w:t>
      </w:r>
      <w:r>
        <w:t>G</w:t>
      </w:r>
      <w:r w:rsidRPr="00254A8F">
        <w:t xml:space="preserve">eochemistry and </w:t>
      </w:r>
      <w:r>
        <w:t>G</w:t>
      </w:r>
      <w:r w:rsidRPr="00254A8F">
        <w:t xml:space="preserve">eophysics 24, </w:t>
      </w:r>
      <w:r>
        <w:t>261</w:t>
      </w:r>
      <w:r w:rsidRPr="00254A8F">
        <w:t>-290.</w:t>
      </w:r>
    </w:p>
    <w:p w14:paraId="3CCCFC9E" w14:textId="0EAA8123" w:rsidR="00081C89" w:rsidRPr="000F3FAD" w:rsidRDefault="00081C89" w:rsidP="00081C89">
      <w:pPr>
        <w:pStyle w:val="ListParagraph"/>
        <w:numPr>
          <w:ilvl w:val="0"/>
          <w:numId w:val="11"/>
        </w:numPr>
      </w:pPr>
      <w:r w:rsidRPr="000F3FAD">
        <w:lastRenderedPageBreak/>
        <w:t>Sephton, M.A., Looy C.V., Brinkhuis, H., Wignall, P.B., de Leeuw, J.W., Visscher, H., 2005. Catastrophic soil erosion during the end-Permian biotic crisis. Geology 33, 41-944.</w:t>
      </w:r>
    </w:p>
    <w:p w14:paraId="1F041689" w14:textId="77777777" w:rsidR="00081C89" w:rsidRPr="000F3FAD" w:rsidRDefault="00081C89" w:rsidP="00081C89">
      <w:pPr>
        <w:pStyle w:val="ListParagraph"/>
        <w:numPr>
          <w:ilvl w:val="0"/>
          <w:numId w:val="11"/>
        </w:numPr>
      </w:pPr>
      <w:r w:rsidRPr="000F3FAD">
        <w:t>Serna-Bernal, A., 2013. Geological characterization of the Woodford Shale, McAlister Cemetery quarry, Criner Hills, Ardmore basin, Oklahoma. M.S. Thesis manuscript, The University of Oklahoma, p. 141.</w:t>
      </w:r>
    </w:p>
    <w:p w14:paraId="7AE15723" w14:textId="77777777" w:rsidR="00081C89" w:rsidRPr="000F3FAD" w:rsidRDefault="00081C89" w:rsidP="00081C89">
      <w:pPr>
        <w:pStyle w:val="ListParagraph"/>
        <w:numPr>
          <w:ilvl w:val="0"/>
          <w:numId w:val="11"/>
        </w:numPr>
      </w:pPr>
      <w:r w:rsidRPr="000F3FAD">
        <w:t>Singh, P., 2008. Lithofacies and sequence stratigraphic framework of the Barnett Shale, Northeast Texas. Doctoral dissertation manuscript. The University of Oklahoma, p. 227</w:t>
      </w:r>
    </w:p>
    <w:p w14:paraId="31D8E3F5"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 xml:space="preserve">Sierra-Perez, R., 2011. Integrated geomechanics and geological characterization of the Devonian-Mississippian Woodford Shale.  M.Sc. thesis manuscript, The University of Oklahoma, p. 123. </w:t>
      </w:r>
    </w:p>
    <w:p w14:paraId="68AE0CC9" w14:textId="77777777" w:rsidR="00081C89" w:rsidRPr="000F3FAD" w:rsidRDefault="00081C89" w:rsidP="00081C89">
      <w:pPr>
        <w:pStyle w:val="ListParagraph"/>
        <w:numPr>
          <w:ilvl w:val="0"/>
          <w:numId w:val="11"/>
        </w:numPr>
      </w:pPr>
      <w:r w:rsidRPr="000F3FAD">
        <w:rPr>
          <w:lang w:val="es-CO"/>
        </w:rPr>
        <w:t xml:space="preserve">Sinninghe Damsté, J.S., de Leeuw, J.W., 1990. </w:t>
      </w:r>
      <w:r w:rsidRPr="000F3FAD">
        <w:t>Analysis, structure, and geochemical significance of organically-bound sulfur in the geosphere: State of the art and future research. Organic Geochemistry 16, 1077–1101.</w:t>
      </w:r>
    </w:p>
    <w:p w14:paraId="782D729A" w14:textId="77777777" w:rsidR="00081C89" w:rsidRPr="000F3FAD" w:rsidRDefault="00081C89" w:rsidP="00081C89">
      <w:pPr>
        <w:pStyle w:val="ListParagraph"/>
        <w:numPr>
          <w:ilvl w:val="0"/>
          <w:numId w:val="11"/>
        </w:numPr>
      </w:pPr>
      <w:r w:rsidRPr="000F3FAD">
        <w:t>Sinninghe Damsté, J.S., Kock-Van Dalen, A.C., de Leeuw, Schneck, P.A., Sheng, G., Brassell, S.C., 1987. The identification of mono-, di-, and trimethyl 2-methyl-2-(4,8,12-trimethyltricedyl) chromans and their occurrence in the geosphere. Geochimica et Cosmochimica Acta, 51, 2393-2400.</w:t>
      </w:r>
    </w:p>
    <w:p w14:paraId="02927A41" w14:textId="77777777" w:rsidR="00081C89" w:rsidRPr="000F3FAD" w:rsidRDefault="00081C89" w:rsidP="00081C89">
      <w:pPr>
        <w:pStyle w:val="ListParagraph"/>
        <w:numPr>
          <w:ilvl w:val="0"/>
          <w:numId w:val="11"/>
        </w:numPr>
      </w:pPr>
      <w:r w:rsidRPr="000F3FAD">
        <w:t>Sinninghe Damsté, J.S., Kenig, F., Koopmans, M.P., 1995. Evidence of Gammacerane as an indicator of water column stratification. Geochimica et Cosmochimica Acta 59, 9, 1895-1900.</w:t>
      </w:r>
    </w:p>
    <w:p w14:paraId="4868D047" w14:textId="77777777" w:rsidR="00081C89" w:rsidRPr="000F3FAD" w:rsidRDefault="00081C89" w:rsidP="00081C89">
      <w:pPr>
        <w:pStyle w:val="ListParagraph"/>
        <w:numPr>
          <w:ilvl w:val="0"/>
          <w:numId w:val="11"/>
        </w:numPr>
      </w:pPr>
      <w:r w:rsidRPr="000F3FAD">
        <w:t xml:space="preserve">Sinninghe Damsté, J.S., Schouten, S., 2006. Biological markers for anoxia in the photic zone of the water column. In: Volkman, J., eds., Marine organic matter: Biomarkers, isotopes, and DNA. The Handbook of Environmental Chemistry, 127-163. </w:t>
      </w:r>
    </w:p>
    <w:p w14:paraId="780B0444" w14:textId="77777777" w:rsidR="00081C89" w:rsidRPr="000F3FAD" w:rsidRDefault="00081C89" w:rsidP="00081C89">
      <w:pPr>
        <w:pStyle w:val="ListParagraph"/>
        <w:numPr>
          <w:ilvl w:val="0"/>
          <w:numId w:val="11"/>
        </w:numPr>
      </w:pPr>
      <w:r w:rsidRPr="000F3FAD">
        <w:t xml:space="preserve">Sirevåg, R., Ormerod, J.G, 1070. Carbon dioxide fixation in green sulfur bacteria. Biochemistry Journal 120, 399-408. </w:t>
      </w:r>
    </w:p>
    <w:p w14:paraId="59AF98B1" w14:textId="77777777" w:rsidR="00081C89" w:rsidRPr="000F3FAD" w:rsidRDefault="00081C89" w:rsidP="00081C89">
      <w:pPr>
        <w:pStyle w:val="ListParagraph"/>
        <w:numPr>
          <w:ilvl w:val="0"/>
          <w:numId w:val="11"/>
        </w:numPr>
      </w:pPr>
      <w:r w:rsidRPr="000F3FAD">
        <w:t>Sirevåg, R., Buchanan, B.B., Berry J., Troughton, J.H., 1977. Mechanisms of CO</w:t>
      </w:r>
      <w:r w:rsidRPr="000F3FAD">
        <w:rPr>
          <w:vertAlign w:val="subscript"/>
        </w:rPr>
        <w:t>2</w:t>
      </w:r>
      <w:r w:rsidRPr="000F3FAD">
        <w:t xml:space="preserve"> fixation in bacterial photosynthesis studied by the carbon isotope fractionation technique. Archaea Microbiology 112, 35-38.</w:t>
      </w:r>
    </w:p>
    <w:p w14:paraId="40819F09" w14:textId="77777777" w:rsidR="00081C89" w:rsidRPr="000F3FAD" w:rsidRDefault="00081C89" w:rsidP="00081C89">
      <w:pPr>
        <w:pStyle w:val="ListParagraph"/>
        <w:numPr>
          <w:ilvl w:val="0"/>
          <w:numId w:val="11"/>
        </w:numPr>
        <w:rPr>
          <w:lang w:val="es-CO"/>
        </w:rPr>
      </w:pPr>
      <w:r w:rsidRPr="000F3FAD">
        <w:t xml:space="preserve">Slatt, R.M., Abousleiman, Y., 2011. Merging sequence stratigraphy and geomechanics. SEG The </w:t>
      </w:r>
      <w:r w:rsidRPr="000F3FAD">
        <w:rPr>
          <w:lang w:val="es-CO"/>
        </w:rPr>
        <w:t xml:space="preserve">Leading Edge, 2001, 274-282. </w:t>
      </w:r>
    </w:p>
    <w:p w14:paraId="47BEE2DA"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lang w:val="es-CO"/>
        </w:rPr>
        <w:lastRenderedPageBreak/>
        <w:t xml:space="preserve">Slatt, R. M., Buckner, N., Abousleiman, Y., Sierra, R., Philp, R.P., Miceli-Romero, A., Portas, R., O'Brien, N., Tran, M., Davis, R., Wawrzyniec, T., 2012. </w:t>
      </w:r>
      <w:r w:rsidRPr="000F3FAD">
        <w:rPr>
          <w:rFonts w:eastAsia="Times New Roman"/>
          <w:color w:val="000000"/>
        </w:rPr>
        <w:t>Outcrop/behind outcrop (quarry), multiscale characterization of the Woodford gas shale, Oklahoma, in J. Breyer, eds., Shale reservoirs-giant resources for the 21st century: American Association of Petroleum Geologists AAPG Memoir 97, 1–21.</w:t>
      </w:r>
    </w:p>
    <w:p w14:paraId="0111A316" w14:textId="77777777" w:rsidR="00081C89" w:rsidRPr="000F3FAD" w:rsidRDefault="00081C89" w:rsidP="00081C89">
      <w:pPr>
        <w:pStyle w:val="ListParagraph"/>
        <w:numPr>
          <w:ilvl w:val="0"/>
          <w:numId w:val="11"/>
        </w:numPr>
      </w:pPr>
      <w:r w:rsidRPr="000F3FAD">
        <w:rPr>
          <w:lang w:val="es-CO"/>
        </w:rPr>
        <w:t xml:space="preserve">Slatt, R. M., Rodriguez, N. D., 2012. </w:t>
      </w:r>
      <w:r w:rsidRPr="000F3FAD">
        <w:t>Comparative sequence stratigraphy and organic geochemistry of gas shales: Commonality or coincidence? Journal of Natural Gas Science and Engineering 8, 68-84.</w:t>
      </w:r>
    </w:p>
    <w:p w14:paraId="1CAA26F6" w14:textId="77777777" w:rsidR="00081C89" w:rsidRPr="000F3FAD" w:rsidRDefault="00081C89" w:rsidP="00081C89">
      <w:pPr>
        <w:pStyle w:val="ListParagraph"/>
        <w:numPr>
          <w:ilvl w:val="0"/>
          <w:numId w:val="11"/>
        </w:numPr>
      </w:pPr>
      <w:r w:rsidRPr="000F3FAD">
        <w:t xml:space="preserve">Slatt R.M., 2013.  Paleotopographic and depositional environment control on ‘sweet spot’ locations in some unconventional resource shales. Houston Geological Society Presentations, 2013. </w:t>
      </w:r>
    </w:p>
    <w:p w14:paraId="46A5660A" w14:textId="77777777" w:rsidR="00081C89" w:rsidRPr="000F3FAD" w:rsidRDefault="00081C89" w:rsidP="00081C89">
      <w:pPr>
        <w:pStyle w:val="ListParagraph"/>
        <w:numPr>
          <w:ilvl w:val="0"/>
          <w:numId w:val="11"/>
        </w:numPr>
      </w:pPr>
      <w:r w:rsidRPr="000F3FAD">
        <w:t>Slatt, R.M., 2013b. Stratigraphic reservoir characterization for petroleum geologists, geophysicists, and engineers: Origin, recognition, initiation, and reservoir quality. In: Developments in Petroleum Science. Second Edition, Elsevier, Netherlands, 1-671.</w:t>
      </w:r>
    </w:p>
    <w:p w14:paraId="5248553A" w14:textId="77777777" w:rsidR="00081C89" w:rsidRPr="000F3FAD" w:rsidRDefault="00081C89" w:rsidP="00081C89">
      <w:pPr>
        <w:pStyle w:val="ListParagraph"/>
        <w:numPr>
          <w:ilvl w:val="0"/>
          <w:numId w:val="11"/>
        </w:numPr>
      </w:pPr>
      <w:r w:rsidRPr="000F3FAD">
        <w:rPr>
          <w:lang w:val="es-CO"/>
        </w:rPr>
        <w:t xml:space="preserve">Slatt, R.M., Molinares-Blanco, C., Amorocho, J.D., Cabarcas, C.L., Torres-Parada, E., 2014. </w:t>
      </w:r>
      <w:r w:rsidRPr="000F3FAD">
        <w:t>Sequence stratigraphy, geomechanics, micro seismicity, and geochemistry relationships in unconventional resource shales. Proceedings from the 2nd Unconventional Resources Technology Conference URTeC 1934195.</w:t>
      </w:r>
    </w:p>
    <w:p w14:paraId="3BFA6E15"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Slatt, R.M., Philp, P.R., Abousleiman, Y., Singh, P., Perez-Altamar, R., Portas, R., Marfurt, K.J., Madrid-Arroyo, S., O'Brien, N., Eslinger E.V., Baruch, E.T., 2012. Pore-to regional-scale integrated characterization workflow for unconventional gas shales: in J.A. Breyer, eds., Shale reservoirs-giant resources for the 21st Century. AAPG Memoir 97, 127-150.</w:t>
      </w:r>
    </w:p>
    <w:p w14:paraId="115DF792"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 xml:space="preserve">Slatt, R.M., 2016. Institute of Reservoir Characterization (IRC), Woodford-Mississippian consortium, </w:t>
      </w:r>
      <w:r>
        <w:rPr>
          <w:rFonts w:eastAsia="Times New Roman"/>
          <w:color w:val="000000"/>
        </w:rPr>
        <w:t>Pha</w:t>
      </w:r>
      <w:r w:rsidRPr="000F3FAD">
        <w:rPr>
          <w:rFonts w:eastAsia="Times New Roman"/>
          <w:color w:val="000000"/>
        </w:rPr>
        <w:t xml:space="preserve">se III technical report. The University of Oklahoma, p. 202. </w:t>
      </w:r>
    </w:p>
    <w:p w14:paraId="5CEF4AA5" w14:textId="77777777" w:rsidR="00081C89" w:rsidRPr="000F3FAD" w:rsidRDefault="00081C89" w:rsidP="00081C89">
      <w:pPr>
        <w:pStyle w:val="ListParagraph"/>
        <w:numPr>
          <w:ilvl w:val="0"/>
          <w:numId w:val="11"/>
        </w:numPr>
      </w:pPr>
      <w:r w:rsidRPr="000F3FAD">
        <w:t>Smith, H.M., 1968. Qualitative and quantitative aspects of crude oil composition. US Bureau of Mines Bulletin 642, 1-136.</w:t>
      </w:r>
    </w:p>
    <w:p w14:paraId="630F7508" w14:textId="77777777" w:rsidR="00081C89" w:rsidRPr="000F3FAD" w:rsidRDefault="00081C89" w:rsidP="00081C89">
      <w:pPr>
        <w:pStyle w:val="ListParagraph"/>
        <w:numPr>
          <w:ilvl w:val="0"/>
          <w:numId w:val="11"/>
        </w:numPr>
      </w:pPr>
      <w:r w:rsidRPr="000F3FAD">
        <w:t>Stout, S.A., Emsbo-Mattingly, S.D., Douglas, G.S., Uhler, A.D., McCarthy, K.J., 2015. Beyond 16 Priority Pollutant PAHs: A Review of PACs used in Environmental Forensic Chemistry. Polycyclic Aromatic Compounds 35, 285-315.</w:t>
      </w:r>
    </w:p>
    <w:p w14:paraId="63098C9F"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Sullivan, K.L., 1985. Organic facies variation of the Woodford Shale in western Oklahoma. Shale Shaker 35, 76-89.</w:t>
      </w:r>
    </w:p>
    <w:p w14:paraId="00648C01" w14:textId="77777777" w:rsidR="00081C89" w:rsidRPr="000F3FAD" w:rsidRDefault="00081C89" w:rsidP="00081C89">
      <w:pPr>
        <w:pStyle w:val="ListParagraph"/>
        <w:numPr>
          <w:ilvl w:val="0"/>
          <w:numId w:val="11"/>
        </w:numPr>
      </w:pPr>
      <w:r w:rsidRPr="000F3FAD">
        <w:lastRenderedPageBreak/>
        <w:t>Summons, R.E., Powell, T.G., 1986. Chlorobiaceae in Paleozoic seas revealed by biological markers, isotopes, and geology. Nature 319, 763-765.</w:t>
      </w:r>
    </w:p>
    <w:p w14:paraId="2C5BA67B" w14:textId="77777777" w:rsidR="00081C89" w:rsidRPr="000F3FAD" w:rsidRDefault="00081C89" w:rsidP="00081C89">
      <w:pPr>
        <w:pStyle w:val="ListParagraph"/>
        <w:numPr>
          <w:ilvl w:val="0"/>
          <w:numId w:val="11"/>
        </w:numPr>
      </w:pPr>
      <w:r w:rsidRPr="000F3FAD">
        <w:t>Summons, R.E., Powell, T.G., 1987. Identification of aryl isoprenoids in source rocks and crude oils: Biological markers for the green sulfur bacteria. Geochimica et Cosmochimica Acta 51, 3, 557-566.</w:t>
      </w:r>
    </w:p>
    <w:p w14:paraId="530E854A" w14:textId="77777777" w:rsidR="00081C89" w:rsidRPr="000F3FAD" w:rsidRDefault="00081C89" w:rsidP="00081C89">
      <w:pPr>
        <w:pStyle w:val="ListParagraph"/>
        <w:numPr>
          <w:ilvl w:val="0"/>
          <w:numId w:val="11"/>
        </w:numPr>
      </w:pPr>
      <w:r w:rsidRPr="000F3FAD">
        <w:t>Summons, R.E., Thomas, J., Maxwell, J.R., Boreham, C.J., 1992. Secular and environmental constraints on the occurrence of dinosterane in sediments. Geochimica et Cosmochimica Acta 56, 2437–2444.</w:t>
      </w:r>
    </w:p>
    <w:p w14:paraId="6F1C507B" w14:textId="77777777" w:rsidR="00081C89" w:rsidRPr="000F3FAD" w:rsidRDefault="00081C89" w:rsidP="00081C89">
      <w:pPr>
        <w:pStyle w:val="ListParagraph"/>
        <w:numPr>
          <w:ilvl w:val="0"/>
          <w:numId w:val="11"/>
        </w:numPr>
      </w:pPr>
      <w:r w:rsidRPr="000F3FAD">
        <w:t>ten Haven, H.L., de Leeuw, J.W., Schenck, P.A., 1985. Organic geochemical studies of a Messinian evaporitic basin, northern Apennines (Italy). Hydrocarbon biological markers for a hypersaline environment. Geochimica et Cosmochimica Acta 49, 2181-2191.</w:t>
      </w:r>
    </w:p>
    <w:p w14:paraId="2C486E67" w14:textId="77777777" w:rsidR="00081C89" w:rsidRPr="000F3FAD" w:rsidRDefault="00081C89" w:rsidP="00081C89">
      <w:pPr>
        <w:pStyle w:val="ListParagraph"/>
        <w:numPr>
          <w:ilvl w:val="0"/>
          <w:numId w:val="11"/>
        </w:numPr>
      </w:pPr>
      <w:r w:rsidRPr="000F3FAD">
        <w:t>ten Haven, H.L., de Leeuw, J.W., Sinninghe Damsté, J.S., Schenck, P.A., Palmer, S.E., Zumberge, J.E., 1988. Application of biological markers in the recognition of palaeohypersaline environments. In: Fleet, A.J., Klets, K., Talbot, M.R., eds., Lacustrine petroleum source rocks. Geological Society of London Special Publications 40, 123-130.</w:t>
      </w:r>
    </w:p>
    <w:p w14:paraId="71C038A9" w14:textId="77777777" w:rsidR="00081C89" w:rsidRPr="000F3FAD" w:rsidRDefault="00081C89" w:rsidP="00081C89">
      <w:pPr>
        <w:pStyle w:val="ListParagraph"/>
        <w:numPr>
          <w:ilvl w:val="0"/>
          <w:numId w:val="11"/>
        </w:numPr>
      </w:pPr>
      <w:r w:rsidRPr="000F3FAD">
        <w:t>ten Haven, H.L., Rohmer, M., Rullkötter, J., Bisseret, P., 1989.Tetrahymanol, the most likely precursor of Gammacerane, occurs ubiquitously in marine sediments. Geochimica et Cosmochimica Acta 53, 3073-3079.</w:t>
      </w:r>
    </w:p>
    <w:p w14:paraId="764AA407" w14:textId="77777777" w:rsidR="00081C89" w:rsidRPr="000F3FAD" w:rsidRDefault="00081C89" w:rsidP="00081C89">
      <w:pPr>
        <w:pStyle w:val="ListParagraph"/>
        <w:numPr>
          <w:ilvl w:val="0"/>
          <w:numId w:val="11"/>
        </w:numPr>
      </w:pPr>
      <w:r w:rsidRPr="000F3FAD">
        <w:t>Tissot, B.P., Welte, D.H., 1984. Petroleum formation and occurrence. Berlin Springer-Verlag, p. 699.</w:t>
      </w:r>
    </w:p>
    <w:p w14:paraId="28838B78" w14:textId="77777777" w:rsidR="00081C89" w:rsidRPr="007F2E54" w:rsidRDefault="00081C89" w:rsidP="00081C89">
      <w:pPr>
        <w:pStyle w:val="ListParagraph"/>
        <w:numPr>
          <w:ilvl w:val="0"/>
          <w:numId w:val="11"/>
        </w:numPr>
      </w:pPr>
      <w:r w:rsidRPr="000F3FAD">
        <w:t>Tribovillard, N., Algeo, T.J., Lyons, T.W., Riboulleau, A., 2006. Trace metals as paleoredox and paleoproductivity</w:t>
      </w:r>
      <w:r w:rsidRPr="007F2E54">
        <w:t xml:space="preserve"> proxies: an update. Chemical Geology 232, 12–32.</w:t>
      </w:r>
    </w:p>
    <w:p w14:paraId="598A35DC"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Totten, M. W., 2011. Electron probe micro-analysis of the Woodford Shale, southcentral Oklahoma, M.S. thesis manuscript, The University of Oklahoma, p. 137.</w:t>
      </w:r>
    </w:p>
    <w:p w14:paraId="26412CC3"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Turner, B., Molinares, C., Slatt, R.M., 2015. Chemostratigraphic, palynostratigraphic, and sequence stratigraphic analysis of the Woodford Shale, Wyche Farm quarry, Pontotoc County, Oklahoma. Interpretation 3, 1, SH1-SH9.</w:t>
      </w:r>
    </w:p>
    <w:p w14:paraId="2D5F07A3" w14:textId="77777777" w:rsidR="00081C89" w:rsidRPr="000F3FAD" w:rsidRDefault="00081C89" w:rsidP="00081C89">
      <w:pPr>
        <w:pStyle w:val="ListParagraph"/>
        <w:numPr>
          <w:ilvl w:val="0"/>
          <w:numId w:val="11"/>
        </w:numPr>
      </w:pPr>
      <w:r w:rsidRPr="000F3FAD">
        <w:t>Turner, B.W., 2016. Utilization of Chemostratigraphic Proxies for generating and refining sequence stratigraphic frameworks in mudrocks and shales. Doctoral dissertation manuscript, The University of Oklahoma, p. 135.</w:t>
      </w:r>
    </w:p>
    <w:p w14:paraId="31B4C70A" w14:textId="77777777" w:rsidR="00081C89" w:rsidRPr="000F3FAD" w:rsidRDefault="00081C89" w:rsidP="00081C89">
      <w:pPr>
        <w:pStyle w:val="ListParagraph"/>
        <w:numPr>
          <w:ilvl w:val="0"/>
          <w:numId w:val="11"/>
        </w:numPr>
      </w:pPr>
      <w:r w:rsidRPr="000F3FAD">
        <w:lastRenderedPageBreak/>
        <w:t>Turner, B.W., Slatt, R.M., 2016. Assessing bottom water anoxia within the late Devonian Woodford Shale in the Arkoma basin, southern Oklahoma. Marine and Petroleum Geology 78, 536-546.</w:t>
      </w:r>
    </w:p>
    <w:p w14:paraId="7F44A7C4" w14:textId="77777777" w:rsidR="00081C89" w:rsidRPr="000F3FAD" w:rsidRDefault="00081C89" w:rsidP="00081C89">
      <w:pPr>
        <w:pStyle w:val="ListParagraph"/>
        <w:numPr>
          <w:ilvl w:val="0"/>
          <w:numId w:val="11"/>
        </w:numPr>
      </w:pPr>
      <w:r w:rsidRPr="000F3FAD">
        <w:rPr>
          <w:lang w:val="es-CO"/>
        </w:rPr>
        <w:t xml:space="preserve">van der Meer, M.T.J., Schouten, S., van Dongen, B.E., 2001. </w:t>
      </w:r>
      <w:r w:rsidRPr="000F3FAD">
        <w:t xml:space="preserve">Biosynthetic controls on the </w:t>
      </w:r>
      <w:r w:rsidRPr="000F3FAD">
        <w:rPr>
          <w:vertAlign w:val="superscript"/>
        </w:rPr>
        <w:t>13</w:t>
      </w:r>
      <w:r w:rsidRPr="000F3FAD">
        <w:t xml:space="preserve">C contents of organic components in photoautotrophic bacterium Chloroflexus aurantiacus. The Journal of Biological Chemistry 276, 10971-10976. </w:t>
      </w:r>
    </w:p>
    <w:p w14:paraId="07E501F1" w14:textId="77777777" w:rsidR="00081C89" w:rsidRPr="000F3FAD" w:rsidRDefault="00081C89" w:rsidP="00081C89">
      <w:pPr>
        <w:pStyle w:val="ListParagraph"/>
        <w:numPr>
          <w:ilvl w:val="0"/>
          <w:numId w:val="11"/>
        </w:numPr>
      </w:pPr>
      <w:r w:rsidRPr="000F3FAD">
        <w:t>van Gemerden, H., 1983. Physiological ecology of purple and green bacteria. Anm Microbiology 134, 203-229.</w:t>
      </w:r>
    </w:p>
    <w:p w14:paraId="77883837" w14:textId="77777777" w:rsidR="00081C89" w:rsidRPr="000F3FAD" w:rsidRDefault="00081C89" w:rsidP="00081C89">
      <w:pPr>
        <w:pStyle w:val="ListParagraph"/>
        <w:numPr>
          <w:ilvl w:val="0"/>
          <w:numId w:val="11"/>
        </w:numPr>
      </w:pPr>
      <w:r w:rsidRPr="000F3FAD">
        <w:rPr>
          <w:lang w:val="es-CO"/>
        </w:rPr>
        <w:t xml:space="preserve">van Krevelen, D.W., 1961. Coal. </w:t>
      </w:r>
      <w:r w:rsidRPr="000F3FAD">
        <w:t>Elsevier, New York, 113-120.</w:t>
      </w:r>
    </w:p>
    <w:p w14:paraId="3FE182A0" w14:textId="77777777" w:rsidR="00081C89" w:rsidRPr="000F3FAD" w:rsidRDefault="00081C89" w:rsidP="00081C89">
      <w:pPr>
        <w:pStyle w:val="ListParagraph"/>
        <w:numPr>
          <w:ilvl w:val="0"/>
          <w:numId w:val="11"/>
        </w:numPr>
      </w:pPr>
      <w:r w:rsidRPr="000F3FAD">
        <w:t>Villalba, D.M., 2016. Organic geochemistry of the Woodford Shale, Cherokee platform, Oklahoma, and its role in a complex petroleum system. M.Sc. thesis manuscript, The University of Oklahoma, p. 126.</w:t>
      </w:r>
    </w:p>
    <w:p w14:paraId="495D1CA6" w14:textId="77777777" w:rsidR="00081C89" w:rsidRPr="000F3FAD" w:rsidRDefault="00081C89" w:rsidP="00081C89">
      <w:pPr>
        <w:pStyle w:val="ListParagraph"/>
        <w:numPr>
          <w:ilvl w:val="0"/>
          <w:numId w:val="11"/>
        </w:numPr>
      </w:pPr>
      <w:r w:rsidRPr="000F3FAD">
        <w:t>Volkman, J.K., Allen, D.I., Stevenson, P.L., Burton, H.R., 1986. Bacterial and algal hydrocarbons in sediments from a saline Antarctic lake, Ace lake. Organic Geochemistry 10, 671-81.</w:t>
      </w:r>
    </w:p>
    <w:p w14:paraId="1420F50F" w14:textId="77777777" w:rsidR="00081C89" w:rsidRPr="000F3FAD" w:rsidRDefault="00081C89" w:rsidP="00081C89">
      <w:pPr>
        <w:pStyle w:val="ListParagraph"/>
        <w:numPr>
          <w:ilvl w:val="0"/>
          <w:numId w:val="11"/>
        </w:numPr>
      </w:pPr>
      <w:r w:rsidRPr="000F3FAD">
        <w:rPr>
          <w:lang w:val="es-CO"/>
        </w:rPr>
        <w:t xml:space="preserve">Volkman, J.K., Banks, M.R., Denwer, K., Aquino Neto, F.R., 1989. </w:t>
      </w:r>
      <w:r w:rsidRPr="000F3FAD">
        <w:t>Biomarker composition and depositional setting of Tasmanite oil shale from northern Tasmania, Australia. Presentation at the 14th International Meeting on Organic Geochemistry, September 18-22, Paris, 1989.</w:t>
      </w:r>
    </w:p>
    <w:p w14:paraId="4F65F160" w14:textId="77777777" w:rsidR="00081C89" w:rsidRPr="000F3FAD" w:rsidRDefault="00081C89" w:rsidP="00081C89">
      <w:pPr>
        <w:pStyle w:val="ListParagraph"/>
        <w:numPr>
          <w:ilvl w:val="0"/>
          <w:numId w:val="11"/>
        </w:numPr>
      </w:pPr>
      <w:r w:rsidRPr="000F3FAD">
        <w:t>Wang, H.D., 1993. A geochemical study of potential source rocks and crude oils in the Anadarko basin, Oklahoma. Doctoral dissertation manuscript, The University of Oklahoma, p. 326.</w:t>
      </w:r>
    </w:p>
    <w:p w14:paraId="14E9E12B" w14:textId="77777777" w:rsidR="00081C89" w:rsidRPr="000F3FAD" w:rsidRDefault="00081C89" w:rsidP="00081C89">
      <w:pPr>
        <w:pStyle w:val="ListParagraph"/>
        <w:numPr>
          <w:ilvl w:val="0"/>
          <w:numId w:val="11"/>
        </w:numPr>
      </w:pPr>
      <w:r w:rsidRPr="000F3FAD">
        <w:t>Wang, G., Chang, X., Wang, T.G., Simoneit, B. R., 2015. Pregnanes as molecular indicators for depositional environments of sediments and petroleum source rocks. Organic Geochemistry, 78, 110-120.</w:t>
      </w:r>
    </w:p>
    <w:p w14:paraId="6B6FFAAC"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Wang, T., 2016. An organic geochemical study of Woodford Shale and Woodford-Mississippian tight oil from Central Oklahoma. Doctoral thesis manuscript, The University of Oklahoma, p. 297.</w:t>
      </w:r>
    </w:p>
    <w:p w14:paraId="41F08056" w14:textId="77777777" w:rsidR="00081C89" w:rsidRPr="000F3FAD" w:rsidRDefault="00081C89" w:rsidP="00081C89">
      <w:pPr>
        <w:pStyle w:val="ListParagraph"/>
        <w:numPr>
          <w:ilvl w:val="0"/>
          <w:numId w:val="11"/>
        </w:numPr>
      </w:pPr>
      <w:r w:rsidRPr="000F3FAD">
        <w:t>Waples, D.W., 1985. Geochemistry in petroleum exploration. International Human Resources Development Corporation, p. 178.</w:t>
      </w:r>
    </w:p>
    <w:p w14:paraId="427833CA" w14:textId="77777777" w:rsidR="00081C89" w:rsidRPr="000F3FAD" w:rsidRDefault="00081C89" w:rsidP="00081C89">
      <w:pPr>
        <w:pStyle w:val="ListParagraph"/>
        <w:numPr>
          <w:ilvl w:val="0"/>
          <w:numId w:val="11"/>
        </w:numPr>
      </w:pPr>
      <w:r w:rsidRPr="000F3FAD">
        <w:lastRenderedPageBreak/>
        <w:t>Waples, D.W., Machihara, T., 1991. Biomarkers for geologists. AAPG Methods in Exploration Series 9, p. 91.</w:t>
      </w:r>
    </w:p>
    <w:p w14:paraId="1867B057" w14:textId="77777777" w:rsidR="00081C89" w:rsidRPr="000F3FAD" w:rsidRDefault="00081C89" w:rsidP="00081C89">
      <w:pPr>
        <w:pStyle w:val="ListParagraph"/>
        <w:numPr>
          <w:ilvl w:val="0"/>
          <w:numId w:val="11"/>
        </w:numPr>
      </w:pPr>
      <w:r w:rsidRPr="000F3FAD">
        <w:t>Wenger, L.M., Davis, C.L., Isaksen, G.H., 2002. Multiple controls on petroleum biodegradation and impact on oil quality. Society of Petroleum Engineering (SPE) Reservoir Evaluation and Engineering 5, 375-383.</w:t>
      </w:r>
    </w:p>
    <w:p w14:paraId="5CE4B8EB"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Widayat, A.H., 2011. Paleoenviromental and paleoecological changes during the deposition of the Late Eocene Kiliran oil shale, Central Sumatra basin, Indonesia. Doctorate dissertation manuscript, Johann Wolfgang Goethe University in Frankfurt am Main, Germany, p. 144.</w:t>
      </w:r>
    </w:p>
    <w:p w14:paraId="4D96FBDE"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Widayat, A.H., van de Schootbrugge, B.,</w:t>
      </w:r>
      <w:r w:rsidRPr="000F3FAD">
        <w:t xml:space="preserve"> </w:t>
      </w:r>
      <w:r w:rsidRPr="000F3FAD">
        <w:rPr>
          <w:rFonts w:eastAsia="Times New Roman"/>
          <w:color w:val="000000"/>
        </w:rPr>
        <w:t>Oschmann, W., Anggayana, K., Püttmann, W., 2016. Climatic control on primary productivity changes during development of the Late Eocene Kiliran Jao lake, Central Sumatra Basin, Indonesia. International Journal of Coal Geology 165, 1, 133-141.</w:t>
      </w:r>
    </w:p>
    <w:p w14:paraId="34494E17" w14:textId="77777777" w:rsidR="00081C89" w:rsidRPr="000F3FAD" w:rsidRDefault="00081C89" w:rsidP="00081C89">
      <w:pPr>
        <w:pStyle w:val="ListParagraph"/>
        <w:numPr>
          <w:ilvl w:val="0"/>
          <w:numId w:val="11"/>
        </w:numPr>
        <w:rPr>
          <w:rFonts w:eastAsia="Times New Roman"/>
          <w:color w:val="000000"/>
        </w:rPr>
      </w:pPr>
      <w:r w:rsidRPr="000F3FAD">
        <w:rPr>
          <w:rFonts w:eastAsia="Times New Roman"/>
          <w:color w:val="000000"/>
        </w:rPr>
        <w:t>Wilkes, H., Boreham, C., Harms, G., Zengler, K., Rabus, R., 2000. Anaerobic degradation and carbon isotopic fractionation of alkylbenzenes in crude oil by sul</w:t>
      </w:r>
      <w:r>
        <w:rPr>
          <w:rFonts w:eastAsia="Times New Roman"/>
          <w:color w:val="000000"/>
        </w:rPr>
        <w:t>fate</w:t>
      </w:r>
      <w:r w:rsidRPr="000F3FAD">
        <w:rPr>
          <w:rFonts w:eastAsia="Times New Roman"/>
          <w:color w:val="000000"/>
        </w:rPr>
        <w:t>-reducing bacteria. Organic Geochemistry 31, 101-115.</w:t>
      </w:r>
    </w:p>
    <w:p w14:paraId="7B45850B" w14:textId="77777777" w:rsidR="00081C89" w:rsidRPr="000F3FAD" w:rsidRDefault="00081C89" w:rsidP="00081C89">
      <w:pPr>
        <w:pStyle w:val="ListParagraph"/>
        <w:numPr>
          <w:ilvl w:val="0"/>
          <w:numId w:val="11"/>
        </w:numPr>
      </w:pPr>
      <w:r w:rsidRPr="000F3FAD">
        <w:t>Williford, K.H., Ushikubo, T., Lepot, K., Kitajima, K., Hallmann, C., Spicuzza, M.J., Valley, J.W., 2016. Carbon and sulfur isotopic signatures of ancient life and environment at the microbial scale: Neoarchean shales and carbonates. Geobiology, 14, 2, 105–28.</w:t>
      </w:r>
    </w:p>
    <w:p w14:paraId="350DFC25" w14:textId="77777777" w:rsidR="00081C89" w:rsidRPr="000F3FAD" w:rsidRDefault="00081C89" w:rsidP="00081C89">
      <w:pPr>
        <w:pStyle w:val="ListParagraph"/>
        <w:numPr>
          <w:ilvl w:val="0"/>
          <w:numId w:val="11"/>
        </w:numPr>
      </w:pPr>
      <w:r w:rsidRPr="000F3FAD">
        <w:t>Yang, B., 1991. Geochemical characteristics of oil from well Shacan 2 in the Tarim basin. Journal of Southeast Asian Earth Sciences 5, 1–4, 401-406.</w:t>
      </w:r>
    </w:p>
    <w:p w14:paraId="748EE8BC" w14:textId="77777777" w:rsidR="00081C89" w:rsidRPr="000F3FAD" w:rsidRDefault="00081C89" w:rsidP="00081C89">
      <w:pPr>
        <w:pStyle w:val="ListParagraph"/>
        <w:numPr>
          <w:ilvl w:val="0"/>
          <w:numId w:val="11"/>
        </w:numPr>
        <w:rPr>
          <w:bCs/>
        </w:rPr>
      </w:pPr>
      <w:r w:rsidRPr="00987578">
        <w:t>Zhang, J., 2016. Comprehensive reservoir characterization of the Woodford Shale in parts of Garfield and Kingfisher Counties, Oklahoma. M.Sc. thesis manuscript, The University of Oklahoma, p. 144.</w:t>
      </w:r>
    </w:p>
    <w:p w14:paraId="29837793" w14:textId="77777777" w:rsidR="00081C89" w:rsidRPr="000F3FAD" w:rsidRDefault="00081C89" w:rsidP="00081C89">
      <w:pPr>
        <w:pStyle w:val="ListParagraph"/>
        <w:numPr>
          <w:ilvl w:val="0"/>
          <w:numId w:val="11"/>
        </w:numPr>
        <w:rPr>
          <w:bCs/>
        </w:rPr>
      </w:pPr>
      <w:r w:rsidRPr="00987578">
        <w:rPr>
          <w:color w:val="000000"/>
        </w:rPr>
        <w:t>Zhang, J., Slatt R.M., 2019. The significance of karst unconformities on overlying resource shales: Lessons learned from the Devonian Woodford formation applied to the Permian Wolfcamp Shale. Interpretation, 7, 4, SK33-SK-43.</w:t>
      </w:r>
    </w:p>
    <w:p w14:paraId="338EFEDF" w14:textId="19906142" w:rsidR="00081C89" w:rsidRDefault="00081C89" w:rsidP="00081C89">
      <w:pPr>
        <w:pStyle w:val="ListParagraph"/>
        <w:numPr>
          <w:ilvl w:val="0"/>
          <w:numId w:val="11"/>
        </w:numPr>
        <w:rPr>
          <w:bCs/>
        </w:rPr>
      </w:pPr>
      <w:r w:rsidRPr="00987578">
        <w:t xml:space="preserve">Zumberge, J.E., 1984. Source rock of the La Luna Formation (U. Cretaceous) in the Middle Magdalena </w:t>
      </w:r>
      <w:r w:rsidR="00450A02">
        <w:t>V</w:t>
      </w:r>
      <w:r w:rsidRPr="00987578">
        <w:t>alley, Columbia. Studies in Geology 18, 127-134.</w:t>
      </w:r>
    </w:p>
    <w:p w14:paraId="0FD47AE5" w14:textId="77777777" w:rsidR="00081C89" w:rsidRDefault="00081C89" w:rsidP="00081C89">
      <w:pPr>
        <w:rPr>
          <w:color w:val="000000"/>
        </w:rPr>
      </w:pPr>
    </w:p>
    <w:p w14:paraId="2A6BFB83" w14:textId="3B6E6812" w:rsidR="00D073A0" w:rsidRPr="001148D8" w:rsidRDefault="00D073A0" w:rsidP="00D073A0">
      <w:pPr>
        <w:pStyle w:val="Heading1"/>
      </w:pPr>
      <w:bookmarkStart w:id="369" w:name="_Hlk27893974"/>
      <w:bookmarkStart w:id="370" w:name="_Toc35861131"/>
      <w:bookmarkEnd w:id="368"/>
      <w:r w:rsidRPr="001148D8">
        <w:lastRenderedPageBreak/>
        <w:t xml:space="preserve">Chapter </w:t>
      </w:r>
      <w:r w:rsidR="00734537">
        <w:t>I</w:t>
      </w:r>
      <w:r w:rsidRPr="001148D8">
        <w:t xml:space="preserve">V: Machine </w:t>
      </w:r>
      <w:r>
        <w:t>le</w:t>
      </w:r>
      <w:r w:rsidRPr="001148D8">
        <w:t xml:space="preserve">arning </w:t>
      </w:r>
      <w:r>
        <w:t>a</w:t>
      </w:r>
      <w:r w:rsidRPr="001148D8">
        <w:t xml:space="preserve">pplications in </w:t>
      </w:r>
      <w:r>
        <w:t>u</w:t>
      </w:r>
      <w:r w:rsidRPr="001148D8">
        <w:t xml:space="preserve">nconventional </w:t>
      </w:r>
      <w:r>
        <w:t>r</w:t>
      </w:r>
      <w:r w:rsidRPr="001148D8">
        <w:t xml:space="preserve">eservoir </w:t>
      </w:r>
      <w:r>
        <w:t>c</w:t>
      </w:r>
      <w:r w:rsidRPr="001148D8">
        <w:t xml:space="preserve">haracterization and </w:t>
      </w:r>
      <w:r>
        <w:t>s</w:t>
      </w:r>
      <w:r w:rsidRPr="001148D8">
        <w:t xml:space="preserve">imulation: Woodford Shale </w:t>
      </w:r>
      <w:r>
        <w:t>c</w:t>
      </w:r>
      <w:r w:rsidRPr="001148D8">
        <w:t xml:space="preserve">ase </w:t>
      </w:r>
      <w:r>
        <w:t>s</w:t>
      </w:r>
      <w:r w:rsidRPr="001148D8">
        <w:t>tudy</w:t>
      </w:r>
      <w:r w:rsidR="00356BE3">
        <w:t>.</w:t>
      </w:r>
      <w:bookmarkEnd w:id="370"/>
    </w:p>
    <w:p w14:paraId="0B9C918E" w14:textId="63477C60" w:rsidR="00D073A0" w:rsidRPr="004D12A4" w:rsidRDefault="00D073A0" w:rsidP="00D073A0">
      <w:pPr>
        <w:spacing w:before="240" w:line="276" w:lineRule="auto"/>
        <w:rPr>
          <w:bCs/>
          <w:iCs/>
          <w:lang w:val="es-CO"/>
        </w:rPr>
      </w:pPr>
      <w:r w:rsidRPr="004D12A4">
        <w:rPr>
          <w:bCs/>
          <w:iCs/>
          <w:lang w:val="es-CO"/>
        </w:rPr>
        <w:t xml:space="preserve">Torres-Parada, E.J., Sinha, S., Infante-Paez L.E., Slatt, R.M., </w:t>
      </w:r>
      <w:r w:rsidR="006C7C00">
        <w:rPr>
          <w:bCs/>
          <w:iCs/>
          <w:lang w:val="es-CO"/>
        </w:rPr>
        <w:t xml:space="preserve">and </w:t>
      </w:r>
      <w:r w:rsidRPr="004D12A4">
        <w:rPr>
          <w:bCs/>
          <w:iCs/>
          <w:lang w:val="es-CO"/>
        </w:rPr>
        <w:t>Marfurt, K.J.</w:t>
      </w:r>
    </w:p>
    <w:p w14:paraId="686A3F8A" w14:textId="77777777" w:rsidR="00D073A0" w:rsidRPr="00FF23DE" w:rsidRDefault="00D073A0" w:rsidP="00D073A0">
      <w:pPr>
        <w:spacing w:line="276" w:lineRule="auto"/>
        <w:rPr>
          <w:rFonts w:eastAsia="Times New Roman"/>
          <w:bCs/>
          <w:iCs/>
          <w:color w:val="000000"/>
        </w:rPr>
      </w:pPr>
    </w:p>
    <w:p w14:paraId="4F147C6E" w14:textId="42CF82D5" w:rsidR="00D073A0" w:rsidRPr="006C35A6" w:rsidRDefault="00734537" w:rsidP="00734537">
      <w:pPr>
        <w:pStyle w:val="Heading2"/>
        <w:numPr>
          <w:ilvl w:val="1"/>
          <w:numId w:val="34"/>
        </w:numPr>
      </w:pPr>
      <w:bookmarkStart w:id="371" w:name="_Toc25833589"/>
      <w:bookmarkStart w:id="372" w:name="_Toc28065387"/>
      <w:r>
        <w:t xml:space="preserve"> </w:t>
      </w:r>
      <w:bookmarkStart w:id="373" w:name="_Toc35861132"/>
      <w:r w:rsidR="00D073A0" w:rsidRPr="006C35A6">
        <w:t>Abstract</w:t>
      </w:r>
      <w:bookmarkEnd w:id="371"/>
      <w:bookmarkEnd w:id="372"/>
      <w:bookmarkEnd w:id="373"/>
    </w:p>
    <w:p w14:paraId="5FF665FF" w14:textId="58E3B336" w:rsidR="00D073A0" w:rsidRDefault="00D073A0" w:rsidP="00D073A0">
      <w:pPr>
        <w:ind w:firstLine="360"/>
        <w:rPr>
          <w:rFonts w:eastAsia="Times New Roman"/>
          <w:color w:val="000000"/>
        </w:rPr>
      </w:pPr>
      <w:r w:rsidRPr="00966881">
        <w:rPr>
          <w:rFonts w:eastAsia="Times New Roman"/>
          <w:color w:val="000000"/>
        </w:rPr>
        <w:t>Estimations of geological, geochemical, and geomechanical properties are vital to maximiz</w:t>
      </w:r>
      <w:r>
        <w:rPr>
          <w:rFonts w:eastAsia="Times New Roman"/>
          <w:color w:val="000000"/>
        </w:rPr>
        <w:t>ing</w:t>
      </w:r>
      <w:r w:rsidRPr="00966881">
        <w:rPr>
          <w:rFonts w:eastAsia="Times New Roman"/>
          <w:color w:val="000000"/>
        </w:rPr>
        <w:t xml:space="preserve"> production and minimiz</w:t>
      </w:r>
      <w:r>
        <w:rPr>
          <w:rFonts w:eastAsia="Times New Roman"/>
          <w:color w:val="000000"/>
        </w:rPr>
        <w:t>ing</w:t>
      </w:r>
      <w:r w:rsidRPr="00966881">
        <w:rPr>
          <w:rFonts w:eastAsia="Times New Roman"/>
          <w:color w:val="000000"/>
        </w:rPr>
        <w:t xml:space="preserve"> cost in the development of </w:t>
      </w:r>
      <w:r>
        <w:rPr>
          <w:rFonts w:eastAsia="Times New Roman"/>
          <w:color w:val="000000"/>
        </w:rPr>
        <w:t>shale resource assets like the Woodford Shale of Oklahoma.</w:t>
      </w:r>
      <w:r w:rsidRPr="00966881">
        <w:rPr>
          <w:rFonts w:eastAsia="Times New Roman"/>
          <w:color w:val="000000"/>
        </w:rPr>
        <w:t xml:space="preserve"> </w:t>
      </w:r>
      <w:r>
        <w:rPr>
          <w:rFonts w:eastAsia="Times New Roman"/>
          <w:color w:val="000000"/>
        </w:rPr>
        <w:t>Whenever possible, such estimates should be made</w:t>
      </w:r>
      <w:r w:rsidRPr="00966881">
        <w:rPr>
          <w:rFonts w:eastAsia="Times New Roman"/>
          <w:color w:val="000000"/>
        </w:rPr>
        <w:t xml:space="preserve"> under subsurface temperature and pressure conditions, using </w:t>
      </w:r>
      <w:r>
        <w:rPr>
          <w:rFonts w:eastAsia="Times New Roman"/>
          <w:color w:val="000000"/>
        </w:rPr>
        <w:t xml:space="preserve">both laboratory </w:t>
      </w:r>
      <w:r w:rsidRPr="00966881">
        <w:rPr>
          <w:rFonts w:eastAsia="Times New Roman"/>
          <w:color w:val="000000"/>
        </w:rPr>
        <w:t xml:space="preserve">rock-mechanics </w:t>
      </w:r>
      <w:r>
        <w:rPr>
          <w:rFonts w:eastAsia="Times New Roman"/>
          <w:color w:val="000000"/>
        </w:rPr>
        <w:t>measurements</w:t>
      </w:r>
      <w:r w:rsidRPr="00966881">
        <w:rPr>
          <w:rFonts w:eastAsia="Times New Roman"/>
          <w:color w:val="000000"/>
        </w:rPr>
        <w:t xml:space="preserve"> and well log control. </w:t>
      </w:r>
      <w:r>
        <w:rPr>
          <w:rFonts w:eastAsia="Times New Roman"/>
          <w:color w:val="000000"/>
        </w:rPr>
        <w:t>In this paper, we couple machine learning Kohonen Self-Organizing Maps (SOM) and acoustic impedance (Z</w:t>
      </w:r>
      <w:r w:rsidRPr="008A19C4">
        <w:rPr>
          <w:rFonts w:eastAsia="Times New Roman"/>
          <w:color w:val="000000"/>
          <w:vertAlign w:val="subscript"/>
        </w:rPr>
        <w:t>p</w:t>
      </w:r>
      <w:r>
        <w:rPr>
          <w:rFonts w:eastAsia="Times New Roman"/>
          <w:color w:val="000000"/>
        </w:rPr>
        <w:t xml:space="preserve">) to construct a static geocellular model </w:t>
      </w:r>
      <w:r w:rsidR="00395349">
        <w:rPr>
          <w:rFonts w:eastAsia="Times New Roman"/>
          <w:color w:val="000000"/>
        </w:rPr>
        <w:t xml:space="preserve">including estimates </w:t>
      </w:r>
      <w:r>
        <w:rPr>
          <w:rFonts w:eastAsia="Times New Roman"/>
          <w:color w:val="000000"/>
        </w:rPr>
        <w:t xml:space="preserve">of </w:t>
      </w:r>
      <w:r>
        <w:rPr>
          <w:lang w:eastAsia="ja-JP"/>
        </w:rPr>
        <w:t xml:space="preserve">porosity, total organic carbon </w:t>
      </w:r>
      <w:r w:rsidR="00B60CA5">
        <w:rPr>
          <w:lang w:eastAsia="ja-JP"/>
        </w:rPr>
        <w:t>(</w:t>
      </w:r>
      <w:r>
        <w:rPr>
          <w:lang w:eastAsia="ja-JP"/>
        </w:rPr>
        <w:t>%TOC</w:t>
      </w:r>
      <w:r w:rsidR="00B60CA5">
        <w:rPr>
          <w:lang w:eastAsia="ja-JP"/>
        </w:rPr>
        <w:t>)</w:t>
      </w:r>
      <w:r>
        <w:rPr>
          <w:lang w:eastAsia="ja-JP"/>
        </w:rPr>
        <w:t xml:space="preserve">, Young's modulus, shear modulus, Biot's coefficient, Poisson's ratio, and stress orientations. </w:t>
      </w:r>
      <w:r w:rsidR="00640691">
        <w:rPr>
          <w:lang w:eastAsia="ja-JP"/>
        </w:rPr>
        <w:t xml:space="preserve">We couple the static geological models with </w:t>
      </w:r>
      <w:r>
        <w:rPr>
          <w:lang w:eastAsia="ja-JP"/>
        </w:rPr>
        <w:t xml:space="preserve">reservoir simulator software and history matching to construct a suite of </w:t>
      </w:r>
      <w:r w:rsidR="00450A02">
        <w:rPr>
          <w:lang w:eastAsia="ja-JP"/>
        </w:rPr>
        <w:t>common</w:t>
      </w:r>
      <w:r>
        <w:rPr>
          <w:lang w:eastAsia="ja-JP"/>
        </w:rPr>
        <w:t xml:space="preserve"> production </w:t>
      </w:r>
      <w:r>
        <w:rPr>
          <w:rFonts w:eastAsia="Times New Roman"/>
          <w:color w:val="000000"/>
        </w:rPr>
        <w:t>type curves</w:t>
      </w:r>
      <w:r w:rsidR="00B60CA5">
        <w:rPr>
          <w:rFonts w:eastAsia="Times New Roman"/>
          <w:color w:val="000000"/>
        </w:rPr>
        <w:t xml:space="preserve"> areas</w:t>
      </w:r>
      <w:r>
        <w:rPr>
          <w:rFonts w:eastAsia="Times New Roman"/>
          <w:color w:val="000000"/>
        </w:rPr>
        <w:t xml:space="preserve">. </w:t>
      </w:r>
      <w:r w:rsidR="00395349">
        <w:rPr>
          <w:rFonts w:eastAsia="Times New Roman"/>
          <w:color w:val="000000"/>
        </w:rPr>
        <w:t>T</w:t>
      </w:r>
      <w:r>
        <w:rPr>
          <w:rFonts w:eastAsia="Times New Roman"/>
          <w:color w:val="000000"/>
        </w:rPr>
        <w:t>hese type curve</w:t>
      </w:r>
      <w:r w:rsidR="00B60CA5">
        <w:rPr>
          <w:rFonts w:eastAsia="Times New Roman"/>
          <w:color w:val="000000"/>
        </w:rPr>
        <w:t xml:space="preserve"> area</w:t>
      </w:r>
      <w:r>
        <w:rPr>
          <w:rFonts w:eastAsia="Times New Roman"/>
          <w:color w:val="000000"/>
        </w:rPr>
        <w:t xml:space="preserve">s </w:t>
      </w:r>
      <w:r w:rsidR="00395349">
        <w:rPr>
          <w:rFonts w:eastAsia="Times New Roman"/>
          <w:color w:val="000000"/>
        </w:rPr>
        <w:t xml:space="preserve">help </w:t>
      </w:r>
      <w:r>
        <w:rPr>
          <w:rFonts w:eastAsia="Times New Roman"/>
          <w:color w:val="000000"/>
        </w:rPr>
        <w:t>to estimate the</w:t>
      </w:r>
      <w:r w:rsidRPr="0057149B">
        <w:rPr>
          <w:rFonts w:eastAsia="Times New Roman"/>
          <w:color w:val="000000"/>
        </w:rPr>
        <w:t xml:space="preserve"> expected ultimate recovery </w:t>
      </w:r>
      <w:r>
        <w:rPr>
          <w:rFonts w:eastAsia="Times New Roman"/>
          <w:color w:val="000000"/>
        </w:rPr>
        <w:t xml:space="preserve">for non-produced areas of the </w:t>
      </w:r>
      <w:r w:rsidR="00395349">
        <w:rPr>
          <w:rFonts w:eastAsia="Times New Roman"/>
          <w:color w:val="000000"/>
        </w:rPr>
        <w:t xml:space="preserve">seismic </w:t>
      </w:r>
      <w:r>
        <w:rPr>
          <w:rFonts w:eastAsia="Times New Roman"/>
          <w:color w:val="000000"/>
        </w:rPr>
        <w:t>survey</w:t>
      </w:r>
      <w:r w:rsidR="00395349">
        <w:rPr>
          <w:rFonts w:eastAsia="Times New Roman"/>
          <w:color w:val="000000"/>
        </w:rPr>
        <w:t>.</w:t>
      </w:r>
      <w:r>
        <w:rPr>
          <w:rFonts w:eastAsia="Times New Roman"/>
          <w:color w:val="000000"/>
        </w:rPr>
        <w:t xml:space="preserve"> The resulting unconventional reservoir model provides geologically consistent type curve</w:t>
      </w:r>
      <w:r w:rsidR="00B60CA5">
        <w:rPr>
          <w:rFonts w:eastAsia="Times New Roman"/>
          <w:color w:val="000000"/>
        </w:rPr>
        <w:t xml:space="preserve"> area</w:t>
      </w:r>
      <w:r>
        <w:rPr>
          <w:rFonts w:eastAsia="Times New Roman"/>
          <w:color w:val="000000"/>
        </w:rPr>
        <w:t xml:space="preserve">s, which we find to be in excellent agreement with existing production data for the enclosed mini-basin fill areas of the Woodford Shale in the north of Oklahoma. </w:t>
      </w:r>
    </w:p>
    <w:p w14:paraId="0AB3BFE8" w14:textId="345AC713" w:rsidR="00D073A0" w:rsidRDefault="00D073A0" w:rsidP="00734537">
      <w:pPr>
        <w:pStyle w:val="Heading2"/>
        <w:numPr>
          <w:ilvl w:val="1"/>
          <w:numId w:val="34"/>
        </w:numPr>
      </w:pPr>
      <w:bookmarkStart w:id="374" w:name="_Toc25833590"/>
      <w:bookmarkStart w:id="375" w:name="_Toc28065388"/>
      <w:bookmarkStart w:id="376" w:name="_Toc35861133"/>
      <w:r w:rsidRPr="004042BB">
        <w:t>Introduction</w:t>
      </w:r>
      <w:bookmarkEnd w:id="376"/>
      <w:r w:rsidRPr="004042BB">
        <w:t xml:space="preserve"> </w:t>
      </w:r>
    </w:p>
    <w:p w14:paraId="2CD5D9B6" w14:textId="29CBB420" w:rsidR="00D073A0" w:rsidRDefault="00D073A0" w:rsidP="00D073A0">
      <w:pPr>
        <w:ind w:firstLine="360"/>
        <w:rPr>
          <w:lang w:eastAsia="ja-JP"/>
        </w:rPr>
      </w:pPr>
      <w:r>
        <w:rPr>
          <w:lang w:eastAsia="ja-JP"/>
        </w:rPr>
        <w:t xml:space="preserve">Geoscientists have used geostatistical analysis to help construct reservoir models for over 20 years (Yarus, 1994; Kelkar and Perez, 2001; Deutsch, 2002; Shepherd, 2009). In conventional reservoir models, we assume that geological data are spatially correlated, thereby allowing us to integrate sparse measurements from wells with more continuously measured data from surface </w:t>
      </w:r>
      <w:r>
        <w:rPr>
          <w:lang w:eastAsia="ja-JP"/>
        </w:rPr>
        <w:lastRenderedPageBreak/>
        <w:t>seismic surveys (Kelkar and Perez, 2001; Deutsch, 2002). These workflows allow us to construct models of the vertical and lateral lithofacies variation of rock lithofacies as well as their associated petrophysical properties of oil saturation, water saturation, porosity, and permeability. Geostatistics provides a means to quantify the spatial correlation of these petrophysical properties and thereby populate cells between wells using sequential indicator simulation or sequential Gaussian simulation methods (</w:t>
      </w:r>
      <w:r w:rsidRPr="00571A75">
        <w:rPr>
          <w:rFonts w:eastAsia="Times New Roman"/>
          <w:color w:val="000000"/>
        </w:rPr>
        <w:t>Goovaerts</w:t>
      </w:r>
      <w:r>
        <w:rPr>
          <w:lang w:eastAsia="ja-JP"/>
        </w:rPr>
        <w:t>, 1994, 1997; Kelkar and Perez, 2001; Deutsch, 2002; Pranter et al., 2004; Coburn et al., 2006; Shepherd, 2009; Manchuk and Deutsch, 2012; Babak et al., 2013; Allen and Pranter, 2016). For the</w:t>
      </w:r>
      <w:r w:rsidRPr="007222ED">
        <w:rPr>
          <w:lang w:eastAsia="ja-JP"/>
        </w:rPr>
        <w:t xml:space="preserve"> unconventional static reservoir model</w:t>
      </w:r>
      <w:r>
        <w:rPr>
          <w:lang w:eastAsia="ja-JP"/>
        </w:rPr>
        <w:t>,</w:t>
      </w:r>
      <w:r w:rsidRPr="007222ED">
        <w:rPr>
          <w:lang w:eastAsia="ja-JP"/>
        </w:rPr>
        <w:t xml:space="preserve"> </w:t>
      </w:r>
      <w:r>
        <w:rPr>
          <w:lang w:eastAsia="ja-JP"/>
        </w:rPr>
        <w:t>we</w:t>
      </w:r>
      <w:r w:rsidRPr="007222ED">
        <w:rPr>
          <w:lang w:eastAsia="ja-JP"/>
        </w:rPr>
        <w:t xml:space="preserve"> apply well logs and inter-well calculations</w:t>
      </w:r>
      <w:r>
        <w:rPr>
          <w:lang w:eastAsia="ja-JP"/>
        </w:rPr>
        <w:t xml:space="preserve"> of industry-standard geological and geomechanical properties: </w:t>
      </w:r>
      <w:r w:rsidRPr="007222ED">
        <w:rPr>
          <w:lang w:eastAsia="ja-JP"/>
        </w:rPr>
        <w:t>total organic carbon (%TOC), Young's modulus, shear modulus, Biot's coefficient, Poisson's ratio, and stress orientations</w:t>
      </w:r>
      <w:r>
        <w:rPr>
          <w:lang w:eastAsia="ja-JP"/>
        </w:rPr>
        <w:t xml:space="preserve"> </w:t>
      </w:r>
      <w:r w:rsidRPr="007222ED">
        <w:rPr>
          <w:lang w:eastAsia="ja-JP"/>
        </w:rPr>
        <w:t>(Baree and Gilbert, 2009; Mullen et al., 2007; Ghassemi et al., 2013; Kumar and Ghassemi, 2018; Ye et al., 2018).</w:t>
      </w:r>
    </w:p>
    <w:p w14:paraId="480605AC" w14:textId="232D2D3A" w:rsidR="009914A0" w:rsidRDefault="009914A0" w:rsidP="009914A0">
      <w:pPr>
        <w:ind w:firstLine="720"/>
        <w:rPr>
          <w:rFonts w:eastAsia="Times New Roman"/>
          <w:color w:val="000000"/>
        </w:rPr>
      </w:pPr>
      <w:r>
        <w:rPr>
          <w:rFonts w:eastAsia="Times New Roman"/>
          <w:color w:val="000000"/>
        </w:rPr>
        <w:t>The machine learning applications of 3D seismic data in geological studies focus on</w:t>
      </w:r>
      <w:r w:rsidRPr="006C35A6">
        <w:rPr>
          <w:rFonts w:eastAsia="Times New Roman"/>
          <w:color w:val="000000"/>
        </w:rPr>
        <w:t xml:space="preserve"> comparing different methods </w:t>
      </w:r>
      <w:r>
        <w:rPr>
          <w:rFonts w:eastAsia="Times New Roman"/>
          <w:color w:val="000000"/>
        </w:rPr>
        <w:t>for estimating seismic facies and their distribution (Chopra and Marfurt, 2014; Zhao et al., 2015; Infante-Paez and Marfurt, 2018). These methodologies are commonly (but not limited to) the</w:t>
      </w:r>
      <w:r w:rsidRPr="006C35A6">
        <w:rPr>
          <w:rFonts w:eastAsia="Times New Roman"/>
          <w:color w:val="000000"/>
        </w:rPr>
        <w:t xml:space="preserve"> multilayer perceptron network, self-organizing maps, support vector machine, K-means, generative topographic maps (Meldahl et al., 2011; Roy and Marfurt, 2013; Snyder, 2016; Zhao et al., 2016; Qi et al., 2016). </w:t>
      </w:r>
      <w:r>
        <w:rPr>
          <w:rFonts w:eastAsia="Times New Roman"/>
          <w:color w:val="000000"/>
        </w:rPr>
        <w:t>I</w:t>
      </w:r>
      <w:r w:rsidRPr="006C35A6">
        <w:rPr>
          <w:rFonts w:eastAsia="Times New Roman"/>
          <w:color w:val="000000"/>
        </w:rPr>
        <w:t xml:space="preserve">n seismic interpretation, self-organizing maps (SOM) is a clustering technique that extracts similar patterns across multiple seismic attribute volumes and displays those similarities as a color-coded map, with </w:t>
      </w:r>
      <w:r>
        <w:rPr>
          <w:rFonts w:eastAsia="Times New Roman"/>
          <w:color w:val="000000"/>
        </w:rPr>
        <w:t xml:space="preserve">the </w:t>
      </w:r>
      <w:r w:rsidRPr="006C35A6">
        <w:rPr>
          <w:rFonts w:eastAsia="Times New Roman"/>
          <w:color w:val="000000"/>
        </w:rPr>
        <w:t>same colors representing clusters that a human interpreter can visualize as similar facies (Zhao et al., 2016). Infante-Paez</w:t>
      </w:r>
      <w:r>
        <w:rPr>
          <w:rFonts w:eastAsia="Times New Roman"/>
          <w:color w:val="000000"/>
        </w:rPr>
        <w:t xml:space="preserve"> and Marfurt</w:t>
      </w:r>
      <w:r w:rsidRPr="006C35A6">
        <w:rPr>
          <w:rFonts w:eastAsia="Times New Roman"/>
          <w:color w:val="000000"/>
        </w:rPr>
        <w:t xml:space="preserve"> (2018) highlight that the input attributes to feed the SOM </w:t>
      </w:r>
      <w:r>
        <w:rPr>
          <w:rFonts w:eastAsia="Times New Roman"/>
          <w:color w:val="000000"/>
        </w:rPr>
        <w:t xml:space="preserve">should be </w:t>
      </w:r>
      <w:r w:rsidRPr="006C35A6">
        <w:rPr>
          <w:rFonts w:eastAsia="Times New Roman"/>
          <w:color w:val="000000"/>
        </w:rPr>
        <w:t>of three types: attributes that highlight the continuit</w:t>
      </w:r>
      <w:r>
        <w:rPr>
          <w:rFonts w:eastAsia="Times New Roman"/>
          <w:color w:val="000000"/>
        </w:rPr>
        <w:t xml:space="preserve">y of the reflectors, </w:t>
      </w:r>
      <w:r w:rsidRPr="006C35A6">
        <w:rPr>
          <w:rFonts w:eastAsia="Times New Roman"/>
          <w:color w:val="000000"/>
        </w:rPr>
        <w:t xml:space="preserve">how  layer cake the reflectors </w:t>
      </w:r>
      <w:r w:rsidRPr="006C35A6">
        <w:rPr>
          <w:rFonts w:eastAsia="Times New Roman"/>
          <w:color w:val="000000"/>
        </w:rPr>
        <w:lastRenderedPageBreak/>
        <w:t>are (</w:t>
      </w:r>
      <w:r>
        <w:rPr>
          <w:rFonts w:eastAsia="Times New Roman"/>
          <w:color w:val="000000"/>
        </w:rPr>
        <w:t xml:space="preserve">GLCM </w:t>
      </w:r>
      <w:r w:rsidRPr="006C35A6">
        <w:rPr>
          <w:rFonts w:eastAsia="Times New Roman"/>
          <w:color w:val="000000"/>
        </w:rPr>
        <w:t>homogeneity and entropy)</w:t>
      </w:r>
      <w:r>
        <w:rPr>
          <w:rFonts w:eastAsia="Times New Roman"/>
          <w:color w:val="000000"/>
        </w:rPr>
        <w:t>; attributes that highlight</w:t>
      </w:r>
      <w:r w:rsidRPr="006C35A6">
        <w:rPr>
          <w:rFonts w:eastAsia="Times New Roman"/>
          <w:color w:val="000000"/>
        </w:rPr>
        <w:t xml:space="preserve"> the amplitude (peak </w:t>
      </w:r>
      <w:r w:rsidR="00F345E0">
        <w:rPr>
          <w:rFonts w:eastAsia="Times New Roman"/>
          <w:color w:val="000000"/>
        </w:rPr>
        <w:t xml:space="preserve">spectral </w:t>
      </w:r>
      <w:r w:rsidRPr="006C35A6">
        <w:rPr>
          <w:rFonts w:eastAsia="Times New Roman"/>
          <w:color w:val="000000"/>
        </w:rPr>
        <w:t>magnitude)</w:t>
      </w:r>
      <w:r>
        <w:rPr>
          <w:rFonts w:eastAsia="Times New Roman"/>
          <w:color w:val="000000"/>
        </w:rPr>
        <w:t>; attributes that recognize</w:t>
      </w:r>
      <w:r w:rsidRPr="006C35A6">
        <w:rPr>
          <w:rFonts w:eastAsia="Times New Roman"/>
          <w:color w:val="000000"/>
        </w:rPr>
        <w:t xml:space="preserve"> the frequency (peak </w:t>
      </w:r>
      <w:r w:rsidR="00F345E0">
        <w:rPr>
          <w:rFonts w:eastAsia="Times New Roman"/>
          <w:color w:val="000000"/>
        </w:rPr>
        <w:t xml:space="preserve">spectral </w:t>
      </w:r>
      <w:r w:rsidRPr="006C35A6">
        <w:rPr>
          <w:rFonts w:eastAsia="Times New Roman"/>
          <w:color w:val="000000"/>
        </w:rPr>
        <w:t xml:space="preserve">frequency) of the target patterns. </w:t>
      </w:r>
    </w:p>
    <w:p w14:paraId="0DB8BCB2" w14:textId="32F9A553" w:rsidR="00E26D36" w:rsidRDefault="00D073A0" w:rsidP="00D073A0">
      <w:pPr>
        <w:ind w:firstLine="360"/>
        <w:rPr>
          <w:rFonts w:eastAsia="Times New Roman"/>
          <w:color w:val="000000"/>
        </w:rPr>
      </w:pPr>
      <w:r w:rsidRPr="00734537">
        <w:rPr>
          <w:lang w:eastAsia="ja-JP"/>
        </w:rPr>
        <w:t>The petroleum industry standards of reservoir engineering analyses for production forecasts and reserve calculations are based on declining type curve analysis (</w:t>
      </w:r>
      <w:r w:rsidRPr="00734537">
        <w:rPr>
          <w:rFonts w:eastAsia="Times New Roman"/>
          <w:color w:val="000000"/>
        </w:rPr>
        <w:t>Issaka and Ambastha, 1996</w:t>
      </w:r>
      <w:r w:rsidRPr="00734537">
        <w:rPr>
          <w:lang w:eastAsia="ja-JP"/>
        </w:rPr>
        <w:t xml:space="preserve">).  </w:t>
      </w:r>
      <w:r w:rsidRPr="00734537">
        <w:rPr>
          <w:rFonts w:eastAsia="Times New Roman"/>
          <w:color w:val="000000"/>
        </w:rPr>
        <w:t xml:space="preserve">A type curve is a statistical average declining production curve of oil, gas and water, that is used to assign the hydrocarbons expected ultimate recovery (EUR) and to evaluate the proved developed producing (PDP) and proved undeveloped non-producing (PDNP) reserves (Issaka and Ambastha, 1996; Fetkovic et al., 1996; Joshi and Lee, 2013; Muralidhara and Joshi, 2018; Joshi et al., 2019). In unconventional resource shale, the type curves are used to represent the expected results for all the wells to be drilled under similar reservoir conditions in a specified area, </w:t>
      </w:r>
      <w:r w:rsidR="00395349">
        <w:rPr>
          <w:rFonts w:eastAsia="Times New Roman"/>
          <w:color w:val="000000"/>
        </w:rPr>
        <w:t>using the</w:t>
      </w:r>
      <w:r w:rsidRPr="00734537">
        <w:rPr>
          <w:rFonts w:eastAsia="Times New Roman"/>
          <w:color w:val="000000"/>
        </w:rPr>
        <w:t xml:space="preserve"> EUR data from previously drilled and producing wells</w:t>
      </w:r>
      <w:r w:rsidR="001F1644">
        <w:rPr>
          <w:rFonts w:eastAsia="Times New Roman"/>
          <w:color w:val="000000"/>
        </w:rPr>
        <w:t xml:space="preserve"> and therefore, defining a type curve area</w:t>
      </w:r>
      <w:r w:rsidRPr="00734537">
        <w:rPr>
          <w:rFonts w:eastAsia="Times New Roman"/>
          <w:color w:val="000000"/>
        </w:rPr>
        <w:t xml:space="preserve"> (Joshi and Lee, 2013; Muralidhara and Joshi, 2018; Joshi et al., 2019). </w:t>
      </w:r>
    </w:p>
    <w:p w14:paraId="230DD7F6" w14:textId="393AD048" w:rsidR="00D073A0" w:rsidRDefault="00D073A0" w:rsidP="00D073A0">
      <w:pPr>
        <w:ind w:firstLine="360"/>
        <w:rPr>
          <w:rFonts w:eastAsia="Times New Roman"/>
          <w:color w:val="000000"/>
        </w:rPr>
      </w:pPr>
      <w:r w:rsidRPr="00734537">
        <w:rPr>
          <w:rFonts w:eastAsia="Times New Roman"/>
          <w:color w:val="000000"/>
        </w:rPr>
        <w:t>For our case study, we lack a dense data set of well EUR inventory to calculate type curve</w:t>
      </w:r>
      <w:r w:rsidR="001F1644">
        <w:rPr>
          <w:rFonts w:eastAsia="Times New Roman"/>
          <w:color w:val="000000"/>
        </w:rPr>
        <w:t xml:space="preserve"> area</w:t>
      </w:r>
      <w:r w:rsidRPr="00734537">
        <w:rPr>
          <w:rFonts w:eastAsia="Times New Roman"/>
          <w:color w:val="000000"/>
        </w:rPr>
        <w:t xml:space="preserve">s. For this </w:t>
      </w:r>
      <w:r w:rsidR="009749DB" w:rsidRPr="00734537">
        <w:rPr>
          <w:rFonts w:eastAsia="Times New Roman"/>
          <w:color w:val="000000"/>
        </w:rPr>
        <w:t>reason,</w:t>
      </w:r>
      <w:r w:rsidRPr="00734537">
        <w:rPr>
          <w:rFonts w:eastAsia="Times New Roman"/>
          <w:color w:val="000000"/>
        </w:rPr>
        <w:t xml:space="preserve"> we </w:t>
      </w:r>
      <w:r w:rsidR="00E26D36">
        <w:rPr>
          <w:rFonts w:eastAsia="Times New Roman"/>
          <w:color w:val="000000"/>
        </w:rPr>
        <w:t xml:space="preserve">use </w:t>
      </w:r>
      <w:r w:rsidRPr="00734537">
        <w:rPr>
          <w:rFonts w:eastAsia="Times New Roman"/>
          <w:color w:val="000000"/>
        </w:rPr>
        <w:t xml:space="preserve">static models of geological and geomechanical properties </w:t>
      </w:r>
      <w:r w:rsidRPr="00734537">
        <w:rPr>
          <w:lang w:eastAsia="ja-JP"/>
        </w:rPr>
        <w:t>guided by</w:t>
      </w:r>
      <w:r w:rsidRPr="00734537">
        <w:rPr>
          <w:rFonts w:eastAsia="Times New Roman"/>
          <w:color w:val="000000"/>
        </w:rPr>
        <w:t xml:space="preserve"> SOM clusters as input to the unconventional shale reservoir</w:t>
      </w:r>
      <w:r w:rsidR="00E26D36">
        <w:rPr>
          <w:rFonts w:eastAsia="Times New Roman"/>
          <w:color w:val="000000"/>
        </w:rPr>
        <w:t xml:space="preserve"> flow</w:t>
      </w:r>
      <w:r w:rsidRPr="00734537">
        <w:rPr>
          <w:rFonts w:eastAsia="Times New Roman"/>
          <w:color w:val="000000"/>
        </w:rPr>
        <w:t xml:space="preserve"> simulation </w:t>
      </w:r>
      <w:r w:rsidR="00E26D36">
        <w:rPr>
          <w:rFonts w:eastAsia="Times New Roman"/>
          <w:color w:val="000000"/>
        </w:rPr>
        <w:t xml:space="preserve">to estimate the needed </w:t>
      </w:r>
      <w:r w:rsidRPr="00734537">
        <w:rPr>
          <w:rFonts w:eastAsia="Times New Roman"/>
          <w:color w:val="000000"/>
        </w:rPr>
        <w:t>type curve</w:t>
      </w:r>
      <w:r w:rsidR="001F1644">
        <w:rPr>
          <w:rFonts w:eastAsia="Times New Roman"/>
          <w:color w:val="000000"/>
        </w:rPr>
        <w:t xml:space="preserve"> area</w:t>
      </w:r>
      <w:r w:rsidRPr="00734537">
        <w:rPr>
          <w:rFonts w:eastAsia="Times New Roman"/>
          <w:color w:val="000000"/>
        </w:rPr>
        <w:t xml:space="preserve">s and EURs. The results of our simulations are compared with reported reserves by </w:t>
      </w:r>
      <w:r w:rsidR="001F1644">
        <w:rPr>
          <w:rFonts w:eastAsia="Times New Roman"/>
          <w:color w:val="000000"/>
        </w:rPr>
        <w:t xml:space="preserve">the </w:t>
      </w:r>
      <w:r w:rsidRPr="00734537">
        <w:rPr>
          <w:rFonts w:eastAsia="Times New Roman"/>
          <w:color w:val="000000"/>
        </w:rPr>
        <w:t>operator in PDP areas that are inside our seismic survey.</w:t>
      </w:r>
    </w:p>
    <w:p w14:paraId="6522BEB9" w14:textId="20552430" w:rsidR="00D073A0" w:rsidRDefault="00D073A0" w:rsidP="00D073A0">
      <w:pPr>
        <w:rPr>
          <w:lang w:eastAsia="ja-JP"/>
        </w:rPr>
      </w:pPr>
      <w:r>
        <w:rPr>
          <w:lang w:eastAsia="ja-JP"/>
        </w:rPr>
        <w:tab/>
        <w:t xml:space="preserve">We begin our paper with a review of the geology of the Woodford Shale of Oklahoma. We then describe our methodology, calculations and conclude with a discussion of the impact of our simulation results as well as of the value and limitations of our workflow. </w:t>
      </w:r>
    </w:p>
    <w:p w14:paraId="00FBAE8E" w14:textId="77777777" w:rsidR="00D073A0" w:rsidRPr="006C35A6" w:rsidRDefault="00D073A0" w:rsidP="00734537">
      <w:pPr>
        <w:pStyle w:val="Heading2"/>
        <w:numPr>
          <w:ilvl w:val="1"/>
          <w:numId w:val="34"/>
        </w:numPr>
      </w:pPr>
      <w:bookmarkStart w:id="377" w:name="_Toc35861134"/>
      <w:r w:rsidRPr="006C35A6">
        <w:lastRenderedPageBreak/>
        <w:t xml:space="preserve">Geology of Woodford </w:t>
      </w:r>
      <w:r>
        <w:t>s</w:t>
      </w:r>
      <w:r w:rsidRPr="006C35A6">
        <w:t>hale in the Northern part of Oklahoma</w:t>
      </w:r>
      <w:bookmarkEnd w:id="377"/>
    </w:p>
    <w:p w14:paraId="37B3D509" w14:textId="7D5A0A98" w:rsidR="00E26D36" w:rsidRPr="00E26D36" w:rsidRDefault="00E26D36" w:rsidP="00E26D36">
      <w:pPr>
        <w:ind w:firstLine="360"/>
      </w:pPr>
      <w:r w:rsidRPr="00E26D36">
        <w:t>The Upper Devonian-Lower Mississippian age Woodford Shale is present in the Oklahoman geological provinces Anadarko basin, Cherokee platform, Ardmore basin and Arkoma basin (Figure 4.1 and Figure 4.2) and consists of organic-rich black shale with intercalations of chert, siltstone, sandstone, dolostone, and light-colored shale (Slatt et al., 2012; Molinares, 2013; Turner et al., 2015). Laminations of reddish-brown clay, greenish clay and organic matter with scattered siliceous concretions are also present in the formation (Kirkland et al., 1992; Comer, 2005).</w:t>
      </w:r>
    </w:p>
    <w:p w14:paraId="52642DEA" w14:textId="23821CFA" w:rsidR="00D073A0" w:rsidRDefault="00D073A0" w:rsidP="00D073A0">
      <w:pPr>
        <w:spacing w:after="0"/>
        <w:ind w:firstLine="360"/>
        <w:rPr>
          <w:rFonts w:eastAsia="Times New Roman"/>
          <w:color w:val="000000"/>
        </w:rPr>
      </w:pPr>
      <w:r>
        <w:rPr>
          <w:rFonts w:eastAsia="Times New Roman"/>
          <w:color w:val="000000"/>
        </w:rPr>
        <w:t xml:space="preserve">Although </w:t>
      </w:r>
      <w:r w:rsidRPr="006C35A6">
        <w:rPr>
          <w:rFonts w:eastAsia="Times New Roman"/>
          <w:color w:val="000000"/>
        </w:rPr>
        <w:t xml:space="preserve">the Woodford Shale </w:t>
      </w:r>
      <w:r>
        <w:rPr>
          <w:rFonts w:eastAsia="Times New Roman"/>
          <w:color w:val="000000"/>
        </w:rPr>
        <w:t>is</w:t>
      </w:r>
      <w:r w:rsidRPr="006C35A6">
        <w:rPr>
          <w:rFonts w:eastAsia="Times New Roman"/>
          <w:color w:val="000000"/>
        </w:rPr>
        <w:t xml:space="preserve"> </w:t>
      </w:r>
      <w:r>
        <w:rPr>
          <w:rFonts w:eastAsia="Times New Roman"/>
          <w:color w:val="000000"/>
        </w:rPr>
        <w:t xml:space="preserve">a </w:t>
      </w:r>
      <w:r w:rsidRPr="006C35A6">
        <w:rPr>
          <w:rFonts w:eastAsia="Times New Roman"/>
          <w:color w:val="000000"/>
        </w:rPr>
        <w:t>prolific gas and oil shale reservoir</w:t>
      </w:r>
      <w:r>
        <w:rPr>
          <w:rFonts w:eastAsia="Times New Roman"/>
          <w:color w:val="000000"/>
        </w:rPr>
        <w:t xml:space="preserve">, </w:t>
      </w:r>
      <w:r w:rsidRPr="006C35A6">
        <w:rPr>
          <w:rFonts w:eastAsia="Times New Roman"/>
          <w:color w:val="000000"/>
        </w:rPr>
        <w:t>Jarvie et al. (2005</w:t>
      </w:r>
      <w:r w:rsidR="00660E54">
        <w:rPr>
          <w:rFonts w:eastAsia="Times New Roman"/>
          <w:color w:val="000000"/>
        </w:rPr>
        <w:t xml:space="preserve"> and</w:t>
      </w:r>
      <w:r>
        <w:rPr>
          <w:rFonts w:eastAsia="Times New Roman"/>
          <w:color w:val="000000"/>
        </w:rPr>
        <w:t xml:space="preserve"> </w:t>
      </w:r>
      <w:r w:rsidRPr="006C35A6">
        <w:rPr>
          <w:rFonts w:eastAsia="Times New Roman"/>
          <w:color w:val="000000"/>
        </w:rPr>
        <w:t>2007)</w:t>
      </w:r>
      <w:r>
        <w:rPr>
          <w:rFonts w:eastAsia="Times New Roman"/>
          <w:color w:val="000000"/>
        </w:rPr>
        <w:t xml:space="preserve"> and </w:t>
      </w:r>
      <w:r w:rsidRPr="006C35A6">
        <w:rPr>
          <w:rFonts w:eastAsia="Times New Roman"/>
          <w:color w:val="000000"/>
        </w:rPr>
        <w:t>Cardott (2009</w:t>
      </w:r>
      <w:r w:rsidR="00660E54">
        <w:rPr>
          <w:rFonts w:eastAsia="Times New Roman"/>
          <w:color w:val="000000"/>
        </w:rPr>
        <w:t xml:space="preserve"> and</w:t>
      </w:r>
      <w:r>
        <w:rPr>
          <w:rFonts w:eastAsia="Times New Roman"/>
          <w:color w:val="000000"/>
        </w:rPr>
        <w:t xml:space="preserve"> </w:t>
      </w:r>
      <w:r w:rsidRPr="006C35A6">
        <w:rPr>
          <w:rFonts w:eastAsia="Times New Roman"/>
          <w:color w:val="000000"/>
        </w:rPr>
        <w:t xml:space="preserve">2012) </w:t>
      </w:r>
      <w:r>
        <w:rPr>
          <w:rFonts w:eastAsia="Times New Roman"/>
          <w:color w:val="000000"/>
        </w:rPr>
        <w:t>state</w:t>
      </w:r>
      <w:r w:rsidR="00660E54">
        <w:rPr>
          <w:rFonts w:eastAsia="Times New Roman"/>
          <w:color w:val="000000"/>
        </w:rPr>
        <w:t>d</w:t>
      </w:r>
      <w:r>
        <w:rPr>
          <w:rFonts w:eastAsia="Times New Roman"/>
          <w:color w:val="000000"/>
        </w:rPr>
        <w:t xml:space="preserve"> that it is essential to recognize </w:t>
      </w:r>
      <w:r w:rsidR="00660E54">
        <w:rPr>
          <w:rFonts w:eastAsia="Times New Roman"/>
          <w:color w:val="000000"/>
        </w:rPr>
        <w:t>its</w:t>
      </w:r>
      <w:r>
        <w:rPr>
          <w:rFonts w:eastAsia="Times New Roman"/>
          <w:color w:val="000000"/>
        </w:rPr>
        <w:t xml:space="preserve"> internal vertical and lateral </w:t>
      </w:r>
      <w:r w:rsidRPr="006C35A6">
        <w:rPr>
          <w:rFonts w:eastAsia="Times New Roman"/>
          <w:color w:val="000000"/>
        </w:rPr>
        <w:t>stratigraphic variations</w:t>
      </w:r>
      <w:r>
        <w:rPr>
          <w:rFonts w:eastAsia="Times New Roman"/>
          <w:color w:val="000000"/>
        </w:rPr>
        <w:t xml:space="preserve">. Such detailed characterization can identify enclosed </w:t>
      </w:r>
      <w:r w:rsidRPr="006C35A6">
        <w:rPr>
          <w:rFonts w:eastAsia="Times New Roman"/>
          <w:color w:val="000000"/>
        </w:rPr>
        <w:t xml:space="preserve">highly restricted </w:t>
      </w:r>
      <w:r>
        <w:rPr>
          <w:rFonts w:eastAsia="Times New Roman"/>
          <w:color w:val="000000"/>
        </w:rPr>
        <w:t>mini-basin fill</w:t>
      </w:r>
      <w:r w:rsidR="00660E54">
        <w:rPr>
          <w:rFonts w:eastAsia="Times New Roman"/>
          <w:color w:val="000000"/>
        </w:rPr>
        <w:t xml:space="preserve"> deposits</w:t>
      </w:r>
      <w:r>
        <w:rPr>
          <w:rFonts w:eastAsia="Times New Roman"/>
          <w:color w:val="000000"/>
        </w:rPr>
        <w:t xml:space="preserve"> that catch and preserve more organic matter and clay content than </w:t>
      </w:r>
      <w:r w:rsidR="00E26D36">
        <w:rPr>
          <w:rFonts w:eastAsia="Times New Roman"/>
          <w:color w:val="000000"/>
        </w:rPr>
        <w:t xml:space="preserve">more </w:t>
      </w:r>
      <w:r>
        <w:rPr>
          <w:rFonts w:eastAsia="Times New Roman"/>
          <w:color w:val="000000"/>
        </w:rPr>
        <w:t>open marine Woodford Shale layers. The more open marine layers will exhibit higher silica content and thus higher brittleness, as well as higher total porosity</w:t>
      </w:r>
      <w:r w:rsidRPr="006C35A6">
        <w:rPr>
          <w:rFonts w:eastAsia="Times New Roman"/>
          <w:color w:val="000000"/>
        </w:rPr>
        <w:t>.</w:t>
      </w:r>
      <w:r>
        <w:rPr>
          <w:rFonts w:eastAsia="Times New Roman"/>
          <w:color w:val="000000"/>
        </w:rPr>
        <w:t xml:space="preserve"> </w:t>
      </w:r>
    </w:p>
    <w:p w14:paraId="684249EA" w14:textId="77777777" w:rsidR="00D073A0" w:rsidRPr="00F546EC" w:rsidRDefault="00D073A0" w:rsidP="00D073A0">
      <w:pPr>
        <w:spacing w:after="0" w:line="276" w:lineRule="auto"/>
        <w:jc w:val="center"/>
        <w:rPr>
          <w:rFonts w:eastAsia="Times New Roman"/>
          <w:color w:val="000000"/>
        </w:rPr>
      </w:pPr>
      <w:r>
        <w:rPr>
          <w:rFonts w:eastAsia="Times New Roman"/>
          <w:noProof/>
          <w:color w:val="000000"/>
        </w:rPr>
        <w:drawing>
          <wp:inline distT="0" distB="0" distL="0" distR="0" wp14:anchorId="443CF935" wp14:editId="1258D5EE">
            <wp:extent cx="5760720" cy="2564541"/>
            <wp:effectExtent l="0" t="0" r="0" b="7620"/>
            <wp:docPr id="8537" name="Picture 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0720" cy="2564541"/>
                    </a:xfrm>
                    <a:prstGeom prst="rect">
                      <a:avLst/>
                    </a:prstGeom>
                    <a:noFill/>
                  </pic:spPr>
                </pic:pic>
              </a:graphicData>
            </a:graphic>
          </wp:inline>
        </w:drawing>
      </w:r>
    </w:p>
    <w:p w14:paraId="521A8E7E" w14:textId="4A63DD4B" w:rsidR="00D073A0" w:rsidRDefault="00D073A0" w:rsidP="00D073A0">
      <w:pPr>
        <w:pStyle w:val="Caption"/>
        <w:spacing w:after="0"/>
      </w:pPr>
      <w:bookmarkStart w:id="378" w:name="_Toc35861247"/>
      <w:r w:rsidRPr="00A82D75">
        <w:rPr>
          <w:b/>
        </w:rPr>
        <w:t xml:space="preserve">Figure </w:t>
      </w:r>
      <w:r w:rsidR="00BD3F92">
        <w:rPr>
          <w:b/>
        </w:rPr>
        <w:t>4</w:t>
      </w:r>
      <w:r w:rsidRPr="00A82D75">
        <w:rPr>
          <w:b/>
        </w:rPr>
        <w:t>.</w:t>
      </w:r>
      <w:r w:rsidR="00BD3F92">
        <w:rPr>
          <w:b/>
        </w:rPr>
        <w:t>1</w:t>
      </w:r>
      <w:r w:rsidRPr="00A82D75">
        <w:rPr>
          <w:b/>
        </w:rPr>
        <w:t>.</w:t>
      </w:r>
      <w:r w:rsidRPr="00A82D75">
        <w:t xml:space="preserve"> State of Oklahoma</w:t>
      </w:r>
      <w:r>
        <w:t xml:space="preserve"> geological provinces and s</w:t>
      </w:r>
      <w:r w:rsidRPr="00A82D75">
        <w:t>edimentary basins (modified after</w:t>
      </w:r>
      <w:r>
        <w:t xml:space="preserve"> </w:t>
      </w:r>
      <w:r w:rsidRPr="006C35A6">
        <w:t>Northcutt et al.</w:t>
      </w:r>
      <w:r>
        <w:t xml:space="preserve"> [</w:t>
      </w:r>
      <w:r w:rsidRPr="006C35A6">
        <w:t>2001</w:t>
      </w:r>
      <w:r>
        <w:t xml:space="preserve">], </w:t>
      </w:r>
      <w:r w:rsidRPr="00A82D75">
        <w:t>Liborius et al. [2018] and Energy Information Administration [2016]). The study area is a 3D seismic survey in the Anadarko basin, Oklahoma.</w:t>
      </w:r>
      <w:bookmarkEnd w:id="378"/>
      <w:r w:rsidRPr="00A82D75">
        <w:t xml:space="preserve"> </w:t>
      </w:r>
    </w:p>
    <w:p w14:paraId="5FD9549C" w14:textId="77777777" w:rsidR="00D073A0" w:rsidRDefault="00D073A0" w:rsidP="00D073A0">
      <w:pPr>
        <w:spacing w:after="0" w:line="240" w:lineRule="auto"/>
        <w:rPr>
          <w:lang w:bidi="en-US"/>
        </w:rPr>
      </w:pPr>
    </w:p>
    <w:p w14:paraId="2F8FC089" w14:textId="77777777" w:rsidR="00D073A0" w:rsidRPr="00D73688" w:rsidRDefault="00D073A0" w:rsidP="00D073A0">
      <w:pPr>
        <w:spacing w:after="0" w:line="240" w:lineRule="auto"/>
        <w:rPr>
          <w:lang w:bidi="en-US"/>
        </w:rPr>
      </w:pPr>
    </w:p>
    <w:p w14:paraId="38DA15C5" w14:textId="44512449" w:rsidR="00D073A0" w:rsidRPr="006C35A6" w:rsidRDefault="00D073A0" w:rsidP="00D073A0">
      <w:pPr>
        <w:ind w:firstLine="720"/>
        <w:rPr>
          <w:rFonts w:eastAsia="Times New Roman"/>
          <w:color w:val="000000"/>
        </w:rPr>
      </w:pPr>
      <w:r w:rsidRPr="006C35A6">
        <w:rPr>
          <w:rFonts w:eastAsia="Times New Roman"/>
          <w:color w:val="000000"/>
        </w:rPr>
        <w:lastRenderedPageBreak/>
        <w:t>The Woodford Shale unconformably overlies the limestones and dolomites of the Silurian-Devonian age</w:t>
      </w:r>
      <w:r>
        <w:rPr>
          <w:rFonts w:eastAsia="Times New Roman"/>
          <w:color w:val="000000"/>
        </w:rPr>
        <w:t xml:space="preserve"> </w:t>
      </w:r>
      <w:r w:rsidRPr="006C35A6">
        <w:rPr>
          <w:rFonts w:eastAsia="Times New Roman"/>
          <w:color w:val="000000"/>
        </w:rPr>
        <w:t xml:space="preserve">Hunton </w:t>
      </w:r>
      <w:r>
        <w:rPr>
          <w:rFonts w:eastAsia="Times New Roman"/>
          <w:color w:val="000000"/>
        </w:rPr>
        <w:t>g</w:t>
      </w:r>
      <w:r w:rsidRPr="006C35A6">
        <w:rPr>
          <w:rFonts w:eastAsia="Times New Roman"/>
          <w:color w:val="000000"/>
        </w:rPr>
        <w:t xml:space="preserve">roup and grades conformably into fine-grained silty limestones interbedded with thin layers of dark-grey shales from the Sycamore </w:t>
      </w:r>
      <w:r>
        <w:rPr>
          <w:rFonts w:eastAsia="Times New Roman"/>
          <w:color w:val="000000"/>
        </w:rPr>
        <w:t>f</w:t>
      </w:r>
      <w:r w:rsidRPr="006C35A6">
        <w:rPr>
          <w:rFonts w:eastAsia="Times New Roman"/>
          <w:color w:val="000000"/>
        </w:rPr>
        <w:t xml:space="preserve">ormation (Figure </w:t>
      </w:r>
      <w:r w:rsidR="00BD3F92">
        <w:rPr>
          <w:rFonts w:eastAsia="Times New Roman"/>
          <w:color w:val="000000"/>
        </w:rPr>
        <w:t>4</w:t>
      </w:r>
      <w:r w:rsidRPr="006C35A6">
        <w:rPr>
          <w:rFonts w:eastAsia="Times New Roman"/>
          <w:color w:val="000000"/>
        </w:rPr>
        <w:t>.</w:t>
      </w:r>
      <w:r>
        <w:rPr>
          <w:rFonts w:eastAsia="Times New Roman"/>
          <w:color w:val="000000"/>
        </w:rPr>
        <w:t>2</w:t>
      </w:r>
      <w:r w:rsidRPr="006C35A6">
        <w:rPr>
          <w:rFonts w:eastAsia="Times New Roman"/>
          <w:color w:val="000000"/>
        </w:rPr>
        <w:t>;</w:t>
      </w:r>
      <w:r>
        <w:rPr>
          <w:rFonts w:eastAsia="Times New Roman"/>
          <w:color w:val="000000"/>
        </w:rPr>
        <w:t xml:space="preserve"> </w:t>
      </w:r>
      <w:r w:rsidRPr="006C35A6">
        <w:rPr>
          <w:rFonts w:eastAsia="Times New Roman"/>
          <w:color w:val="000000"/>
        </w:rPr>
        <w:t>Portas, 2009; Slatt et al., 2012).  Cardott (2012) emphasize</w:t>
      </w:r>
      <w:r w:rsidR="002C7CC4">
        <w:rPr>
          <w:rFonts w:eastAsia="Times New Roman"/>
          <w:color w:val="000000"/>
        </w:rPr>
        <w:t>d</w:t>
      </w:r>
      <w:r w:rsidRPr="006C35A6">
        <w:rPr>
          <w:rFonts w:eastAsia="Times New Roman"/>
          <w:color w:val="000000"/>
        </w:rPr>
        <w:t xml:space="preserve"> that the Woodford Shale has a series of stratigraphic equivalents that extend over the central and </w:t>
      </w:r>
      <w:r>
        <w:rPr>
          <w:rFonts w:eastAsia="Times New Roman"/>
          <w:color w:val="000000"/>
        </w:rPr>
        <w:t>e</w:t>
      </w:r>
      <w:r w:rsidRPr="006C35A6">
        <w:rPr>
          <w:rFonts w:eastAsia="Times New Roman"/>
          <w:color w:val="000000"/>
        </w:rPr>
        <w:t>astern United States (e.g.</w:t>
      </w:r>
      <w:r>
        <w:rPr>
          <w:rFonts w:eastAsia="Times New Roman"/>
          <w:color w:val="000000"/>
        </w:rPr>
        <w:t>,</w:t>
      </w:r>
      <w:r w:rsidRPr="006C35A6">
        <w:rPr>
          <w:rFonts w:eastAsia="Times New Roman"/>
          <w:color w:val="000000"/>
        </w:rPr>
        <w:t xml:space="preserve"> Chattanooga Shale, Arkansas Novaculite, Antrim Shale, Bakken Shale, New Albany Shale, </w:t>
      </w:r>
      <w:r>
        <w:rPr>
          <w:rFonts w:eastAsia="Times New Roman"/>
          <w:color w:val="000000"/>
        </w:rPr>
        <w:t xml:space="preserve">and </w:t>
      </w:r>
      <w:r w:rsidRPr="006C35A6">
        <w:rPr>
          <w:rFonts w:eastAsia="Times New Roman"/>
          <w:color w:val="000000"/>
        </w:rPr>
        <w:t>Marcellus Shale)</w:t>
      </w:r>
      <w:r w:rsidR="002C7CC4">
        <w:rPr>
          <w:rFonts w:eastAsia="Times New Roman"/>
          <w:color w:val="000000"/>
        </w:rPr>
        <w:t xml:space="preserve">. It has been proposed </w:t>
      </w:r>
      <w:r w:rsidRPr="006C35A6">
        <w:rPr>
          <w:rFonts w:eastAsia="Times New Roman"/>
          <w:color w:val="000000"/>
        </w:rPr>
        <w:t xml:space="preserve">that </w:t>
      </w:r>
      <w:r w:rsidR="002C7CC4">
        <w:rPr>
          <w:rFonts w:eastAsia="Times New Roman"/>
          <w:color w:val="000000"/>
        </w:rPr>
        <w:t xml:space="preserve"> the Woodford Shale </w:t>
      </w:r>
      <w:r w:rsidRPr="006C35A6">
        <w:rPr>
          <w:rFonts w:eastAsia="Times New Roman"/>
          <w:color w:val="000000"/>
        </w:rPr>
        <w:t>represent</w:t>
      </w:r>
      <w:r w:rsidR="002C7CC4">
        <w:rPr>
          <w:rFonts w:eastAsia="Times New Roman"/>
          <w:color w:val="000000"/>
        </w:rPr>
        <w:t>s</w:t>
      </w:r>
      <w:r w:rsidRPr="006C35A6">
        <w:rPr>
          <w:rFonts w:eastAsia="Times New Roman"/>
          <w:color w:val="000000"/>
        </w:rPr>
        <w:t xml:space="preserve"> </w:t>
      </w:r>
      <w:r>
        <w:rPr>
          <w:rFonts w:eastAsia="Times New Roman"/>
          <w:color w:val="000000"/>
        </w:rPr>
        <w:t>a</w:t>
      </w:r>
      <w:r w:rsidRPr="006C35A6">
        <w:rPr>
          <w:rFonts w:eastAsia="Times New Roman"/>
          <w:color w:val="000000"/>
        </w:rPr>
        <w:t xml:space="preserve"> global </w:t>
      </w:r>
      <w:r w:rsidR="00A83890">
        <w:rPr>
          <w:rFonts w:eastAsia="Times New Roman"/>
          <w:color w:val="000000"/>
        </w:rPr>
        <w:t xml:space="preserve">major </w:t>
      </w:r>
      <w:r w:rsidRPr="006C35A6">
        <w:rPr>
          <w:rFonts w:eastAsia="Times New Roman"/>
          <w:color w:val="000000"/>
        </w:rPr>
        <w:t xml:space="preserve">marine transgression which occurred during the Late Devonian (Figure </w:t>
      </w:r>
      <w:r w:rsidR="00BD3F92">
        <w:rPr>
          <w:rFonts w:eastAsia="Times New Roman"/>
          <w:color w:val="000000"/>
        </w:rPr>
        <w:t>4</w:t>
      </w:r>
      <w:r w:rsidRPr="006C35A6">
        <w:rPr>
          <w:rFonts w:eastAsia="Times New Roman"/>
          <w:color w:val="000000"/>
        </w:rPr>
        <w:t>.</w:t>
      </w:r>
      <w:r>
        <w:rPr>
          <w:rFonts w:eastAsia="Times New Roman"/>
          <w:color w:val="000000"/>
        </w:rPr>
        <w:t xml:space="preserve">2, Figure </w:t>
      </w:r>
      <w:r w:rsidR="00BD3F92">
        <w:rPr>
          <w:rFonts w:eastAsia="Times New Roman"/>
          <w:color w:val="000000"/>
        </w:rPr>
        <w:t>4</w:t>
      </w:r>
      <w:r>
        <w:rPr>
          <w:rFonts w:eastAsia="Times New Roman"/>
          <w:color w:val="000000"/>
        </w:rPr>
        <w:t>.3</w:t>
      </w:r>
      <w:r w:rsidRPr="006C35A6">
        <w:rPr>
          <w:rFonts w:eastAsia="Times New Roman"/>
          <w:color w:val="000000"/>
        </w:rPr>
        <w:t>; Sullivan, 1985; Kirkland et al., 1992; Northcutt et al., 2001; Comer, 2005; Slatt et al., 2012; Cardott,2012).</w:t>
      </w:r>
    </w:p>
    <w:tbl>
      <w:tblPr>
        <w:tblW w:w="0" w:type="auto"/>
        <w:tblLook w:val="04A0" w:firstRow="1" w:lastRow="0" w:firstColumn="1" w:lastColumn="0" w:noHBand="0" w:noVBand="1"/>
      </w:tblPr>
      <w:tblGrid>
        <w:gridCol w:w="8886"/>
        <w:gridCol w:w="474"/>
      </w:tblGrid>
      <w:tr w:rsidR="00D073A0" w:rsidRPr="001E7D67" w14:paraId="582A96C1" w14:textId="77777777" w:rsidTr="003C111E">
        <w:tc>
          <w:tcPr>
            <w:tcW w:w="8886" w:type="dxa"/>
            <w:shd w:val="clear" w:color="auto" w:fill="auto"/>
          </w:tcPr>
          <w:p w14:paraId="218203C8" w14:textId="77777777" w:rsidR="00D073A0" w:rsidRPr="00F546EC" w:rsidRDefault="00D073A0" w:rsidP="003C111E">
            <w:pPr>
              <w:spacing w:after="0" w:line="276" w:lineRule="auto"/>
              <w:jc w:val="center"/>
              <w:rPr>
                <w:rFonts w:eastAsia="Times New Roman"/>
                <w:color w:val="000000"/>
              </w:rPr>
            </w:pPr>
            <w:r>
              <w:rPr>
                <w:rFonts w:eastAsia="Times New Roman"/>
                <w:noProof/>
                <w:color w:val="000000"/>
              </w:rPr>
              <w:lastRenderedPageBreak/>
              <w:drawing>
                <wp:inline distT="0" distB="0" distL="0" distR="0" wp14:anchorId="648C0060" wp14:editId="69F7464D">
                  <wp:extent cx="5085812" cy="5259968"/>
                  <wp:effectExtent l="0" t="0" r="635" b="0"/>
                  <wp:docPr id="8541" name="Picture 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21169" cy="5296536"/>
                          </a:xfrm>
                          <a:prstGeom prst="rect">
                            <a:avLst/>
                          </a:prstGeom>
                          <a:noFill/>
                        </pic:spPr>
                      </pic:pic>
                    </a:graphicData>
                  </a:graphic>
                </wp:inline>
              </w:drawing>
            </w:r>
          </w:p>
          <w:p w14:paraId="13D7C1A3" w14:textId="1C83CB24" w:rsidR="00D073A0" w:rsidRPr="00064D86" w:rsidRDefault="00D073A0" w:rsidP="003C111E">
            <w:pPr>
              <w:pStyle w:val="Caption"/>
            </w:pPr>
            <w:bookmarkStart w:id="379" w:name="_Toc35861248"/>
            <w:r w:rsidRPr="00A82D75">
              <w:rPr>
                <w:b/>
              </w:rPr>
              <w:t xml:space="preserve">Figure </w:t>
            </w:r>
            <w:r w:rsidR="00BD3F92">
              <w:rPr>
                <w:b/>
              </w:rPr>
              <w:t>4</w:t>
            </w:r>
            <w:r w:rsidRPr="00A82D75">
              <w:rPr>
                <w:b/>
              </w:rPr>
              <w:t>.</w:t>
            </w:r>
            <w:r>
              <w:rPr>
                <w:b/>
              </w:rPr>
              <w:t>2</w:t>
            </w:r>
            <w:r w:rsidRPr="00A82D75">
              <w:rPr>
                <w:b/>
              </w:rPr>
              <w:t xml:space="preserve">. </w:t>
            </w:r>
            <w:r w:rsidRPr="00A82D75">
              <w:t>A general stratigraphic chart that highlights the significant unconformities at the base of the Woodford Shale in the Oklahoman basins (</w:t>
            </w:r>
            <w:r>
              <w:t>m</w:t>
            </w:r>
            <w:r w:rsidRPr="00A82D75">
              <w:t>odified after Liborius et al. [2018] and Slatt [2016]).</w:t>
            </w:r>
            <w:bookmarkEnd w:id="379"/>
          </w:p>
        </w:tc>
        <w:tc>
          <w:tcPr>
            <w:tcW w:w="474" w:type="dxa"/>
            <w:shd w:val="clear" w:color="auto" w:fill="auto"/>
          </w:tcPr>
          <w:p w14:paraId="572C439C" w14:textId="77777777" w:rsidR="00D073A0" w:rsidRPr="001E7D67" w:rsidRDefault="00D073A0" w:rsidP="003C111E">
            <w:pPr>
              <w:spacing w:after="0"/>
              <w:rPr>
                <w:sz w:val="22"/>
              </w:rPr>
            </w:pPr>
          </w:p>
        </w:tc>
      </w:tr>
    </w:tbl>
    <w:p w14:paraId="74E65735" w14:textId="01153B3B" w:rsidR="00D073A0" w:rsidRDefault="00D073A0" w:rsidP="00D073A0">
      <w:pPr>
        <w:spacing w:before="240" w:after="0"/>
        <w:ind w:firstLine="720"/>
      </w:pPr>
      <w:r>
        <w:t>We identify the enclosed mini-basin fil</w:t>
      </w:r>
      <w:r w:rsidR="00E26D36">
        <w:t>l</w:t>
      </w:r>
      <w:r w:rsidR="00E929CD">
        <w:t xml:space="preserve"> settings</w:t>
      </w:r>
      <w:r>
        <w:t xml:space="preserve"> in this study area by mapping the structure of the Woodford Shale and Hunton </w:t>
      </w:r>
      <w:r w:rsidR="00E929CD">
        <w:t>g</w:t>
      </w:r>
      <w:r>
        <w:t>roup tops. We then use the resulting time-thickness [ms] variations, combined with the identification of unconformities at the base of the Woodford Shale by using 3D seismic attributes of coherenc</w:t>
      </w:r>
      <w:r w:rsidR="00E26D36">
        <w:t>e</w:t>
      </w:r>
      <w:r>
        <w:t xml:space="preserve">, most positive and most negative curvature to delineate  local variations of the regional Woodford Shale depositional model (Figure </w:t>
      </w:r>
      <w:r w:rsidR="00BD3F92">
        <w:t>4</w:t>
      </w:r>
      <w:r>
        <w:t xml:space="preserve">.3) proposed by Slatt (2016). </w:t>
      </w:r>
    </w:p>
    <w:p w14:paraId="43AC7813" w14:textId="3E0675BD" w:rsidR="00D073A0" w:rsidRDefault="00D073A0" w:rsidP="00D073A0">
      <w:pPr>
        <w:ind w:firstLine="720"/>
      </w:pPr>
      <w:r>
        <w:lastRenderedPageBreak/>
        <w:t>The interpreted depositional trend suggests that duri</w:t>
      </w:r>
      <w:r w:rsidRPr="00F546EC">
        <w:t>ng a low stand of sea</w:t>
      </w:r>
      <w:r w:rsidR="00E26D36">
        <w:t>-</w:t>
      </w:r>
      <w:r w:rsidRPr="00F546EC">
        <w:t>level</w:t>
      </w:r>
      <w:r w:rsidR="00E26D36">
        <w:t>,</w:t>
      </w:r>
      <w:r>
        <w:t xml:space="preserve"> incised valley and</w:t>
      </w:r>
      <w:r w:rsidRPr="00F546EC">
        <w:t xml:space="preserve"> karst topography </w:t>
      </w:r>
      <w:r>
        <w:t>modif</w:t>
      </w:r>
      <w:r w:rsidR="00E26D36">
        <w:t>ied</w:t>
      </w:r>
      <w:r>
        <w:t xml:space="preserve"> the paleo Hunton </w:t>
      </w:r>
      <w:r w:rsidR="00E929CD">
        <w:t>g</w:t>
      </w:r>
      <w:r>
        <w:t>roup carbonate shelf, resulting in an</w:t>
      </w:r>
      <w:r w:rsidRPr="00F546EC">
        <w:t xml:space="preserve"> irregular surface</w:t>
      </w:r>
      <w:r>
        <w:t xml:space="preserve"> (Figure </w:t>
      </w:r>
      <w:r w:rsidR="00BD3F92">
        <w:t>4</w:t>
      </w:r>
      <w:r>
        <w:t>.3). These processes create areas with paleo topographic barriers</w:t>
      </w:r>
      <w:r w:rsidRPr="00F546EC">
        <w:t xml:space="preserve">, which can provide discontinuous catchment areas for ponding of </w:t>
      </w:r>
      <w:r>
        <w:t>enclosed mini-basin fill</w:t>
      </w:r>
      <w:r w:rsidRPr="00F546EC">
        <w:t xml:space="preserve"> water masses, creating restricted water circulation and establishing conditions for higher deposition and preservation of organic matter</w:t>
      </w:r>
      <w:r>
        <w:t xml:space="preserve"> (Figure </w:t>
      </w:r>
      <w:r w:rsidR="00BD3F92">
        <w:t>4</w:t>
      </w:r>
      <w:r>
        <w:t>.3). In these enclosed mini-basin fill</w:t>
      </w:r>
      <w:r w:rsidR="00E929CD">
        <w:t xml:space="preserve"> </w:t>
      </w:r>
      <w:r>
        <w:t>s</w:t>
      </w:r>
      <w:r w:rsidR="00E929CD">
        <w:t>ettings</w:t>
      </w:r>
      <w:r>
        <w:t xml:space="preserve">, the Woodford Shale is often thicker than the underlying Hunton </w:t>
      </w:r>
      <w:r w:rsidR="00E929CD">
        <w:t>g</w:t>
      </w:r>
      <w:r>
        <w:t>roup carbonates.</w:t>
      </w:r>
    </w:p>
    <w:p w14:paraId="4A87596D" w14:textId="77777777" w:rsidR="00D073A0" w:rsidRDefault="00D073A0" w:rsidP="00D073A0">
      <w:pPr>
        <w:spacing w:after="0"/>
        <w:ind w:firstLine="720"/>
        <w:rPr>
          <w:rFonts w:eastAsia="Times New Roman"/>
          <w:b/>
          <w:bCs/>
          <w:color w:val="000000"/>
        </w:rPr>
      </w:pPr>
    </w:p>
    <w:p w14:paraId="457E9359" w14:textId="77777777" w:rsidR="00D073A0" w:rsidRPr="00F546EC" w:rsidRDefault="00D073A0" w:rsidP="00D073A0">
      <w:pPr>
        <w:spacing w:line="276" w:lineRule="auto"/>
        <w:jc w:val="center"/>
      </w:pPr>
      <w:r>
        <w:rPr>
          <w:noProof/>
        </w:rPr>
        <w:lastRenderedPageBreak/>
        <mc:AlternateContent>
          <mc:Choice Requires="wps">
            <w:drawing>
              <wp:anchor distT="0" distB="0" distL="114300" distR="114300" simplePos="0" relativeHeight="251827712" behindDoc="0" locked="0" layoutInCell="1" allowOverlap="1" wp14:anchorId="4E50F999" wp14:editId="13844591">
                <wp:simplePos x="0" y="0"/>
                <wp:positionH relativeFrom="column">
                  <wp:posOffset>3409315</wp:posOffset>
                </wp:positionH>
                <wp:positionV relativeFrom="paragraph">
                  <wp:posOffset>5457190</wp:posOffset>
                </wp:positionV>
                <wp:extent cx="2105025" cy="428625"/>
                <wp:effectExtent l="0" t="0" r="28575" b="28575"/>
                <wp:wrapNone/>
                <wp:docPr id="8531" name="Rectangle 8531"/>
                <wp:cNvGraphicFramePr/>
                <a:graphic xmlns:a="http://schemas.openxmlformats.org/drawingml/2006/main">
                  <a:graphicData uri="http://schemas.microsoft.com/office/word/2010/wordprocessingShape">
                    <wps:wsp>
                      <wps:cNvSpPr/>
                      <wps:spPr>
                        <a:xfrm>
                          <a:off x="0" y="0"/>
                          <a:ext cx="2105025" cy="428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0CCA57" id="Rectangle 8531" o:spid="_x0000_s1026" style="position:absolute;margin-left:268.45pt;margin-top:429.7pt;width:165.75pt;height:33.75pt;z-index:25182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" fillcolor="white [3212]" strokecolor="white [3212]" strokeweight="1pt"/>
            </w:pict>
          </mc:Fallback>
        </mc:AlternateContent>
      </w:r>
      <w:r>
        <w:rPr>
          <w:noProof/>
        </w:rPr>
        <w:drawing>
          <wp:inline distT="0" distB="0" distL="0" distR="0" wp14:anchorId="546D7D21" wp14:editId="07663056">
            <wp:extent cx="5679440" cy="5885879"/>
            <wp:effectExtent l="0" t="0" r="0" b="635"/>
            <wp:docPr id="8543" name="Picture 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11666" cy="5919276"/>
                    </a:xfrm>
                    <a:prstGeom prst="rect">
                      <a:avLst/>
                    </a:prstGeom>
                    <a:noFill/>
                  </pic:spPr>
                </pic:pic>
              </a:graphicData>
            </a:graphic>
          </wp:inline>
        </w:drawing>
      </w:r>
    </w:p>
    <w:p w14:paraId="23E794A0" w14:textId="0DF14138" w:rsidR="00D073A0" w:rsidRDefault="00D073A0" w:rsidP="00D073A0">
      <w:pPr>
        <w:pStyle w:val="Caption"/>
      </w:pPr>
      <w:bookmarkStart w:id="380" w:name="_Toc35861249"/>
      <w:r w:rsidRPr="00F546EC">
        <w:rPr>
          <w:b/>
        </w:rPr>
        <w:t xml:space="preserve">Figure </w:t>
      </w:r>
      <w:r w:rsidR="00BD3F92">
        <w:rPr>
          <w:b/>
        </w:rPr>
        <w:t>4</w:t>
      </w:r>
      <w:r w:rsidRPr="00F546EC">
        <w:rPr>
          <w:b/>
        </w:rPr>
        <w:t>.</w:t>
      </w:r>
      <w:r>
        <w:rPr>
          <w:b/>
        </w:rPr>
        <w:t>3</w:t>
      </w:r>
      <w:r w:rsidRPr="00F546EC">
        <w:rPr>
          <w:b/>
        </w:rPr>
        <w:t xml:space="preserve">. </w:t>
      </w:r>
      <w:r w:rsidRPr="00F546EC">
        <w:t xml:space="preserve">Depositional model of the Woodford </w:t>
      </w:r>
      <w:r>
        <w:t>S</w:t>
      </w:r>
      <w:r w:rsidRPr="00F546EC">
        <w:t>hale through one eustatic sea-level cycle (Torres</w:t>
      </w:r>
      <w:r>
        <w:t>-Parada</w:t>
      </w:r>
      <w:r w:rsidRPr="00F546EC">
        <w:t xml:space="preserve"> et al., 2017</w:t>
      </w:r>
      <w:r>
        <w:t>; m</w:t>
      </w:r>
      <w:r w:rsidRPr="00F546EC">
        <w:t xml:space="preserve">odified </w:t>
      </w:r>
      <w:r>
        <w:t xml:space="preserve">after </w:t>
      </w:r>
      <w:r w:rsidRPr="000E10B4">
        <w:rPr>
          <w:color w:val="000000"/>
        </w:rPr>
        <w:t>Bauernfeind</w:t>
      </w:r>
      <w:r>
        <w:t xml:space="preserve"> [1990], Grotzinger and Jordan [2010] and </w:t>
      </w:r>
      <w:r w:rsidRPr="00F546EC">
        <w:t>Slatt</w:t>
      </w:r>
      <w:r>
        <w:t xml:space="preserve"> [</w:t>
      </w:r>
      <w:r w:rsidRPr="00F546EC">
        <w:t>2016</w:t>
      </w:r>
      <w:r>
        <w:t>]</w:t>
      </w:r>
      <w:r w:rsidRPr="00F546EC">
        <w:t>). The early stage of falling sea level may result in water mass isolation and restricted water circulation over topographic depressions</w:t>
      </w:r>
      <w:r>
        <w:t xml:space="preserve"> left </w:t>
      </w:r>
      <w:r w:rsidRPr="00F546EC">
        <w:t>by karst/incised valley development on the underlying carbonate</w:t>
      </w:r>
      <w:r>
        <w:t xml:space="preserve"> surface</w:t>
      </w:r>
      <w:r w:rsidRPr="00F546EC">
        <w:t xml:space="preserve"> (Hunton </w:t>
      </w:r>
      <w:r>
        <w:t>l</w:t>
      </w:r>
      <w:r w:rsidRPr="00F546EC">
        <w:t>imestone in the case of the Woodford).</w:t>
      </w:r>
      <w:r>
        <w:t xml:space="preserve"> TSE= Transgressive surface of erosion; SB= Sequence boundary.</w:t>
      </w:r>
      <w:bookmarkEnd w:id="380"/>
    </w:p>
    <w:p w14:paraId="063D890F" w14:textId="77777777" w:rsidR="00D073A0" w:rsidRDefault="00D073A0" w:rsidP="00D073A0">
      <w:pPr>
        <w:rPr>
          <w:lang w:bidi="en-US"/>
        </w:rPr>
      </w:pPr>
    </w:p>
    <w:p w14:paraId="01BFAA24" w14:textId="77777777" w:rsidR="00D073A0" w:rsidRPr="008D2129" w:rsidRDefault="00D073A0" w:rsidP="00D073A0">
      <w:pPr>
        <w:rPr>
          <w:lang w:bidi="en-US"/>
        </w:rPr>
      </w:pPr>
    </w:p>
    <w:p w14:paraId="30EEE891" w14:textId="77777777" w:rsidR="00D073A0" w:rsidRPr="004042BB" w:rsidRDefault="00D073A0" w:rsidP="00734537">
      <w:pPr>
        <w:pStyle w:val="Heading2"/>
        <w:numPr>
          <w:ilvl w:val="1"/>
          <w:numId w:val="34"/>
        </w:numPr>
      </w:pPr>
      <w:bookmarkStart w:id="381" w:name="_Toc35861135"/>
      <w:r>
        <w:lastRenderedPageBreak/>
        <w:t>M</w:t>
      </w:r>
      <w:r w:rsidRPr="004042BB">
        <w:t>ethodology</w:t>
      </w:r>
      <w:bookmarkEnd w:id="374"/>
      <w:bookmarkEnd w:id="375"/>
      <w:bookmarkEnd w:id="381"/>
    </w:p>
    <w:p w14:paraId="7E93EA6D" w14:textId="325F0F03" w:rsidR="00D127E4" w:rsidRDefault="00D073A0" w:rsidP="00D127E4">
      <w:pPr>
        <w:spacing w:before="240"/>
        <w:ind w:firstLine="360"/>
        <w:rPr>
          <w:rFonts w:eastAsia="Times New Roman"/>
          <w:color w:val="000000"/>
        </w:rPr>
      </w:pPr>
      <w:r>
        <w:rPr>
          <w:rFonts w:eastAsia="Times New Roman"/>
          <w:color w:val="000000"/>
        </w:rPr>
        <w:t xml:space="preserve">In this study, we select a total of 21 wells with the criteria that these have well logs that cover the complete Woodford Shale stratigraphic </w:t>
      </w:r>
      <w:r w:rsidR="00D323CD">
        <w:rPr>
          <w:rFonts w:eastAsia="Times New Roman"/>
          <w:color w:val="000000"/>
        </w:rPr>
        <w:t>section</w:t>
      </w:r>
      <w:r w:rsidR="00450A02">
        <w:rPr>
          <w:rFonts w:eastAsia="Times New Roman"/>
          <w:color w:val="000000"/>
        </w:rPr>
        <w:t>,</w:t>
      </w:r>
      <w:r w:rsidR="00D323CD">
        <w:rPr>
          <w:rFonts w:eastAsia="Times New Roman"/>
          <w:color w:val="000000"/>
        </w:rPr>
        <w:t xml:space="preserve"> </w:t>
      </w:r>
      <w:r w:rsidR="00E26D36">
        <w:rPr>
          <w:rFonts w:eastAsia="Times New Roman"/>
          <w:color w:val="000000"/>
        </w:rPr>
        <w:t>includ</w:t>
      </w:r>
      <w:r w:rsidR="00D323CD">
        <w:rPr>
          <w:rFonts w:eastAsia="Times New Roman"/>
          <w:color w:val="000000"/>
        </w:rPr>
        <w:t xml:space="preserve">ing </w:t>
      </w:r>
      <w:r w:rsidRPr="004042BB">
        <w:rPr>
          <w:rFonts w:eastAsia="Times New Roman"/>
          <w:color w:val="000000"/>
        </w:rPr>
        <w:t>density, density-porosity, and P-wave (compressional sonic)</w:t>
      </w:r>
      <w:r w:rsidR="00E26D36">
        <w:rPr>
          <w:rFonts w:eastAsia="Times New Roman"/>
          <w:color w:val="000000"/>
        </w:rPr>
        <w:t xml:space="preserve"> logs to allow</w:t>
      </w:r>
      <w:r>
        <w:rPr>
          <w:rFonts w:eastAsia="Times New Roman"/>
          <w:color w:val="000000"/>
        </w:rPr>
        <w:t xml:space="preserve"> a precise tie with the seismic volume</w:t>
      </w:r>
      <w:r w:rsidRPr="004042BB">
        <w:rPr>
          <w:rFonts w:eastAsia="Times New Roman"/>
          <w:color w:val="000000"/>
        </w:rPr>
        <w:t>. The geomechanics poroelastic properties were determined by combining petroleum industry-accepted dynamic methods for unconventional resource shales (Zoback et al., 2003; Mullen et al., 2007; Rickman et al., 2008; Barree and Gilbert, 2009</w:t>
      </w:r>
      <w:r>
        <w:rPr>
          <w:rFonts w:eastAsia="Times New Roman"/>
          <w:color w:val="000000"/>
        </w:rPr>
        <w:t>; Ghassemi et al., 2009, 2013</w:t>
      </w:r>
      <w:r w:rsidRPr="004042BB">
        <w:rPr>
          <w:rFonts w:eastAsia="Times New Roman"/>
          <w:color w:val="000000"/>
        </w:rPr>
        <w:t>)</w:t>
      </w:r>
      <w:r w:rsidR="00241747">
        <w:rPr>
          <w:rFonts w:eastAsia="Times New Roman"/>
          <w:color w:val="000000"/>
        </w:rPr>
        <w:t>. The geomechanic</w:t>
      </w:r>
      <w:r w:rsidR="007B1D03">
        <w:rPr>
          <w:rFonts w:eastAsia="Times New Roman"/>
          <w:color w:val="000000"/>
        </w:rPr>
        <w:t>s</w:t>
      </w:r>
      <w:r w:rsidR="00241747">
        <w:rPr>
          <w:rFonts w:eastAsia="Times New Roman"/>
          <w:color w:val="000000"/>
        </w:rPr>
        <w:t xml:space="preserve"> calculations are then</w:t>
      </w:r>
      <w:r w:rsidRPr="004042BB">
        <w:rPr>
          <w:rFonts w:eastAsia="Times New Roman"/>
          <w:color w:val="000000"/>
        </w:rPr>
        <w:t xml:space="preserve"> calibrated with the results of static laboratory experiments conducted by Sierra-Perez (2011) for a Woodford Shale core in </w:t>
      </w:r>
      <w:r>
        <w:rPr>
          <w:rFonts w:eastAsia="Times New Roman"/>
          <w:color w:val="000000"/>
        </w:rPr>
        <w:t>s</w:t>
      </w:r>
      <w:r w:rsidRPr="004042BB">
        <w:rPr>
          <w:rFonts w:eastAsia="Times New Roman"/>
          <w:color w:val="000000"/>
        </w:rPr>
        <w:t>outh Oklahoma. These sets of equations allowed the calculation and determination of Young's modulus (</w:t>
      </w:r>
      <w:r w:rsidRPr="004042BB">
        <w:rPr>
          <w:rFonts w:eastAsia="Times New Roman"/>
          <w:i/>
          <w:color w:val="000000"/>
        </w:rPr>
        <w:t>E</w:t>
      </w:r>
      <w:r w:rsidRPr="004042BB">
        <w:rPr>
          <w:rFonts w:eastAsia="Times New Roman"/>
          <w:color w:val="000000"/>
        </w:rPr>
        <w:t>), Poisson's ratio (</w:t>
      </w:r>
      <w:r w:rsidRPr="004042BB">
        <w:rPr>
          <w:rFonts w:eastAsia="Times New Roman"/>
          <w:i/>
          <w:color w:val="000000"/>
        </w:rPr>
        <w:t>v</w:t>
      </w:r>
      <w:r w:rsidRPr="004042BB">
        <w:rPr>
          <w:rFonts w:eastAsia="Times New Roman"/>
          <w:color w:val="000000"/>
        </w:rPr>
        <w:t>), bulk modulus (</w:t>
      </w:r>
      <w:r w:rsidRPr="004042BB">
        <w:rPr>
          <w:rFonts w:eastAsia="Times New Roman"/>
          <w:i/>
          <w:color w:val="000000"/>
        </w:rPr>
        <w:t>K</w:t>
      </w:r>
      <w:r w:rsidRPr="004042BB">
        <w:rPr>
          <w:rFonts w:eastAsia="Times New Roman"/>
          <w:color w:val="000000"/>
        </w:rPr>
        <w:t>) and the shear modulus (</w:t>
      </w:r>
      <w:r w:rsidRPr="004042BB">
        <w:rPr>
          <w:rFonts w:eastAsia="Times New Roman"/>
          <w:i/>
          <w:color w:val="000000"/>
        </w:rPr>
        <w:t>G)</w:t>
      </w:r>
      <w:r w:rsidRPr="004042BB">
        <w:rPr>
          <w:rFonts w:eastAsia="Times New Roman"/>
          <w:color w:val="000000"/>
        </w:rPr>
        <w:t xml:space="preserve">. </w:t>
      </w:r>
      <w:r>
        <w:rPr>
          <w:rFonts w:eastAsia="Times New Roman"/>
          <w:color w:val="000000"/>
        </w:rPr>
        <w:t xml:space="preserve">We </w:t>
      </w:r>
      <w:r w:rsidR="00E26D36">
        <w:rPr>
          <w:rFonts w:eastAsia="Times New Roman"/>
          <w:color w:val="000000"/>
        </w:rPr>
        <w:t>provide</w:t>
      </w:r>
      <w:r>
        <w:rPr>
          <w:rFonts w:eastAsia="Times New Roman"/>
          <w:color w:val="000000"/>
        </w:rPr>
        <w:t xml:space="preserve"> a</w:t>
      </w:r>
      <w:r w:rsidRPr="004042BB">
        <w:rPr>
          <w:rFonts w:eastAsia="Times New Roman"/>
          <w:color w:val="000000"/>
        </w:rPr>
        <w:t xml:space="preserve"> detailed methodology of the geomechanics calculations in Appendix</w:t>
      </w:r>
      <w:r>
        <w:rPr>
          <w:rFonts w:eastAsia="Times New Roman"/>
          <w:color w:val="000000"/>
        </w:rPr>
        <w:t xml:space="preserve"> A.</w:t>
      </w:r>
      <w:r w:rsidR="00D127E4">
        <w:rPr>
          <w:rFonts w:eastAsia="Times New Roman"/>
          <w:color w:val="000000"/>
        </w:rPr>
        <w:t xml:space="preserve"> </w:t>
      </w:r>
      <w:r w:rsidRPr="006C35A6">
        <w:rPr>
          <w:rFonts w:eastAsia="Times New Roman"/>
          <w:color w:val="000000"/>
        </w:rPr>
        <w:t xml:space="preserve">Figure </w:t>
      </w:r>
      <w:r w:rsidR="00BD3F92">
        <w:rPr>
          <w:rFonts w:eastAsia="Times New Roman"/>
          <w:color w:val="000000"/>
        </w:rPr>
        <w:t>4</w:t>
      </w:r>
      <w:r w:rsidRPr="006C35A6">
        <w:rPr>
          <w:rFonts w:eastAsia="Times New Roman"/>
          <w:color w:val="000000"/>
        </w:rPr>
        <w:t>.</w:t>
      </w:r>
      <w:r>
        <w:rPr>
          <w:rFonts w:eastAsia="Times New Roman"/>
          <w:color w:val="000000"/>
        </w:rPr>
        <w:t>4</w:t>
      </w:r>
      <w:r w:rsidRPr="006C35A6">
        <w:rPr>
          <w:rFonts w:eastAsia="Times New Roman"/>
          <w:color w:val="000000"/>
        </w:rPr>
        <w:t xml:space="preserve"> </w:t>
      </w:r>
      <w:r>
        <w:rPr>
          <w:rFonts w:eastAsia="Times New Roman"/>
          <w:color w:val="000000"/>
        </w:rPr>
        <w:t xml:space="preserve">summarizes the applied </w:t>
      </w:r>
      <w:r w:rsidRPr="006C35A6">
        <w:rPr>
          <w:rFonts w:eastAsia="Times New Roman"/>
          <w:color w:val="000000"/>
        </w:rPr>
        <w:t>workflow</w:t>
      </w:r>
      <w:r>
        <w:rPr>
          <w:rFonts w:eastAsia="Times New Roman"/>
          <w:color w:val="000000"/>
        </w:rPr>
        <w:t>,</w:t>
      </w:r>
      <w:r w:rsidRPr="006C35A6">
        <w:rPr>
          <w:rFonts w:eastAsia="Times New Roman"/>
          <w:color w:val="000000"/>
        </w:rPr>
        <w:t xml:space="preserve"> </w:t>
      </w:r>
      <w:r>
        <w:rPr>
          <w:rFonts w:eastAsia="Times New Roman"/>
          <w:color w:val="000000"/>
        </w:rPr>
        <w:t>using</w:t>
      </w:r>
      <w:r w:rsidRPr="006C35A6">
        <w:rPr>
          <w:rFonts w:eastAsia="Times New Roman"/>
          <w:color w:val="000000"/>
        </w:rPr>
        <w:t xml:space="preserve"> well logs to derive geomechanical and petrophysical properties</w:t>
      </w:r>
      <w:r>
        <w:rPr>
          <w:rFonts w:eastAsia="Times New Roman"/>
          <w:color w:val="000000"/>
        </w:rPr>
        <w:t xml:space="preserve">. We use the </w:t>
      </w:r>
      <w:r w:rsidRPr="006C35A6">
        <w:rPr>
          <w:rFonts w:eastAsia="Times New Roman"/>
          <w:color w:val="000000"/>
        </w:rPr>
        <w:t xml:space="preserve">seismic </w:t>
      </w:r>
      <w:r>
        <w:rPr>
          <w:rFonts w:eastAsia="Times New Roman"/>
          <w:color w:val="000000"/>
        </w:rPr>
        <w:t xml:space="preserve">acoustic </w:t>
      </w:r>
      <w:r w:rsidRPr="006C35A6">
        <w:rPr>
          <w:rFonts w:eastAsia="Times New Roman"/>
          <w:color w:val="000000"/>
        </w:rPr>
        <w:t xml:space="preserve">inversion </w:t>
      </w:r>
      <w:r>
        <w:rPr>
          <w:rFonts w:eastAsia="Times New Roman"/>
          <w:color w:val="000000"/>
        </w:rPr>
        <w:t>(</w:t>
      </w:r>
      <w:r w:rsidRPr="006C35A6">
        <w:rPr>
          <w:rFonts w:eastAsia="Times New Roman"/>
          <w:color w:val="000000"/>
        </w:rPr>
        <w:t>calculated impedance volume</w:t>
      </w:r>
      <w:r>
        <w:rPr>
          <w:rFonts w:eastAsia="Times New Roman"/>
          <w:color w:val="000000"/>
        </w:rPr>
        <w:t xml:space="preserve">) </w:t>
      </w:r>
      <w:r w:rsidRPr="006C35A6">
        <w:rPr>
          <w:rFonts w:eastAsia="Times New Roman"/>
          <w:color w:val="000000"/>
        </w:rPr>
        <w:t xml:space="preserve">to </w:t>
      </w:r>
      <w:r>
        <w:rPr>
          <w:rFonts w:eastAsia="Times New Roman"/>
          <w:color w:val="000000"/>
        </w:rPr>
        <w:t>guide</w:t>
      </w:r>
      <w:r w:rsidRPr="006C35A6">
        <w:rPr>
          <w:rFonts w:eastAsia="Times New Roman"/>
          <w:color w:val="000000"/>
        </w:rPr>
        <w:t xml:space="preserve"> the well log derived features</w:t>
      </w:r>
      <w:r>
        <w:rPr>
          <w:rFonts w:eastAsia="Times New Roman"/>
          <w:color w:val="000000"/>
        </w:rPr>
        <w:t xml:space="preserve"> in a 3D geocellular static model </w:t>
      </w:r>
      <w:r w:rsidR="007B1D03">
        <w:rPr>
          <w:rFonts w:eastAsia="Times New Roman"/>
          <w:color w:val="000000"/>
        </w:rPr>
        <w:t xml:space="preserve">as recommended by </w:t>
      </w:r>
      <w:r>
        <w:rPr>
          <w:rFonts w:eastAsia="Times New Roman"/>
          <w:color w:val="000000"/>
        </w:rPr>
        <w:t>Hampson et al.</w:t>
      </w:r>
      <w:r w:rsidR="007B1D03">
        <w:rPr>
          <w:rFonts w:eastAsia="Times New Roman"/>
          <w:color w:val="000000"/>
        </w:rPr>
        <w:t xml:space="preserve"> (</w:t>
      </w:r>
      <w:r>
        <w:rPr>
          <w:rFonts w:eastAsia="Times New Roman"/>
          <w:color w:val="000000"/>
        </w:rPr>
        <w:t>2001)</w:t>
      </w:r>
      <w:r w:rsidRPr="006C35A6">
        <w:rPr>
          <w:rFonts w:eastAsia="Times New Roman"/>
          <w:color w:val="000000"/>
        </w:rPr>
        <w:t xml:space="preserve">. </w:t>
      </w:r>
    </w:p>
    <w:p w14:paraId="364374FB" w14:textId="77777777" w:rsidR="000A48C6" w:rsidRDefault="00D073A0" w:rsidP="00D073A0">
      <w:pPr>
        <w:ind w:firstLine="720"/>
        <w:rPr>
          <w:rFonts w:eastAsia="Times New Roman"/>
          <w:color w:val="000000"/>
        </w:rPr>
      </w:pPr>
      <w:r>
        <w:rPr>
          <w:rFonts w:eastAsia="Times New Roman"/>
          <w:color w:val="000000"/>
        </w:rPr>
        <w:t>T</w:t>
      </w:r>
      <w:r w:rsidRPr="006C35A6">
        <w:rPr>
          <w:rFonts w:eastAsia="Times New Roman"/>
          <w:color w:val="000000"/>
        </w:rPr>
        <w:t xml:space="preserve">he </w:t>
      </w:r>
      <w:r>
        <w:rPr>
          <w:rFonts w:eastAsia="Times New Roman"/>
          <w:color w:val="000000"/>
        </w:rPr>
        <w:t>inversion and multi-attribute volumes serve as inputs</w:t>
      </w:r>
      <w:r w:rsidRPr="006C35A6">
        <w:rPr>
          <w:rFonts w:eastAsia="Times New Roman"/>
          <w:color w:val="000000"/>
        </w:rPr>
        <w:t xml:space="preserve"> to </w:t>
      </w:r>
      <w:r>
        <w:rPr>
          <w:rFonts w:eastAsia="Times New Roman"/>
          <w:color w:val="000000"/>
        </w:rPr>
        <w:t>volumetric</w:t>
      </w:r>
      <w:r w:rsidRPr="006C35A6">
        <w:rPr>
          <w:rFonts w:eastAsia="Times New Roman"/>
          <w:color w:val="000000"/>
        </w:rPr>
        <w:t xml:space="preserve"> unsupervised clustering </w:t>
      </w:r>
      <w:r>
        <w:rPr>
          <w:rFonts w:eastAsia="Times New Roman"/>
          <w:color w:val="000000"/>
        </w:rPr>
        <w:t>algorithms</w:t>
      </w:r>
      <w:r w:rsidRPr="006C35A6">
        <w:rPr>
          <w:rFonts w:eastAsia="Times New Roman"/>
          <w:color w:val="000000"/>
        </w:rPr>
        <w:t xml:space="preserve"> SOM, GTM and K-means</w:t>
      </w:r>
      <w:r>
        <w:rPr>
          <w:rFonts w:eastAsia="Times New Roman"/>
          <w:color w:val="000000"/>
        </w:rPr>
        <w:t xml:space="preserve"> (Chopra and Marfurt, 2007; Roy et al., 2013; Infante-Paez and Marfurt, 2018</w:t>
      </w:r>
      <w:r w:rsidR="00E26D36">
        <w:rPr>
          <w:rFonts w:eastAsia="Times New Roman"/>
          <w:color w:val="000000"/>
        </w:rPr>
        <w:t xml:space="preserve">). </w:t>
      </w:r>
      <w:r w:rsidRPr="00F46728">
        <w:rPr>
          <w:rFonts w:eastAsia="Times New Roman"/>
          <w:color w:val="000000"/>
        </w:rPr>
        <w:t xml:space="preserve">Unsupervised clustering means that no user interpretation </w:t>
      </w:r>
      <w:r>
        <w:rPr>
          <w:rFonts w:eastAsia="Times New Roman"/>
          <w:color w:val="000000"/>
        </w:rPr>
        <w:t>is</w:t>
      </w:r>
      <w:r w:rsidRPr="00F46728">
        <w:rPr>
          <w:rFonts w:eastAsia="Times New Roman"/>
          <w:color w:val="000000"/>
        </w:rPr>
        <w:t xml:space="preserve"> applied (</w:t>
      </w:r>
      <w:r>
        <w:rPr>
          <w:rFonts w:eastAsia="Times New Roman"/>
          <w:color w:val="000000"/>
        </w:rPr>
        <w:t xml:space="preserve">Roy et al., 2013; Zhao et al., 2015; Infante-Paez and Marfurt, 2018; </w:t>
      </w:r>
      <w:r w:rsidRPr="00F46728">
        <w:rPr>
          <w:rFonts w:eastAsia="Times New Roman"/>
          <w:color w:val="000000"/>
        </w:rPr>
        <w:t xml:space="preserve">Qiao et al., 2019). </w:t>
      </w:r>
    </w:p>
    <w:p w14:paraId="1CD17E97" w14:textId="20DC15F7" w:rsidR="00D073A0" w:rsidRDefault="00D073A0" w:rsidP="00D073A0">
      <w:pPr>
        <w:ind w:firstLine="720"/>
        <w:rPr>
          <w:color w:val="000000"/>
        </w:rPr>
      </w:pPr>
      <w:r w:rsidRPr="00842546">
        <w:rPr>
          <w:rFonts w:eastAsia="Times New Roman"/>
          <w:color w:val="000000"/>
        </w:rPr>
        <w:t>K-means</w:t>
      </w:r>
      <w:r>
        <w:rPr>
          <w:rFonts w:eastAsia="Times New Roman"/>
          <w:color w:val="000000"/>
        </w:rPr>
        <w:t xml:space="preserve"> is</w:t>
      </w:r>
      <w:r w:rsidRPr="00842546">
        <w:rPr>
          <w:rFonts w:eastAsia="Times New Roman"/>
          <w:color w:val="000000"/>
        </w:rPr>
        <w:t xml:space="preserve"> </w:t>
      </w:r>
      <w:r>
        <w:rPr>
          <w:rFonts w:eastAsia="Times New Roman"/>
          <w:color w:val="000000"/>
        </w:rPr>
        <w:t xml:space="preserve">a </w:t>
      </w:r>
      <w:r w:rsidRPr="00842546">
        <w:rPr>
          <w:rFonts w:eastAsia="Times New Roman"/>
          <w:color w:val="000000"/>
        </w:rPr>
        <w:t xml:space="preserve">clustering algorithm </w:t>
      </w:r>
      <w:r>
        <w:rPr>
          <w:rFonts w:eastAsia="Times New Roman"/>
          <w:color w:val="000000"/>
        </w:rPr>
        <w:t xml:space="preserve">that </w:t>
      </w:r>
      <w:r w:rsidRPr="00842546">
        <w:rPr>
          <w:rFonts w:eastAsia="Times New Roman"/>
          <w:color w:val="000000"/>
        </w:rPr>
        <w:t xml:space="preserve">uses an iterative </w:t>
      </w:r>
      <w:r>
        <w:rPr>
          <w:rFonts w:eastAsia="Times New Roman"/>
          <w:color w:val="000000"/>
        </w:rPr>
        <w:t xml:space="preserve">workflow </w:t>
      </w:r>
      <w:r w:rsidRPr="00842546">
        <w:rPr>
          <w:rFonts w:eastAsia="Times New Roman"/>
          <w:color w:val="000000"/>
        </w:rPr>
        <w:t>that minimizes the sum of distances from each sample to its cluster centroid over all clusters</w:t>
      </w:r>
      <w:r>
        <w:rPr>
          <w:rFonts w:eastAsia="Times New Roman"/>
          <w:color w:val="000000"/>
        </w:rPr>
        <w:t xml:space="preserve"> (</w:t>
      </w:r>
      <w:r w:rsidRPr="00842546">
        <w:rPr>
          <w:rFonts w:eastAsia="Times New Roman"/>
          <w:color w:val="000000"/>
        </w:rPr>
        <w:t>Sabeti et al</w:t>
      </w:r>
      <w:r>
        <w:rPr>
          <w:rFonts w:eastAsia="Times New Roman"/>
          <w:color w:val="000000"/>
        </w:rPr>
        <w:t xml:space="preserve">., </w:t>
      </w:r>
      <w:r w:rsidRPr="00842546">
        <w:rPr>
          <w:rFonts w:eastAsia="Times New Roman"/>
          <w:color w:val="000000"/>
        </w:rPr>
        <w:t>2009</w:t>
      </w:r>
      <w:r>
        <w:rPr>
          <w:rFonts w:eastAsia="Times New Roman"/>
          <w:color w:val="000000"/>
        </w:rPr>
        <w:t xml:space="preserve">; </w:t>
      </w:r>
      <w:r>
        <w:rPr>
          <w:color w:val="000000"/>
        </w:rPr>
        <w:t>Franti and Sieranoja, 2019; Qiao et al., 2019</w:t>
      </w:r>
      <w:r w:rsidRPr="00842546">
        <w:rPr>
          <w:rFonts w:eastAsia="Times New Roman"/>
          <w:color w:val="000000"/>
        </w:rPr>
        <w:t xml:space="preserve">). This algorithm moves samples between clusters until the </w:t>
      </w:r>
      <w:r w:rsidRPr="00842546">
        <w:rPr>
          <w:rFonts w:eastAsia="Times New Roman"/>
          <w:color w:val="000000"/>
        </w:rPr>
        <w:lastRenderedPageBreak/>
        <w:t xml:space="preserve">sum </w:t>
      </w:r>
      <w:r w:rsidR="0035004C">
        <w:rPr>
          <w:rFonts w:eastAsia="Times New Roman"/>
          <w:color w:val="000000"/>
        </w:rPr>
        <w:t>of distances is a minimum</w:t>
      </w:r>
      <w:r>
        <w:rPr>
          <w:rFonts w:eastAsia="Times New Roman"/>
          <w:color w:val="000000"/>
        </w:rPr>
        <w:t xml:space="preserve"> (</w:t>
      </w:r>
      <w:r w:rsidRPr="00842546">
        <w:rPr>
          <w:rFonts w:eastAsia="Times New Roman"/>
          <w:color w:val="000000"/>
        </w:rPr>
        <w:t>Sabeti et al</w:t>
      </w:r>
      <w:r>
        <w:rPr>
          <w:rFonts w:eastAsia="Times New Roman"/>
          <w:color w:val="000000"/>
        </w:rPr>
        <w:t xml:space="preserve">., </w:t>
      </w:r>
      <w:r w:rsidRPr="00842546">
        <w:rPr>
          <w:rFonts w:eastAsia="Times New Roman"/>
          <w:color w:val="000000"/>
        </w:rPr>
        <w:t>2009</w:t>
      </w:r>
      <w:r>
        <w:rPr>
          <w:rFonts w:eastAsia="Times New Roman"/>
          <w:color w:val="000000"/>
        </w:rPr>
        <w:t>)</w:t>
      </w:r>
      <w:r w:rsidRPr="00842546">
        <w:rPr>
          <w:rFonts w:eastAsia="Times New Roman"/>
          <w:color w:val="000000"/>
        </w:rPr>
        <w:t xml:space="preserve">. </w:t>
      </w:r>
      <w:r w:rsidR="0035004C">
        <w:rPr>
          <w:rFonts w:eastAsia="Times New Roman"/>
          <w:color w:val="000000"/>
        </w:rPr>
        <w:t>An elbow plot workflow allows one to estimate the number of clusters that are as compact and well-separated as possible</w:t>
      </w:r>
      <w:r>
        <w:rPr>
          <w:rFonts w:eastAsia="Times New Roman"/>
          <w:color w:val="000000"/>
        </w:rPr>
        <w:t xml:space="preserve"> (</w:t>
      </w:r>
      <w:r>
        <w:rPr>
          <w:color w:val="000000"/>
        </w:rPr>
        <w:t xml:space="preserve">Qiao et al., 2019). </w:t>
      </w:r>
    </w:p>
    <w:p w14:paraId="2BF22D37" w14:textId="72809028" w:rsidR="00D073A0" w:rsidRDefault="00D073A0" w:rsidP="00D073A0">
      <w:pPr>
        <w:ind w:firstLine="720"/>
        <w:rPr>
          <w:rFonts w:eastAsia="Times New Roman"/>
          <w:color w:val="000000"/>
        </w:rPr>
      </w:pPr>
      <w:r w:rsidRPr="00F64FC3">
        <w:rPr>
          <w:rFonts w:eastAsia="Times New Roman"/>
          <w:color w:val="000000"/>
        </w:rPr>
        <w:t xml:space="preserve">SOM </w:t>
      </w:r>
      <w:r>
        <w:rPr>
          <w:rFonts w:eastAsia="Times New Roman"/>
          <w:color w:val="000000"/>
        </w:rPr>
        <w:t>is a methodology that project</w:t>
      </w:r>
      <w:r w:rsidRPr="00F64FC3">
        <w:rPr>
          <w:rFonts w:eastAsia="Times New Roman"/>
          <w:color w:val="000000"/>
        </w:rPr>
        <w:t xml:space="preserve">s </w:t>
      </w:r>
      <w:r>
        <w:rPr>
          <w:rFonts w:eastAsia="Times New Roman"/>
          <w:color w:val="000000"/>
        </w:rPr>
        <w:t xml:space="preserve">the </w:t>
      </w:r>
      <w:r w:rsidR="0035004C">
        <w:rPr>
          <w:rFonts w:eastAsia="Times New Roman"/>
          <w:color w:val="000000"/>
        </w:rPr>
        <w:t>multi-dimensional data (where each attribute volume adds a dimension) onto a</w:t>
      </w:r>
      <w:r w:rsidRPr="00F64FC3">
        <w:rPr>
          <w:rFonts w:eastAsia="Times New Roman"/>
          <w:color w:val="000000"/>
        </w:rPr>
        <w:t xml:space="preserve"> much lower dimensional </w:t>
      </w:r>
      <w:r w:rsidR="0035004C">
        <w:rPr>
          <w:rFonts w:eastAsia="Times New Roman"/>
          <w:color w:val="000000"/>
        </w:rPr>
        <w:t xml:space="preserve">defined mathematical surface or “manifold” </w:t>
      </w:r>
      <w:r w:rsidRPr="00F64FC3">
        <w:rPr>
          <w:rFonts w:eastAsia="Times New Roman"/>
          <w:color w:val="000000"/>
        </w:rPr>
        <w:t>that preserves the geometrical relationship among the data points</w:t>
      </w:r>
      <w:r>
        <w:rPr>
          <w:rFonts w:eastAsia="Times New Roman"/>
          <w:color w:val="000000"/>
        </w:rPr>
        <w:t xml:space="preserve"> </w:t>
      </w:r>
      <w:r w:rsidRPr="00F64FC3">
        <w:rPr>
          <w:rFonts w:eastAsia="Times New Roman"/>
          <w:color w:val="000000"/>
        </w:rPr>
        <w:t>(Kohonen, 2001</w:t>
      </w:r>
      <w:r>
        <w:rPr>
          <w:rFonts w:eastAsia="Times New Roman"/>
          <w:color w:val="000000"/>
        </w:rPr>
        <w:t>; Strecker and Uden, 2002</w:t>
      </w:r>
      <w:r w:rsidRPr="00F64FC3">
        <w:rPr>
          <w:rFonts w:eastAsia="Times New Roman"/>
          <w:color w:val="000000"/>
        </w:rPr>
        <w:t xml:space="preserve">). </w:t>
      </w:r>
      <w:r w:rsidR="0035004C">
        <w:rPr>
          <w:rFonts w:eastAsia="Times New Roman"/>
          <w:color w:val="000000"/>
        </w:rPr>
        <w:t>By construction, this deformed surface is</w:t>
      </w:r>
      <w:r w:rsidR="00450A02">
        <w:rPr>
          <w:rFonts w:eastAsia="Times New Roman"/>
          <w:color w:val="000000"/>
        </w:rPr>
        <w:t>,</w:t>
      </w:r>
      <w:r w:rsidR="0035004C">
        <w:rPr>
          <w:rFonts w:eastAsia="Times New Roman"/>
          <w:color w:val="000000"/>
        </w:rPr>
        <w:t xml:space="preserve"> in tur</w:t>
      </w:r>
      <w:r w:rsidR="00C77440">
        <w:rPr>
          <w:rFonts w:eastAsia="Times New Roman"/>
          <w:color w:val="000000"/>
        </w:rPr>
        <w:t>n</w:t>
      </w:r>
      <w:r w:rsidR="00450A02">
        <w:rPr>
          <w:rFonts w:eastAsia="Times New Roman"/>
          <w:color w:val="000000"/>
        </w:rPr>
        <w:t>,</w:t>
      </w:r>
      <w:r w:rsidR="0035004C">
        <w:rPr>
          <w:rFonts w:eastAsia="Times New Roman"/>
          <w:color w:val="000000"/>
        </w:rPr>
        <w:t xml:space="preserve"> mapped to simpler undeformed latent space . E</w:t>
      </w:r>
      <w:r w:rsidRPr="00F64FC3">
        <w:rPr>
          <w:rFonts w:eastAsia="Times New Roman"/>
          <w:color w:val="000000"/>
        </w:rPr>
        <w:t>ach SOM unit within the latent space preserves the metric relationships and topologies of the multidimensional input data</w:t>
      </w:r>
      <w:r>
        <w:rPr>
          <w:rFonts w:eastAsia="Times New Roman"/>
          <w:color w:val="000000"/>
        </w:rPr>
        <w:t xml:space="preserve"> </w:t>
      </w:r>
      <w:r w:rsidRPr="00F64FC3">
        <w:rPr>
          <w:rFonts w:eastAsia="Times New Roman"/>
          <w:color w:val="000000"/>
        </w:rPr>
        <w:t>(Kohonen, 2001</w:t>
      </w:r>
      <w:r>
        <w:rPr>
          <w:rFonts w:eastAsia="Times New Roman"/>
          <w:color w:val="000000"/>
        </w:rPr>
        <w:t>; Roy et al., 2013; Zhao et al., 2015)</w:t>
      </w:r>
      <w:r w:rsidRPr="00F64FC3">
        <w:rPr>
          <w:rFonts w:eastAsia="Times New Roman"/>
          <w:color w:val="000000"/>
        </w:rPr>
        <w:t xml:space="preserve">. </w:t>
      </w:r>
      <w:r w:rsidR="0035004C">
        <w:rPr>
          <w:rFonts w:eastAsia="Times New Roman"/>
          <w:color w:val="000000"/>
        </w:rPr>
        <w:t>The result is that voxels with similar attribute expression</w:t>
      </w:r>
      <w:r w:rsidR="00450A02">
        <w:rPr>
          <w:rFonts w:eastAsia="Times New Roman"/>
          <w:color w:val="000000"/>
        </w:rPr>
        <w:t>s</w:t>
      </w:r>
      <w:r w:rsidR="0035004C">
        <w:rPr>
          <w:rFonts w:eastAsia="Times New Roman"/>
          <w:color w:val="000000"/>
        </w:rPr>
        <w:t xml:space="preserve"> will be mapped to near locations in the</w:t>
      </w:r>
      <w:r w:rsidR="00557DA8">
        <w:rPr>
          <w:rFonts w:eastAsia="Times New Roman"/>
          <w:color w:val="000000"/>
        </w:rPr>
        <w:t xml:space="preserve"> latent space. The latent space 2D mapping color bar provides a color-coded image</w:t>
      </w:r>
      <w:r w:rsidR="0035004C">
        <w:rPr>
          <w:rFonts w:eastAsia="Times New Roman"/>
          <w:color w:val="000000"/>
        </w:rPr>
        <w:t xml:space="preserve"> </w:t>
      </w:r>
      <w:r w:rsidRPr="00F64FC3">
        <w:rPr>
          <w:rFonts w:eastAsia="Times New Roman"/>
          <w:color w:val="000000"/>
        </w:rPr>
        <w:t>amenable for seismic facies analysis</w:t>
      </w:r>
      <w:r>
        <w:rPr>
          <w:rFonts w:eastAsia="Times New Roman"/>
          <w:color w:val="000000"/>
        </w:rPr>
        <w:t xml:space="preserve"> (Strecker and Uden, 2002; Chopra and Marfurt, 2014; Zhao et al., 2015; Infante-Paez and Marfurt, 2018).</w:t>
      </w:r>
      <w:r w:rsidRPr="00F64FC3">
        <w:rPr>
          <w:rFonts w:eastAsia="Times New Roman"/>
          <w:color w:val="000000"/>
        </w:rPr>
        <w:t xml:space="preserve"> </w:t>
      </w:r>
      <w:r>
        <w:rPr>
          <w:rFonts w:eastAsia="Times New Roman"/>
          <w:color w:val="000000"/>
        </w:rPr>
        <w:t xml:space="preserve"> </w:t>
      </w:r>
    </w:p>
    <w:p w14:paraId="04BD5FF7" w14:textId="11F0EF3C" w:rsidR="00D073A0" w:rsidRDefault="00D073A0" w:rsidP="00D073A0">
      <w:pPr>
        <w:ind w:firstLine="720"/>
        <w:rPr>
          <w:rFonts w:eastAsia="Times New Roman"/>
          <w:color w:val="000000"/>
        </w:rPr>
      </w:pPr>
      <w:r>
        <w:rPr>
          <w:rFonts w:eastAsia="Times New Roman"/>
          <w:color w:val="000000"/>
        </w:rPr>
        <w:t xml:space="preserve">GTM is a </w:t>
      </w:r>
      <w:r w:rsidRPr="00842546">
        <w:rPr>
          <w:rFonts w:eastAsia="Times New Roman"/>
          <w:color w:val="000000"/>
        </w:rPr>
        <w:t xml:space="preserve">technique developed as an alternative to solve the shortcomings of </w:t>
      </w:r>
      <w:r>
        <w:rPr>
          <w:rFonts w:eastAsia="Times New Roman"/>
          <w:color w:val="000000"/>
        </w:rPr>
        <w:t>SOM</w:t>
      </w:r>
      <w:r w:rsidR="00557DA8">
        <w:rPr>
          <w:rFonts w:eastAsia="Times New Roman"/>
          <w:color w:val="000000"/>
        </w:rPr>
        <w:t xml:space="preserve">. Although SOM </w:t>
      </w:r>
      <w:r w:rsidR="009749DB">
        <w:rPr>
          <w:rFonts w:eastAsia="Times New Roman"/>
          <w:color w:val="000000"/>
        </w:rPr>
        <w:t>assigns</w:t>
      </w:r>
      <w:r w:rsidR="00557DA8">
        <w:rPr>
          <w:rFonts w:eastAsia="Times New Roman"/>
          <w:color w:val="000000"/>
        </w:rPr>
        <w:t xml:space="preserve"> each </w:t>
      </w:r>
      <w:r w:rsidR="009749DB">
        <w:rPr>
          <w:rFonts w:eastAsia="Times New Roman"/>
          <w:color w:val="000000"/>
        </w:rPr>
        <w:t>voxel</w:t>
      </w:r>
      <w:r w:rsidR="00557DA8">
        <w:rPr>
          <w:rFonts w:eastAsia="Times New Roman"/>
          <w:color w:val="000000"/>
        </w:rPr>
        <w:t xml:space="preserve"> to the </w:t>
      </w:r>
      <w:r w:rsidR="009749DB">
        <w:rPr>
          <w:rFonts w:eastAsia="Times New Roman"/>
          <w:color w:val="000000"/>
        </w:rPr>
        <w:t>cluster</w:t>
      </w:r>
      <w:r w:rsidR="00557DA8">
        <w:rPr>
          <w:rFonts w:eastAsia="Times New Roman"/>
          <w:color w:val="000000"/>
        </w:rPr>
        <w:t xml:space="preserve"> (and hence </w:t>
      </w:r>
      <w:r w:rsidR="00450A02">
        <w:rPr>
          <w:rFonts w:eastAsia="Times New Roman"/>
          <w:color w:val="000000"/>
        </w:rPr>
        <w:t xml:space="preserve">a </w:t>
      </w:r>
      <w:r w:rsidR="00557DA8">
        <w:rPr>
          <w:rFonts w:eastAsia="Times New Roman"/>
          <w:color w:val="000000"/>
        </w:rPr>
        <w:t xml:space="preserve">color) that best represents it, it does not </w:t>
      </w:r>
      <w:r w:rsidR="00800460">
        <w:rPr>
          <w:rFonts w:eastAsia="Times New Roman"/>
          <w:color w:val="000000"/>
        </w:rPr>
        <w:t>provide</w:t>
      </w:r>
      <w:r w:rsidR="00557DA8">
        <w:rPr>
          <w:rFonts w:eastAsia="Times New Roman"/>
          <w:color w:val="000000"/>
        </w:rPr>
        <w:t xml:space="preserve"> a measure of how well that </w:t>
      </w:r>
      <w:r w:rsidR="00800460">
        <w:rPr>
          <w:rFonts w:eastAsia="Times New Roman"/>
          <w:color w:val="000000"/>
        </w:rPr>
        <w:t>cluster</w:t>
      </w:r>
      <w:r w:rsidR="00557DA8">
        <w:rPr>
          <w:rFonts w:eastAsia="Times New Roman"/>
          <w:color w:val="000000"/>
        </w:rPr>
        <w:t xml:space="preserve"> (or any other cluster) </w:t>
      </w:r>
      <w:r w:rsidR="00800460">
        <w:rPr>
          <w:rFonts w:eastAsia="Times New Roman"/>
          <w:color w:val="000000"/>
        </w:rPr>
        <w:t>represents</w:t>
      </w:r>
      <w:r w:rsidR="00557DA8">
        <w:rPr>
          <w:rFonts w:eastAsia="Times New Roman"/>
          <w:color w:val="000000"/>
        </w:rPr>
        <w:t xml:space="preserve"> the voxel. While we know which is the most likely cluster (facies)</w:t>
      </w:r>
      <w:r w:rsidR="00450A02">
        <w:rPr>
          <w:rFonts w:eastAsia="Times New Roman"/>
          <w:color w:val="000000"/>
        </w:rPr>
        <w:t>,</w:t>
      </w:r>
      <w:r w:rsidR="00557DA8">
        <w:rPr>
          <w:rFonts w:eastAsia="Times New Roman"/>
          <w:color w:val="000000"/>
        </w:rPr>
        <w:t xml:space="preserve"> we do not know how confident the prediction is.  GTM is</w:t>
      </w:r>
      <w:r w:rsidRPr="00842546">
        <w:rPr>
          <w:rFonts w:eastAsia="Times New Roman"/>
          <w:color w:val="000000"/>
        </w:rPr>
        <w:t xml:space="preserve"> and represents a nonlinear dimension reduction method based on Bayesian principles</w:t>
      </w:r>
      <w:r>
        <w:rPr>
          <w:rFonts w:eastAsia="Times New Roman"/>
          <w:color w:val="000000"/>
        </w:rPr>
        <w:t>,</w:t>
      </w:r>
      <w:r w:rsidRPr="00842546">
        <w:rPr>
          <w:rFonts w:eastAsia="Times New Roman"/>
          <w:color w:val="000000"/>
        </w:rPr>
        <w:t xml:space="preserve"> providing a probabilistic representation of the data vectors in latent space (</w:t>
      </w:r>
      <w:r>
        <w:rPr>
          <w:rFonts w:eastAsia="Times New Roman"/>
          <w:color w:val="000000"/>
        </w:rPr>
        <w:t xml:space="preserve">Bishop et al., 1998; Roy et al., 2014; </w:t>
      </w:r>
      <w:r w:rsidRPr="00842546">
        <w:rPr>
          <w:rFonts w:eastAsia="Times New Roman"/>
          <w:color w:val="000000"/>
        </w:rPr>
        <w:t>Chopra and Marfurt, 2014).</w:t>
      </w:r>
      <w:r>
        <w:rPr>
          <w:rFonts w:eastAsia="Times New Roman"/>
          <w:color w:val="000000"/>
        </w:rPr>
        <w:t xml:space="preserve"> Roy et al. (2014) and Zhao et al. (2015) conclude</w:t>
      </w:r>
      <w:r w:rsidR="00C77440">
        <w:rPr>
          <w:rFonts w:eastAsia="Times New Roman"/>
          <w:color w:val="000000"/>
        </w:rPr>
        <w:t>d</w:t>
      </w:r>
      <w:r>
        <w:rPr>
          <w:rFonts w:eastAsia="Times New Roman"/>
          <w:color w:val="000000"/>
        </w:rPr>
        <w:t xml:space="preserve"> that in 3D seismic application, the </w:t>
      </w:r>
      <w:r w:rsidRPr="00EB5388">
        <w:rPr>
          <w:rFonts w:eastAsia="Times New Roman"/>
          <w:color w:val="000000"/>
        </w:rPr>
        <w:t>GTM is a probabilistic reformulation of SOM that takes care of most of the</w:t>
      </w:r>
      <w:r>
        <w:rPr>
          <w:rFonts w:eastAsia="Times New Roman"/>
          <w:color w:val="000000"/>
        </w:rPr>
        <w:t xml:space="preserve"> SOM</w:t>
      </w:r>
      <w:r w:rsidRPr="00EB5388">
        <w:rPr>
          <w:rFonts w:eastAsia="Times New Roman"/>
          <w:color w:val="000000"/>
        </w:rPr>
        <w:t xml:space="preserve"> shortcomings</w:t>
      </w:r>
      <w:r>
        <w:rPr>
          <w:rFonts w:eastAsia="Times New Roman"/>
          <w:color w:val="000000"/>
        </w:rPr>
        <w:t xml:space="preserve"> related to the selection of the training radius and the learning rate of the data sets for obtaining a measurement of confidence.</w:t>
      </w:r>
      <w:r w:rsidRPr="00EB5388">
        <w:rPr>
          <w:rFonts w:eastAsia="Times New Roman"/>
          <w:color w:val="000000"/>
        </w:rPr>
        <w:t xml:space="preserve">   </w:t>
      </w:r>
    </w:p>
    <w:p w14:paraId="0DE13F62" w14:textId="70F18DB4" w:rsidR="006D6FDD" w:rsidRDefault="00D127E4" w:rsidP="006D6FDD">
      <w:pPr>
        <w:ind w:firstLine="720"/>
        <w:rPr>
          <w:rFonts w:eastAsia="Times New Roman"/>
          <w:color w:val="000000"/>
        </w:rPr>
      </w:pPr>
      <w:r>
        <w:rPr>
          <w:rFonts w:eastAsia="Times New Roman"/>
          <w:color w:val="000000"/>
        </w:rPr>
        <w:lastRenderedPageBreak/>
        <w:t>For constructing the geocellular static models, we guide</w:t>
      </w:r>
      <w:r w:rsidRPr="004042BB">
        <w:rPr>
          <w:rFonts w:eastAsia="Times New Roman"/>
          <w:color w:val="000000"/>
        </w:rPr>
        <w:t xml:space="preserve"> each property in between the vertical wells</w:t>
      </w:r>
      <w:r>
        <w:rPr>
          <w:rFonts w:eastAsia="Times New Roman"/>
          <w:color w:val="000000"/>
        </w:rPr>
        <w:t xml:space="preserve"> using </w:t>
      </w:r>
      <w:r w:rsidRPr="004042BB">
        <w:rPr>
          <w:rFonts w:eastAsia="Times New Roman"/>
          <w:color w:val="000000"/>
        </w:rPr>
        <w:t>a Gaussian random function simulation (GRFS) with collocated cokriging</w:t>
      </w:r>
      <w:r>
        <w:rPr>
          <w:rFonts w:eastAsia="Times New Roman"/>
          <w:color w:val="000000"/>
        </w:rPr>
        <w:t xml:space="preserve"> of the SOM and Z</w:t>
      </w:r>
      <w:r w:rsidRPr="00D127E4">
        <w:rPr>
          <w:rFonts w:eastAsia="Times New Roman"/>
          <w:i/>
          <w:iCs/>
          <w:color w:val="000000"/>
          <w:vertAlign w:val="subscript"/>
        </w:rPr>
        <w:t xml:space="preserve">p </w:t>
      </w:r>
      <w:r>
        <w:rPr>
          <w:rFonts w:eastAsia="Times New Roman"/>
          <w:color w:val="000000"/>
        </w:rPr>
        <w:t>volumes. This GRFS was used</w:t>
      </w:r>
      <w:r w:rsidRPr="004042BB">
        <w:rPr>
          <w:rFonts w:eastAsia="Times New Roman"/>
          <w:color w:val="000000"/>
        </w:rPr>
        <w:t xml:space="preserve"> as suggested by Daly et al. (2010)</w:t>
      </w:r>
      <w:r>
        <w:rPr>
          <w:rFonts w:eastAsia="Times New Roman"/>
          <w:color w:val="000000"/>
        </w:rPr>
        <w:t>, Xiao et al. (2018) and Cervantes-Velasquez (2019)</w:t>
      </w:r>
      <w:r w:rsidR="002171D8">
        <w:rPr>
          <w:rFonts w:eastAsia="Times New Roman"/>
          <w:color w:val="000000"/>
        </w:rPr>
        <w:t xml:space="preserve"> </w:t>
      </w:r>
      <w:r w:rsidR="0057718E">
        <w:rPr>
          <w:rFonts w:eastAsia="Times New Roman"/>
          <w:color w:val="000000"/>
        </w:rPr>
        <w:t xml:space="preserve">for </w:t>
      </w:r>
      <w:r w:rsidR="002171D8">
        <w:rPr>
          <w:rFonts w:eastAsia="Times New Roman"/>
          <w:color w:val="000000"/>
        </w:rPr>
        <w:t xml:space="preserve">interpolating the </w:t>
      </w:r>
      <w:r w:rsidR="002171D8" w:rsidRPr="004042BB">
        <w:rPr>
          <w:rFonts w:eastAsia="Times New Roman"/>
          <w:color w:val="000000"/>
        </w:rPr>
        <w:t>geological properties</w:t>
      </w:r>
      <w:r w:rsidR="002171D8">
        <w:rPr>
          <w:rFonts w:eastAsia="Times New Roman"/>
          <w:color w:val="000000"/>
        </w:rPr>
        <w:t xml:space="preserve"> </w:t>
      </w:r>
      <w:r w:rsidR="0057718E">
        <w:rPr>
          <w:rFonts w:eastAsia="Times New Roman"/>
          <w:color w:val="000000"/>
        </w:rPr>
        <w:t>using multiple</w:t>
      </w:r>
      <w:r w:rsidR="002171D8">
        <w:rPr>
          <w:rFonts w:eastAsia="Times New Roman"/>
          <w:color w:val="000000"/>
        </w:rPr>
        <w:t xml:space="preserve"> seismic volume</w:t>
      </w:r>
      <w:r w:rsidR="0057718E">
        <w:rPr>
          <w:rFonts w:eastAsia="Times New Roman"/>
          <w:color w:val="000000"/>
        </w:rPr>
        <w:t>s</w:t>
      </w:r>
      <w:r w:rsidR="002171D8">
        <w:rPr>
          <w:rFonts w:eastAsia="Times New Roman"/>
          <w:color w:val="000000"/>
        </w:rPr>
        <w:t xml:space="preserve"> as a </w:t>
      </w:r>
      <w:r w:rsidR="0057718E">
        <w:rPr>
          <w:rFonts w:eastAsia="Times New Roman"/>
          <w:color w:val="000000"/>
        </w:rPr>
        <w:t xml:space="preserve">derived </w:t>
      </w:r>
      <w:r w:rsidR="002171D8">
        <w:rPr>
          <w:rFonts w:eastAsia="Times New Roman"/>
          <w:color w:val="000000"/>
        </w:rPr>
        <w:t>property probability volume</w:t>
      </w:r>
      <w:r w:rsidRPr="004042BB">
        <w:rPr>
          <w:rFonts w:eastAsia="Times New Roman"/>
          <w:color w:val="000000"/>
        </w:rPr>
        <w:t xml:space="preserve">. </w:t>
      </w:r>
      <w:r w:rsidR="006D6FDD" w:rsidRPr="004042BB">
        <w:rPr>
          <w:rFonts w:eastAsia="Times New Roman"/>
          <w:color w:val="000000"/>
        </w:rPr>
        <w:t xml:space="preserve">The first variable in the GRFS collocated cokriging was the SOM volume, and the second variable was the </w:t>
      </w:r>
      <w:r w:rsidR="006D6FDD" w:rsidRPr="0022522E">
        <w:rPr>
          <w:rFonts w:eastAsia="Times New Roman"/>
          <w:i/>
          <w:iCs/>
          <w:color w:val="000000"/>
        </w:rPr>
        <w:t>Z</w:t>
      </w:r>
      <w:r w:rsidR="006D6FDD" w:rsidRPr="0022522E">
        <w:rPr>
          <w:rFonts w:eastAsia="Times New Roman"/>
          <w:i/>
          <w:iCs/>
          <w:color w:val="000000"/>
          <w:vertAlign w:val="subscript"/>
        </w:rPr>
        <w:t>p</w:t>
      </w:r>
      <w:r w:rsidR="006D6FDD" w:rsidRPr="004042BB">
        <w:rPr>
          <w:rFonts w:eastAsia="Times New Roman"/>
          <w:color w:val="000000"/>
        </w:rPr>
        <w:t xml:space="preserve"> volume. Regularly, geocellular models propagate properties by a previously defined lateral variogram by the user</w:t>
      </w:r>
      <w:r w:rsidR="006D6FDD">
        <w:rPr>
          <w:rFonts w:eastAsia="Times New Roman"/>
          <w:color w:val="000000"/>
        </w:rPr>
        <w:t xml:space="preserve"> (Kelkar and Perez, 2001)</w:t>
      </w:r>
      <w:r w:rsidR="006D6FDD" w:rsidRPr="004042BB">
        <w:rPr>
          <w:rFonts w:eastAsia="Times New Roman"/>
          <w:color w:val="000000"/>
        </w:rPr>
        <w:t xml:space="preserve">, which is defined by comparing the average property value in each vertical control point and the relative distances between these points. </w:t>
      </w:r>
      <w:r w:rsidR="00C77440">
        <w:rPr>
          <w:rFonts w:eastAsia="Times New Roman"/>
          <w:color w:val="000000"/>
        </w:rPr>
        <w:t xml:space="preserve">In our case, our geocellular </w:t>
      </w:r>
      <w:r w:rsidR="0094057C">
        <w:rPr>
          <w:rFonts w:eastAsia="Times New Roman"/>
          <w:color w:val="000000"/>
        </w:rPr>
        <w:t>modeling</w:t>
      </w:r>
      <w:r w:rsidR="00C77440">
        <w:rPr>
          <w:rFonts w:eastAsia="Times New Roman"/>
          <w:color w:val="000000"/>
        </w:rPr>
        <w:t xml:space="preserve"> of geological properties w</w:t>
      </w:r>
      <w:r w:rsidR="00450A02">
        <w:rPr>
          <w:rFonts w:eastAsia="Times New Roman"/>
          <w:color w:val="000000"/>
        </w:rPr>
        <w:t>as</w:t>
      </w:r>
      <w:r w:rsidR="00C77440">
        <w:rPr>
          <w:rFonts w:eastAsia="Times New Roman"/>
          <w:color w:val="000000"/>
        </w:rPr>
        <w:t xml:space="preserve"> guided using the SOM and Zp as probability volumes. </w:t>
      </w:r>
    </w:p>
    <w:p w14:paraId="1F3BBC0D" w14:textId="226D9653" w:rsidR="00D127E4" w:rsidRPr="004042BB" w:rsidRDefault="00D127E4" w:rsidP="00D127E4">
      <w:pPr>
        <w:ind w:firstLine="720"/>
        <w:rPr>
          <w:rFonts w:eastAsia="Times New Roman"/>
          <w:color w:val="000000"/>
        </w:rPr>
      </w:pPr>
    </w:p>
    <w:p w14:paraId="1123A348" w14:textId="77777777" w:rsidR="00D127E4" w:rsidRDefault="00D127E4" w:rsidP="00D073A0">
      <w:pPr>
        <w:ind w:firstLine="720"/>
        <w:rPr>
          <w:rFonts w:eastAsia="Times New Roman"/>
          <w:color w:val="000000"/>
        </w:rPr>
      </w:pPr>
    </w:p>
    <w:p w14:paraId="7017370E" w14:textId="77777777" w:rsidR="00D073A0" w:rsidRPr="006C35A6" w:rsidRDefault="00D073A0" w:rsidP="00D073A0">
      <w:pPr>
        <w:spacing w:line="240" w:lineRule="auto"/>
        <w:jc w:val="center"/>
        <w:rPr>
          <w:rFonts w:eastAsia="Times New Roman"/>
          <w:color w:val="000000"/>
        </w:rPr>
      </w:pPr>
      <w:r>
        <w:rPr>
          <w:rFonts w:eastAsia="Times New Roman"/>
          <w:noProof/>
          <w:color w:val="000000"/>
        </w:rPr>
        <w:lastRenderedPageBreak/>
        <w:drawing>
          <wp:inline distT="0" distB="0" distL="0" distR="0" wp14:anchorId="76590272" wp14:editId="2DBC0E2C">
            <wp:extent cx="5285891" cy="4709160"/>
            <wp:effectExtent l="0" t="0" r="0" b="0"/>
            <wp:docPr id="8545" name="Picture 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26468" cy="4745310"/>
                    </a:xfrm>
                    <a:prstGeom prst="rect">
                      <a:avLst/>
                    </a:prstGeom>
                    <a:noFill/>
                  </pic:spPr>
                </pic:pic>
              </a:graphicData>
            </a:graphic>
          </wp:inline>
        </w:drawing>
      </w:r>
    </w:p>
    <w:p w14:paraId="45A81A5B" w14:textId="0A39F227" w:rsidR="00D073A0" w:rsidRPr="008A4425" w:rsidRDefault="00D073A0" w:rsidP="00D073A0">
      <w:pPr>
        <w:pStyle w:val="Caption"/>
        <w:sectPr w:rsidR="00D073A0" w:rsidRPr="008A4425" w:rsidSect="0095456D">
          <w:headerReference w:type="even" r:id="rId132"/>
          <w:headerReference w:type="default" r:id="rId133"/>
          <w:footerReference w:type="even" r:id="rId134"/>
          <w:footerReference w:type="default" r:id="rId135"/>
          <w:headerReference w:type="first" r:id="rId136"/>
          <w:footerReference w:type="first" r:id="rId137"/>
          <w:pgSz w:w="12240" w:h="15840"/>
          <w:pgMar w:top="1440" w:right="1440" w:bottom="1440" w:left="1440" w:header="720" w:footer="720" w:gutter="0"/>
          <w:cols w:space="720"/>
          <w:docGrid w:linePitch="360"/>
        </w:sectPr>
      </w:pPr>
      <w:bookmarkStart w:id="382" w:name="_Toc28065269"/>
      <w:bookmarkStart w:id="383" w:name="_Toc35861250"/>
      <w:r w:rsidRPr="006C35A6">
        <w:rPr>
          <w:b/>
        </w:rPr>
        <w:t xml:space="preserve">Figure </w:t>
      </w:r>
      <w:r w:rsidR="00BD3F92">
        <w:rPr>
          <w:b/>
        </w:rPr>
        <w:t>4.</w:t>
      </w:r>
      <w:r>
        <w:rPr>
          <w:b/>
        </w:rPr>
        <w:t>4</w:t>
      </w:r>
      <w:r w:rsidRPr="006C35A6">
        <w:rPr>
          <w:b/>
        </w:rPr>
        <w:t>.</w:t>
      </w:r>
      <w:r w:rsidRPr="006C35A6">
        <w:t xml:space="preserve"> Workflow used in this study. </w:t>
      </w:r>
      <w:r>
        <w:t>We compute the</w:t>
      </w:r>
      <w:r w:rsidRPr="006C35A6">
        <w:t xml:space="preserve"> petrophysical and geomechanical properties from the </w:t>
      </w:r>
      <w:r>
        <w:t xml:space="preserve">density and P-wave </w:t>
      </w:r>
      <w:r w:rsidRPr="006C35A6">
        <w:t>well logs</w:t>
      </w:r>
      <w:r>
        <w:t xml:space="preserve"> as described in Appendix A</w:t>
      </w:r>
      <w:r w:rsidRPr="006C35A6">
        <w:t xml:space="preserve">. </w:t>
      </w:r>
      <w:r>
        <w:t>We then use the s</w:t>
      </w:r>
      <w:r w:rsidRPr="006C35A6">
        <w:t>eismic</w:t>
      </w:r>
      <w:r>
        <w:t xml:space="preserve"> amplitude</w:t>
      </w:r>
      <w:r w:rsidRPr="006C35A6">
        <w:t xml:space="preserve"> volume</w:t>
      </w:r>
      <w:r>
        <w:t xml:space="preserve"> in two ways, first to define horizons and faults necessary to construct our geocellular model, and second as input </w:t>
      </w:r>
      <w:r w:rsidRPr="006C35A6">
        <w:t xml:space="preserve">for </w:t>
      </w:r>
      <w:r>
        <w:t xml:space="preserve">the </w:t>
      </w:r>
      <w:r w:rsidRPr="006C35A6">
        <w:t>post-stack seismic i</w:t>
      </w:r>
      <w:r>
        <w:t xml:space="preserve">mpedance inversion which we </w:t>
      </w:r>
      <w:r w:rsidRPr="006C35A6">
        <w:t>propagate</w:t>
      </w:r>
      <w:r>
        <w:t xml:space="preserve"> with collocated cokriging </w:t>
      </w:r>
      <w:r w:rsidR="002B047D">
        <w:t>to construct</w:t>
      </w:r>
      <w:r>
        <w:t xml:space="preserve"> probability </w:t>
      </w:r>
      <w:r w:rsidR="002B047D">
        <w:t xml:space="preserve">of </w:t>
      </w:r>
      <w:r>
        <w:t xml:space="preserve"> </w:t>
      </w:r>
      <w:r w:rsidRPr="006C35A6">
        <w:t>the geomechanical and petrophysical properties</w:t>
      </w:r>
      <w:r>
        <w:t xml:space="preserve"> at each cell of the static model</w:t>
      </w:r>
      <w:r w:rsidRPr="006C35A6">
        <w:t xml:space="preserve">. These properties, along with </w:t>
      </w:r>
      <w:r w:rsidR="002B047D">
        <w:t xml:space="preserve">the </w:t>
      </w:r>
      <w:r w:rsidRPr="006C35A6">
        <w:t xml:space="preserve">seismic </w:t>
      </w:r>
      <w:r w:rsidR="002B047D">
        <w:t xml:space="preserve">amplitude </w:t>
      </w:r>
      <w:r w:rsidRPr="006C35A6">
        <w:t xml:space="preserve">volume, are </w:t>
      </w:r>
      <w:r>
        <w:t>input to</w:t>
      </w:r>
      <w:r w:rsidRPr="006C35A6">
        <w:t xml:space="preserve"> SOM, GTM, and K-means clustering</w:t>
      </w:r>
      <w:r>
        <w:t xml:space="preserve"> algorithms</w:t>
      </w:r>
      <w:r w:rsidRPr="006C35A6">
        <w:t>.</w:t>
      </w:r>
      <w:r>
        <w:t xml:space="preserve"> We use t</w:t>
      </w:r>
      <w:r w:rsidRPr="006C35A6">
        <w:t>he</w:t>
      </w:r>
      <w:r>
        <w:t xml:space="preserve"> resulting</w:t>
      </w:r>
      <w:r w:rsidRPr="006C35A6">
        <w:t xml:space="preserve"> clusters to define</w:t>
      </w:r>
      <w:r>
        <w:t xml:space="preserve"> type curve</w:t>
      </w:r>
      <w:r w:rsidRPr="006C35A6">
        <w:t xml:space="preserve"> areas </w:t>
      </w:r>
      <w:r>
        <w:t>for subsequent</w:t>
      </w:r>
      <w:r w:rsidRPr="006C35A6">
        <w:t xml:space="preserve"> simulation.</w:t>
      </w:r>
      <w:bookmarkEnd w:id="382"/>
      <w:bookmarkEnd w:id="383"/>
      <w:r w:rsidRPr="006C35A6">
        <w:t xml:space="preserve">    </w:t>
      </w:r>
    </w:p>
    <w:p w14:paraId="5D080214" w14:textId="2BA3EC5C" w:rsidR="00D073A0" w:rsidRPr="006C35A6" w:rsidRDefault="00D073A0" w:rsidP="0020554C">
      <w:pPr>
        <w:pStyle w:val="Heading3"/>
        <w:numPr>
          <w:ilvl w:val="2"/>
          <w:numId w:val="34"/>
        </w:numPr>
      </w:pPr>
      <w:bookmarkStart w:id="384" w:name="_Toc25833592"/>
      <w:bookmarkStart w:id="385" w:name="_Toc28065390"/>
      <w:bookmarkStart w:id="386" w:name="_Toc35861136"/>
      <w:r>
        <w:lastRenderedPageBreak/>
        <w:t xml:space="preserve">Computing the </w:t>
      </w:r>
      <w:r w:rsidRPr="006C35A6">
        <w:t>geomechanical properties</w:t>
      </w:r>
      <w:bookmarkEnd w:id="384"/>
      <w:bookmarkEnd w:id="385"/>
      <w:bookmarkEnd w:id="386"/>
    </w:p>
    <w:p w14:paraId="17449E1F" w14:textId="0EA51376" w:rsidR="00D073A0" w:rsidRDefault="00D073A0" w:rsidP="00D073A0">
      <w:pPr>
        <w:ind w:firstLine="360"/>
        <w:rPr>
          <w:rFonts w:eastAsia="Times New Roman"/>
          <w:color w:val="000000"/>
        </w:rPr>
      </w:pPr>
      <w:r w:rsidRPr="006C35A6">
        <w:rPr>
          <w:rFonts w:eastAsia="Times New Roman"/>
          <w:color w:val="000000"/>
        </w:rPr>
        <w:t>Reservoir geomechanic</w:t>
      </w:r>
      <w:r>
        <w:rPr>
          <w:rFonts w:eastAsia="Times New Roman"/>
          <w:color w:val="000000"/>
        </w:rPr>
        <w:t>al analysis requires</w:t>
      </w:r>
      <w:r w:rsidRPr="006C35A6">
        <w:rPr>
          <w:rFonts w:eastAsia="Times New Roman"/>
          <w:color w:val="000000"/>
        </w:rPr>
        <w:t xml:space="preserve"> the integrat</w:t>
      </w:r>
      <w:r w:rsidR="00BC4769">
        <w:rPr>
          <w:rFonts w:eastAsia="Times New Roman"/>
          <w:color w:val="000000"/>
        </w:rPr>
        <w:t>ion</w:t>
      </w:r>
      <w:r w:rsidRPr="006C35A6">
        <w:rPr>
          <w:rFonts w:eastAsia="Times New Roman"/>
          <w:color w:val="000000"/>
        </w:rPr>
        <w:t xml:space="preserve"> of the state of stress, pore pressure</w:t>
      </w:r>
      <w:r>
        <w:rPr>
          <w:rFonts w:eastAsia="Times New Roman"/>
          <w:color w:val="000000"/>
        </w:rPr>
        <w:t>,</w:t>
      </w:r>
      <w:r w:rsidR="003A0F22">
        <w:rPr>
          <w:rFonts w:eastAsia="Times New Roman"/>
          <w:color w:val="000000"/>
        </w:rPr>
        <w:t xml:space="preserve"> </w:t>
      </w:r>
      <w:r w:rsidRPr="006C35A6">
        <w:rPr>
          <w:rFonts w:eastAsia="Times New Roman"/>
          <w:color w:val="000000"/>
        </w:rPr>
        <w:t>physical properties of reservoirs, natural fractures</w:t>
      </w:r>
      <w:r>
        <w:rPr>
          <w:rFonts w:eastAsia="Times New Roman"/>
          <w:color w:val="000000"/>
        </w:rPr>
        <w:t xml:space="preserve">, major and minor </w:t>
      </w:r>
      <w:r w:rsidRPr="006C35A6">
        <w:rPr>
          <w:rFonts w:eastAsia="Times New Roman"/>
          <w:color w:val="000000"/>
        </w:rPr>
        <w:t xml:space="preserve">faults, </w:t>
      </w:r>
      <w:r>
        <w:rPr>
          <w:rFonts w:eastAsia="Times New Roman"/>
          <w:color w:val="000000"/>
        </w:rPr>
        <w:t xml:space="preserve">and </w:t>
      </w:r>
      <w:r w:rsidRPr="006C35A6">
        <w:rPr>
          <w:rFonts w:eastAsia="Times New Roman"/>
          <w:color w:val="000000"/>
        </w:rPr>
        <w:t>cap rocks, a</w:t>
      </w:r>
      <w:r>
        <w:rPr>
          <w:rFonts w:eastAsia="Times New Roman"/>
          <w:color w:val="000000"/>
        </w:rPr>
        <w:t xml:space="preserve">s well as </w:t>
      </w:r>
      <w:r w:rsidRPr="006C35A6">
        <w:rPr>
          <w:rFonts w:eastAsia="Times New Roman"/>
          <w:color w:val="000000"/>
        </w:rPr>
        <w:t xml:space="preserve">the formations </w:t>
      </w:r>
      <w:r w:rsidR="00BC4769">
        <w:rPr>
          <w:rFonts w:eastAsia="Times New Roman"/>
          <w:color w:val="000000"/>
        </w:rPr>
        <w:t>forming the comprising</w:t>
      </w:r>
      <w:r w:rsidRPr="006C35A6">
        <w:rPr>
          <w:rFonts w:eastAsia="Times New Roman"/>
          <w:color w:val="000000"/>
        </w:rPr>
        <w:t xml:space="preserve"> overburden</w:t>
      </w:r>
      <w:r>
        <w:rPr>
          <w:rFonts w:eastAsia="Times New Roman"/>
          <w:color w:val="000000"/>
        </w:rPr>
        <w:t xml:space="preserve"> (Zoback et al., 2003)</w:t>
      </w:r>
      <w:r w:rsidRPr="006C35A6">
        <w:rPr>
          <w:rFonts w:eastAsia="Times New Roman"/>
          <w:color w:val="000000"/>
        </w:rPr>
        <w:t xml:space="preserve">. </w:t>
      </w:r>
      <w:r w:rsidR="00BC4769">
        <w:rPr>
          <w:rFonts w:eastAsia="Times New Roman"/>
          <w:color w:val="000000"/>
        </w:rPr>
        <w:t>G</w:t>
      </w:r>
      <w:r>
        <w:rPr>
          <w:rFonts w:eastAsia="Times New Roman"/>
          <w:color w:val="000000"/>
        </w:rPr>
        <w:t>eomechanical analysis</w:t>
      </w:r>
      <w:r w:rsidRPr="006C35A6">
        <w:rPr>
          <w:rFonts w:eastAsia="Times New Roman"/>
          <w:color w:val="000000"/>
        </w:rPr>
        <w:t xml:space="preserve"> </w:t>
      </w:r>
      <w:r w:rsidR="00BC4769">
        <w:rPr>
          <w:rFonts w:eastAsia="Times New Roman"/>
          <w:color w:val="000000"/>
        </w:rPr>
        <w:t>allows us to understand</w:t>
      </w:r>
      <w:r w:rsidRPr="006C35A6">
        <w:rPr>
          <w:rFonts w:eastAsia="Times New Roman"/>
          <w:color w:val="000000"/>
        </w:rPr>
        <w:t xml:space="preserve"> the interactions between </w:t>
      </w:r>
      <w:r>
        <w:rPr>
          <w:rFonts w:eastAsia="Times New Roman"/>
          <w:color w:val="000000"/>
        </w:rPr>
        <w:t>g</w:t>
      </w:r>
      <w:r w:rsidRPr="006C35A6">
        <w:rPr>
          <w:rFonts w:eastAsia="Times New Roman"/>
          <w:color w:val="000000"/>
        </w:rPr>
        <w:t>eological conditions</w:t>
      </w:r>
      <w:r>
        <w:rPr>
          <w:rFonts w:eastAsia="Times New Roman"/>
          <w:color w:val="000000"/>
        </w:rPr>
        <w:t xml:space="preserve">, </w:t>
      </w:r>
      <w:r w:rsidRPr="006C35A6">
        <w:rPr>
          <w:rFonts w:eastAsia="Times New Roman"/>
          <w:color w:val="000000"/>
        </w:rPr>
        <w:t>engineering and production practices</w:t>
      </w:r>
      <w:r>
        <w:rPr>
          <w:rFonts w:eastAsia="Times New Roman"/>
          <w:color w:val="000000"/>
        </w:rPr>
        <w:t xml:space="preserve"> (Ghassemi et al., 2009, 2013)</w:t>
      </w:r>
      <w:r w:rsidRPr="006C35A6">
        <w:rPr>
          <w:rFonts w:eastAsia="Times New Roman"/>
          <w:color w:val="000000"/>
        </w:rPr>
        <w:t xml:space="preserve">. </w:t>
      </w:r>
    </w:p>
    <w:p w14:paraId="3E72D178" w14:textId="312C5989" w:rsidR="00D073A0" w:rsidRPr="006C35A6" w:rsidRDefault="00D073A0" w:rsidP="00D073A0">
      <w:pPr>
        <w:ind w:firstLine="360"/>
        <w:rPr>
          <w:rFonts w:eastAsia="Times New Roman"/>
          <w:color w:val="000000"/>
        </w:rPr>
      </w:pPr>
      <w:r w:rsidRPr="006C35A6">
        <w:rPr>
          <w:rFonts w:eastAsia="Times New Roman"/>
          <w:color w:val="000000"/>
        </w:rPr>
        <w:t xml:space="preserve">The primary parameters controlling these interactions are the state of </w:t>
      </w:r>
      <w:r w:rsidRPr="00D323CD">
        <w:rPr>
          <w:rFonts w:eastAsia="Times New Roman"/>
          <w:i/>
          <w:iCs/>
          <w:color w:val="000000"/>
        </w:rPr>
        <w:t>in-situ</w:t>
      </w:r>
      <w:r w:rsidRPr="006C35A6">
        <w:rPr>
          <w:rFonts w:eastAsia="Times New Roman"/>
          <w:color w:val="000000"/>
        </w:rPr>
        <w:t xml:space="preserve"> stress, rock strength, bedding orientation</w:t>
      </w:r>
      <w:r w:rsidR="00BC4769">
        <w:rPr>
          <w:rFonts w:eastAsia="Times New Roman"/>
          <w:color w:val="000000"/>
        </w:rPr>
        <w:t>,</w:t>
      </w:r>
      <w:r w:rsidRPr="006C35A6">
        <w:rPr>
          <w:rFonts w:eastAsia="Times New Roman"/>
          <w:color w:val="000000"/>
        </w:rPr>
        <w:t xml:space="preserve"> </w:t>
      </w:r>
      <w:r>
        <w:rPr>
          <w:rFonts w:eastAsia="Times New Roman"/>
          <w:color w:val="000000"/>
        </w:rPr>
        <w:t xml:space="preserve">poroelastic </w:t>
      </w:r>
      <w:r w:rsidRPr="006C35A6">
        <w:rPr>
          <w:rFonts w:eastAsia="Times New Roman"/>
          <w:color w:val="000000"/>
        </w:rPr>
        <w:t>properties</w:t>
      </w:r>
      <w:r>
        <w:rPr>
          <w:rFonts w:eastAsia="Times New Roman"/>
          <w:color w:val="000000"/>
        </w:rPr>
        <w:t xml:space="preserve"> (</w:t>
      </w:r>
      <w:r w:rsidRPr="00B17163">
        <w:rPr>
          <w:rFonts w:eastAsia="Times New Roman"/>
          <w:i/>
          <w:color w:val="000000"/>
        </w:rPr>
        <w:t>E, v</w:t>
      </w:r>
      <w:r>
        <w:rPr>
          <w:rFonts w:eastAsia="Times New Roman"/>
          <w:color w:val="000000"/>
        </w:rPr>
        <w:t>)</w:t>
      </w:r>
      <w:r w:rsidRPr="006C35A6">
        <w:rPr>
          <w:rFonts w:eastAsia="Times New Roman"/>
          <w:color w:val="000000"/>
        </w:rPr>
        <w:t xml:space="preserve">, pore pressure, distribution of fractures and faults, wellbore </w:t>
      </w:r>
      <w:r w:rsidR="0094057C" w:rsidRPr="006C35A6">
        <w:rPr>
          <w:rFonts w:eastAsia="Times New Roman"/>
          <w:color w:val="000000"/>
        </w:rPr>
        <w:t>trajectory</w:t>
      </w:r>
      <w:r w:rsidRPr="006C35A6">
        <w:rPr>
          <w:rFonts w:eastAsia="Times New Roman"/>
          <w:color w:val="000000"/>
        </w:rPr>
        <w:t xml:space="preserve"> and mud weight</w:t>
      </w:r>
      <w:r>
        <w:rPr>
          <w:rFonts w:eastAsia="Times New Roman"/>
          <w:color w:val="000000"/>
        </w:rPr>
        <w:t xml:space="preserve"> (Liu, 2017; Kumar and Ghassemi, 2018)</w:t>
      </w:r>
      <w:r w:rsidRPr="006C35A6">
        <w:rPr>
          <w:rFonts w:eastAsia="Times New Roman"/>
          <w:color w:val="000000"/>
        </w:rPr>
        <w:t xml:space="preserve">. </w:t>
      </w:r>
      <w:r>
        <w:rPr>
          <w:rFonts w:eastAsia="Times New Roman"/>
          <w:color w:val="000000"/>
        </w:rPr>
        <w:t>We define t</w:t>
      </w:r>
      <w:r w:rsidRPr="006C35A6">
        <w:rPr>
          <w:rFonts w:eastAsia="Times New Roman"/>
          <w:color w:val="000000"/>
        </w:rPr>
        <w:t>he state of stress in a</w:t>
      </w:r>
      <w:r>
        <w:rPr>
          <w:rFonts w:eastAsia="Times New Roman"/>
          <w:color w:val="000000"/>
        </w:rPr>
        <w:t xml:space="preserve">n unconventional </w:t>
      </w:r>
      <w:r w:rsidRPr="006C35A6">
        <w:rPr>
          <w:rFonts w:eastAsia="Times New Roman"/>
          <w:color w:val="000000"/>
        </w:rPr>
        <w:t>reservoir in terms of the vertical stress (</w:t>
      </w:r>
      <w:r w:rsidRPr="0015507D">
        <w:rPr>
          <w:rFonts w:eastAsia="Times New Roman"/>
          <w:i/>
          <w:color w:val="000000"/>
        </w:rPr>
        <w:t>Sv</w:t>
      </w:r>
      <w:r w:rsidRPr="006C35A6">
        <w:rPr>
          <w:rFonts w:eastAsia="Times New Roman"/>
          <w:color w:val="000000"/>
        </w:rPr>
        <w:t>) and two horizontal stresses (</w:t>
      </w:r>
      <w:r w:rsidRPr="0015507D">
        <w:rPr>
          <w:rFonts w:eastAsia="Times New Roman"/>
          <w:i/>
          <w:color w:val="000000"/>
        </w:rPr>
        <w:t>S</w:t>
      </w:r>
      <w:r w:rsidRPr="007D723D">
        <w:rPr>
          <w:rFonts w:eastAsia="Times New Roman"/>
          <w:i/>
          <w:color w:val="000000"/>
          <w:vertAlign w:val="subscript"/>
        </w:rPr>
        <w:t>hmax</w:t>
      </w:r>
      <w:r w:rsidRPr="0015507D">
        <w:rPr>
          <w:rFonts w:eastAsia="Times New Roman"/>
          <w:i/>
          <w:color w:val="000000"/>
        </w:rPr>
        <w:t xml:space="preserve"> </w:t>
      </w:r>
      <w:r w:rsidRPr="006C35A6">
        <w:rPr>
          <w:rFonts w:eastAsia="Times New Roman"/>
          <w:color w:val="000000"/>
        </w:rPr>
        <w:t>and</w:t>
      </w:r>
      <w:r w:rsidRPr="0015507D">
        <w:rPr>
          <w:rFonts w:eastAsia="Times New Roman"/>
          <w:i/>
          <w:color w:val="000000"/>
        </w:rPr>
        <w:t xml:space="preserve"> S</w:t>
      </w:r>
      <w:r w:rsidRPr="007D723D">
        <w:rPr>
          <w:rFonts w:eastAsia="Times New Roman"/>
          <w:i/>
          <w:color w:val="000000"/>
          <w:vertAlign w:val="subscript"/>
        </w:rPr>
        <w:t>hmin</w:t>
      </w:r>
      <w:r w:rsidRPr="006C35A6">
        <w:rPr>
          <w:rFonts w:eastAsia="Times New Roman"/>
          <w:color w:val="000000"/>
        </w:rPr>
        <w:t>)</w:t>
      </w:r>
      <w:r>
        <w:rPr>
          <w:rFonts w:eastAsia="Times New Roman"/>
          <w:color w:val="000000"/>
        </w:rPr>
        <w:t xml:space="preserve"> that occur perpendicularly (Ghassemi et al., 2009, 2013; Sierra-Perez, 2011; Kumar and Ghassemi, 2018)</w:t>
      </w:r>
      <w:r w:rsidRPr="006C35A6">
        <w:rPr>
          <w:rFonts w:eastAsia="Times New Roman"/>
          <w:color w:val="000000"/>
        </w:rPr>
        <w:t xml:space="preserve">. </w:t>
      </w:r>
      <w:r w:rsidR="00BC4769">
        <w:rPr>
          <w:rFonts w:eastAsia="Times New Roman"/>
          <w:color w:val="000000"/>
        </w:rPr>
        <w:t>We adopt the</w:t>
      </w:r>
      <w:r w:rsidRPr="006C35A6">
        <w:rPr>
          <w:rFonts w:eastAsia="Times New Roman"/>
          <w:color w:val="000000"/>
        </w:rPr>
        <w:t xml:space="preserve"> </w:t>
      </w:r>
      <w:r>
        <w:rPr>
          <w:rFonts w:eastAsia="Times New Roman"/>
          <w:color w:val="000000"/>
        </w:rPr>
        <w:t xml:space="preserve">geomechanics methodology proposed </w:t>
      </w:r>
      <w:r w:rsidRPr="006C35A6">
        <w:rPr>
          <w:rFonts w:eastAsia="Times New Roman"/>
          <w:color w:val="000000"/>
        </w:rPr>
        <w:t xml:space="preserve">by </w:t>
      </w:r>
      <w:r w:rsidRPr="00A13F88">
        <w:rPr>
          <w:rFonts w:eastAsia="Times New Roman"/>
          <w:color w:val="000000"/>
        </w:rPr>
        <w:t>Yale and Jamieson (1994)</w:t>
      </w:r>
      <w:r>
        <w:rPr>
          <w:rFonts w:eastAsia="Times New Roman"/>
          <w:color w:val="000000"/>
        </w:rPr>
        <w:t xml:space="preserve"> and </w:t>
      </w:r>
      <w:r w:rsidRPr="00A13F88">
        <w:rPr>
          <w:rFonts w:eastAsia="Times New Roman"/>
          <w:color w:val="000000"/>
        </w:rPr>
        <w:t>Yasar and Erdogan (2004)</w:t>
      </w:r>
      <w:r>
        <w:rPr>
          <w:rFonts w:eastAsia="Times New Roman"/>
          <w:color w:val="000000"/>
        </w:rPr>
        <w:t>,</w:t>
      </w:r>
      <w:r w:rsidRPr="00A13F88">
        <w:rPr>
          <w:rFonts w:eastAsia="Times New Roman"/>
          <w:color w:val="000000"/>
        </w:rPr>
        <w:t xml:space="preserve"> </w:t>
      </w:r>
      <w:r w:rsidR="00BC4769">
        <w:rPr>
          <w:rFonts w:eastAsia="Times New Roman"/>
          <w:color w:val="000000"/>
        </w:rPr>
        <w:t>which was modified by Sierra-Perez (2011) for</w:t>
      </w:r>
      <w:r>
        <w:rPr>
          <w:rFonts w:eastAsia="Times New Roman"/>
          <w:color w:val="000000"/>
        </w:rPr>
        <w:t xml:space="preserve"> the Woodford Shale Wyche-1 </w:t>
      </w:r>
      <w:r w:rsidR="00BC4769">
        <w:rPr>
          <w:rFonts w:eastAsia="Times New Roman"/>
          <w:color w:val="000000"/>
        </w:rPr>
        <w:t>core analysis.</w:t>
      </w:r>
      <w:r>
        <w:rPr>
          <w:rFonts w:eastAsia="Times New Roman"/>
          <w:color w:val="000000"/>
        </w:rPr>
        <w:t xml:space="preserve"> This methodology is explained </w:t>
      </w:r>
      <w:r w:rsidR="00450A02">
        <w:rPr>
          <w:rFonts w:eastAsia="Times New Roman"/>
          <w:color w:val="000000"/>
        </w:rPr>
        <w:t>i</w:t>
      </w:r>
      <w:r>
        <w:rPr>
          <w:rFonts w:eastAsia="Times New Roman"/>
          <w:color w:val="000000"/>
        </w:rPr>
        <w:t>n detail in Appendix A</w:t>
      </w:r>
      <w:r w:rsidRPr="006C35A6">
        <w:rPr>
          <w:rFonts w:eastAsia="Times New Roman"/>
          <w:color w:val="000000"/>
        </w:rPr>
        <w:t xml:space="preserve">. </w:t>
      </w:r>
      <w:r>
        <w:rPr>
          <w:rFonts w:eastAsia="Times New Roman"/>
          <w:color w:val="000000"/>
        </w:rPr>
        <w:t>In our specific</w:t>
      </w:r>
      <w:r w:rsidRPr="006C35A6">
        <w:rPr>
          <w:rFonts w:eastAsia="Times New Roman"/>
          <w:color w:val="000000"/>
        </w:rPr>
        <w:t xml:space="preserve"> study, </w:t>
      </w:r>
      <w:r w:rsidR="00BC4769">
        <w:rPr>
          <w:rFonts w:eastAsia="Times New Roman"/>
          <w:color w:val="000000"/>
        </w:rPr>
        <w:t>we estimate</w:t>
      </w:r>
      <w:r>
        <w:rPr>
          <w:rFonts w:eastAsia="Times New Roman"/>
          <w:color w:val="000000"/>
        </w:rPr>
        <w:t xml:space="preserve"> </w:t>
      </w:r>
      <w:r w:rsidRPr="0005662D">
        <w:rPr>
          <w:rFonts w:eastAsia="Times New Roman"/>
          <w:i/>
          <w:color w:val="000000"/>
        </w:rPr>
        <w:t>E, v, S</w:t>
      </w:r>
      <w:r>
        <w:rPr>
          <w:rFonts w:eastAsia="Times New Roman"/>
          <w:i/>
          <w:color w:val="000000"/>
        </w:rPr>
        <w:t>v</w:t>
      </w:r>
      <w:r w:rsidRPr="0005662D">
        <w:rPr>
          <w:rFonts w:eastAsia="Times New Roman"/>
          <w:i/>
          <w:color w:val="000000"/>
        </w:rPr>
        <w:t>, S</w:t>
      </w:r>
      <w:r w:rsidRPr="007D723D">
        <w:rPr>
          <w:rFonts w:eastAsia="Times New Roman"/>
          <w:i/>
          <w:color w:val="000000"/>
          <w:vertAlign w:val="subscript"/>
        </w:rPr>
        <w:t>hmax</w:t>
      </w:r>
      <w:r w:rsidRPr="0005662D">
        <w:rPr>
          <w:rFonts w:eastAsia="Times New Roman"/>
          <w:i/>
          <w:color w:val="000000"/>
        </w:rPr>
        <w:t xml:space="preserve"> </w:t>
      </w:r>
      <w:r>
        <w:rPr>
          <w:rFonts w:eastAsia="Times New Roman"/>
          <w:color w:val="000000"/>
        </w:rPr>
        <w:t>and</w:t>
      </w:r>
      <w:r w:rsidRPr="0005662D">
        <w:rPr>
          <w:rFonts w:eastAsia="Times New Roman"/>
          <w:i/>
          <w:color w:val="000000"/>
        </w:rPr>
        <w:t xml:space="preserve"> S</w:t>
      </w:r>
      <w:r w:rsidRPr="007D723D">
        <w:rPr>
          <w:rFonts w:eastAsia="Times New Roman"/>
          <w:i/>
          <w:color w:val="000000"/>
          <w:vertAlign w:val="subscript"/>
        </w:rPr>
        <w:t>hmin</w:t>
      </w:r>
      <w:r w:rsidRPr="005E7236">
        <w:rPr>
          <w:rFonts w:eastAsia="Times New Roman"/>
          <w:color w:val="000000"/>
        </w:rPr>
        <w:t>,</w:t>
      </w:r>
      <w:r w:rsidRPr="006C35A6">
        <w:rPr>
          <w:rFonts w:eastAsia="Times New Roman"/>
          <w:color w:val="000000"/>
        </w:rPr>
        <w:t xml:space="preserve"> </w:t>
      </w:r>
      <w:r w:rsidR="00BC4769">
        <w:rPr>
          <w:rFonts w:eastAsia="Times New Roman"/>
          <w:color w:val="000000"/>
        </w:rPr>
        <w:t>by</w:t>
      </w:r>
      <w:r>
        <w:rPr>
          <w:rFonts w:eastAsia="Times New Roman"/>
          <w:color w:val="000000"/>
        </w:rPr>
        <w:t xml:space="preserve"> comput</w:t>
      </w:r>
      <w:r w:rsidR="00BC4769">
        <w:rPr>
          <w:rFonts w:eastAsia="Times New Roman"/>
          <w:color w:val="000000"/>
        </w:rPr>
        <w:t>ing</w:t>
      </w:r>
      <w:r>
        <w:rPr>
          <w:rFonts w:eastAsia="Times New Roman"/>
          <w:color w:val="000000"/>
        </w:rPr>
        <w:t xml:space="preserve"> </w:t>
      </w:r>
      <w:r w:rsidRPr="006C35A6">
        <w:rPr>
          <w:rFonts w:eastAsia="Times New Roman"/>
          <w:color w:val="000000"/>
        </w:rPr>
        <w:t>the P</w:t>
      </w:r>
      <w:r>
        <w:rPr>
          <w:rFonts w:eastAsia="Times New Roman"/>
          <w:color w:val="000000"/>
        </w:rPr>
        <w:t>-</w:t>
      </w:r>
      <w:r w:rsidRPr="006C35A6">
        <w:rPr>
          <w:rFonts w:eastAsia="Times New Roman"/>
          <w:color w:val="000000"/>
        </w:rPr>
        <w:t>wave (</w:t>
      </w:r>
      <w:r w:rsidRPr="0015507D">
        <w:rPr>
          <w:rFonts w:eastAsia="Times New Roman"/>
          <w:i/>
          <w:color w:val="000000"/>
        </w:rPr>
        <w:t>Vp</w:t>
      </w:r>
      <w:r w:rsidRPr="006C35A6">
        <w:rPr>
          <w:rFonts w:eastAsia="Times New Roman"/>
          <w:color w:val="000000"/>
        </w:rPr>
        <w:t>) and S</w:t>
      </w:r>
      <w:r>
        <w:rPr>
          <w:rFonts w:eastAsia="Times New Roman"/>
          <w:color w:val="000000"/>
        </w:rPr>
        <w:t>-</w:t>
      </w:r>
      <w:r w:rsidRPr="006C35A6">
        <w:rPr>
          <w:rFonts w:eastAsia="Times New Roman"/>
          <w:color w:val="000000"/>
        </w:rPr>
        <w:t>wave</w:t>
      </w:r>
      <w:r>
        <w:rPr>
          <w:rFonts w:eastAsia="Times New Roman"/>
          <w:color w:val="000000"/>
        </w:rPr>
        <w:t xml:space="preserve"> </w:t>
      </w:r>
      <w:r w:rsidRPr="006C35A6">
        <w:rPr>
          <w:rFonts w:eastAsia="Times New Roman"/>
          <w:color w:val="000000"/>
        </w:rPr>
        <w:t>(</w:t>
      </w:r>
      <w:r w:rsidRPr="0015507D">
        <w:rPr>
          <w:rFonts w:eastAsia="Times New Roman"/>
          <w:i/>
          <w:color w:val="000000"/>
        </w:rPr>
        <w:t>Vs</w:t>
      </w:r>
      <w:r w:rsidRPr="006C35A6">
        <w:rPr>
          <w:rFonts w:eastAsia="Times New Roman"/>
          <w:color w:val="000000"/>
        </w:rPr>
        <w:t xml:space="preserve">) </w:t>
      </w:r>
      <w:r w:rsidR="00BC4769">
        <w:rPr>
          <w:rFonts w:eastAsia="Times New Roman"/>
          <w:color w:val="000000"/>
        </w:rPr>
        <w:t xml:space="preserve">velocities </w:t>
      </w:r>
      <w:r>
        <w:rPr>
          <w:rFonts w:eastAsia="Times New Roman"/>
          <w:color w:val="000000"/>
        </w:rPr>
        <w:t>using</w:t>
      </w:r>
      <w:r w:rsidRPr="006C35A6">
        <w:rPr>
          <w:rFonts w:eastAsia="Times New Roman"/>
          <w:color w:val="000000"/>
        </w:rPr>
        <w:t xml:space="preserve"> the Castagna</w:t>
      </w:r>
      <w:r>
        <w:rPr>
          <w:rFonts w:eastAsia="Times New Roman"/>
          <w:color w:val="000000"/>
        </w:rPr>
        <w:t xml:space="preserve"> </w:t>
      </w:r>
      <w:r w:rsidRPr="006C35A6">
        <w:rPr>
          <w:rFonts w:eastAsia="Times New Roman"/>
          <w:color w:val="000000"/>
        </w:rPr>
        <w:t>relationship (1986; 1993</w:t>
      </w:r>
      <w:r w:rsidR="00BC4769">
        <w:rPr>
          <w:rFonts w:eastAsia="Times New Roman"/>
          <w:color w:val="000000"/>
        </w:rPr>
        <w:t xml:space="preserve">). We then </w:t>
      </w:r>
      <w:r>
        <w:rPr>
          <w:rFonts w:eastAsia="Times New Roman"/>
          <w:color w:val="000000"/>
        </w:rPr>
        <w:t xml:space="preserve">calibrate the calculations with measured </w:t>
      </w:r>
      <w:r w:rsidRPr="00A13F88">
        <w:rPr>
          <w:rFonts w:eastAsia="Times New Roman"/>
          <w:i/>
          <w:color w:val="000000"/>
        </w:rPr>
        <w:t>Vs</w:t>
      </w:r>
      <w:r>
        <w:rPr>
          <w:rFonts w:eastAsia="Times New Roman"/>
          <w:color w:val="000000"/>
        </w:rPr>
        <w:t xml:space="preserve"> in three wells in the study area</w:t>
      </w:r>
      <w:r w:rsidRPr="006C35A6">
        <w:rPr>
          <w:rFonts w:eastAsia="Times New Roman"/>
          <w:color w:val="000000"/>
        </w:rPr>
        <w:t xml:space="preserve">. </w:t>
      </w:r>
    </w:p>
    <w:p w14:paraId="55DACA00" w14:textId="6422F618" w:rsidR="00D073A0" w:rsidRPr="006C35A6" w:rsidRDefault="00D073A0" w:rsidP="00734537">
      <w:pPr>
        <w:pStyle w:val="Heading3"/>
        <w:numPr>
          <w:ilvl w:val="2"/>
          <w:numId w:val="34"/>
        </w:numPr>
      </w:pPr>
      <w:bookmarkStart w:id="387" w:name="_Toc25833593"/>
      <w:bookmarkStart w:id="388" w:name="_Toc28065391"/>
      <w:bookmarkStart w:id="389" w:name="_Toc35861137"/>
      <w:r>
        <w:t xml:space="preserve">Computing </w:t>
      </w:r>
      <w:r w:rsidR="005E14C2">
        <w:t>d</w:t>
      </w:r>
      <w:r w:rsidRPr="006C35A6">
        <w:t xml:space="preserve">ynamic </w:t>
      </w:r>
      <w:r w:rsidR="005E14C2">
        <w:t>m</w:t>
      </w:r>
      <w:r w:rsidRPr="006C35A6">
        <w:t xml:space="preserve">oduli from </w:t>
      </w:r>
      <w:r w:rsidR="005E14C2">
        <w:t>v</w:t>
      </w:r>
      <w:r w:rsidRPr="006C35A6">
        <w:t>elocities</w:t>
      </w:r>
      <w:bookmarkEnd w:id="387"/>
      <w:bookmarkEnd w:id="388"/>
      <w:bookmarkEnd w:id="389"/>
      <w:r w:rsidRPr="006C35A6">
        <w:t xml:space="preserve"> </w:t>
      </w:r>
    </w:p>
    <w:p w14:paraId="458440EF" w14:textId="2BAFE81F" w:rsidR="00D073A0" w:rsidRPr="006C35A6" w:rsidRDefault="00D073A0" w:rsidP="00D073A0">
      <w:pPr>
        <w:ind w:firstLine="720"/>
        <w:rPr>
          <w:rFonts w:eastAsia="Times New Roman"/>
          <w:color w:val="000000"/>
        </w:rPr>
      </w:pPr>
      <w:r>
        <w:rPr>
          <w:rFonts w:eastAsia="Times New Roman"/>
          <w:color w:val="000000"/>
        </w:rPr>
        <w:t>Surface seismic estimates of density require high quality</w:t>
      </w:r>
      <w:r w:rsidR="00450A02">
        <w:rPr>
          <w:rFonts w:eastAsia="Times New Roman"/>
          <w:color w:val="000000"/>
        </w:rPr>
        <w:t xml:space="preserve"> and</w:t>
      </w:r>
      <w:r>
        <w:rPr>
          <w:rFonts w:eastAsia="Times New Roman"/>
          <w:color w:val="000000"/>
        </w:rPr>
        <w:t xml:space="preserve"> high incident angle migrated data gathers (Li et al., 2016; Verma et al., 2016). For our seismic survey, we </w:t>
      </w:r>
      <w:r w:rsidRPr="006C35A6">
        <w:rPr>
          <w:rFonts w:eastAsia="Times New Roman"/>
          <w:color w:val="000000"/>
        </w:rPr>
        <w:t xml:space="preserve">calculate the </w:t>
      </w:r>
      <w:r>
        <w:rPr>
          <w:rFonts w:eastAsia="Times New Roman"/>
          <w:color w:val="000000"/>
        </w:rPr>
        <w:t xml:space="preserve">rock </w:t>
      </w:r>
      <w:r w:rsidRPr="006C35A6">
        <w:rPr>
          <w:rFonts w:eastAsia="Times New Roman"/>
          <w:color w:val="000000"/>
        </w:rPr>
        <w:t>sample density (</w:t>
      </w:r>
      <w:r w:rsidRPr="001E7D67">
        <w:rPr>
          <w:noProof/>
          <w:position w:val="-10"/>
        </w:rPr>
        <w:drawing>
          <wp:inline distT="0" distB="0" distL="0" distR="0" wp14:anchorId="094B17A7" wp14:editId="20D72182">
            <wp:extent cx="152400" cy="165100"/>
            <wp:effectExtent l="0" t="0" r="0" b="0"/>
            <wp:docPr id="8546"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6C35A6">
        <w:rPr>
          <w:rFonts w:eastAsia="Times New Roman"/>
          <w:color w:val="000000"/>
        </w:rPr>
        <w:t>) directly from the</w:t>
      </w:r>
      <w:r>
        <w:rPr>
          <w:rFonts w:eastAsia="Times New Roman"/>
          <w:color w:val="000000"/>
        </w:rPr>
        <w:t xml:space="preserve"> density</w:t>
      </w:r>
      <w:r w:rsidRPr="006C35A6">
        <w:rPr>
          <w:rFonts w:eastAsia="Times New Roman"/>
          <w:color w:val="000000"/>
        </w:rPr>
        <w:t xml:space="preserve"> well log</w:t>
      </w:r>
      <w:r>
        <w:rPr>
          <w:rFonts w:eastAsia="Times New Roman"/>
          <w:color w:val="000000"/>
        </w:rPr>
        <w:t xml:space="preserve"> and then use the seismically derived P- and S-wave impedances to compute the required elastic properties.  </w:t>
      </w:r>
      <w:r w:rsidRPr="006C35A6">
        <w:rPr>
          <w:rFonts w:eastAsia="Times New Roman"/>
          <w:color w:val="000000"/>
        </w:rPr>
        <w:t>For the P</w:t>
      </w:r>
      <w:r>
        <w:rPr>
          <w:rFonts w:eastAsia="Times New Roman"/>
          <w:color w:val="000000"/>
        </w:rPr>
        <w:t>-</w:t>
      </w:r>
      <w:r w:rsidRPr="006C35A6">
        <w:rPr>
          <w:rFonts w:eastAsia="Times New Roman"/>
          <w:color w:val="000000"/>
        </w:rPr>
        <w:t xml:space="preserve">wave </w:t>
      </w:r>
      <w:r>
        <w:rPr>
          <w:rFonts w:eastAsia="Times New Roman"/>
          <w:color w:val="000000"/>
        </w:rPr>
        <w:t xml:space="preserve">velocity </w:t>
      </w:r>
      <w:r w:rsidRPr="006C35A6">
        <w:rPr>
          <w:rFonts w:eastAsia="Times New Roman"/>
          <w:color w:val="000000"/>
        </w:rPr>
        <w:t xml:space="preserve">calculation, 21 wells </w:t>
      </w:r>
      <w:r>
        <w:rPr>
          <w:rFonts w:eastAsia="Times New Roman"/>
          <w:color w:val="000000"/>
        </w:rPr>
        <w:t xml:space="preserve">had the compressional sonic log, </w:t>
      </w:r>
      <w:r w:rsidR="00BC4769">
        <w:rPr>
          <w:rFonts w:eastAsia="Times New Roman"/>
          <w:color w:val="000000"/>
        </w:rPr>
        <w:t>t</w:t>
      </w:r>
      <w:r>
        <w:rPr>
          <w:rFonts w:eastAsia="Times New Roman"/>
          <w:color w:val="000000"/>
        </w:rPr>
        <w:t xml:space="preserve">hree of these with </w:t>
      </w:r>
      <w:r w:rsidR="00450A02">
        <w:rPr>
          <w:rFonts w:eastAsia="Times New Roman"/>
          <w:color w:val="000000"/>
        </w:rPr>
        <w:t xml:space="preserve">a </w:t>
      </w:r>
      <w:r>
        <w:rPr>
          <w:rFonts w:eastAsia="Times New Roman"/>
          <w:color w:val="000000"/>
        </w:rPr>
        <w:t xml:space="preserve">measured shear sonic </w:t>
      </w:r>
      <w:r>
        <w:rPr>
          <w:rFonts w:eastAsia="Times New Roman"/>
          <w:color w:val="000000"/>
        </w:rPr>
        <w:lastRenderedPageBreak/>
        <w:t>log</w:t>
      </w:r>
      <w:r w:rsidR="00BC4769">
        <w:rPr>
          <w:rFonts w:eastAsia="Times New Roman"/>
          <w:color w:val="000000"/>
        </w:rPr>
        <w:t>. All</w:t>
      </w:r>
      <w:r>
        <w:rPr>
          <w:rFonts w:eastAsia="Times New Roman"/>
          <w:color w:val="000000"/>
        </w:rPr>
        <w:t xml:space="preserve"> the wells </w:t>
      </w:r>
      <w:r w:rsidR="00BC4769">
        <w:rPr>
          <w:rFonts w:eastAsia="Times New Roman"/>
          <w:color w:val="000000"/>
        </w:rPr>
        <w:t xml:space="preserve">were </w:t>
      </w:r>
      <w:r>
        <w:rPr>
          <w:rFonts w:eastAsia="Times New Roman"/>
          <w:color w:val="000000"/>
        </w:rPr>
        <w:t>tie</w:t>
      </w:r>
      <w:r w:rsidR="00BC4769">
        <w:rPr>
          <w:rFonts w:eastAsia="Times New Roman"/>
          <w:color w:val="000000"/>
        </w:rPr>
        <w:t>d</w:t>
      </w:r>
      <w:r>
        <w:rPr>
          <w:rFonts w:eastAsia="Times New Roman"/>
          <w:color w:val="000000"/>
        </w:rPr>
        <w:t xml:space="preserve"> to the seismic volume</w:t>
      </w:r>
      <w:r w:rsidRPr="006C35A6">
        <w:rPr>
          <w:rFonts w:eastAsia="Times New Roman"/>
          <w:color w:val="000000"/>
        </w:rPr>
        <w:t>.</w:t>
      </w:r>
      <w:r>
        <w:rPr>
          <w:rFonts w:eastAsia="Times New Roman"/>
          <w:color w:val="000000"/>
        </w:rPr>
        <w:t xml:space="preserve"> Using the density well log,</w:t>
      </w:r>
      <w:r w:rsidRPr="006C35A6">
        <w:rPr>
          <w:rFonts w:eastAsia="Times New Roman"/>
          <w:color w:val="000000"/>
        </w:rPr>
        <w:t xml:space="preserve"> the P-wave </w:t>
      </w:r>
      <w:r>
        <w:rPr>
          <w:rFonts w:eastAsia="Times New Roman"/>
          <w:color w:val="000000"/>
        </w:rPr>
        <w:t>velocity (</w:t>
      </w:r>
      <w:r w:rsidRPr="001B10C5">
        <w:rPr>
          <w:rFonts w:eastAsia="Times New Roman"/>
          <w:i/>
          <w:color w:val="000000"/>
        </w:rPr>
        <w:t>Vp</w:t>
      </w:r>
      <w:r>
        <w:rPr>
          <w:rFonts w:eastAsia="Times New Roman"/>
          <w:color w:val="000000"/>
        </w:rPr>
        <w:t xml:space="preserve">) </w:t>
      </w:r>
      <w:r w:rsidRPr="006C35A6">
        <w:rPr>
          <w:rFonts w:eastAsia="Times New Roman"/>
          <w:color w:val="000000"/>
        </w:rPr>
        <w:t>and S-wave velocit</w:t>
      </w:r>
      <w:r>
        <w:rPr>
          <w:rFonts w:eastAsia="Times New Roman"/>
          <w:color w:val="000000"/>
        </w:rPr>
        <w:t>y (</w:t>
      </w:r>
      <w:r w:rsidRPr="001B10C5">
        <w:rPr>
          <w:rFonts w:eastAsia="Times New Roman"/>
          <w:i/>
          <w:color w:val="000000"/>
        </w:rPr>
        <w:t>Vs</w:t>
      </w:r>
      <w:r>
        <w:rPr>
          <w:rFonts w:eastAsia="Times New Roman"/>
          <w:color w:val="000000"/>
        </w:rPr>
        <w:t>) we calculated</w:t>
      </w:r>
      <w:r w:rsidRPr="006C35A6">
        <w:rPr>
          <w:rFonts w:eastAsia="Times New Roman"/>
          <w:color w:val="000000"/>
        </w:rPr>
        <w:t xml:space="preserve"> Young's modulus (E), Poisson's ratio (</w:t>
      </w:r>
      <w:r w:rsidRPr="001E7D67">
        <w:rPr>
          <w:noProof/>
          <w:position w:val="-6"/>
        </w:rPr>
        <w:drawing>
          <wp:inline distT="0" distB="0" distL="0" distR="0" wp14:anchorId="782D48C5" wp14:editId="7C4DB7E1">
            <wp:extent cx="114300" cy="139700"/>
            <wp:effectExtent l="0" t="0" r="0" b="0"/>
            <wp:docPr id="8547"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14300" cy="139700"/>
                    </a:xfrm>
                    <a:prstGeom prst="rect">
                      <a:avLst/>
                    </a:prstGeom>
                    <a:noFill/>
                    <a:ln>
                      <a:noFill/>
                    </a:ln>
                  </pic:spPr>
                </pic:pic>
              </a:graphicData>
            </a:graphic>
          </wp:inline>
        </w:drawing>
      </w:r>
      <w:r w:rsidRPr="006C35A6">
        <w:rPr>
          <w:rFonts w:eastAsia="Times New Roman"/>
          <w:color w:val="000000"/>
        </w:rPr>
        <w:t>), bulk modulus (K) and shear modulus (G)</w:t>
      </w:r>
      <w:r>
        <w:rPr>
          <w:rFonts w:eastAsia="Times New Roman"/>
          <w:color w:val="000000"/>
        </w:rPr>
        <w:t xml:space="preserve"> using the </w:t>
      </w:r>
      <w:r w:rsidRPr="00A13F88">
        <w:rPr>
          <w:rFonts w:eastAsia="Times New Roman"/>
          <w:color w:val="000000"/>
        </w:rPr>
        <w:t>Yale and Jamieson (1994)</w:t>
      </w:r>
      <w:r>
        <w:rPr>
          <w:rFonts w:eastAsia="Times New Roman"/>
          <w:color w:val="000000"/>
        </w:rPr>
        <w:t xml:space="preserve"> and </w:t>
      </w:r>
      <w:r w:rsidRPr="00A13F88">
        <w:rPr>
          <w:rFonts w:eastAsia="Times New Roman"/>
          <w:color w:val="000000"/>
        </w:rPr>
        <w:t>Yasar and Erdogan (2004)</w:t>
      </w:r>
      <w:r>
        <w:rPr>
          <w:rFonts w:eastAsia="Times New Roman"/>
          <w:color w:val="000000"/>
        </w:rPr>
        <w:t xml:space="preserve"> equations</w:t>
      </w:r>
      <w:r w:rsidRPr="006C35A6">
        <w:rPr>
          <w:rFonts w:eastAsia="Times New Roman"/>
          <w:color w:val="000000"/>
        </w:rPr>
        <w:t xml:space="preserve">:           </w:t>
      </w:r>
    </w:p>
    <w:p w14:paraId="7DBBEFFB" w14:textId="49D84405" w:rsidR="00D073A0" w:rsidRPr="006C35A6" w:rsidRDefault="00D073A0" w:rsidP="00D073A0">
      <w:pPr>
        <w:rPr>
          <w:lang w:val="da-DK"/>
        </w:rPr>
      </w:pPr>
      <w:r w:rsidRPr="001E7D67">
        <w:rPr>
          <w:noProof/>
          <w:position w:val="-34"/>
        </w:rPr>
        <w:drawing>
          <wp:inline distT="0" distB="0" distL="0" distR="0" wp14:anchorId="4C943EEE" wp14:editId="6E3F049A">
            <wp:extent cx="1346200" cy="508000"/>
            <wp:effectExtent l="0" t="0" r="0" b="0"/>
            <wp:docPr id="854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46200" cy="508000"/>
                    </a:xfrm>
                    <a:prstGeom prst="rect">
                      <a:avLst/>
                    </a:prstGeom>
                    <a:noFill/>
                    <a:ln>
                      <a:noFill/>
                    </a:ln>
                  </pic:spPr>
                </pic:pic>
              </a:graphicData>
            </a:graphic>
          </wp:inline>
        </w:drawing>
      </w:r>
      <w:r w:rsidRPr="006C35A6">
        <w:rPr>
          <w:lang w:val="da-DK"/>
        </w:rPr>
        <w:t xml:space="preserve"> </w:t>
      </w:r>
      <w:r>
        <w:rPr>
          <w:lang w:val="da-DK"/>
        </w:rPr>
        <w:t xml:space="preserve">, </w:t>
      </w:r>
      <w:r>
        <w:rPr>
          <w:lang w:val="da-DK"/>
        </w:rPr>
        <w:tab/>
      </w:r>
      <w:r>
        <w:rPr>
          <w:lang w:val="da-DK"/>
        </w:rPr>
        <w:tab/>
      </w:r>
      <w:r>
        <w:rPr>
          <w:lang w:val="da-DK"/>
        </w:rPr>
        <w:tab/>
      </w:r>
      <w:r>
        <w:rPr>
          <w:lang w:val="da-DK"/>
        </w:rPr>
        <w:tab/>
      </w:r>
      <w:r>
        <w:rPr>
          <w:lang w:val="da-DK"/>
        </w:rPr>
        <w:tab/>
      </w:r>
      <w:r>
        <w:rPr>
          <w:lang w:val="da-DK"/>
        </w:rPr>
        <w:tab/>
      </w:r>
      <w:r>
        <w:rPr>
          <w:lang w:val="da-DK"/>
        </w:rPr>
        <w:tab/>
      </w:r>
      <w:r w:rsidR="003A0F22">
        <w:rPr>
          <w:lang w:val="da-DK"/>
        </w:rPr>
        <w:t xml:space="preserve">             </w:t>
      </w:r>
      <w:r>
        <w:rPr>
          <w:lang w:val="da-DK"/>
        </w:rPr>
        <w:tab/>
        <w:t>(</w:t>
      </w:r>
      <w:r w:rsidR="008054AB">
        <w:rPr>
          <w:lang w:val="da-DK"/>
        </w:rPr>
        <w:t>4</w:t>
      </w:r>
      <w:r>
        <w:rPr>
          <w:lang w:val="da-DK"/>
        </w:rPr>
        <w:t>.1)</w:t>
      </w:r>
      <w:r w:rsidRPr="006C35A6">
        <w:rPr>
          <w:rFonts w:eastAsia="SimSun"/>
          <w:lang w:val="da-DK" w:eastAsia="zh-CN"/>
        </w:rPr>
        <w:tab/>
      </w:r>
      <w:r w:rsidRPr="006C35A6">
        <w:rPr>
          <w:lang w:val="da-DK"/>
        </w:rPr>
        <w:t xml:space="preserve"> </w:t>
      </w:r>
      <w:r w:rsidRPr="001E7D67">
        <w:rPr>
          <w:noProof/>
          <w:position w:val="-34"/>
        </w:rPr>
        <w:drawing>
          <wp:inline distT="0" distB="0" distL="0" distR="0" wp14:anchorId="02A0877A" wp14:editId="637A0CCA">
            <wp:extent cx="965200" cy="508000"/>
            <wp:effectExtent l="0" t="0" r="0" b="0"/>
            <wp:docPr id="854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65200" cy="508000"/>
                    </a:xfrm>
                    <a:prstGeom prst="rect">
                      <a:avLst/>
                    </a:prstGeom>
                    <a:noFill/>
                    <a:ln>
                      <a:noFill/>
                    </a:ln>
                  </pic:spPr>
                </pic:pic>
              </a:graphicData>
            </a:graphic>
          </wp:inline>
        </w:drawing>
      </w:r>
      <w:r w:rsidRPr="006C35A6">
        <w:rPr>
          <w:lang w:val="da-DK"/>
        </w:rPr>
        <w:t xml:space="preserve"> </w:t>
      </w:r>
      <w:r>
        <w:rPr>
          <w:lang w:val="da-DK"/>
        </w:rPr>
        <w:t>,</w:t>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t>(</w:t>
      </w:r>
      <w:r w:rsidR="008054AB">
        <w:rPr>
          <w:lang w:val="da-DK"/>
        </w:rPr>
        <w:t>4</w:t>
      </w:r>
      <w:r>
        <w:rPr>
          <w:lang w:val="da-DK"/>
        </w:rPr>
        <w:t>.2)</w:t>
      </w:r>
      <w:r w:rsidRPr="001E7D67">
        <w:rPr>
          <w:noProof/>
          <w:position w:val="-20"/>
        </w:rPr>
        <w:drawing>
          <wp:inline distT="0" distB="0" distL="0" distR="0" wp14:anchorId="5C498770" wp14:editId="0BDDAD4E">
            <wp:extent cx="1092200" cy="355600"/>
            <wp:effectExtent l="0" t="0" r="0" b="0"/>
            <wp:docPr id="8550"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092200" cy="355600"/>
                    </a:xfrm>
                    <a:prstGeom prst="rect">
                      <a:avLst/>
                    </a:prstGeom>
                    <a:noFill/>
                    <a:ln>
                      <a:noFill/>
                    </a:ln>
                  </pic:spPr>
                </pic:pic>
              </a:graphicData>
            </a:graphic>
          </wp:inline>
        </w:drawing>
      </w:r>
      <w:r w:rsidRPr="006C35A6">
        <w:rPr>
          <w:lang w:val="da-DK"/>
        </w:rPr>
        <w:t xml:space="preserve"> </w:t>
      </w:r>
      <w:r>
        <w:rPr>
          <w:lang w:val="da-DK"/>
        </w:rPr>
        <w:t xml:space="preserve">, </w:t>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t>(</w:t>
      </w:r>
      <w:r w:rsidR="008054AB">
        <w:rPr>
          <w:lang w:val="da-DK"/>
        </w:rPr>
        <w:t>4</w:t>
      </w:r>
      <w:r>
        <w:rPr>
          <w:lang w:val="da-DK"/>
        </w:rPr>
        <w:t>.3)</w:t>
      </w:r>
    </w:p>
    <w:p w14:paraId="2DF26440" w14:textId="082B57E4" w:rsidR="00D073A0" w:rsidRDefault="00BC4769" w:rsidP="00D073A0">
      <w:pPr>
        <w:rPr>
          <w:position w:val="-12"/>
          <w:lang w:val="da-DK"/>
        </w:rPr>
      </w:pPr>
      <w:r>
        <w:rPr>
          <w:position w:val="-12"/>
          <w:lang w:val="da-DK"/>
        </w:rPr>
        <w:t>a</w:t>
      </w:r>
      <w:r w:rsidR="00D073A0">
        <w:rPr>
          <w:position w:val="-12"/>
          <w:lang w:val="da-DK"/>
        </w:rPr>
        <w:t xml:space="preserve">nd  </w:t>
      </w:r>
      <w:r w:rsidR="00D073A0" w:rsidRPr="001E7D67">
        <w:rPr>
          <w:noProof/>
          <w:position w:val="-12"/>
        </w:rPr>
        <w:drawing>
          <wp:inline distT="0" distB="0" distL="0" distR="0" wp14:anchorId="524E461A" wp14:editId="1FE43933">
            <wp:extent cx="596900" cy="241300"/>
            <wp:effectExtent l="0" t="0" r="0" b="0"/>
            <wp:docPr id="8551" name="Picture 2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6900" cy="241300"/>
                    </a:xfrm>
                    <a:prstGeom prst="rect">
                      <a:avLst/>
                    </a:prstGeom>
                    <a:noFill/>
                    <a:ln>
                      <a:noFill/>
                    </a:ln>
                  </pic:spPr>
                </pic:pic>
              </a:graphicData>
            </a:graphic>
          </wp:inline>
        </w:drawing>
      </w:r>
      <w:r>
        <w:rPr>
          <w:position w:val="-12"/>
          <w:lang w:val="da-DK"/>
        </w:rPr>
        <w:t>.</w:t>
      </w:r>
      <w:r w:rsidR="00D073A0">
        <w:rPr>
          <w:position w:val="-12"/>
          <w:lang w:val="da-DK"/>
        </w:rPr>
        <w:t xml:space="preserve"> </w:t>
      </w:r>
      <w:r w:rsidR="00D073A0">
        <w:rPr>
          <w:position w:val="-12"/>
          <w:lang w:val="da-DK"/>
        </w:rPr>
        <w:tab/>
      </w:r>
      <w:r w:rsidR="00D073A0">
        <w:rPr>
          <w:position w:val="-12"/>
          <w:lang w:val="da-DK"/>
        </w:rPr>
        <w:tab/>
      </w:r>
      <w:r w:rsidR="00D073A0">
        <w:rPr>
          <w:position w:val="-12"/>
          <w:lang w:val="da-DK"/>
        </w:rPr>
        <w:tab/>
      </w:r>
      <w:r w:rsidR="00D073A0">
        <w:rPr>
          <w:position w:val="-12"/>
          <w:lang w:val="da-DK"/>
        </w:rPr>
        <w:tab/>
      </w:r>
      <w:r w:rsidR="00D073A0">
        <w:rPr>
          <w:position w:val="-12"/>
          <w:lang w:val="da-DK"/>
        </w:rPr>
        <w:tab/>
      </w:r>
      <w:r w:rsidR="00D073A0">
        <w:rPr>
          <w:position w:val="-12"/>
          <w:lang w:val="da-DK"/>
        </w:rPr>
        <w:tab/>
      </w:r>
      <w:r w:rsidR="00D073A0">
        <w:rPr>
          <w:position w:val="-12"/>
          <w:lang w:val="da-DK"/>
        </w:rPr>
        <w:tab/>
      </w:r>
      <w:r w:rsidR="00D073A0">
        <w:rPr>
          <w:position w:val="-12"/>
          <w:lang w:val="da-DK"/>
        </w:rPr>
        <w:tab/>
      </w:r>
      <w:r w:rsidR="00D073A0">
        <w:rPr>
          <w:position w:val="-12"/>
          <w:lang w:val="da-DK"/>
        </w:rPr>
        <w:tab/>
      </w:r>
      <w:r w:rsidR="00D073A0">
        <w:rPr>
          <w:position w:val="-12"/>
          <w:lang w:val="da-DK"/>
        </w:rPr>
        <w:tab/>
        <w:t>(</w:t>
      </w:r>
      <w:r w:rsidR="008054AB">
        <w:rPr>
          <w:position w:val="-12"/>
          <w:lang w:val="da-DK"/>
        </w:rPr>
        <w:t>4</w:t>
      </w:r>
      <w:r w:rsidR="00D073A0">
        <w:rPr>
          <w:position w:val="-12"/>
          <w:lang w:val="da-DK"/>
        </w:rPr>
        <w:t>.4)</w:t>
      </w:r>
      <w:r w:rsidR="00D073A0" w:rsidRPr="006C35A6">
        <w:rPr>
          <w:position w:val="-12"/>
          <w:lang w:val="da-DK"/>
        </w:rPr>
        <w:t xml:space="preserve"> </w:t>
      </w:r>
    </w:p>
    <w:p w14:paraId="46FCACAA" w14:textId="39909468" w:rsidR="00D073A0" w:rsidRPr="006C35A6" w:rsidRDefault="00D073A0" w:rsidP="00D073A0">
      <w:pPr>
        <w:ind w:firstLine="720"/>
        <w:rPr>
          <w:position w:val="-12"/>
          <w:lang w:val="da-DK"/>
        </w:rPr>
      </w:pPr>
      <w:r>
        <w:rPr>
          <w:noProof/>
        </w:rPr>
        <mc:AlternateContent>
          <mc:Choice Requires="wps">
            <w:drawing>
              <wp:anchor distT="0" distB="0" distL="114300" distR="114300" simplePos="0" relativeHeight="251822592" behindDoc="0" locked="0" layoutInCell="1" allowOverlap="1" wp14:anchorId="117326A2" wp14:editId="099DC4CF">
                <wp:simplePos x="0" y="0"/>
                <wp:positionH relativeFrom="margin">
                  <wp:posOffset>123825</wp:posOffset>
                </wp:positionH>
                <wp:positionV relativeFrom="paragraph">
                  <wp:posOffset>737870</wp:posOffset>
                </wp:positionV>
                <wp:extent cx="1768475" cy="449580"/>
                <wp:effectExtent l="0" t="0" r="0" b="0"/>
                <wp:wrapNone/>
                <wp:docPr id="2118"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449580"/>
                        </a:xfrm>
                        <a:prstGeom prst="rect">
                          <a:avLst/>
                        </a:prstGeom>
                        <a:noFill/>
                      </wps:spPr>
                      <wps:txbx>
                        <w:txbxContent>
                          <w:p w14:paraId="4E194374" w14:textId="77777777" w:rsidR="00EA43A0" w:rsidRPr="00987AD1" w:rsidRDefault="000310DF" w:rsidP="00D073A0">
                            <w:pPr>
                              <w:pStyle w:val="NormalWeb"/>
                              <w:spacing w:before="0" w:beforeAutospacing="0" w:after="0" w:afterAutospacing="0"/>
                              <w:rPr>
                                <w:sz w:val="18"/>
                              </w:rPr>
                            </w:pPr>
                            <m:oMathPara>
                              <m:oMathParaPr>
                                <m:jc m:val="centerGroup"/>
                              </m:oMathParaPr>
                              <m:oMath>
                                <m:sSup>
                                  <m:sSupPr>
                                    <m:ctrlPr>
                                      <w:rPr>
                                        <w:rFonts w:ascii="Cambria Math" w:hAnsi="Cambria Math"/>
                                        <w:i/>
                                        <w:iCs/>
                                        <w:color w:val="000000"/>
                                        <w:kern w:val="24"/>
                                        <w:szCs w:val="36"/>
                                      </w:rPr>
                                    </m:ctrlPr>
                                  </m:sSupPr>
                                  <m:e>
                                    <m:r>
                                      <w:rPr>
                                        <w:rFonts w:ascii="Cambria Math" w:hAnsi="Cambria Math"/>
                                        <w:color w:val="000000"/>
                                        <w:kern w:val="24"/>
                                        <w:szCs w:val="36"/>
                                      </w:rPr>
                                      <m:t>UCS(MPa)=7.22E</m:t>
                                    </m:r>
                                  </m:e>
                                  <m:sup>
                                    <m:r>
                                      <w:rPr>
                                        <w:rFonts w:ascii="Cambria Math" w:hAnsi="Cambria Math"/>
                                        <w:color w:val="000000"/>
                                        <w:kern w:val="24"/>
                                        <w:szCs w:val="36"/>
                                      </w:rPr>
                                      <m:t>0.712</m:t>
                                    </m:r>
                                  </m:sup>
                                </m:sSup>
                                <m:r>
                                  <w:rPr>
                                    <w:rFonts w:ascii="Cambria Math" w:hAnsi="Cambria Math"/>
                                    <w:color w:val="000000"/>
                                    <w:kern w:val="24"/>
                                    <w:szCs w:val="36"/>
                                  </w:rPr>
                                  <m:t>,</m:t>
                                </m:r>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17326A2" id="TextBox 12" o:spid="_x0000_s1049" type="#_x0000_t202" style="position:absolute;left:0;text-align:left;margin-left:9.75pt;margin-top:58.1pt;width:139.25pt;height:35.4pt;z-index:25182259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" filled="f" stroked="f">
                <v:textbox style="mso-fit-shape-to-text:t">
                  <w:txbxContent>
                    <w:p w14:paraId="4E194374" w14:textId="77777777" w:rsidR="00EA43A0" w:rsidRPr="00987AD1" w:rsidRDefault="000310DF" w:rsidP="00D073A0">
                      <w:pPr>
                        <w:pStyle w:val="NormalWeb"/>
                        <w:spacing w:before="0" w:beforeAutospacing="0" w:after="0" w:afterAutospacing="0"/>
                        <w:rPr>
                          <w:sz w:val="18"/>
                        </w:rPr>
                      </w:pPr>
                      <m:oMathPara>
                        <m:oMathParaPr>
                          <m:jc m:val="centerGroup"/>
                        </m:oMathParaPr>
                        <m:oMath>
                          <m:sSup>
                            <m:sSupPr>
                              <m:ctrlPr>
                                <w:rPr>
                                  <w:rFonts w:ascii="Cambria Math" w:hAnsi="Cambria Math"/>
                                  <w:i/>
                                  <w:iCs/>
                                  <w:color w:val="000000"/>
                                  <w:kern w:val="24"/>
                                  <w:szCs w:val="36"/>
                                </w:rPr>
                              </m:ctrlPr>
                            </m:sSupPr>
                            <m:e>
                              <m:r>
                                <w:rPr>
                                  <w:rFonts w:ascii="Cambria Math" w:hAnsi="Cambria Math"/>
                                  <w:color w:val="000000"/>
                                  <w:kern w:val="24"/>
                                  <w:szCs w:val="36"/>
                                </w:rPr>
                                <m:t>UCS(MPa)=7.22E</m:t>
                              </m:r>
                            </m:e>
                            <m:sup>
                              <m:r>
                                <w:rPr>
                                  <w:rFonts w:ascii="Cambria Math" w:hAnsi="Cambria Math"/>
                                  <w:color w:val="000000"/>
                                  <w:kern w:val="24"/>
                                  <w:szCs w:val="36"/>
                                </w:rPr>
                                <m:t>0.712</m:t>
                              </m:r>
                            </m:sup>
                          </m:sSup>
                          <m:r>
                            <w:rPr>
                              <w:rFonts w:ascii="Cambria Math" w:hAnsi="Cambria Math"/>
                              <w:color w:val="000000"/>
                              <w:kern w:val="24"/>
                              <w:szCs w:val="36"/>
                            </w:rPr>
                            <m:t>,</m:t>
                          </m:r>
                        </m:oMath>
                      </m:oMathPara>
                    </w:p>
                  </w:txbxContent>
                </v:textbox>
                <w10:wrap anchorx="margin"/>
              </v:shape>
            </w:pict>
          </mc:Fallback>
        </mc:AlternateContent>
      </w:r>
      <w:r>
        <w:rPr>
          <w:position w:val="-12"/>
          <w:lang w:val="da-DK"/>
        </w:rPr>
        <w:t>We compute the uniaxial confined stress (UCS) using Wang</w:t>
      </w:r>
      <w:r w:rsidR="00BC4769">
        <w:rPr>
          <w:position w:val="-12"/>
          <w:lang w:val="da-DK"/>
        </w:rPr>
        <w:t>’s</w:t>
      </w:r>
      <w:r>
        <w:rPr>
          <w:position w:val="-12"/>
          <w:lang w:val="da-DK"/>
        </w:rPr>
        <w:t xml:space="preserve"> (2000) equations, calibrated with Sierra-Perez</w:t>
      </w:r>
      <w:r w:rsidR="00BC4769">
        <w:rPr>
          <w:position w:val="-12"/>
          <w:lang w:val="da-DK"/>
        </w:rPr>
        <w:t>’s</w:t>
      </w:r>
      <w:r>
        <w:rPr>
          <w:position w:val="-12"/>
          <w:lang w:val="da-DK"/>
        </w:rPr>
        <w:t xml:space="preserve"> (2011) dynamic and static relationships for the Woodford Shale with </w:t>
      </w:r>
      <w:r w:rsidRPr="00157FC1">
        <w:rPr>
          <w:i/>
          <w:position w:val="-12"/>
          <w:lang w:val="da-DK"/>
        </w:rPr>
        <w:t>E</w:t>
      </w:r>
      <w:r>
        <w:rPr>
          <w:position w:val="-12"/>
          <w:lang w:val="da-DK"/>
        </w:rPr>
        <w:t xml:space="preserve"> and </w:t>
      </w:r>
      <w:r w:rsidRPr="00157FC1">
        <w:rPr>
          <w:i/>
          <w:position w:val="-12"/>
          <w:lang w:val="da-DK"/>
        </w:rPr>
        <w:t>v.</w:t>
      </w:r>
      <w:r w:rsidRPr="006C35A6">
        <w:rPr>
          <w:position w:val="-12"/>
          <w:lang w:val="da-DK"/>
        </w:rPr>
        <w:t xml:space="preserve">                    </w:t>
      </w:r>
    </w:p>
    <w:p w14:paraId="6678BF2F" w14:textId="1C3E5682" w:rsidR="00D073A0" w:rsidRPr="006C35A6" w:rsidRDefault="00D073A0" w:rsidP="00D073A0">
      <w:r>
        <w:rPr>
          <w:noProof/>
        </w:rPr>
        <mc:AlternateContent>
          <mc:Choice Requires="wps">
            <w:drawing>
              <wp:anchor distT="0" distB="0" distL="114300" distR="114300" simplePos="0" relativeHeight="251823616" behindDoc="0" locked="0" layoutInCell="1" allowOverlap="1" wp14:anchorId="0493F645" wp14:editId="3B5B69F7">
                <wp:simplePos x="0" y="0"/>
                <wp:positionH relativeFrom="margin">
                  <wp:posOffset>93980</wp:posOffset>
                </wp:positionH>
                <wp:positionV relativeFrom="paragraph">
                  <wp:posOffset>384175</wp:posOffset>
                </wp:positionV>
                <wp:extent cx="1638935" cy="449580"/>
                <wp:effectExtent l="0" t="0" r="0" b="0"/>
                <wp:wrapNone/>
                <wp:docPr id="211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935" cy="449580"/>
                        </a:xfrm>
                        <a:prstGeom prst="rect">
                          <a:avLst/>
                        </a:prstGeom>
                        <a:noFill/>
                      </wps:spPr>
                      <wps:txbx>
                        <w:txbxContent>
                          <w:p w14:paraId="3A3D87AB" w14:textId="77777777" w:rsidR="00EA43A0" w:rsidRPr="00987AD1" w:rsidRDefault="000310DF" w:rsidP="00D073A0">
                            <w:pPr>
                              <w:pStyle w:val="NormalWeb"/>
                              <w:spacing w:before="0" w:beforeAutospacing="0" w:after="0" w:afterAutospacing="0"/>
                              <w:rPr>
                                <w:sz w:val="18"/>
                              </w:rPr>
                            </w:pPr>
                            <m:oMath>
                              <m:sSup>
                                <m:sSupPr>
                                  <m:ctrlPr>
                                    <w:rPr>
                                      <w:rFonts w:ascii="Cambria Math" w:hAnsi="Cambria Math"/>
                                      <w:i/>
                                      <w:iCs/>
                                      <w:color w:val="000000"/>
                                      <w:kern w:val="24"/>
                                      <w:szCs w:val="36"/>
                                    </w:rPr>
                                  </m:ctrlPr>
                                </m:sSupPr>
                                <m:e>
                                  <m:r>
                                    <w:rPr>
                                      <w:rFonts w:ascii="Cambria Math" w:hAnsi="Cambria Math"/>
                                      <w:color w:val="000000"/>
                                      <w:kern w:val="24"/>
                                      <w:szCs w:val="36"/>
                                    </w:rPr>
                                    <m:t>UCS(MPa)=25.1E</m:t>
                                  </m:r>
                                </m:e>
                                <m:sup>
                                  <m:r>
                                    <w:rPr>
                                      <w:rFonts w:ascii="Cambria Math" w:hAnsi="Cambria Math"/>
                                      <w:color w:val="000000"/>
                                      <w:kern w:val="24"/>
                                      <w:szCs w:val="36"/>
                                    </w:rPr>
                                    <m:t>0.3</m:t>
                                  </m:r>
                                </m:sup>
                              </m:sSup>
                            </m:oMath>
                            <w:r w:rsidR="00EA43A0">
                              <w:rPr>
                                <w:iCs/>
                                <w:color w:val="000000"/>
                                <w:kern w:val="24"/>
                                <w:szCs w:val="36"/>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493F645" id="TextBox 13" o:spid="_x0000_s1050" type="#_x0000_t202" style="position:absolute;left:0;text-align:left;margin-left:7.4pt;margin-top:30.25pt;width:129.05pt;height:35.4pt;z-index:25182361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" filled="f" stroked="f">
                <v:textbox style="mso-fit-shape-to-text:t">
                  <w:txbxContent>
                    <w:p w14:paraId="3A3D87AB" w14:textId="77777777" w:rsidR="00EA43A0" w:rsidRPr="00987AD1" w:rsidRDefault="000310DF" w:rsidP="00D073A0">
                      <w:pPr>
                        <w:pStyle w:val="NormalWeb"/>
                        <w:spacing w:before="0" w:beforeAutospacing="0" w:after="0" w:afterAutospacing="0"/>
                        <w:rPr>
                          <w:sz w:val="18"/>
                        </w:rPr>
                      </w:pPr>
                      <m:oMath>
                        <m:sSup>
                          <m:sSupPr>
                            <m:ctrlPr>
                              <w:rPr>
                                <w:rFonts w:ascii="Cambria Math" w:hAnsi="Cambria Math"/>
                                <w:i/>
                                <w:iCs/>
                                <w:color w:val="000000"/>
                                <w:kern w:val="24"/>
                                <w:szCs w:val="36"/>
                              </w:rPr>
                            </m:ctrlPr>
                          </m:sSupPr>
                          <m:e>
                            <m:r>
                              <w:rPr>
                                <w:rFonts w:ascii="Cambria Math" w:hAnsi="Cambria Math"/>
                                <w:color w:val="000000"/>
                                <w:kern w:val="24"/>
                                <w:szCs w:val="36"/>
                              </w:rPr>
                              <m:t>UCS(MPa)=25.1E</m:t>
                            </m:r>
                          </m:e>
                          <m:sup>
                            <m:r>
                              <w:rPr>
                                <w:rFonts w:ascii="Cambria Math" w:hAnsi="Cambria Math"/>
                                <w:color w:val="000000"/>
                                <w:kern w:val="24"/>
                                <w:szCs w:val="36"/>
                              </w:rPr>
                              <m:t>0.3</m:t>
                            </m:r>
                          </m:sup>
                        </m:sSup>
                      </m:oMath>
                      <w:r w:rsidR="00EA43A0">
                        <w:rPr>
                          <w:iCs/>
                          <w:color w:val="000000"/>
                          <w:kern w:val="24"/>
                          <w:szCs w:val="36"/>
                        </w:rPr>
                        <w:t>,</w:t>
                      </w:r>
                    </w:p>
                  </w:txbxContent>
                </v:textbox>
                <w10:wrap anchorx="margin"/>
              </v:shape>
            </w:pict>
          </mc:Fallback>
        </mc:AlternateContent>
      </w:r>
      <w:r w:rsidRPr="006C35A6">
        <w:t xml:space="preserve">                                                            </w:t>
      </w:r>
      <w:r>
        <w:t>f</w:t>
      </w:r>
      <w:r w:rsidRPr="006C35A6">
        <w:t>or shale intervals</w:t>
      </w:r>
      <w:r>
        <w:t xml:space="preserve">, </w:t>
      </w:r>
      <w:r>
        <w:tab/>
      </w:r>
      <w:r>
        <w:tab/>
      </w:r>
      <w:r>
        <w:tab/>
      </w:r>
      <w:r>
        <w:tab/>
      </w:r>
      <w:r>
        <w:tab/>
        <w:t>(</w:t>
      </w:r>
      <w:r w:rsidR="008054AB">
        <w:t>4</w:t>
      </w:r>
      <w:r>
        <w:t>.5)</w:t>
      </w:r>
    </w:p>
    <w:p w14:paraId="414B6E94" w14:textId="170A9464" w:rsidR="00D073A0" w:rsidRPr="006C35A6" w:rsidRDefault="00D073A0" w:rsidP="00D073A0">
      <w:r>
        <w:rPr>
          <w:noProof/>
        </w:rPr>
        <mc:AlternateContent>
          <mc:Choice Requires="wps">
            <w:drawing>
              <wp:anchor distT="0" distB="0" distL="114300" distR="114300" simplePos="0" relativeHeight="251824640" behindDoc="0" locked="0" layoutInCell="1" allowOverlap="1" wp14:anchorId="3CFD0BB6" wp14:editId="52B71CEF">
                <wp:simplePos x="0" y="0"/>
                <wp:positionH relativeFrom="margin">
                  <wp:align>left</wp:align>
                </wp:positionH>
                <wp:positionV relativeFrom="paragraph">
                  <wp:posOffset>373673</wp:posOffset>
                </wp:positionV>
                <wp:extent cx="1771650" cy="372745"/>
                <wp:effectExtent l="0" t="0" r="0" b="8255"/>
                <wp:wrapNone/>
                <wp:docPr id="2120"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A6C62" w14:textId="77777777" w:rsidR="00EA43A0" w:rsidRPr="00987AD1" w:rsidRDefault="000310DF" w:rsidP="00D073A0">
                            <w:pPr>
                              <w:pStyle w:val="NormalWeb"/>
                              <w:spacing w:before="0" w:beforeAutospacing="0" w:after="0" w:afterAutospacing="0"/>
                              <w:rPr>
                                <w:sz w:val="18"/>
                              </w:rPr>
                            </w:pPr>
                            <m:oMathPara>
                              <m:oMathParaPr>
                                <m:jc m:val="left"/>
                              </m:oMathParaPr>
                              <m:oMath>
                                <m:sSub>
                                  <m:sSubPr>
                                    <m:ctrlPr>
                                      <w:rPr>
                                        <w:rFonts w:ascii="Cambria Math" w:hAnsi="Cambria Math"/>
                                        <w:i/>
                                        <w:iCs/>
                                        <w:color w:val="000000"/>
                                        <w:kern w:val="24"/>
                                        <w:szCs w:val="36"/>
                                      </w:rPr>
                                    </m:ctrlPr>
                                  </m:sSubPr>
                                  <m:e>
                                    <m:r>
                                      <w:rPr>
                                        <w:rFonts w:ascii="Cambria Math" w:hAnsi="Cambria Math"/>
                                        <w:color w:val="000000"/>
                                        <w:kern w:val="24"/>
                                        <w:szCs w:val="36"/>
                                      </w:rPr>
                                      <m:t>T</m:t>
                                    </m:r>
                                  </m:e>
                                  <m:sub>
                                    <m:r>
                                      <w:rPr>
                                        <w:rFonts w:ascii="Cambria Math" w:hAnsi="Cambria Math"/>
                                        <w:color w:val="000000"/>
                                        <w:kern w:val="24"/>
                                        <w:szCs w:val="36"/>
                                      </w:rPr>
                                      <m:t>o</m:t>
                                    </m:r>
                                  </m:sub>
                                </m:sSub>
                                <m:r>
                                  <w:rPr>
                                    <w:rFonts w:ascii="Cambria Math" w:hAnsi="Cambria Math"/>
                                    <w:color w:val="000000"/>
                                    <w:kern w:val="24"/>
                                    <w:szCs w:val="36"/>
                                  </w:rPr>
                                  <m:t>=10%UCS,</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D0BB6" id="TextBox 14" o:spid="_x0000_s1051" type="#_x0000_t202" style="position:absolute;left:0;text-align:left;margin-left:0;margin-top:29.4pt;width:139.5pt;height:29.35pt;z-index:251824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" filled="f" stroked="f">
                <v:textbox>
                  <w:txbxContent>
                    <w:p w14:paraId="658A6C62" w14:textId="77777777" w:rsidR="00EA43A0" w:rsidRPr="00987AD1" w:rsidRDefault="000310DF" w:rsidP="00D073A0">
                      <w:pPr>
                        <w:pStyle w:val="NormalWeb"/>
                        <w:spacing w:before="0" w:beforeAutospacing="0" w:after="0" w:afterAutospacing="0"/>
                        <w:rPr>
                          <w:sz w:val="18"/>
                        </w:rPr>
                      </w:pPr>
                      <m:oMathPara>
                        <m:oMathParaPr>
                          <m:jc m:val="left"/>
                        </m:oMathParaPr>
                        <m:oMath>
                          <m:sSub>
                            <m:sSubPr>
                              <m:ctrlPr>
                                <w:rPr>
                                  <w:rFonts w:ascii="Cambria Math" w:hAnsi="Cambria Math"/>
                                  <w:i/>
                                  <w:iCs/>
                                  <w:color w:val="000000"/>
                                  <w:kern w:val="24"/>
                                  <w:szCs w:val="36"/>
                                </w:rPr>
                              </m:ctrlPr>
                            </m:sSubPr>
                            <m:e>
                              <m:r>
                                <w:rPr>
                                  <w:rFonts w:ascii="Cambria Math" w:hAnsi="Cambria Math"/>
                                  <w:color w:val="000000"/>
                                  <w:kern w:val="24"/>
                                  <w:szCs w:val="36"/>
                                </w:rPr>
                                <m:t>T</m:t>
                              </m:r>
                            </m:e>
                            <m:sub>
                              <m:r>
                                <w:rPr>
                                  <w:rFonts w:ascii="Cambria Math" w:hAnsi="Cambria Math"/>
                                  <w:color w:val="000000"/>
                                  <w:kern w:val="24"/>
                                  <w:szCs w:val="36"/>
                                </w:rPr>
                                <m:t>o</m:t>
                              </m:r>
                            </m:sub>
                          </m:sSub>
                          <m:r>
                            <w:rPr>
                              <w:rFonts w:ascii="Cambria Math" w:hAnsi="Cambria Math"/>
                              <w:color w:val="000000"/>
                              <w:kern w:val="24"/>
                              <w:szCs w:val="36"/>
                            </w:rPr>
                            <m:t>=10%UCS,</m:t>
                          </m:r>
                        </m:oMath>
                      </m:oMathPara>
                    </w:p>
                  </w:txbxContent>
                </v:textbox>
                <w10:wrap anchorx="margin"/>
              </v:shape>
            </w:pict>
          </mc:Fallback>
        </mc:AlternateContent>
      </w:r>
      <w:r w:rsidRPr="006C35A6">
        <w:t xml:space="preserve">                                                            </w:t>
      </w:r>
      <w:r>
        <w:t>f</w:t>
      </w:r>
      <w:r w:rsidRPr="006C35A6">
        <w:t>or dolomite-rich intervals</w:t>
      </w:r>
      <w:r>
        <w:t>,</w:t>
      </w:r>
      <w:r w:rsidR="00BC4769">
        <w:t xml:space="preserve"> and </w:t>
      </w:r>
      <w:r>
        <w:tab/>
      </w:r>
      <w:r>
        <w:tab/>
      </w:r>
      <w:r>
        <w:tab/>
        <w:t>(</w:t>
      </w:r>
      <w:r w:rsidR="008054AB">
        <w:t>4</w:t>
      </w:r>
      <w:r>
        <w:t>.6)</w:t>
      </w:r>
    </w:p>
    <w:p w14:paraId="05DDEAF4" w14:textId="64F13E8C" w:rsidR="00D073A0" w:rsidRPr="006C35A6" w:rsidRDefault="00D073A0" w:rsidP="00D073A0">
      <w:r w:rsidRPr="006C35A6">
        <w:t xml:space="preserve">                                                   </w:t>
      </w:r>
      <w:r>
        <w:t xml:space="preserve">         for </w:t>
      </w:r>
      <w:r w:rsidRPr="006C35A6">
        <w:t>Tensile Stress</w:t>
      </w:r>
      <w:r w:rsidR="00BC4769">
        <w:t>.</w:t>
      </w:r>
      <w:r>
        <w:t xml:space="preserve"> </w:t>
      </w:r>
      <w:r>
        <w:tab/>
      </w:r>
      <w:r>
        <w:tab/>
      </w:r>
      <w:r>
        <w:tab/>
      </w:r>
      <w:r>
        <w:tab/>
      </w:r>
      <w:r>
        <w:tab/>
        <w:t>(</w:t>
      </w:r>
      <w:r w:rsidR="008054AB">
        <w:t>4</w:t>
      </w:r>
      <w:r>
        <w:t>.7)</w:t>
      </w:r>
    </w:p>
    <w:p w14:paraId="2D8B352F" w14:textId="5349E929" w:rsidR="00D073A0" w:rsidRPr="006C35A6" w:rsidRDefault="00BC4769" w:rsidP="00D073A0">
      <w:pPr>
        <w:rPr>
          <w:rFonts w:eastAsia="Times New Roman"/>
          <w:color w:val="000000"/>
        </w:rPr>
      </w:pPr>
      <w:r>
        <w:rPr>
          <w:noProof/>
        </w:rPr>
        <mc:AlternateContent>
          <mc:Choice Requires="wps">
            <w:drawing>
              <wp:anchor distT="0" distB="0" distL="114300" distR="114300" simplePos="0" relativeHeight="251826688" behindDoc="0" locked="0" layoutInCell="1" allowOverlap="1" wp14:anchorId="55DDD22B" wp14:editId="56D3AA99">
                <wp:simplePos x="0" y="0"/>
                <wp:positionH relativeFrom="column">
                  <wp:posOffset>1913890</wp:posOffset>
                </wp:positionH>
                <wp:positionV relativeFrom="paragraph">
                  <wp:posOffset>648970</wp:posOffset>
                </wp:positionV>
                <wp:extent cx="2295525" cy="586740"/>
                <wp:effectExtent l="0" t="0" r="0" b="0"/>
                <wp:wrapNone/>
                <wp:docPr id="2125"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586740"/>
                        </a:xfrm>
                        <a:prstGeom prst="rect">
                          <a:avLst/>
                        </a:prstGeom>
                        <a:noFill/>
                      </wps:spPr>
                      <wps:txbx>
                        <w:txbxContent>
                          <w:p w14:paraId="0A6CCD76" w14:textId="77777777" w:rsidR="00EA43A0" w:rsidRPr="00987AD1" w:rsidRDefault="000310DF" w:rsidP="00D073A0">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v</m:t>
                                        </m:r>
                                      </m:num>
                                      <m:den>
                                        <m:r>
                                          <w:rPr>
                                            <w:rFonts w:ascii="Cambria Math" w:hAnsi="Cambria Math"/>
                                            <w:color w:val="000000"/>
                                            <w:kern w:val="24"/>
                                          </w:rPr>
                                          <m:t>1-v</m:t>
                                        </m:r>
                                      </m:den>
                                    </m:f>
                                  </m:e>
                                </m:d>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v</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1-2v</m:t>
                                        </m:r>
                                      </m:num>
                                      <m:den>
                                        <m:r>
                                          <w:rPr>
                                            <w:rFonts w:ascii="Cambria Math" w:hAnsi="Cambria Math"/>
                                            <w:color w:val="000000"/>
                                            <w:kern w:val="24"/>
                                          </w:rPr>
                                          <m:t>1-v</m:t>
                                        </m:r>
                                      </m:den>
                                    </m:f>
                                  </m:e>
                                </m:d>
                                <m:r>
                                  <w:rPr>
                                    <w:rFonts w:ascii="Cambria Math" w:eastAsia="Cambria Math" w:hAnsi="Cambria Math"/>
                                    <w:color w:val="000000"/>
                                    <w:kern w:val="24"/>
                                  </w:rPr>
                                  <m:t>αρ</m:t>
                                </m:r>
                              </m:oMath>
                            </m:oMathPara>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5DDD22B" id="TextBox 19" o:spid="_x0000_s1052" type="#_x0000_t202" style="position:absolute;left:0;text-align:left;margin-left:150.7pt;margin-top:51.1pt;width:180.75pt;height:46.2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" filled="f" stroked="f">
                <v:textbox style="mso-fit-shape-to-text:t">
                  <w:txbxContent>
                    <w:p w14:paraId="0A6CCD76" w14:textId="77777777" w:rsidR="00EA43A0" w:rsidRPr="00987AD1" w:rsidRDefault="000310DF" w:rsidP="00D073A0">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v</m:t>
                                  </m:r>
                                </m:num>
                                <m:den>
                                  <m:r>
                                    <w:rPr>
                                      <w:rFonts w:ascii="Cambria Math" w:hAnsi="Cambria Math"/>
                                      <w:color w:val="000000"/>
                                      <w:kern w:val="24"/>
                                    </w:rPr>
                                    <m:t>1-v</m:t>
                                  </m:r>
                                </m:den>
                              </m:f>
                            </m:e>
                          </m:d>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v</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1-2v</m:t>
                                  </m:r>
                                </m:num>
                                <m:den>
                                  <m:r>
                                    <w:rPr>
                                      <w:rFonts w:ascii="Cambria Math" w:hAnsi="Cambria Math"/>
                                      <w:color w:val="000000"/>
                                      <w:kern w:val="24"/>
                                    </w:rPr>
                                    <m:t>1-v</m:t>
                                  </m:r>
                                </m:den>
                              </m:f>
                            </m:e>
                          </m:d>
                          <m:r>
                            <w:rPr>
                              <w:rFonts w:ascii="Cambria Math" w:eastAsia="Cambria Math" w:hAnsi="Cambria Math"/>
                              <w:color w:val="000000"/>
                              <w:kern w:val="24"/>
                            </w:rPr>
                            <m:t>αρ</m:t>
                          </m:r>
                        </m:oMath>
                      </m:oMathPara>
                    </w:p>
                  </w:txbxContent>
                </v:textbox>
              </v:shape>
            </w:pict>
          </mc:Fallback>
        </mc:AlternateContent>
      </w:r>
      <w:r w:rsidR="00D073A0" w:rsidRPr="006C35A6">
        <w:rPr>
          <w:rFonts w:eastAsia="Times New Roman"/>
          <w:color w:val="000000"/>
        </w:rPr>
        <w:t xml:space="preserve"> </w:t>
      </w:r>
      <w:r w:rsidR="00D073A0">
        <w:rPr>
          <w:rFonts w:eastAsia="Times New Roman"/>
          <w:color w:val="000000"/>
        </w:rPr>
        <w:tab/>
        <w:t>T</w:t>
      </w:r>
      <w:r w:rsidR="00D073A0" w:rsidRPr="006C35A6">
        <w:rPr>
          <w:rFonts w:eastAsia="Times New Roman"/>
          <w:color w:val="000000"/>
        </w:rPr>
        <w:t>he</w:t>
      </w:r>
      <w:r>
        <w:rPr>
          <w:rFonts w:eastAsia="Times New Roman"/>
          <w:color w:val="000000"/>
        </w:rPr>
        <w:t xml:space="preserve"> computed</w:t>
      </w:r>
      <w:r w:rsidR="00D073A0" w:rsidRPr="006C35A6">
        <w:rPr>
          <w:rFonts w:eastAsia="Times New Roman"/>
          <w:color w:val="000000"/>
        </w:rPr>
        <w:t xml:space="preserve"> </w:t>
      </w:r>
      <w:r w:rsidR="00D073A0">
        <w:rPr>
          <w:rFonts w:eastAsia="Times New Roman"/>
          <w:color w:val="000000"/>
        </w:rPr>
        <w:t>f</w:t>
      </w:r>
      <w:r w:rsidR="00D073A0" w:rsidRPr="006C35A6">
        <w:rPr>
          <w:rFonts w:eastAsia="Times New Roman"/>
          <w:color w:val="000000"/>
        </w:rPr>
        <w:t xml:space="preserve">racture </w:t>
      </w:r>
      <w:r w:rsidR="00D073A0">
        <w:rPr>
          <w:rFonts w:eastAsia="Times New Roman"/>
          <w:color w:val="000000"/>
        </w:rPr>
        <w:t>g</w:t>
      </w:r>
      <w:r w:rsidR="00D073A0" w:rsidRPr="006C35A6">
        <w:rPr>
          <w:rFonts w:eastAsia="Times New Roman"/>
          <w:color w:val="000000"/>
        </w:rPr>
        <w:t xml:space="preserve">radient and </w:t>
      </w:r>
      <w:r>
        <w:rPr>
          <w:rFonts w:eastAsia="Times New Roman"/>
          <w:color w:val="000000"/>
        </w:rPr>
        <w:t xml:space="preserve">the </w:t>
      </w:r>
      <w:r w:rsidR="00D073A0">
        <w:rPr>
          <w:rFonts w:eastAsia="Times New Roman"/>
          <w:color w:val="000000"/>
        </w:rPr>
        <w:t>f</w:t>
      </w:r>
      <w:r w:rsidR="00D073A0" w:rsidRPr="006C35A6">
        <w:rPr>
          <w:rFonts w:eastAsia="Times New Roman"/>
          <w:color w:val="000000"/>
        </w:rPr>
        <w:t xml:space="preserve">racture </w:t>
      </w:r>
      <w:r w:rsidR="00D073A0">
        <w:rPr>
          <w:rFonts w:eastAsia="Times New Roman"/>
          <w:color w:val="000000"/>
        </w:rPr>
        <w:t>t</w:t>
      </w:r>
      <w:r w:rsidR="00D073A0" w:rsidRPr="006C35A6">
        <w:rPr>
          <w:rFonts w:eastAsia="Times New Roman"/>
          <w:color w:val="000000"/>
        </w:rPr>
        <w:t xml:space="preserve">oughness variations for the zones of interest using the </w:t>
      </w:r>
      <w:r w:rsidR="00D073A0">
        <w:rPr>
          <w:rFonts w:eastAsia="Times New Roman"/>
          <w:color w:val="000000"/>
        </w:rPr>
        <w:t xml:space="preserve">methodologies of </w:t>
      </w:r>
      <w:r w:rsidR="00D073A0" w:rsidRPr="006C35A6">
        <w:rPr>
          <w:rFonts w:eastAsia="Times New Roman"/>
          <w:color w:val="000000"/>
        </w:rPr>
        <w:t>Havens et al.</w:t>
      </w:r>
      <w:r w:rsidR="00D073A0">
        <w:rPr>
          <w:rFonts w:eastAsia="Times New Roman"/>
          <w:color w:val="000000"/>
        </w:rPr>
        <w:t xml:space="preserve"> (</w:t>
      </w:r>
      <w:r w:rsidR="00D073A0" w:rsidRPr="006C35A6">
        <w:rPr>
          <w:rFonts w:eastAsia="Times New Roman"/>
          <w:color w:val="000000"/>
        </w:rPr>
        <w:t>2010</w:t>
      </w:r>
      <w:r w:rsidR="00D073A0">
        <w:rPr>
          <w:rFonts w:eastAsia="Times New Roman"/>
          <w:color w:val="000000"/>
        </w:rPr>
        <w:t xml:space="preserve">) and </w:t>
      </w:r>
      <w:r w:rsidR="00D073A0" w:rsidRPr="006C35A6">
        <w:rPr>
          <w:rFonts w:eastAsia="Times New Roman"/>
          <w:color w:val="000000"/>
        </w:rPr>
        <w:t xml:space="preserve"> Wang et al.</w:t>
      </w:r>
      <w:r w:rsidR="00D073A0">
        <w:rPr>
          <w:rFonts w:eastAsia="Times New Roman"/>
          <w:color w:val="000000"/>
        </w:rPr>
        <w:t xml:space="preserve"> (</w:t>
      </w:r>
      <w:r w:rsidR="00D073A0" w:rsidRPr="006C35A6">
        <w:rPr>
          <w:rFonts w:eastAsia="Times New Roman"/>
          <w:color w:val="000000"/>
        </w:rPr>
        <w:t>2011</w:t>
      </w:r>
      <w:r>
        <w:rPr>
          <w:rFonts w:eastAsia="Times New Roman"/>
          <w:color w:val="000000"/>
        </w:rPr>
        <w:t>):</w:t>
      </w:r>
    </w:p>
    <w:p w14:paraId="50841BCC" w14:textId="54846640" w:rsidR="00D073A0" w:rsidRPr="000A7D99" w:rsidRDefault="00D073A0" w:rsidP="00D073A0">
      <w:r w:rsidRPr="000A7D99">
        <w:t>Fracture Toughness:</w:t>
      </w:r>
      <w:r w:rsidRPr="000A7D99">
        <w:tab/>
      </w:r>
      <w:r w:rsidRPr="000A7D99">
        <w:tab/>
      </w:r>
      <w:r w:rsidRPr="000A7D99">
        <w:tab/>
      </w:r>
      <w:r w:rsidRPr="000A7D99">
        <w:tab/>
      </w:r>
      <w:r w:rsidRPr="000A7D99">
        <w:tab/>
      </w:r>
      <w:r w:rsidRPr="000A7D99">
        <w:tab/>
      </w:r>
      <w:r w:rsidRPr="000A7D99">
        <w:tab/>
      </w:r>
      <w:r w:rsidRPr="005963C1">
        <w:t>,</w:t>
      </w:r>
      <w:r w:rsidR="00BC4769">
        <w:t xml:space="preserve"> </w:t>
      </w:r>
      <w:r w:rsidR="00C81B1C">
        <w:t xml:space="preserve">                                  </w:t>
      </w:r>
      <w:r w:rsidRPr="005963C1">
        <w:t>(</w:t>
      </w:r>
      <w:r w:rsidR="008054AB">
        <w:t>4</w:t>
      </w:r>
      <w:r w:rsidRPr="005963C1">
        <w:t>.8)</w:t>
      </w:r>
    </w:p>
    <w:p w14:paraId="772B4523" w14:textId="11593440" w:rsidR="00D073A0" w:rsidRPr="000A7D99" w:rsidRDefault="00D073A0" w:rsidP="00D073A0">
      <w:r w:rsidRPr="005963C1">
        <w:rPr>
          <w:noProof/>
        </w:rPr>
        <mc:AlternateContent>
          <mc:Choice Requires="wps">
            <w:drawing>
              <wp:anchor distT="0" distB="0" distL="114300" distR="114300" simplePos="0" relativeHeight="251825664" behindDoc="0" locked="0" layoutInCell="1" allowOverlap="1" wp14:anchorId="2AD2C8EA" wp14:editId="737270C0">
                <wp:simplePos x="0" y="0"/>
                <wp:positionH relativeFrom="column">
                  <wp:posOffset>2045970</wp:posOffset>
                </wp:positionH>
                <wp:positionV relativeFrom="paragraph">
                  <wp:posOffset>-79375</wp:posOffset>
                </wp:positionV>
                <wp:extent cx="1257300" cy="617220"/>
                <wp:effectExtent l="0" t="0" r="0" b="0"/>
                <wp:wrapNone/>
                <wp:docPr id="212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617220"/>
                        </a:xfrm>
                        <a:prstGeom prst="rect">
                          <a:avLst/>
                        </a:prstGeom>
                        <a:noFill/>
                      </wps:spPr>
                      <wps:txbx>
                        <w:txbxContent>
                          <w:p w14:paraId="0B12E3E3" w14:textId="77777777" w:rsidR="00EA43A0" w:rsidRPr="00987AD1" w:rsidRDefault="00EA43A0" w:rsidP="00D073A0">
                            <w:pPr>
                              <w:pStyle w:val="NormalWeb"/>
                              <w:spacing w:before="0" w:beforeAutospacing="0" w:after="0" w:afterAutospacing="0"/>
                            </w:pPr>
                            <m:oMathPara>
                              <m:oMathParaPr>
                                <m:jc m:val="centerGroup"/>
                              </m:oMathParaPr>
                              <m:oMath>
                                <m:r>
                                  <w:rPr>
                                    <w:rFonts w:ascii="Cambria Math" w:hAnsi="Cambria Math"/>
                                    <w:color w:val="000000"/>
                                    <w:kern w:val="24"/>
                                  </w:rPr>
                                  <m:t>FG=</m:t>
                                </m:r>
                                <m:f>
                                  <m:fPr>
                                    <m:ctrlPr>
                                      <w:rPr>
                                        <w:rFonts w:ascii="Cambria Math" w:hAnsi="Cambria Math"/>
                                        <w:i/>
                                        <w:iCs/>
                                        <w:color w:val="000000"/>
                                        <w:kern w:val="24"/>
                                      </w:rPr>
                                    </m:ctrlPr>
                                  </m:fPr>
                                  <m:num>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T</m:t>
                                        </m:r>
                                      </m:e>
                                      <m:sub>
                                        <m:r>
                                          <w:rPr>
                                            <w:rFonts w:ascii="Cambria Math" w:hAnsi="Cambria Math"/>
                                            <w:color w:val="000000"/>
                                            <w:kern w:val="24"/>
                                          </w:rPr>
                                          <m:t>o</m:t>
                                        </m:r>
                                      </m:sub>
                                    </m:sSub>
                                  </m:num>
                                  <m:den>
                                    <m:r>
                                      <w:rPr>
                                        <w:rFonts w:ascii="Cambria Math" w:hAnsi="Cambria Math"/>
                                        <w:color w:val="000000"/>
                                        <w:kern w:val="24"/>
                                      </w:rPr>
                                      <m:t>Z</m:t>
                                    </m:r>
                                  </m:den>
                                </m:f>
                              </m:oMath>
                            </m:oMathPara>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2AD2C8EA" id="TextBox 20" o:spid="_x0000_s1053" type="#_x0000_t202" style="position:absolute;left:0;text-align:left;margin-left:161.1pt;margin-top:-6.25pt;width:99pt;height:48.6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" filled="f" stroked="f">
                <v:textbox style="mso-fit-shape-to-text:t">
                  <w:txbxContent>
                    <w:p w14:paraId="0B12E3E3" w14:textId="77777777" w:rsidR="00EA43A0" w:rsidRPr="00987AD1" w:rsidRDefault="00EA43A0" w:rsidP="00D073A0">
                      <w:pPr>
                        <w:pStyle w:val="NormalWeb"/>
                        <w:spacing w:before="0" w:beforeAutospacing="0" w:after="0" w:afterAutospacing="0"/>
                      </w:pPr>
                      <m:oMathPara>
                        <m:oMathParaPr>
                          <m:jc m:val="centerGroup"/>
                        </m:oMathParaPr>
                        <m:oMath>
                          <m:r>
                            <w:rPr>
                              <w:rFonts w:ascii="Cambria Math" w:hAnsi="Cambria Math"/>
                              <w:color w:val="000000"/>
                              <w:kern w:val="24"/>
                            </w:rPr>
                            <m:t>FG=</m:t>
                          </m:r>
                          <m:f>
                            <m:fPr>
                              <m:ctrlPr>
                                <w:rPr>
                                  <w:rFonts w:ascii="Cambria Math" w:hAnsi="Cambria Math"/>
                                  <w:i/>
                                  <w:iCs/>
                                  <w:color w:val="000000"/>
                                  <w:kern w:val="24"/>
                                </w:rPr>
                              </m:ctrlPr>
                            </m:fPr>
                            <m:num>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T</m:t>
                                  </m:r>
                                </m:e>
                                <m:sub>
                                  <m:r>
                                    <w:rPr>
                                      <w:rFonts w:ascii="Cambria Math" w:hAnsi="Cambria Math"/>
                                      <w:color w:val="000000"/>
                                      <w:kern w:val="24"/>
                                    </w:rPr>
                                    <m:t>o</m:t>
                                  </m:r>
                                </m:sub>
                              </m:sSub>
                            </m:num>
                            <m:den>
                              <m:r>
                                <w:rPr>
                                  <w:rFonts w:ascii="Cambria Math" w:hAnsi="Cambria Math"/>
                                  <w:color w:val="000000"/>
                                  <w:kern w:val="24"/>
                                </w:rPr>
                                <m:t>Z</m:t>
                              </m:r>
                            </m:den>
                          </m:f>
                        </m:oMath>
                      </m:oMathPara>
                    </w:p>
                  </w:txbxContent>
                </v:textbox>
              </v:shape>
            </w:pict>
          </mc:Fallback>
        </mc:AlternateContent>
      </w:r>
      <w:r w:rsidRPr="00980A45">
        <w:t>mi</w:t>
      </w:r>
      <w:r w:rsidRPr="000A7D99">
        <w:t xml:space="preserve">nimum horizontal Stress:  </w:t>
      </w:r>
      <w:r w:rsidRPr="000A7D99">
        <w:tab/>
      </w:r>
      <w:r w:rsidRPr="005963C1">
        <w:tab/>
      </w:r>
      <w:r w:rsidRPr="005963C1">
        <w:tab/>
      </w:r>
      <w:r w:rsidRPr="005963C1">
        <w:tab/>
        <w:t>,</w:t>
      </w:r>
      <w:r w:rsidRPr="005963C1">
        <w:tab/>
      </w:r>
      <w:r w:rsidRPr="005963C1">
        <w:tab/>
      </w:r>
      <w:r w:rsidRPr="005963C1">
        <w:tab/>
      </w:r>
      <w:r w:rsidRPr="005963C1">
        <w:tab/>
      </w:r>
      <w:r>
        <w:tab/>
      </w:r>
      <w:r w:rsidRPr="005963C1">
        <w:t>(</w:t>
      </w:r>
      <w:r w:rsidR="008054AB">
        <w:t>4</w:t>
      </w:r>
      <w:r w:rsidRPr="005963C1">
        <w:t>.9)</w:t>
      </w:r>
      <w:r w:rsidRPr="000A7D99">
        <w:t xml:space="preserve"> </w:t>
      </w:r>
    </w:p>
    <w:p w14:paraId="52083C5C" w14:textId="77777777" w:rsidR="00D073A0" w:rsidRDefault="00D073A0" w:rsidP="00D073A0">
      <w:r w:rsidRPr="000A7D99">
        <w:t xml:space="preserve">and </w:t>
      </w:r>
    </w:p>
    <w:p w14:paraId="21007DF3" w14:textId="091876D2" w:rsidR="00D073A0" w:rsidRDefault="00D073A0" w:rsidP="00D073A0">
      <w:r w:rsidRPr="005963C1">
        <w:rPr>
          <w:noProof/>
        </w:rPr>
        <w:lastRenderedPageBreak/>
        <mc:AlternateContent>
          <mc:Choice Requires="wps">
            <w:drawing>
              <wp:anchor distT="0" distB="0" distL="114300" distR="114300" simplePos="0" relativeHeight="251821568" behindDoc="0" locked="0" layoutInCell="1" allowOverlap="1" wp14:anchorId="085C7B5A" wp14:editId="5EF4DA13">
                <wp:simplePos x="0" y="0"/>
                <wp:positionH relativeFrom="column">
                  <wp:posOffset>2426970</wp:posOffset>
                </wp:positionH>
                <wp:positionV relativeFrom="paragraph">
                  <wp:posOffset>18415</wp:posOffset>
                </wp:positionV>
                <wp:extent cx="1123950" cy="449580"/>
                <wp:effectExtent l="0" t="0" r="0" b="0"/>
                <wp:wrapNone/>
                <wp:docPr id="2124"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449580"/>
                        </a:xfrm>
                        <a:prstGeom prst="rect">
                          <a:avLst/>
                        </a:prstGeom>
                        <a:noFill/>
                      </wps:spPr>
                      <wps:txbx>
                        <w:txbxContent>
                          <w:p w14:paraId="6EBD41E5" w14:textId="7E0ABD9A" w:rsidR="00EA43A0" w:rsidRPr="00987AD1" w:rsidRDefault="000310DF" w:rsidP="00D073A0">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K</m:t>
                                    </m:r>
                                  </m:e>
                                  <m:sub>
                                    <m:r>
                                      <w:rPr>
                                        <w:rFonts w:ascii="Cambria Math" w:hAnsi="Cambria Math"/>
                                        <w:color w:val="000000"/>
                                        <w:kern w:val="24"/>
                                      </w:rPr>
                                      <m:t>ic</m:t>
                                    </m:r>
                                  </m:sub>
                                </m:sSub>
                                <m:r>
                                  <w:rPr>
                                    <w:rFonts w:ascii="Cambria Math" w:hAnsi="Cambria Math"/>
                                    <w:color w:val="000000"/>
                                    <w:kern w:val="24"/>
                                  </w:rPr>
                                  <m:t>=0.05E,</m:t>
                                </m:r>
                              </m:oMath>
                            </m:oMathPara>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85C7B5A" id="TextBox 23" o:spid="_x0000_s1054" type="#_x0000_t202" style="position:absolute;left:0;text-align:left;margin-left:191.1pt;margin-top:1.45pt;width:88.5pt;height:35.4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" filled="f" stroked="f">
                <v:textbox style="mso-fit-shape-to-text:t">
                  <w:txbxContent>
                    <w:p w14:paraId="6EBD41E5" w14:textId="7E0ABD9A" w:rsidR="00EA43A0" w:rsidRPr="00987AD1" w:rsidRDefault="000310DF" w:rsidP="00D073A0">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K</m:t>
                              </m:r>
                            </m:e>
                            <m:sub>
                              <m:r>
                                <w:rPr>
                                  <w:rFonts w:ascii="Cambria Math" w:hAnsi="Cambria Math"/>
                                  <w:color w:val="000000"/>
                                  <w:kern w:val="24"/>
                                </w:rPr>
                                <m:t>ic</m:t>
                              </m:r>
                            </m:sub>
                          </m:sSub>
                          <m:r>
                            <w:rPr>
                              <w:rFonts w:ascii="Cambria Math" w:hAnsi="Cambria Math"/>
                              <w:color w:val="000000"/>
                              <w:kern w:val="24"/>
                            </w:rPr>
                            <m:t>=0.05E,</m:t>
                          </m:r>
                        </m:oMath>
                      </m:oMathPara>
                    </w:p>
                  </w:txbxContent>
                </v:textbox>
              </v:shape>
            </w:pict>
          </mc:Fallback>
        </mc:AlternateContent>
      </w:r>
      <w:r w:rsidRPr="000A7D99">
        <w:t xml:space="preserve">Fracture Gradient: </w:t>
      </w:r>
      <w:r w:rsidRPr="000A7D99">
        <w:tab/>
      </w:r>
      <w:r>
        <w:rPr>
          <w:b/>
        </w:rPr>
        <w:tab/>
      </w:r>
      <w:r>
        <w:rPr>
          <w:b/>
        </w:rPr>
        <w:tab/>
      </w:r>
      <w:r>
        <w:rPr>
          <w:b/>
        </w:rPr>
        <w:tab/>
      </w:r>
      <w:r>
        <w:rPr>
          <w:b/>
        </w:rPr>
        <w:tab/>
      </w:r>
      <w:r>
        <w:t>,</w:t>
      </w:r>
      <w:r>
        <w:tab/>
      </w:r>
      <w:r>
        <w:tab/>
      </w:r>
      <w:r>
        <w:tab/>
      </w:r>
      <w:r>
        <w:tab/>
      </w:r>
      <w:r>
        <w:tab/>
        <w:t>(</w:t>
      </w:r>
      <w:r w:rsidR="008054AB">
        <w:t>4</w:t>
      </w:r>
      <w:r>
        <w:t>.10)</w:t>
      </w:r>
    </w:p>
    <w:p w14:paraId="2AEC95AA" w14:textId="77777777" w:rsidR="00D073A0" w:rsidRPr="00B31531" w:rsidRDefault="00D073A0" w:rsidP="00D073A0">
      <w:r>
        <w:t>where the depth (</w:t>
      </w:r>
      <w:r w:rsidRPr="00863288">
        <w:rPr>
          <w:i/>
        </w:rPr>
        <w:t>Z</w:t>
      </w:r>
      <w:r>
        <w:t>) is measured in meters.</w:t>
      </w:r>
    </w:p>
    <w:p w14:paraId="5136720C" w14:textId="77777777" w:rsidR="00D073A0" w:rsidRPr="006C35A6" w:rsidRDefault="00D073A0" w:rsidP="00734537">
      <w:pPr>
        <w:pStyle w:val="Heading3"/>
        <w:numPr>
          <w:ilvl w:val="2"/>
          <w:numId w:val="34"/>
        </w:numPr>
      </w:pPr>
      <w:bookmarkStart w:id="390" w:name="_Toc25833594"/>
      <w:bookmarkStart w:id="391" w:name="_Toc28065392"/>
      <w:bookmarkStart w:id="392" w:name="_Toc35861138"/>
      <w:r>
        <w:t>Computing the</w:t>
      </w:r>
      <w:r w:rsidRPr="006C35A6">
        <w:t xml:space="preserve"> dynamic </w:t>
      </w:r>
      <w:r>
        <w:t>f</w:t>
      </w:r>
      <w:r w:rsidRPr="006C35A6">
        <w:t xml:space="preserve">racture </w:t>
      </w:r>
      <w:r>
        <w:t>g</w:t>
      </w:r>
      <w:r w:rsidRPr="006C35A6">
        <w:t>radient</w:t>
      </w:r>
      <w:bookmarkEnd w:id="390"/>
      <w:bookmarkEnd w:id="391"/>
      <w:bookmarkEnd w:id="392"/>
      <w:r w:rsidRPr="006C35A6">
        <w:t xml:space="preserve"> </w:t>
      </w:r>
    </w:p>
    <w:p w14:paraId="30C227A7" w14:textId="1668CA2D" w:rsidR="00D073A0" w:rsidRDefault="00D073A0" w:rsidP="00D073A0">
      <w:pPr>
        <w:ind w:firstLine="720"/>
        <w:rPr>
          <w:rFonts w:eastAsia="Times New Roman"/>
          <w:color w:val="000000"/>
        </w:rPr>
      </w:pPr>
      <w:r w:rsidRPr="002D4B40">
        <w:rPr>
          <w:rFonts w:eastAsia="Times New Roman"/>
          <w:color w:val="000000"/>
        </w:rPr>
        <w:t xml:space="preserve">The </w:t>
      </w:r>
      <w:r w:rsidRPr="00D323CD">
        <w:rPr>
          <w:rFonts w:eastAsia="Times New Roman"/>
          <w:i/>
          <w:iCs/>
          <w:color w:val="000000"/>
        </w:rPr>
        <w:t>in-situ</w:t>
      </w:r>
      <w:r w:rsidRPr="002D4B40">
        <w:rPr>
          <w:rFonts w:eastAsia="Times New Roman"/>
          <w:color w:val="000000"/>
        </w:rPr>
        <w:t xml:space="preserve"> pore pressure (PP) within </w:t>
      </w:r>
      <w:r w:rsidR="00367A83">
        <w:rPr>
          <w:rFonts w:eastAsia="Times New Roman"/>
          <w:color w:val="000000"/>
        </w:rPr>
        <w:t xml:space="preserve">unconventional resource </w:t>
      </w:r>
      <w:r w:rsidRPr="002D4B40">
        <w:rPr>
          <w:rFonts w:eastAsia="Times New Roman"/>
          <w:color w:val="000000"/>
        </w:rPr>
        <w:t xml:space="preserve">shale, like the Woodford shale, is </w:t>
      </w:r>
      <w:r>
        <w:rPr>
          <w:rFonts w:eastAsia="Times New Roman"/>
          <w:color w:val="000000"/>
        </w:rPr>
        <w:t>challenging</w:t>
      </w:r>
      <w:r w:rsidRPr="002D4B40">
        <w:rPr>
          <w:rFonts w:eastAsia="Times New Roman"/>
          <w:color w:val="000000"/>
        </w:rPr>
        <w:t xml:space="preserve"> to measure accurately due to its very low intrinsic permeability using conventional means of well testing</w:t>
      </w:r>
      <w:r>
        <w:rPr>
          <w:rFonts w:eastAsia="Times New Roman"/>
          <w:color w:val="000000"/>
        </w:rPr>
        <w:t xml:space="preserve"> (Kumar and Ghassemi, 2018)</w:t>
      </w:r>
      <w:r w:rsidRPr="002D4B40">
        <w:rPr>
          <w:rFonts w:eastAsia="Times New Roman"/>
          <w:color w:val="000000"/>
        </w:rPr>
        <w:t xml:space="preserve">. </w:t>
      </w:r>
      <w:r w:rsidR="004E3DEA">
        <w:rPr>
          <w:rFonts w:eastAsia="Times New Roman"/>
          <w:color w:val="000000"/>
        </w:rPr>
        <w:t>Specifically, t</w:t>
      </w:r>
      <w:r w:rsidRPr="002D4B40">
        <w:rPr>
          <w:rFonts w:eastAsia="Times New Roman"/>
          <w:color w:val="000000"/>
        </w:rPr>
        <w:t xml:space="preserve">he transient pressures cannot be stabilized in a reasonable amount of time </w:t>
      </w:r>
      <w:r>
        <w:rPr>
          <w:rFonts w:eastAsia="Times New Roman"/>
          <w:color w:val="000000"/>
        </w:rPr>
        <w:t>using</w:t>
      </w:r>
      <w:r w:rsidRPr="002D4B40">
        <w:rPr>
          <w:rFonts w:eastAsia="Times New Roman"/>
          <w:color w:val="000000"/>
        </w:rPr>
        <w:t xml:space="preserve"> a modular dynamic test (MDT) </w:t>
      </w:r>
      <w:r>
        <w:rPr>
          <w:rFonts w:eastAsia="Times New Roman"/>
          <w:color w:val="000000"/>
        </w:rPr>
        <w:t xml:space="preserve">commonly used </w:t>
      </w:r>
      <w:r w:rsidRPr="002D4B40">
        <w:rPr>
          <w:rFonts w:eastAsia="Times New Roman"/>
          <w:color w:val="000000"/>
        </w:rPr>
        <w:t>for conventional reservoir</w:t>
      </w:r>
      <w:r>
        <w:rPr>
          <w:rFonts w:eastAsia="Times New Roman"/>
          <w:color w:val="000000"/>
        </w:rPr>
        <w:t>s (Kumar and Ghassemi, 2018)</w:t>
      </w:r>
      <w:r w:rsidRPr="002D4B40">
        <w:rPr>
          <w:rFonts w:eastAsia="Times New Roman"/>
          <w:color w:val="000000"/>
        </w:rPr>
        <w:t xml:space="preserve">.  </w:t>
      </w:r>
      <w:r w:rsidR="004E3DEA">
        <w:rPr>
          <w:rFonts w:eastAsia="Times New Roman"/>
          <w:color w:val="000000"/>
        </w:rPr>
        <w:t xml:space="preserve">In conventional </w:t>
      </w:r>
      <w:r w:rsidR="00800460">
        <w:rPr>
          <w:rFonts w:eastAsia="Times New Roman"/>
          <w:color w:val="000000"/>
        </w:rPr>
        <w:t>reservoirs</w:t>
      </w:r>
      <w:r w:rsidR="00450A02">
        <w:rPr>
          <w:rFonts w:eastAsia="Times New Roman"/>
          <w:color w:val="000000"/>
        </w:rPr>
        <w:t>,</w:t>
      </w:r>
      <w:r w:rsidR="004E3DEA">
        <w:rPr>
          <w:rFonts w:eastAsia="Times New Roman"/>
          <w:color w:val="000000"/>
        </w:rPr>
        <w:t xml:space="preserve"> the </w:t>
      </w:r>
      <w:r w:rsidRPr="002D4B40">
        <w:rPr>
          <w:rFonts w:eastAsia="Times New Roman"/>
          <w:color w:val="000000"/>
        </w:rPr>
        <w:t xml:space="preserve">pore pressure is often </w:t>
      </w:r>
      <w:r w:rsidR="004E3DEA">
        <w:rPr>
          <w:rFonts w:eastAsia="Times New Roman"/>
          <w:color w:val="000000"/>
        </w:rPr>
        <w:t>approximated by</w:t>
      </w:r>
      <w:r w:rsidRPr="002D4B40">
        <w:rPr>
          <w:rFonts w:eastAsia="Times New Roman"/>
          <w:color w:val="000000"/>
        </w:rPr>
        <w:t xml:space="preserve"> the mud weight when there is neither gas intrusion nor lost - circulation condition</w:t>
      </w:r>
      <w:r>
        <w:rPr>
          <w:rFonts w:eastAsia="Times New Roman"/>
          <w:color w:val="000000"/>
        </w:rPr>
        <w:t>,</w:t>
      </w:r>
      <w:r w:rsidRPr="002D4B40">
        <w:rPr>
          <w:rFonts w:eastAsia="Times New Roman"/>
          <w:color w:val="000000"/>
        </w:rPr>
        <w:t xml:space="preserve"> i.e.,  underbalanced or above fracture gradient</w:t>
      </w:r>
      <w:r>
        <w:rPr>
          <w:rFonts w:eastAsia="Times New Roman"/>
          <w:color w:val="000000"/>
        </w:rPr>
        <w:t xml:space="preserve"> (Liu, 2017)</w:t>
      </w:r>
      <w:r w:rsidRPr="006C35A6">
        <w:rPr>
          <w:rFonts w:eastAsia="Times New Roman"/>
          <w:color w:val="000000"/>
        </w:rPr>
        <w:t>.</w:t>
      </w:r>
      <w:r w:rsidR="004E3DEA">
        <w:rPr>
          <w:rFonts w:eastAsia="Times New Roman"/>
          <w:color w:val="000000"/>
        </w:rPr>
        <w:t xml:space="preserve"> We applied the same assumptions using the </w:t>
      </w:r>
      <w:r w:rsidR="00800460">
        <w:rPr>
          <w:rFonts w:eastAsia="Times New Roman"/>
          <w:color w:val="000000"/>
        </w:rPr>
        <w:t>mud weight</w:t>
      </w:r>
      <w:r w:rsidR="004E3DEA">
        <w:rPr>
          <w:rFonts w:eastAsia="Times New Roman"/>
          <w:color w:val="000000"/>
        </w:rPr>
        <w:t xml:space="preserve"> information at the reservoir</w:t>
      </w:r>
      <w:r w:rsidR="00D127E4">
        <w:rPr>
          <w:rFonts w:eastAsia="Times New Roman"/>
          <w:color w:val="000000"/>
        </w:rPr>
        <w:t xml:space="preserve"> </w:t>
      </w:r>
      <w:r w:rsidR="00367A83">
        <w:rPr>
          <w:rFonts w:eastAsia="Times New Roman"/>
          <w:color w:val="000000"/>
        </w:rPr>
        <w:t xml:space="preserve">depth </w:t>
      </w:r>
      <w:r w:rsidR="00D127E4">
        <w:rPr>
          <w:rFonts w:eastAsia="Times New Roman"/>
          <w:color w:val="000000"/>
        </w:rPr>
        <w:t xml:space="preserve">and </w:t>
      </w:r>
      <w:r w:rsidR="00367A83">
        <w:rPr>
          <w:rFonts w:eastAsia="Times New Roman"/>
          <w:color w:val="000000"/>
        </w:rPr>
        <w:t>estimated</w:t>
      </w:r>
      <w:r w:rsidR="00D127E4">
        <w:rPr>
          <w:rFonts w:eastAsia="Times New Roman"/>
          <w:color w:val="000000"/>
        </w:rPr>
        <w:t xml:space="preserve"> a constant pressure of 3,500 PSI</w:t>
      </w:r>
      <w:r w:rsidR="004E3DEA">
        <w:rPr>
          <w:rFonts w:eastAsia="Times New Roman"/>
          <w:color w:val="000000"/>
        </w:rPr>
        <w:t>.</w:t>
      </w:r>
    </w:p>
    <w:p w14:paraId="2DB09133" w14:textId="77777777" w:rsidR="00D51B33" w:rsidRDefault="00D51B33" w:rsidP="00D51B33">
      <w:pPr>
        <w:spacing w:after="0"/>
        <w:jc w:val="center"/>
        <w:rPr>
          <w:rFonts w:eastAsia="Times New Roman"/>
          <w:color w:val="000000"/>
        </w:rPr>
        <w:sectPr w:rsidR="00D51B33" w:rsidSect="0095456D">
          <w:pgSz w:w="12240" w:h="15840"/>
          <w:pgMar w:top="1440" w:right="1440" w:bottom="1440" w:left="1440" w:header="720" w:footer="720" w:gutter="0"/>
          <w:cols w:space="720"/>
          <w:docGrid w:linePitch="360"/>
        </w:sectPr>
      </w:pPr>
    </w:p>
    <w:p w14:paraId="69BF0B98" w14:textId="0A14F595" w:rsidR="00D51B33" w:rsidRPr="006C35A6" w:rsidRDefault="00D51B33" w:rsidP="005E08FB">
      <w:pPr>
        <w:pStyle w:val="Heading3"/>
        <w:numPr>
          <w:ilvl w:val="2"/>
          <w:numId w:val="34"/>
        </w:numPr>
      </w:pPr>
      <w:bookmarkStart w:id="393" w:name="_Toc35861139"/>
      <w:r w:rsidRPr="006C35A6">
        <w:lastRenderedPageBreak/>
        <w:t xml:space="preserve">Total </w:t>
      </w:r>
      <w:r>
        <w:t>o</w:t>
      </w:r>
      <w:r w:rsidRPr="006C35A6">
        <w:t xml:space="preserve">rganic </w:t>
      </w:r>
      <w:r>
        <w:t>c</w:t>
      </w:r>
      <w:r w:rsidRPr="006C35A6">
        <w:t>arbon (</w:t>
      </w:r>
      <w:r>
        <w:t>%</w:t>
      </w:r>
      <w:r w:rsidRPr="006C35A6">
        <w:t>TOC</w:t>
      </w:r>
      <w:r>
        <w:t>)</w:t>
      </w:r>
      <w:r w:rsidRPr="006C35A6">
        <w:t xml:space="preserve"> calculations</w:t>
      </w:r>
      <w:bookmarkEnd w:id="393"/>
    </w:p>
    <w:p w14:paraId="612CBDA7" w14:textId="77777777" w:rsidR="00D51B33" w:rsidRDefault="00D51B33" w:rsidP="00D51B33">
      <w:pPr>
        <w:ind w:firstLine="360"/>
        <w:rPr>
          <w:rFonts w:eastAsia="Times New Roman"/>
          <w:color w:val="000000"/>
        </w:rPr>
      </w:pPr>
      <w:r>
        <w:rPr>
          <w:rFonts w:eastAsia="Times New Roman"/>
          <w:color w:val="000000"/>
        </w:rPr>
        <w:t xml:space="preserve">We compute </w:t>
      </w:r>
      <w:r w:rsidRPr="006C35A6">
        <w:rPr>
          <w:rFonts w:eastAsia="Times New Roman"/>
          <w:color w:val="000000"/>
        </w:rPr>
        <w:t>internal organic facies variations</w:t>
      </w:r>
      <w:r>
        <w:rPr>
          <w:rFonts w:eastAsia="Times New Roman"/>
          <w:color w:val="000000"/>
        </w:rPr>
        <w:t xml:space="preserve"> in the Woodford Shale</w:t>
      </w:r>
      <w:r w:rsidRPr="006C35A6">
        <w:rPr>
          <w:rFonts w:eastAsia="Times New Roman"/>
          <w:color w:val="000000"/>
        </w:rPr>
        <w:t>,</w:t>
      </w:r>
      <w:r>
        <w:rPr>
          <w:rFonts w:eastAsia="Times New Roman"/>
          <w:color w:val="000000"/>
        </w:rPr>
        <w:t xml:space="preserve"> calculating</w:t>
      </w:r>
      <w:r w:rsidRPr="006C35A6">
        <w:rPr>
          <w:rFonts w:eastAsia="Times New Roman"/>
          <w:color w:val="000000"/>
        </w:rPr>
        <w:t xml:space="preserve"> the </w:t>
      </w:r>
      <w:r>
        <w:rPr>
          <w:rFonts w:eastAsia="Times New Roman"/>
          <w:color w:val="000000"/>
        </w:rPr>
        <w:t>%</w:t>
      </w:r>
      <w:r w:rsidRPr="006C35A6">
        <w:rPr>
          <w:rFonts w:eastAsia="Times New Roman"/>
          <w:color w:val="000000"/>
        </w:rPr>
        <w:t xml:space="preserve">TOC </w:t>
      </w:r>
      <w:r>
        <w:rPr>
          <w:rFonts w:eastAsia="Times New Roman"/>
          <w:color w:val="000000"/>
        </w:rPr>
        <w:t>[wt.%]</w:t>
      </w:r>
      <w:r w:rsidRPr="006C35A6">
        <w:rPr>
          <w:rFonts w:eastAsia="Times New Roman"/>
          <w:color w:val="000000"/>
        </w:rPr>
        <w:t xml:space="preserve"> in </w:t>
      </w:r>
      <w:r>
        <w:rPr>
          <w:rFonts w:eastAsia="Times New Roman"/>
          <w:color w:val="000000"/>
        </w:rPr>
        <w:t xml:space="preserve">the </w:t>
      </w:r>
      <w:r w:rsidRPr="006C35A6">
        <w:rPr>
          <w:rFonts w:eastAsia="Times New Roman"/>
          <w:color w:val="000000"/>
        </w:rPr>
        <w:t xml:space="preserve">wells of the study area </w:t>
      </w:r>
      <w:r>
        <w:rPr>
          <w:rFonts w:eastAsia="Times New Roman"/>
          <w:color w:val="000000"/>
        </w:rPr>
        <w:t>using both</w:t>
      </w:r>
      <w:r w:rsidRPr="006C35A6">
        <w:rPr>
          <w:rFonts w:eastAsia="Times New Roman"/>
          <w:color w:val="000000"/>
        </w:rPr>
        <w:t xml:space="preserve"> </w:t>
      </w:r>
      <w:r>
        <w:rPr>
          <w:rFonts w:eastAsia="Times New Roman"/>
          <w:color w:val="000000"/>
        </w:rPr>
        <w:t xml:space="preserve">the </w:t>
      </w:r>
      <w:r w:rsidRPr="006C35A6">
        <w:rPr>
          <w:rFonts w:eastAsia="Times New Roman"/>
          <w:color w:val="000000"/>
        </w:rPr>
        <w:t>Passey (1990) and Schmoker (1979</w:t>
      </w:r>
      <w:r>
        <w:rPr>
          <w:rFonts w:eastAsia="Times New Roman"/>
          <w:color w:val="000000"/>
        </w:rPr>
        <w:t xml:space="preserve"> and </w:t>
      </w:r>
      <w:r w:rsidRPr="006C35A6">
        <w:rPr>
          <w:rFonts w:eastAsia="Times New Roman"/>
          <w:color w:val="000000"/>
        </w:rPr>
        <w:t>1981) methodolog</w:t>
      </w:r>
      <w:r>
        <w:rPr>
          <w:rFonts w:eastAsia="Times New Roman"/>
          <w:color w:val="000000"/>
        </w:rPr>
        <w:t xml:space="preserve">ies (Figure 4.5). The well S-A of the study area provides a complete cored  Woodford Shale section that allowed us to measure %TOC in the laboratory (Figure 4.5). These %TOC measurements then served as calibration points for the estimations of organic matter using well logs (Figure 4.5). </w:t>
      </w:r>
    </w:p>
    <w:p w14:paraId="0C749E0A" w14:textId="00C407CF" w:rsidR="00D51B33" w:rsidRPr="00414683" w:rsidRDefault="00D51B33" w:rsidP="00D51B33">
      <w:pPr>
        <w:ind w:firstLine="360"/>
        <w:rPr>
          <w:rFonts w:eastAsia="Times New Roman"/>
          <w:iCs/>
          <w:color w:val="000000"/>
        </w:rPr>
      </w:pPr>
      <w:r>
        <w:rPr>
          <w:rFonts w:eastAsia="Times New Roman"/>
          <w:color w:val="000000"/>
        </w:rPr>
        <w:t>We extract the s</w:t>
      </w:r>
      <w:r w:rsidRPr="006C35A6">
        <w:rPr>
          <w:rFonts w:eastAsia="Times New Roman"/>
          <w:color w:val="000000"/>
        </w:rPr>
        <w:t xml:space="preserve">eismic attributes </w:t>
      </w:r>
      <w:r>
        <w:rPr>
          <w:rFonts w:eastAsia="Times New Roman"/>
          <w:color w:val="000000"/>
        </w:rPr>
        <w:t>in the seismic window between the Woodford Shale seismic top and base (Figure 4.6 - 4.8)</w:t>
      </w:r>
      <w:r w:rsidRPr="006C35A6">
        <w:rPr>
          <w:rFonts w:eastAsia="Times New Roman"/>
          <w:color w:val="000000"/>
        </w:rPr>
        <w:t>, and th</w:t>
      </w:r>
      <w:r>
        <w:rPr>
          <w:rFonts w:eastAsia="Times New Roman"/>
          <w:color w:val="000000"/>
        </w:rPr>
        <w:t>en we compute th</w:t>
      </w:r>
      <w:r w:rsidRPr="006C35A6">
        <w:rPr>
          <w:rFonts w:eastAsia="Times New Roman"/>
          <w:color w:val="000000"/>
        </w:rPr>
        <w:t>e</w:t>
      </w:r>
      <w:r>
        <w:rPr>
          <w:rFonts w:eastAsia="Times New Roman"/>
          <w:color w:val="000000"/>
        </w:rPr>
        <w:t xml:space="preserve"> acoustic</w:t>
      </w:r>
      <w:r w:rsidRPr="006C35A6">
        <w:rPr>
          <w:rFonts w:eastAsia="Times New Roman"/>
          <w:color w:val="000000"/>
        </w:rPr>
        <w:t xml:space="preserve"> impedance </w:t>
      </w:r>
      <w:r>
        <w:rPr>
          <w:rFonts w:eastAsia="Times New Roman"/>
          <w:color w:val="000000"/>
        </w:rPr>
        <w:t>(</w:t>
      </w:r>
      <w:r w:rsidRPr="00A626EC">
        <w:rPr>
          <w:rFonts w:eastAsia="Times New Roman"/>
          <w:i/>
          <w:color w:val="000000"/>
        </w:rPr>
        <w:t>Z</w:t>
      </w:r>
      <w:r w:rsidRPr="00980A45">
        <w:rPr>
          <w:rFonts w:eastAsia="Times New Roman"/>
          <w:i/>
          <w:color w:val="000000"/>
          <w:vertAlign w:val="subscript"/>
        </w:rPr>
        <w:t>P</w:t>
      </w:r>
      <w:r>
        <w:rPr>
          <w:rFonts w:eastAsia="Times New Roman"/>
          <w:color w:val="000000"/>
        </w:rPr>
        <w:t xml:space="preserve">) </w:t>
      </w:r>
      <w:r w:rsidRPr="006C35A6">
        <w:rPr>
          <w:rFonts w:eastAsia="Times New Roman"/>
          <w:color w:val="000000"/>
        </w:rPr>
        <w:t>inversion</w:t>
      </w:r>
      <w:r>
        <w:rPr>
          <w:rFonts w:eastAsia="Times New Roman"/>
          <w:color w:val="000000"/>
        </w:rPr>
        <w:t xml:space="preserve"> to</w:t>
      </w:r>
      <w:r w:rsidRPr="006C35A6">
        <w:rPr>
          <w:rFonts w:eastAsia="Times New Roman"/>
          <w:color w:val="000000"/>
        </w:rPr>
        <w:t xml:space="preserve"> obtain a </w:t>
      </w:r>
      <w:r>
        <w:rPr>
          <w:rFonts w:eastAsia="Times New Roman"/>
          <w:color w:val="000000"/>
        </w:rPr>
        <w:t>%</w:t>
      </w:r>
      <w:r w:rsidRPr="006C35A6">
        <w:rPr>
          <w:rFonts w:eastAsia="Times New Roman"/>
          <w:color w:val="000000"/>
        </w:rPr>
        <w:t xml:space="preserve">TOC volume </w:t>
      </w:r>
      <w:r>
        <w:rPr>
          <w:rFonts w:eastAsia="Times New Roman"/>
          <w:color w:val="000000"/>
        </w:rPr>
        <w:t>estimate, which</w:t>
      </w:r>
      <w:r w:rsidRPr="006C35A6">
        <w:rPr>
          <w:rFonts w:eastAsia="Times New Roman"/>
          <w:color w:val="000000"/>
        </w:rPr>
        <w:t xml:space="preserve"> var</w:t>
      </w:r>
      <w:r w:rsidR="00450A02">
        <w:rPr>
          <w:rFonts w:eastAsia="Times New Roman"/>
          <w:color w:val="000000"/>
        </w:rPr>
        <w:t>ies</w:t>
      </w:r>
      <w:r w:rsidRPr="006C35A6">
        <w:rPr>
          <w:rFonts w:eastAsia="Times New Roman"/>
          <w:color w:val="000000"/>
        </w:rPr>
        <w:t xml:space="preserve"> depending upon rock properties</w:t>
      </w:r>
      <w:r>
        <w:rPr>
          <w:rFonts w:eastAsia="Times New Roman"/>
          <w:color w:val="000000"/>
        </w:rPr>
        <w:t xml:space="preserve"> (Hampson et al., 2001; Chopra and Marfurt, 2007; Verma et al., 2013)</w:t>
      </w:r>
      <w:r w:rsidRPr="006C35A6">
        <w:rPr>
          <w:rFonts w:eastAsia="Times New Roman"/>
          <w:color w:val="000000"/>
        </w:rPr>
        <w:t xml:space="preserve">. The model-based inversion workflow begins with a low-frequency background geological model </w:t>
      </w:r>
      <w:r>
        <w:rPr>
          <w:rFonts w:eastAsia="Times New Roman"/>
          <w:color w:val="000000"/>
        </w:rPr>
        <w:t xml:space="preserve">of the acoustic impedance (Verma et al., 2013; Infante-Paez et al., 2017), where the low frequencies (0 -10 Hz) are obtained from </w:t>
      </w:r>
      <w:r w:rsidRPr="00A626EC">
        <w:rPr>
          <w:rFonts w:eastAsia="Times New Roman"/>
          <w:i/>
          <w:color w:val="000000"/>
        </w:rPr>
        <w:t>Z</w:t>
      </w:r>
      <w:r w:rsidRPr="00980A45">
        <w:rPr>
          <w:rFonts w:eastAsia="Times New Roman"/>
          <w:i/>
          <w:color w:val="000000"/>
          <w:vertAlign w:val="subscript"/>
        </w:rPr>
        <w:t>P</w:t>
      </w:r>
      <w:r>
        <w:rPr>
          <w:rFonts w:eastAsia="Times New Roman"/>
          <w:i/>
          <w:color w:val="000000"/>
          <w:vertAlign w:val="subscript"/>
        </w:rPr>
        <w:t xml:space="preserve"> </w:t>
      </w:r>
      <w:r w:rsidRPr="00414683">
        <w:rPr>
          <w:rFonts w:eastAsia="Times New Roman"/>
          <w:iCs/>
          <w:color w:val="000000"/>
        </w:rPr>
        <w:t xml:space="preserve">measurements at each of the well locations.  </w:t>
      </w:r>
    </w:p>
    <w:p w14:paraId="70DFAE76" w14:textId="77777777" w:rsidR="00D51B33" w:rsidRDefault="00D51B33" w:rsidP="00D51B33">
      <w:pPr>
        <w:ind w:firstLine="720"/>
        <w:rPr>
          <w:rFonts w:eastAsia="Times New Roman"/>
          <w:color w:val="000000"/>
        </w:rPr>
      </w:pPr>
      <w:r>
        <w:rPr>
          <w:rFonts w:eastAsia="Times New Roman"/>
          <w:color w:val="000000"/>
        </w:rPr>
        <w:t xml:space="preserve">We then correlate each individual low-frequency volume with instantaneous 3D seismic attributes from the seismic amplitude volume. The applied instantaneous seismic attributes in the multi-linear regression are the RMS amplitude, peak frequency magnitude, peak amplitude, and instantaneous frequency. These calculations produce a smoothed low-frequency </w:t>
      </w:r>
      <w:r w:rsidRPr="000A7D99">
        <w:rPr>
          <w:rFonts w:eastAsia="Times New Roman"/>
          <w:i/>
          <w:color w:val="000000"/>
        </w:rPr>
        <w:t>Z</w:t>
      </w:r>
      <w:r w:rsidRPr="00980A45">
        <w:rPr>
          <w:rFonts w:eastAsia="Times New Roman"/>
          <w:i/>
          <w:color w:val="000000"/>
          <w:vertAlign w:val="subscript"/>
        </w:rPr>
        <w:t>P</w:t>
      </w:r>
      <w:r>
        <w:rPr>
          <w:rFonts w:eastAsia="Times New Roman"/>
          <w:color w:val="000000"/>
        </w:rPr>
        <w:t xml:space="preserve"> model (Figure 4.9), which</w:t>
      </w:r>
      <w:r w:rsidRPr="006C35A6">
        <w:rPr>
          <w:rFonts w:eastAsia="Times New Roman"/>
          <w:color w:val="000000"/>
        </w:rPr>
        <w:t xml:space="preserve"> </w:t>
      </w:r>
      <w:r>
        <w:rPr>
          <w:rFonts w:eastAsia="Times New Roman"/>
          <w:color w:val="000000"/>
        </w:rPr>
        <w:t>was</w:t>
      </w:r>
      <w:r w:rsidRPr="006C35A6">
        <w:rPr>
          <w:rFonts w:eastAsia="Times New Roman"/>
          <w:color w:val="000000"/>
        </w:rPr>
        <w:t xml:space="preserve"> </w:t>
      </w:r>
      <w:r>
        <w:rPr>
          <w:rFonts w:eastAsia="Times New Roman"/>
          <w:color w:val="000000"/>
        </w:rPr>
        <w:t xml:space="preserve">iteratively </w:t>
      </w:r>
      <w:r w:rsidRPr="006C35A6">
        <w:rPr>
          <w:rFonts w:eastAsia="Times New Roman"/>
          <w:color w:val="000000"/>
        </w:rPr>
        <w:t xml:space="preserve">modified until </w:t>
      </w:r>
      <w:r>
        <w:rPr>
          <w:rFonts w:eastAsia="Times New Roman"/>
          <w:color w:val="000000"/>
        </w:rPr>
        <w:t>we minimized the error</w:t>
      </w:r>
      <w:r w:rsidRPr="006C35A6">
        <w:rPr>
          <w:rFonts w:eastAsia="Times New Roman"/>
          <w:color w:val="000000"/>
        </w:rPr>
        <w:t xml:space="preserve"> between the </w:t>
      </w:r>
      <w:r>
        <w:rPr>
          <w:rFonts w:eastAsia="Times New Roman"/>
          <w:color w:val="000000"/>
        </w:rPr>
        <w:t xml:space="preserve">calculated </w:t>
      </w:r>
      <w:r w:rsidRPr="000A7D99">
        <w:rPr>
          <w:rFonts w:eastAsia="Times New Roman"/>
          <w:i/>
          <w:color w:val="000000"/>
        </w:rPr>
        <w:t>Z</w:t>
      </w:r>
      <w:r w:rsidRPr="00980A45">
        <w:rPr>
          <w:rFonts w:eastAsia="Times New Roman"/>
          <w:i/>
          <w:color w:val="000000"/>
          <w:vertAlign w:val="subscript"/>
        </w:rPr>
        <w:t>P</w:t>
      </w:r>
      <w:r w:rsidRPr="006C35A6">
        <w:rPr>
          <w:rFonts w:eastAsia="Times New Roman"/>
          <w:color w:val="000000"/>
        </w:rPr>
        <w:t xml:space="preserve"> by that model and the original seismic data </w:t>
      </w:r>
      <w:r w:rsidRPr="000A7D99">
        <w:rPr>
          <w:rFonts w:eastAsia="Times New Roman"/>
          <w:i/>
          <w:color w:val="000000"/>
        </w:rPr>
        <w:t>Z</w:t>
      </w:r>
      <w:r w:rsidRPr="00980A45">
        <w:rPr>
          <w:rFonts w:eastAsia="Times New Roman"/>
          <w:i/>
          <w:color w:val="000000"/>
          <w:vertAlign w:val="subscript"/>
        </w:rPr>
        <w:t>P</w:t>
      </w:r>
      <w:r>
        <w:rPr>
          <w:rFonts w:eastAsia="Times New Roman"/>
          <w:color w:val="000000"/>
        </w:rPr>
        <w:t xml:space="preserve"> volume</w:t>
      </w:r>
      <w:r w:rsidRPr="006C35A6">
        <w:rPr>
          <w:rFonts w:eastAsia="Times New Roman"/>
          <w:color w:val="000000"/>
        </w:rPr>
        <w:t xml:space="preserve"> (Figure </w:t>
      </w:r>
      <w:r>
        <w:rPr>
          <w:rFonts w:eastAsia="Times New Roman"/>
          <w:color w:val="000000"/>
        </w:rPr>
        <w:t>4</w:t>
      </w:r>
      <w:r w:rsidRPr="006C35A6">
        <w:rPr>
          <w:rFonts w:eastAsia="Times New Roman"/>
          <w:color w:val="000000"/>
        </w:rPr>
        <w:t>.</w:t>
      </w:r>
      <w:r>
        <w:rPr>
          <w:rFonts w:eastAsia="Times New Roman"/>
          <w:color w:val="000000"/>
        </w:rPr>
        <w:t>10</w:t>
      </w:r>
      <w:r w:rsidRPr="006C35A6">
        <w:rPr>
          <w:rFonts w:eastAsia="Times New Roman"/>
          <w:color w:val="000000"/>
        </w:rPr>
        <w:t xml:space="preserve">). </w:t>
      </w:r>
      <w:r>
        <w:rPr>
          <w:rFonts w:eastAsia="Times New Roman"/>
          <w:color w:val="000000"/>
        </w:rPr>
        <w:t>In addition, we observe t</w:t>
      </w:r>
      <w:r w:rsidRPr="006C35A6">
        <w:rPr>
          <w:rFonts w:eastAsia="Times New Roman"/>
          <w:color w:val="000000"/>
        </w:rPr>
        <w:t xml:space="preserve">he Woodford </w:t>
      </w:r>
      <w:r>
        <w:rPr>
          <w:rFonts w:eastAsia="Times New Roman"/>
          <w:color w:val="000000"/>
        </w:rPr>
        <w:t>S</w:t>
      </w:r>
      <w:r w:rsidRPr="006C35A6">
        <w:rPr>
          <w:rFonts w:eastAsia="Times New Roman"/>
          <w:color w:val="000000"/>
        </w:rPr>
        <w:t xml:space="preserve">hale has the lowest impedance </w:t>
      </w:r>
      <w:r>
        <w:rPr>
          <w:rFonts w:eastAsia="Times New Roman"/>
          <w:color w:val="000000"/>
        </w:rPr>
        <w:t xml:space="preserve">when compared to the pre-Woodford Hunton group and post-Woodford </w:t>
      </w:r>
      <w:r w:rsidRPr="00980A45">
        <w:rPr>
          <w:rFonts w:eastAsia="Times New Roman"/>
          <w:color w:val="000000"/>
        </w:rPr>
        <w:t>Mississ</w:t>
      </w:r>
      <w:r>
        <w:rPr>
          <w:rFonts w:eastAsia="Times New Roman"/>
          <w:color w:val="000000"/>
        </w:rPr>
        <w:t>ippian strata (Meramec and Osage formations; F</w:t>
      </w:r>
      <w:r w:rsidRPr="006C35A6">
        <w:rPr>
          <w:rFonts w:eastAsia="Times New Roman"/>
          <w:color w:val="000000"/>
        </w:rPr>
        <w:t xml:space="preserve">igure </w:t>
      </w:r>
      <w:r>
        <w:rPr>
          <w:rFonts w:eastAsia="Times New Roman"/>
          <w:color w:val="000000"/>
        </w:rPr>
        <w:t>4</w:t>
      </w:r>
      <w:r w:rsidRPr="006C35A6">
        <w:rPr>
          <w:rFonts w:eastAsia="Times New Roman"/>
          <w:color w:val="000000"/>
        </w:rPr>
        <w:t>.</w:t>
      </w:r>
      <w:r>
        <w:rPr>
          <w:rFonts w:eastAsia="Times New Roman"/>
          <w:color w:val="000000"/>
        </w:rPr>
        <w:t xml:space="preserve">9, </w:t>
      </w:r>
      <w:r w:rsidRPr="006C35A6">
        <w:rPr>
          <w:rFonts w:eastAsia="Times New Roman"/>
          <w:color w:val="000000"/>
        </w:rPr>
        <w:t xml:space="preserve"> Figure </w:t>
      </w:r>
      <w:r>
        <w:rPr>
          <w:rFonts w:eastAsia="Times New Roman"/>
          <w:color w:val="000000"/>
        </w:rPr>
        <w:t>4</w:t>
      </w:r>
      <w:r w:rsidRPr="006C35A6">
        <w:rPr>
          <w:rFonts w:eastAsia="Times New Roman"/>
          <w:color w:val="000000"/>
        </w:rPr>
        <w:t>.</w:t>
      </w:r>
      <w:r>
        <w:rPr>
          <w:rFonts w:eastAsia="Times New Roman"/>
          <w:color w:val="000000"/>
        </w:rPr>
        <w:t>10).</w:t>
      </w:r>
      <w:r w:rsidRPr="006C35A6">
        <w:rPr>
          <w:rFonts w:eastAsia="Times New Roman"/>
          <w:color w:val="000000"/>
        </w:rPr>
        <w:t xml:space="preserve"> </w:t>
      </w:r>
    </w:p>
    <w:p w14:paraId="5034D3FC" w14:textId="77777777" w:rsidR="00D51B33" w:rsidRPr="006C35A6" w:rsidRDefault="00D51B33" w:rsidP="00D51B33">
      <w:pPr>
        <w:ind w:firstLine="360"/>
        <w:rPr>
          <w:rFonts w:eastAsia="Times New Roman"/>
          <w:color w:val="000000"/>
        </w:rPr>
      </w:pPr>
      <w:r>
        <w:rPr>
          <w:rFonts w:eastAsia="Times New Roman"/>
          <w:color w:val="000000"/>
        </w:rPr>
        <w:lastRenderedPageBreak/>
        <w:t xml:space="preserve">When comparing the calculations of %TOC using the </w:t>
      </w:r>
      <w:r w:rsidRPr="006C35A6">
        <w:rPr>
          <w:rFonts w:eastAsia="Times New Roman"/>
          <w:color w:val="000000"/>
        </w:rPr>
        <w:t xml:space="preserve">Passey </w:t>
      </w:r>
      <w:r>
        <w:rPr>
          <w:rFonts w:eastAsia="Times New Roman"/>
          <w:color w:val="000000"/>
        </w:rPr>
        <w:t xml:space="preserve">et al. </w:t>
      </w:r>
      <w:r w:rsidRPr="006C35A6">
        <w:rPr>
          <w:rFonts w:eastAsia="Times New Roman"/>
          <w:color w:val="000000"/>
        </w:rPr>
        <w:t xml:space="preserve">(1990) </w:t>
      </w:r>
      <w:r>
        <w:rPr>
          <w:rFonts w:eastAsia="Times New Roman"/>
          <w:color w:val="000000"/>
        </w:rPr>
        <w:t xml:space="preserve">methodology based on resistivity, </w:t>
      </w:r>
      <w:r w:rsidRPr="006821AF">
        <w:rPr>
          <w:rFonts w:eastAsia="Times New Roman"/>
          <w:i/>
          <w:color w:val="000000"/>
        </w:rPr>
        <w:t>Vp</w:t>
      </w:r>
      <w:r>
        <w:rPr>
          <w:rFonts w:eastAsia="Times New Roman"/>
          <w:color w:val="000000"/>
        </w:rPr>
        <w:t xml:space="preserve"> logs and the S-A core %TOC measurements, we obtained estimates that were too large</w:t>
      </w:r>
      <w:r w:rsidRPr="006C35A6">
        <w:rPr>
          <w:rFonts w:eastAsia="Times New Roman"/>
          <w:color w:val="000000"/>
        </w:rPr>
        <w:t xml:space="preserve"> for the </w:t>
      </w:r>
      <w:r>
        <w:rPr>
          <w:rFonts w:eastAsia="Times New Roman"/>
          <w:color w:val="000000"/>
        </w:rPr>
        <w:t xml:space="preserve">low %TOC </w:t>
      </w:r>
      <w:r w:rsidRPr="006C35A6">
        <w:rPr>
          <w:rFonts w:eastAsia="Times New Roman"/>
          <w:color w:val="000000"/>
        </w:rPr>
        <w:t>pre-Woodford and post-Woodford strata</w:t>
      </w:r>
      <w:r>
        <w:rPr>
          <w:rFonts w:eastAsia="Times New Roman"/>
          <w:color w:val="000000"/>
        </w:rPr>
        <w:t xml:space="preserve"> (Figure 4.5). In contrast, we found</w:t>
      </w:r>
      <w:r w:rsidRPr="006C35A6">
        <w:rPr>
          <w:rFonts w:eastAsia="Times New Roman"/>
          <w:color w:val="000000"/>
        </w:rPr>
        <w:t xml:space="preserve"> </w:t>
      </w:r>
      <w:r>
        <w:rPr>
          <w:rFonts w:eastAsia="Times New Roman"/>
          <w:color w:val="000000"/>
        </w:rPr>
        <w:t>the %</w:t>
      </w:r>
      <w:r w:rsidRPr="006C35A6">
        <w:rPr>
          <w:rFonts w:eastAsia="Times New Roman"/>
          <w:color w:val="000000"/>
        </w:rPr>
        <w:t>TOC</w:t>
      </w:r>
      <w:r>
        <w:rPr>
          <w:rFonts w:eastAsia="Times New Roman"/>
          <w:color w:val="000000"/>
        </w:rPr>
        <w:t xml:space="preserve"> </w:t>
      </w:r>
      <w:r w:rsidRPr="006C35A6">
        <w:rPr>
          <w:rFonts w:eastAsia="Times New Roman"/>
          <w:color w:val="000000"/>
        </w:rPr>
        <w:t xml:space="preserve">calculations </w:t>
      </w:r>
      <w:r>
        <w:rPr>
          <w:rFonts w:eastAsia="Times New Roman"/>
          <w:color w:val="000000"/>
        </w:rPr>
        <w:t xml:space="preserve">obtained </w:t>
      </w:r>
      <w:r w:rsidRPr="006C35A6">
        <w:rPr>
          <w:rFonts w:eastAsia="Times New Roman"/>
          <w:color w:val="000000"/>
        </w:rPr>
        <w:t>based on Schmoker (1979</w:t>
      </w:r>
      <w:r>
        <w:rPr>
          <w:rFonts w:eastAsia="Times New Roman"/>
          <w:color w:val="000000"/>
        </w:rPr>
        <w:t xml:space="preserve"> and </w:t>
      </w:r>
      <w:r w:rsidRPr="006C35A6">
        <w:rPr>
          <w:rFonts w:eastAsia="Times New Roman"/>
          <w:color w:val="000000"/>
        </w:rPr>
        <w:t>1981) methodology</w:t>
      </w:r>
      <w:r>
        <w:rPr>
          <w:rFonts w:eastAsia="Times New Roman"/>
          <w:color w:val="000000"/>
        </w:rPr>
        <w:t xml:space="preserve"> provides a more accurate</w:t>
      </w:r>
      <w:r w:rsidRPr="006C35A6">
        <w:rPr>
          <w:rFonts w:eastAsia="Times New Roman"/>
          <w:color w:val="000000"/>
        </w:rPr>
        <w:t xml:space="preserve"> pre and post-Woodford strata</w:t>
      </w:r>
      <w:r>
        <w:rPr>
          <w:rFonts w:eastAsia="Times New Roman"/>
          <w:color w:val="000000"/>
        </w:rPr>
        <w:t xml:space="preserve"> estimates</w:t>
      </w:r>
      <w:r w:rsidRPr="006C35A6">
        <w:rPr>
          <w:rFonts w:eastAsia="Times New Roman"/>
          <w:color w:val="000000"/>
        </w:rPr>
        <w:t xml:space="preserve"> (</w:t>
      </w:r>
      <w:r>
        <w:rPr>
          <w:rFonts w:eastAsia="Times New Roman"/>
          <w:color w:val="000000"/>
        </w:rPr>
        <w:t xml:space="preserve">blue well log curve in </w:t>
      </w:r>
      <w:r w:rsidRPr="006C35A6">
        <w:rPr>
          <w:rFonts w:eastAsia="Times New Roman"/>
          <w:color w:val="000000"/>
        </w:rPr>
        <w:t xml:space="preserve">Figure </w:t>
      </w:r>
      <w:r>
        <w:rPr>
          <w:rFonts w:eastAsia="Times New Roman"/>
          <w:color w:val="000000"/>
        </w:rPr>
        <w:t>4</w:t>
      </w:r>
      <w:r w:rsidRPr="006C35A6">
        <w:rPr>
          <w:rFonts w:eastAsia="Times New Roman"/>
          <w:color w:val="000000"/>
        </w:rPr>
        <w:t>.</w:t>
      </w:r>
      <w:r>
        <w:rPr>
          <w:rFonts w:eastAsia="Times New Roman"/>
          <w:color w:val="000000"/>
        </w:rPr>
        <w:t>5</w:t>
      </w:r>
      <w:r w:rsidRPr="006C35A6">
        <w:rPr>
          <w:rFonts w:eastAsia="Times New Roman"/>
          <w:color w:val="000000"/>
        </w:rPr>
        <w:t>)</w:t>
      </w:r>
      <w:r>
        <w:rPr>
          <w:rFonts w:eastAsia="Times New Roman"/>
          <w:color w:val="000000"/>
        </w:rPr>
        <w:t xml:space="preserve">. We attribute this improvement to </w:t>
      </w:r>
      <w:r w:rsidRPr="006C35A6">
        <w:rPr>
          <w:rFonts w:eastAsia="Times New Roman"/>
          <w:color w:val="000000"/>
        </w:rPr>
        <w:t>Sc</w:t>
      </w:r>
      <w:r>
        <w:rPr>
          <w:rFonts w:eastAsia="Times New Roman"/>
          <w:color w:val="000000"/>
        </w:rPr>
        <w:t>h</w:t>
      </w:r>
      <w:r w:rsidRPr="006C35A6">
        <w:rPr>
          <w:rFonts w:eastAsia="Times New Roman"/>
          <w:color w:val="000000"/>
        </w:rPr>
        <w:t>moker</w:t>
      </w:r>
      <w:r>
        <w:rPr>
          <w:rFonts w:eastAsia="Times New Roman"/>
          <w:color w:val="000000"/>
        </w:rPr>
        <w:t>’s</w:t>
      </w:r>
      <w:r w:rsidRPr="006C35A6">
        <w:rPr>
          <w:rFonts w:eastAsia="Times New Roman"/>
          <w:color w:val="000000"/>
        </w:rPr>
        <w:t xml:space="preserve"> (1979</w:t>
      </w:r>
      <w:r>
        <w:rPr>
          <w:rFonts w:eastAsia="Times New Roman"/>
          <w:color w:val="000000"/>
        </w:rPr>
        <w:t xml:space="preserve"> and </w:t>
      </w:r>
      <w:r w:rsidRPr="006C35A6">
        <w:rPr>
          <w:rFonts w:eastAsia="Times New Roman"/>
          <w:color w:val="000000"/>
        </w:rPr>
        <w:t xml:space="preserve">1981) </w:t>
      </w:r>
      <w:r>
        <w:rPr>
          <w:rFonts w:eastAsia="Times New Roman"/>
          <w:color w:val="000000"/>
        </w:rPr>
        <w:t>use of the bulk density log (equation 4.12), which for our rocks has an inverse correlation with the organic matter content</w:t>
      </w:r>
      <w:r w:rsidRPr="006C35A6">
        <w:rPr>
          <w:rFonts w:eastAsia="Times New Roman"/>
          <w:color w:val="000000"/>
        </w:rPr>
        <w:t xml:space="preserve">. </w:t>
      </w:r>
      <w:r>
        <w:rPr>
          <w:rFonts w:eastAsia="Times New Roman"/>
          <w:color w:val="000000"/>
        </w:rPr>
        <w:t>When calibrating the calculated %TOC against Rock-Eval measurements we obtain:</w:t>
      </w:r>
    </w:p>
    <w:p w14:paraId="15B552C6" w14:textId="77777777" w:rsidR="00D51B33" w:rsidRPr="006C35A6" w:rsidRDefault="00D51B33" w:rsidP="00D51B33">
      <w:pPr>
        <w:rPr>
          <w:rFonts w:eastAsia="Times New Roman"/>
          <w:color w:val="000000"/>
        </w:rPr>
      </w:pPr>
      <w:r>
        <w:rPr>
          <w:rFonts w:eastAsia="Times New Roman"/>
          <w:color w:val="000000"/>
        </w:rPr>
        <w:t>%</w:t>
      </w:r>
      <w:r w:rsidRPr="006C35A6">
        <w:rPr>
          <w:rFonts w:eastAsia="Times New Roman"/>
          <w:color w:val="000000"/>
        </w:rPr>
        <w:t>TOC [wt.%] = [(-56.547*RHOB) + 154.867] / 2</w:t>
      </w:r>
      <w:r>
        <w:rPr>
          <w:rFonts w:eastAsia="Times New Roman"/>
          <w:color w:val="000000"/>
        </w:rPr>
        <w:t xml:space="preserve">. </w:t>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(4.12)</w:t>
      </w:r>
    </w:p>
    <w:p w14:paraId="683542CE" w14:textId="77777777" w:rsidR="00D51B33" w:rsidRDefault="00D51B33" w:rsidP="00D51B33">
      <w:pPr>
        <w:ind w:firstLine="720"/>
        <w:rPr>
          <w:rFonts w:eastAsia="Times New Roman"/>
          <w:color w:val="000000"/>
        </w:rPr>
      </w:pPr>
      <w:r>
        <w:rPr>
          <w:rFonts w:eastAsia="Times New Roman"/>
          <w:color w:val="000000"/>
        </w:rPr>
        <w:t>Using the</w:t>
      </w:r>
      <w:r w:rsidRPr="006C35A6">
        <w:rPr>
          <w:rFonts w:eastAsia="Times New Roman"/>
          <w:color w:val="000000"/>
        </w:rPr>
        <w:t xml:space="preserve"> model-based i</w:t>
      </w:r>
      <w:r>
        <w:rPr>
          <w:rFonts w:eastAsia="Times New Roman"/>
          <w:color w:val="000000"/>
        </w:rPr>
        <w:t>mpedance i</w:t>
      </w:r>
      <w:r w:rsidRPr="006C35A6">
        <w:rPr>
          <w:rFonts w:eastAsia="Times New Roman"/>
          <w:color w:val="000000"/>
        </w:rPr>
        <w:t xml:space="preserve">nversion of the Woodford Shale </w:t>
      </w:r>
      <w:r>
        <w:rPr>
          <w:rFonts w:eastAsia="Times New Roman"/>
          <w:color w:val="000000"/>
        </w:rPr>
        <w:t>to identify</w:t>
      </w:r>
      <w:r w:rsidRPr="006C35A6">
        <w:rPr>
          <w:rFonts w:eastAsia="Times New Roman"/>
          <w:color w:val="000000"/>
        </w:rPr>
        <w:t xml:space="preserve"> vertical and lateral facies changes help</w:t>
      </w:r>
      <w:r>
        <w:rPr>
          <w:rFonts w:eastAsia="Times New Roman"/>
          <w:color w:val="000000"/>
        </w:rPr>
        <w:t>ed the delineation of higher %</w:t>
      </w:r>
      <w:r w:rsidRPr="006C35A6">
        <w:rPr>
          <w:rFonts w:eastAsia="Times New Roman"/>
          <w:color w:val="000000"/>
        </w:rPr>
        <w:t xml:space="preserve">TOC </w:t>
      </w:r>
      <w:r>
        <w:rPr>
          <w:rFonts w:eastAsia="Times New Roman"/>
          <w:color w:val="000000"/>
        </w:rPr>
        <w:t>layers</w:t>
      </w:r>
      <w:r w:rsidRPr="006C35A6">
        <w:rPr>
          <w:rFonts w:eastAsia="Times New Roman"/>
          <w:color w:val="000000"/>
        </w:rPr>
        <w:t xml:space="preserve"> (Figure </w:t>
      </w:r>
      <w:r>
        <w:rPr>
          <w:rFonts w:eastAsia="Times New Roman"/>
          <w:color w:val="000000"/>
        </w:rPr>
        <w:t>4</w:t>
      </w:r>
      <w:r w:rsidRPr="006C35A6">
        <w:rPr>
          <w:rFonts w:eastAsia="Times New Roman"/>
          <w:color w:val="000000"/>
        </w:rPr>
        <w:t>.</w:t>
      </w:r>
      <w:r>
        <w:rPr>
          <w:rFonts w:eastAsia="Times New Roman"/>
          <w:color w:val="000000"/>
        </w:rPr>
        <w:t>9</w:t>
      </w:r>
      <w:r w:rsidRPr="006C35A6">
        <w:rPr>
          <w:rFonts w:eastAsia="Times New Roman"/>
          <w:color w:val="000000"/>
        </w:rPr>
        <w:t xml:space="preserve"> and Figure </w:t>
      </w:r>
      <w:r>
        <w:rPr>
          <w:rFonts w:eastAsia="Times New Roman"/>
          <w:color w:val="000000"/>
        </w:rPr>
        <w:t>4</w:t>
      </w:r>
      <w:r w:rsidRPr="006C35A6">
        <w:rPr>
          <w:rFonts w:eastAsia="Times New Roman"/>
          <w:color w:val="000000"/>
        </w:rPr>
        <w:t>.</w:t>
      </w:r>
      <w:r>
        <w:rPr>
          <w:rFonts w:eastAsia="Times New Roman"/>
          <w:color w:val="000000"/>
        </w:rPr>
        <w:t>10), where</w:t>
      </w:r>
      <w:r w:rsidRPr="006C35A6">
        <w:rPr>
          <w:rFonts w:eastAsia="Times New Roman"/>
          <w:color w:val="000000"/>
        </w:rPr>
        <w:t xml:space="preserve"> high </w:t>
      </w:r>
      <w:r>
        <w:rPr>
          <w:rFonts w:eastAsia="Times New Roman"/>
          <w:color w:val="000000"/>
        </w:rPr>
        <w:t>%</w:t>
      </w:r>
      <w:r w:rsidRPr="006C35A6">
        <w:rPr>
          <w:rFonts w:eastAsia="Times New Roman"/>
          <w:color w:val="000000"/>
        </w:rPr>
        <w:t xml:space="preserve">TOC correlates with low </w:t>
      </w:r>
      <w:r w:rsidRPr="00A452FB">
        <w:rPr>
          <w:rFonts w:eastAsia="Times New Roman"/>
          <w:i/>
          <w:iCs/>
          <w:color w:val="000000"/>
        </w:rPr>
        <w:t>Z</w:t>
      </w:r>
      <w:r w:rsidRPr="00A452FB">
        <w:rPr>
          <w:rFonts w:eastAsia="Times New Roman"/>
          <w:i/>
          <w:iCs/>
          <w:color w:val="000000"/>
          <w:vertAlign w:val="subscript"/>
        </w:rPr>
        <w:t>p</w:t>
      </w:r>
      <w:r w:rsidRPr="006C35A6">
        <w:rPr>
          <w:rFonts w:eastAsia="Times New Roman"/>
          <w:color w:val="000000"/>
        </w:rPr>
        <w:t xml:space="preserve">. </w:t>
      </w:r>
    </w:p>
    <w:p w14:paraId="5E50C09C" w14:textId="77777777" w:rsidR="00D51B33" w:rsidRDefault="00D51B33" w:rsidP="00D51B33">
      <w:pPr>
        <w:ind w:firstLine="720"/>
        <w:rPr>
          <w:rFonts w:eastAsia="Times New Roman"/>
          <w:color w:val="000000"/>
        </w:rPr>
        <w:sectPr w:rsidR="00D51B33" w:rsidSect="0095456D">
          <w:pgSz w:w="12240" w:h="15840"/>
          <w:pgMar w:top="1440" w:right="1440" w:bottom="1440" w:left="1440" w:header="720" w:footer="720" w:gutter="0"/>
          <w:cols w:space="720"/>
          <w:docGrid w:linePitch="360"/>
        </w:sectPr>
      </w:pPr>
    </w:p>
    <w:p w14:paraId="5AFA1077" w14:textId="77777777" w:rsidR="00D51B33" w:rsidRPr="006C35A6" w:rsidRDefault="00D51B33" w:rsidP="00D51B33">
      <w:pPr>
        <w:spacing w:after="0" w:line="276" w:lineRule="auto"/>
        <w:jc w:val="center"/>
        <w:rPr>
          <w:rFonts w:eastAsia="Times New Roman"/>
          <w:color w:val="000000"/>
        </w:rPr>
      </w:pPr>
      <w:r>
        <w:rPr>
          <w:rFonts w:eastAsia="Times New Roman"/>
          <w:noProof/>
          <w:color w:val="000000"/>
        </w:rPr>
        <w:lastRenderedPageBreak/>
        <w:drawing>
          <wp:inline distT="0" distB="0" distL="0" distR="0" wp14:anchorId="7F6126B1" wp14:editId="4F76C205">
            <wp:extent cx="8107680" cy="4639310"/>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8107680" cy="4639310"/>
                    </a:xfrm>
                    <a:prstGeom prst="rect">
                      <a:avLst/>
                    </a:prstGeom>
                    <a:noFill/>
                  </pic:spPr>
                </pic:pic>
              </a:graphicData>
            </a:graphic>
          </wp:inline>
        </w:drawing>
      </w:r>
    </w:p>
    <w:p w14:paraId="46567F5F" w14:textId="77777777" w:rsidR="00D51B33" w:rsidRPr="006C35A6" w:rsidRDefault="00D51B33" w:rsidP="00D51B33">
      <w:pPr>
        <w:pStyle w:val="Caption"/>
      </w:pPr>
      <w:bookmarkStart w:id="394" w:name="_Toc28065273"/>
      <w:bookmarkStart w:id="395" w:name="_Toc35861251"/>
      <w:r w:rsidRPr="006C35A6">
        <w:rPr>
          <w:b/>
        </w:rPr>
        <w:t xml:space="preserve">Figure </w:t>
      </w:r>
      <w:r>
        <w:rPr>
          <w:b/>
        </w:rPr>
        <w:t>4</w:t>
      </w:r>
      <w:r w:rsidRPr="006C35A6">
        <w:rPr>
          <w:b/>
        </w:rPr>
        <w:t>.</w:t>
      </w:r>
      <w:r>
        <w:rPr>
          <w:b/>
        </w:rPr>
        <w:t>5</w:t>
      </w:r>
      <w:r w:rsidRPr="006C35A6">
        <w:rPr>
          <w:b/>
        </w:rPr>
        <w:t>.</w:t>
      </w:r>
      <w:r w:rsidRPr="006C35A6">
        <w:t xml:space="preserve"> Stratigraphic </w:t>
      </w:r>
      <w:r>
        <w:t>c</w:t>
      </w:r>
      <w:r w:rsidRPr="006C35A6">
        <w:t xml:space="preserve">orrelation of the Woodford Shale </w:t>
      </w:r>
      <w:r>
        <w:t xml:space="preserve">(WDFD) </w:t>
      </w:r>
      <w:r w:rsidRPr="006C35A6">
        <w:t xml:space="preserve">along the </w:t>
      </w:r>
      <w:r>
        <w:t>s</w:t>
      </w:r>
      <w:r w:rsidRPr="006C35A6">
        <w:t>tudy area</w:t>
      </w:r>
      <w:r>
        <w:t xml:space="preserve"> flattened on the Hunton (HNTN) group top</w:t>
      </w:r>
      <w:r w:rsidRPr="006C35A6">
        <w:t xml:space="preserve">. </w:t>
      </w:r>
      <w:r>
        <w:t>Well</w:t>
      </w:r>
      <w:r w:rsidRPr="006C35A6">
        <w:t xml:space="preserve"> S-A </w:t>
      </w:r>
      <w:r>
        <w:t xml:space="preserve">has a cored section </w:t>
      </w:r>
      <w:r w:rsidRPr="006C35A6">
        <w:t xml:space="preserve">with measured </w:t>
      </w:r>
      <w:r>
        <w:t>%</w:t>
      </w:r>
      <w:r w:rsidRPr="006C35A6">
        <w:t>TOC</w:t>
      </w:r>
      <w:r>
        <w:t xml:space="preserve"> [wt.%] that covers the entire Woodford Shale (black diamonds in well S-A). We used equation 4.11 to compute  %TOC at the wells lacking core data points. The %TOC calculations in the right log track in each well used both</w:t>
      </w:r>
      <w:r w:rsidRPr="006C35A6">
        <w:t xml:space="preserve"> Passey </w:t>
      </w:r>
      <w:r>
        <w:t xml:space="preserve">et al. </w:t>
      </w:r>
      <w:r w:rsidRPr="006C35A6">
        <w:t>(</w:t>
      </w:r>
      <w:r>
        <w:t>1990; l</w:t>
      </w:r>
      <w:r w:rsidRPr="006C35A6">
        <w:t>ight green curve) and Schmoker (</w:t>
      </w:r>
      <w:r>
        <w:t>1979, 1981; d</w:t>
      </w:r>
      <w:r w:rsidRPr="006C35A6">
        <w:t xml:space="preserve">ark blue </w:t>
      </w:r>
      <w:r>
        <w:t>%</w:t>
      </w:r>
      <w:r w:rsidRPr="006C35A6">
        <w:t>TOC curve) methodologies.</w:t>
      </w:r>
      <w:r>
        <w:t xml:space="preserve"> Note that in the right track in well S-A, the Schmoker’s %TOC matches better the core points (black points), whereas the Passey curve (light green) overestimates %TOC below the Hunton top (HNTN horizon) and above the Woodford top (WDFD horizon), giving a better confidence in the Schmoker (1979, 1981) methodology for the study area.</w:t>
      </w:r>
      <w:bookmarkEnd w:id="394"/>
      <w:bookmarkEnd w:id="395"/>
    </w:p>
    <w:p w14:paraId="4FF380A2" w14:textId="77777777" w:rsidR="00D51B33" w:rsidRDefault="00D51B33" w:rsidP="00155854">
      <w:pPr>
        <w:pStyle w:val="Heading2"/>
        <w:numPr>
          <w:ilvl w:val="1"/>
          <w:numId w:val="34"/>
        </w:numPr>
        <w:sectPr w:rsidR="00D51B33" w:rsidSect="0095456D">
          <w:pgSz w:w="15840" w:h="12240" w:orient="landscape"/>
          <w:pgMar w:top="1440" w:right="1440" w:bottom="1440" w:left="1440" w:header="720" w:footer="720" w:gutter="0"/>
          <w:cols w:space="720"/>
          <w:docGrid w:linePitch="360"/>
        </w:sectPr>
      </w:pPr>
      <w:bookmarkStart w:id="396" w:name="_Toc25833597"/>
      <w:bookmarkStart w:id="397" w:name="_Toc28065395"/>
      <w:bookmarkStart w:id="398" w:name="_Toc25833595"/>
      <w:bookmarkStart w:id="399" w:name="_Toc28065393"/>
    </w:p>
    <w:bookmarkEnd w:id="396"/>
    <w:bookmarkEnd w:id="397"/>
    <w:bookmarkEnd w:id="398"/>
    <w:bookmarkEnd w:id="399"/>
    <w:p w14:paraId="30A63990" w14:textId="77777777" w:rsidR="00D073A0" w:rsidRDefault="00D073A0" w:rsidP="00D073A0">
      <w:pPr>
        <w:spacing w:after="0" w:line="240" w:lineRule="auto"/>
        <w:jc w:val="center"/>
        <w:rPr>
          <w:sz w:val="22"/>
        </w:rPr>
      </w:pPr>
      <w:r>
        <w:rPr>
          <w:noProof/>
          <w:sz w:val="22"/>
        </w:rPr>
        <w:lastRenderedPageBreak/>
        <w:drawing>
          <wp:inline distT="0" distB="0" distL="0" distR="0" wp14:anchorId="204EA9C0" wp14:editId="08AD5F38">
            <wp:extent cx="8115300" cy="4101465"/>
            <wp:effectExtent l="0" t="0" r="0" b="0"/>
            <wp:docPr id="8552" name="Picture 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125831" cy="4106787"/>
                    </a:xfrm>
                    <a:prstGeom prst="rect">
                      <a:avLst/>
                    </a:prstGeom>
                    <a:noFill/>
                  </pic:spPr>
                </pic:pic>
              </a:graphicData>
            </a:graphic>
          </wp:inline>
        </w:drawing>
      </w:r>
    </w:p>
    <w:p w14:paraId="73FB051A" w14:textId="766B791B" w:rsidR="00D073A0" w:rsidRPr="006C35A6" w:rsidRDefault="00D073A0" w:rsidP="00D073A0">
      <w:pPr>
        <w:pStyle w:val="Caption"/>
      </w:pPr>
      <w:bookmarkStart w:id="400" w:name="_Toc28065274"/>
      <w:bookmarkStart w:id="401" w:name="_Toc35861252"/>
      <w:r w:rsidRPr="006C35A6">
        <w:rPr>
          <w:b/>
        </w:rPr>
        <w:t xml:space="preserve">Figure </w:t>
      </w:r>
      <w:r w:rsidR="00BD3F92">
        <w:rPr>
          <w:b/>
        </w:rPr>
        <w:t>4</w:t>
      </w:r>
      <w:r w:rsidRPr="006C35A6">
        <w:rPr>
          <w:b/>
        </w:rPr>
        <w:t>.</w:t>
      </w:r>
      <w:r>
        <w:rPr>
          <w:b/>
        </w:rPr>
        <w:t>6</w:t>
      </w:r>
      <w:r w:rsidRPr="006C35A6">
        <w:rPr>
          <w:b/>
        </w:rPr>
        <w:t>.</w:t>
      </w:r>
      <w:r w:rsidRPr="006C35A6">
        <w:t xml:space="preserve"> </w:t>
      </w:r>
      <w:r>
        <w:t>(a) A representative vertical slice through the seismic data volume and (b) with interpretation showing the</w:t>
      </w:r>
      <w:r w:rsidRPr="006C35A6">
        <w:t xml:space="preserve"> Woodford </w:t>
      </w:r>
      <w:r>
        <w:t>S</w:t>
      </w:r>
      <w:r w:rsidRPr="006C35A6">
        <w:t>hale top</w:t>
      </w:r>
      <w:r>
        <w:t>, tied with well S-A. The Woodford Shale</w:t>
      </w:r>
      <w:r w:rsidR="00646B61">
        <w:t xml:space="preserve"> top</w:t>
      </w:r>
      <w:r w:rsidRPr="006C35A6">
        <w:t xml:space="preserve"> is a seismic trough (negative amplitude)</w:t>
      </w:r>
      <w:r w:rsidR="00646B61">
        <w:t xml:space="preserve">. The </w:t>
      </w:r>
      <w:r w:rsidRPr="006C35A6">
        <w:t xml:space="preserve">Woodford </w:t>
      </w:r>
      <w:r>
        <w:t>S</w:t>
      </w:r>
      <w:r w:rsidRPr="006C35A6">
        <w:t xml:space="preserve">hale base (Hunton Group </w:t>
      </w:r>
      <w:r>
        <w:t>t</w:t>
      </w:r>
      <w:r w:rsidRPr="006C35A6">
        <w:t>op) is a bright, positive amplitude horizon.</w:t>
      </w:r>
      <w:r>
        <w:t xml:space="preserve"> Location of the line shown </w:t>
      </w:r>
      <w:r w:rsidRPr="00FF460E">
        <w:t xml:space="preserve">in Figure </w:t>
      </w:r>
      <w:r w:rsidR="00BD3F92">
        <w:t>4</w:t>
      </w:r>
      <w:r w:rsidRPr="00FF460E">
        <w:t>.</w:t>
      </w:r>
      <w:r>
        <w:t>7</w:t>
      </w:r>
      <w:r w:rsidRPr="00FF460E">
        <w:t>.</w:t>
      </w:r>
      <w:bookmarkEnd w:id="400"/>
      <w:bookmarkEnd w:id="401"/>
    </w:p>
    <w:p w14:paraId="7FFFB4B2" w14:textId="77777777" w:rsidR="00D073A0" w:rsidRDefault="00D073A0" w:rsidP="00D073A0">
      <w:pPr>
        <w:spacing w:after="0"/>
        <w:jc w:val="center"/>
        <w:rPr>
          <w:rFonts w:eastAsia="Times New Roman"/>
          <w:color w:val="000000"/>
        </w:rPr>
        <w:sectPr w:rsidR="00D073A0" w:rsidSect="0095456D">
          <w:pgSz w:w="15840" w:h="12240" w:orient="landscape"/>
          <w:pgMar w:top="1440" w:right="1440" w:bottom="1440" w:left="1440" w:header="720" w:footer="720" w:gutter="0"/>
          <w:cols w:space="720"/>
          <w:docGrid w:linePitch="360"/>
        </w:sectPr>
      </w:pPr>
    </w:p>
    <w:p w14:paraId="0FC4136B" w14:textId="77777777" w:rsidR="00D073A0" w:rsidRPr="006C35A6" w:rsidRDefault="00D073A0" w:rsidP="00D073A0">
      <w:pPr>
        <w:spacing w:after="0" w:line="360" w:lineRule="auto"/>
        <w:jc w:val="center"/>
        <w:rPr>
          <w:rFonts w:eastAsia="Times New Roman"/>
          <w:color w:val="000000"/>
        </w:rPr>
      </w:pPr>
      <w:r>
        <w:rPr>
          <w:rFonts w:eastAsia="Times New Roman"/>
          <w:noProof/>
          <w:color w:val="000000"/>
        </w:rPr>
        <w:lastRenderedPageBreak/>
        <w:drawing>
          <wp:inline distT="0" distB="0" distL="0" distR="0" wp14:anchorId="28F784FE" wp14:editId="239C431F">
            <wp:extent cx="7250430" cy="5109655"/>
            <wp:effectExtent l="0" t="0" r="0" b="0"/>
            <wp:docPr id="8553" name="Picture 8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268074" cy="5122089"/>
                    </a:xfrm>
                    <a:prstGeom prst="rect">
                      <a:avLst/>
                    </a:prstGeom>
                    <a:noFill/>
                  </pic:spPr>
                </pic:pic>
              </a:graphicData>
            </a:graphic>
          </wp:inline>
        </w:drawing>
      </w:r>
    </w:p>
    <w:p w14:paraId="7029A1FF" w14:textId="292D7E2F" w:rsidR="00D073A0" w:rsidRPr="003B448C" w:rsidRDefault="00D073A0" w:rsidP="00D073A0">
      <w:pPr>
        <w:pStyle w:val="Caption"/>
        <w:sectPr w:rsidR="00D073A0" w:rsidRPr="003B448C" w:rsidSect="0095456D">
          <w:pgSz w:w="15840" w:h="12240" w:orient="landscape"/>
          <w:pgMar w:top="1440" w:right="1440" w:bottom="1440" w:left="1440" w:header="720" w:footer="720" w:gutter="0"/>
          <w:cols w:space="720"/>
          <w:docGrid w:linePitch="360"/>
        </w:sectPr>
      </w:pPr>
      <w:bookmarkStart w:id="402" w:name="_Toc28065275"/>
      <w:bookmarkStart w:id="403" w:name="_Toc35861253"/>
      <w:r w:rsidRPr="00492F75">
        <w:rPr>
          <w:b/>
        </w:rPr>
        <w:t xml:space="preserve">Figure </w:t>
      </w:r>
      <w:r w:rsidR="00BD3F92" w:rsidRPr="00492F75">
        <w:rPr>
          <w:b/>
        </w:rPr>
        <w:t>4</w:t>
      </w:r>
      <w:r w:rsidRPr="00492F75">
        <w:rPr>
          <w:b/>
        </w:rPr>
        <w:t>.7.</w:t>
      </w:r>
      <w:r w:rsidRPr="00492F75">
        <w:t xml:space="preserve"> Woodford</w:t>
      </w:r>
      <w:r w:rsidRPr="006C35A6">
        <w:t xml:space="preserve"> </w:t>
      </w:r>
      <w:r>
        <w:t>S</w:t>
      </w:r>
      <w:r w:rsidRPr="006C35A6">
        <w:t xml:space="preserve">hale </w:t>
      </w:r>
      <w:r>
        <w:t xml:space="preserve">time </w:t>
      </w:r>
      <w:r w:rsidRPr="006C35A6">
        <w:t>structure map</w:t>
      </w:r>
      <w:r>
        <w:t xml:space="preserve"> [ms]</w:t>
      </w:r>
      <w:r w:rsidRPr="006C35A6">
        <w:t xml:space="preserve"> in the study area. </w:t>
      </w:r>
      <w:r>
        <w:t>The time structure maps were</w:t>
      </w:r>
      <w:r w:rsidRPr="006C35A6">
        <w:t xml:space="preserve"> converted to depth and </w:t>
      </w:r>
      <w:r>
        <w:t xml:space="preserve">used to define our geocellular model. The red line corresponds to the seismic vertical slice in Figure </w:t>
      </w:r>
      <w:r w:rsidR="00BD3F92">
        <w:t>4</w:t>
      </w:r>
      <w:r>
        <w:t>.6.</w:t>
      </w:r>
      <w:bookmarkEnd w:id="402"/>
      <w:r w:rsidR="00646B61">
        <w:t xml:space="preserve"> Relative times used to protect data sensitivity.</w:t>
      </w:r>
      <w:bookmarkEnd w:id="403"/>
      <w:r w:rsidR="00646B61">
        <w:t xml:space="preserve"> </w:t>
      </w:r>
    </w:p>
    <w:p w14:paraId="0838A156" w14:textId="77777777" w:rsidR="00D073A0" w:rsidRPr="006C35A6" w:rsidRDefault="00D073A0" w:rsidP="00D073A0">
      <w:pPr>
        <w:spacing w:after="0"/>
        <w:jc w:val="center"/>
        <w:rPr>
          <w:rFonts w:eastAsia="Times New Roman"/>
          <w:color w:val="000000"/>
        </w:rPr>
      </w:pPr>
      <w:r>
        <w:rPr>
          <w:rFonts w:eastAsia="Times New Roman"/>
          <w:noProof/>
          <w:color w:val="000000"/>
        </w:rPr>
        <w:lastRenderedPageBreak/>
        <w:drawing>
          <wp:inline distT="0" distB="0" distL="0" distR="0" wp14:anchorId="6D5BF89C" wp14:editId="291C5387">
            <wp:extent cx="8134350" cy="4798060"/>
            <wp:effectExtent l="0" t="0" r="0" b="2540"/>
            <wp:docPr id="8554" name="Picture 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134350" cy="4798060"/>
                    </a:xfrm>
                    <a:prstGeom prst="rect">
                      <a:avLst/>
                    </a:prstGeom>
                    <a:noFill/>
                  </pic:spPr>
                </pic:pic>
              </a:graphicData>
            </a:graphic>
          </wp:inline>
        </w:drawing>
      </w:r>
    </w:p>
    <w:p w14:paraId="7F9210B8" w14:textId="052DD8FD" w:rsidR="00D073A0" w:rsidRPr="006C35A6" w:rsidRDefault="00D073A0" w:rsidP="00D073A0">
      <w:pPr>
        <w:pStyle w:val="Caption"/>
      </w:pPr>
      <w:bookmarkStart w:id="404" w:name="_Toc28065276"/>
      <w:bookmarkStart w:id="405" w:name="_Toc35861254"/>
      <w:r w:rsidRPr="006C35A6">
        <w:rPr>
          <w:b/>
        </w:rPr>
        <w:t xml:space="preserve">Figure </w:t>
      </w:r>
      <w:r w:rsidR="00BD3F92">
        <w:rPr>
          <w:b/>
        </w:rPr>
        <w:t>4</w:t>
      </w:r>
      <w:r w:rsidRPr="006C35A6">
        <w:rPr>
          <w:b/>
        </w:rPr>
        <w:t>.</w:t>
      </w:r>
      <w:r>
        <w:rPr>
          <w:b/>
        </w:rPr>
        <w:t>8</w:t>
      </w:r>
      <w:r w:rsidRPr="006C35A6">
        <w:rPr>
          <w:b/>
        </w:rPr>
        <w:t>.</w:t>
      </w:r>
      <w:r w:rsidRPr="006C35A6">
        <w:t xml:space="preserve"> Woodford </w:t>
      </w:r>
      <w:r>
        <w:t>S</w:t>
      </w:r>
      <w:r w:rsidRPr="006C35A6">
        <w:t>hale time thickness map</w:t>
      </w:r>
      <w:r>
        <w:t xml:space="preserve"> [ms]</w:t>
      </w:r>
      <w:r w:rsidRPr="006C35A6">
        <w:t xml:space="preserve">. Note the increased thickness in the </w:t>
      </w:r>
      <w:r>
        <w:t>n</w:t>
      </w:r>
      <w:r w:rsidRPr="006C35A6">
        <w:t xml:space="preserve">ortheast and </w:t>
      </w:r>
      <w:r>
        <w:t>s</w:t>
      </w:r>
      <w:r w:rsidRPr="006C35A6">
        <w:t xml:space="preserve">outh of the </w:t>
      </w:r>
      <w:r>
        <w:t>s</w:t>
      </w:r>
      <w:r w:rsidRPr="006C35A6">
        <w:t>tudy area</w:t>
      </w:r>
      <w:r>
        <w:t xml:space="preserve"> (thickness higher than 45 ms)</w:t>
      </w:r>
      <w:r w:rsidRPr="006C35A6">
        <w:t xml:space="preserve">. Wells from </w:t>
      </w:r>
      <w:r>
        <w:t>s</w:t>
      </w:r>
      <w:r w:rsidRPr="006C35A6">
        <w:t xml:space="preserve">tratigraphic correlation </w:t>
      </w:r>
      <w:r>
        <w:t xml:space="preserve">shown </w:t>
      </w:r>
      <w:r w:rsidRPr="006C35A6">
        <w:t xml:space="preserve">in Figure </w:t>
      </w:r>
      <w:r w:rsidR="00BD3F92">
        <w:t>4</w:t>
      </w:r>
      <w:r w:rsidRPr="006C35A6">
        <w:t>.</w:t>
      </w:r>
      <w:r>
        <w:t>5</w:t>
      </w:r>
      <w:r w:rsidRPr="006C35A6">
        <w:t>.</w:t>
      </w:r>
      <w:bookmarkEnd w:id="404"/>
      <w:bookmarkEnd w:id="405"/>
    </w:p>
    <w:p w14:paraId="219850B1" w14:textId="77777777" w:rsidR="00D073A0" w:rsidRDefault="00D073A0" w:rsidP="00D073A0">
      <w:pPr>
        <w:ind w:firstLine="720"/>
        <w:rPr>
          <w:rFonts w:eastAsia="Times New Roman"/>
          <w:color w:val="000000"/>
        </w:rPr>
        <w:sectPr w:rsidR="00D073A0" w:rsidSect="0095456D">
          <w:pgSz w:w="15840" w:h="12240" w:orient="landscape"/>
          <w:pgMar w:top="1440" w:right="1440" w:bottom="1440" w:left="1440" w:header="720" w:footer="720" w:gutter="0"/>
          <w:cols w:space="720"/>
          <w:docGrid w:linePitch="360"/>
        </w:sectPr>
      </w:pPr>
    </w:p>
    <w:p w14:paraId="06DD99B3" w14:textId="77777777" w:rsidR="00D51B33" w:rsidRPr="006C35A6" w:rsidRDefault="00D51B33" w:rsidP="00D51B33">
      <w:pPr>
        <w:ind w:firstLine="720"/>
        <w:rPr>
          <w:rFonts w:eastAsia="Times New Roman"/>
          <w:color w:val="000000"/>
        </w:rPr>
      </w:pPr>
      <w:r>
        <w:rPr>
          <w:rFonts w:eastAsia="Times New Roman"/>
          <w:color w:val="000000"/>
        </w:rPr>
        <w:lastRenderedPageBreak/>
        <w:t>Because it uses a seismic wavelet using the well log information,</w:t>
      </w:r>
      <w:r w:rsidRPr="006C35A6">
        <w:rPr>
          <w:rFonts w:eastAsia="Times New Roman"/>
          <w:color w:val="000000"/>
        </w:rPr>
        <w:t xml:space="preserve"> </w:t>
      </w:r>
      <w:r w:rsidRPr="0022522E">
        <w:rPr>
          <w:rFonts w:eastAsia="Times New Roman"/>
          <w:i/>
          <w:iCs/>
          <w:color w:val="000000"/>
        </w:rPr>
        <w:t>Z</w:t>
      </w:r>
      <w:r w:rsidRPr="0022522E">
        <w:rPr>
          <w:rFonts w:eastAsia="Times New Roman"/>
          <w:i/>
          <w:iCs/>
          <w:color w:val="000000"/>
          <w:vertAlign w:val="subscript"/>
        </w:rPr>
        <w:t>p</w:t>
      </w:r>
      <w:r>
        <w:rPr>
          <w:rFonts w:eastAsia="Times New Roman"/>
          <w:color w:val="000000"/>
        </w:rPr>
        <w:t xml:space="preserve"> inversion</w:t>
      </w:r>
      <w:r w:rsidRPr="006C35A6">
        <w:rPr>
          <w:rFonts w:eastAsia="Times New Roman"/>
          <w:color w:val="000000"/>
        </w:rPr>
        <w:t xml:space="preserve"> revealed a higher vertical resolution and lateral impedance changes within the Woodford </w:t>
      </w:r>
      <w:r>
        <w:rPr>
          <w:rFonts w:eastAsia="Times New Roman"/>
          <w:color w:val="000000"/>
        </w:rPr>
        <w:t>S</w:t>
      </w:r>
      <w:r w:rsidRPr="006C35A6">
        <w:rPr>
          <w:rFonts w:eastAsia="Times New Roman"/>
          <w:color w:val="000000"/>
        </w:rPr>
        <w:t xml:space="preserve">hale </w:t>
      </w:r>
      <w:r>
        <w:rPr>
          <w:rFonts w:eastAsia="Times New Roman"/>
          <w:color w:val="000000"/>
        </w:rPr>
        <w:t>than the seismic amplitude itself</w:t>
      </w:r>
      <w:r w:rsidRPr="006C35A6">
        <w:rPr>
          <w:rFonts w:eastAsia="Times New Roman"/>
          <w:color w:val="000000"/>
        </w:rPr>
        <w:t xml:space="preserve">(Figure </w:t>
      </w:r>
      <w:r>
        <w:rPr>
          <w:rFonts w:eastAsia="Times New Roman"/>
          <w:color w:val="000000"/>
        </w:rPr>
        <w:t>4.10 and Figure 4</w:t>
      </w:r>
      <w:r w:rsidRPr="006C35A6">
        <w:rPr>
          <w:rFonts w:eastAsia="Times New Roman"/>
          <w:color w:val="000000"/>
        </w:rPr>
        <w:t>.</w:t>
      </w:r>
      <w:r>
        <w:rPr>
          <w:rFonts w:eastAsia="Times New Roman"/>
          <w:color w:val="000000"/>
        </w:rPr>
        <w:t>11</w:t>
      </w:r>
      <w:r w:rsidRPr="006C35A6">
        <w:rPr>
          <w:rFonts w:eastAsia="Times New Roman"/>
          <w:color w:val="000000"/>
        </w:rPr>
        <w:t xml:space="preserve">). The generated seismic </w:t>
      </w:r>
      <w:r>
        <w:rPr>
          <w:rFonts w:eastAsia="Times New Roman"/>
          <w:color w:val="000000"/>
        </w:rPr>
        <w:t>%</w:t>
      </w:r>
      <w:r w:rsidRPr="006C35A6">
        <w:rPr>
          <w:rFonts w:eastAsia="Times New Roman"/>
          <w:color w:val="000000"/>
        </w:rPr>
        <w:t xml:space="preserve">TOC volume was then applied to the reservoir modeling to laterally and vertically </w:t>
      </w:r>
      <w:r>
        <w:rPr>
          <w:rFonts w:eastAsia="Times New Roman"/>
          <w:color w:val="000000"/>
        </w:rPr>
        <w:t xml:space="preserve">guide </w:t>
      </w:r>
      <w:r w:rsidRPr="006C35A6">
        <w:rPr>
          <w:rFonts w:eastAsia="Times New Roman"/>
          <w:color w:val="000000"/>
        </w:rPr>
        <w:t xml:space="preserve">the calculated </w:t>
      </w:r>
      <w:r>
        <w:rPr>
          <w:rFonts w:eastAsia="Times New Roman"/>
          <w:color w:val="000000"/>
        </w:rPr>
        <w:t>%</w:t>
      </w:r>
      <w:r w:rsidRPr="006C35A6">
        <w:rPr>
          <w:rFonts w:eastAsia="Times New Roman"/>
          <w:color w:val="000000"/>
        </w:rPr>
        <w:t xml:space="preserve">TOC and </w:t>
      </w:r>
      <w:r>
        <w:rPr>
          <w:rFonts w:eastAsia="Times New Roman"/>
          <w:color w:val="000000"/>
        </w:rPr>
        <w:t>d</w:t>
      </w:r>
      <w:r w:rsidRPr="006C35A6">
        <w:rPr>
          <w:rFonts w:eastAsia="Times New Roman"/>
          <w:color w:val="000000"/>
        </w:rPr>
        <w:t>ensity-</w:t>
      </w:r>
      <w:r>
        <w:rPr>
          <w:rFonts w:eastAsia="Times New Roman"/>
          <w:color w:val="000000"/>
        </w:rPr>
        <w:t>p</w:t>
      </w:r>
      <w:r w:rsidRPr="006C35A6">
        <w:rPr>
          <w:rFonts w:eastAsia="Times New Roman"/>
          <w:color w:val="000000"/>
        </w:rPr>
        <w:t xml:space="preserve">orosity </w:t>
      </w:r>
      <w:r>
        <w:rPr>
          <w:rFonts w:eastAsia="Times New Roman"/>
          <w:color w:val="000000"/>
        </w:rPr>
        <w:t>calculated at each</w:t>
      </w:r>
      <w:r w:rsidRPr="006C35A6">
        <w:rPr>
          <w:rFonts w:eastAsia="Times New Roman"/>
          <w:color w:val="000000"/>
        </w:rPr>
        <w:t xml:space="preserve"> well</w:t>
      </w:r>
      <w:r>
        <w:rPr>
          <w:rFonts w:eastAsia="Times New Roman"/>
          <w:color w:val="000000"/>
        </w:rPr>
        <w:t xml:space="preserve"> location. We performed the property guidance</w:t>
      </w:r>
      <w:r w:rsidRPr="006C35A6">
        <w:rPr>
          <w:rFonts w:eastAsia="Times New Roman"/>
          <w:color w:val="000000"/>
        </w:rPr>
        <w:t xml:space="preserve"> using </w:t>
      </w:r>
      <w:r>
        <w:rPr>
          <w:rFonts w:eastAsia="Times New Roman"/>
          <w:color w:val="000000"/>
        </w:rPr>
        <w:t>the Z</w:t>
      </w:r>
      <w:r w:rsidRPr="00FB6B0A">
        <w:rPr>
          <w:rFonts w:eastAsia="Times New Roman"/>
          <w:color w:val="000000"/>
          <w:vertAlign w:val="subscript"/>
        </w:rPr>
        <w:t>p</w:t>
      </w:r>
      <w:r>
        <w:rPr>
          <w:rFonts w:eastAsia="Times New Roman"/>
          <w:color w:val="000000"/>
        </w:rPr>
        <w:t xml:space="preserve"> volume as </w:t>
      </w:r>
      <w:r>
        <w:t xml:space="preserve">probability trend maps with </w:t>
      </w:r>
      <w:r w:rsidRPr="006C35A6">
        <w:rPr>
          <w:rFonts w:eastAsia="Times New Roman"/>
          <w:color w:val="000000"/>
        </w:rPr>
        <w:t xml:space="preserve">collocated cokriging of </w:t>
      </w:r>
      <w:r>
        <w:rPr>
          <w:rFonts w:eastAsia="Times New Roman"/>
          <w:color w:val="000000"/>
        </w:rPr>
        <w:t>the petrophysical properties modeling, using a sequential G</w:t>
      </w:r>
      <w:r w:rsidRPr="006C35A6">
        <w:rPr>
          <w:rFonts w:eastAsia="Times New Roman"/>
          <w:color w:val="000000"/>
        </w:rPr>
        <w:t>aussian simulati</w:t>
      </w:r>
      <w:r>
        <w:rPr>
          <w:rFonts w:eastAsia="Times New Roman"/>
          <w:color w:val="000000"/>
        </w:rPr>
        <w:t xml:space="preserve">on algorithm. </w:t>
      </w:r>
    </w:p>
    <w:p w14:paraId="6B5C54DD" w14:textId="1D743E69" w:rsidR="00D073A0" w:rsidRPr="006C35A6" w:rsidRDefault="00D073A0" w:rsidP="00D073A0">
      <w:pPr>
        <w:spacing w:after="0" w:line="360" w:lineRule="auto"/>
        <w:jc w:val="center"/>
        <w:rPr>
          <w:rFonts w:eastAsia="Times New Roman"/>
          <w:b/>
          <w:bCs/>
          <w:color w:val="000000"/>
        </w:rPr>
      </w:pPr>
      <w:r>
        <w:rPr>
          <w:rFonts w:eastAsia="Times New Roman"/>
          <w:b/>
          <w:bCs/>
          <w:noProof/>
          <w:color w:val="000000"/>
        </w:rPr>
        <w:drawing>
          <wp:inline distT="0" distB="0" distL="0" distR="0" wp14:anchorId="28C7DCFD" wp14:editId="4B3B67E5">
            <wp:extent cx="5715000" cy="4876800"/>
            <wp:effectExtent l="0" t="0" r="0" b="0"/>
            <wp:docPr id="8556" name="Picture 8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15000" cy="4876800"/>
                    </a:xfrm>
                    <a:prstGeom prst="rect">
                      <a:avLst/>
                    </a:prstGeom>
                    <a:noFill/>
                  </pic:spPr>
                </pic:pic>
              </a:graphicData>
            </a:graphic>
          </wp:inline>
        </w:drawing>
      </w:r>
    </w:p>
    <w:p w14:paraId="503095D3" w14:textId="284C808B" w:rsidR="00D073A0" w:rsidRDefault="00D073A0" w:rsidP="00D073A0">
      <w:pPr>
        <w:pStyle w:val="Caption"/>
      </w:pPr>
      <w:bookmarkStart w:id="406" w:name="_Toc28065277"/>
      <w:bookmarkStart w:id="407" w:name="_Toc35861255"/>
      <w:r w:rsidRPr="006C35A6">
        <w:rPr>
          <w:b/>
        </w:rPr>
        <w:t xml:space="preserve">Figure </w:t>
      </w:r>
      <w:r w:rsidR="00BD3F92">
        <w:rPr>
          <w:b/>
        </w:rPr>
        <w:t>4.</w:t>
      </w:r>
      <w:r>
        <w:rPr>
          <w:b/>
        </w:rPr>
        <w:t>9</w:t>
      </w:r>
      <w:r w:rsidRPr="006C35A6">
        <w:rPr>
          <w:b/>
        </w:rPr>
        <w:t>.</w:t>
      </w:r>
      <w:r w:rsidRPr="006C35A6">
        <w:t xml:space="preserve"> </w:t>
      </w:r>
      <w:r>
        <w:t>A seismic vertical slice of the</w:t>
      </w:r>
      <w:r w:rsidRPr="006C35A6">
        <w:t xml:space="preserve"> low-frequency </w:t>
      </w:r>
      <w:r>
        <w:t>acoustic impedance (</w:t>
      </w:r>
      <w:r w:rsidRPr="006C35A6">
        <w:t>P-</w:t>
      </w:r>
      <w:r>
        <w:t>i</w:t>
      </w:r>
      <w:r w:rsidRPr="006C35A6">
        <w:t>mpedance</w:t>
      </w:r>
      <w:r>
        <w:t>)</w:t>
      </w:r>
      <w:r w:rsidRPr="006C35A6">
        <w:t xml:space="preserve"> </w:t>
      </w:r>
      <w:r>
        <w:t>b</w:t>
      </w:r>
      <w:r w:rsidRPr="006C35A6">
        <w:t xml:space="preserve">ackground model </w:t>
      </w:r>
      <w:r>
        <w:t>in the S-A</w:t>
      </w:r>
      <w:r w:rsidRPr="006C35A6">
        <w:t xml:space="preserve"> cored well</w:t>
      </w:r>
      <w:r w:rsidR="00646B61">
        <w:t xml:space="preserve"> obtained using a neural network and a suite of instantaneous attributes</w:t>
      </w:r>
      <w:r w:rsidRPr="006C35A6">
        <w:t xml:space="preserve">. </w:t>
      </w:r>
      <w:r>
        <w:t>The well log corresponds to the P-impedance (</w:t>
      </w:r>
      <w:r w:rsidRPr="0022522E">
        <w:rPr>
          <w:i/>
          <w:iCs/>
        </w:rPr>
        <w:t>Z</w:t>
      </w:r>
      <w:r w:rsidRPr="0022522E">
        <w:rPr>
          <w:i/>
          <w:iCs/>
          <w:vertAlign w:val="subscript"/>
        </w:rPr>
        <w:t>p</w:t>
      </w:r>
      <w:r>
        <w:t>) curve.</w:t>
      </w:r>
      <w:bookmarkEnd w:id="406"/>
      <w:bookmarkEnd w:id="407"/>
    </w:p>
    <w:p w14:paraId="72F09D16" w14:textId="77777777" w:rsidR="00D073A0" w:rsidRDefault="00D073A0" w:rsidP="004F68A3">
      <w:pPr>
        <w:spacing w:after="0" w:line="360" w:lineRule="auto"/>
        <w:jc w:val="center"/>
        <w:rPr>
          <w:lang w:bidi="en-US"/>
        </w:rPr>
      </w:pPr>
      <w:r>
        <w:rPr>
          <w:noProof/>
        </w:rPr>
        <w:lastRenderedPageBreak/>
        <w:drawing>
          <wp:inline distT="0" distB="0" distL="0" distR="0" wp14:anchorId="3999C4CE" wp14:editId="30DAF634">
            <wp:extent cx="5829300" cy="5175885"/>
            <wp:effectExtent l="0" t="0" r="0" b="0"/>
            <wp:docPr id="8557" name="Picture 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29300" cy="5175885"/>
                    </a:xfrm>
                    <a:prstGeom prst="rect">
                      <a:avLst/>
                    </a:prstGeom>
                    <a:noFill/>
                  </pic:spPr>
                </pic:pic>
              </a:graphicData>
            </a:graphic>
          </wp:inline>
        </w:drawing>
      </w:r>
    </w:p>
    <w:p w14:paraId="13C7423E" w14:textId="46DE12EC" w:rsidR="00D073A0" w:rsidRPr="00A82D75" w:rsidRDefault="00D073A0" w:rsidP="00D073A0">
      <w:pPr>
        <w:pStyle w:val="Caption"/>
      </w:pPr>
      <w:bookmarkStart w:id="408" w:name="_Toc28065278"/>
      <w:bookmarkStart w:id="409" w:name="_Toc35861256"/>
      <w:r>
        <w:rPr>
          <w:b/>
        </w:rPr>
        <w:t xml:space="preserve">Figure </w:t>
      </w:r>
      <w:r w:rsidR="00BD3F92">
        <w:rPr>
          <w:b/>
        </w:rPr>
        <w:t>4</w:t>
      </w:r>
      <w:r>
        <w:rPr>
          <w:b/>
        </w:rPr>
        <w:t xml:space="preserve">.10. </w:t>
      </w:r>
      <w:r>
        <w:t>A seismic vertical slice of</w:t>
      </w:r>
      <w:r w:rsidRPr="006C35A6">
        <w:t xml:space="preserve"> P-</w:t>
      </w:r>
      <w:r>
        <w:t>i</w:t>
      </w:r>
      <w:r w:rsidRPr="006C35A6">
        <w:t xml:space="preserve">mpedance volume using model-based </w:t>
      </w:r>
      <w:r>
        <w:t xml:space="preserve">inversion </w:t>
      </w:r>
      <w:r w:rsidRPr="006C35A6">
        <w:t xml:space="preserve">calculations. </w:t>
      </w:r>
      <w:r>
        <w:t>The well log corresponds to the P-impedance (Zp) curve in the projected cored S-A well.</w:t>
      </w:r>
      <w:bookmarkEnd w:id="408"/>
      <w:bookmarkEnd w:id="409"/>
    </w:p>
    <w:p w14:paraId="15F9748A" w14:textId="20B4AAB9" w:rsidR="00D073A0" w:rsidRPr="006C35A6" w:rsidRDefault="00D073A0" w:rsidP="00734537">
      <w:pPr>
        <w:pStyle w:val="Heading2"/>
        <w:numPr>
          <w:ilvl w:val="1"/>
          <w:numId w:val="34"/>
        </w:numPr>
      </w:pPr>
      <w:bookmarkStart w:id="410" w:name="_Toc25833596"/>
      <w:bookmarkStart w:id="411" w:name="_Toc28065394"/>
      <w:bookmarkStart w:id="412" w:name="_Toc35861140"/>
      <w:r>
        <w:t xml:space="preserve">Mapping reservoir variability using </w:t>
      </w:r>
      <w:r w:rsidRPr="006C35A6">
        <w:t xml:space="preserve">3D seismic </w:t>
      </w:r>
      <w:r>
        <w:t>u</w:t>
      </w:r>
      <w:r w:rsidRPr="006C35A6">
        <w:t>nsupervised machine learning</w:t>
      </w:r>
      <w:bookmarkEnd w:id="412"/>
      <w:r w:rsidRPr="006C35A6">
        <w:t xml:space="preserve"> </w:t>
      </w:r>
      <w:bookmarkEnd w:id="410"/>
      <w:bookmarkEnd w:id="411"/>
      <w:r>
        <w:t xml:space="preserve"> </w:t>
      </w:r>
    </w:p>
    <w:p w14:paraId="1DF8860F" w14:textId="514E9782" w:rsidR="00D073A0" w:rsidRPr="006C35A6" w:rsidRDefault="00D073A0" w:rsidP="00D073A0">
      <w:pPr>
        <w:ind w:firstLine="720"/>
        <w:rPr>
          <w:rFonts w:eastAsia="Times New Roman"/>
          <w:color w:val="000000"/>
        </w:rPr>
      </w:pPr>
      <w:r w:rsidRPr="006C35A6">
        <w:rPr>
          <w:rFonts w:eastAsia="Times New Roman"/>
          <w:color w:val="000000"/>
        </w:rPr>
        <w:t xml:space="preserve">The Woodford </w:t>
      </w:r>
      <w:r>
        <w:rPr>
          <w:rFonts w:eastAsia="Times New Roman"/>
          <w:color w:val="000000"/>
        </w:rPr>
        <w:t>S</w:t>
      </w:r>
      <w:r w:rsidRPr="006C35A6">
        <w:rPr>
          <w:rFonts w:eastAsia="Times New Roman"/>
          <w:color w:val="000000"/>
        </w:rPr>
        <w:t>hale seismic characteristics in the study area make this formation amenable to semiautomated interpretation because of the flat structure</w:t>
      </w:r>
      <w:r w:rsidR="00646B61">
        <w:rPr>
          <w:rFonts w:eastAsia="Times New Roman"/>
          <w:color w:val="000000"/>
        </w:rPr>
        <w:t xml:space="preserve"> without any major faulting nor structural dipping</w:t>
      </w:r>
      <w:r w:rsidRPr="006C35A6">
        <w:rPr>
          <w:rFonts w:eastAsia="Times New Roman"/>
          <w:color w:val="000000"/>
        </w:rPr>
        <w:t xml:space="preserve">. </w:t>
      </w:r>
      <w:r w:rsidR="00646B61">
        <w:rPr>
          <w:rFonts w:eastAsia="Times New Roman"/>
          <w:color w:val="000000"/>
        </w:rPr>
        <w:t xml:space="preserve">Seismic attributes provide a means of </w:t>
      </w:r>
      <w:r w:rsidR="0094057C">
        <w:rPr>
          <w:rFonts w:eastAsia="Times New Roman"/>
          <w:color w:val="000000"/>
        </w:rPr>
        <w:t>quantifying</w:t>
      </w:r>
      <w:r w:rsidR="00646B61">
        <w:rPr>
          <w:rFonts w:eastAsia="Times New Roman"/>
          <w:color w:val="000000"/>
        </w:rPr>
        <w:t xml:space="preserve"> subtle variations in stratigraphy that may easily be overlooked (Chopra and Marfurt, 2007</w:t>
      </w:r>
      <w:r w:rsidRPr="006C35A6">
        <w:rPr>
          <w:rFonts w:eastAsia="Times New Roman"/>
          <w:color w:val="000000"/>
        </w:rPr>
        <w:t xml:space="preserve">). </w:t>
      </w:r>
      <w:r w:rsidR="00646B61">
        <w:rPr>
          <w:rFonts w:eastAsia="Times New Roman"/>
          <w:color w:val="000000"/>
        </w:rPr>
        <w:t>Machine learning</w:t>
      </w:r>
      <w:r w:rsidRPr="006C35A6">
        <w:rPr>
          <w:rFonts w:eastAsia="Times New Roman"/>
          <w:color w:val="000000"/>
        </w:rPr>
        <w:t xml:space="preserve"> </w:t>
      </w:r>
      <w:r w:rsidR="00646B61">
        <w:rPr>
          <w:rFonts w:eastAsia="Times New Roman"/>
          <w:color w:val="000000"/>
        </w:rPr>
        <w:t>provide</w:t>
      </w:r>
      <w:r w:rsidR="001211E1">
        <w:rPr>
          <w:rFonts w:eastAsia="Times New Roman"/>
          <w:color w:val="000000"/>
        </w:rPr>
        <w:t>s</w:t>
      </w:r>
      <w:r w:rsidR="00646B61">
        <w:rPr>
          <w:rFonts w:eastAsia="Times New Roman"/>
          <w:color w:val="000000"/>
        </w:rPr>
        <w:t xml:space="preserve"> a quantitative measure of </w:t>
      </w:r>
      <w:r w:rsidR="0094057C">
        <w:rPr>
          <w:rFonts w:eastAsia="Times New Roman"/>
          <w:color w:val="000000"/>
        </w:rPr>
        <w:t>the patterns</w:t>
      </w:r>
      <w:r w:rsidR="00646B61">
        <w:rPr>
          <w:rFonts w:eastAsia="Times New Roman"/>
          <w:color w:val="000000"/>
        </w:rPr>
        <w:t xml:space="preserve"> across these attributes (</w:t>
      </w:r>
      <w:r w:rsidR="00B73BCA">
        <w:rPr>
          <w:rFonts w:eastAsia="Times New Roman"/>
          <w:color w:val="000000"/>
        </w:rPr>
        <w:t xml:space="preserve">Roy et al., 2013; Roy et al., 2014; </w:t>
      </w:r>
      <w:r w:rsidR="00646B61">
        <w:rPr>
          <w:rFonts w:eastAsia="Times New Roman"/>
          <w:color w:val="000000"/>
        </w:rPr>
        <w:lastRenderedPageBreak/>
        <w:t xml:space="preserve">Zhao et al., 2015). A </w:t>
      </w:r>
      <w:r w:rsidRPr="006C35A6">
        <w:rPr>
          <w:rFonts w:eastAsia="Times New Roman"/>
          <w:color w:val="000000"/>
        </w:rPr>
        <w:t>key component to machine learning is determining which seismic attributes best differentiate a feature of interest from the background</w:t>
      </w:r>
      <w:r>
        <w:rPr>
          <w:rFonts w:eastAsia="Times New Roman"/>
          <w:color w:val="000000"/>
        </w:rPr>
        <w:t xml:space="preserve"> (Infante-Paez and Marfurt, 2018)</w:t>
      </w:r>
      <w:r w:rsidRPr="006C35A6">
        <w:rPr>
          <w:rFonts w:eastAsia="Times New Roman"/>
          <w:color w:val="000000"/>
        </w:rPr>
        <w:t xml:space="preserve">. </w:t>
      </w:r>
    </w:p>
    <w:p w14:paraId="623BC291" w14:textId="4F17262D" w:rsidR="00D073A0" w:rsidRDefault="00D073A0" w:rsidP="00D073A0">
      <w:pPr>
        <w:ind w:firstLine="720"/>
        <w:rPr>
          <w:rFonts w:eastAsia="Times New Roman"/>
          <w:color w:val="000000"/>
        </w:rPr>
      </w:pPr>
      <w:r>
        <w:rPr>
          <w:rFonts w:eastAsia="Times New Roman"/>
          <w:color w:val="000000"/>
        </w:rPr>
        <w:t>SOM</w:t>
      </w:r>
      <w:r w:rsidRPr="006C35A6">
        <w:rPr>
          <w:rFonts w:eastAsia="Times New Roman"/>
          <w:color w:val="000000"/>
        </w:rPr>
        <w:t xml:space="preserve"> organize</w:t>
      </w:r>
      <w:r w:rsidR="00646B61">
        <w:rPr>
          <w:rFonts w:eastAsia="Times New Roman"/>
          <w:color w:val="000000"/>
        </w:rPr>
        <w:t>s</w:t>
      </w:r>
      <w:r w:rsidRPr="006C35A6">
        <w:rPr>
          <w:rFonts w:eastAsia="Times New Roman"/>
          <w:color w:val="000000"/>
        </w:rPr>
        <w:t xml:space="preserve"> the input attributes in a manner that voxels with similar characteristics (input attributes) are grouped and colored similarly. </w:t>
      </w:r>
      <w:r w:rsidR="00B73BCA">
        <w:rPr>
          <w:rFonts w:eastAsia="Times New Roman"/>
          <w:color w:val="000000"/>
        </w:rPr>
        <w:t>Following the work</w:t>
      </w:r>
      <w:r>
        <w:rPr>
          <w:rFonts w:eastAsia="Times New Roman"/>
          <w:color w:val="000000"/>
        </w:rPr>
        <w:t xml:space="preserve"> by Matos et al. (2011), Yenugu et al. (2011), and Zhao et al. (2015)</w:t>
      </w:r>
      <w:r w:rsidR="001211E1">
        <w:rPr>
          <w:rFonts w:eastAsia="Times New Roman"/>
          <w:color w:val="000000"/>
        </w:rPr>
        <w:t>,</w:t>
      </w:r>
      <w:r>
        <w:rPr>
          <w:rFonts w:eastAsia="Times New Roman"/>
          <w:color w:val="000000"/>
        </w:rPr>
        <w:t xml:space="preserve"> </w:t>
      </w:r>
      <w:r w:rsidR="00B73BCA">
        <w:rPr>
          <w:rFonts w:eastAsia="Times New Roman"/>
          <w:color w:val="000000"/>
        </w:rPr>
        <w:t>we used</w:t>
      </w:r>
      <w:r w:rsidRPr="006C35A6">
        <w:rPr>
          <w:rFonts w:eastAsia="Times New Roman"/>
          <w:color w:val="000000"/>
        </w:rPr>
        <w:t xml:space="preserve"> RMS amplitude, </w:t>
      </w:r>
      <w:r>
        <w:rPr>
          <w:rFonts w:eastAsia="Times New Roman"/>
          <w:color w:val="000000"/>
        </w:rPr>
        <w:t>gray level co-occurrence matrix (GLCM) homogeneity, GLCM entropy, peak</w:t>
      </w:r>
      <w:r w:rsidR="00B73BCA">
        <w:rPr>
          <w:rFonts w:eastAsia="Times New Roman"/>
          <w:color w:val="000000"/>
        </w:rPr>
        <w:t xml:space="preserve"> spectral</w:t>
      </w:r>
      <w:r>
        <w:rPr>
          <w:rFonts w:eastAsia="Times New Roman"/>
          <w:color w:val="000000"/>
        </w:rPr>
        <w:t xml:space="preserve"> magnitude</w:t>
      </w:r>
      <w:r w:rsidRPr="006C35A6">
        <w:rPr>
          <w:rFonts w:eastAsia="Times New Roman"/>
          <w:color w:val="000000"/>
        </w:rPr>
        <w:t xml:space="preserve">, and </w:t>
      </w:r>
      <w:r>
        <w:rPr>
          <w:rFonts w:eastAsia="Times New Roman"/>
          <w:color w:val="000000"/>
        </w:rPr>
        <w:t xml:space="preserve">peak </w:t>
      </w:r>
      <w:r w:rsidR="00B73BCA">
        <w:rPr>
          <w:rFonts w:eastAsia="Times New Roman"/>
          <w:color w:val="000000"/>
        </w:rPr>
        <w:t xml:space="preserve">spectral </w:t>
      </w:r>
      <w:r>
        <w:rPr>
          <w:rFonts w:eastAsia="Times New Roman"/>
          <w:color w:val="000000"/>
        </w:rPr>
        <w:t>f</w:t>
      </w:r>
      <w:r w:rsidRPr="006C35A6">
        <w:rPr>
          <w:rFonts w:eastAsia="Times New Roman"/>
          <w:color w:val="000000"/>
        </w:rPr>
        <w:t xml:space="preserve">requency. </w:t>
      </w:r>
      <w:r w:rsidR="00B73BCA">
        <w:rPr>
          <w:rFonts w:eastAsia="Times New Roman"/>
          <w:color w:val="000000"/>
        </w:rPr>
        <w:t>Over s</w:t>
      </w:r>
      <w:r w:rsidRPr="006C35A6">
        <w:rPr>
          <w:rFonts w:eastAsia="Times New Roman"/>
          <w:color w:val="000000"/>
        </w:rPr>
        <w:t xml:space="preserve">imilar colors correspond to similar rock facies </w:t>
      </w:r>
      <w:r>
        <w:rPr>
          <w:rFonts w:eastAsia="Times New Roman"/>
          <w:color w:val="000000"/>
        </w:rPr>
        <w:t xml:space="preserve">in SOM, K-means, and GTM classification volumes, as shown </w:t>
      </w:r>
      <w:r w:rsidRPr="006C35A6">
        <w:rPr>
          <w:rFonts w:eastAsia="Times New Roman"/>
          <w:color w:val="000000"/>
        </w:rPr>
        <w:t xml:space="preserve">in Figures </w:t>
      </w:r>
      <w:r w:rsidR="00BD3F92">
        <w:rPr>
          <w:rFonts w:eastAsia="Times New Roman"/>
          <w:color w:val="000000"/>
        </w:rPr>
        <w:t>4</w:t>
      </w:r>
      <w:r w:rsidRPr="006C35A6">
        <w:rPr>
          <w:rFonts w:eastAsia="Times New Roman"/>
          <w:color w:val="000000"/>
        </w:rPr>
        <w:t>.</w:t>
      </w:r>
      <w:r>
        <w:rPr>
          <w:rFonts w:eastAsia="Times New Roman"/>
          <w:color w:val="000000"/>
        </w:rPr>
        <w:t>12</w:t>
      </w:r>
      <w:r w:rsidR="00D60B2B">
        <w:rPr>
          <w:rFonts w:eastAsia="Times New Roman"/>
          <w:color w:val="000000"/>
        </w:rPr>
        <w:t xml:space="preserve"> -</w:t>
      </w:r>
      <w:r w:rsidRPr="006C35A6">
        <w:rPr>
          <w:rFonts w:eastAsia="Times New Roman"/>
          <w:color w:val="000000"/>
        </w:rPr>
        <w:t xml:space="preserve"> </w:t>
      </w:r>
      <w:r w:rsidR="00BD3F92">
        <w:rPr>
          <w:rFonts w:eastAsia="Times New Roman"/>
          <w:color w:val="000000"/>
        </w:rPr>
        <w:t>4</w:t>
      </w:r>
      <w:r w:rsidRPr="006C35A6">
        <w:rPr>
          <w:rFonts w:eastAsia="Times New Roman"/>
          <w:color w:val="000000"/>
        </w:rPr>
        <w:t>.1</w:t>
      </w:r>
      <w:r>
        <w:rPr>
          <w:rFonts w:eastAsia="Times New Roman"/>
          <w:color w:val="000000"/>
        </w:rPr>
        <w:t>4.</w:t>
      </w:r>
    </w:p>
    <w:p w14:paraId="29A41BB4" w14:textId="77777777" w:rsidR="00D073A0" w:rsidRPr="006C35A6" w:rsidRDefault="00D073A0" w:rsidP="00D073A0">
      <w:pPr>
        <w:spacing w:after="0" w:line="360" w:lineRule="auto"/>
        <w:jc w:val="center"/>
        <w:rPr>
          <w:rFonts w:eastAsia="Times New Roman"/>
          <w:color w:val="000000"/>
        </w:rPr>
      </w:pPr>
      <w:r>
        <w:rPr>
          <w:rFonts w:eastAsia="Times New Roman"/>
          <w:noProof/>
          <w:color w:val="000000"/>
        </w:rPr>
        <w:drawing>
          <wp:inline distT="0" distB="0" distL="0" distR="0" wp14:anchorId="7237C0FC" wp14:editId="388B1148">
            <wp:extent cx="5079314" cy="4129266"/>
            <wp:effectExtent l="0" t="0" r="7620" b="5080"/>
            <wp:docPr id="8558" name="Picture 8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0">
                      <a:extLst>
                        <a:ext uri="{28A0092B-C50C-407E-A947-70E740481C1C}">
                          <a14:useLocalDpi xmlns:a14="http://schemas.microsoft.com/office/drawing/2010/main" val="0"/>
                        </a:ext>
                      </a:extLst>
                    </a:blip>
                    <a:srcRect l="1246" t="3216" r="2208" b="3270"/>
                    <a:stretch/>
                  </pic:blipFill>
                  <pic:spPr bwMode="auto">
                    <a:xfrm>
                      <a:off x="0" y="0"/>
                      <a:ext cx="5107446" cy="4152136"/>
                    </a:xfrm>
                    <a:prstGeom prst="rect">
                      <a:avLst/>
                    </a:prstGeom>
                    <a:noFill/>
                    <a:ln>
                      <a:noFill/>
                    </a:ln>
                    <a:extLst>
                      <a:ext uri="{53640926-AAD7-44D8-BBD7-CCE9431645EC}">
                        <a14:shadowObscured xmlns:a14="http://schemas.microsoft.com/office/drawing/2010/main"/>
                      </a:ext>
                    </a:extLst>
                  </pic:spPr>
                </pic:pic>
              </a:graphicData>
            </a:graphic>
          </wp:inline>
        </w:drawing>
      </w:r>
    </w:p>
    <w:p w14:paraId="17C798DE" w14:textId="62E63DA7" w:rsidR="00D073A0" w:rsidRDefault="00D073A0" w:rsidP="00D073A0">
      <w:pPr>
        <w:pStyle w:val="Caption"/>
      </w:pPr>
      <w:bookmarkStart w:id="413" w:name="_Toc28065279"/>
      <w:bookmarkStart w:id="414" w:name="_Toc35861257"/>
      <w:r w:rsidRPr="006C35A6">
        <w:rPr>
          <w:b/>
        </w:rPr>
        <w:t xml:space="preserve">Figure </w:t>
      </w:r>
      <w:r w:rsidR="00BD3F92">
        <w:rPr>
          <w:b/>
        </w:rPr>
        <w:t>4</w:t>
      </w:r>
      <w:r w:rsidRPr="006C35A6">
        <w:rPr>
          <w:b/>
        </w:rPr>
        <w:t>.</w:t>
      </w:r>
      <w:r>
        <w:rPr>
          <w:b/>
        </w:rPr>
        <w:t>11</w:t>
      </w:r>
      <w:r w:rsidRPr="006C35A6">
        <w:rPr>
          <w:b/>
        </w:rPr>
        <w:t>.</w:t>
      </w:r>
      <w:r w:rsidRPr="006C35A6">
        <w:t xml:space="preserve"> </w:t>
      </w:r>
      <w:r>
        <w:t>Average i</w:t>
      </w:r>
      <w:r w:rsidRPr="006C35A6">
        <w:t>nverted P-</w:t>
      </w:r>
      <w:r>
        <w:t>i</w:t>
      </w:r>
      <w:r w:rsidRPr="006C35A6">
        <w:t>mpedance</w:t>
      </w:r>
      <w:r>
        <w:t xml:space="preserve"> (</w:t>
      </w:r>
      <w:r w:rsidRPr="0005778C">
        <w:rPr>
          <w:i/>
          <w:iCs/>
        </w:rPr>
        <w:t>Z</w:t>
      </w:r>
      <w:r w:rsidRPr="0005778C">
        <w:rPr>
          <w:i/>
          <w:iCs/>
          <w:vertAlign w:val="subscript"/>
        </w:rPr>
        <w:t>p</w:t>
      </w:r>
      <w:r>
        <w:t xml:space="preserve">) </w:t>
      </w:r>
      <w:r w:rsidR="00B73BCA">
        <w:t>for the entire</w:t>
      </w:r>
      <w:r>
        <w:t xml:space="preserve"> Woodford Shale</w:t>
      </w:r>
      <w:r w:rsidR="00B73BCA">
        <w:t xml:space="preserve"> stratigraphic interval (From Woodford top to Hunton group top)</w:t>
      </w:r>
      <w:r w:rsidRPr="006C35A6">
        <w:t xml:space="preserve">. Extracted and </w:t>
      </w:r>
      <w:r>
        <w:t>i</w:t>
      </w:r>
      <w:r w:rsidRPr="006C35A6">
        <w:t>nterpolated along</w:t>
      </w:r>
      <w:r>
        <w:t xml:space="preserve"> with</w:t>
      </w:r>
      <w:r w:rsidRPr="006C35A6">
        <w:t xml:space="preserve"> the Woodford </w:t>
      </w:r>
      <w:r>
        <w:t>s</w:t>
      </w:r>
      <w:r w:rsidRPr="006C35A6">
        <w:t xml:space="preserve">eismic </w:t>
      </w:r>
      <w:r>
        <w:t>w</w:t>
      </w:r>
      <w:r w:rsidRPr="006C35A6">
        <w:t>indow</w:t>
      </w:r>
      <w:r>
        <w:t xml:space="preserve"> (10 ms above the Woodford Shale seismic top, and 10 ms below the Woodford Shale seismic base)</w:t>
      </w:r>
      <w:r w:rsidRPr="006C35A6">
        <w:t>.</w:t>
      </w:r>
      <w:bookmarkEnd w:id="413"/>
      <w:r w:rsidR="0012054C">
        <w:t xml:space="preserve"> Each of the colored boxes correspond</w:t>
      </w:r>
      <w:r w:rsidR="001211E1">
        <w:t>s</w:t>
      </w:r>
      <w:r w:rsidR="0012054C">
        <w:t xml:space="preserve"> to one type</w:t>
      </w:r>
      <w:r w:rsidR="001211E1">
        <w:t xml:space="preserve"> of</w:t>
      </w:r>
      <w:r w:rsidR="0012054C">
        <w:t xml:space="preserve"> curve area used for reservoir simulation.</w:t>
      </w:r>
      <w:bookmarkEnd w:id="414"/>
      <w:r w:rsidR="0012054C">
        <w:t xml:space="preserve"> </w:t>
      </w:r>
    </w:p>
    <w:p w14:paraId="561574E7" w14:textId="7BBCD830" w:rsidR="00D51B33" w:rsidRPr="006C35A6" w:rsidRDefault="00D51B33" w:rsidP="005E08FB">
      <w:pPr>
        <w:pStyle w:val="Heading2"/>
        <w:numPr>
          <w:ilvl w:val="1"/>
          <w:numId w:val="34"/>
        </w:numPr>
      </w:pPr>
      <w:bookmarkStart w:id="415" w:name="_Toc35861141"/>
      <w:r>
        <w:lastRenderedPageBreak/>
        <w:t>Geo</w:t>
      </w:r>
      <w:r w:rsidRPr="006C35A6">
        <w:t xml:space="preserve">logical </w:t>
      </w:r>
      <w:r>
        <w:t xml:space="preserve">and quantitative </w:t>
      </w:r>
      <w:r w:rsidRPr="00980A45">
        <w:t>3D</w:t>
      </w:r>
      <w:r>
        <w:t xml:space="preserve"> seismic c</w:t>
      </w:r>
      <w:r w:rsidRPr="006C35A6">
        <w:t xml:space="preserve">haracterization </w:t>
      </w:r>
      <w:r>
        <w:t>r</w:t>
      </w:r>
      <w:r w:rsidRPr="006C35A6">
        <w:t>esults</w:t>
      </w:r>
      <w:bookmarkEnd w:id="415"/>
    </w:p>
    <w:p w14:paraId="10329A43" w14:textId="35D8192B" w:rsidR="00D51B33" w:rsidRDefault="00D51B33" w:rsidP="00D51B33">
      <w:pPr>
        <w:spacing w:after="0"/>
        <w:ind w:firstLine="360"/>
        <w:rPr>
          <w:rFonts w:eastAsia="Times New Roman"/>
          <w:color w:val="000000"/>
        </w:rPr>
      </w:pPr>
      <w:r>
        <w:rPr>
          <w:rFonts w:eastAsia="Times New Roman"/>
          <w:color w:val="000000"/>
        </w:rPr>
        <w:t xml:space="preserve">Figure 4.5 illustrates the </w:t>
      </w:r>
      <w:r w:rsidRPr="006C35A6">
        <w:rPr>
          <w:rFonts w:eastAsia="Times New Roman"/>
          <w:color w:val="000000"/>
        </w:rPr>
        <w:t xml:space="preserve">stratigraphic well log correlation </w:t>
      </w:r>
      <w:r>
        <w:rPr>
          <w:rFonts w:eastAsia="Times New Roman"/>
          <w:color w:val="000000"/>
        </w:rPr>
        <w:t>that defines the</w:t>
      </w:r>
      <w:r w:rsidRPr="006C35A6">
        <w:rPr>
          <w:rFonts w:eastAsia="Times New Roman"/>
          <w:color w:val="000000"/>
        </w:rPr>
        <w:t xml:space="preserve"> </w:t>
      </w:r>
      <w:r>
        <w:rPr>
          <w:rFonts w:eastAsia="Times New Roman"/>
          <w:color w:val="000000"/>
        </w:rPr>
        <w:t xml:space="preserve">target interval inside </w:t>
      </w:r>
      <w:r w:rsidRPr="006C35A6">
        <w:rPr>
          <w:rFonts w:eastAsia="Times New Roman"/>
          <w:color w:val="000000"/>
        </w:rPr>
        <w:t>the middle Woodford member</w:t>
      </w:r>
      <w:r>
        <w:rPr>
          <w:rFonts w:eastAsia="Times New Roman"/>
          <w:color w:val="000000"/>
        </w:rPr>
        <w:t>. We used the</w:t>
      </w:r>
      <w:r w:rsidRPr="006C35A6">
        <w:rPr>
          <w:rFonts w:eastAsia="Times New Roman"/>
          <w:color w:val="000000"/>
        </w:rPr>
        <w:t xml:space="preserve"> </w:t>
      </w:r>
      <w:r w:rsidRPr="0022522E">
        <w:rPr>
          <w:rFonts w:eastAsia="Times New Roman"/>
          <w:i/>
          <w:iCs/>
          <w:color w:val="000000"/>
        </w:rPr>
        <w:t>Z</w:t>
      </w:r>
      <w:r w:rsidRPr="0022522E">
        <w:rPr>
          <w:rFonts w:eastAsia="Times New Roman"/>
          <w:i/>
          <w:iCs/>
          <w:color w:val="000000"/>
          <w:vertAlign w:val="subscript"/>
        </w:rPr>
        <w:t>p</w:t>
      </w:r>
      <w:r>
        <w:rPr>
          <w:rFonts w:eastAsia="Times New Roman"/>
          <w:color w:val="000000"/>
        </w:rPr>
        <w:t xml:space="preserve"> </w:t>
      </w:r>
      <w:r w:rsidRPr="006C35A6">
        <w:rPr>
          <w:rFonts w:eastAsia="Times New Roman"/>
          <w:color w:val="000000"/>
        </w:rPr>
        <w:t xml:space="preserve">volume and SOM volumes </w:t>
      </w:r>
      <w:r>
        <w:rPr>
          <w:rFonts w:eastAsia="Times New Roman"/>
          <w:color w:val="000000"/>
        </w:rPr>
        <w:t xml:space="preserve">as </w:t>
      </w:r>
      <w:r>
        <w:t>probability trend maps</w:t>
      </w:r>
      <w:r w:rsidRPr="006C35A6">
        <w:rPr>
          <w:rFonts w:eastAsia="Times New Roman"/>
          <w:color w:val="000000"/>
        </w:rPr>
        <w:t xml:space="preserve"> to </w:t>
      </w:r>
      <w:r>
        <w:rPr>
          <w:rFonts w:eastAsia="Times New Roman"/>
          <w:color w:val="000000"/>
        </w:rPr>
        <w:t>guide the calculated</w:t>
      </w:r>
      <w:r w:rsidRPr="006C35A6">
        <w:rPr>
          <w:rFonts w:eastAsia="Times New Roman"/>
          <w:color w:val="000000"/>
        </w:rPr>
        <w:t xml:space="preserve"> reservoir properties</w:t>
      </w:r>
      <w:r>
        <w:rPr>
          <w:rFonts w:eastAsia="Times New Roman"/>
          <w:color w:val="000000"/>
        </w:rPr>
        <w:t xml:space="preserve"> modeling in each vertical well by</w:t>
      </w:r>
      <w:r w:rsidRPr="006C35A6">
        <w:rPr>
          <w:rFonts w:eastAsia="Times New Roman"/>
          <w:color w:val="000000"/>
        </w:rPr>
        <w:t xml:space="preserve"> applying the collocated cokriging</w:t>
      </w:r>
      <w:r>
        <w:rPr>
          <w:rFonts w:eastAsia="Times New Roman"/>
          <w:color w:val="000000"/>
        </w:rPr>
        <w:t xml:space="preserve"> </w:t>
      </w:r>
      <w:r w:rsidRPr="006C35A6">
        <w:rPr>
          <w:rFonts w:eastAsia="Times New Roman"/>
          <w:color w:val="000000"/>
        </w:rPr>
        <w:t xml:space="preserve">in a sequential </w:t>
      </w:r>
      <w:r>
        <w:rPr>
          <w:rFonts w:eastAsia="Times New Roman"/>
          <w:color w:val="000000"/>
        </w:rPr>
        <w:t>G</w:t>
      </w:r>
      <w:r w:rsidRPr="006C35A6">
        <w:rPr>
          <w:rFonts w:eastAsia="Times New Roman"/>
          <w:color w:val="000000"/>
        </w:rPr>
        <w:t>aussian simulation algorithm (</w:t>
      </w:r>
      <w:r>
        <w:rPr>
          <w:rFonts w:eastAsia="Times New Roman"/>
          <w:color w:val="000000"/>
        </w:rPr>
        <w:t xml:space="preserve">Figure 4.11 </w:t>
      </w:r>
      <w:r w:rsidRPr="006C35A6">
        <w:rPr>
          <w:rFonts w:eastAsia="Times New Roman"/>
          <w:color w:val="000000"/>
        </w:rPr>
        <w:t xml:space="preserve">and Figure </w:t>
      </w:r>
      <w:r>
        <w:rPr>
          <w:rFonts w:eastAsia="Times New Roman"/>
          <w:color w:val="000000"/>
        </w:rPr>
        <w:t>4</w:t>
      </w:r>
      <w:r w:rsidRPr="006C35A6">
        <w:rPr>
          <w:rFonts w:eastAsia="Times New Roman"/>
          <w:color w:val="000000"/>
        </w:rPr>
        <w:t>.1</w:t>
      </w:r>
      <w:r>
        <w:rPr>
          <w:rFonts w:eastAsia="Times New Roman"/>
          <w:color w:val="000000"/>
        </w:rPr>
        <w:t>2</w:t>
      </w:r>
      <w:r w:rsidRPr="006C35A6">
        <w:rPr>
          <w:rFonts w:eastAsia="Times New Roman"/>
          <w:color w:val="000000"/>
        </w:rPr>
        <w:t xml:space="preserve">). </w:t>
      </w:r>
      <w:r w:rsidR="00393361" w:rsidRPr="00393361">
        <w:rPr>
          <w:rFonts w:eastAsia="Times New Roman"/>
          <w:color w:val="000000"/>
        </w:rPr>
        <w:t xml:space="preserve">We selected SOM over the K-means </w:t>
      </w:r>
      <w:r w:rsidR="00393361">
        <w:rPr>
          <w:rFonts w:eastAsia="Times New Roman"/>
          <w:color w:val="000000"/>
        </w:rPr>
        <w:t xml:space="preserve">(Figure 4.13) </w:t>
      </w:r>
      <w:r w:rsidR="00393361" w:rsidRPr="00393361">
        <w:rPr>
          <w:rFonts w:eastAsia="Times New Roman"/>
          <w:color w:val="000000"/>
        </w:rPr>
        <w:t>and GTM</w:t>
      </w:r>
      <w:r w:rsidR="00393361">
        <w:rPr>
          <w:rFonts w:eastAsia="Times New Roman"/>
          <w:color w:val="000000"/>
        </w:rPr>
        <w:t xml:space="preserve"> (Figure 4.14)</w:t>
      </w:r>
      <w:r w:rsidR="00393361" w:rsidRPr="00393361">
        <w:rPr>
          <w:rFonts w:eastAsia="Times New Roman"/>
          <w:color w:val="000000"/>
        </w:rPr>
        <w:t xml:space="preserve"> volumes because </w:t>
      </w:r>
      <w:r w:rsidR="001211E1">
        <w:rPr>
          <w:rFonts w:eastAsia="Times New Roman"/>
          <w:color w:val="000000"/>
        </w:rPr>
        <w:t xml:space="preserve">it </w:t>
      </w:r>
      <w:r w:rsidR="00393361" w:rsidRPr="00393361">
        <w:rPr>
          <w:rFonts w:eastAsia="Times New Roman"/>
          <w:color w:val="000000"/>
        </w:rPr>
        <w:t>is the one with less patchy clusters, less variability and more similarities to the Zp volume in Figure 4.11.</w:t>
      </w:r>
    </w:p>
    <w:p w14:paraId="0054B5BD" w14:textId="5F7E4C50" w:rsidR="00D51B33" w:rsidRPr="006C35A6" w:rsidRDefault="00D51B33" w:rsidP="00D51B33">
      <w:pPr>
        <w:spacing w:after="0"/>
        <w:ind w:firstLine="360"/>
        <w:rPr>
          <w:rFonts w:eastAsia="Times New Roman"/>
          <w:color w:val="000000"/>
        </w:rPr>
      </w:pPr>
      <w:r w:rsidRPr="006C35A6">
        <w:rPr>
          <w:rFonts w:eastAsia="Times New Roman"/>
          <w:color w:val="000000"/>
        </w:rPr>
        <w:t xml:space="preserve">The main zones of interest for the Woodford Shale in the study area are </w:t>
      </w:r>
      <w:r>
        <w:rPr>
          <w:rFonts w:eastAsia="Times New Roman"/>
          <w:color w:val="000000"/>
        </w:rPr>
        <w:t xml:space="preserve">in the </w:t>
      </w:r>
      <w:r w:rsidRPr="00980A45">
        <w:rPr>
          <w:rFonts w:eastAsia="Times New Roman"/>
          <w:color w:val="000000"/>
        </w:rPr>
        <w:t>mi</w:t>
      </w:r>
      <w:r>
        <w:rPr>
          <w:rFonts w:eastAsia="Times New Roman"/>
          <w:color w:val="000000"/>
        </w:rPr>
        <w:t xml:space="preserve">ddle Woodford Shale member and are </w:t>
      </w:r>
      <w:r w:rsidRPr="006C35A6">
        <w:rPr>
          <w:rFonts w:eastAsia="Times New Roman"/>
          <w:color w:val="000000"/>
        </w:rPr>
        <w:t xml:space="preserve">the ones with high </w:t>
      </w:r>
      <w:r>
        <w:rPr>
          <w:rFonts w:eastAsia="Times New Roman"/>
          <w:color w:val="000000"/>
        </w:rPr>
        <w:t>%</w:t>
      </w:r>
      <w:r w:rsidRPr="006C35A6">
        <w:rPr>
          <w:rFonts w:eastAsia="Times New Roman"/>
          <w:color w:val="000000"/>
        </w:rPr>
        <w:t xml:space="preserve">TOC, low </w:t>
      </w:r>
      <w:r>
        <w:rPr>
          <w:rFonts w:eastAsia="Times New Roman"/>
          <w:color w:val="000000"/>
        </w:rPr>
        <w:t>f</w:t>
      </w:r>
      <w:r w:rsidRPr="006C35A6">
        <w:rPr>
          <w:rFonts w:eastAsia="Times New Roman"/>
          <w:color w:val="000000"/>
        </w:rPr>
        <w:t xml:space="preserve">racture </w:t>
      </w:r>
      <w:r>
        <w:rPr>
          <w:rFonts w:eastAsia="Times New Roman"/>
          <w:color w:val="000000"/>
        </w:rPr>
        <w:t>g</w:t>
      </w:r>
      <w:r w:rsidRPr="006C35A6">
        <w:rPr>
          <w:rFonts w:eastAsia="Times New Roman"/>
          <w:color w:val="000000"/>
        </w:rPr>
        <w:t>radient, and</w:t>
      </w:r>
      <w:r>
        <w:rPr>
          <w:rFonts w:eastAsia="Times New Roman"/>
          <w:color w:val="000000"/>
        </w:rPr>
        <w:t xml:space="preserve"> low</w:t>
      </w:r>
      <w:r w:rsidRPr="006C35A6">
        <w:rPr>
          <w:rFonts w:eastAsia="Times New Roman"/>
          <w:color w:val="000000"/>
        </w:rPr>
        <w:t xml:space="preserve"> </w:t>
      </w:r>
      <w:r>
        <w:rPr>
          <w:rFonts w:eastAsia="Times New Roman"/>
          <w:color w:val="000000"/>
        </w:rPr>
        <w:t>f</w:t>
      </w:r>
      <w:r w:rsidRPr="006C35A6">
        <w:rPr>
          <w:rFonts w:eastAsia="Times New Roman"/>
          <w:color w:val="000000"/>
        </w:rPr>
        <w:t xml:space="preserve">racture </w:t>
      </w:r>
      <w:r>
        <w:rPr>
          <w:rFonts w:eastAsia="Times New Roman"/>
          <w:color w:val="000000"/>
        </w:rPr>
        <w:t>t</w:t>
      </w:r>
      <w:r w:rsidRPr="006C35A6">
        <w:rPr>
          <w:rFonts w:eastAsia="Times New Roman"/>
          <w:color w:val="000000"/>
        </w:rPr>
        <w:t>oughness</w:t>
      </w:r>
      <w:r w:rsidR="00393361">
        <w:rPr>
          <w:rFonts w:eastAsia="Times New Roman"/>
          <w:color w:val="000000"/>
        </w:rPr>
        <w:t xml:space="preserve"> (Figure 4.15 – 4.17)</w:t>
      </w:r>
      <w:r w:rsidRPr="006C35A6">
        <w:rPr>
          <w:rFonts w:eastAsia="Times New Roman"/>
          <w:color w:val="000000"/>
        </w:rPr>
        <w:t xml:space="preserve">. </w:t>
      </w:r>
      <w:r>
        <w:rPr>
          <w:rFonts w:eastAsia="Times New Roman"/>
          <w:color w:val="000000"/>
        </w:rPr>
        <w:t xml:space="preserve">We performed the </w:t>
      </w:r>
      <w:r w:rsidRPr="006C35A6">
        <w:rPr>
          <w:rFonts w:eastAsia="Times New Roman"/>
          <w:color w:val="000000"/>
        </w:rPr>
        <w:t xml:space="preserve">reservoir simulation </w:t>
      </w:r>
      <w:r>
        <w:rPr>
          <w:rFonts w:eastAsia="Times New Roman"/>
          <w:color w:val="000000"/>
        </w:rPr>
        <w:t>for the middle Woodford member in</w:t>
      </w:r>
      <w:r w:rsidRPr="006C35A6">
        <w:rPr>
          <w:rFonts w:eastAsia="Times New Roman"/>
          <w:color w:val="000000"/>
        </w:rPr>
        <w:t xml:space="preserve"> local areas </w:t>
      </w:r>
      <w:r>
        <w:rPr>
          <w:rFonts w:eastAsia="Times New Roman"/>
          <w:color w:val="000000"/>
        </w:rPr>
        <w:t>(smaller model sub grids of 2-</w:t>
      </w:r>
      <w:r w:rsidRPr="00980A45">
        <w:rPr>
          <w:rFonts w:eastAsia="Times New Roman"/>
          <w:color w:val="000000"/>
        </w:rPr>
        <w:t>mi</w:t>
      </w:r>
      <w:r>
        <w:rPr>
          <w:rFonts w:eastAsia="Times New Roman"/>
          <w:color w:val="000000"/>
        </w:rPr>
        <w:t>le x 1-</w:t>
      </w:r>
      <w:r w:rsidRPr="00980A45">
        <w:rPr>
          <w:rFonts w:eastAsia="Times New Roman"/>
          <w:color w:val="000000"/>
        </w:rPr>
        <w:t>mi</w:t>
      </w:r>
      <w:r>
        <w:rPr>
          <w:rFonts w:eastAsia="Times New Roman"/>
          <w:color w:val="000000"/>
        </w:rPr>
        <w:t xml:space="preserve">le size) </w:t>
      </w:r>
      <w:r w:rsidRPr="006C35A6">
        <w:rPr>
          <w:rFonts w:eastAsia="Times New Roman"/>
          <w:color w:val="000000"/>
        </w:rPr>
        <w:t>using public</w:t>
      </w:r>
      <w:r>
        <w:rPr>
          <w:rFonts w:eastAsia="Times New Roman"/>
          <w:color w:val="000000"/>
        </w:rPr>
        <w:t>ly</w:t>
      </w:r>
      <w:r w:rsidRPr="006C35A6">
        <w:rPr>
          <w:rFonts w:eastAsia="Times New Roman"/>
          <w:color w:val="000000"/>
        </w:rPr>
        <w:t xml:space="preserve"> </w:t>
      </w:r>
      <w:r>
        <w:rPr>
          <w:rFonts w:eastAsia="Times New Roman"/>
          <w:color w:val="000000"/>
        </w:rPr>
        <w:t>reported i</w:t>
      </w:r>
      <w:r w:rsidRPr="006C35A6">
        <w:rPr>
          <w:rFonts w:eastAsia="Times New Roman"/>
          <w:color w:val="000000"/>
        </w:rPr>
        <w:t xml:space="preserve">ndustry standards of operations and completions in </w:t>
      </w:r>
      <w:r>
        <w:rPr>
          <w:rFonts w:eastAsia="Times New Roman"/>
          <w:color w:val="000000"/>
        </w:rPr>
        <w:t>adjacent</w:t>
      </w:r>
      <w:r w:rsidRPr="006C35A6">
        <w:rPr>
          <w:rFonts w:eastAsia="Times New Roman"/>
          <w:color w:val="000000"/>
        </w:rPr>
        <w:t xml:space="preserve"> areas</w:t>
      </w:r>
      <w:r>
        <w:rPr>
          <w:rFonts w:eastAsia="Times New Roman"/>
          <w:color w:val="000000"/>
        </w:rPr>
        <w:t xml:space="preserve"> (Barzin and Mattar, 2017).</w:t>
      </w:r>
      <w:r w:rsidRPr="006C35A6">
        <w:rPr>
          <w:rFonts w:eastAsia="Times New Roman"/>
          <w:color w:val="000000"/>
        </w:rPr>
        <w:t xml:space="preserve"> </w:t>
      </w:r>
      <w:r>
        <w:rPr>
          <w:rFonts w:eastAsia="Times New Roman"/>
          <w:color w:val="000000"/>
        </w:rPr>
        <w:t>Key</w:t>
      </w:r>
      <w:r w:rsidRPr="006C35A6">
        <w:rPr>
          <w:rFonts w:eastAsia="Times New Roman"/>
          <w:color w:val="000000"/>
        </w:rPr>
        <w:t xml:space="preserve"> geological factors to include in the simulations </w:t>
      </w:r>
      <w:r>
        <w:rPr>
          <w:rFonts w:eastAsia="Times New Roman"/>
          <w:color w:val="000000"/>
        </w:rPr>
        <w:t>are</w:t>
      </w:r>
      <w:r w:rsidRPr="006C35A6">
        <w:rPr>
          <w:rFonts w:eastAsia="Times New Roman"/>
          <w:color w:val="000000"/>
        </w:rPr>
        <w:t xml:space="preserve"> </w:t>
      </w:r>
      <w:r>
        <w:rPr>
          <w:rFonts w:eastAsia="Times New Roman"/>
          <w:color w:val="000000"/>
        </w:rPr>
        <w:t xml:space="preserve">the </w:t>
      </w:r>
      <w:r w:rsidRPr="006C35A6">
        <w:rPr>
          <w:rFonts w:eastAsia="Times New Roman"/>
          <w:color w:val="000000"/>
        </w:rPr>
        <w:t xml:space="preserve">Young </w:t>
      </w:r>
      <w:r>
        <w:rPr>
          <w:rFonts w:eastAsia="Times New Roman"/>
          <w:color w:val="000000"/>
        </w:rPr>
        <w:t>m</w:t>
      </w:r>
      <w:r w:rsidRPr="006C35A6">
        <w:rPr>
          <w:rFonts w:eastAsia="Times New Roman"/>
          <w:color w:val="000000"/>
        </w:rPr>
        <w:t>odulus, Poisson</w:t>
      </w:r>
      <w:r>
        <w:rPr>
          <w:rFonts w:eastAsia="Times New Roman"/>
          <w:color w:val="000000"/>
        </w:rPr>
        <w:t>’s</w:t>
      </w:r>
      <w:r w:rsidRPr="006C35A6">
        <w:rPr>
          <w:rFonts w:eastAsia="Times New Roman"/>
          <w:color w:val="000000"/>
        </w:rPr>
        <w:t xml:space="preserve"> </w:t>
      </w:r>
      <w:r>
        <w:rPr>
          <w:rFonts w:eastAsia="Times New Roman"/>
          <w:color w:val="000000"/>
        </w:rPr>
        <w:t>r</w:t>
      </w:r>
      <w:r w:rsidRPr="006C35A6">
        <w:rPr>
          <w:rFonts w:eastAsia="Times New Roman"/>
          <w:color w:val="000000"/>
        </w:rPr>
        <w:t xml:space="preserve">atio, </w:t>
      </w:r>
      <w:r>
        <w:rPr>
          <w:rFonts w:eastAsia="Times New Roman"/>
          <w:color w:val="000000"/>
        </w:rPr>
        <w:t>s</w:t>
      </w:r>
      <w:r w:rsidRPr="006C35A6">
        <w:rPr>
          <w:rFonts w:eastAsia="Times New Roman"/>
          <w:color w:val="000000"/>
        </w:rPr>
        <w:t xml:space="preserve">hear </w:t>
      </w:r>
      <w:r>
        <w:rPr>
          <w:rFonts w:eastAsia="Times New Roman"/>
          <w:color w:val="000000"/>
        </w:rPr>
        <w:t>m</w:t>
      </w:r>
      <w:r w:rsidRPr="006C35A6">
        <w:rPr>
          <w:rFonts w:eastAsia="Times New Roman"/>
          <w:color w:val="000000"/>
        </w:rPr>
        <w:t xml:space="preserve">odulus, Biot </w:t>
      </w:r>
      <w:r>
        <w:rPr>
          <w:rFonts w:eastAsia="Times New Roman"/>
          <w:color w:val="000000"/>
        </w:rPr>
        <w:t>m</w:t>
      </w:r>
      <w:r w:rsidRPr="006C35A6">
        <w:rPr>
          <w:rFonts w:eastAsia="Times New Roman"/>
          <w:color w:val="000000"/>
        </w:rPr>
        <w:t>odulus</w:t>
      </w:r>
      <w:r>
        <w:rPr>
          <w:rFonts w:eastAsia="Times New Roman"/>
          <w:color w:val="000000"/>
        </w:rPr>
        <w:t xml:space="preserve"> and </w:t>
      </w:r>
      <w:r w:rsidRPr="006C35A6">
        <w:rPr>
          <w:rFonts w:eastAsia="Times New Roman"/>
          <w:color w:val="000000"/>
        </w:rPr>
        <w:t xml:space="preserve">the variability of </w:t>
      </w:r>
      <w:r>
        <w:rPr>
          <w:rFonts w:eastAsia="Times New Roman"/>
          <w:color w:val="000000"/>
        </w:rPr>
        <w:t>o</w:t>
      </w:r>
      <w:r w:rsidRPr="006C35A6">
        <w:rPr>
          <w:rFonts w:eastAsia="Times New Roman"/>
          <w:color w:val="000000"/>
        </w:rPr>
        <w:t xml:space="preserve">rganic </w:t>
      </w:r>
      <w:r>
        <w:rPr>
          <w:rFonts w:eastAsia="Times New Roman"/>
          <w:color w:val="000000"/>
        </w:rPr>
        <w:t>m</w:t>
      </w:r>
      <w:r w:rsidRPr="006C35A6">
        <w:rPr>
          <w:rFonts w:eastAsia="Times New Roman"/>
          <w:color w:val="000000"/>
        </w:rPr>
        <w:t xml:space="preserve">atter. </w:t>
      </w:r>
    </w:p>
    <w:p w14:paraId="4CCCCC61" w14:textId="77777777" w:rsidR="00D51B33" w:rsidRDefault="00D51B33" w:rsidP="00D51B33">
      <w:pPr>
        <w:spacing w:after="0" w:line="276" w:lineRule="auto"/>
        <w:jc w:val="center"/>
        <w:rPr>
          <w:rFonts w:eastAsia="Times New Roman"/>
          <w:color w:val="000000"/>
        </w:rPr>
      </w:pPr>
    </w:p>
    <w:p w14:paraId="67C99255" w14:textId="3B406DFC" w:rsidR="00D51B33" w:rsidRPr="006C35A6" w:rsidRDefault="00D51B33" w:rsidP="00D51B33">
      <w:pPr>
        <w:ind w:firstLine="720"/>
      </w:pPr>
      <w:r>
        <w:rPr>
          <w:rFonts w:eastAsia="Times New Roman"/>
          <w:color w:val="000000"/>
        </w:rPr>
        <w:t>Starting with our</w:t>
      </w:r>
      <w:r w:rsidRPr="004042BB">
        <w:rPr>
          <w:rFonts w:eastAsia="Times New Roman"/>
          <w:color w:val="000000"/>
        </w:rPr>
        <w:t xml:space="preserve"> 3D geocellular grid</w:t>
      </w:r>
      <w:r>
        <w:rPr>
          <w:rFonts w:eastAsia="Times New Roman"/>
          <w:color w:val="000000"/>
        </w:rPr>
        <w:t xml:space="preserve"> of 20-mile </w:t>
      </w:r>
      <w:r w:rsidR="00A01C4A">
        <w:rPr>
          <w:rFonts w:eastAsia="Times New Roman"/>
          <w:color w:val="000000"/>
        </w:rPr>
        <w:t>x</w:t>
      </w:r>
      <w:r>
        <w:rPr>
          <w:rFonts w:eastAsia="Times New Roman"/>
          <w:color w:val="000000"/>
        </w:rPr>
        <w:t xml:space="preserve"> 9-mile built in the previous step, we extracted a series of smaller sub-grids for the simulation (</w:t>
      </w:r>
      <w:r w:rsidRPr="004042BB">
        <w:rPr>
          <w:rFonts w:eastAsia="Times New Roman"/>
          <w:color w:val="000000"/>
        </w:rPr>
        <w:t xml:space="preserve">Figure </w:t>
      </w:r>
      <w:r>
        <w:rPr>
          <w:rFonts w:eastAsia="Times New Roman"/>
          <w:color w:val="000000"/>
        </w:rPr>
        <w:t>4</w:t>
      </w:r>
      <w:r w:rsidRPr="004042BB">
        <w:rPr>
          <w:rFonts w:eastAsia="Times New Roman"/>
          <w:color w:val="000000"/>
        </w:rPr>
        <w:t>.15</w:t>
      </w:r>
      <w:r w:rsidR="00393361">
        <w:rPr>
          <w:rFonts w:eastAsia="Times New Roman"/>
          <w:color w:val="000000"/>
        </w:rPr>
        <w:t xml:space="preserve"> and Figure 4.16</w:t>
      </w:r>
      <w:r w:rsidRPr="004042BB">
        <w:rPr>
          <w:rFonts w:eastAsia="Times New Roman"/>
          <w:color w:val="000000"/>
        </w:rPr>
        <w:t xml:space="preserve">). Each </w:t>
      </w:r>
      <w:r>
        <w:rPr>
          <w:rFonts w:eastAsia="Times New Roman"/>
          <w:color w:val="000000"/>
        </w:rPr>
        <w:t>sub-grid is a</w:t>
      </w:r>
      <w:r w:rsidRPr="004042BB">
        <w:rPr>
          <w:rFonts w:eastAsia="Times New Roman"/>
          <w:color w:val="000000"/>
        </w:rPr>
        <w:t xml:space="preserve"> 2 </w:t>
      </w:r>
      <w:r>
        <w:rPr>
          <w:rFonts w:eastAsia="Times New Roman"/>
          <w:color w:val="000000"/>
        </w:rPr>
        <w:t>square mile (m</w:t>
      </w:r>
      <w:r w:rsidRPr="00980A45">
        <w:rPr>
          <w:rFonts w:eastAsia="Times New Roman"/>
          <w:color w:val="000000"/>
        </w:rPr>
        <w:t>i</w:t>
      </w:r>
      <w:r w:rsidRPr="004042BB">
        <w:rPr>
          <w:rFonts w:eastAsia="Times New Roman"/>
          <w:color w:val="000000"/>
          <w:vertAlign w:val="superscript"/>
        </w:rPr>
        <w:t>2</w:t>
      </w:r>
      <w:r w:rsidRPr="000B0943">
        <w:rPr>
          <w:rFonts w:eastAsia="Times New Roman"/>
          <w:color w:val="000000"/>
        </w:rPr>
        <w:t>)</w:t>
      </w:r>
      <w:r w:rsidRPr="004042BB">
        <w:rPr>
          <w:rFonts w:eastAsia="Times New Roman"/>
          <w:color w:val="000000"/>
          <w:vertAlign w:val="superscript"/>
        </w:rPr>
        <w:t xml:space="preserve">  </w:t>
      </w:r>
      <w:r w:rsidRPr="004042BB">
        <w:rPr>
          <w:rFonts w:eastAsia="Times New Roman"/>
          <w:color w:val="000000"/>
        </w:rPr>
        <w:t>for each specific reservoir property</w:t>
      </w:r>
      <w:r>
        <w:rPr>
          <w:rFonts w:eastAsia="Times New Roman"/>
          <w:color w:val="000000"/>
        </w:rPr>
        <w:t xml:space="preserve"> for subsequent reservoir simulations</w:t>
      </w:r>
      <w:r w:rsidRPr="004042BB">
        <w:rPr>
          <w:rFonts w:eastAsia="Times New Roman"/>
          <w:color w:val="000000"/>
        </w:rPr>
        <w:t xml:space="preserve">. </w:t>
      </w:r>
      <w:r>
        <w:rPr>
          <w:rFonts w:eastAsia="Times New Roman"/>
          <w:color w:val="000000"/>
        </w:rPr>
        <w:t>The size of each sub-grid is</w:t>
      </w:r>
      <w:r w:rsidRPr="004042BB">
        <w:rPr>
          <w:rFonts w:eastAsia="Times New Roman"/>
          <w:color w:val="000000"/>
        </w:rPr>
        <w:t xml:space="preserve"> based on </w:t>
      </w:r>
      <w:r>
        <w:rPr>
          <w:rFonts w:eastAsia="Times New Roman"/>
          <w:color w:val="000000"/>
        </w:rPr>
        <w:t>standard</w:t>
      </w:r>
      <w:r w:rsidRPr="004042BB">
        <w:rPr>
          <w:rFonts w:eastAsia="Times New Roman"/>
          <w:color w:val="000000"/>
        </w:rPr>
        <w:t xml:space="preserve"> drilling spacing unit (DSU) size of operated sections in the state of Oklahoma</w:t>
      </w:r>
      <w:r>
        <w:rPr>
          <w:rFonts w:eastAsia="Times New Roman"/>
          <w:color w:val="000000"/>
        </w:rPr>
        <w:t xml:space="preserve"> for a</w:t>
      </w:r>
      <w:r w:rsidRPr="004042BB">
        <w:rPr>
          <w:rFonts w:eastAsia="Times New Roman"/>
          <w:color w:val="000000"/>
        </w:rPr>
        <w:t xml:space="preserve"> </w:t>
      </w:r>
      <w:r>
        <w:rPr>
          <w:rFonts w:eastAsia="Times New Roman"/>
          <w:color w:val="000000"/>
        </w:rPr>
        <w:t>1-</w:t>
      </w:r>
      <w:r w:rsidRPr="00980A45">
        <w:rPr>
          <w:rFonts w:eastAsia="Times New Roman"/>
          <w:color w:val="000000"/>
        </w:rPr>
        <w:t>mi</w:t>
      </w:r>
      <w:r>
        <w:rPr>
          <w:rFonts w:eastAsia="Times New Roman"/>
          <w:color w:val="000000"/>
        </w:rPr>
        <w:t>le</w:t>
      </w:r>
      <w:r w:rsidRPr="004042BB">
        <w:rPr>
          <w:rFonts w:eastAsia="Times New Roman"/>
          <w:color w:val="000000"/>
        </w:rPr>
        <w:t xml:space="preserve"> lateral wellbore length. </w:t>
      </w:r>
      <w:r>
        <w:rPr>
          <w:rFonts w:eastAsia="Times New Roman"/>
          <w:color w:val="000000"/>
        </w:rPr>
        <w:t xml:space="preserve">The </w:t>
      </w:r>
      <w:r w:rsidRPr="004042BB">
        <w:rPr>
          <w:rFonts w:eastAsia="Times New Roman"/>
          <w:color w:val="000000"/>
        </w:rPr>
        <w:t>grid cel</w:t>
      </w:r>
      <w:r>
        <w:rPr>
          <w:rFonts w:eastAsia="Times New Roman"/>
          <w:color w:val="000000"/>
        </w:rPr>
        <w:t xml:space="preserve">l properties were upscaled to a 5 ft vertical resolution </w:t>
      </w:r>
      <w:r w:rsidR="005E14C2">
        <w:rPr>
          <w:rFonts w:eastAsia="Times New Roman"/>
          <w:color w:val="000000"/>
        </w:rPr>
        <w:t xml:space="preserve">and maintained as 110 ft laterally. </w:t>
      </w:r>
    </w:p>
    <w:p w14:paraId="5B7C6B9E" w14:textId="77777777" w:rsidR="00D51B33" w:rsidRPr="00D51B33" w:rsidRDefault="00D51B33" w:rsidP="00D51B33">
      <w:pPr>
        <w:rPr>
          <w:lang w:bidi="en-US"/>
        </w:rPr>
      </w:pPr>
    </w:p>
    <w:p w14:paraId="38DA072A" w14:textId="77777777" w:rsidR="00A01C4A" w:rsidRDefault="00A01C4A" w:rsidP="00984A26">
      <w:pPr>
        <w:spacing w:after="0"/>
        <w:jc w:val="center"/>
        <w:rPr>
          <w:rFonts w:eastAsia="Times New Roman"/>
          <w:b/>
          <w:bCs/>
          <w:color w:val="000000"/>
        </w:rPr>
        <w:sectPr w:rsidR="00A01C4A" w:rsidSect="0095456D">
          <w:pgSz w:w="12240" w:h="15840"/>
          <w:pgMar w:top="1440" w:right="1440" w:bottom="1440" w:left="1440" w:header="720" w:footer="720" w:gutter="0"/>
          <w:cols w:space="720"/>
          <w:docGrid w:linePitch="360"/>
        </w:sectPr>
      </w:pPr>
    </w:p>
    <w:p w14:paraId="255DA33A" w14:textId="795123DE" w:rsidR="00984A26" w:rsidRPr="006C35A6" w:rsidRDefault="00984A26" w:rsidP="00A01C4A">
      <w:pPr>
        <w:spacing w:after="0" w:line="360" w:lineRule="auto"/>
        <w:jc w:val="center"/>
        <w:rPr>
          <w:rFonts w:eastAsia="Times New Roman"/>
          <w:b/>
          <w:bCs/>
          <w:color w:val="000000"/>
        </w:rPr>
      </w:pPr>
      <w:r>
        <w:rPr>
          <w:rFonts w:eastAsia="Times New Roman"/>
          <w:b/>
          <w:bCs/>
          <w:noProof/>
          <w:color w:val="000000"/>
        </w:rPr>
        <w:lastRenderedPageBreak/>
        <w:drawing>
          <wp:inline distT="0" distB="0" distL="0" distR="0" wp14:anchorId="22AEEA35" wp14:editId="6FC75D8E">
            <wp:extent cx="6077585" cy="5121600"/>
            <wp:effectExtent l="0" t="0" r="0" b="3175"/>
            <wp:docPr id="8559" name="Picture 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094883" cy="5136177"/>
                    </a:xfrm>
                    <a:prstGeom prst="rect">
                      <a:avLst/>
                    </a:prstGeom>
                    <a:noFill/>
                  </pic:spPr>
                </pic:pic>
              </a:graphicData>
            </a:graphic>
          </wp:inline>
        </w:drawing>
      </w:r>
    </w:p>
    <w:p w14:paraId="144B9E3F" w14:textId="3E4A56DF" w:rsidR="00984A26" w:rsidRDefault="00984A26" w:rsidP="00984A26">
      <w:pPr>
        <w:pStyle w:val="Caption"/>
      </w:pPr>
      <w:bookmarkStart w:id="416" w:name="_Toc28065280"/>
      <w:bookmarkStart w:id="417" w:name="_Toc35861258"/>
      <w:r w:rsidRPr="006C35A6">
        <w:rPr>
          <w:b/>
        </w:rPr>
        <w:t xml:space="preserve">Figure </w:t>
      </w:r>
      <w:r>
        <w:rPr>
          <w:b/>
        </w:rPr>
        <w:t>4.</w:t>
      </w:r>
      <w:r w:rsidRPr="006C35A6">
        <w:rPr>
          <w:b/>
        </w:rPr>
        <w:t>1</w:t>
      </w:r>
      <w:r>
        <w:rPr>
          <w:b/>
        </w:rPr>
        <w:t>2</w:t>
      </w:r>
      <w:r w:rsidRPr="006C35A6">
        <w:t xml:space="preserve">. </w:t>
      </w:r>
      <w:r>
        <w:t xml:space="preserve">Horizon slice along the top of the Woodford Shale SOM classification volume.  </w:t>
      </w:r>
      <w:r w:rsidRPr="006C35A6">
        <w:t xml:space="preserve">Average values extracted in the Woodford </w:t>
      </w:r>
      <w:r>
        <w:t>S</w:t>
      </w:r>
      <w:r w:rsidRPr="006C35A6">
        <w:t xml:space="preserve">hale seismic window. </w:t>
      </w:r>
      <w:r>
        <w:t>I</w:t>
      </w:r>
      <w:r w:rsidRPr="006C35A6">
        <w:t xml:space="preserve">nput </w:t>
      </w:r>
      <w:r>
        <w:t xml:space="preserve">attributes are GLCM homogeneity, GLCM entropy, peak frequency, peak magnitude and </w:t>
      </w:r>
      <w:r w:rsidRPr="006C35A6">
        <w:t>RMS amplitude</w:t>
      </w:r>
      <w:r>
        <w:t>.</w:t>
      </w:r>
      <w:r w:rsidRPr="006C35A6">
        <w:t xml:space="preserve"> Similar colors correspond to similar </w:t>
      </w:r>
      <w:r>
        <w:t>seismic</w:t>
      </w:r>
      <w:r w:rsidRPr="006C35A6">
        <w:t xml:space="preserve"> facies.</w:t>
      </w:r>
      <w:bookmarkEnd w:id="416"/>
      <w:r w:rsidRPr="006C35A6">
        <w:t xml:space="preserve"> </w:t>
      </w:r>
      <w:r w:rsidR="00A01C4A">
        <w:t>We selected SOM over the K</w:t>
      </w:r>
      <w:r w:rsidR="00C61D22">
        <w:t xml:space="preserve">-means and GTM volumes because </w:t>
      </w:r>
      <w:r w:rsidR="001211E1">
        <w:t xml:space="preserve">it </w:t>
      </w:r>
      <w:r w:rsidR="00C61D22">
        <w:t>is the one with</w:t>
      </w:r>
      <w:r w:rsidR="00A01C4A">
        <w:t xml:space="preserve"> less patchy clusters, </w:t>
      </w:r>
      <w:r w:rsidR="00C61D22">
        <w:t>less variability</w:t>
      </w:r>
      <w:r w:rsidR="00A01C4A">
        <w:t xml:space="preserve"> and more </w:t>
      </w:r>
      <w:r w:rsidR="00C61D22">
        <w:t>similarities</w:t>
      </w:r>
      <w:r w:rsidR="00A01C4A">
        <w:t xml:space="preserve"> to the </w:t>
      </w:r>
      <w:r w:rsidR="00A01C4A" w:rsidRPr="00CD5016">
        <w:rPr>
          <w:i/>
        </w:rPr>
        <w:t>Z</w:t>
      </w:r>
      <w:r w:rsidR="00A01C4A" w:rsidRPr="00CD5016">
        <w:rPr>
          <w:i/>
          <w:vertAlign w:val="subscript"/>
        </w:rPr>
        <w:t>p</w:t>
      </w:r>
      <w:r w:rsidR="00A01C4A">
        <w:t xml:space="preserve"> volume in Figure 4.1</w:t>
      </w:r>
      <w:r w:rsidR="0012054C">
        <w:t>1</w:t>
      </w:r>
      <w:r w:rsidR="00A01C4A">
        <w:t>.</w:t>
      </w:r>
      <w:bookmarkEnd w:id="417"/>
    </w:p>
    <w:p w14:paraId="340296E0" w14:textId="77777777" w:rsidR="00984A26" w:rsidRDefault="00984A26" w:rsidP="00984A26">
      <w:pPr>
        <w:jc w:val="center"/>
        <w:rPr>
          <w:lang w:bidi="en-US"/>
        </w:rPr>
        <w:sectPr w:rsidR="00984A26" w:rsidSect="0095456D">
          <w:pgSz w:w="15840" w:h="12240" w:orient="landscape"/>
          <w:pgMar w:top="1440" w:right="1440" w:bottom="1440" w:left="1440" w:header="720" w:footer="720" w:gutter="0"/>
          <w:cols w:space="720"/>
          <w:docGrid w:linePitch="360"/>
        </w:sectPr>
      </w:pPr>
    </w:p>
    <w:p w14:paraId="6262EDDC" w14:textId="77777777" w:rsidR="00984A26" w:rsidRDefault="00984A26" w:rsidP="00984A26">
      <w:pPr>
        <w:spacing w:after="0" w:line="360" w:lineRule="auto"/>
        <w:jc w:val="center"/>
        <w:rPr>
          <w:lang w:bidi="en-US"/>
        </w:rPr>
      </w:pPr>
      <w:r>
        <w:rPr>
          <w:noProof/>
        </w:rPr>
        <w:lastRenderedPageBreak/>
        <w:drawing>
          <wp:inline distT="0" distB="0" distL="0" distR="0" wp14:anchorId="775A171E" wp14:editId="5635D874">
            <wp:extent cx="6840696" cy="523793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856105" cy="5249738"/>
                    </a:xfrm>
                    <a:prstGeom prst="rect">
                      <a:avLst/>
                    </a:prstGeom>
                    <a:noFill/>
                  </pic:spPr>
                </pic:pic>
              </a:graphicData>
            </a:graphic>
          </wp:inline>
        </w:drawing>
      </w:r>
    </w:p>
    <w:p w14:paraId="084BECA3" w14:textId="2D24B170" w:rsidR="00984A26" w:rsidRDefault="00984A26" w:rsidP="00984A26">
      <w:pPr>
        <w:pStyle w:val="Caption"/>
      </w:pPr>
      <w:bookmarkStart w:id="418" w:name="_Toc28065281"/>
      <w:bookmarkStart w:id="419" w:name="_Toc35861259"/>
      <w:r w:rsidRPr="006C35A6">
        <w:rPr>
          <w:b/>
        </w:rPr>
        <w:t xml:space="preserve">Figure </w:t>
      </w:r>
      <w:r>
        <w:rPr>
          <w:b/>
        </w:rPr>
        <w:t>4</w:t>
      </w:r>
      <w:r w:rsidRPr="006C35A6">
        <w:rPr>
          <w:b/>
        </w:rPr>
        <w:t>.1</w:t>
      </w:r>
      <w:r>
        <w:rPr>
          <w:b/>
        </w:rPr>
        <w:t>3</w:t>
      </w:r>
      <w:r w:rsidRPr="006C35A6">
        <w:t xml:space="preserve">. </w:t>
      </w:r>
      <w:r>
        <w:t xml:space="preserve">Horizon slice along the top of the Woodford Shale unsupervised K-means cluster classification volume.  </w:t>
      </w:r>
      <w:r w:rsidRPr="006C35A6">
        <w:t xml:space="preserve">Average values extracted in the Woodford </w:t>
      </w:r>
      <w:r>
        <w:t>S</w:t>
      </w:r>
      <w:r w:rsidRPr="006C35A6">
        <w:t xml:space="preserve">hale seismic window. </w:t>
      </w:r>
      <w:r>
        <w:t>I</w:t>
      </w:r>
      <w:r w:rsidRPr="006C35A6">
        <w:t xml:space="preserve">nput </w:t>
      </w:r>
      <w:r>
        <w:t xml:space="preserve">attributes are GLCM homogeneity, GLCM entropy, peak frequency, peak magnitude, </w:t>
      </w:r>
      <w:r w:rsidRPr="006C35A6">
        <w:t>RMS amplitude</w:t>
      </w:r>
      <w:r>
        <w:t>.</w:t>
      </w:r>
      <w:r w:rsidRPr="006C35A6">
        <w:t xml:space="preserve"> Similar colors correspond to similar </w:t>
      </w:r>
      <w:r>
        <w:t>seismic</w:t>
      </w:r>
      <w:r w:rsidRPr="006C35A6">
        <w:t xml:space="preserve"> facies</w:t>
      </w:r>
      <w:bookmarkEnd w:id="418"/>
      <w:r w:rsidR="00A01C4A">
        <w:t>.</w:t>
      </w:r>
      <w:bookmarkEnd w:id="419"/>
    </w:p>
    <w:p w14:paraId="63C1E947" w14:textId="77777777" w:rsidR="00984A26" w:rsidRDefault="00984A26" w:rsidP="00984A26">
      <w:pPr>
        <w:jc w:val="center"/>
        <w:rPr>
          <w:lang w:bidi="en-US"/>
        </w:rPr>
        <w:sectPr w:rsidR="00984A26" w:rsidSect="0095456D">
          <w:pgSz w:w="15840" w:h="12240" w:orient="landscape"/>
          <w:pgMar w:top="1440" w:right="1440" w:bottom="1440" w:left="1440" w:header="720" w:footer="720" w:gutter="0"/>
          <w:cols w:space="720"/>
          <w:docGrid w:linePitch="360"/>
        </w:sectPr>
      </w:pPr>
    </w:p>
    <w:p w14:paraId="211F2E40" w14:textId="77777777" w:rsidR="00984A26" w:rsidRDefault="00984A26" w:rsidP="00984A26">
      <w:pPr>
        <w:spacing w:after="0" w:line="360" w:lineRule="auto"/>
        <w:jc w:val="center"/>
        <w:rPr>
          <w:lang w:bidi="en-US"/>
        </w:rPr>
      </w:pPr>
      <w:r>
        <w:rPr>
          <w:noProof/>
        </w:rPr>
        <w:lastRenderedPageBreak/>
        <w:drawing>
          <wp:inline distT="0" distB="0" distL="0" distR="0" wp14:anchorId="6ABDAC09" wp14:editId="097DC391">
            <wp:extent cx="6259830" cy="5225164"/>
            <wp:effectExtent l="0" t="0" r="7620" b="0"/>
            <wp:docPr id="8560" name="Picture 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268592" cy="5232478"/>
                    </a:xfrm>
                    <a:prstGeom prst="rect">
                      <a:avLst/>
                    </a:prstGeom>
                    <a:noFill/>
                  </pic:spPr>
                </pic:pic>
              </a:graphicData>
            </a:graphic>
          </wp:inline>
        </w:drawing>
      </w:r>
    </w:p>
    <w:p w14:paraId="443DFE7A" w14:textId="77777777" w:rsidR="00984A26" w:rsidRDefault="00984A26" w:rsidP="00984A26">
      <w:pPr>
        <w:pStyle w:val="Caption"/>
      </w:pPr>
      <w:bookmarkStart w:id="420" w:name="_Toc28065282"/>
      <w:bookmarkStart w:id="421" w:name="_Toc35861260"/>
      <w:r w:rsidRPr="006C35A6">
        <w:rPr>
          <w:b/>
        </w:rPr>
        <w:t xml:space="preserve">Figure </w:t>
      </w:r>
      <w:r>
        <w:rPr>
          <w:b/>
        </w:rPr>
        <w:t>4</w:t>
      </w:r>
      <w:r w:rsidRPr="006C35A6">
        <w:rPr>
          <w:b/>
        </w:rPr>
        <w:t>.1</w:t>
      </w:r>
      <w:r>
        <w:rPr>
          <w:b/>
        </w:rPr>
        <w:t>4</w:t>
      </w:r>
      <w:r w:rsidRPr="006C35A6">
        <w:t xml:space="preserve">. </w:t>
      </w:r>
      <w:r>
        <w:t xml:space="preserve">Horizon slice along the top of the Woodford Shale GTM classification volume.  </w:t>
      </w:r>
      <w:r w:rsidRPr="006C35A6">
        <w:t xml:space="preserve">Average values extracted in the Woodford </w:t>
      </w:r>
      <w:r>
        <w:t>S</w:t>
      </w:r>
      <w:r w:rsidRPr="006C35A6">
        <w:t xml:space="preserve">hale seismic window. </w:t>
      </w:r>
      <w:r>
        <w:t>I</w:t>
      </w:r>
      <w:r w:rsidRPr="006C35A6">
        <w:t xml:space="preserve">nput </w:t>
      </w:r>
      <w:r>
        <w:t xml:space="preserve">attributes are GLCM homogeneity, GLCM entropy, peak frequency, peak magnitude, </w:t>
      </w:r>
      <w:r w:rsidRPr="006C35A6">
        <w:t>RMS amplitude</w:t>
      </w:r>
      <w:r>
        <w:t>.</w:t>
      </w:r>
      <w:r w:rsidRPr="006C35A6">
        <w:t xml:space="preserve"> Similar colors correspond to similar </w:t>
      </w:r>
      <w:r>
        <w:t>seismic</w:t>
      </w:r>
      <w:r w:rsidRPr="006C35A6">
        <w:t xml:space="preserve"> facies.</w:t>
      </w:r>
      <w:bookmarkEnd w:id="420"/>
      <w:bookmarkEnd w:id="421"/>
      <w:r w:rsidRPr="006C35A6">
        <w:t xml:space="preserve"> </w:t>
      </w:r>
    </w:p>
    <w:p w14:paraId="19587520" w14:textId="77777777" w:rsidR="00984A26" w:rsidRDefault="00984A26" w:rsidP="00984A26">
      <w:pPr>
        <w:jc w:val="center"/>
        <w:rPr>
          <w:lang w:bidi="en-US"/>
        </w:rPr>
        <w:sectPr w:rsidR="00984A26" w:rsidSect="0095456D">
          <w:pgSz w:w="15840" w:h="12240" w:orient="landscape"/>
          <w:pgMar w:top="1440" w:right="1440" w:bottom="1440" w:left="1440" w:header="720" w:footer="720" w:gutter="0"/>
          <w:cols w:space="720"/>
          <w:docGrid w:linePitch="360"/>
        </w:sectPr>
      </w:pPr>
    </w:p>
    <w:p w14:paraId="71920831" w14:textId="77777777" w:rsidR="00984A26" w:rsidRPr="006C35A6" w:rsidRDefault="00984A26" w:rsidP="00984A26">
      <w:pPr>
        <w:spacing w:after="0"/>
        <w:jc w:val="center"/>
        <w:rPr>
          <w:rFonts w:eastAsia="Times New Roman"/>
          <w:color w:val="000000"/>
        </w:rPr>
      </w:pPr>
      <w:r>
        <w:rPr>
          <w:rFonts w:eastAsia="Times New Roman"/>
          <w:noProof/>
          <w:color w:val="000000"/>
        </w:rPr>
        <w:lastRenderedPageBreak/>
        <w:drawing>
          <wp:inline distT="0" distB="0" distL="0" distR="0" wp14:anchorId="38C4538A" wp14:editId="0D9A7E36">
            <wp:extent cx="8085455" cy="4822190"/>
            <wp:effectExtent l="0" t="0" r="0" b="0"/>
            <wp:docPr id="8561" name="Picture 8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085455" cy="4822190"/>
                    </a:xfrm>
                    <a:prstGeom prst="rect">
                      <a:avLst/>
                    </a:prstGeom>
                    <a:noFill/>
                  </pic:spPr>
                </pic:pic>
              </a:graphicData>
            </a:graphic>
          </wp:inline>
        </w:drawing>
      </w:r>
    </w:p>
    <w:p w14:paraId="0A512927" w14:textId="77777777" w:rsidR="00984A26" w:rsidRDefault="00984A26" w:rsidP="00984A26">
      <w:pPr>
        <w:pStyle w:val="Caption"/>
        <w:rPr>
          <w:color w:val="000000"/>
        </w:rPr>
        <w:sectPr w:rsidR="00984A26" w:rsidSect="0095456D">
          <w:pgSz w:w="15840" w:h="12240" w:orient="landscape"/>
          <w:pgMar w:top="1440" w:right="1440" w:bottom="1440" w:left="1440" w:header="720" w:footer="720" w:gutter="0"/>
          <w:cols w:space="720"/>
          <w:docGrid w:linePitch="360"/>
        </w:sectPr>
      </w:pPr>
      <w:bookmarkStart w:id="422" w:name="_Toc28065283"/>
      <w:bookmarkStart w:id="423" w:name="_Toc35861261"/>
      <w:r w:rsidRPr="003B7D82">
        <w:rPr>
          <w:b/>
        </w:rPr>
        <w:t>Figure 4.15.</w:t>
      </w:r>
      <w:r w:rsidRPr="003B7D82">
        <w:t xml:space="preserve"> Woodford </w:t>
      </w:r>
      <w:r>
        <w:t>r</w:t>
      </w:r>
      <w:r w:rsidRPr="006C35A6">
        <w:t xml:space="preserve">eservoir </w:t>
      </w:r>
      <w:r>
        <w:t>m</w:t>
      </w:r>
      <w:r w:rsidRPr="006C35A6">
        <w:t>odel</w:t>
      </w:r>
      <w:r>
        <w:t xml:space="preserve"> 3D grid</w:t>
      </w:r>
      <w:r w:rsidRPr="006C35A6">
        <w:t xml:space="preserve">. Wells displayed in the study area </w:t>
      </w:r>
      <w:r>
        <w:t>have bulk</w:t>
      </w:r>
      <w:r w:rsidRPr="006C35A6">
        <w:t xml:space="preserve"> </w:t>
      </w:r>
      <w:r>
        <w:t>s</w:t>
      </w:r>
      <w:r w:rsidRPr="006C35A6">
        <w:t xml:space="preserve">hear and </w:t>
      </w:r>
      <w:r>
        <w:t>c</w:t>
      </w:r>
      <w:r w:rsidRPr="006C35A6">
        <w:t xml:space="preserve">ompressional </w:t>
      </w:r>
      <w:r>
        <w:t>s</w:t>
      </w:r>
      <w:r w:rsidRPr="006C35A6">
        <w:t xml:space="preserve">onic logs. Reservoir grid from seismic-well tie and depth domain conversion of Woodford </w:t>
      </w:r>
      <w:r>
        <w:t>s</w:t>
      </w:r>
      <w:r w:rsidRPr="006C35A6">
        <w:t xml:space="preserve">eismic </w:t>
      </w:r>
      <w:r>
        <w:t>t</w:t>
      </w:r>
      <w:r w:rsidRPr="006C35A6">
        <w:t xml:space="preserve">op and </w:t>
      </w:r>
      <w:r>
        <w:t>b</w:t>
      </w:r>
      <w:r w:rsidRPr="006C35A6">
        <w:t>ottom</w:t>
      </w:r>
      <w:r>
        <w:t xml:space="preserve"> maps. Vertical exaggeration 1:10.</w:t>
      </w:r>
      <w:bookmarkEnd w:id="422"/>
      <w:bookmarkEnd w:id="423"/>
    </w:p>
    <w:p w14:paraId="66A47FA1" w14:textId="77777777" w:rsidR="00984A26" w:rsidRPr="006C35A6" w:rsidRDefault="00984A26" w:rsidP="004F68A3">
      <w:pPr>
        <w:spacing w:after="0" w:line="360" w:lineRule="auto"/>
        <w:jc w:val="center"/>
        <w:rPr>
          <w:rFonts w:eastAsia="Times New Roman"/>
          <w:color w:val="000000"/>
        </w:rPr>
      </w:pPr>
      <w:r>
        <w:rPr>
          <w:rFonts w:eastAsia="Times New Roman"/>
          <w:noProof/>
          <w:color w:val="000000"/>
        </w:rPr>
        <w:lastRenderedPageBreak/>
        <w:drawing>
          <wp:inline distT="0" distB="0" distL="0" distR="0" wp14:anchorId="5EE50E80" wp14:editId="6AE6D6DD">
            <wp:extent cx="8115300" cy="5273473"/>
            <wp:effectExtent l="0" t="0" r="0" b="0"/>
            <wp:docPr id="8562" name="Picture 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5">
                      <a:extLst>
                        <a:ext uri="{28A0092B-C50C-407E-A947-70E740481C1C}">
                          <a14:useLocalDpi xmlns:a14="http://schemas.microsoft.com/office/drawing/2010/main" val="0"/>
                        </a:ext>
                      </a:extLst>
                    </a:blip>
                    <a:srcRect l="1156" b="-6"/>
                    <a:stretch/>
                  </pic:blipFill>
                  <pic:spPr bwMode="auto">
                    <a:xfrm>
                      <a:off x="0" y="0"/>
                      <a:ext cx="8148861" cy="5295282"/>
                    </a:xfrm>
                    <a:prstGeom prst="rect">
                      <a:avLst/>
                    </a:prstGeom>
                    <a:noFill/>
                    <a:ln>
                      <a:noFill/>
                    </a:ln>
                    <a:extLst>
                      <a:ext uri="{53640926-AAD7-44D8-BBD7-CCE9431645EC}">
                        <a14:shadowObscured xmlns:a14="http://schemas.microsoft.com/office/drawing/2010/main"/>
                      </a:ext>
                    </a:extLst>
                  </pic:spPr>
                </pic:pic>
              </a:graphicData>
            </a:graphic>
          </wp:inline>
        </w:drawing>
      </w:r>
    </w:p>
    <w:p w14:paraId="4FC121BF" w14:textId="77777777" w:rsidR="00984A26" w:rsidRDefault="00984A26" w:rsidP="00984A26">
      <w:pPr>
        <w:pStyle w:val="Caption"/>
      </w:pPr>
      <w:bookmarkStart w:id="424" w:name="_Toc28065284"/>
      <w:bookmarkStart w:id="425" w:name="_Toc35861262"/>
      <w:r w:rsidRPr="006C35A6">
        <w:rPr>
          <w:b/>
        </w:rPr>
        <w:t xml:space="preserve">Figure </w:t>
      </w:r>
      <w:r>
        <w:rPr>
          <w:b/>
        </w:rPr>
        <w:t>4</w:t>
      </w:r>
      <w:r w:rsidRPr="006C35A6">
        <w:rPr>
          <w:b/>
        </w:rPr>
        <w:t>.1</w:t>
      </w:r>
      <w:r>
        <w:rPr>
          <w:b/>
        </w:rPr>
        <w:t>6</w:t>
      </w:r>
      <w:r w:rsidRPr="006C35A6">
        <w:rPr>
          <w:b/>
        </w:rPr>
        <w:t>.</w:t>
      </w:r>
      <w:r w:rsidRPr="006C35A6">
        <w:t xml:space="preserve"> </w:t>
      </w:r>
      <w:r>
        <w:t>Average values of the middle Woodford member interval of interest shown in Figure 4.5 of d</w:t>
      </w:r>
      <w:r w:rsidRPr="006C35A6">
        <w:t>ensity-</w:t>
      </w:r>
      <w:r>
        <w:t>p</w:t>
      </w:r>
      <w:r w:rsidRPr="006C35A6">
        <w:t xml:space="preserve">orosity, </w:t>
      </w:r>
      <w:r>
        <w:t>c</w:t>
      </w:r>
      <w:r w:rsidRPr="006C35A6">
        <w:t>alculated</w:t>
      </w:r>
      <w:r>
        <w:t xml:space="preserve"> Young’s modulus, Poisson’s ratio,</w:t>
      </w:r>
      <w:r w:rsidRPr="006C35A6">
        <w:t xml:space="preserve"> </w:t>
      </w:r>
      <w:r>
        <w:t>and f</w:t>
      </w:r>
      <w:r w:rsidRPr="006C35A6">
        <w:t xml:space="preserve">racture </w:t>
      </w:r>
      <w:r>
        <w:t>t</w:t>
      </w:r>
      <w:r w:rsidRPr="006C35A6">
        <w:t>oughness.</w:t>
      </w:r>
      <w:r>
        <w:t xml:space="preserve"> We calculate the lateral property variation using collocated cokriging using SOM classification volume and </w:t>
      </w:r>
      <w:r w:rsidRPr="0022522E">
        <w:rPr>
          <w:i/>
          <w:iCs/>
          <w:color w:val="000000"/>
        </w:rPr>
        <w:t>Z</w:t>
      </w:r>
      <w:r w:rsidRPr="0022522E">
        <w:rPr>
          <w:i/>
          <w:iCs/>
          <w:color w:val="000000"/>
          <w:vertAlign w:val="subscript"/>
        </w:rPr>
        <w:t>p</w:t>
      </w:r>
      <w:r>
        <w:t xml:space="preserve"> inversion volumes as probability maps.</w:t>
      </w:r>
      <w:bookmarkEnd w:id="424"/>
      <w:bookmarkEnd w:id="425"/>
    </w:p>
    <w:p w14:paraId="3F38898F" w14:textId="77777777" w:rsidR="00984A26" w:rsidRDefault="00984A26" w:rsidP="00984A26">
      <w:pPr>
        <w:spacing w:after="0"/>
        <w:jc w:val="center"/>
        <w:rPr>
          <w:lang w:bidi="en-US"/>
        </w:rPr>
      </w:pPr>
      <w:r>
        <w:rPr>
          <w:noProof/>
        </w:rPr>
        <w:lastRenderedPageBreak/>
        <w:drawing>
          <wp:inline distT="0" distB="0" distL="0" distR="0" wp14:anchorId="4964FB62" wp14:editId="420CCC26">
            <wp:extent cx="7138858" cy="5530380"/>
            <wp:effectExtent l="0" t="0" r="5080" b="0"/>
            <wp:docPr id="8563" name="Picture 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164423" cy="5550185"/>
                    </a:xfrm>
                    <a:prstGeom prst="rect">
                      <a:avLst/>
                    </a:prstGeom>
                    <a:noFill/>
                  </pic:spPr>
                </pic:pic>
              </a:graphicData>
            </a:graphic>
          </wp:inline>
        </w:drawing>
      </w:r>
    </w:p>
    <w:p w14:paraId="7701FF5F" w14:textId="77777777" w:rsidR="00984A26" w:rsidRPr="00C86480" w:rsidRDefault="00984A26" w:rsidP="00984A26">
      <w:pPr>
        <w:jc w:val="center"/>
        <w:rPr>
          <w:lang w:bidi="en-US"/>
        </w:rPr>
        <w:sectPr w:rsidR="00984A26" w:rsidRPr="00C86480" w:rsidSect="0095456D">
          <w:pgSz w:w="15840" w:h="12240" w:orient="landscape"/>
          <w:pgMar w:top="1440" w:right="1440" w:bottom="1440" w:left="1440" w:header="720" w:footer="720" w:gutter="0"/>
          <w:cols w:space="720"/>
          <w:docGrid w:linePitch="360"/>
        </w:sectPr>
      </w:pPr>
      <w:r w:rsidRPr="00BD3F92">
        <w:rPr>
          <w:b/>
          <w:bCs/>
          <w:lang w:bidi="en-US"/>
        </w:rPr>
        <w:t>Figure 4.17.</w:t>
      </w:r>
      <w:r>
        <w:rPr>
          <w:lang w:bidi="en-US"/>
        </w:rPr>
        <w:t xml:space="preserve"> Collocated cokriging Schmoker (1979 and 1981) %TOC using the SOM as the probability volume. </w:t>
      </w:r>
    </w:p>
    <w:p w14:paraId="7E6B7BBD" w14:textId="5D39F655" w:rsidR="00D073A0" w:rsidRPr="006C35A6" w:rsidRDefault="00D073A0" w:rsidP="005E08FB">
      <w:pPr>
        <w:pStyle w:val="Heading2"/>
        <w:numPr>
          <w:ilvl w:val="1"/>
          <w:numId w:val="34"/>
        </w:numPr>
      </w:pPr>
      <w:bookmarkStart w:id="426" w:name="_Toc25833598"/>
      <w:bookmarkStart w:id="427" w:name="_Toc28065396"/>
      <w:bookmarkStart w:id="428" w:name="_Toc35861142"/>
      <w:r w:rsidRPr="006C35A6">
        <w:lastRenderedPageBreak/>
        <w:t xml:space="preserve">Reservoir </w:t>
      </w:r>
      <w:r>
        <w:t>s</w:t>
      </w:r>
      <w:r w:rsidRPr="006C35A6">
        <w:t>imulation</w:t>
      </w:r>
      <w:bookmarkEnd w:id="426"/>
      <w:bookmarkEnd w:id="427"/>
      <w:bookmarkEnd w:id="428"/>
      <w:r w:rsidRPr="006C35A6">
        <w:t xml:space="preserve"> </w:t>
      </w:r>
    </w:p>
    <w:p w14:paraId="7C76F712" w14:textId="0C1733F4" w:rsidR="00D073A0" w:rsidRDefault="0054384A" w:rsidP="00D073A0">
      <w:pPr>
        <w:ind w:firstLine="360"/>
        <w:rPr>
          <w:lang w:eastAsia="ja-JP"/>
        </w:rPr>
      </w:pPr>
      <w:r>
        <w:rPr>
          <w:lang w:eastAsia="ja-JP"/>
        </w:rPr>
        <w:t>We use</w:t>
      </w:r>
      <w:r w:rsidR="00D073A0">
        <w:rPr>
          <w:lang w:eastAsia="ja-JP"/>
        </w:rPr>
        <w:t xml:space="preserve"> a fully coupled geomechanical equation of state (EOS) simulator </w:t>
      </w:r>
      <w:r w:rsidR="00B71C2B" w:rsidRPr="006C35A6">
        <w:rPr>
          <w:rFonts w:eastAsia="Times New Roman"/>
          <w:color w:val="000000"/>
        </w:rPr>
        <w:t xml:space="preserve">(Bandis et al., 1983) </w:t>
      </w:r>
      <w:r w:rsidR="00D073A0">
        <w:rPr>
          <w:lang w:eastAsia="ja-JP"/>
        </w:rPr>
        <w:t xml:space="preserve">to establish the baseline production </w:t>
      </w:r>
      <w:r w:rsidR="0032665B">
        <w:rPr>
          <w:lang w:eastAsia="ja-JP"/>
        </w:rPr>
        <w:t>type curve</w:t>
      </w:r>
      <w:r w:rsidR="00D073A0">
        <w:rPr>
          <w:lang w:eastAsia="ja-JP"/>
        </w:rPr>
        <w:t xml:space="preserve"> for 5,200 ft lateral wellbores. We identified four different</w:t>
      </w:r>
      <w:r w:rsidR="00E63BF0">
        <w:rPr>
          <w:lang w:eastAsia="ja-JP"/>
        </w:rPr>
        <w:t xml:space="preserve"> clusters and hence four</w:t>
      </w:r>
      <w:r w:rsidR="00D073A0">
        <w:rPr>
          <w:lang w:eastAsia="ja-JP"/>
        </w:rPr>
        <w:t xml:space="preserve"> type curve areas</w:t>
      </w:r>
      <w:r w:rsidR="00E63BF0">
        <w:rPr>
          <w:lang w:eastAsia="ja-JP"/>
        </w:rPr>
        <w:t>. The</w:t>
      </w:r>
      <w:r>
        <w:rPr>
          <w:lang w:eastAsia="ja-JP"/>
        </w:rPr>
        <w:t xml:space="preserve"> four</w:t>
      </w:r>
      <w:r w:rsidR="00E63BF0">
        <w:rPr>
          <w:lang w:eastAsia="ja-JP"/>
        </w:rPr>
        <w:t xml:space="preserve"> type curve areas</w:t>
      </w:r>
      <w:r w:rsidR="00D073A0">
        <w:rPr>
          <w:lang w:eastAsia="ja-JP"/>
        </w:rPr>
        <w:t xml:space="preserve"> defined four</w:t>
      </w:r>
      <w:r w:rsidR="00E63BF0">
        <w:rPr>
          <w:lang w:eastAsia="ja-JP"/>
        </w:rPr>
        <w:t xml:space="preserve"> major</w:t>
      </w:r>
      <w:r w:rsidR="00D073A0">
        <w:rPr>
          <w:lang w:eastAsia="ja-JP"/>
        </w:rPr>
        <w:t xml:space="preserve"> </w:t>
      </w:r>
      <w:r w:rsidR="005A5B52">
        <w:rPr>
          <w:lang w:eastAsia="ja-JP"/>
        </w:rPr>
        <w:t>average</w:t>
      </w:r>
      <w:r w:rsidR="00D073A0">
        <w:rPr>
          <w:lang w:eastAsia="ja-JP"/>
        </w:rPr>
        <w:t xml:space="preserve"> production curves</w:t>
      </w:r>
      <w:r w:rsidR="00E63BF0">
        <w:rPr>
          <w:lang w:eastAsia="ja-JP"/>
        </w:rPr>
        <w:t xml:space="preserve">, each one representing </w:t>
      </w:r>
      <w:r w:rsidR="00492F75">
        <w:rPr>
          <w:lang w:eastAsia="ja-JP"/>
        </w:rPr>
        <w:t>different geological properties.</w:t>
      </w:r>
      <w:r w:rsidR="00D073A0">
        <w:rPr>
          <w:lang w:eastAsia="ja-JP"/>
        </w:rPr>
        <w:t xml:space="preserve">  To </w:t>
      </w:r>
      <w:r w:rsidR="003908BF">
        <w:rPr>
          <w:lang w:eastAsia="ja-JP"/>
        </w:rPr>
        <w:t>better understand</w:t>
      </w:r>
      <w:r w:rsidR="00D073A0">
        <w:rPr>
          <w:lang w:eastAsia="ja-JP"/>
        </w:rPr>
        <w:t xml:space="preserve"> these four </w:t>
      </w:r>
      <w:r w:rsidR="0032665B">
        <w:rPr>
          <w:lang w:eastAsia="ja-JP"/>
        </w:rPr>
        <w:t>type curve</w:t>
      </w:r>
      <w:r w:rsidR="00D073A0">
        <w:rPr>
          <w:lang w:eastAsia="ja-JP"/>
        </w:rPr>
        <w:t xml:space="preserve"> areas</w:t>
      </w:r>
      <w:r w:rsidR="001211E1">
        <w:rPr>
          <w:lang w:eastAsia="ja-JP"/>
        </w:rPr>
        <w:t>,</w:t>
      </w:r>
      <w:r w:rsidR="00D073A0">
        <w:rPr>
          <w:lang w:eastAsia="ja-JP"/>
        </w:rPr>
        <w:t xml:space="preserve"> </w:t>
      </w:r>
      <w:r w:rsidR="003908BF">
        <w:rPr>
          <w:lang w:eastAsia="ja-JP"/>
        </w:rPr>
        <w:t>the</w:t>
      </w:r>
      <w:r w:rsidR="00D073A0">
        <w:rPr>
          <w:lang w:eastAsia="ja-JP"/>
        </w:rPr>
        <w:t xml:space="preserve"> </w:t>
      </w:r>
      <w:r w:rsidR="0032665B">
        <w:rPr>
          <w:lang w:eastAsia="ja-JP"/>
        </w:rPr>
        <w:t>equation of state</w:t>
      </w:r>
      <w:r w:rsidR="00D073A0">
        <w:rPr>
          <w:lang w:eastAsia="ja-JP"/>
        </w:rPr>
        <w:t xml:space="preserve"> simulator </w:t>
      </w:r>
      <w:r w:rsidR="00E97DB9">
        <w:rPr>
          <w:lang w:eastAsia="ja-JP"/>
        </w:rPr>
        <w:t>estimates the</w:t>
      </w:r>
      <w:r w:rsidR="00D073A0">
        <w:rPr>
          <w:lang w:eastAsia="ja-JP"/>
        </w:rPr>
        <w:t xml:space="preserve"> stimulated rock volume </w:t>
      </w:r>
      <w:r w:rsidR="0032665B">
        <w:rPr>
          <w:lang w:eastAsia="ja-JP"/>
        </w:rPr>
        <w:t>a</w:t>
      </w:r>
      <w:r w:rsidR="00D073A0">
        <w:rPr>
          <w:lang w:eastAsia="ja-JP"/>
        </w:rPr>
        <w:t xml:space="preserve">s a function of stress </w:t>
      </w:r>
      <w:r w:rsidR="00E97DB9">
        <w:rPr>
          <w:lang w:eastAsia="ja-JP"/>
        </w:rPr>
        <w:t xml:space="preserve">as well as </w:t>
      </w:r>
      <w:r w:rsidR="00D073A0">
        <w:rPr>
          <w:lang w:eastAsia="ja-JP"/>
        </w:rPr>
        <w:t>cumulative production for a rich condensate</w:t>
      </w:r>
      <w:r w:rsidR="00E97DB9">
        <w:rPr>
          <w:lang w:eastAsia="ja-JP"/>
        </w:rPr>
        <w:t xml:space="preserve"> </w:t>
      </w:r>
      <w:r w:rsidR="00D073A0">
        <w:rPr>
          <w:lang w:eastAsia="ja-JP"/>
        </w:rPr>
        <w:t>high maturity oil.   Two of the simulated areas represent</w:t>
      </w:r>
      <w:r w:rsidR="00E97DB9">
        <w:rPr>
          <w:lang w:eastAsia="ja-JP"/>
        </w:rPr>
        <w:t>ed</w:t>
      </w:r>
      <w:r w:rsidR="00D073A0">
        <w:rPr>
          <w:lang w:eastAsia="ja-JP"/>
        </w:rPr>
        <w:t xml:space="preserve"> enclosed mini-basin fills with </w:t>
      </w:r>
      <w:r w:rsidR="00E97DB9">
        <w:rPr>
          <w:lang w:eastAsia="ja-JP"/>
        </w:rPr>
        <w:t xml:space="preserve">a </w:t>
      </w:r>
      <w:r w:rsidR="00D073A0">
        <w:rPr>
          <w:lang w:eastAsia="ja-JP"/>
        </w:rPr>
        <w:t>thicker Woodford</w:t>
      </w:r>
      <w:r w:rsidR="00E97DB9">
        <w:rPr>
          <w:lang w:eastAsia="ja-JP"/>
        </w:rPr>
        <w:t xml:space="preserve"> Shale, </w:t>
      </w:r>
      <w:r w:rsidR="0094057C">
        <w:rPr>
          <w:lang w:eastAsia="ja-JP"/>
        </w:rPr>
        <w:t>overlaying</w:t>
      </w:r>
      <w:r w:rsidR="00E97DB9">
        <w:rPr>
          <w:lang w:eastAsia="ja-JP"/>
        </w:rPr>
        <w:t xml:space="preserve"> the</w:t>
      </w:r>
      <w:r w:rsidR="00D073A0">
        <w:rPr>
          <w:lang w:eastAsia="ja-JP"/>
        </w:rPr>
        <w:t xml:space="preserve"> eroded Hunton group. The other two TC areas represent interpreted open marine conditions of the Woodford Shale, where the calculated average %TOC is lower than the mini-basin fill areas and the average acoustic impedance is higher than areas with mini-basin fills. The</w:t>
      </w:r>
      <w:r w:rsidR="00FC6D05">
        <w:rPr>
          <w:lang w:eastAsia="ja-JP"/>
        </w:rPr>
        <w:t xml:space="preserve"> stimulated rock volume</w:t>
      </w:r>
      <w:r w:rsidR="00D073A0">
        <w:rPr>
          <w:lang w:eastAsia="ja-JP"/>
        </w:rPr>
        <w:t xml:space="preserve"> is commonly used for history matching of existing production data and EUR forecasting (Nayaran and Truax, 2017).  </w:t>
      </w:r>
      <w:r w:rsidR="00B71C2B">
        <w:rPr>
          <w:lang w:eastAsia="ja-JP"/>
        </w:rPr>
        <w:t>Our r</w:t>
      </w:r>
      <w:r w:rsidR="00D073A0">
        <w:rPr>
          <w:lang w:eastAsia="ja-JP"/>
        </w:rPr>
        <w:t xml:space="preserve">esults support that the </w:t>
      </w:r>
      <w:r w:rsidR="001211E1">
        <w:rPr>
          <w:lang w:eastAsia="ja-JP"/>
        </w:rPr>
        <w:t>standard</w:t>
      </w:r>
      <w:r w:rsidR="00D073A0">
        <w:rPr>
          <w:lang w:eastAsia="ja-JP"/>
        </w:rPr>
        <w:t xml:space="preserve"> integration of core, logs, and seismic to production scale not only allows highlighting areas with mini-basin fills but also provides excellent control on the unconventional reservoir characterization and bolsters confidence in the static reservoir models.</w:t>
      </w:r>
    </w:p>
    <w:p w14:paraId="7AF15FA7" w14:textId="4A644026" w:rsidR="00D073A0" w:rsidRDefault="00D073A0" w:rsidP="00D073A0">
      <w:pPr>
        <w:ind w:firstLine="720"/>
        <w:rPr>
          <w:rFonts w:eastAsia="Times New Roman"/>
          <w:color w:val="000000"/>
        </w:rPr>
      </w:pPr>
      <w:r w:rsidRPr="006C35A6">
        <w:rPr>
          <w:rFonts w:eastAsia="Times New Roman"/>
          <w:color w:val="000000"/>
        </w:rPr>
        <w:t xml:space="preserve">For </w:t>
      </w:r>
      <w:r>
        <w:rPr>
          <w:rFonts w:eastAsia="Times New Roman"/>
          <w:color w:val="000000"/>
        </w:rPr>
        <w:t xml:space="preserve">the </w:t>
      </w:r>
      <w:r w:rsidRPr="006C35A6">
        <w:rPr>
          <w:rFonts w:eastAsia="Times New Roman"/>
          <w:color w:val="000000"/>
        </w:rPr>
        <w:t>geomechanical coupling, we use a fully coupled</w:t>
      </w:r>
      <w:r w:rsidR="00B71C2B">
        <w:rPr>
          <w:rFonts w:eastAsia="Times New Roman"/>
          <w:color w:val="000000"/>
        </w:rPr>
        <w:t xml:space="preserve"> dual</w:t>
      </w:r>
      <w:r w:rsidR="001211E1">
        <w:rPr>
          <w:rFonts w:eastAsia="Times New Roman"/>
          <w:color w:val="000000"/>
        </w:rPr>
        <w:t>-</w:t>
      </w:r>
      <w:r w:rsidR="00B71C2B">
        <w:rPr>
          <w:rFonts w:eastAsia="Times New Roman"/>
          <w:color w:val="000000"/>
        </w:rPr>
        <w:t>porosity</w:t>
      </w:r>
      <w:r w:rsidRPr="006C35A6">
        <w:rPr>
          <w:rFonts w:eastAsia="Times New Roman"/>
          <w:color w:val="000000"/>
        </w:rPr>
        <w:t xml:space="preserve"> Barton-Bandis model (Bandis et al., 1983)</w:t>
      </w:r>
      <w:r w:rsidR="00F54D2A">
        <w:rPr>
          <w:rFonts w:eastAsia="Times New Roman"/>
          <w:color w:val="000000"/>
        </w:rPr>
        <w:t>. I</w:t>
      </w:r>
      <w:r w:rsidRPr="006C35A6">
        <w:rPr>
          <w:rFonts w:eastAsia="Times New Roman"/>
          <w:color w:val="000000"/>
        </w:rPr>
        <w:t xml:space="preserve">n </w:t>
      </w:r>
      <w:r w:rsidR="00F54D2A">
        <w:rPr>
          <w:rFonts w:eastAsia="Times New Roman"/>
          <w:color w:val="000000"/>
        </w:rPr>
        <w:t>this model (</w:t>
      </w:r>
      <w:r w:rsidRPr="006C35A6">
        <w:rPr>
          <w:rFonts w:eastAsia="Times New Roman"/>
          <w:color w:val="000000"/>
        </w:rPr>
        <w:t xml:space="preserve">Figure </w:t>
      </w:r>
      <w:r w:rsidR="00BD3F92">
        <w:rPr>
          <w:rFonts w:eastAsia="Times New Roman"/>
          <w:color w:val="000000"/>
        </w:rPr>
        <w:t>4</w:t>
      </w:r>
      <w:r w:rsidRPr="006C35A6">
        <w:rPr>
          <w:rFonts w:eastAsia="Times New Roman"/>
          <w:color w:val="000000"/>
        </w:rPr>
        <w:t>.1</w:t>
      </w:r>
      <w:r w:rsidR="00492F75">
        <w:rPr>
          <w:rFonts w:eastAsia="Times New Roman"/>
          <w:color w:val="000000"/>
        </w:rPr>
        <w:t>8</w:t>
      </w:r>
      <w:r w:rsidR="00F54D2A">
        <w:rPr>
          <w:rFonts w:eastAsia="Times New Roman"/>
          <w:color w:val="000000"/>
        </w:rPr>
        <w:t>)</w:t>
      </w:r>
      <w:r w:rsidR="001211E1">
        <w:rPr>
          <w:rFonts w:eastAsia="Times New Roman"/>
          <w:color w:val="000000"/>
        </w:rPr>
        <w:t>,</w:t>
      </w:r>
      <w:r w:rsidR="00F54D2A">
        <w:rPr>
          <w:rFonts w:eastAsia="Times New Roman"/>
          <w:color w:val="000000"/>
        </w:rPr>
        <w:t xml:space="preserve"> </w:t>
      </w:r>
      <w:r w:rsidRPr="006C35A6">
        <w:rPr>
          <w:rFonts w:eastAsia="Times New Roman"/>
          <w:color w:val="000000"/>
        </w:rPr>
        <w:t xml:space="preserve">the permeability of the natural fractures is coupled </w:t>
      </w:r>
      <w:r w:rsidR="00F54D2A">
        <w:rPr>
          <w:rFonts w:eastAsia="Times New Roman"/>
          <w:color w:val="000000"/>
        </w:rPr>
        <w:t>to</w:t>
      </w:r>
      <w:r w:rsidRPr="006C35A6">
        <w:rPr>
          <w:rFonts w:eastAsia="Times New Roman"/>
          <w:color w:val="000000"/>
        </w:rPr>
        <w:t xml:space="preserve"> minimum effective stress. </w:t>
      </w:r>
      <w:r w:rsidR="00F54D2A">
        <w:rPr>
          <w:rFonts w:eastAsia="Times New Roman"/>
          <w:color w:val="000000"/>
        </w:rPr>
        <w:t>Increasing injection volumes in</w:t>
      </w:r>
      <w:r w:rsidRPr="006C35A6">
        <w:rPr>
          <w:rFonts w:eastAsia="Times New Roman"/>
          <w:color w:val="000000"/>
        </w:rPr>
        <w:t xml:space="preserve"> hydraulic fracturing </w:t>
      </w:r>
      <w:r w:rsidR="00F54D2A">
        <w:rPr>
          <w:rFonts w:eastAsia="Times New Roman"/>
          <w:color w:val="000000"/>
        </w:rPr>
        <w:t>results in decreasing</w:t>
      </w:r>
      <w:r w:rsidRPr="006C35A6">
        <w:rPr>
          <w:rFonts w:eastAsia="Times New Roman"/>
          <w:color w:val="000000"/>
        </w:rPr>
        <w:t xml:space="preserve"> the minimum effective stress decreases, eventually increasing the permeability of the natural fractures. </w:t>
      </w:r>
    </w:p>
    <w:p w14:paraId="18EF7C16" w14:textId="77777777" w:rsidR="00D073A0" w:rsidRPr="006C35A6" w:rsidRDefault="00D073A0" w:rsidP="00D073A0">
      <w:pPr>
        <w:spacing w:after="0" w:line="360" w:lineRule="auto"/>
        <w:jc w:val="center"/>
        <w:rPr>
          <w:rFonts w:eastAsia="Times New Roman"/>
          <w:color w:val="000000"/>
        </w:rPr>
      </w:pPr>
      <w:r>
        <w:rPr>
          <w:rFonts w:eastAsia="Times New Roman"/>
          <w:noProof/>
          <w:color w:val="000000"/>
        </w:rPr>
        <w:lastRenderedPageBreak/>
        <w:drawing>
          <wp:inline distT="0" distB="0" distL="0" distR="0" wp14:anchorId="5D695530" wp14:editId="41FFE061">
            <wp:extent cx="3840480" cy="2184105"/>
            <wp:effectExtent l="0" t="0" r="7620" b="6985"/>
            <wp:docPr id="8564" name="Picture 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40480" cy="2184105"/>
                    </a:xfrm>
                    <a:prstGeom prst="rect">
                      <a:avLst/>
                    </a:prstGeom>
                    <a:noFill/>
                  </pic:spPr>
                </pic:pic>
              </a:graphicData>
            </a:graphic>
          </wp:inline>
        </w:drawing>
      </w:r>
    </w:p>
    <w:p w14:paraId="3678198E" w14:textId="2E566525" w:rsidR="00D073A0" w:rsidRDefault="00D073A0" w:rsidP="00D073A0">
      <w:pPr>
        <w:pStyle w:val="Caption"/>
      </w:pPr>
      <w:bookmarkStart w:id="429" w:name="_Toc28065285"/>
      <w:bookmarkStart w:id="430" w:name="_Toc35861263"/>
      <w:r w:rsidRPr="006C35A6">
        <w:rPr>
          <w:b/>
        </w:rPr>
        <w:t xml:space="preserve">Figure </w:t>
      </w:r>
      <w:r w:rsidR="00BD3F92">
        <w:rPr>
          <w:b/>
        </w:rPr>
        <w:t>4</w:t>
      </w:r>
      <w:r w:rsidRPr="006C35A6">
        <w:rPr>
          <w:b/>
        </w:rPr>
        <w:t>.1</w:t>
      </w:r>
      <w:r w:rsidR="00492F75">
        <w:rPr>
          <w:b/>
        </w:rPr>
        <w:t>8</w:t>
      </w:r>
      <w:r w:rsidRPr="006C35A6">
        <w:rPr>
          <w:b/>
        </w:rPr>
        <w:t>.</w:t>
      </w:r>
      <w:r w:rsidRPr="006C35A6">
        <w:t xml:space="preserve"> Conceptual implementation of Barton – Bandis model (after Tran et al., 2009). Initially, the bottom hole conditions are at the beginning point. As injection continues, the effective stress decreases, and at a certain point, when it reaches the minimum stress, the natural fracture opens, and the permeability increases. As injection stops and well is put on production, due to fluid withdrawal, the permeability decreases again due to a rise in stress. The well ultimately reaches a permeability of K</w:t>
      </w:r>
      <w:r w:rsidRPr="00800460">
        <w:rPr>
          <w:vertAlign w:val="subscript"/>
        </w:rPr>
        <w:t>fmin</w:t>
      </w:r>
      <w:r w:rsidRPr="006C35A6">
        <w:t xml:space="preserve"> and continues to produce at that permeability. In our case, we keep the K</w:t>
      </w:r>
      <w:r w:rsidRPr="00800460">
        <w:rPr>
          <w:vertAlign w:val="subscript"/>
        </w:rPr>
        <w:t xml:space="preserve">fmin </w:t>
      </w:r>
      <w:r w:rsidRPr="006C35A6">
        <w:t>= 25 mD for the fractures.</w:t>
      </w:r>
      <w:bookmarkEnd w:id="429"/>
      <w:bookmarkEnd w:id="430"/>
      <w:r w:rsidRPr="006C35A6">
        <w:t xml:space="preserve"> </w:t>
      </w:r>
    </w:p>
    <w:p w14:paraId="387933F4" w14:textId="1D2B9F13" w:rsidR="00D073A0" w:rsidRDefault="00D073A0" w:rsidP="00D073A0">
      <w:pPr>
        <w:ind w:firstLine="720"/>
        <w:rPr>
          <w:rFonts w:eastAsia="Times New Roman"/>
          <w:color w:val="000000"/>
        </w:rPr>
      </w:pPr>
      <w:r w:rsidRPr="006C35A6">
        <w:rPr>
          <w:rFonts w:eastAsia="Times New Roman"/>
          <w:color w:val="000000"/>
        </w:rPr>
        <w:t xml:space="preserve">As the injection is stopped, the effective stresses increase, thus leading to the closure of the natural fracture system, reducing to lower permeability. The initial high permeability corresponds to the flash production in the wells, while the latter stable permeability corresponds to the long-term production in the wells (10 to 20 years). </w:t>
      </w:r>
      <w:r>
        <w:rPr>
          <w:rFonts w:eastAsia="Times New Roman"/>
          <w:color w:val="000000"/>
        </w:rPr>
        <w:t xml:space="preserve">We used the </w:t>
      </w:r>
      <w:r w:rsidRPr="006C35A6">
        <w:rPr>
          <w:rFonts w:eastAsia="Times New Roman"/>
          <w:color w:val="000000"/>
        </w:rPr>
        <w:t xml:space="preserve">Poisson's ratio map, Young's modulus map, </w:t>
      </w:r>
      <w:r>
        <w:rPr>
          <w:rFonts w:eastAsia="Times New Roman"/>
          <w:color w:val="000000"/>
        </w:rPr>
        <w:t>and fracture toughness as geomechanical controls for the production simulation</w:t>
      </w:r>
      <w:r w:rsidRPr="006C35A6">
        <w:rPr>
          <w:rFonts w:eastAsia="Times New Roman"/>
          <w:color w:val="000000"/>
        </w:rPr>
        <w:t xml:space="preserve">. </w:t>
      </w:r>
    </w:p>
    <w:p w14:paraId="0AAC1A32" w14:textId="6CBB161A" w:rsidR="00B01CE1" w:rsidRDefault="00B01CE1" w:rsidP="00B01CE1">
      <w:pPr>
        <w:pStyle w:val="Heading3"/>
        <w:numPr>
          <w:ilvl w:val="2"/>
          <w:numId w:val="34"/>
        </w:numPr>
      </w:pPr>
      <w:bookmarkStart w:id="431" w:name="_Toc35861143"/>
      <w:r>
        <w:t xml:space="preserve">Applied completions design to </w:t>
      </w:r>
      <w:r w:rsidR="00553987">
        <w:t xml:space="preserve">the </w:t>
      </w:r>
      <w:r>
        <w:t>reservoir simulation</w:t>
      </w:r>
      <w:bookmarkEnd w:id="431"/>
      <w:r>
        <w:t xml:space="preserve"> </w:t>
      </w:r>
    </w:p>
    <w:p w14:paraId="0AAC2F1D" w14:textId="77777777" w:rsidR="00D0012F" w:rsidRDefault="00B01CE1" w:rsidP="00553987">
      <w:pPr>
        <w:ind w:firstLine="720"/>
        <w:rPr>
          <w:rFonts w:eastAsia="Times New Roman"/>
          <w:color w:val="000000"/>
        </w:rPr>
      </w:pPr>
      <w:r w:rsidRPr="00B01CE1">
        <w:rPr>
          <w:rFonts w:eastAsia="Times New Roman"/>
          <w:color w:val="000000"/>
        </w:rPr>
        <w:t xml:space="preserve">Our methodology performed a fully coupled geomechanical equation of state simulator to establish the baseline production </w:t>
      </w:r>
      <w:r w:rsidR="00AA0489">
        <w:rPr>
          <w:rFonts w:eastAsia="Times New Roman"/>
          <w:color w:val="000000"/>
        </w:rPr>
        <w:t>type curve</w:t>
      </w:r>
      <w:r w:rsidRPr="00B01CE1">
        <w:rPr>
          <w:rFonts w:eastAsia="Times New Roman"/>
          <w:color w:val="000000"/>
        </w:rPr>
        <w:t xml:space="preserve"> for 5,2</w:t>
      </w:r>
      <w:r w:rsidR="007349A5">
        <w:rPr>
          <w:rFonts w:eastAsia="Times New Roman"/>
          <w:color w:val="000000"/>
        </w:rPr>
        <w:t>8</w:t>
      </w:r>
      <w:r w:rsidRPr="00B01CE1">
        <w:rPr>
          <w:rFonts w:eastAsia="Times New Roman"/>
          <w:color w:val="000000"/>
        </w:rPr>
        <w:t xml:space="preserve">0 ft lateral wellbores  ( ̴ 1 mile of horizontal length). </w:t>
      </w:r>
      <w:r w:rsidR="001D0467">
        <w:rPr>
          <w:rFonts w:eastAsia="Times New Roman"/>
          <w:color w:val="000000"/>
        </w:rPr>
        <w:t xml:space="preserve">We used </w:t>
      </w:r>
      <w:r w:rsidR="00553987">
        <w:rPr>
          <w:rFonts w:eastAsia="Times New Roman"/>
          <w:color w:val="000000"/>
        </w:rPr>
        <w:t xml:space="preserve">reported operators </w:t>
      </w:r>
      <w:r w:rsidR="00D073A0" w:rsidRPr="006C35A6">
        <w:rPr>
          <w:rFonts w:eastAsia="Times New Roman"/>
          <w:color w:val="000000"/>
        </w:rPr>
        <w:t xml:space="preserve">Woodford </w:t>
      </w:r>
      <w:r w:rsidR="00D073A0">
        <w:rPr>
          <w:rFonts w:eastAsia="Times New Roman"/>
          <w:color w:val="000000"/>
        </w:rPr>
        <w:t>S</w:t>
      </w:r>
      <w:r w:rsidR="00D073A0" w:rsidRPr="006C35A6">
        <w:rPr>
          <w:rFonts w:eastAsia="Times New Roman"/>
          <w:color w:val="000000"/>
        </w:rPr>
        <w:t>hale</w:t>
      </w:r>
      <w:r w:rsidR="00D073A0">
        <w:rPr>
          <w:rFonts w:eastAsia="Times New Roman"/>
          <w:color w:val="000000"/>
        </w:rPr>
        <w:t xml:space="preserve"> </w:t>
      </w:r>
      <w:r w:rsidR="001D0467">
        <w:rPr>
          <w:rFonts w:eastAsia="Times New Roman"/>
          <w:color w:val="000000"/>
        </w:rPr>
        <w:t xml:space="preserve">completion values of </w:t>
      </w:r>
      <w:r w:rsidR="00553987">
        <w:rPr>
          <w:rFonts w:eastAsia="Times New Roman"/>
          <w:color w:val="000000"/>
        </w:rPr>
        <w:t>4</w:t>
      </w:r>
      <w:r w:rsidR="00D073A0">
        <w:rPr>
          <w:rFonts w:eastAsia="Times New Roman"/>
          <w:color w:val="000000"/>
        </w:rPr>
        <w:t xml:space="preserve">5 barrels of </w:t>
      </w:r>
      <w:r w:rsidR="00800460">
        <w:rPr>
          <w:rFonts w:eastAsia="Times New Roman"/>
          <w:color w:val="000000"/>
        </w:rPr>
        <w:t>slickwater</w:t>
      </w:r>
      <w:r w:rsidR="00D073A0">
        <w:rPr>
          <w:rFonts w:eastAsia="Times New Roman"/>
          <w:color w:val="000000"/>
        </w:rPr>
        <w:t xml:space="preserve"> per lateral foot</w:t>
      </w:r>
      <w:r w:rsidR="00553987">
        <w:rPr>
          <w:rFonts w:eastAsia="Times New Roman"/>
          <w:color w:val="000000"/>
        </w:rPr>
        <w:t xml:space="preserve">, for a total of 230,000 gallons of slickwater, </w:t>
      </w:r>
      <w:r w:rsidR="00D073A0">
        <w:rPr>
          <w:rFonts w:eastAsia="Times New Roman"/>
          <w:color w:val="000000"/>
        </w:rPr>
        <w:t xml:space="preserve">2,500 </w:t>
      </w:r>
      <w:r w:rsidR="00800460">
        <w:rPr>
          <w:rFonts w:eastAsia="Times New Roman"/>
          <w:color w:val="000000"/>
        </w:rPr>
        <w:t>lb.</w:t>
      </w:r>
      <w:r w:rsidR="00D073A0">
        <w:rPr>
          <w:rFonts w:eastAsia="Times New Roman"/>
          <w:color w:val="000000"/>
        </w:rPr>
        <w:t>/ft of proppant</w:t>
      </w:r>
      <w:r w:rsidR="001D0467">
        <w:rPr>
          <w:rFonts w:eastAsia="Times New Roman"/>
          <w:color w:val="000000"/>
        </w:rPr>
        <w:t xml:space="preserve"> </w:t>
      </w:r>
      <w:r w:rsidR="00553987">
        <w:rPr>
          <w:rFonts w:eastAsia="Times New Roman"/>
          <w:color w:val="000000"/>
        </w:rPr>
        <w:t>and fr</w:t>
      </w:r>
      <w:r w:rsidR="00553987" w:rsidRPr="00553987">
        <w:rPr>
          <w:rFonts w:eastAsia="Times New Roman"/>
          <w:color w:val="000000"/>
        </w:rPr>
        <w:t xml:space="preserve">acture stage </w:t>
      </w:r>
      <w:r w:rsidR="00553987">
        <w:rPr>
          <w:rFonts w:eastAsia="Times New Roman"/>
          <w:color w:val="000000"/>
        </w:rPr>
        <w:t>in the lateral wellbore</w:t>
      </w:r>
      <w:r w:rsidR="007349A5">
        <w:rPr>
          <w:rFonts w:eastAsia="Times New Roman"/>
          <w:color w:val="000000"/>
        </w:rPr>
        <w:t>s</w:t>
      </w:r>
      <w:r w:rsidR="00553987">
        <w:rPr>
          <w:rFonts w:eastAsia="Times New Roman"/>
          <w:color w:val="000000"/>
        </w:rPr>
        <w:t xml:space="preserve"> </w:t>
      </w:r>
      <w:r w:rsidR="00553987" w:rsidRPr="00553987">
        <w:rPr>
          <w:rFonts w:eastAsia="Times New Roman"/>
          <w:color w:val="000000"/>
        </w:rPr>
        <w:t>every 220 ft</w:t>
      </w:r>
      <w:r w:rsidR="00553987">
        <w:rPr>
          <w:rFonts w:eastAsia="Times New Roman"/>
          <w:color w:val="000000"/>
        </w:rPr>
        <w:t xml:space="preserve"> </w:t>
      </w:r>
      <w:r w:rsidR="00D073A0" w:rsidRPr="006C35A6">
        <w:rPr>
          <w:rFonts w:eastAsia="Times New Roman"/>
          <w:color w:val="000000"/>
        </w:rPr>
        <w:t>for all</w:t>
      </w:r>
      <w:r w:rsidR="007349A5">
        <w:rPr>
          <w:rFonts w:eastAsia="Times New Roman"/>
          <w:color w:val="000000"/>
        </w:rPr>
        <w:t xml:space="preserve"> of the</w:t>
      </w:r>
      <w:r w:rsidR="00D073A0" w:rsidRPr="006C35A6">
        <w:rPr>
          <w:rFonts w:eastAsia="Times New Roman"/>
          <w:color w:val="000000"/>
        </w:rPr>
        <w:t xml:space="preserve"> four</w:t>
      </w:r>
      <w:r w:rsidR="001D0467">
        <w:rPr>
          <w:rFonts w:eastAsia="Times New Roman"/>
          <w:color w:val="000000"/>
        </w:rPr>
        <w:t xml:space="preserve"> type curve</w:t>
      </w:r>
      <w:r w:rsidR="00D073A0" w:rsidRPr="006C35A6">
        <w:rPr>
          <w:rFonts w:eastAsia="Times New Roman"/>
          <w:color w:val="000000"/>
        </w:rPr>
        <w:t xml:space="preserve"> areas. </w:t>
      </w:r>
      <w:r w:rsidR="00027397">
        <w:rPr>
          <w:rFonts w:eastAsia="Times New Roman"/>
          <w:color w:val="000000"/>
        </w:rPr>
        <w:t>We</w:t>
      </w:r>
      <w:r w:rsidR="00027397" w:rsidRPr="006C35A6">
        <w:rPr>
          <w:rFonts w:eastAsia="Times New Roman"/>
          <w:color w:val="000000"/>
        </w:rPr>
        <w:t xml:space="preserve"> k</w:t>
      </w:r>
      <w:r w:rsidR="00027397">
        <w:rPr>
          <w:rFonts w:eastAsia="Times New Roman"/>
          <w:color w:val="000000"/>
        </w:rPr>
        <w:t>ept</w:t>
      </w:r>
      <w:r w:rsidR="00027397" w:rsidRPr="006C35A6">
        <w:rPr>
          <w:rFonts w:eastAsia="Times New Roman"/>
          <w:color w:val="000000"/>
        </w:rPr>
        <w:t xml:space="preserve"> </w:t>
      </w:r>
      <w:r w:rsidR="00027397">
        <w:rPr>
          <w:rFonts w:eastAsia="Times New Roman"/>
          <w:color w:val="000000"/>
        </w:rPr>
        <w:t>the completions design</w:t>
      </w:r>
      <w:r w:rsidR="00027397" w:rsidRPr="006C35A6">
        <w:rPr>
          <w:rFonts w:eastAsia="Times New Roman"/>
          <w:color w:val="000000"/>
        </w:rPr>
        <w:t xml:space="preserve"> constant for all four </w:t>
      </w:r>
      <w:r w:rsidR="00027397">
        <w:rPr>
          <w:rFonts w:eastAsia="Times New Roman"/>
          <w:color w:val="000000"/>
        </w:rPr>
        <w:t xml:space="preserve">type curve </w:t>
      </w:r>
      <w:r w:rsidR="00027397" w:rsidRPr="006C35A6">
        <w:rPr>
          <w:rFonts w:eastAsia="Times New Roman"/>
          <w:color w:val="000000"/>
        </w:rPr>
        <w:t>areas along with fluid and the lateral length of the well.</w:t>
      </w:r>
      <w:r w:rsidR="00BE04BF">
        <w:rPr>
          <w:rFonts w:eastAsia="Times New Roman"/>
          <w:color w:val="000000"/>
        </w:rPr>
        <w:t xml:space="preserve"> </w:t>
      </w:r>
    </w:p>
    <w:p w14:paraId="7C207C5A" w14:textId="03A27697" w:rsidR="00027397" w:rsidRDefault="00BE04BF" w:rsidP="00553987">
      <w:pPr>
        <w:ind w:firstLine="720"/>
        <w:rPr>
          <w:rFonts w:eastAsia="Times New Roman"/>
          <w:color w:val="000000"/>
        </w:rPr>
      </w:pPr>
      <w:r w:rsidRPr="00BE04BF">
        <w:rPr>
          <w:rFonts w:eastAsia="Times New Roman"/>
          <w:color w:val="000000"/>
        </w:rPr>
        <w:lastRenderedPageBreak/>
        <w:t>To fully capture the fluid effects, we use a fully compositional rich condensate representative PVT in the</w:t>
      </w:r>
      <w:r>
        <w:rPr>
          <w:rFonts w:eastAsia="Times New Roman"/>
          <w:color w:val="000000"/>
        </w:rPr>
        <w:t xml:space="preserve"> four type curve</w:t>
      </w:r>
      <w:r w:rsidRPr="00BE04BF">
        <w:rPr>
          <w:rFonts w:eastAsia="Times New Roman"/>
          <w:color w:val="000000"/>
        </w:rPr>
        <w:t xml:space="preserve"> area</w:t>
      </w:r>
      <w:r>
        <w:rPr>
          <w:rFonts w:eastAsia="Times New Roman"/>
          <w:color w:val="000000"/>
        </w:rPr>
        <w:t>s</w:t>
      </w:r>
      <w:r w:rsidRPr="00BE04BF">
        <w:rPr>
          <w:rFonts w:eastAsia="Times New Roman"/>
          <w:color w:val="000000"/>
        </w:rPr>
        <w:t>.</w:t>
      </w:r>
      <w:r w:rsidR="00553987">
        <w:rPr>
          <w:rFonts w:eastAsia="Times New Roman"/>
          <w:color w:val="000000"/>
        </w:rPr>
        <w:t xml:space="preserve"> The </w:t>
      </w:r>
      <w:r w:rsidR="007349A5">
        <w:rPr>
          <w:rFonts w:eastAsia="Times New Roman"/>
          <w:color w:val="000000"/>
        </w:rPr>
        <w:t xml:space="preserve">applied </w:t>
      </w:r>
      <w:r w:rsidR="00553987">
        <w:rPr>
          <w:rFonts w:eastAsia="Times New Roman"/>
          <w:color w:val="000000"/>
        </w:rPr>
        <w:t>API gravity of the fluid is 55</w:t>
      </w:r>
      <w:r w:rsidR="007349A5">
        <w:rPr>
          <w:rFonts w:eastAsia="Times New Roman"/>
          <w:color w:val="000000"/>
        </w:rPr>
        <w:t>º</w:t>
      </w:r>
      <w:r w:rsidR="00553987">
        <w:rPr>
          <w:rFonts w:eastAsia="Times New Roman"/>
          <w:color w:val="000000"/>
        </w:rPr>
        <w:t xml:space="preserve">, the dew point is 4,200 psi and 0.65 of specific gravity. </w:t>
      </w:r>
      <w:r w:rsidRPr="00BE04BF">
        <w:rPr>
          <w:rFonts w:eastAsia="Times New Roman"/>
          <w:color w:val="000000"/>
        </w:rPr>
        <w:t xml:space="preserve"> </w:t>
      </w:r>
      <w:r w:rsidR="00553987">
        <w:rPr>
          <w:rFonts w:eastAsia="Times New Roman"/>
          <w:color w:val="000000"/>
        </w:rPr>
        <w:t xml:space="preserve">We </w:t>
      </w:r>
      <w:r w:rsidRPr="00BE04BF">
        <w:rPr>
          <w:rFonts w:eastAsia="Times New Roman"/>
          <w:color w:val="000000"/>
        </w:rPr>
        <w:t xml:space="preserve">use the same fluid </w:t>
      </w:r>
      <w:r>
        <w:rPr>
          <w:rFonts w:eastAsia="Times New Roman"/>
          <w:color w:val="000000"/>
        </w:rPr>
        <w:t>properties with</w:t>
      </w:r>
      <w:r w:rsidRPr="00BE04BF">
        <w:rPr>
          <w:rFonts w:eastAsia="Times New Roman"/>
          <w:color w:val="000000"/>
        </w:rPr>
        <w:t xml:space="preserve"> the primary aim to identify the </w:t>
      </w:r>
      <w:r w:rsidR="007349A5">
        <w:rPr>
          <w:rFonts w:eastAsia="Times New Roman"/>
          <w:color w:val="000000"/>
        </w:rPr>
        <w:t xml:space="preserve">EUR variations in the </w:t>
      </w:r>
      <w:r w:rsidRPr="00BE04BF">
        <w:rPr>
          <w:rFonts w:eastAsia="Times New Roman"/>
          <w:color w:val="000000"/>
        </w:rPr>
        <w:t>type curve</w:t>
      </w:r>
      <w:r w:rsidR="007349A5">
        <w:rPr>
          <w:rFonts w:eastAsia="Times New Roman"/>
          <w:color w:val="000000"/>
        </w:rPr>
        <w:t xml:space="preserve"> areas</w:t>
      </w:r>
      <w:r w:rsidRPr="00BE04BF">
        <w:rPr>
          <w:rFonts w:eastAsia="Times New Roman"/>
          <w:color w:val="000000"/>
        </w:rPr>
        <w:t xml:space="preserve"> based on reservoir properties that can be known ahead of the drilling and not</w:t>
      </w:r>
      <w:r w:rsidR="007349A5">
        <w:rPr>
          <w:rFonts w:eastAsia="Times New Roman"/>
          <w:color w:val="000000"/>
        </w:rPr>
        <w:t xml:space="preserve"> to </w:t>
      </w:r>
      <w:r w:rsidRPr="00BE04BF">
        <w:rPr>
          <w:rFonts w:eastAsia="Times New Roman"/>
          <w:color w:val="000000"/>
        </w:rPr>
        <w:t>the fluid properties</w:t>
      </w:r>
      <w:r>
        <w:rPr>
          <w:rFonts w:eastAsia="Times New Roman"/>
          <w:color w:val="000000"/>
        </w:rPr>
        <w:t>,</w:t>
      </w:r>
      <w:r w:rsidRPr="00BE04BF">
        <w:rPr>
          <w:rFonts w:eastAsia="Times New Roman"/>
          <w:color w:val="000000"/>
        </w:rPr>
        <w:t xml:space="preserve"> which can vary and alter the </w:t>
      </w:r>
      <w:r>
        <w:rPr>
          <w:rFonts w:eastAsia="Times New Roman"/>
          <w:color w:val="000000"/>
        </w:rPr>
        <w:t>production r</w:t>
      </w:r>
      <w:r w:rsidRPr="00BE04BF">
        <w:rPr>
          <w:rFonts w:eastAsia="Times New Roman"/>
          <w:color w:val="000000"/>
        </w:rPr>
        <w:t xml:space="preserve">ecovery </w:t>
      </w:r>
      <w:r>
        <w:rPr>
          <w:rFonts w:eastAsia="Times New Roman"/>
          <w:color w:val="000000"/>
        </w:rPr>
        <w:t>f</w:t>
      </w:r>
      <w:r w:rsidRPr="00BE04BF">
        <w:rPr>
          <w:rFonts w:eastAsia="Times New Roman"/>
          <w:color w:val="000000"/>
        </w:rPr>
        <w:t>actors.</w:t>
      </w:r>
      <w:r w:rsidR="00553987">
        <w:rPr>
          <w:rFonts w:eastAsia="Times New Roman"/>
          <w:color w:val="000000"/>
        </w:rPr>
        <w:t xml:space="preserve"> </w:t>
      </w:r>
      <w:r w:rsidR="00553987" w:rsidRPr="006C35A6">
        <w:rPr>
          <w:rFonts w:eastAsia="Times New Roman"/>
          <w:color w:val="000000"/>
        </w:rPr>
        <w:t xml:space="preserve">Figure </w:t>
      </w:r>
      <w:r w:rsidR="00553987">
        <w:rPr>
          <w:rFonts w:eastAsia="Times New Roman"/>
          <w:color w:val="000000"/>
        </w:rPr>
        <w:t>4</w:t>
      </w:r>
      <w:r w:rsidR="00553987" w:rsidRPr="006C35A6">
        <w:rPr>
          <w:rFonts w:eastAsia="Times New Roman"/>
          <w:color w:val="000000"/>
        </w:rPr>
        <w:t>.1</w:t>
      </w:r>
      <w:r w:rsidR="00553987">
        <w:rPr>
          <w:rFonts w:eastAsia="Times New Roman"/>
          <w:color w:val="000000"/>
        </w:rPr>
        <w:t>9</w:t>
      </w:r>
      <w:r w:rsidR="00553987" w:rsidRPr="006C35A6">
        <w:rPr>
          <w:rFonts w:eastAsia="Times New Roman"/>
          <w:color w:val="000000"/>
        </w:rPr>
        <w:t xml:space="preserve"> shows the well bottom-hole pressures during the injection.</w:t>
      </w:r>
    </w:p>
    <w:p w14:paraId="1CCAE98A" w14:textId="433FA818" w:rsidR="00D073A0" w:rsidRPr="006C35A6" w:rsidRDefault="00D073A0" w:rsidP="00D073A0">
      <w:pPr>
        <w:ind w:firstLine="720"/>
        <w:rPr>
          <w:rFonts w:eastAsia="Times New Roman"/>
          <w:color w:val="000000"/>
        </w:rPr>
      </w:pPr>
      <w:r>
        <w:rPr>
          <w:rFonts w:eastAsia="Times New Roman"/>
          <w:color w:val="000000"/>
        </w:rPr>
        <w:t xml:space="preserve">The simulation results </w:t>
      </w:r>
      <w:r w:rsidR="008C6023">
        <w:rPr>
          <w:rFonts w:eastAsia="Times New Roman"/>
          <w:color w:val="000000"/>
        </w:rPr>
        <w:t>show a</w:t>
      </w:r>
      <w:r w:rsidRPr="006C35A6">
        <w:rPr>
          <w:rFonts w:eastAsia="Times New Roman"/>
          <w:color w:val="000000"/>
        </w:rPr>
        <w:t xml:space="preserve"> fall in </w:t>
      </w:r>
      <w:r>
        <w:rPr>
          <w:rFonts w:eastAsia="Times New Roman"/>
          <w:color w:val="000000"/>
        </w:rPr>
        <w:t>b</w:t>
      </w:r>
      <w:r w:rsidRPr="006C35A6">
        <w:rPr>
          <w:rFonts w:eastAsia="Times New Roman"/>
          <w:color w:val="000000"/>
        </w:rPr>
        <w:t xml:space="preserve">ottom </w:t>
      </w:r>
      <w:r>
        <w:rPr>
          <w:rFonts w:eastAsia="Times New Roman"/>
          <w:color w:val="000000"/>
        </w:rPr>
        <w:t>h</w:t>
      </w:r>
      <w:r w:rsidRPr="006C35A6">
        <w:rPr>
          <w:rFonts w:eastAsia="Times New Roman"/>
          <w:color w:val="000000"/>
        </w:rPr>
        <w:t xml:space="preserve">ole </w:t>
      </w:r>
      <w:r>
        <w:rPr>
          <w:rFonts w:eastAsia="Times New Roman"/>
          <w:color w:val="000000"/>
        </w:rPr>
        <w:t>p</w:t>
      </w:r>
      <w:r w:rsidRPr="006C35A6">
        <w:rPr>
          <w:rFonts w:eastAsia="Times New Roman"/>
          <w:color w:val="000000"/>
        </w:rPr>
        <w:t xml:space="preserve">ressure (BHP) after the natural fractures open. Figure </w:t>
      </w:r>
      <w:r w:rsidR="00BD3F92">
        <w:rPr>
          <w:rFonts w:eastAsia="Times New Roman"/>
          <w:color w:val="000000"/>
        </w:rPr>
        <w:t>4</w:t>
      </w:r>
      <w:r w:rsidRPr="006C35A6">
        <w:rPr>
          <w:rFonts w:eastAsia="Times New Roman"/>
          <w:color w:val="000000"/>
        </w:rPr>
        <w:t>.</w:t>
      </w:r>
      <w:r>
        <w:rPr>
          <w:rFonts w:eastAsia="Times New Roman"/>
          <w:color w:val="000000"/>
        </w:rPr>
        <w:t>19</w:t>
      </w:r>
      <w:r w:rsidRPr="006C35A6">
        <w:rPr>
          <w:rFonts w:eastAsia="Times New Roman"/>
          <w:color w:val="000000"/>
        </w:rPr>
        <w:t xml:space="preserve"> shows the cumulative production, BHP, and gas rates after </w:t>
      </w:r>
      <w:r>
        <w:rPr>
          <w:rFonts w:eastAsia="Times New Roman"/>
          <w:color w:val="000000"/>
        </w:rPr>
        <w:t xml:space="preserve">we set </w:t>
      </w:r>
      <w:r w:rsidRPr="006C35A6">
        <w:rPr>
          <w:rFonts w:eastAsia="Times New Roman"/>
          <w:color w:val="000000"/>
        </w:rPr>
        <w:t xml:space="preserve">the well on production. </w:t>
      </w:r>
    </w:p>
    <w:p w14:paraId="2F6E1B11" w14:textId="77777777" w:rsidR="00D073A0" w:rsidRPr="006C35A6" w:rsidRDefault="00D073A0" w:rsidP="00D073A0">
      <w:pPr>
        <w:spacing w:after="0"/>
        <w:jc w:val="center"/>
        <w:rPr>
          <w:rFonts w:eastAsia="Times New Roman"/>
          <w:color w:val="000000"/>
        </w:rPr>
      </w:pPr>
      <w:r>
        <w:rPr>
          <w:rFonts w:eastAsia="Times New Roman"/>
          <w:noProof/>
          <w:color w:val="000000"/>
        </w:rPr>
        <w:drawing>
          <wp:inline distT="0" distB="0" distL="0" distR="0" wp14:anchorId="7222A9B4" wp14:editId="531552A1">
            <wp:extent cx="5394960" cy="3990759"/>
            <wp:effectExtent l="0" t="0" r="0" b="0"/>
            <wp:docPr id="8565" name="Picture 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394960" cy="3990759"/>
                    </a:xfrm>
                    <a:prstGeom prst="rect">
                      <a:avLst/>
                    </a:prstGeom>
                    <a:noFill/>
                  </pic:spPr>
                </pic:pic>
              </a:graphicData>
            </a:graphic>
          </wp:inline>
        </w:drawing>
      </w:r>
    </w:p>
    <w:p w14:paraId="2E111D0A" w14:textId="62157296" w:rsidR="00D073A0" w:rsidRPr="006C35A6" w:rsidRDefault="00D073A0" w:rsidP="00D073A0">
      <w:pPr>
        <w:pStyle w:val="Caption"/>
        <w:rPr>
          <w:color w:val="000000"/>
        </w:rPr>
        <w:sectPr w:rsidR="00D073A0" w:rsidRPr="006C35A6" w:rsidSect="0095456D">
          <w:pgSz w:w="12240" w:h="15840"/>
          <w:pgMar w:top="1440" w:right="1440" w:bottom="1440" w:left="1440" w:header="720" w:footer="720" w:gutter="0"/>
          <w:cols w:space="720"/>
          <w:docGrid w:linePitch="360"/>
        </w:sectPr>
      </w:pPr>
      <w:bookmarkStart w:id="432" w:name="_Toc28065286"/>
      <w:bookmarkStart w:id="433" w:name="_Toc35861264"/>
      <w:r w:rsidRPr="006C35A6">
        <w:rPr>
          <w:b/>
        </w:rPr>
        <w:t xml:space="preserve">Figure </w:t>
      </w:r>
      <w:r w:rsidR="00BD3F92">
        <w:rPr>
          <w:b/>
        </w:rPr>
        <w:t>4</w:t>
      </w:r>
      <w:r w:rsidRPr="006C35A6">
        <w:rPr>
          <w:b/>
        </w:rPr>
        <w:t>.1</w:t>
      </w:r>
      <w:r w:rsidR="00492F75">
        <w:rPr>
          <w:b/>
        </w:rPr>
        <w:t>9</w:t>
      </w:r>
      <w:r w:rsidRPr="006C35A6">
        <w:rPr>
          <w:b/>
        </w:rPr>
        <w:t>.</w:t>
      </w:r>
      <w:r w:rsidRPr="006C35A6">
        <w:t xml:space="preserve"> Well bottom-hole pressure for the injection. Notice</w:t>
      </w:r>
      <w:r w:rsidR="009731F7">
        <w:t xml:space="preserve"> that</w:t>
      </w:r>
      <w:r w:rsidRPr="006C35A6">
        <w:t xml:space="preserve"> when a crack occurs</w:t>
      </w:r>
      <w:r w:rsidR="009731F7">
        <w:t xml:space="preserve"> at 0 months in time</w:t>
      </w:r>
      <w:r w:rsidRPr="006C35A6">
        <w:t xml:space="preserve">, the stimulated pressure falls </w:t>
      </w:r>
      <w:r w:rsidR="00171EFF">
        <w:t>rapidly</w:t>
      </w:r>
      <w:r w:rsidRPr="006C35A6">
        <w:t>.</w:t>
      </w:r>
      <w:bookmarkEnd w:id="432"/>
      <w:bookmarkEnd w:id="433"/>
    </w:p>
    <w:p w14:paraId="6193D582" w14:textId="77777777" w:rsidR="00D073A0" w:rsidRPr="006C35A6" w:rsidRDefault="00D073A0" w:rsidP="00D073A0">
      <w:pPr>
        <w:pStyle w:val="Caption"/>
      </w:pPr>
    </w:p>
    <w:tbl>
      <w:tblPr>
        <w:tblW w:w="0" w:type="auto"/>
        <w:jc w:val="center"/>
        <w:tblLook w:val="04A0" w:firstRow="1" w:lastRow="0" w:firstColumn="1" w:lastColumn="0" w:noHBand="0" w:noVBand="1"/>
      </w:tblPr>
      <w:tblGrid>
        <w:gridCol w:w="6408"/>
        <w:gridCol w:w="6366"/>
      </w:tblGrid>
      <w:tr w:rsidR="00D073A0" w:rsidRPr="001E7D67" w14:paraId="6227FCE2" w14:textId="77777777" w:rsidTr="003C111E">
        <w:trPr>
          <w:trHeight w:val="5985"/>
          <w:jc w:val="center"/>
        </w:trPr>
        <w:tc>
          <w:tcPr>
            <w:tcW w:w="6408" w:type="dxa"/>
            <w:shd w:val="clear" w:color="auto" w:fill="auto"/>
          </w:tcPr>
          <w:p w14:paraId="7F72C400" w14:textId="77777777" w:rsidR="00D073A0" w:rsidRPr="001E7D67" w:rsidRDefault="00D073A0" w:rsidP="003C111E">
            <w:r w:rsidRPr="001E7D67">
              <w:rPr>
                <w:noProof/>
              </w:rPr>
              <w:drawing>
                <wp:inline distT="0" distB="0" distL="0" distR="0" wp14:anchorId="2FFA1D3B" wp14:editId="29401FAD">
                  <wp:extent cx="3911600" cy="3911600"/>
                  <wp:effectExtent l="0" t="0" r="0" b="0"/>
                  <wp:docPr id="8566"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911600" cy="3911600"/>
                          </a:xfrm>
                          <a:prstGeom prst="rect">
                            <a:avLst/>
                          </a:prstGeom>
                          <a:noFill/>
                          <a:ln>
                            <a:noFill/>
                          </a:ln>
                        </pic:spPr>
                      </pic:pic>
                    </a:graphicData>
                  </a:graphic>
                </wp:inline>
              </w:drawing>
            </w:r>
          </w:p>
        </w:tc>
        <w:tc>
          <w:tcPr>
            <w:tcW w:w="6366" w:type="dxa"/>
            <w:shd w:val="clear" w:color="auto" w:fill="auto"/>
          </w:tcPr>
          <w:p w14:paraId="70D623CA" w14:textId="77777777" w:rsidR="00D073A0" w:rsidRPr="001E7D67" w:rsidRDefault="00D073A0" w:rsidP="003C111E">
            <w:r w:rsidRPr="001E7D67">
              <w:rPr>
                <w:noProof/>
              </w:rPr>
              <w:drawing>
                <wp:inline distT="0" distB="0" distL="0" distR="0" wp14:anchorId="1C0BEF04" wp14:editId="10DD24A7">
                  <wp:extent cx="3886200" cy="3911600"/>
                  <wp:effectExtent l="0" t="0" r="0" b="0"/>
                  <wp:docPr id="8567" name="Picture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86200" cy="3911600"/>
                          </a:xfrm>
                          <a:prstGeom prst="rect">
                            <a:avLst/>
                          </a:prstGeom>
                          <a:noFill/>
                          <a:ln>
                            <a:noFill/>
                          </a:ln>
                        </pic:spPr>
                      </pic:pic>
                    </a:graphicData>
                  </a:graphic>
                </wp:inline>
              </w:drawing>
            </w:r>
          </w:p>
        </w:tc>
      </w:tr>
    </w:tbl>
    <w:p w14:paraId="331D57B9" w14:textId="7A6019C1" w:rsidR="00D073A0" w:rsidRPr="006C35A6" w:rsidRDefault="00D073A0" w:rsidP="00D073A0">
      <w:pPr>
        <w:pStyle w:val="Caption"/>
        <w:jc w:val="center"/>
      </w:pPr>
      <w:bookmarkStart w:id="434" w:name="_Toc28065287"/>
      <w:bookmarkStart w:id="435" w:name="_Toc35861265"/>
      <w:r w:rsidRPr="006C35A6">
        <w:rPr>
          <w:b/>
        </w:rPr>
        <w:t xml:space="preserve">Figure </w:t>
      </w:r>
      <w:r w:rsidR="00BD3F92">
        <w:rPr>
          <w:b/>
        </w:rPr>
        <w:t>4</w:t>
      </w:r>
      <w:r w:rsidRPr="006C35A6">
        <w:rPr>
          <w:b/>
        </w:rPr>
        <w:t>.</w:t>
      </w:r>
      <w:r w:rsidR="00492F75">
        <w:rPr>
          <w:b/>
        </w:rPr>
        <w:t>20</w:t>
      </w:r>
      <w:r w:rsidRPr="006C35A6">
        <w:rPr>
          <w:b/>
        </w:rPr>
        <w:t>.</w:t>
      </w:r>
      <w:r w:rsidR="00C514D2">
        <w:t xml:space="preserve"> (A)</w:t>
      </w:r>
      <w:r w:rsidRPr="006C35A6">
        <w:t xml:space="preserve"> </w:t>
      </w:r>
      <w:r w:rsidR="004D71D2">
        <w:t>G</w:t>
      </w:r>
      <w:r w:rsidRPr="006C35A6">
        <w:t>as rate,</w:t>
      </w:r>
      <w:r>
        <w:t xml:space="preserve"> bottom-hole pressure (</w:t>
      </w:r>
      <w:r w:rsidRPr="006C35A6">
        <w:t>BHP</w:t>
      </w:r>
      <w:r>
        <w:t>)</w:t>
      </w:r>
      <w:r w:rsidRPr="006C35A6">
        <w:t xml:space="preserve"> and </w:t>
      </w:r>
      <w:r w:rsidR="00C514D2">
        <w:t xml:space="preserve">(B) </w:t>
      </w:r>
      <w:r w:rsidRPr="006C35A6">
        <w:t xml:space="preserve">cumulative gas for </w:t>
      </w:r>
      <w:r w:rsidR="00C514D2">
        <w:t xml:space="preserve">a </w:t>
      </w:r>
      <w:r w:rsidR="003D702B">
        <w:t xml:space="preserve">simulated </w:t>
      </w:r>
      <w:r w:rsidR="00C514D2">
        <w:t>well</w:t>
      </w:r>
      <w:r w:rsidR="003D702B">
        <w:t xml:space="preserve"> EUR</w:t>
      </w:r>
      <w:r w:rsidR="00C514D2">
        <w:t xml:space="preserve"> in type curve </w:t>
      </w:r>
      <w:r>
        <w:t>a</w:t>
      </w:r>
      <w:r w:rsidRPr="006C35A6">
        <w:t>rea 1.</w:t>
      </w:r>
      <w:bookmarkEnd w:id="434"/>
      <w:bookmarkEnd w:id="435"/>
    </w:p>
    <w:p w14:paraId="07BB2416" w14:textId="77777777" w:rsidR="00D073A0" w:rsidRPr="006C35A6" w:rsidRDefault="00D073A0" w:rsidP="00D073A0">
      <w:pPr>
        <w:rPr>
          <w:rFonts w:eastAsia="Times New Roman"/>
          <w:color w:val="000000"/>
        </w:rPr>
        <w:sectPr w:rsidR="00D073A0" w:rsidRPr="006C35A6" w:rsidSect="0095456D">
          <w:pgSz w:w="15840" w:h="12240" w:orient="landscape"/>
          <w:pgMar w:top="1440" w:right="1440" w:bottom="1440" w:left="1440" w:header="720" w:footer="720" w:gutter="0"/>
          <w:cols w:space="720"/>
          <w:docGrid w:linePitch="360"/>
        </w:sectPr>
      </w:pPr>
    </w:p>
    <w:p w14:paraId="3164053C" w14:textId="75C071DF" w:rsidR="00D073A0" w:rsidRDefault="00D073A0" w:rsidP="00D073A0">
      <w:pPr>
        <w:ind w:firstLine="720"/>
        <w:rPr>
          <w:rFonts w:eastAsia="Times New Roman"/>
          <w:color w:val="000000"/>
        </w:rPr>
      </w:pPr>
      <w:r w:rsidRPr="006C35A6">
        <w:rPr>
          <w:rFonts w:eastAsia="Times New Roman"/>
          <w:color w:val="000000"/>
        </w:rPr>
        <w:lastRenderedPageBreak/>
        <w:t xml:space="preserve">The initial high bottom-hole pressure (BHP) shows the </w:t>
      </w:r>
      <w:r w:rsidR="007C6C80">
        <w:rPr>
          <w:rFonts w:eastAsia="Times New Roman"/>
          <w:color w:val="000000"/>
        </w:rPr>
        <w:t>injection of slickwater and proppant</w:t>
      </w:r>
      <w:r w:rsidRPr="006C35A6">
        <w:rPr>
          <w:rFonts w:eastAsia="Times New Roman"/>
          <w:color w:val="000000"/>
        </w:rPr>
        <w:t xml:space="preserve"> as the well is hydraulically fractured. </w:t>
      </w:r>
      <w:r>
        <w:rPr>
          <w:rFonts w:eastAsia="Times New Roman"/>
          <w:color w:val="000000"/>
        </w:rPr>
        <w:t xml:space="preserve">We </w:t>
      </w:r>
      <w:r w:rsidR="007C6C80">
        <w:rPr>
          <w:rFonts w:eastAsia="Times New Roman"/>
          <w:color w:val="000000"/>
        </w:rPr>
        <w:t>approximated</w:t>
      </w:r>
      <w:r>
        <w:rPr>
          <w:rFonts w:eastAsia="Times New Roman"/>
          <w:color w:val="000000"/>
        </w:rPr>
        <w:t xml:space="preserve"> t</w:t>
      </w:r>
      <w:r w:rsidRPr="006C35A6">
        <w:rPr>
          <w:rFonts w:eastAsia="Times New Roman"/>
          <w:color w:val="000000"/>
        </w:rPr>
        <w:t xml:space="preserve">he expected ultimate recovery </w:t>
      </w:r>
      <w:r w:rsidR="007C6C80">
        <w:rPr>
          <w:rFonts w:eastAsia="Times New Roman"/>
          <w:color w:val="000000"/>
        </w:rPr>
        <w:t>to be</w:t>
      </w:r>
      <w:r w:rsidRPr="006C35A6">
        <w:rPr>
          <w:rFonts w:eastAsia="Times New Roman"/>
          <w:color w:val="000000"/>
        </w:rPr>
        <w:t xml:space="preserve"> the five years' cumulative gas and condensate production. We repeat</w:t>
      </w:r>
      <w:r w:rsidR="007C6C80">
        <w:rPr>
          <w:rFonts w:eastAsia="Times New Roman"/>
          <w:color w:val="000000"/>
        </w:rPr>
        <w:t>ed</w:t>
      </w:r>
      <w:r w:rsidRPr="006C35A6">
        <w:rPr>
          <w:rFonts w:eastAsia="Times New Roman"/>
          <w:color w:val="000000"/>
        </w:rPr>
        <w:t xml:space="preserve"> the same procedure for the </w:t>
      </w:r>
      <w:r w:rsidR="007C6C80">
        <w:rPr>
          <w:rFonts w:eastAsia="Times New Roman"/>
          <w:color w:val="000000"/>
        </w:rPr>
        <w:t xml:space="preserve">remaining three type curve </w:t>
      </w:r>
      <w:r w:rsidRPr="006C35A6">
        <w:rPr>
          <w:rFonts w:eastAsia="Times New Roman"/>
          <w:color w:val="000000"/>
        </w:rPr>
        <w:t>areas</w:t>
      </w:r>
      <w:r w:rsidR="007C6C80">
        <w:rPr>
          <w:rFonts w:eastAsia="Times New Roman"/>
          <w:color w:val="000000"/>
        </w:rPr>
        <w:t xml:space="preserve"> and summarize</w:t>
      </w:r>
      <w:r w:rsidR="001211E1">
        <w:rPr>
          <w:rFonts w:eastAsia="Times New Roman"/>
          <w:color w:val="000000"/>
        </w:rPr>
        <w:t>d</w:t>
      </w:r>
      <w:r w:rsidR="007C6C80">
        <w:rPr>
          <w:rFonts w:eastAsia="Times New Roman"/>
          <w:color w:val="000000"/>
        </w:rPr>
        <w:t xml:space="preserve"> the results in</w:t>
      </w:r>
      <w:r w:rsidRPr="006C35A6">
        <w:rPr>
          <w:rFonts w:eastAsia="Times New Roman"/>
          <w:color w:val="000000"/>
        </w:rPr>
        <w:t xml:space="preserve"> Table </w:t>
      </w:r>
      <w:r w:rsidR="00BC222A">
        <w:rPr>
          <w:rFonts w:eastAsia="Times New Roman"/>
          <w:color w:val="000000"/>
        </w:rPr>
        <w:t>4</w:t>
      </w:r>
      <w:r>
        <w:rPr>
          <w:rFonts w:eastAsia="Times New Roman"/>
          <w:color w:val="000000"/>
        </w:rPr>
        <w:t>.</w:t>
      </w:r>
      <w:r w:rsidRPr="006C35A6">
        <w:rPr>
          <w:rFonts w:eastAsia="Times New Roman"/>
          <w:color w:val="000000"/>
        </w:rPr>
        <w:t>1</w:t>
      </w:r>
      <w:r w:rsidR="007C6C80">
        <w:rPr>
          <w:rFonts w:eastAsia="Times New Roman"/>
          <w:color w:val="000000"/>
        </w:rPr>
        <w:t xml:space="preserve">. We attribute </w:t>
      </w:r>
      <w:r w:rsidR="001211E1">
        <w:rPr>
          <w:rFonts w:eastAsia="Times New Roman"/>
          <w:color w:val="000000"/>
        </w:rPr>
        <w:t xml:space="preserve">the </w:t>
      </w:r>
      <w:r w:rsidR="007C6C80">
        <w:rPr>
          <w:rFonts w:eastAsia="Times New Roman"/>
          <w:color w:val="000000"/>
        </w:rPr>
        <w:t xml:space="preserve">difference in </w:t>
      </w:r>
      <w:r w:rsidRPr="006C35A6">
        <w:rPr>
          <w:rFonts w:eastAsia="Times New Roman"/>
          <w:color w:val="000000"/>
        </w:rPr>
        <w:t xml:space="preserve">EUR's </w:t>
      </w:r>
      <w:r w:rsidR="007C6C80">
        <w:rPr>
          <w:rFonts w:eastAsia="Times New Roman"/>
          <w:color w:val="000000"/>
        </w:rPr>
        <w:t xml:space="preserve">for the </w:t>
      </w:r>
      <w:r w:rsidR="007349A5">
        <w:rPr>
          <w:rFonts w:eastAsia="Times New Roman"/>
          <w:color w:val="000000"/>
        </w:rPr>
        <w:t>corresponding</w:t>
      </w:r>
      <w:r w:rsidR="007C6C80">
        <w:rPr>
          <w:rFonts w:eastAsia="Times New Roman"/>
          <w:color w:val="000000"/>
        </w:rPr>
        <w:t xml:space="preserve"> completion and fluid to the reservoir properties. Specifically</w:t>
      </w:r>
      <w:r w:rsidRPr="006C35A6">
        <w:rPr>
          <w:rFonts w:eastAsia="Times New Roman"/>
          <w:color w:val="000000"/>
        </w:rPr>
        <w:t>, a high-resolution characterization including petrophysical and geomechanical properties</w:t>
      </w:r>
      <w:r w:rsidR="001211E1">
        <w:rPr>
          <w:rFonts w:eastAsia="Times New Roman"/>
          <w:color w:val="000000"/>
        </w:rPr>
        <w:t>,</w:t>
      </w:r>
      <w:r w:rsidRPr="006C35A6">
        <w:rPr>
          <w:rFonts w:eastAsia="Times New Roman"/>
          <w:color w:val="000000"/>
        </w:rPr>
        <w:t xml:space="preserve"> </w:t>
      </w:r>
      <w:r w:rsidR="007C6C80">
        <w:rPr>
          <w:rFonts w:eastAsia="Times New Roman"/>
          <w:color w:val="000000"/>
        </w:rPr>
        <w:t>allow</w:t>
      </w:r>
      <w:r w:rsidR="001211E1">
        <w:rPr>
          <w:rFonts w:eastAsia="Times New Roman"/>
          <w:color w:val="000000"/>
        </w:rPr>
        <w:t>s</w:t>
      </w:r>
      <w:r w:rsidR="007C6C80">
        <w:rPr>
          <w:rFonts w:eastAsia="Times New Roman"/>
          <w:color w:val="000000"/>
        </w:rPr>
        <w:t xml:space="preserve"> an operator to</w:t>
      </w:r>
      <w:r w:rsidRPr="006C35A6">
        <w:rPr>
          <w:rFonts w:eastAsia="Times New Roman"/>
          <w:color w:val="000000"/>
        </w:rPr>
        <w:t xml:space="preserve"> identif</w:t>
      </w:r>
      <w:r w:rsidR="007C6C80">
        <w:rPr>
          <w:rFonts w:eastAsia="Times New Roman"/>
          <w:color w:val="000000"/>
        </w:rPr>
        <w:t>y</w:t>
      </w:r>
      <w:r w:rsidRPr="006C35A6">
        <w:rPr>
          <w:rFonts w:eastAsia="Times New Roman"/>
          <w:color w:val="000000"/>
        </w:rPr>
        <w:t xml:space="preserve"> high-value </w:t>
      </w:r>
      <w:r w:rsidR="007C6C80">
        <w:rPr>
          <w:rFonts w:eastAsia="Times New Roman"/>
          <w:color w:val="000000"/>
        </w:rPr>
        <w:t xml:space="preserve">type curve </w:t>
      </w:r>
      <w:r w:rsidRPr="006C35A6">
        <w:rPr>
          <w:rFonts w:eastAsia="Times New Roman"/>
          <w:color w:val="000000"/>
        </w:rPr>
        <w:t xml:space="preserve">areas, lateral landing zones, well interference </w:t>
      </w:r>
      <w:r w:rsidR="007C6C80">
        <w:rPr>
          <w:rFonts w:eastAsia="Times New Roman"/>
          <w:color w:val="000000"/>
        </w:rPr>
        <w:t xml:space="preserve">issues </w:t>
      </w:r>
      <w:r w:rsidRPr="006C35A6">
        <w:rPr>
          <w:rFonts w:eastAsia="Times New Roman"/>
          <w:color w:val="000000"/>
        </w:rPr>
        <w:t xml:space="preserve">and ultimately </w:t>
      </w:r>
      <w:r w:rsidR="004E7D3C">
        <w:rPr>
          <w:rFonts w:eastAsia="Times New Roman"/>
          <w:color w:val="000000"/>
        </w:rPr>
        <w:t xml:space="preserve">optimize </w:t>
      </w:r>
      <w:r w:rsidRPr="006C35A6">
        <w:rPr>
          <w:rFonts w:eastAsia="Times New Roman"/>
          <w:color w:val="000000"/>
        </w:rPr>
        <w:t xml:space="preserve">well spacing </w:t>
      </w:r>
      <w:r w:rsidR="004E7D3C">
        <w:rPr>
          <w:rFonts w:eastAsia="Times New Roman"/>
          <w:color w:val="000000"/>
        </w:rPr>
        <w:t>and capital investments</w:t>
      </w:r>
      <w:r w:rsidRPr="006C35A6">
        <w:rPr>
          <w:rFonts w:eastAsia="Times New Roman"/>
          <w:color w:val="000000"/>
        </w:rPr>
        <w:t xml:space="preserve">. </w:t>
      </w:r>
      <w:r w:rsidR="004E7D3C">
        <w:rPr>
          <w:rFonts w:eastAsia="Times New Roman"/>
          <w:color w:val="000000"/>
        </w:rPr>
        <w:t>In Table 4.1</w:t>
      </w:r>
      <w:r w:rsidR="001211E1">
        <w:rPr>
          <w:rFonts w:eastAsia="Times New Roman"/>
          <w:color w:val="000000"/>
        </w:rPr>
        <w:t>,</w:t>
      </w:r>
      <w:r w:rsidR="004E7D3C">
        <w:rPr>
          <w:rFonts w:eastAsia="Times New Roman"/>
          <w:color w:val="000000"/>
        </w:rPr>
        <w:t xml:space="preserve"> the type curve a</w:t>
      </w:r>
      <w:r>
        <w:rPr>
          <w:rFonts w:eastAsia="Times New Roman"/>
          <w:color w:val="000000"/>
        </w:rPr>
        <w:t xml:space="preserve">reas 1 and 2 correspond to interpreted enclosed mini-basin fill </w:t>
      </w:r>
      <w:r w:rsidR="004E7D3C">
        <w:rPr>
          <w:rFonts w:eastAsia="Times New Roman"/>
          <w:color w:val="000000"/>
        </w:rPr>
        <w:t>that exhibit</w:t>
      </w:r>
      <w:r>
        <w:rPr>
          <w:rFonts w:eastAsia="Times New Roman"/>
          <w:color w:val="000000"/>
        </w:rPr>
        <w:t xml:space="preserve"> thicker Woodford and higher %TOC content</w:t>
      </w:r>
      <w:r w:rsidR="004E7D3C">
        <w:rPr>
          <w:rFonts w:eastAsia="Times New Roman"/>
          <w:color w:val="000000"/>
        </w:rPr>
        <w:t xml:space="preserve">. </w:t>
      </w:r>
    </w:p>
    <w:p w14:paraId="65298CD6" w14:textId="77777777" w:rsidR="00D073A0" w:rsidRDefault="00D073A0" w:rsidP="00D073A0">
      <w:pPr>
        <w:spacing w:line="276" w:lineRule="auto"/>
        <w:jc w:val="center"/>
        <w:rPr>
          <w:rFonts w:eastAsia="Times New Roman"/>
          <w:color w:val="000000"/>
        </w:rPr>
      </w:pPr>
      <w:r>
        <w:rPr>
          <w:rFonts w:eastAsia="Times New Roman"/>
          <w:noProof/>
          <w:color w:val="000000"/>
        </w:rPr>
        <w:drawing>
          <wp:inline distT="0" distB="0" distL="0" distR="0" wp14:anchorId="0ED3D6FD" wp14:editId="6FEB63DA">
            <wp:extent cx="5718810" cy="2018030"/>
            <wp:effectExtent l="0" t="0" r="0" b="1270"/>
            <wp:docPr id="8568" name="Picture 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18810" cy="2018030"/>
                    </a:xfrm>
                    <a:prstGeom prst="rect">
                      <a:avLst/>
                    </a:prstGeom>
                    <a:noFill/>
                  </pic:spPr>
                </pic:pic>
              </a:graphicData>
            </a:graphic>
          </wp:inline>
        </w:drawing>
      </w:r>
    </w:p>
    <w:p w14:paraId="060CD6DF" w14:textId="1C80072D" w:rsidR="00D073A0" w:rsidRDefault="00D073A0" w:rsidP="00D073A0">
      <w:pPr>
        <w:pStyle w:val="TableofFigures"/>
      </w:pPr>
      <w:r w:rsidRPr="006C35A6">
        <w:rPr>
          <w:b/>
        </w:rPr>
        <w:t xml:space="preserve">Table </w:t>
      </w:r>
      <w:r w:rsidR="00BD3F92">
        <w:rPr>
          <w:b/>
        </w:rPr>
        <w:t>4</w:t>
      </w:r>
      <w:r>
        <w:rPr>
          <w:b/>
        </w:rPr>
        <w:t>.</w:t>
      </w:r>
      <w:r w:rsidRPr="006C35A6">
        <w:rPr>
          <w:b/>
        </w:rPr>
        <w:t>1</w:t>
      </w:r>
      <w:r>
        <w:rPr>
          <w:b/>
        </w:rPr>
        <w:t>.</w:t>
      </w:r>
      <w:r w:rsidRPr="006C35A6">
        <w:t xml:space="preserve"> </w:t>
      </w:r>
      <w:r>
        <w:t>Cumulative</w:t>
      </w:r>
      <w:r w:rsidRPr="006C35A6">
        <w:t xml:space="preserve"> oil EUR</w:t>
      </w:r>
      <w:r>
        <w:t xml:space="preserve"> in million of barrels for the </w:t>
      </w:r>
      <w:r w:rsidRPr="006C35A6">
        <w:t>four</w:t>
      </w:r>
      <w:r>
        <w:t xml:space="preserve"> simulated</w:t>
      </w:r>
      <w:r w:rsidRPr="006C35A6">
        <w:t xml:space="preserve"> </w:t>
      </w:r>
      <w:r w:rsidR="004E7D3C">
        <w:t xml:space="preserve">type curve </w:t>
      </w:r>
      <w:r w:rsidRPr="006C35A6">
        <w:t xml:space="preserve">areas. </w:t>
      </w:r>
    </w:p>
    <w:p w14:paraId="359BD66B" w14:textId="77777777" w:rsidR="00D073A0" w:rsidRDefault="00D073A0" w:rsidP="00D073A0">
      <w:pPr>
        <w:pStyle w:val="TOCHeading"/>
        <w:rPr>
          <w:lang w:eastAsia="ja-JP" w:bidi="en-US"/>
        </w:rPr>
      </w:pPr>
    </w:p>
    <w:p w14:paraId="0CF872E1" w14:textId="77777777" w:rsidR="00D073A0" w:rsidRDefault="00D073A0" w:rsidP="005E08FB">
      <w:pPr>
        <w:pStyle w:val="Heading2"/>
        <w:numPr>
          <w:ilvl w:val="1"/>
          <w:numId w:val="34"/>
        </w:numPr>
      </w:pPr>
      <w:bookmarkStart w:id="436" w:name="_Toc25833599"/>
      <w:bookmarkStart w:id="437" w:name="_Toc28065397"/>
      <w:r>
        <w:t xml:space="preserve"> </w:t>
      </w:r>
      <w:bookmarkStart w:id="438" w:name="_Toc35861144"/>
      <w:r>
        <w:t>Limitations</w:t>
      </w:r>
      <w:bookmarkEnd w:id="438"/>
    </w:p>
    <w:p w14:paraId="770E4BED" w14:textId="4463DEE7" w:rsidR="008761BF" w:rsidRDefault="00D073A0" w:rsidP="00D073A0">
      <w:pPr>
        <w:ind w:firstLine="360"/>
        <w:rPr>
          <w:lang w:eastAsia="ja-JP"/>
        </w:rPr>
      </w:pPr>
      <w:r>
        <w:rPr>
          <w:lang w:eastAsia="ja-JP"/>
        </w:rPr>
        <w:t xml:space="preserve">For the simulation part, we recognize the </w:t>
      </w:r>
      <w:r w:rsidR="007E320D">
        <w:rPr>
          <w:lang w:eastAsia="ja-JP"/>
        </w:rPr>
        <w:t xml:space="preserve">type curve areas from </w:t>
      </w:r>
      <w:r>
        <w:rPr>
          <w:lang w:eastAsia="ja-JP"/>
        </w:rPr>
        <w:t xml:space="preserve">the cornerstone for </w:t>
      </w:r>
      <w:r w:rsidR="001211E1">
        <w:rPr>
          <w:lang w:eastAsia="ja-JP"/>
        </w:rPr>
        <w:t xml:space="preserve">the </w:t>
      </w:r>
      <w:r>
        <w:rPr>
          <w:lang w:eastAsia="ja-JP"/>
        </w:rPr>
        <w:t xml:space="preserve">conventional reservoir (Fetkovich, 1973; Soliman et al., 1984; Mattar, 1999) and </w:t>
      </w:r>
      <w:r w:rsidR="001211E1">
        <w:rPr>
          <w:lang w:eastAsia="ja-JP"/>
        </w:rPr>
        <w:t xml:space="preserve">an </w:t>
      </w:r>
      <w:r>
        <w:rPr>
          <w:lang w:eastAsia="ja-JP"/>
        </w:rPr>
        <w:t xml:space="preserve">unconventional shale </w:t>
      </w:r>
      <w:r w:rsidR="007E320D">
        <w:rPr>
          <w:lang w:eastAsia="ja-JP"/>
        </w:rPr>
        <w:t xml:space="preserve">reservoir </w:t>
      </w:r>
      <w:r>
        <w:rPr>
          <w:lang w:eastAsia="ja-JP"/>
        </w:rPr>
        <w:t>(Duda et al., 1991; Xiong et al., 2018). T</w:t>
      </w:r>
      <w:r w:rsidR="007E320D">
        <w:rPr>
          <w:lang w:eastAsia="ja-JP"/>
        </w:rPr>
        <w:t xml:space="preserve">ype curve areas are used as a petroleum industry </w:t>
      </w:r>
      <w:r w:rsidR="0094057C">
        <w:rPr>
          <w:lang w:eastAsia="ja-JP"/>
        </w:rPr>
        <w:t>standard</w:t>
      </w:r>
      <w:r w:rsidR="007E320D">
        <w:rPr>
          <w:lang w:eastAsia="ja-JP"/>
        </w:rPr>
        <w:t xml:space="preserve"> to</w:t>
      </w:r>
      <w:r>
        <w:rPr>
          <w:lang w:eastAsia="ja-JP"/>
        </w:rPr>
        <w:t xml:space="preserve"> calculate </w:t>
      </w:r>
      <w:r w:rsidR="007E320D">
        <w:rPr>
          <w:lang w:eastAsia="ja-JP"/>
        </w:rPr>
        <w:t>and report r</w:t>
      </w:r>
      <w:r>
        <w:rPr>
          <w:lang w:eastAsia="ja-JP"/>
        </w:rPr>
        <w:t xml:space="preserve">eserves </w:t>
      </w:r>
      <w:r w:rsidR="007E320D">
        <w:rPr>
          <w:lang w:eastAsia="ja-JP"/>
        </w:rPr>
        <w:t>o</w:t>
      </w:r>
      <w:r>
        <w:rPr>
          <w:lang w:eastAsia="ja-JP"/>
        </w:rPr>
        <w:t xml:space="preserve">f developed and underdeveloped </w:t>
      </w:r>
      <w:r>
        <w:rPr>
          <w:lang w:eastAsia="ja-JP"/>
        </w:rPr>
        <w:lastRenderedPageBreak/>
        <w:t xml:space="preserve">resources </w:t>
      </w:r>
      <w:r w:rsidR="007E320D">
        <w:rPr>
          <w:lang w:eastAsia="ja-JP"/>
        </w:rPr>
        <w:t>(</w:t>
      </w:r>
      <w:r>
        <w:rPr>
          <w:lang w:eastAsia="ja-JP"/>
        </w:rPr>
        <w:t xml:space="preserve">Mattar, 1999). In unconventional hydrocarbon assets, a </w:t>
      </w:r>
      <w:r w:rsidR="007E320D">
        <w:rPr>
          <w:lang w:eastAsia="ja-JP"/>
        </w:rPr>
        <w:t>type curve area</w:t>
      </w:r>
      <w:r>
        <w:rPr>
          <w:lang w:eastAsia="ja-JP"/>
        </w:rPr>
        <w:t xml:space="preserve"> is generally defined using </w:t>
      </w:r>
      <w:r w:rsidR="007E320D">
        <w:rPr>
          <w:lang w:eastAsia="ja-JP"/>
        </w:rPr>
        <w:t>from a</w:t>
      </w:r>
      <w:r w:rsidR="001211E1">
        <w:rPr>
          <w:lang w:eastAsia="ja-JP"/>
        </w:rPr>
        <w:t>n extensiv</w:t>
      </w:r>
      <w:r w:rsidR="007E320D">
        <w:rPr>
          <w:lang w:eastAsia="ja-JP"/>
        </w:rPr>
        <w:t>e well data set the</w:t>
      </w:r>
      <w:r>
        <w:rPr>
          <w:lang w:eastAsia="ja-JP"/>
        </w:rPr>
        <w:t xml:space="preserve"> reservoir true vertical depth (TVD feet), thickness (feet), maturity, gas-oil ratios </w:t>
      </w:r>
      <w:r w:rsidR="008B35C9">
        <w:rPr>
          <w:lang w:eastAsia="ja-JP"/>
        </w:rPr>
        <w:t>(</w:t>
      </w:r>
      <w:r>
        <w:rPr>
          <w:lang w:eastAsia="ja-JP"/>
        </w:rPr>
        <w:t>GORs</w:t>
      </w:r>
      <w:r w:rsidR="008B35C9">
        <w:rPr>
          <w:lang w:eastAsia="ja-JP"/>
        </w:rPr>
        <w:t>)</w:t>
      </w:r>
      <w:r>
        <w:rPr>
          <w:lang w:eastAsia="ja-JP"/>
        </w:rPr>
        <w:t xml:space="preserve">, wellbore lateral length, amount of proppant, and completions design (Barzin and Mattar, 2017; Joshi et al., 2019). </w:t>
      </w:r>
      <w:r w:rsidR="007E320D">
        <w:rPr>
          <w:lang w:eastAsia="ja-JP"/>
        </w:rPr>
        <w:t>Due to proprietary data,</w:t>
      </w:r>
      <w:r>
        <w:rPr>
          <w:lang w:eastAsia="ja-JP"/>
        </w:rPr>
        <w:t xml:space="preserve"> </w:t>
      </w:r>
      <w:r w:rsidR="007E320D">
        <w:rPr>
          <w:lang w:eastAsia="ja-JP"/>
        </w:rPr>
        <w:t xml:space="preserve">our main limitation is that </w:t>
      </w:r>
      <w:r>
        <w:rPr>
          <w:lang w:eastAsia="ja-JP"/>
        </w:rPr>
        <w:t xml:space="preserve">we have </w:t>
      </w:r>
      <w:r w:rsidR="007E320D">
        <w:rPr>
          <w:lang w:eastAsia="ja-JP"/>
        </w:rPr>
        <w:t>a</w:t>
      </w:r>
      <w:r w:rsidR="0074364C">
        <w:rPr>
          <w:lang w:eastAsia="ja-JP"/>
        </w:rPr>
        <w:t xml:space="preserve"> restricted</w:t>
      </w:r>
      <w:r w:rsidR="00682638">
        <w:rPr>
          <w:lang w:eastAsia="ja-JP"/>
        </w:rPr>
        <w:t xml:space="preserve"> wellbore </w:t>
      </w:r>
      <w:r w:rsidR="007E320D">
        <w:rPr>
          <w:lang w:eastAsia="ja-JP"/>
        </w:rPr>
        <w:t xml:space="preserve">production </w:t>
      </w:r>
      <w:r>
        <w:rPr>
          <w:lang w:eastAsia="ja-JP"/>
        </w:rPr>
        <w:t xml:space="preserve">database </w:t>
      </w:r>
      <w:r w:rsidR="007E320D">
        <w:rPr>
          <w:lang w:eastAsia="ja-JP"/>
        </w:rPr>
        <w:t xml:space="preserve">to build the type curve areas with </w:t>
      </w:r>
      <w:r w:rsidR="001211E1">
        <w:rPr>
          <w:lang w:eastAsia="ja-JP"/>
        </w:rPr>
        <w:t>standard</w:t>
      </w:r>
      <w:r w:rsidR="007E320D">
        <w:rPr>
          <w:lang w:eastAsia="ja-JP"/>
        </w:rPr>
        <w:t xml:space="preserve"> industry practices</w:t>
      </w:r>
      <w:r w:rsidR="00682638">
        <w:rPr>
          <w:lang w:eastAsia="ja-JP"/>
        </w:rPr>
        <w:t xml:space="preserve"> and obtain</w:t>
      </w:r>
      <w:r w:rsidR="00D34A38">
        <w:rPr>
          <w:lang w:eastAsia="ja-JP"/>
        </w:rPr>
        <w:t xml:space="preserve"> </w:t>
      </w:r>
      <w:r w:rsidR="00682638">
        <w:rPr>
          <w:lang w:eastAsia="ja-JP"/>
        </w:rPr>
        <w:t>a precise history match</w:t>
      </w:r>
      <w:r w:rsidR="007E320D">
        <w:rPr>
          <w:lang w:eastAsia="ja-JP"/>
        </w:rPr>
        <w:t>. For this reason, we argument the PDNP reports we don’t have with simulated data</w:t>
      </w:r>
      <w:r w:rsidR="00897740">
        <w:rPr>
          <w:lang w:eastAsia="ja-JP"/>
        </w:rPr>
        <w:t>. We use</w:t>
      </w:r>
      <w:r>
        <w:rPr>
          <w:lang w:eastAsia="ja-JP"/>
        </w:rPr>
        <w:t xml:space="preserve"> machine learning</w:t>
      </w:r>
      <w:r w:rsidR="00897740">
        <w:rPr>
          <w:lang w:eastAsia="ja-JP"/>
        </w:rPr>
        <w:t xml:space="preserve"> of</w:t>
      </w:r>
      <w:r>
        <w:rPr>
          <w:lang w:eastAsia="ja-JP"/>
        </w:rPr>
        <w:t xml:space="preserve"> 3D seismic attributes to </w:t>
      </w:r>
      <w:r w:rsidR="008761BF">
        <w:rPr>
          <w:lang w:eastAsia="ja-JP"/>
        </w:rPr>
        <w:t>define the</w:t>
      </w:r>
      <w:r>
        <w:rPr>
          <w:lang w:eastAsia="ja-JP"/>
        </w:rPr>
        <w:t xml:space="preserve"> production</w:t>
      </w:r>
      <w:r w:rsidR="008761BF">
        <w:rPr>
          <w:lang w:eastAsia="ja-JP"/>
        </w:rPr>
        <w:t xml:space="preserve"> type curve</w:t>
      </w:r>
      <w:r>
        <w:rPr>
          <w:lang w:eastAsia="ja-JP"/>
        </w:rPr>
        <w:t xml:space="preserve"> areas</w:t>
      </w:r>
      <w:r w:rsidR="008761BF">
        <w:rPr>
          <w:lang w:eastAsia="ja-JP"/>
        </w:rPr>
        <w:t xml:space="preserve">, </w:t>
      </w:r>
      <w:r>
        <w:rPr>
          <w:lang w:eastAsia="ja-JP"/>
        </w:rPr>
        <w:t>which, based on our workflows</w:t>
      </w:r>
      <w:r w:rsidR="008761BF">
        <w:rPr>
          <w:lang w:eastAsia="ja-JP"/>
        </w:rPr>
        <w:t xml:space="preserve"> and results</w:t>
      </w:r>
      <w:r>
        <w:rPr>
          <w:lang w:eastAsia="ja-JP"/>
        </w:rPr>
        <w:t xml:space="preserve">, are geologically consistent. </w:t>
      </w:r>
    </w:p>
    <w:p w14:paraId="078576DD" w14:textId="70B73E3E" w:rsidR="00D073A0" w:rsidRPr="006C35A6" w:rsidRDefault="00D073A0" w:rsidP="00ED6141">
      <w:pPr>
        <w:pStyle w:val="Heading2"/>
        <w:numPr>
          <w:ilvl w:val="1"/>
          <w:numId w:val="34"/>
        </w:numPr>
      </w:pPr>
      <w:r>
        <w:t xml:space="preserve"> </w:t>
      </w:r>
      <w:bookmarkStart w:id="439" w:name="_Toc35861145"/>
      <w:r w:rsidRPr="006C35A6">
        <w:t>Summary and Conclusions</w:t>
      </w:r>
      <w:bookmarkEnd w:id="436"/>
      <w:bookmarkEnd w:id="437"/>
      <w:bookmarkEnd w:id="439"/>
    </w:p>
    <w:p w14:paraId="3C4815DF" w14:textId="607837BE" w:rsidR="004503CB" w:rsidRDefault="004503CB" w:rsidP="00D073A0">
      <w:pPr>
        <w:ind w:firstLine="720"/>
        <w:rPr>
          <w:rFonts w:eastAsia="Times New Roman"/>
          <w:color w:val="000000"/>
        </w:rPr>
      </w:pPr>
      <w:r w:rsidRPr="006C35A6">
        <w:rPr>
          <w:rFonts w:eastAsia="Times New Roman"/>
          <w:color w:val="000000"/>
        </w:rPr>
        <w:t>This study identifies geological sweet spots and production type curve</w:t>
      </w:r>
      <w:r w:rsidR="00AB6B13">
        <w:rPr>
          <w:rFonts w:eastAsia="Times New Roman"/>
          <w:color w:val="000000"/>
        </w:rPr>
        <w:t xml:space="preserve"> area</w:t>
      </w:r>
      <w:r w:rsidRPr="006C35A6">
        <w:rPr>
          <w:rFonts w:eastAsia="Times New Roman"/>
          <w:color w:val="000000"/>
        </w:rPr>
        <w:t xml:space="preserve">s in the Woodford </w:t>
      </w:r>
      <w:r>
        <w:rPr>
          <w:rFonts w:eastAsia="Times New Roman"/>
          <w:color w:val="000000"/>
        </w:rPr>
        <w:t>S</w:t>
      </w:r>
      <w:r w:rsidRPr="006C35A6">
        <w:rPr>
          <w:rFonts w:eastAsia="Times New Roman"/>
          <w:color w:val="000000"/>
        </w:rPr>
        <w:t>hale along with significant facies</w:t>
      </w:r>
      <w:r w:rsidR="00AB6B13">
        <w:rPr>
          <w:rFonts w:eastAsia="Times New Roman"/>
          <w:color w:val="000000"/>
        </w:rPr>
        <w:t xml:space="preserve"> variations. W</w:t>
      </w:r>
      <w:r>
        <w:rPr>
          <w:rFonts w:eastAsia="Times New Roman"/>
          <w:color w:val="000000"/>
        </w:rPr>
        <w:t>e conducted simulation in areas interpreted as mini-basin fill</w:t>
      </w:r>
      <w:r w:rsidR="00AB6B13">
        <w:rPr>
          <w:rFonts w:eastAsia="Times New Roman"/>
          <w:color w:val="000000"/>
        </w:rPr>
        <w:t xml:space="preserve"> </w:t>
      </w:r>
      <w:r>
        <w:rPr>
          <w:rFonts w:eastAsia="Times New Roman"/>
          <w:color w:val="000000"/>
        </w:rPr>
        <w:t>s</w:t>
      </w:r>
      <w:r w:rsidR="00AB6B13">
        <w:rPr>
          <w:rFonts w:eastAsia="Times New Roman"/>
          <w:color w:val="000000"/>
        </w:rPr>
        <w:t>ettings</w:t>
      </w:r>
      <w:r>
        <w:rPr>
          <w:rFonts w:eastAsia="Times New Roman"/>
          <w:color w:val="000000"/>
        </w:rPr>
        <w:t xml:space="preserve"> and areas</w:t>
      </w:r>
      <w:r w:rsidR="00AB6B13">
        <w:rPr>
          <w:rFonts w:eastAsia="Times New Roman"/>
          <w:color w:val="000000"/>
        </w:rPr>
        <w:t xml:space="preserve"> recognized</w:t>
      </w:r>
      <w:r>
        <w:rPr>
          <w:rFonts w:eastAsia="Times New Roman"/>
          <w:color w:val="000000"/>
        </w:rPr>
        <w:t xml:space="preserve"> as entire open marine deposits (or </w:t>
      </w:r>
      <w:r w:rsidR="00AB6B13">
        <w:rPr>
          <w:rFonts w:eastAsia="Times New Roman"/>
          <w:color w:val="000000"/>
        </w:rPr>
        <w:t xml:space="preserve">with </w:t>
      </w:r>
      <w:r>
        <w:rPr>
          <w:rFonts w:eastAsia="Times New Roman"/>
          <w:color w:val="000000"/>
        </w:rPr>
        <w:t>very thin mini-basin fills)</w:t>
      </w:r>
      <w:r w:rsidRPr="006C35A6">
        <w:rPr>
          <w:rFonts w:eastAsia="Times New Roman"/>
          <w:color w:val="000000"/>
        </w:rPr>
        <w:t>.</w:t>
      </w:r>
    </w:p>
    <w:p w14:paraId="262DB54F" w14:textId="6E99E93D" w:rsidR="00D073A0" w:rsidRPr="006C35A6" w:rsidRDefault="00CE7429" w:rsidP="00D073A0">
      <w:pPr>
        <w:ind w:firstLine="720"/>
        <w:rPr>
          <w:rFonts w:eastAsia="Times New Roman"/>
          <w:color w:val="000000"/>
        </w:rPr>
      </w:pPr>
      <w:r>
        <w:rPr>
          <w:rFonts w:eastAsia="Times New Roman"/>
          <w:color w:val="000000"/>
        </w:rPr>
        <w:t xml:space="preserve">Our analysis shows that the uppermost </w:t>
      </w:r>
      <w:r w:rsidRPr="00980A45">
        <w:rPr>
          <w:rFonts w:eastAsia="Times New Roman"/>
          <w:color w:val="000000"/>
        </w:rPr>
        <w:t>mi</w:t>
      </w:r>
      <w:r w:rsidRPr="006C35A6">
        <w:rPr>
          <w:rFonts w:eastAsia="Times New Roman"/>
          <w:color w:val="000000"/>
        </w:rPr>
        <w:t xml:space="preserve">ddle Woodford </w:t>
      </w:r>
      <w:r>
        <w:rPr>
          <w:rFonts w:eastAsia="Times New Roman"/>
          <w:color w:val="000000"/>
        </w:rPr>
        <w:t>S</w:t>
      </w:r>
      <w:r w:rsidRPr="006C35A6">
        <w:rPr>
          <w:rFonts w:eastAsia="Times New Roman"/>
          <w:color w:val="000000"/>
        </w:rPr>
        <w:t>hale member</w:t>
      </w:r>
      <w:r>
        <w:rPr>
          <w:rFonts w:eastAsia="Times New Roman"/>
          <w:color w:val="000000"/>
        </w:rPr>
        <w:t xml:space="preserve"> is the interval with </w:t>
      </w:r>
      <w:r w:rsidR="001211E1">
        <w:rPr>
          <w:rFonts w:eastAsia="Times New Roman"/>
          <w:color w:val="000000"/>
        </w:rPr>
        <w:t>the</w:t>
      </w:r>
      <w:r w:rsidR="00D073A0" w:rsidRPr="006C35A6">
        <w:rPr>
          <w:rFonts w:eastAsia="Times New Roman"/>
          <w:color w:val="000000"/>
        </w:rPr>
        <w:t xml:space="preserve"> best reservoir porosity, permeability, and thickness</w:t>
      </w:r>
      <w:r w:rsidR="00D073A0">
        <w:rPr>
          <w:rFonts w:eastAsia="Times New Roman"/>
          <w:color w:val="000000"/>
        </w:rPr>
        <w:t xml:space="preserve">. </w:t>
      </w:r>
      <w:r>
        <w:rPr>
          <w:rFonts w:eastAsia="Times New Roman"/>
          <w:color w:val="000000"/>
        </w:rPr>
        <w:t>The thicker</w:t>
      </w:r>
      <w:r w:rsidR="00D34A38">
        <w:rPr>
          <w:rFonts w:eastAsia="Times New Roman"/>
          <w:color w:val="000000"/>
        </w:rPr>
        <w:t xml:space="preserve"> and</w:t>
      </w:r>
      <w:r>
        <w:rPr>
          <w:rFonts w:eastAsia="Times New Roman"/>
          <w:color w:val="000000"/>
        </w:rPr>
        <w:t xml:space="preserve"> the higher %TOC intervals </w:t>
      </w:r>
      <w:r w:rsidR="00D073A0">
        <w:rPr>
          <w:rFonts w:eastAsia="Times New Roman"/>
          <w:color w:val="000000"/>
        </w:rPr>
        <w:t xml:space="preserve"> correspond to the mini-basin fill interval, close to the change to open marine conditions. </w:t>
      </w:r>
      <w:r w:rsidR="00D073A0" w:rsidRPr="006C35A6">
        <w:rPr>
          <w:rFonts w:eastAsia="Times New Roman"/>
          <w:color w:val="000000"/>
        </w:rPr>
        <w:t xml:space="preserve">As expected, Young's modulus </w:t>
      </w:r>
      <w:r w:rsidR="00D073A0">
        <w:rPr>
          <w:rFonts w:eastAsia="Times New Roman"/>
          <w:color w:val="000000"/>
        </w:rPr>
        <w:t>exhibited</w:t>
      </w:r>
      <w:r w:rsidR="00D073A0" w:rsidRPr="006C35A6">
        <w:rPr>
          <w:rFonts w:eastAsia="Times New Roman"/>
          <w:color w:val="000000"/>
        </w:rPr>
        <w:t xml:space="preserve"> higher values in the </w:t>
      </w:r>
      <w:r w:rsidR="00D073A0">
        <w:rPr>
          <w:rFonts w:eastAsia="Times New Roman"/>
          <w:color w:val="000000"/>
        </w:rPr>
        <w:t>highest silica-rich</w:t>
      </w:r>
      <w:r w:rsidR="00D073A0" w:rsidRPr="006C35A6">
        <w:rPr>
          <w:rFonts w:eastAsia="Times New Roman"/>
          <w:color w:val="000000"/>
        </w:rPr>
        <w:t xml:space="preserve"> reservoir of the </w:t>
      </w:r>
      <w:r w:rsidR="00D073A0">
        <w:rPr>
          <w:rFonts w:eastAsia="Times New Roman"/>
          <w:color w:val="000000"/>
        </w:rPr>
        <w:t>U</w:t>
      </w:r>
      <w:r w:rsidR="00D073A0" w:rsidRPr="006C35A6">
        <w:rPr>
          <w:rFonts w:eastAsia="Times New Roman"/>
          <w:color w:val="000000"/>
        </w:rPr>
        <w:t>pper-</w:t>
      </w:r>
      <w:r w:rsidR="00D073A0" w:rsidRPr="00980A45">
        <w:rPr>
          <w:rFonts w:eastAsia="Times New Roman"/>
          <w:color w:val="000000"/>
        </w:rPr>
        <w:t>mi</w:t>
      </w:r>
      <w:r w:rsidR="00D073A0" w:rsidRPr="006C35A6">
        <w:rPr>
          <w:rFonts w:eastAsia="Times New Roman"/>
          <w:color w:val="000000"/>
        </w:rPr>
        <w:t xml:space="preserve">ddle Woodford </w:t>
      </w:r>
      <w:r w:rsidR="00D073A0">
        <w:rPr>
          <w:rFonts w:eastAsia="Times New Roman"/>
          <w:color w:val="000000"/>
        </w:rPr>
        <w:t>S</w:t>
      </w:r>
      <w:r w:rsidR="00D073A0" w:rsidRPr="006C35A6">
        <w:rPr>
          <w:rFonts w:eastAsia="Times New Roman"/>
          <w:color w:val="000000"/>
        </w:rPr>
        <w:t xml:space="preserve">hale intervals than other areas of the Woodford </w:t>
      </w:r>
      <w:r w:rsidR="00D073A0">
        <w:rPr>
          <w:rFonts w:eastAsia="Times New Roman"/>
          <w:color w:val="000000"/>
        </w:rPr>
        <w:t>S</w:t>
      </w:r>
      <w:r w:rsidR="00D073A0" w:rsidRPr="006C35A6">
        <w:rPr>
          <w:rFonts w:eastAsia="Times New Roman"/>
          <w:color w:val="000000"/>
        </w:rPr>
        <w:t xml:space="preserve">hale stratigraphic sequence. </w:t>
      </w:r>
      <w:r w:rsidR="001211E1">
        <w:rPr>
          <w:rFonts w:eastAsia="Times New Roman"/>
          <w:color w:val="000000"/>
        </w:rPr>
        <w:t>The</w:t>
      </w:r>
      <w:r w:rsidR="00D073A0" w:rsidRPr="006C35A6">
        <w:rPr>
          <w:rFonts w:eastAsia="Times New Roman"/>
          <w:color w:val="000000"/>
        </w:rPr>
        <w:t xml:space="preserve"> </w:t>
      </w:r>
      <w:r>
        <w:rPr>
          <w:rFonts w:eastAsia="Times New Roman"/>
          <w:color w:val="000000"/>
        </w:rPr>
        <w:t xml:space="preserve">3D seismic </w:t>
      </w:r>
      <w:r w:rsidR="00D073A0" w:rsidRPr="006C35A6">
        <w:rPr>
          <w:rFonts w:eastAsia="Times New Roman"/>
          <w:color w:val="000000"/>
        </w:rPr>
        <w:t xml:space="preserve">multi-attribute </w:t>
      </w:r>
      <w:r>
        <w:rPr>
          <w:rFonts w:eastAsia="Times New Roman"/>
          <w:color w:val="000000"/>
        </w:rPr>
        <w:t>and cluster analys</w:t>
      </w:r>
      <w:r w:rsidR="001211E1">
        <w:rPr>
          <w:rFonts w:eastAsia="Times New Roman"/>
          <w:color w:val="000000"/>
        </w:rPr>
        <w:t>e</w:t>
      </w:r>
      <w:r>
        <w:rPr>
          <w:rFonts w:eastAsia="Times New Roman"/>
          <w:color w:val="000000"/>
        </w:rPr>
        <w:t>s allow us to</w:t>
      </w:r>
      <w:r w:rsidR="00D073A0" w:rsidRPr="006C35A6">
        <w:rPr>
          <w:rFonts w:eastAsia="Times New Roman"/>
          <w:color w:val="000000"/>
        </w:rPr>
        <w:t xml:space="preserve"> populate the geocellular model</w:t>
      </w:r>
      <w:r>
        <w:rPr>
          <w:rFonts w:eastAsia="Times New Roman"/>
          <w:color w:val="000000"/>
        </w:rPr>
        <w:t>.</w:t>
      </w:r>
    </w:p>
    <w:p w14:paraId="429153F1" w14:textId="478B979B" w:rsidR="00D073A0" w:rsidRPr="006C35A6" w:rsidRDefault="00CE7429" w:rsidP="00D073A0">
      <w:pPr>
        <w:ind w:firstLine="720"/>
        <w:rPr>
          <w:rFonts w:eastAsia="Times New Roman"/>
          <w:color w:val="000000"/>
        </w:rPr>
      </w:pPr>
      <w:r>
        <w:rPr>
          <w:rFonts w:eastAsia="Times New Roman"/>
          <w:color w:val="000000"/>
        </w:rPr>
        <w:t>G</w:t>
      </w:r>
      <w:r w:rsidR="00D073A0" w:rsidRPr="006C35A6">
        <w:rPr>
          <w:rFonts w:eastAsia="Times New Roman"/>
          <w:color w:val="000000"/>
        </w:rPr>
        <w:t xml:space="preserve">eomechanical simulation </w:t>
      </w:r>
      <w:r>
        <w:rPr>
          <w:rFonts w:eastAsia="Times New Roman"/>
          <w:color w:val="000000"/>
        </w:rPr>
        <w:t>allows us</w:t>
      </w:r>
      <w:r w:rsidR="00D073A0" w:rsidRPr="006C35A6">
        <w:rPr>
          <w:rFonts w:eastAsia="Times New Roman"/>
          <w:color w:val="000000"/>
        </w:rPr>
        <w:t xml:space="preserve"> to model </w:t>
      </w:r>
      <w:r w:rsidR="001211E1">
        <w:rPr>
          <w:rFonts w:eastAsia="Times New Roman"/>
          <w:color w:val="000000"/>
        </w:rPr>
        <w:t xml:space="preserve">a </w:t>
      </w:r>
      <w:r w:rsidR="00D073A0" w:rsidRPr="006C35A6">
        <w:rPr>
          <w:rFonts w:eastAsia="Times New Roman"/>
          <w:color w:val="000000"/>
        </w:rPr>
        <w:t>gradual closing of fractures</w:t>
      </w:r>
      <w:r>
        <w:rPr>
          <w:rFonts w:eastAsia="Times New Roman"/>
          <w:color w:val="000000"/>
        </w:rPr>
        <w:t>. Rather than</w:t>
      </w:r>
      <w:r w:rsidRPr="006C35A6">
        <w:rPr>
          <w:rFonts w:eastAsia="Times New Roman"/>
          <w:color w:val="000000"/>
        </w:rPr>
        <w:t xml:space="preserve"> conventional history matching</w:t>
      </w:r>
      <w:r w:rsidR="00D34A38">
        <w:rPr>
          <w:rFonts w:eastAsia="Times New Roman"/>
          <w:color w:val="000000"/>
        </w:rPr>
        <w:t xml:space="preserve"> of the production</w:t>
      </w:r>
      <w:r w:rsidRPr="006C35A6">
        <w:rPr>
          <w:rFonts w:eastAsia="Times New Roman"/>
          <w:color w:val="000000"/>
        </w:rPr>
        <w:t xml:space="preserve"> with multiple permeability zones</w:t>
      </w:r>
      <w:r>
        <w:rPr>
          <w:rFonts w:eastAsia="Times New Roman"/>
          <w:color w:val="000000"/>
        </w:rPr>
        <w:t>, w</w:t>
      </w:r>
      <w:r w:rsidR="00D073A0">
        <w:rPr>
          <w:rFonts w:eastAsia="Times New Roman"/>
          <w:color w:val="000000"/>
        </w:rPr>
        <w:t xml:space="preserve">e </w:t>
      </w:r>
      <w:r>
        <w:rPr>
          <w:rFonts w:eastAsia="Times New Roman"/>
          <w:color w:val="000000"/>
        </w:rPr>
        <w:t>use</w:t>
      </w:r>
      <w:r w:rsidR="00D073A0" w:rsidRPr="006C35A6">
        <w:rPr>
          <w:rFonts w:eastAsia="Times New Roman"/>
          <w:color w:val="000000"/>
        </w:rPr>
        <w:t xml:space="preserve"> a time-</w:t>
      </w:r>
      <w:r w:rsidR="00D073A0" w:rsidRPr="006C35A6">
        <w:rPr>
          <w:rFonts w:eastAsia="Times New Roman"/>
          <w:color w:val="000000"/>
        </w:rPr>
        <w:lastRenderedPageBreak/>
        <w:t xml:space="preserve">variant "shrinking" simulated rock volume </w:t>
      </w:r>
      <w:r w:rsidR="00D073A0">
        <w:rPr>
          <w:rFonts w:eastAsia="Times New Roman"/>
          <w:color w:val="000000"/>
        </w:rPr>
        <w:t>to match well EURs</w:t>
      </w:r>
      <w:r>
        <w:rPr>
          <w:rFonts w:eastAsia="Times New Roman"/>
          <w:color w:val="000000"/>
        </w:rPr>
        <w:t xml:space="preserve">. </w:t>
      </w:r>
      <w:r w:rsidR="00D073A0">
        <w:rPr>
          <w:rFonts w:eastAsia="Times New Roman"/>
          <w:color w:val="000000"/>
        </w:rPr>
        <w:t>The proposed</w:t>
      </w:r>
      <w:r w:rsidR="00D073A0" w:rsidRPr="006C35A6">
        <w:rPr>
          <w:rFonts w:eastAsia="Times New Roman"/>
          <w:color w:val="000000"/>
        </w:rPr>
        <w:t xml:space="preserve"> natural fracture model, along with hydraulic fractures, provide </w:t>
      </w:r>
      <w:r w:rsidR="008707FC">
        <w:rPr>
          <w:rFonts w:eastAsia="Times New Roman"/>
          <w:color w:val="000000"/>
        </w:rPr>
        <w:t>estimates of</w:t>
      </w:r>
      <w:r w:rsidR="00D073A0" w:rsidRPr="006C35A6">
        <w:rPr>
          <w:rFonts w:eastAsia="Times New Roman"/>
          <w:color w:val="000000"/>
        </w:rPr>
        <w:t xml:space="preserve"> pressure distribution in the </w:t>
      </w:r>
      <w:r w:rsidR="00D073A0">
        <w:rPr>
          <w:rFonts w:eastAsia="Times New Roman"/>
          <w:color w:val="000000"/>
        </w:rPr>
        <w:t>four Woodford Shale</w:t>
      </w:r>
      <w:r w:rsidR="001211E1">
        <w:rPr>
          <w:rFonts w:eastAsia="Times New Roman"/>
          <w:color w:val="000000"/>
        </w:rPr>
        <w:t xml:space="preserve"> </w:t>
      </w:r>
      <w:r w:rsidR="008707FC">
        <w:rPr>
          <w:rFonts w:eastAsia="Times New Roman"/>
          <w:color w:val="000000"/>
        </w:rPr>
        <w:t xml:space="preserve">type curve </w:t>
      </w:r>
      <w:r w:rsidR="00D073A0" w:rsidRPr="006C35A6">
        <w:rPr>
          <w:rFonts w:eastAsia="Times New Roman"/>
          <w:color w:val="000000"/>
        </w:rPr>
        <w:t>area</w:t>
      </w:r>
      <w:r w:rsidR="00D073A0">
        <w:rPr>
          <w:rFonts w:eastAsia="Times New Roman"/>
          <w:color w:val="000000"/>
        </w:rPr>
        <w:t>s</w:t>
      </w:r>
      <w:r w:rsidR="008707FC">
        <w:rPr>
          <w:rFonts w:eastAsia="Times New Roman"/>
          <w:color w:val="000000"/>
        </w:rPr>
        <w:t xml:space="preserve"> as these models can then </w:t>
      </w:r>
      <w:r w:rsidR="00D073A0" w:rsidRPr="006C35A6">
        <w:rPr>
          <w:rFonts w:eastAsia="Times New Roman"/>
          <w:color w:val="000000"/>
        </w:rPr>
        <w:t>be used to optimize well spacing for future enhanced oil recovery (EOR) projects.</w:t>
      </w:r>
    </w:p>
    <w:p w14:paraId="5C4E1FE3" w14:textId="5E83ED60" w:rsidR="00D073A0" w:rsidRDefault="00D073A0" w:rsidP="00D073A0">
      <w:pPr>
        <w:ind w:firstLine="720"/>
        <w:rPr>
          <w:rFonts w:eastAsia="Times New Roman"/>
          <w:color w:val="000000"/>
        </w:rPr>
      </w:pPr>
      <w:r>
        <w:rPr>
          <w:rFonts w:eastAsia="Times New Roman"/>
          <w:color w:val="000000"/>
        </w:rPr>
        <w:t xml:space="preserve">The mini basin fill </w:t>
      </w:r>
      <w:r w:rsidR="008707FC">
        <w:rPr>
          <w:rFonts w:eastAsia="Times New Roman"/>
          <w:color w:val="000000"/>
        </w:rPr>
        <w:t>type curve</w:t>
      </w:r>
      <w:r>
        <w:rPr>
          <w:rFonts w:eastAsia="Times New Roman"/>
          <w:color w:val="000000"/>
        </w:rPr>
        <w:t xml:space="preserve"> areas 1 and 2 have the highest EUR simulation results and </w:t>
      </w:r>
      <w:r w:rsidR="00D34A38">
        <w:rPr>
          <w:rFonts w:eastAsia="Times New Roman"/>
          <w:color w:val="000000"/>
        </w:rPr>
        <w:t xml:space="preserve">closely </w:t>
      </w:r>
      <w:r>
        <w:rPr>
          <w:rFonts w:eastAsia="Times New Roman"/>
          <w:color w:val="000000"/>
        </w:rPr>
        <w:t xml:space="preserve">match the </w:t>
      </w:r>
      <w:r w:rsidR="00D34A38">
        <w:rPr>
          <w:rFonts w:eastAsia="Times New Roman"/>
          <w:color w:val="000000"/>
        </w:rPr>
        <w:t xml:space="preserve">EUR </w:t>
      </w:r>
      <w:r>
        <w:rPr>
          <w:rFonts w:eastAsia="Times New Roman"/>
          <w:color w:val="000000"/>
        </w:rPr>
        <w:t xml:space="preserve">data provided by </w:t>
      </w:r>
      <w:r w:rsidR="008707FC">
        <w:rPr>
          <w:rFonts w:eastAsia="Times New Roman"/>
          <w:color w:val="000000"/>
        </w:rPr>
        <w:t>the</w:t>
      </w:r>
      <w:r>
        <w:rPr>
          <w:rFonts w:eastAsia="Times New Roman"/>
          <w:color w:val="000000"/>
        </w:rPr>
        <w:t xml:space="preserve"> operator.  </w:t>
      </w:r>
    </w:p>
    <w:p w14:paraId="3C2A316A" w14:textId="77777777" w:rsidR="00D073A0" w:rsidRPr="0023580B" w:rsidRDefault="00D073A0" w:rsidP="005E08FB">
      <w:pPr>
        <w:pStyle w:val="Heading2"/>
        <w:numPr>
          <w:ilvl w:val="1"/>
          <w:numId w:val="34"/>
        </w:numPr>
      </w:pPr>
      <w:bookmarkStart w:id="440" w:name="_Toc25833600"/>
      <w:bookmarkStart w:id="441" w:name="_Toc28065398"/>
      <w:bookmarkStart w:id="442" w:name="_Toc315947169"/>
      <w:bookmarkStart w:id="443" w:name="_Toc323211231"/>
      <w:bookmarkStart w:id="444" w:name="_Toc35861146"/>
      <w:r w:rsidRPr="0023580B">
        <w:rPr>
          <w:rStyle w:val="Heading2Char"/>
          <w:b/>
          <w:bCs/>
          <w:iCs/>
        </w:rPr>
        <w:t>Acknowledgment</w:t>
      </w:r>
      <w:r w:rsidRPr="0023580B">
        <w:t>s</w:t>
      </w:r>
      <w:bookmarkEnd w:id="440"/>
      <w:bookmarkEnd w:id="441"/>
      <w:bookmarkEnd w:id="444"/>
    </w:p>
    <w:p w14:paraId="39B68334" w14:textId="5143E6D4" w:rsidR="00D073A0" w:rsidRPr="006C35A6" w:rsidRDefault="00D073A0" w:rsidP="00D073A0">
      <w:pPr>
        <w:ind w:firstLine="720"/>
        <w:rPr>
          <w:rFonts w:eastAsia="Times New Roman"/>
          <w:color w:val="000000"/>
        </w:rPr>
      </w:pPr>
      <w:r w:rsidRPr="006C35A6">
        <w:rPr>
          <w:rFonts w:eastAsia="Times New Roman"/>
          <w:color w:val="000000"/>
        </w:rPr>
        <w:t xml:space="preserve">Special thanks to Pathfinder Exploration LLC., </w:t>
      </w:r>
      <w:r w:rsidRPr="006C35A6">
        <w:rPr>
          <w:rFonts w:eastAsia="Times New Roman"/>
          <w:b/>
          <w:bCs/>
          <w:color w:val="000000"/>
        </w:rPr>
        <w:t>Mr. Gerald Wilson (</w:t>
      </w:r>
      <w:r w:rsidRPr="006C35A6">
        <w:rPr>
          <w:rFonts w:eastAsia="Times New Roman"/>
          <w:b/>
          <w:bCs/>
          <w:i/>
          <w:iCs/>
          <w:color w:val="000000"/>
        </w:rPr>
        <w:t>in-memoriam</w:t>
      </w:r>
      <w:r w:rsidRPr="006C35A6">
        <w:rPr>
          <w:rFonts w:eastAsia="Times New Roman"/>
          <w:b/>
          <w:bCs/>
          <w:color w:val="000000"/>
        </w:rPr>
        <w:t>)</w:t>
      </w:r>
      <w:r w:rsidRPr="006C35A6">
        <w:rPr>
          <w:rFonts w:eastAsia="Times New Roman"/>
          <w:color w:val="000000"/>
        </w:rPr>
        <w:t xml:space="preserve"> and </w:t>
      </w:r>
      <w:r>
        <w:rPr>
          <w:rFonts w:eastAsia="Times New Roman"/>
          <w:color w:val="000000"/>
        </w:rPr>
        <w:t>t</w:t>
      </w:r>
      <w:r w:rsidRPr="006C35A6">
        <w:rPr>
          <w:rFonts w:eastAsia="Times New Roman"/>
          <w:color w:val="000000"/>
        </w:rPr>
        <w:t xml:space="preserve">he Wilson </w:t>
      </w:r>
      <w:r>
        <w:rPr>
          <w:rFonts w:eastAsia="Times New Roman"/>
          <w:color w:val="000000"/>
        </w:rPr>
        <w:t>f</w:t>
      </w:r>
      <w:r w:rsidRPr="006C35A6">
        <w:rPr>
          <w:rFonts w:eastAsia="Times New Roman"/>
          <w:color w:val="000000"/>
        </w:rPr>
        <w:t xml:space="preserve">amily for providing the 3D seismic surveys and the well-log data for this exercise. </w:t>
      </w:r>
      <w:r>
        <w:rPr>
          <w:rFonts w:eastAsia="Times New Roman"/>
          <w:color w:val="000000"/>
        </w:rPr>
        <w:t xml:space="preserve">Special </w:t>
      </w:r>
      <w:r w:rsidRPr="006C35A6">
        <w:rPr>
          <w:rFonts w:eastAsia="Times New Roman"/>
          <w:color w:val="000000"/>
        </w:rPr>
        <w:t>thank</w:t>
      </w:r>
      <w:r>
        <w:rPr>
          <w:rFonts w:eastAsia="Times New Roman"/>
          <w:color w:val="000000"/>
        </w:rPr>
        <w:t xml:space="preserve">s to </w:t>
      </w:r>
      <w:r w:rsidRPr="006C35A6">
        <w:rPr>
          <w:rFonts w:eastAsia="Times New Roman"/>
          <w:color w:val="000000"/>
        </w:rPr>
        <w:t xml:space="preserve">the kind assistance of the geologists, geophysicists, reservoir engineers and sponsors of both the University of Oklahoma Institute of Reservoir Characterization (IRC) and Attribute Assisted Seismic Processing and Interpretation (AASPI) consortiums for the </w:t>
      </w:r>
      <w:r>
        <w:rPr>
          <w:rFonts w:eastAsia="Times New Roman"/>
          <w:color w:val="000000"/>
        </w:rPr>
        <w:t xml:space="preserve">well cumulative </w:t>
      </w:r>
      <w:r w:rsidRPr="006C35A6">
        <w:rPr>
          <w:rFonts w:eastAsia="Times New Roman"/>
          <w:color w:val="000000"/>
        </w:rPr>
        <w:t>production</w:t>
      </w:r>
      <w:r>
        <w:rPr>
          <w:rFonts w:eastAsia="Times New Roman"/>
          <w:color w:val="000000"/>
        </w:rPr>
        <w:t xml:space="preserve"> and EUR calculation</w:t>
      </w:r>
      <w:r w:rsidRPr="006C35A6">
        <w:rPr>
          <w:rFonts w:eastAsia="Times New Roman"/>
          <w:color w:val="000000"/>
        </w:rPr>
        <w:t xml:space="preserve"> data set</w:t>
      </w:r>
      <w:r>
        <w:rPr>
          <w:rFonts w:eastAsia="Times New Roman"/>
          <w:color w:val="000000"/>
        </w:rPr>
        <w:t xml:space="preserve">s. Special acknowledgments to Schlumberger and CGG for allowing us the academic licenses of their software. </w:t>
      </w:r>
    </w:p>
    <w:p w14:paraId="29D4379C" w14:textId="77777777" w:rsidR="00D073A0" w:rsidRPr="006C35A6" w:rsidRDefault="00D073A0" w:rsidP="005E08FB">
      <w:pPr>
        <w:pStyle w:val="Heading2"/>
        <w:numPr>
          <w:ilvl w:val="1"/>
          <w:numId w:val="34"/>
        </w:numPr>
      </w:pPr>
      <w:bookmarkStart w:id="445" w:name="_Toc25833601"/>
      <w:bookmarkStart w:id="446" w:name="_Toc28065399"/>
      <w:bookmarkStart w:id="447" w:name="_Hlk30147322"/>
      <w:bookmarkStart w:id="448" w:name="_Toc35861147"/>
      <w:r w:rsidRPr="006C35A6">
        <w:t>Cited References</w:t>
      </w:r>
      <w:bookmarkEnd w:id="442"/>
      <w:bookmarkEnd w:id="443"/>
      <w:bookmarkEnd w:id="445"/>
      <w:bookmarkEnd w:id="446"/>
      <w:bookmarkEnd w:id="448"/>
      <w:r w:rsidRPr="006C35A6">
        <w:fldChar w:fldCharType="begin"/>
      </w:r>
      <w:r w:rsidRPr="006C35A6">
        <w:instrText xml:space="preserve"> TC "</w:instrText>
      </w:r>
      <w:bookmarkStart w:id="449" w:name="_Toc315947088"/>
      <w:bookmarkStart w:id="450" w:name="_Toc315947170"/>
      <w:r w:rsidRPr="006C35A6">
        <w:instrText>References</w:instrText>
      </w:r>
      <w:bookmarkEnd w:id="449"/>
      <w:bookmarkEnd w:id="450"/>
      <w:r w:rsidRPr="006C35A6">
        <w:instrText xml:space="preserve">" \f C \l "1" </w:instrText>
      </w:r>
      <w:r w:rsidRPr="006C35A6">
        <w:fldChar w:fldCharType="end"/>
      </w:r>
    </w:p>
    <w:bookmarkEnd w:id="447"/>
    <w:p w14:paraId="4D662DB8" w14:textId="77777777" w:rsidR="00D073A0" w:rsidRPr="0029246D" w:rsidRDefault="00D073A0" w:rsidP="00D073A0">
      <w:pPr>
        <w:pStyle w:val="ListParagraph"/>
        <w:numPr>
          <w:ilvl w:val="0"/>
          <w:numId w:val="16"/>
        </w:numPr>
        <w:rPr>
          <w:rFonts w:eastAsia="Times New Roman"/>
          <w:color w:val="000000"/>
        </w:rPr>
      </w:pPr>
      <w:r w:rsidRPr="0029246D">
        <w:rPr>
          <w:rFonts w:eastAsia="Times New Roman"/>
          <w:color w:val="000000"/>
        </w:rPr>
        <w:t>Allen, D.B., Pranter, M. J., 2016. Geologically constrained electrofacies classification of fluvial deposits: An example from the Cretaceous Mesaverde Group, Uinta and Piceance Basins. AAPG Bulletin 100, 12, 1775-1801.</w:t>
      </w:r>
    </w:p>
    <w:p w14:paraId="63F4C1B6" w14:textId="77777777" w:rsidR="00D073A0" w:rsidRDefault="00D073A0" w:rsidP="00D073A0">
      <w:pPr>
        <w:pStyle w:val="ListParagraph"/>
        <w:numPr>
          <w:ilvl w:val="0"/>
          <w:numId w:val="16"/>
        </w:numPr>
        <w:rPr>
          <w:rFonts w:eastAsia="Times New Roman"/>
          <w:color w:val="000000"/>
        </w:rPr>
      </w:pPr>
      <w:r>
        <w:rPr>
          <w:rFonts w:eastAsia="Times New Roman"/>
          <w:color w:val="000000"/>
        </w:rPr>
        <w:t xml:space="preserve">Babak, O., Bergey, P., Deutsch C.V., 2014. </w:t>
      </w:r>
      <w:r w:rsidRPr="007D3A11">
        <w:rPr>
          <w:rFonts w:eastAsia="Times New Roman"/>
          <w:color w:val="000000"/>
        </w:rPr>
        <w:t>Facies trend modeling for SAGD application at Surmont</w:t>
      </w:r>
      <w:r>
        <w:rPr>
          <w:rFonts w:eastAsia="Times New Roman"/>
          <w:color w:val="000000"/>
        </w:rPr>
        <w:t xml:space="preserve">. </w:t>
      </w:r>
      <w:r w:rsidRPr="007D3A11">
        <w:rPr>
          <w:rFonts w:eastAsia="Times New Roman"/>
          <w:color w:val="000000"/>
        </w:rPr>
        <w:t>Journal of Petroleum Science and Engineering 119, 2014, 85-103</w:t>
      </w:r>
      <w:r>
        <w:rPr>
          <w:rFonts w:eastAsia="Times New Roman"/>
          <w:color w:val="000000"/>
        </w:rPr>
        <w:t>.</w:t>
      </w:r>
    </w:p>
    <w:p w14:paraId="3FB8431A"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Bandis, S.C.,</w:t>
      </w:r>
      <w:r>
        <w:rPr>
          <w:rFonts w:eastAsia="Times New Roman"/>
          <w:color w:val="000000"/>
        </w:rPr>
        <w:t xml:space="preserve"> </w:t>
      </w:r>
      <w:r w:rsidRPr="00680903">
        <w:rPr>
          <w:rFonts w:eastAsia="Times New Roman"/>
          <w:color w:val="000000"/>
        </w:rPr>
        <w:t>Lumsden,</w:t>
      </w:r>
      <w:r>
        <w:rPr>
          <w:rFonts w:eastAsia="Times New Roman"/>
          <w:color w:val="000000"/>
        </w:rPr>
        <w:t xml:space="preserve"> A.C,</w:t>
      </w:r>
      <w:r w:rsidRPr="00680903">
        <w:rPr>
          <w:rFonts w:eastAsia="Times New Roman"/>
          <w:color w:val="000000"/>
        </w:rPr>
        <w:t xml:space="preserve"> and Barton</w:t>
      </w:r>
      <w:r>
        <w:rPr>
          <w:rFonts w:eastAsia="Times New Roman"/>
          <w:color w:val="000000"/>
        </w:rPr>
        <w:t>, N, R.,</w:t>
      </w:r>
      <w:r w:rsidRPr="00680903">
        <w:rPr>
          <w:rFonts w:eastAsia="Times New Roman"/>
          <w:color w:val="000000"/>
        </w:rPr>
        <w:t xml:space="preserve"> 1983. Fundamentals of Rock Joint Deformation</w:t>
      </w:r>
      <w:r w:rsidRPr="00A26AB9">
        <w:rPr>
          <w:rFonts w:eastAsia="Times New Roman"/>
          <w:color w:val="000000"/>
        </w:rPr>
        <w:t xml:space="preserve">. International Journal of Rock Mechanics and </w:t>
      </w:r>
      <w:r>
        <w:rPr>
          <w:rFonts w:eastAsia="Times New Roman"/>
          <w:color w:val="000000"/>
        </w:rPr>
        <w:t>M</w:t>
      </w:r>
      <w:r w:rsidRPr="00980A45">
        <w:rPr>
          <w:rFonts w:eastAsia="Times New Roman"/>
          <w:color w:val="000000"/>
        </w:rPr>
        <w:t>i</w:t>
      </w:r>
      <w:r w:rsidRPr="00A26AB9">
        <w:rPr>
          <w:rFonts w:eastAsia="Times New Roman"/>
          <w:color w:val="000000"/>
        </w:rPr>
        <w:t>ning Sciences</w:t>
      </w:r>
      <w:r w:rsidRPr="00680903">
        <w:rPr>
          <w:rFonts w:eastAsia="Times New Roman"/>
          <w:i/>
          <w:iCs/>
          <w:color w:val="000000"/>
        </w:rPr>
        <w:t xml:space="preserve"> </w:t>
      </w:r>
      <w:r w:rsidRPr="00680903">
        <w:rPr>
          <w:rFonts w:eastAsia="Times New Roman"/>
          <w:color w:val="000000"/>
        </w:rPr>
        <w:t>20</w:t>
      </w:r>
      <w:r>
        <w:rPr>
          <w:rFonts w:eastAsia="Times New Roman"/>
          <w:color w:val="000000"/>
        </w:rPr>
        <w:t xml:space="preserve">, </w:t>
      </w:r>
      <w:r w:rsidRPr="00680903">
        <w:rPr>
          <w:rFonts w:eastAsia="Times New Roman"/>
          <w:color w:val="000000"/>
        </w:rPr>
        <w:t>6</w:t>
      </w:r>
      <w:r>
        <w:rPr>
          <w:rFonts w:eastAsia="Times New Roman"/>
          <w:color w:val="000000"/>
        </w:rPr>
        <w:t>,</w:t>
      </w:r>
      <w:r w:rsidRPr="00680903">
        <w:rPr>
          <w:rFonts w:eastAsia="Times New Roman"/>
          <w:color w:val="000000"/>
        </w:rPr>
        <w:t xml:space="preserve"> 249–68. </w:t>
      </w:r>
    </w:p>
    <w:p w14:paraId="1AF30A13" w14:textId="77777777" w:rsidR="00D073A0" w:rsidRPr="00D92934" w:rsidRDefault="00D073A0" w:rsidP="00D073A0">
      <w:pPr>
        <w:pStyle w:val="ListParagraph"/>
        <w:numPr>
          <w:ilvl w:val="0"/>
          <w:numId w:val="16"/>
        </w:numPr>
        <w:rPr>
          <w:rFonts w:eastAsia="Times New Roman"/>
          <w:color w:val="000000"/>
        </w:rPr>
      </w:pPr>
      <w:r>
        <w:rPr>
          <w:rFonts w:eastAsia="Times New Roman"/>
          <w:color w:val="000000"/>
        </w:rPr>
        <w:t>Barree, R.D., and Gilbert, J.V., 2009. Stress and rock property profiling for unconventional reservoir stimulation. SPE Hydraulic Fracturing Technology Conference, The Woodlands, Texas, USA, 2009. SPE 118703.</w:t>
      </w:r>
    </w:p>
    <w:p w14:paraId="78D63545" w14:textId="77777777" w:rsidR="00D073A0" w:rsidRPr="007B772A" w:rsidRDefault="00D073A0" w:rsidP="00D073A0">
      <w:pPr>
        <w:pStyle w:val="ListParagraph"/>
        <w:numPr>
          <w:ilvl w:val="0"/>
          <w:numId w:val="16"/>
        </w:numPr>
        <w:rPr>
          <w:rFonts w:eastAsia="Times New Roman"/>
          <w:color w:val="000000"/>
        </w:rPr>
      </w:pPr>
      <w:r w:rsidRPr="00841DF8">
        <w:lastRenderedPageBreak/>
        <w:t>Baruch</w:t>
      </w:r>
      <w:r>
        <w:t>,</w:t>
      </w:r>
      <w:r w:rsidRPr="00841DF8">
        <w:t xml:space="preserve"> E., Elebiju, </w:t>
      </w:r>
      <w:r>
        <w:t xml:space="preserve">O., </w:t>
      </w:r>
      <w:r w:rsidRPr="00841DF8">
        <w:t>and Perez,</w:t>
      </w:r>
      <w:r>
        <w:t xml:space="preserve"> R.,</w:t>
      </w:r>
      <w:r w:rsidRPr="00841DF8">
        <w:t xml:space="preserve"> 2009. Geophysical evidence of basement-controlled faulting in the Ellenburger </w:t>
      </w:r>
      <w:r>
        <w:t>g</w:t>
      </w:r>
      <w:r w:rsidRPr="00841DF8">
        <w:t xml:space="preserve">roup and Viola Limestone, Fort Worth </w:t>
      </w:r>
      <w:r>
        <w:t>b</w:t>
      </w:r>
      <w:r w:rsidRPr="00841DF8">
        <w:t>asin, Texas</w:t>
      </w:r>
      <w:r>
        <w:t xml:space="preserve">. </w:t>
      </w:r>
      <w:r w:rsidRPr="00841DF8">
        <w:t xml:space="preserve">79th Annual International Meeting, SEG </w:t>
      </w:r>
      <w:r>
        <w:t xml:space="preserve">2009 </w:t>
      </w:r>
      <w:r w:rsidRPr="00841DF8">
        <w:t>Expanded Abstracts, 995–999.</w:t>
      </w:r>
    </w:p>
    <w:p w14:paraId="4CC68503" w14:textId="77777777" w:rsidR="00D073A0" w:rsidRDefault="00D073A0" w:rsidP="00D073A0">
      <w:pPr>
        <w:pStyle w:val="ListParagraph"/>
        <w:numPr>
          <w:ilvl w:val="0"/>
          <w:numId w:val="16"/>
        </w:numPr>
      </w:pPr>
      <w:r>
        <w:t>Barzin, Y., Mattar, L., 2017. Limitations of current type curves in characterizing SRV; and development of EFR type curves</w:t>
      </w:r>
      <w:r w:rsidRPr="007B772A">
        <w:t>. Unconventional Resources Technology Conference</w:t>
      </w:r>
      <w:r>
        <w:t xml:space="preserve"> </w:t>
      </w:r>
      <w:r w:rsidRPr="007B772A">
        <w:t>URTeC 201</w:t>
      </w:r>
      <w:r>
        <w:t>7</w:t>
      </w:r>
      <w:r w:rsidRPr="007B772A">
        <w:t xml:space="preserve">, </w:t>
      </w:r>
      <w:r>
        <w:t>SPE-185038-MS</w:t>
      </w:r>
      <w:r w:rsidRPr="007B772A">
        <w:t xml:space="preserve">, p. </w:t>
      </w:r>
      <w:r>
        <w:t>25</w:t>
      </w:r>
      <w:r w:rsidRPr="007B772A">
        <w:t>.</w:t>
      </w:r>
    </w:p>
    <w:p w14:paraId="76E9A21F" w14:textId="77777777" w:rsidR="00D073A0" w:rsidRPr="007B772A" w:rsidRDefault="00D073A0" w:rsidP="00D073A0">
      <w:pPr>
        <w:pStyle w:val="ListParagraph"/>
        <w:numPr>
          <w:ilvl w:val="0"/>
          <w:numId w:val="16"/>
        </w:numPr>
      </w:pPr>
      <w:r w:rsidRPr="00D81B1B">
        <w:t>Bishop, C.M., Svensen</w:t>
      </w:r>
      <w:r>
        <w:t>, M.</w:t>
      </w:r>
      <w:r w:rsidRPr="00D81B1B">
        <w:t>, Williams,</w:t>
      </w:r>
      <w:r>
        <w:t xml:space="preserve"> C.K.I.,</w:t>
      </w:r>
      <w:r w:rsidRPr="00D81B1B">
        <w:t xml:space="preserve"> 1998</w:t>
      </w:r>
      <w:r>
        <w:t>.</w:t>
      </w:r>
      <w:r w:rsidRPr="00D81B1B">
        <w:t xml:space="preserve"> The generative topographic mapping</w:t>
      </w:r>
      <w:r>
        <w:t>.</w:t>
      </w:r>
      <w:r w:rsidRPr="00D81B1B">
        <w:t xml:space="preserve"> Neural Computatio</w:t>
      </w:r>
      <w:r>
        <w:t>n</w:t>
      </w:r>
      <w:r w:rsidRPr="00D81B1B">
        <w:t xml:space="preserve"> 10,</w:t>
      </w:r>
      <w:r>
        <w:t xml:space="preserve"> </w:t>
      </w:r>
      <w:r w:rsidRPr="00D81B1B">
        <w:t>1, 215-234</w:t>
      </w:r>
      <w:r>
        <w:t>.</w:t>
      </w:r>
    </w:p>
    <w:p w14:paraId="7BFD7DE3" w14:textId="77777777" w:rsidR="00D073A0" w:rsidRDefault="00D073A0" w:rsidP="00D073A0">
      <w:pPr>
        <w:pStyle w:val="ListParagraph"/>
        <w:numPr>
          <w:ilvl w:val="0"/>
          <w:numId w:val="16"/>
        </w:numPr>
        <w:rPr>
          <w:rFonts w:eastAsia="Times New Roman"/>
          <w:color w:val="000000"/>
        </w:rPr>
      </w:pPr>
      <w:r w:rsidRPr="00185FC8">
        <w:rPr>
          <w:rFonts w:eastAsia="Times New Roman"/>
          <w:color w:val="000000"/>
        </w:rPr>
        <w:t xml:space="preserve">Cardott B. J., 2009. Woodford gas-shale plays of Oklahoma. Louisiana </w:t>
      </w:r>
      <w:r>
        <w:rPr>
          <w:rFonts w:eastAsia="Times New Roman"/>
          <w:color w:val="000000"/>
        </w:rPr>
        <w:t>o</w:t>
      </w:r>
      <w:r w:rsidRPr="00185FC8">
        <w:rPr>
          <w:rFonts w:eastAsia="Times New Roman"/>
          <w:color w:val="000000"/>
        </w:rPr>
        <w:t xml:space="preserve">il &amp; gas symposium, May 20, 2009. Oklahoma Geological Survey OGS. </w:t>
      </w:r>
    </w:p>
    <w:p w14:paraId="46D36CC5" w14:textId="77777777" w:rsidR="00D073A0" w:rsidRDefault="00D073A0" w:rsidP="00D073A0">
      <w:pPr>
        <w:pStyle w:val="ListParagraph"/>
        <w:numPr>
          <w:ilvl w:val="0"/>
          <w:numId w:val="16"/>
        </w:numPr>
        <w:rPr>
          <w:rFonts w:eastAsia="Times New Roman"/>
          <w:color w:val="000000"/>
        </w:rPr>
      </w:pPr>
      <w:r w:rsidRPr="00183F0C">
        <w:rPr>
          <w:rFonts w:eastAsia="Times New Roman"/>
          <w:color w:val="000000"/>
        </w:rPr>
        <w:t>Cardott, B.J., 2012</w:t>
      </w:r>
      <w:r>
        <w:rPr>
          <w:rFonts w:eastAsia="Times New Roman"/>
          <w:color w:val="000000"/>
        </w:rPr>
        <w:t>.</w:t>
      </w:r>
      <w:r w:rsidRPr="00183F0C">
        <w:rPr>
          <w:rFonts w:eastAsia="Times New Roman"/>
          <w:color w:val="000000"/>
        </w:rPr>
        <w:t xml:space="preserve"> Thermal maturity of Woodford Shale gas and oil plays, Oklahoma, USA</w:t>
      </w:r>
      <w:r>
        <w:rPr>
          <w:rFonts w:eastAsia="Times New Roman"/>
          <w:color w:val="000000"/>
        </w:rPr>
        <w:t>.</w:t>
      </w:r>
      <w:r w:rsidRPr="00183F0C">
        <w:rPr>
          <w:rFonts w:eastAsia="Times New Roman"/>
          <w:color w:val="000000"/>
        </w:rPr>
        <w:t xml:space="preserve"> International Journal of Coal Geology</w:t>
      </w:r>
      <w:r>
        <w:rPr>
          <w:rFonts w:eastAsia="Times New Roman"/>
          <w:color w:val="000000"/>
        </w:rPr>
        <w:t xml:space="preserve"> </w:t>
      </w:r>
      <w:r w:rsidRPr="00183F0C">
        <w:rPr>
          <w:rFonts w:eastAsia="Times New Roman"/>
          <w:color w:val="000000"/>
        </w:rPr>
        <w:t xml:space="preserve">103, </w:t>
      </w:r>
      <w:r>
        <w:rPr>
          <w:rFonts w:eastAsia="Times New Roman"/>
          <w:color w:val="000000"/>
        </w:rPr>
        <w:t>1-13</w:t>
      </w:r>
      <w:r w:rsidRPr="00183F0C">
        <w:rPr>
          <w:rFonts w:eastAsia="Times New Roman"/>
          <w:color w:val="000000"/>
        </w:rPr>
        <w:t>.</w:t>
      </w:r>
    </w:p>
    <w:p w14:paraId="38008C6C"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 xml:space="preserve">Castagna, J.P, Batzle M. L., and Eastwood R. L., 1886. Relationships between compressional-wave and shear-wave velocities in clastic silicate rocks. Geophysics Journal, Society of Exploration Geophysicists 50, 4, 571-581. </w:t>
      </w:r>
    </w:p>
    <w:p w14:paraId="0817D052"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Castagna, J.P, and Backus M.M., 1993. AVO analysis—Tutorial and review. Offset-dependent reflectivity: Theory and practice of AVO analysi</w:t>
      </w:r>
      <w:r>
        <w:rPr>
          <w:rFonts w:eastAsia="Times New Roman"/>
          <w:color w:val="000000"/>
        </w:rPr>
        <w:t>s.</w:t>
      </w:r>
      <w:r w:rsidRPr="00680903">
        <w:rPr>
          <w:rFonts w:eastAsia="Times New Roman"/>
          <w:color w:val="000000"/>
        </w:rPr>
        <w:t xml:space="preserve"> SEG Investigations in Geophysics 8, 3-36. </w:t>
      </w:r>
    </w:p>
    <w:p w14:paraId="149F9F67"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Castillo, D.A., and Moos, D., 2000. Reservoir geomechanics applied to drilling and completion programs in challenging formations: northwest shelf, Timor Sea, North Sea, and Colombia. APPEA Journal, 2000.</w:t>
      </w:r>
    </w:p>
    <w:p w14:paraId="4AB2DC14" w14:textId="77777777" w:rsidR="00D073A0" w:rsidRDefault="00D073A0" w:rsidP="00D073A0">
      <w:pPr>
        <w:pStyle w:val="ListParagraph"/>
        <w:numPr>
          <w:ilvl w:val="0"/>
          <w:numId w:val="16"/>
        </w:numPr>
        <w:rPr>
          <w:rFonts w:eastAsia="Times New Roman"/>
          <w:color w:val="000000"/>
        </w:rPr>
      </w:pPr>
      <w:r>
        <w:rPr>
          <w:rFonts w:eastAsia="Times New Roman"/>
          <w:color w:val="000000"/>
        </w:rPr>
        <w:t>Cervantes-Velazques, A., 2019. Reservoir characterization and modeling of a Cretaceous triple porosity carbonate reservoir. Contribution of pore types to hydrocarbon pore volume and production, Campeche Sound, Gulf of Mexico, Mexico. Doctoral dissertation manuscript, The University of Oklahoma, p. 184.</w:t>
      </w:r>
    </w:p>
    <w:p w14:paraId="4AB1C4CE" w14:textId="77777777" w:rsidR="00D073A0" w:rsidRDefault="00D073A0" w:rsidP="00D073A0">
      <w:pPr>
        <w:pStyle w:val="ListParagraph"/>
        <w:numPr>
          <w:ilvl w:val="0"/>
          <w:numId w:val="16"/>
        </w:numPr>
        <w:rPr>
          <w:rFonts w:eastAsia="Times New Roman"/>
          <w:color w:val="000000"/>
        </w:rPr>
      </w:pPr>
      <w:r w:rsidRPr="00893142">
        <w:rPr>
          <w:rFonts w:eastAsia="Times New Roman"/>
          <w:color w:val="000000"/>
        </w:rPr>
        <w:t>Chopra, S.,</w:t>
      </w:r>
      <w:r>
        <w:rPr>
          <w:rFonts w:eastAsia="Times New Roman"/>
          <w:color w:val="000000"/>
        </w:rPr>
        <w:t xml:space="preserve"> </w:t>
      </w:r>
      <w:r w:rsidRPr="00893142">
        <w:rPr>
          <w:rFonts w:eastAsia="Times New Roman"/>
          <w:color w:val="000000"/>
        </w:rPr>
        <w:t>Marfurt,</w:t>
      </w:r>
      <w:r>
        <w:rPr>
          <w:rFonts w:eastAsia="Times New Roman"/>
          <w:color w:val="000000"/>
        </w:rPr>
        <w:t xml:space="preserve"> K.J.,</w:t>
      </w:r>
      <w:r w:rsidRPr="00893142">
        <w:rPr>
          <w:rFonts w:eastAsia="Times New Roman"/>
          <w:color w:val="000000"/>
        </w:rPr>
        <w:t xml:space="preserve"> 2007</w:t>
      </w:r>
      <w:r>
        <w:rPr>
          <w:rFonts w:eastAsia="Times New Roman"/>
          <w:color w:val="000000"/>
        </w:rPr>
        <w:t>.</w:t>
      </w:r>
      <w:r w:rsidRPr="00893142">
        <w:rPr>
          <w:rFonts w:eastAsia="Times New Roman"/>
          <w:color w:val="000000"/>
        </w:rPr>
        <w:t xml:space="preserve"> Seismic attributes for prospect identification and reservoir characterization</w:t>
      </w:r>
      <w:r>
        <w:rPr>
          <w:rFonts w:eastAsia="Times New Roman"/>
          <w:color w:val="000000"/>
        </w:rPr>
        <w:t>.</w:t>
      </w:r>
      <w:r w:rsidRPr="00893142">
        <w:rPr>
          <w:rFonts w:eastAsia="Times New Roman"/>
          <w:color w:val="000000"/>
        </w:rPr>
        <w:t xml:space="preserve"> SEG Geophysical Developments.</w:t>
      </w:r>
    </w:p>
    <w:p w14:paraId="20D7EF00" w14:textId="77777777" w:rsidR="00D073A0" w:rsidRDefault="00D073A0" w:rsidP="00D073A0">
      <w:pPr>
        <w:pStyle w:val="ListParagraph"/>
        <w:numPr>
          <w:ilvl w:val="0"/>
          <w:numId w:val="16"/>
        </w:numPr>
        <w:rPr>
          <w:rFonts w:eastAsia="Times New Roman"/>
          <w:color w:val="000000"/>
        </w:rPr>
      </w:pPr>
      <w:r w:rsidRPr="005E432F">
        <w:rPr>
          <w:rFonts w:eastAsia="Times New Roman"/>
          <w:color w:val="000000"/>
        </w:rPr>
        <w:t xml:space="preserve">Chopra, S., Marfurt, </w:t>
      </w:r>
      <w:r>
        <w:rPr>
          <w:rFonts w:eastAsia="Times New Roman"/>
          <w:color w:val="000000"/>
        </w:rPr>
        <w:t xml:space="preserve">K.J., </w:t>
      </w:r>
      <w:r w:rsidRPr="005E432F">
        <w:rPr>
          <w:rFonts w:eastAsia="Times New Roman"/>
          <w:color w:val="000000"/>
        </w:rPr>
        <w:t>2014</w:t>
      </w:r>
      <w:r>
        <w:rPr>
          <w:rFonts w:eastAsia="Times New Roman"/>
          <w:color w:val="000000"/>
        </w:rPr>
        <w:t>.</w:t>
      </w:r>
      <w:r w:rsidRPr="005E432F">
        <w:rPr>
          <w:rFonts w:eastAsia="Times New Roman"/>
          <w:color w:val="000000"/>
        </w:rPr>
        <w:t xml:space="preserve"> Seismic facies analysis using generative topographic mapping</w:t>
      </w:r>
      <w:r>
        <w:rPr>
          <w:rFonts w:eastAsia="Times New Roman"/>
          <w:color w:val="000000"/>
        </w:rPr>
        <w:t>.</w:t>
      </w:r>
      <w:r w:rsidRPr="005E432F">
        <w:rPr>
          <w:rFonts w:eastAsia="Times New Roman"/>
          <w:color w:val="000000"/>
        </w:rPr>
        <w:t xml:space="preserve"> SEG Denver 2014 Annual Meeting</w:t>
      </w:r>
      <w:r>
        <w:rPr>
          <w:rFonts w:eastAsia="Times New Roman"/>
          <w:color w:val="000000"/>
        </w:rPr>
        <w:t xml:space="preserve"> extended abstracts</w:t>
      </w:r>
      <w:r w:rsidRPr="005E432F">
        <w:rPr>
          <w:rFonts w:eastAsia="Times New Roman"/>
          <w:color w:val="000000"/>
        </w:rPr>
        <w:t>.</w:t>
      </w:r>
    </w:p>
    <w:p w14:paraId="16F89683" w14:textId="77777777" w:rsidR="00D073A0" w:rsidRDefault="00D073A0" w:rsidP="00D073A0">
      <w:pPr>
        <w:pStyle w:val="ListParagraph"/>
        <w:numPr>
          <w:ilvl w:val="0"/>
          <w:numId w:val="16"/>
        </w:numPr>
        <w:rPr>
          <w:rFonts w:eastAsia="Times New Roman"/>
          <w:color w:val="000000"/>
        </w:rPr>
      </w:pPr>
      <w:r w:rsidRPr="00183F0C">
        <w:rPr>
          <w:rFonts w:eastAsia="Times New Roman"/>
          <w:color w:val="000000"/>
        </w:rPr>
        <w:t>Comer, J.B., 2005</w:t>
      </w:r>
      <w:r>
        <w:rPr>
          <w:rFonts w:eastAsia="Times New Roman"/>
          <w:color w:val="000000"/>
        </w:rPr>
        <w:t xml:space="preserve">. </w:t>
      </w:r>
      <w:r w:rsidRPr="00183F0C">
        <w:rPr>
          <w:rFonts w:eastAsia="Times New Roman"/>
          <w:color w:val="000000"/>
        </w:rPr>
        <w:t xml:space="preserve">Facies distributions and hydrocarbon production potential of the Woodford Shale in the </w:t>
      </w:r>
      <w:r>
        <w:rPr>
          <w:rFonts w:eastAsia="Times New Roman"/>
          <w:color w:val="000000"/>
        </w:rPr>
        <w:t>s</w:t>
      </w:r>
      <w:r w:rsidRPr="00183F0C">
        <w:rPr>
          <w:rFonts w:eastAsia="Times New Roman"/>
          <w:color w:val="000000"/>
        </w:rPr>
        <w:t xml:space="preserve">outhern </w:t>
      </w:r>
      <w:r>
        <w:rPr>
          <w:rFonts w:eastAsia="Times New Roman"/>
          <w:color w:val="000000"/>
        </w:rPr>
        <w:t>m</w:t>
      </w:r>
      <w:r w:rsidRPr="00183F0C">
        <w:rPr>
          <w:rFonts w:eastAsia="Times New Roman"/>
          <w:color w:val="000000"/>
        </w:rPr>
        <w:t>idcontinent: in B.J. Cardott</w:t>
      </w:r>
      <w:r>
        <w:rPr>
          <w:rFonts w:eastAsia="Times New Roman"/>
          <w:color w:val="000000"/>
        </w:rPr>
        <w:t>,</w:t>
      </w:r>
      <w:r w:rsidRPr="00183F0C">
        <w:rPr>
          <w:rFonts w:eastAsia="Times New Roman"/>
          <w:color w:val="000000"/>
        </w:rPr>
        <w:t xml:space="preserve"> ed</w:t>
      </w:r>
      <w:r>
        <w:rPr>
          <w:rFonts w:eastAsia="Times New Roman"/>
          <w:color w:val="000000"/>
        </w:rPr>
        <w:t>s</w:t>
      </w:r>
      <w:r w:rsidRPr="00183F0C">
        <w:rPr>
          <w:rFonts w:eastAsia="Times New Roman"/>
          <w:color w:val="000000"/>
        </w:rPr>
        <w:t>.</w:t>
      </w:r>
      <w:r>
        <w:rPr>
          <w:rFonts w:eastAsia="Times New Roman"/>
          <w:color w:val="000000"/>
        </w:rPr>
        <w:t>,</w:t>
      </w:r>
      <w:r w:rsidRPr="00183F0C">
        <w:rPr>
          <w:rFonts w:eastAsia="Times New Roman"/>
          <w:color w:val="000000"/>
        </w:rPr>
        <w:t xml:space="preserve"> Unconventional energy resources in </w:t>
      </w:r>
      <w:r w:rsidRPr="00183F0C">
        <w:rPr>
          <w:rFonts w:eastAsia="Times New Roman"/>
          <w:color w:val="000000"/>
        </w:rPr>
        <w:lastRenderedPageBreak/>
        <w:t xml:space="preserve">the </w:t>
      </w:r>
      <w:r>
        <w:rPr>
          <w:rFonts w:eastAsia="Times New Roman"/>
          <w:color w:val="000000"/>
        </w:rPr>
        <w:t>s</w:t>
      </w:r>
      <w:r w:rsidRPr="00183F0C">
        <w:rPr>
          <w:rFonts w:eastAsia="Times New Roman"/>
          <w:color w:val="000000"/>
        </w:rPr>
        <w:t xml:space="preserve">outhern </w:t>
      </w:r>
      <w:r w:rsidRPr="00980A45">
        <w:rPr>
          <w:rFonts w:eastAsia="Times New Roman"/>
          <w:color w:val="000000"/>
        </w:rPr>
        <w:t>mi</w:t>
      </w:r>
      <w:r w:rsidRPr="00183F0C">
        <w:rPr>
          <w:rFonts w:eastAsia="Times New Roman"/>
          <w:color w:val="000000"/>
        </w:rPr>
        <w:t>dcontinent, 2004 symposium</w:t>
      </w:r>
      <w:r>
        <w:rPr>
          <w:rFonts w:eastAsia="Times New Roman"/>
          <w:color w:val="000000"/>
        </w:rPr>
        <w:t xml:space="preserve">. </w:t>
      </w:r>
      <w:r w:rsidRPr="00183F0C">
        <w:rPr>
          <w:rFonts w:eastAsia="Times New Roman"/>
          <w:color w:val="000000"/>
        </w:rPr>
        <w:t>Oklahoma Geological Survey, Circular 110,</w:t>
      </w:r>
      <w:r>
        <w:rPr>
          <w:rFonts w:eastAsia="Times New Roman"/>
          <w:color w:val="000000"/>
        </w:rPr>
        <w:t xml:space="preserve"> </w:t>
      </w:r>
      <w:r w:rsidRPr="00183F0C">
        <w:rPr>
          <w:rFonts w:eastAsia="Times New Roman"/>
          <w:color w:val="000000"/>
        </w:rPr>
        <w:t>51-62.</w:t>
      </w:r>
    </w:p>
    <w:p w14:paraId="59B2EC51" w14:textId="77777777" w:rsidR="00D073A0" w:rsidRPr="002F14C5" w:rsidRDefault="00D073A0" w:rsidP="00D073A0">
      <w:pPr>
        <w:pStyle w:val="ListParagraph"/>
        <w:numPr>
          <w:ilvl w:val="0"/>
          <w:numId w:val="16"/>
        </w:numPr>
        <w:rPr>
          <w:rFonts w:eastAsia="Times New Roman"/>
          <w:color w:val="000000"/>
        </w:rPr>
      </w:pPr>
      <w:r w:rsidRPr="002F14C5">
        <w:rPr>
          <w:rFonts w:eastAsia="Times New Roman"/>
          <w:color w:val="000000"/>
        </w:rPr>
        <w:t>Coburn, T. C., Yarus, J. M.</w:t>
      </w:r>
      <w:r>
        <w:rPr>
          <w:rFonts w:eastAsia="Times New Roman"/>
          <w:color w:val="000000"/>
        </w:rPr>
        <w:t xml:space="preserve">, </w:t>
      </w:r>
      <w:r w:rsidRPr="002F14C5">
        <w:rPr>
          <w:rFonts w:eastAsia="Times New Roman"/>
          <w:color w:val="000000"/>
        </w:rPr>
        <w:t xml:space="preserve">Chambers, </w:t>
      </w:r>
      <w:r>
        <w:rPr>
          <w:rFonts w:eastAsia="Times New Roman"/>
          <w:color w:val="000000"/>
        </w:rPr>
        <w:t xml:space="preserve">R.L., </w:t>
      </w:r>
      <w:r w:rsidRPr="002F14C5">
        <w:rPr>
          <w:rFonts w:eastAsia="Times New Roman"/>
          <w:color w:val="000000"/>
        </w:rPr>
        <w:t>2006</w:t>
      </w:r>
      <w:r>
        <w:rPr>
          <w:rFonts w:eastAsia="Times New Roman"/>
          <w:color w:val="000000"/>
        </w:rPr>
        <w:t>.</w:t>
      </w:r>
      <w:r w:rsidRPr="002F14C5">
        <w:rPr>
          <w:rFonts w:eastAsia="Times New Roman"/>
          <w:color w:val="000000"/>
        </w:rPr>
        <w:t xml:space="preserve"> </w:t>
      </w:r>
      <w:r>
        <w:rPr>
          <w:rFonts w:eastAsia="Times New Roman"/>
          <w:color w:val="000000"/>
        </w:rPr>
        <w:t>G</w:t>
      </w:r>
      <w:r w:rsidRPr="002F14C5">
        <w:rPr>
          <w:rFonts w:eastAsia="Times New Roman"/>
          <w:color w:val="000000"/>
        </w:rPr>
        <w:t>eostatistics and stochastic modeling: Bridging into the 21st century, in T. C. Coburn, J. M. Yarus, and Chambers, R. L. eds., Stochastic modeling and geostatistics: Principles, methods, and case studies, volume II: AAPG Computer Applications in Geology 5, 3-9.</w:t>
      </w:r>
    </w:p>
    <w:p w14:paraId="4020B944" w14:textId="77777777" w:rsidR="00D073A0" w:rsidRDefault="00D073A0" w:rsidP="00D073A0">
      <w:pPr>
        <w:pStyle w:val="ListParagraph"/>
        <w:numPr>
          <w:ilvl w:val="0"/>
          <w:numId w:val="16"/>
        </w:numPr>
        <w:rPr>
          <w:rFonts w:eastAsia="Times New Roman"/>
          <w:color w:val="000000"/>
        </w:rPr>
      </w:pPr>
      <w:r w:rsidRPr="00993E81">
        <w:rPr>
          <w:rFonts w:eastAsia="Times New Roman"/>
          <w:color w:val="000000"/>
          <w:lang w:val="es-CO"/>
        </w:rPr>
        <w:t xml:space="preserve">Daly, C., Quental, S., Novak, D., 2010. </w:t>
      </w:r>
      <w:r w:rsidRPr="00F84796">
        <w:rPr>
          <w:rFonts w:eastAsia="Times New Roman"/>
          <w:color w:val="000000"/>
        </w:rPr>
        <w:t xml:space="preserve">A </w:t>
      </w:r>
      <w:r>
        <w:rPr>
          <w:rFonts w:eastAsia="Times New Roman"/>
          <w:color w:val="000000"/>
        </w:rPr>
        <w:t>f</w:t>
      </w:r>
      <w:r w:rsidRPr="00F84796">
        <w:rPr>
          <w:rFonts w:eastAsia="Times New Roman"/>
          <w:color w:val="000000"/>
        </w:rPr>
        <w:t xml:space="preserve">aster, </w:t>
      </w:r>
      <w:r>
        <w:rPr>
          <w:rFonts w:eastAsia="Times New Roman"/>
          <w:color w:val="000000"/>
        </w:rPr>
        <w:t>m</w:t>
      </w:r>
      <w:r w:rsidRPr="00F84796">
        <w:rPr>
          <w:rFonts w:eastAsia="Times New Roman"/>
          <w:color w:val="000000"/>
        </w:rPr>
        <w:t xml:space="preserve">ore </w:t>
      </w:r>
      <w:r>
        <w:rPr>
          <w:rFonts w:eastAsia="Times New Roman"/>
          <w:color w:val="000000"/>
        </w:rPr>
        <w:t>a</w:t>
      </w:r>
      <w:r w:rsidRPr="00F84796">
        <w:rPr>
          <w:rFonts w:eastAsia="Times New Roman"/>
          <w:color w:val="000000"/>
        </w:rPr>
        <w:t>ccurate Gaussian simulation. American Association of Petroleum Geologist, Search and Discovery Article 90172.</w:t>
      </w:r>
    </w:p>
    <w:p w14:paraId="42703760" w14:textId="77777777" w:rsidR="00D073A0" w:rsidRDefault="00D073A0" w:rsidP="00D073A0">
      <w:pPr>
        <w:pStyle w:val="ListParagraph"/>
        <w:numPr>
          <w:ilvl w:val="0"/>
          <w:numId w:val="16"/>
        </w:numPr>
        <w:rPr>
          <w:rFonts w:eastAsia="Times New Roman"/>
          <w:color w:val="000000"/>
        </w:rPr>
      </w:pPr>
      <w:r>
        <w:rPr>
          <w:rFonts w:eastAsia="Times New Roman"/>
          <w:color w:val="000000"/>
        </w:rPr>
        <w:t xml:space="preserve">Deutsch, C., 2002. Geostatistical reservoir modeling. Oxford University Press, p. 385. </w:t>
      </w:r>
    </w:p>
    <w:p w14:paraId="66093743" w14:textId="77777777" w:rsidR="00D073A0" w:rsidRDefault="00D073A0" w:rsidP="00D073A0">
      <w:pPr>
        <w:pStyle w:val="ListParagraph"/>
        <w:numPr>
          <w:ilvl w:val="0"/>
          <w:numId w:val="16"/>
        </w:numPr>
        <w:rPr>
          <w:rFonts w:eastAsia="Times New Roman"/>
          <w:color w:val="000000"/>
        </w:rPr>
      </w:pPr>
      <w:r w:rsidRPr="009A7813">
        <w:rPr>
          <w:rFonts w:eastAsia="Times New Roman"/>
          <w:color w:val="000000"/>
        </w:rPr>
        <w:t>Deutsch, C., 2006. A sequential indicator simulation program for categorical variables with point and block data: BlockSIS</w:t>
      </w:r>
      <w:r>
        <w:rPr>
          <w:rFonts w:eastAsia="Times New Roman"/>
          <w:color w:val="000000"/>
        </w:rPr>
        <w:t xml:space="preserve">. </w:t>
      </w:r>
      <w:r w:rsidRPr="009A7813">
        <w:rPr>
          <w:rFonts w:eastAsia="Times New Roman"/>
          <w:color w:val="000000"/>
        </w:rPr>
        <w:t>Computers &amp; Geosciences 32</w:t>
      </w:r>
      <w:r>
        <w:rPr>
          <w:rFonts w:eastAsia="Times New Roman"/>
          <w:color w:val="000000"/>
        </w:rPr>
        <w:t xml:space="preserve">, </w:t>
      </w:r>
      <w:r w:rsidRPr="009A7813">
        <w:rPr>
          <w:rFonts w:eastAsia="Times New Roman"/>
          <w:color w:val="000000"/>
        </w:rPr>
        <w:t>2006</w:t>
      </w:r>
      <w:r>
        <w:rPr>
          <w:rFonts w:eastAsia="Times New Roman"/>
          <w:color w:val="000000"/>
        </w:rPr>
        <w:t xml:space="preserve">, </w:t>
      </w:r>
      <w:r w:rsidRPr="009A7813">
        <w:rPr>
          <w:rFonts w:eastAsia="Times New Roman"/>
          <w:color w:val="000000"/>
        </w:rPr>
        <w:t>1669–1681</w:t>
      </w:r>
      <w:r>
        <w:rPr>
          <w:rFonts w:eastAsia="Times New Roman"/>
          <w:color w:val="000000"/>
        </w:rPr>
        <w:t>.</w:t>
      </w:r>
    </w:p>
    <w:p w14:paraId="0A99F9EF" w14:textId="77777777" w:rsidR="00D073A0" w:rsidRDefault="00D073A0" w:rsidP="00D073A0">
      <w:pPr>
        <w:pStyle w:val="ListParagraph"/>
        <w:numPr>
          <w:ilvl w:val="0"/>
          <w:numId w:val="16"/>
        </w:numPr>
        <w:rPr>
          <w:rFonts w:eastAsia="Times New Roman"/>
          <w:color w:val="000000"/>
        </w:rPr>
      </w:pPr>
      <w:r w:rsidRPr="00734537">
        <w:rPr>
          <w:rFonts w:eastAsia="Times New Roman"/>
          <w:color w:val="000000"/>
          <w:lang w:val="es-CO"/>
        </w:rPr>
        <w:t xml:space="preserve">Duda, J.R, Salamy. S.P., Aminian, K., Ameri, S., 1991. </w:t>
      </w:r>
      <w:r>
        <w:rPr>
          <w:rFonts w:eastAsia="Times New Roman"/>
          <w:color w:val="000000"/>
        </w:rPr>
        <w:t xml:space="preserve">Pressure analysis of an unstimulated horizontal well with type curves. Society of Petroleum Engineers SPE Journal 1991, August, 988-993. </w:t>
      </w:r>
    </w:p>
    <w:p w14:paraId="5015EB36" w14:textId="77777777" w:rsidR="00D073A0" w:rsidRDefault="00D073A0" w:rsidP="00D073A0">
      <w:pPr>
        <w:pStyle w:val="ListParagraph"/>
        <w:numPr>
          <w:ilvl w:val="0"/>
          <w:numId w:val="16"/>
        </w:numPr>
        <w:rPr>
          <w:rFonts w:eastAsia="Times New Roman"/>
          <w:color w:val="000000"/>
        </w:rPr>
      </w:pPr>
      <w:r>
        <w:rPr>
          <w:rFonts w:eastAsia="Times New Roman"/>
          <w:color w:val="000000"/>
        </w:rPr>
        <w:t>Fetkovich, M.J., Fetkovich, E.J., Fetkovich, M.D., 1996. Useful concepts for decline-curve forecasting, estimation and analysis. Society of Petroleum Engineers SPE, Journal of Reservoir Engineering 1996, 13-22.</w:t>
      </w:r>
    </w:p>
    <w:p w14:paraId="73ED68F4" w14:textId="77777777" w:rsidR="00D073A0" w:rsidRPr="00444424" w:rsidRDefault="00D073A0" w:rsidP="00D073A0">
      <w:pPr>
        <w:pStyle w:val="ListParagraph"/>
        <w:numPr>
          <w:ilvl w:val="0"/>
          <w:numId w:val="16"/>
        </w:numPr>
        <w:rPr>
          <w:rFonts w:eastAsia="Times New Roman"/>
          <w:color w:val="000000"/>
        </w:rPr>
      </w:pPr>
      <w:r w:rsidRPr="00444424">
        <w:rPr>
          <w:rFonts w:eastAsia="Times New Roman"/>
          <w:color w:val="000000"/>
        </w:rPr>
        <w:t>Franti, P., Sieranoja, S., 2019. How much can k-means be improved by using better initialization and repeats? Journal of Pattern Recognition, 93, 2019, 95-112.</w:t>
      </w:r>
    </w:p>
    <w:p w14:paraId="75E05FE2" w14:textId="77777777" w:rsidR="00D073A0" w:rsidRDefault="00D073A0" w:rsidP="00D073A0">
      <w:pPr>
        <w:pStyle w:val="ListParagraph"/>
        <w:numPr>
          <w:ilvl w:val="0"/>
          <w:numId w:val="16"/>
        </w:numPr>
        <w:rPr>
          <w:rFonts w:eastAsia="Times New Roman"/>
          <w:color w:val="000000"/>
        </w:rPr>
      </w:pPr>
      <w:r w:rsidRPr="000B74EF">
        <w:rPr>
          <w:rFonts w:eastAsia="Times New Roman"/>
          <w:color w:val="000000"/>
        </w:rPr>
        <w:t>Ghassemi,  A.,  Tao,  Q.,  Diek,  A.</w:t>
      </w:r>
      <w:r>
        <w:rPr>
          <w:rFonts w:eastAsia="Times New Roman"/>
          <w:color w:val="000000"/>
        </w:rPr>
        <w:t>,</w:t>
      </w:r>
      <w:r w:rsidRPr="000B74EF">
        <w:rPr>
          <w:rFonts w:eastAsia="Times New Roman"/>
          <w:color w:val="000000"/>
        </w:rPr>
        <w:t xml:space="preserve">  2009.  Influence of coupled chemo-poro- thermoelastic processes on pore pressure and stress distributions around a wellbore in swelling shale. </w:t>
      </w:r>
      <w:r w:rsidRPr="00601238">
        <w:rPr>
          <w:rFonts w:eastAsia="Times New Roman"/>
          <w:color w:val="000000"/>
        </w:rPr>
        <w:t>J</w:t>
      </w:r>
      <w:r>
        <w:rPr>
          <w:rFonts w:eastAsia="Times New Roman"/>
          <w:color w:val="000000"/>
        </w:rPr>
        <w:t>ournal of</w:t>
      </w:r>
      <w:r w:rsidRPr="00601238">
        <w:rPr>
          <w:rFonts w:eastAsia="Times New Roman"/>
          <w:color w:val="000000"/>
        </w:rPr>
        <w:t xml:space="preserve"> Pet</w:t>
      </w:r>
      <w:r>
        <w:rPr>
          <w:rFonts w:eastAsia="Times New Roman"/>
          <w:color w:val="000000"/>
        </w:rPr>
        <w:t xml:space="preserve">roleum </w:t>
      </w:r>
      <w:r w:rsidRPr="00601238">
        <w:rPr>
          <w:rFonts w:eastAsia="Times New Roman"/>
          <w:color w:val="000000"/>
        </w:rPr>
        <w:t>Sci</w:t>
      </w:r>
      <w:r>
        <w:rPr>
          <w:rFonts w:eastAsia="Times New Roman"/>
          <w:color w:val="000000"/>
        </w:rPr>
        <w:t>ence and Engineering</w:t>
      </w:r>
      <w:r w:rsidRPr="000B74EF">
        <w:rPr>
          <w:rFonts w:eastAsia="Times New Roman"/>
          <w:color w:val="000000"/>
        </w:rPr>
        <w:t xml:space="preserve"> 67, 57-64.</w:t>
      </w:r>
    </w:p>
    <w:p w14:paraId="3BCB5C0F" w14:textId="77777777" w:rsidR="00D073A0" w:rsidRPr="009A7813" w:rsidRDefault="00D073A0" w:rsidP="00D073A0">
      <w:pPr>
        <w:pStyle w:val="ListParagraph"/>
        <w:numPr>
          <w:ilvl w:val="0"/>
          <w:numId w:val="16"/>
        </w:numPr>
        <w:rPr>
          <w:rFonts w:eastAsia="Times New Roman"/>
          <w:color w:val="000000"/>
        </w:rPr>
      </w:pPr>
      <w:r w:rsidRPr="00601238">
        <w:rPr>
          <w:rFonts w:eastAsia="Times New Roman"/>
          <w:color w:val="000000"/>
        </w:rPr>
        <w:t>Ghassemi, A.,</w:t>
      </w:r>
      <w:r>
        <w:rPr>
          <w:rFonts w:eastAsia="Times New Roman"/>
          <w:color w:val="000000"/>
        </w:rPr>
        <w:t xml:space="preserve"> </w:t>
      </w:r>
      <w:r w:rsidRPr="00601238">
        <w:rPr>
          <w:rFonts w:eastAsia="Times New Roman"/>
          <w:color w:val="000000"/>
        </w:rPr>
        <w:t>Rawal, A., Zhou, X.</w:t>
      </w:r>
      <w:r>
        <w:rPr>
          <w:rFonts w:eastAsia="Times New Roman"/>
          <w:color w:val="000000"/>
        </w:rPr>
        <w:t>,</w:t>
      </w:r>
      <w:r w:rsidRPr="00601238">
        <w:rPr>
          <w:rFonts w:eastAsia="Times New Roman"/>
          <w:color w:val="000000"/>
        </w:rPr>
        <w:t xml:space="preserve"> 2013.  Rock failure and micro-seismicity around hydraulic fractures. J</w:t>
      </w:r>
      <w:r>
        <w:rPr>
          <w:rFonts w:eastAsia="Times New Roman"/>
          <w:color w:val="000000"/>
        </w:rPr>
        <w:t>ournal of</w:t>
      </w:r>
      <w:r w:rsidRPr="00601238">
        <w:rPr>
          <w:rFonts w:eastAsia="Times New Roman"/>
          <w:color w:val="000000"/>
        </w:rPr>
        <w:t xml:space="preserve"> Pet</w:t>
      </w:r>
      <w:r>
        <w:rPr>
          <w:rFonts w:eastAsia="Times New Roman"/>
          <w:color w:val="000000"/>
        </w:rPr>
        <w:t xml:space="preserve">roleum </w:t>
      </w:r>
      <w:r w:rsidRPr="00601238">
        <w:rPr>
          <w:rFonts w:eastAsia="Times New Roman"/>
          <w:color w:val="000000"/>
        </w:rPr>
        <w:t>Sci</w:t>
      </w:r>
      <w:r>
        <w:rPr>
          <w:rFonts w:eastAsia="Times New Roman"/>
          <w:color w:val="000000"/>
        </w:rPr>
        <w:t xml:space="preserve">ence and Engineering </w:t>
      </w:r>
      <w:r w:rsidRPr="00601238">
        <w:rPr>
          <w:rFonts w:eastAsia="Times New Roman"/>
          <w:color w:val="000000"/>
        </w:rPr>
        <w:t>108, 118-127.</w:t>
      </w:r>
    </w:p>
    <w:p w14:paraId="03978824" w14:textId="77777777" w:rsidR="00D073A0" w:rsidRPr="00571A75" w:rsidRDefault="00D073A0" w:rsidP="00D073A0">
      <w:pPr>
        <w:pStyle w:val="ListParagraph"/>
        <w:numPr>
          <w:ilvl w:val="0"/>
          <w:numId w:val="16"/>
        </w:numPr>
        <w:rPr>
          <w:rFonts w:eastAsia="Times New Roman"/>
          <w:color w:val="000000"/>
        </w:rPr>
      </w:pPr>
      <w:r w:rsidRPr="00571A75">
        <w:rPr>
          <w:rFonts w:eastAsia="Times New Roman"/>
          <w:color w:val="000000"/>
        </w:rPr>
        <w:t>Goovaerts, P., 1994. Comparative performance of indicator algorithms for modeling conditional probability distribution</w:t>
      </w:r>
      <w:r>
        <w:rPr>
          <w:rFonts w:eastAsia="Times New Roman"/>
          <w:color w:val="000000"/>
        </w:rPr>
        <w:t xml:space="preserve"> </w:t>
      </w:r>
      <w:r w:rsidRPr="00571A75">
        <w:rPr>
          <w:rFonts w:eastAsia="Times New Roman"/>
          <w:color w:val="000000"/>
        </w:rPr>
        <w:t>functions. Mathematical Geology 26</w:t>
      </w:r>
      <w:r>
        <w:rPr>
          <w:rFonts w:eastAsia="Times New Roman"/>
          <w:color w:val="000000"/>
        </w:rPr>
        <w:t xml:space="preserve">, </w:t>
      </w:r>
      <w:r w:rsidRPr="00571A75">
        <w:rPr>
          <w:rFonts w:eastAsia="Times New Roman"/>
          <w:color w:val="000000"/>
        </w:rPr>
        <w:t>3, 385–410.</w:t>
      </w:r>
    </w:p>
    <w:p w14:paraId="674E74A3" w14:textId="77777777" w:rsidR="00D073A0" w:rsidRDefault="00D073A0" w:rsidP="00D073A0">
      <w:pPr>
        <w:pStyle w:val="ListParagraph"/>
        <w:numPr>
          <w:ilvl w:val="0"/>
          <w:numId w:val="16"/>
        </w:numPr>
        <w:rPr>
          <w:rFonts w:eastAsia="Times New Roman"/>
          <w:color w:val="000000"/>
        </w:rPr>
      </w:pPr>
      <w:r w:rsidRPr="00571A75">
        <w:rPr>
          <w:rFonts w:eastAsia="Times New Roman"/>
          <w:color w:val="000000"/>
        </w:rPr>
        <w:t>Goovaerts, P., 1997. Geostatistics for Natural Resources Evaluation. Oxford University Press, New York,</w:t>
      </w:r>
      <w:r>
        <w:rPr>
          <w:rFonts w:eastAsia="Times New Roman"/>
          <w:color w:val="000000"/>
        </w:rPr>
        <w:t xml:space="preserve"> p. 496</w:t>
      </w:r>
      <w:r w:rsidRPr="00571A75">
        <w:rPr>
          <w:rFonts w:eastAsia="Times New Roman"/>
          <w:color w:val="000000"/>
        </w:rPr>
        <w:t>.</w:t>
      </w:r>
    </w:p>
    <w:p w14:paraId="47DD8DD2" w14:textId="77777777" w:rsidR="00D073A0" w:rsidRPr="00571A75" w:rsidRDefault="00D073A0" w:rsidP="00D073A0">
      <w:pPr>
        <w:pStyle w:val="ListParagraph"/>
        <w:numPr>
          <w:ilvl w:val="0"/>
          <w:numId w:val="16"/>
        </w:numPr>
        <w:rPr>
          <w:rFonts w:eastAsia="Times New Roman"/>
          <w:color w:val="000000"/>
        </w:rPr>
      </w:pPr>
      <w:r w:rsidRPr="000B0763">
        <w:rPr>
          <w:rFonts w:eastAsia="Times New Roman"/>
          <w:color w:val="000000"/>
        </w:rPr>
        <w:t>Hampson, D. J., Schuelke,</w:t>
      </w:r>
      <w:r>
        <w:rPr>
          <w:rFonts w:eastAsia="Times New Roman"/>
          <w:color w:val="000000"/>
        </w:rPr>
        <w:t xml:space="preserve"> </w:t>
      </w:r>
      <w:r w:rsidRPr="000B0763">
        <w:rPr>
          <w:rFonts w:eastAsia="Times New Roman"/>
          <w:color w:val="000000"/>
        </w:rPr>
        <w:t>S.</w:t>
      </w:r>
      <w:r>
        <w:rPr>
          <w:rFonts w:eastAsia="Times New Roman"/>
          <w:color w:val="000000"/>
        </w:rPr>
        <w:t xml:space="preserve">, </w:t>
      </w:r>
      <w:r w:rsidRPr="000B0763">
        <w:rPr>
          <w:rFonts w:eastAsia="Times New Roman"/>
          <w:color w:val="000000"/>
        </w:rPr>
        <w:t xml:space="preserve">Quirein, </w:t>
      </w:r>
      <w:r>
        <w:rPr>
          <w:rFonts w:eastAsia="Times New Roman"/>
          <w:color w:val="000000"/>
        </w:rPr>
        <w:t xml:space="preserve">J., </w:t>
      </w:r>
      <w:r w:rsidRPr="000B0763">
        <w:rPr>
          <w:rFonts w:eastAsia="Times New Roman"/>
          <w:color w:val="000000"/>
        </w:rPr>
        <w:t>2001</w:t>
      </w:r>
      <w:r>
        <w:rPr>
          <w:rFonts w:eastAsia="Times New Roman"/>
          <w:color w:val="000000"/>
        </w:rPr>
        <w:t>.</w:t>
      </w:r>
      <w:r w:rsidRPr="000B0763">
        <w:rPr>
          <w:rFonts w:eastAsia="Times New Roman"/>
          <w:color w:val="000000"/>
        </w:rPr>
        <w:t xml:space="preserve"> Use of multiattribute transforms to predict log properties from seismic data</w:t>
      </w:r>
      <w:r>
        <w:rPr>
          <w:rFonts w:eastAsia="Times New Roman"/>
          <w:color w:val="000000"/>
        </w:rPr>
        <w:t xml:space="preserve">. </w:t>
      </w:r>
      <w:r w:rsidRPr="000B0763">
        <w:rPr>
          <w:rFonts w:eastAsia="Times New Roman"/>
          <w:color w:val="000000"/>
        </w:rPr>
        <w:t>Geophysics, 66, 220–236</w:t>
      </w:r>
      <w:r>
        <w:rPr>
          <w:rFonts w:eastAsia="Times New Roman"/>
          <w:color w:val="000000"/>
        </w:rPr>
        <w:t>.</w:t>
      </w:r>
    </w:p>
    <w:p w14:paraId="19968DC1"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lastRenderedPageBreak/>
        <w:t xml:space="preserve">Havens, J. B., and Batzle, M.L., 2011. </w:t>
      </w:r>
      <w:r w:rsidRPr="00980A45">
        <w:rPr>
          <w:rFonts w:eastAsia="Times New Roman"/>
          <w:color w:val="000000"/>
        </w:rPr>
        <w:t>mi</w:t>
      </w:r>
      <w:r w:rsidRPr="00680903">
        <w:rPr>
          <w:rFonts w:eastAsia="Times New Roman"/>
          <w:color w:val="000000"/>
        </w:rPr>
        <w:t xml:space="preserve">nimum </w:t>
      </w:r>
      <w:r>
        <w:rPr>
          <w:rFonts w:eastAsia="Times New Roman"/>
          <w:color w:val="000000"/>
        </w:rPr>
        <w:t>h</w:t>
      </w:r>
      <w:r w:rsidRPr="00680903">
        <w:rPr>
          <w:rFonts w:eastAsia="Times New Roman"/>
          <w:color w:val="000000"/>
        </w:rPr>
        <w:t xml:space="preserve">orizontal </w:t>
      </w:r>
      <w:r>
        <w:rPr>
          <w:rFonts w:eastAsia="Times New Roman"/>
          <w:color w:val="000000"/>
        </w:rPr>
        <w:t>s</w:t>
      </w:r>
      <w:r w:rsidRPr="00680903">
        <w:rPr>
          <w:rFonts w:eastAsia="Times New Roman"/>
          <w:color w:val="000000"/>
        </w:rPr>
        <w:t xml:space="preserve">tress in the Bakken </w:t>
      </w:r>
      <w:r>
        <w:rPr>
          <w:rFonts w:eastAsia="Times New Roman"/>
          <w:color w:val="000000"/>
        </w:rPr>
        <w:t>f</w:t>
      </w:r>
      <w:r w:rsidRPr="00680903">
        <w:rPr>
          <w:rFonts w:eastAsia="Times New Roman"/>
          <w:color w:val="000000"/>
        </w:rPr>
        <w:t>ormation.  45th US Rock Mechanics / Geomechanics Symposium held in San Francisco, CA, 2011.</w:t>
      </w:r>
    </w:p>
    <w:p w14:paraId="3FC8DE22"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Havens, J.B., and Batzle, M.</w:t>
      </w:r>
      <w:r>
        <w:rPr>
          <w:rFonts w:eastAsia="Times New Roman"/>
          <w:color w:val="000000"/>
        </w:rPr>
        <w:t>L.</w:t>
      </w:r>
      <w:r w:rsidRPr="00680903">
        <w:rPr>
          <w:rFonts w:eastAsia="Times New Roman"/>
          <w:color w:val="000000"/>
        </w:rPr>
        <w:t xml:space="preserve">, 2010. A </w:t>
      </w:r>
      <w:r>
        <w:rPr>
          <w:rFonts w:eastAsia="Times New Roman"/>
          <w:color w:val="000000"/>
        </w:rPr>
        <w:t>g</w:t>
      </w:r>
      <w:r w:rsidRPr="00680903">
        <w:rPr>
          <w:rFonts w:eastAsia="Times New Roman"/>
          <w:color w:val="000000"/>
        </w:rPr>
        <w:t xml:space="preserve">eomechanical </w:t>
      </w:r>
      <w:r>
        <w:rPr>
          <w:rFonts w:eastAsia="Times New Roman"/>
          <w:color w:val="000000"/>
        </w:rPr>
        <w:t>m</w:t>
      </w:r>
      <w:r w:rsidRPr="00680903">
        <w:rPr>
          <w:rFonts w:eastAsia="Times New Roman"/>
          <w:color w:val="000000"/>
        </w:rPr>
        <w:t xml:space="preserve">odel of the Bakken </w:t>
      </w:r>
      <w:r>
        <w:rPr>
          <w:rFonts w:eastAsia="Times New Roman"/>
          <w:color w:val="000000"/>
        </w:rPr>
        <w:t>p</w:t>
      </w:r>
      <w:r w:rsidRPr="00680903">
        <w:rPr>
          <w:rFonts w:eastAsia="Times New Roman"/>
          <w:color w:val="000000"/>
        </w:rPr>
        <w:t xml:space="preserve">etroleum </w:t>
      </w:r>
      <w:r>
        <w:rPr>
          <w:rFonts w:eastAsia="Times New Roman"/>
          <w:color w:val="000000"/>
        </w:rPr>
        <w:t>s</w:t>
      </w:r>
      <w:r w:rsidRPr="00680903">
        <w:rPr>
          <w:rFonts w:eastAsia="Times New Roman"/>
          <w:color w:val="000000"/>
        </w:rPr>
        <w:t>ystem. American Rock Mechanics Association 44th US Rock Mechanics Symposium and 5th U.S.-Canada Rock Mechanics Symposium, held in Salt Lake City, UT, 2010.</w:t>
      </w:r>
    </w:p>
    <w:p w14:paraId="17FEA0F6" w14:textId="77777777" w:rsidR="00D073A0" w:rsidRDefault="00D073A0" w:rsidP="00D073A0">
      <w:pPr>
        <w:pStyle w:val="ListParagraph"/>
        <w:numPr>
          <w:ilvl w:val="0"/>
          <w:numId w:val="16"/>
        </w:numPr>
        <w:rPr>
          <w:rFonts w:eastAsia="Times New Roman"/>
          <w:color w:val="000000"/>
        </w:rPr>
      </w:pPr>
      <w:r w:rsidRPr="00195B21">
        <w:rPr>
          <w:rFonts w:eastAsia="Times New Roman"/>
          <w:color w:val="000000"/>
        </w:rPr>
        <w:t xml:space="preserve">Heggland, R., 2004. Definition of geohazards in exploration </w:t>
      </w:r>
      <w:r w:rsidRPr="00980A45">
        <w:rPr>
          <w:rFonts w:eastAsia="Times New Roman"/>
          <w:color w:val="000000"/>
        </w:rPr>
        <w:t>3D</w:t>
      </w:r>
      <w:r w:rsidRPr="00195B21">
        <w:rPr>
          <w:rFonts w:eastAsia="Times New Roman"/>
          <w:color w:val="000000"/>
        </w:rPr>
        <w:t xml:space="preserve"> seismic data using attributes and neural network analysis. AAPG Bulletin, 88, 857–868.</w:t>
      </w:r>
    </w:p>
    <w:p w14:paraId="1E71B258" w14:textId="77777777" w:rsidR="00D073A0" w:rsidRPr="00195B21" w:rsidRDefault="00D073A0" w:rsidP="00D073A0">
      <w:pPr>
        <w:pStyle w:val="ListParagraph"/>
        <w:numPr>
          <w:ilvl w:val="0"/>
          <w:numId w:val="16"/>
        </w:numPr>
        <w:rPr>
          <w:rFonts w:eastAsia="Times New Roman"/>
          <w:color w:val="000000"/>
        </w:rPr>
      </w:pPr>
      <w:r>
        <w:rPr>
          <w:rFonts w:eastAsia="Times New Roman"/>
          <w:color w:val="000000"/>
        </w:rPr>
        <w:t xml:space="preserve">Infante-Paez, L.E., Cardona L.E., McCullough, B., Slatt, R.M., 2017. </w:t>
      </w:r>
      <w:r w:rsidRPr="00D94C79">
        <w:rPr>
          <w:rFonts w:eastAsia="Times New Roman"/>
          <w:color w:val="000000"/>
        </w:rPr>
        <w:t>Seismic analysis of paleotopography and stratigraphic controls on total organic carbon: Rich sweet spot distribution in the Woodford Shale, Oklahoma, USA</w:t>
      </w:r>
      <w:r>
        <w:rPr>
          <w:rFonts w:eastAsia="Times New Roman"/>
          <w:color w:val="000000"/>
        </w:rPr>
        <w:t>. Interpretation 5, 1, T33-T48.</w:t>
      </w:r>
    </w:p>
    <w:p w14:paraId="0AD39D8F" w14:textId="77777777" w:rsidR="00D073A0" w:rsidRDefault="00D073A0" w:rsidP="00D073A0">
      <w:pPr>
        <w:pStyle w:val="ListParagraph"/>
        <w:numPr>
          <w:ilvl w:val="0"/>
          <w:numId w:val="16"/>
        </w:numPr>
        <w:rPr>
          <w:rFonts w:eastAsia="Times New Roman"/>
          <w:color w:val="000000"/>
        </w:rPr>
      </w:pPr>
      <w:r w:rsidRPr="00680903">
        <w:rPr>
          <w:rFonts w:eastAsia="Times New Roman"/>
          <w:color w:val="000000"/>
        </w:rPr>
        <w:t xml:space="preserve">Infante-Paez, L.E., 2018. Seismic </w:t>
      </w:r>
      <w:r>
        <w:rPr>
          <w:rFonts w:eastAsia="Times New Roman"/>
          <w:color w:val="000000"/>
        </w:rPr>
        <w:t>e</w:t>
      </w:r>
      <w:r w:rsidRPr="00680903">
        <w:rPr>
          <w:rFonts w:eastAsia="Times New Roman"/>
          <w:color w:val="000000"/>
        </w:rPr>
        <w:t xml:space="preserve">xpression of </w:t>
      </w:r>
      <w:r>
        <w:rPr>
          <w:rFonts w:eastAsia="Times New Roman"/>
          <w:color w:val="000000"/>
        </w:rPr>
        <w:t>i</w:t>
      </w:r>
      <w:r w:rsidRPr="00680903">
        <w:rPr>
          <w:rFonts w:eastAsia="Times New Roman"/>
          <w:color w:val="000000"/>
        </w:rPr>
        <w:t xml:space="preserve">gneous bodies in the sedimentary basin and their impact on hydrocarbon exploration: Examples from a compressive tectonic setting, Taranaki </w:t>
      </w:r>
      <w:r>
        <w:rPr>
          <w:rFonts w:eastAsia="Times New Roman"/>
          <w:color w:val="000000"/>
        </w:rPr>
        <w:t>b</w:t>
      </w:r>
      <w:r w:rsidRPr="00680903">
        <w:rPr>
          <w:rFonts w:eastAsia="Times New Roman"/>
          <w:color w:val="000000"/>
        </w:rPr>
        <w:t xml:space="preserve">asin, New Zealand. </w:t>
      </w:r>
      <w:r>
        <w:rPr>
          <w:rFonts w:eastAsia="Times New Roman"/>
          <w:color w:val="000000"/>
        </w:rPr>
        <w:t xml:space="preserve"> Doctoral t</w:t>
      </w:r>
      <w:r w:rsidRPr="00680903">
        <w:rPr>
          <w:rFonts w:eastAsia="Times New Roman"/>
          <w:color w:val="000000"/>
        </w:rPr>
        <w:t xml:space="preserve">hesis </w:t>
      </w:r>
      <w:r>
        <w:rPr>
          <w:rFonts w:eastAsia="Times New Roman"/>
          <w:color w:val="000000"/>
        </w:rPr>
        <w:t>m</w:t>
      </w:r>
      <w:r w:rsidRPr="00680903">
        <w:rPr>
          <w:rFonts w:eastAsia="Times New Roman"/>
          <w:color w:val="000000"/>
        </w:rPr>
        <w:t>anuscript</w:t>
      </w:r>
      <w:r>
        <w:rPr>
          <w:rFonts w:eastAsia="Times New Roman"/>
          <w:color w:val="000000"/>
        </w:rPr>
        <w:t>,</w:t>
      </w:r>
      <w:r w:rsidRPr="00680903">
        <w:rPr>
          <w:rFonts w:eastAsia="Times New Roman"/>
          <w:color w:val="000000"/>
        </w:rPr>
        <w:t xml:space="preserve"> The University of Oklahoma, </w:t>
      </w:r>
      <w:r>
        <w:rPr>
          <w:rFonts w:eastAsia="Times New Roman"/>
          <w:color w:val="000000"/>
        </w:rPr>
        <w:t>p.</w:t>
      </w:r>
      <w:r w:rsidRPr="00680903">
        <w:rPr>
          <w:rFonts w:eastAsia="Times New Roman"/>
          <w:color w:val="000000"/>
        </w:rPr>
        <w:t xml:space="preserve"> 196.</w:t>
      </w:r>
    </w:p>
    <w:p w14:paraId="73502447" w14:textId="77777777" w:rsidR="00D073A0" w:rsidRPr="00680903" w:rsidRDefault="00D073A0" w:rsidP="00D073A0">
      <w:pPr>
        <w:pStyle w:val="ListParagraph"/>
        <w:numPr>
          <w:ilvl w:val="0"/>
          <w:numId w:val="16"/>
        </w:numPr>
        <w:rPr>
          <w:rFonts w:eastAsia="Times New Roman"/>
          <w:color w:val="000000"/>
        </w:rPr>
      </w:pPr>
      <w:r w:rsidRPr="00D073A0">
        <w:rPr>
          <w:rFonts w:eastAsia="Times New Roman"/>
          <w:color w:val="000000"/>
          <w:lang w:val="es-CO"/>
        </w:rPr>
        <w:t xml:space="preserve">Infante-Paez, L.E., Marfurt, K.J., 2018. </w:t>
      </w:r>
      <w:r w:rsidRPr="00E857E8">
        <w:rPr>
          <w:rFonts w:eastAsia="Times New Roman"/>
          <w:color w:val="000000"/>
        </w:rPr>
        <w:t>Using machine learning as an aid to seismic geomorphology, which attributes are the best input?</w:t>
      </w:r>
      <w:r>
        <w:rPr>
          <w:rFonts w:eastAsia="Times New Roman"/>
          <w:color w:val="000000"/>
        </w:rPr>
        <w:t>: Interpretation 7, 3, SE1-SE18.</w:t>
      </w:r>
    </w:p>
    <w:p w14:paraId="648CB3DF" w14:textId="77777777" w:rsidR="00D073A0" w:rsidRDefault="00D073A0" w:rsidP="00D073A0">
      <w:pPr>
        <w:pStyle w:val="ListParagraph"/>
        <w:numPr>
          <w:ilvl w:val="0"/>
          <w:numId w:val="16"/>
        </w:numPr>
        <w:rPr>
          <w:rFonts w:eastAsia="Times New Roman"/>
          <w:color w:val="000000"/>
        </w:rPr>
      </w:pPr>
      <w:r>
        <w:rPr>
          <w:rFonts w:eastAsia="Times New Roman"/>
          <w:color w:val="000000"/>
        </w:rPr>
        <w:t>Issaka, M., Ambastha, A., 1996. Decline curve analysis for composite reservoirs. SPE 47</w:t>
      </w:r>
      <w:r w:rsidRPr="00617E9F">
        <w:rPr>
          <w:rFonts w:eastAsia="Times New Roman"/>
          <w:color w:val="000000"/>
          <w:vertAlign w:val="superscript"/>
        </w:rPr>
        <w:t>th</w:t>
      </w:r>
      <w:r>
        <w:rPr>
          <w:rFonts w:eastAsia="Times New Roman"/>
          <w:color w:val="000000"/>
        </w:rPr>
        <w:t xml:space="preserve"> Annual Technical Meeting, 96-15, p. 11. </w:t>
      </w:r>
    </w:p>
    <w:p w14:paraId="04DD6A6D" w14:textId="77777777" w:rsidR="00D073A0" w:rsidRPr="00183F0C" w:rsidRDefault="00D073A0" w:rsidP="00D073A0">
      <w:pPr>
        <w:pStyle w:val="ListParagraph"/>
        <w:numPr>
          <w:ilvl w:val="0"/>
          <w:numId w:val="16"/>
        </w:numPr>
        <w:rPr>
          <w:rFonts w:eastAsia="Times New Roman"/>
          <w:color w:val="000000"/>
        </w:rPr>
      </w:pPr>
      <w:r w:rsidRPr="00183F0C">
        <w:rPr>
          <w:rFonts w:eastAsia="Times New Roman"/>
          <w:color w:val="000000"/>
        </w:rPr>
        <w:t>Jarvie, D.M., Hill, R.J., Pollastro, R.M., 2005. Assessment of the gas potential and yields from shales: the Barnett Shale model. In: Cadott, B.</w:t>
      </w:r>
      <w:r>
        <w:rPr>
          <w:rFonts w:eastAsia="Times New Roman"/>
          <w:color w:val="000000"/>
        </w:rPr>
        <w:t>, e</w:t>
      </w:r>
      <w:r w:rsidRPr="00183F0C">
        <w:rPr>
          <w:rFonts w:eastAsia="Times New Roman"/>
          <w:color w:val="000000"/>
        </w:rPr>
        <w:t>d</w:t>
      </w:r>
      <w:r>
        <w:rPr>
          <w:rFonts w:eastAsia="Times New Roman"/>
          <w:color w:val="000000"/>
        </w:rPr>
        <w:t>s</w:t>
      </w:r>
      <w:r w:rsidRPr="00183F0C">
        <w:rPr>
          <w:rFonts w:eastAsia="Times New Roman"/>
          <w:color w:val="000000"/>
        </w:rPr>
        <w:t xml:space="preserve">., Oklahoma Geological Survey Circular 110: Unconventional </w:t>
      </w:r>
      <w:r>
        <w:rPr>
          <w:rFonts w:eastAsia="Times New Roman"/>
          <w:color w:val="000000"/>
        </w:rPr>
        <w:t>g</w:t>
      </w:r>
      <w:r w:rsidRPr="00183F0C">
        <w:rPr>
          <w:rFonts w:eastAsia="Times New Roman"/>
          <w:color w:val="000000"/>
        </w:rPr>
        <w:t xml:space="preserve">as of the Southern </w:t>
      </w:r>
      <w:r w:rsidRPr="00980A45">
        <w:rPr>
          <w:rFonts w:eastAsia="Times New Roman"/>
          <w:color w:val="000000"/>
        </w:rPr>
        <w:t>mi</w:t>
      </w:r>
      <w:r w:rsidRPr="00183F0C">
        <w:rPr>
          <w:rFonts w:eastAsia="Times New Roman"/>
          <w:color w:val="000000"/>
        </w:rPr>
        <w:t xml:space="preserve">d-continent </w:t>
      </w:r>
      <w:r>
        <w:rPr>
          <w:rFonts w:eastAsia="Times New Roman"/>
          <w:color w:val="000000"/>
        </w:rPr>
        <w:t>s</w:t>
      </w:r>
      <w:r w:rsidRPr="00183F0C">
        <w:rPr>
          <w:rFonts w:eastAsia="Times New Roman"/>
          <w:color w:val="000000"/>
        </w:rPr>
        <w:t>ymposium, March 2005</w:t>
      </w:r>
      <w:r>
        <w:rPr>
          <w:rFonts w:eastAsia="Times New Roman"/>
          <w:color w:val="000000"/>
        </w:rPr>
        <w:t xml:space="preserve">. </w:t>
      </w:r>
      <w:r w:rsidRPr="00183F0C">
        <w:rPr>
          <w:rFonts w:eastAsia="Times New Roman"/>
          <w:color w:val="000000"/>
        </w:rPr>
        <w:t>Oklahoma City, Oklahoma, 37-50.</w:t>
      </w:r>
    </w:p>
    <w:p w14:paraId="3D48871A" w14:textId="77777777" w:rsidR="00D073A0" w:rsidRDefault="00D073A0" w:rsidP="00D073A0">
      <w:pPr>
        <w:pStyle w:val="ListParagraph"/>
        <w:numPr>
          <w:ilvl w:val="0"/>
          <w:numId w:val="16"/>
        </w:numPr>
        <w:rPr>
          <w:rFonts w:eastAsia="Times New Roman"/>
          <w:color w:val="000000"/>
        </w:rPr>
      </w:pPr>
      <w:r w:rsidRPr="00183F0C">
        <w:rPr>
          <w:rFonts w:eastAsia="Times New Roman"/>
          <w:color w:val="000000"/>
        </w:rPr>
        <w:t xml:space="preserve">Jarvie, D.M., Hill, R.J., Ruble, T.E., Pollastro, R.M., 2007. Unconventional shale-gas systems: the </w:t>
      </w:r>
      <w:r w:rsidRPr="00980A45">
        <w:rPr>
          <w:rFonts w:eastAsia="Times New Roman"/>
          <w:color w:val="000000"/>
        </w:rPr>
        <w:t>Mississ</w:t>
      </w:r>
      <w:r w:rsidRPr="00183F0C">
        <w:rPr>
          <w:rFonts w:eastAsia="Times New Roman"/>
          <w:color w:val="000000"/>
        </w:rPr>
        <w:t xml:space="preserve">ippian Barnett Shale of </w:t>
      </w:r>
      <w:r>
        <w:rPr>
          <w:rFonts w:eastAsia="Times New Roman"/>
          <w:color w:val="000000"/>
        </w:rPr>
        <w:t>N</w:t>
      </w:r>
      <w:r w:rsidRPr="00183F0C">
        <w:rPr>
          <w:rFonts w:eastAsia="Times New Roman"/>
          <w:color w:val="000000"/>
        </w:rPr>
        <w:t>orth-</w:t>
      </w:r>
      <w:r>
        <w:rPr>
          <w:rFonts w:eastAsia="Times New Roman"/>
          <w:color w:val="000000"/>
        </w:rPr>
        <w:t>C</w:t>
      </w:r>
      <w:r w:rsidRPr="00183F0C">
        <w:rPr>
          <w:rFonts w:eastAsia="Times New Roman"/>
          <w:color w:val="000000"/>
        </w:rPr>
        <w:t>entral Texas as one model for thermogenic shale-gas assessment. AAPG Bull</w:t>
      </w:r>
      <w:r>
        <w:rPr>
          <w:rFonts w:eastAsia="Times New Roman"/>
          <w:color w:val="000000"/>
        </w:rPr>
        <w:t>etin</w:t>
      </w:r>
      <w:r w:rsidRPr="00183F0C">
        <w:rPr>
          <w:rFonts w:eastAsia="Times New Roman"/>
          <w:color w:val="000000"/>
        </w:rPr>
        <w:t xml:space="preserve"> 91, </w:t>
      </w:r>
      <w:r>
        <w:rPr>
          <w:rFonts w:eastAsia="Times New Roman"/>
          <w:color w:val="000000"/>
        </w:rPr>
        <w:t xml:space="preserve">4, </w:t>
      </w:r>
      <w:r w:rsidRPr="00183F0C">
        <w:rPr>
          <w:rFonts w:eastAsia="Times New Roman"/>
          <w:color w:val="000000"/>
        </w:rPr>
        <w:t>475-499.</w:t>
      </w:r>
      <w:r>
        <w:rPr>
          <w:rFonts w:eastAsia="Times New Roman"/>
          <w:color w:val="000000"/>
        </w:rPr>
        <w:t xml:space="preserve"> </w:t>
      </w:r>
    </w:p>
    <w:p w14:paraId="2273D06E" w14:textId="77777777" w:rsidR="00D073A0" w:rsidRDefault="00D073A0" w:rsidP="00D073A0">
      <w:pPr>
        <w:pStyle w:val="ListParagraph"/>
        <w:numPr>
          <w:ilvl w:val="0"/>
          <w:numId w:val="16"/>
        </w:numPr>
        <w:rPr>
          <w:rFonts w:eastAsia="Times New Roman"/>
          <w:color w:val="000000"/>
        </w:rPr>
      </w:pPr>
      <w:r>
        <w:rPr>
          <w:rFonts w:eastAsia="Times New Roman"/>
          <w:color w:val="000000"/>
        </w:rPr>
        <w:t>Joshi, K., Lee, J., 2013. Comparison of various deterministic forecasting techniques in shale gas reservoirs. SPE Hydraulic Fracturing Technology Conference 2013, SPE 163870, p. 12.</w:t>
      </w:r>
    </w:p>
    <w:p w14:paraId="500FD996" w14:textId="77777777" w:rsidR="00D073A0" w:rsidRDefault="00D073A0" w:rsidP="00D073A0">
      <w:pPr>
        <w:pStyle w:val="ListParagraph"/>
        <w:numPr>
          <w:ilvl w:val="0"/>
          <w:numId w:val="16"/>
        </w:numPr>
        <w:rPr>
          <w:rFonts w:eastAsia="Times New Roman"/>
          <w:color w:val="000000"/>
        </w:rPr>
      </w:pPr>
      <w:r w:rsidRPr="00D073A0">
        <w:rPr>
          <w:rFonts w:eastAsia="Times New Roman"/>
          <w:color w:val="000000"/>
          <w:lang w:val="es-CO"/>
        </w:rPr>
        <w:t xml:space="preserve">Joshi, K., Muralidharan, V., Patel, D., 2019. </w:t>
      </w:r>
      <w:r>
        <w:rPr>
          <w:rFonts w:eastAsia="Times New Roman"/>
          <w:color w:val="000000"/>
        </w:rPr>
        <w:t xml:space="preserve">Production diagnostic type curves for performance evaluation: An extension of the universal type curve approach. </w:t>
      </w:r>
      <w:r w:rsidRPr="00022E5B">
        <w:rPr>
          <w:rFonts w:eastAsia="Times New Roman"/>
          <w:color w:val="000000"/>
        </w:rPr>
        <w:t>Unconventional Resources Technology Conference (URTeC) 201</w:t>
      </w:r>
      <w:r>
        <w:rPr>
          <w:rFonts w:eastAsia="Times New Roman"/>
          <w:color w:val="000000"/>
        </w:rPr>
        <w:t>9</w:t>
      </w:r>
      <w:r w:rsidRPr="00022E5B">
        <w:rPr>
          <w:rFonts w:eastAsia="Times New Roman"/>
          <w:color w:val="000000"/>
        </w:rPr>
        <w:t>,</w:t>
      </w:r>
      <w:r>
        <w:rPr>
          <w:rFonts w:eastAsia="Times New Roman"/>
          <w:color w:val="000000"/>
        </w:rPr>
        <w:t xml:space="preserve"> 31, p. 16.</w:t>
      </w:r>
    </w:p>
    <w:p w14:paraId="0B1B303A" w14:textId="77777777" w:rsidR="00D073A0" w:rsidRDefault="00D073A0" w:rsidP="00D073A0">
      <w:pPr>
        <w:pStyle w:val="ListParagraph"/>
        <w:numPr>
          <w:ilvl w:val="0"/>
          <w:numId w:val="16"/>
        </w:numPr>
        <w:rPr>
          <w:rFonts w:eastAsia="Times New Roman"/>
          <w:color w:val="000000"/>
        </w:rPr>
      </w:pPr>
      <w:r>
        <w:rPr>
          <w:rFonts w:eastAsia="Times New Roman"/>
          <w:color w:val="000000"/>
        </w:rPr>
        <w:lastRenderedPageBreak/>
        <w:t>Kelkar, M., Perez, G., 2001. Applied geostatistics for reservoir characterization. Society of Petroleum Engineers SPE, p. 273.</w:t>
      </w:r>
    </w:p>
    <w:p w14:paraId="2D15E7A7" w14:textId="77777777" w:rsidR="00D073A0" w:rsidRDefault="00D073A0" w:rsidP="00D073A0">
      <w:pPr>
        <w:pStyle w:val="ListParagraph"/>
        <w:numPr>
          <w:ilvl w:val="0"/>
          <w:numId w:val="16"/>
        </w:numPr>
        <w:rPr>
          <w:rFonts w:eastAsia="Times New Roman"/>
          <w:color w:val="000000"/>
        </w:rPr>
      </w:pPr>
      <w:r w:rsidRPr="00FF39B6">
        <w:rPr>
          <w:rFonts w:eastAsia="Times New Roman"/>
          <w:color w:val="000000"/>
        </w:rPr>
        <w:t>Kirkland D.W., Denison, R.E., Summers, D.M., and Gormly, J.R., 1992. Geology and organic geochemistry of the Woodford Shale in the Criner Hills and western Arbuckle Mountains, Oklahoma. Oklahoma Geological Survey, Circular 93, 38-69.</w:t>
      </w:r>
    </w:p>
    <w:p w14:paraId="3C64CF8E" w14:textId="77777777" w:rsidR="00D073A0" w:rsidRDefault="00D073A0" w:rsidP="00D073A0">
      <w:pPr>
        <w:pStyle w:val="ListParagraph"/>
        <w:numPr>
          <w:ilvl w:val="0"/>
          <w:numId w:val="16"/>
        </w:numPr>
        <w:rPr>
          <w:rFonts w:eastAsia="Times New Roman"/>
          <w:color w:val="000000"/>
        </w:rPr>
      </w:pPr>
      <w:r w:rsidRPr="00055B7A">
        <w:rPr>
          <w:rFonts w:eastAsia="Times New Roman"/>
          <w:color w:val="000000"/>
        </w:rPr>
        <w:t>Kohonen, T., 2001. Self-Organizing Maps. Springer Series in Information Sciences, Volume 30. Springer, Berlin, Heidelberg, New York, 3rd edition, p. 268.</w:t>
      </w:r>
    </w:p>
    <w:p w14:paraId="027B44EB" w14:textId="77777777" w:rsidR="00D073A0" w:rsidRPr="00055B7A" w:rsidRDefault="00D073A0" w:rsidP="00D073A0">
      <w:pPr>
        <w:pStyle w:val="ListParagraph"/>
        <w:numPr>
          <w:ilvl w:val="0"/>
          <w:numId w:val="16"/>
        </w:numPr>
        <w:rPr>
          <w:rFonts w:eastAsia="Times New Roman"/>
          <w:color w:val="000000"/>
        </w:rPr>
      </w:pPr>
      <w:r w:rsidRPr="00D073A0">
        <w:rPr>
          <w:rFonts w:eastAsia="Times New Roman"/>
          <w:color w:val="000000"/>
          <w:lang w:val="es-CO"/>
        </w:rPr>
        <w:t xml:space="preserve">Kohonen, T., Kaski, S., Lagus, K., Salojarvi, J., Honkela, J., Paatero, V., Saarela, A., 2000. </w:t>
      </w:r>
      <w:r w:rsidRPr="00055B7A">
        <w:rPr>
          <w:rFonts w:eastAsia="Times New Roman"/>
          <w:color w:val="000000"/>
        </w:rPr>
        <w:t>Self</w:t>
      </w:r>
      <w:r>
        <w:rPr>
          <w:rFonts w:eastAsia="Times New Roman"/>
          <w:color w:val="000000"/>
        </w:rPr>
        <w:t>-</w:t>
      </w:r>
      <w:r w:rsidRPr="00055B7A">
        <w:rPr>
          <w:rFonts w:eastAsia="Times New Roman"/>
          <w:color w:val="000000"/>
        </w:rPr>
        <w:t>organization of a massive document collection. IEEE Transactions on Neural Networks 11,574-585.</w:t>
      </w:r>
    </w:p>
    <w:p w14:paraId="4E0FA60A" w14:textId="77777777" w:rsidR="00D073A0" w:rsidRDefault="00D073A0" w:rsidP="00D073A0">
      <w:pPr>
        <w:pStyle w:val="ListParagraph"/>
        <w:numPr>
          <w:ilvl w:val="0"/>
          <w:numId w:val="16"/>
        </w:numPr>
        <w:rPr>
          <w:rFonts w:eastAsia="Times New Roman"/>
          <w:color w:val="000000"/>
        </w:rPr>
      </w:pPr>
      <w:r w:rsidRPr="00D6733D">
        <w:rPr>
          <w:rFonts w:eastAsia="Times New Roman"/>
          <w:color w:val="000000"/>
        </w:rPr>
        <w:t>Kumar, D., Ghassemi, A., 2018. Three-</w:t>
      </w:r>
      <w:r>
        <w:rPr>
          <w:rFonts w:eastAsia="Times New Roman"/>
          <w:color w:val="000000"/>
        </w:rPr>
        <w:t>d</w:t>
      </w:r>
      <w:r w:rsidRPr="00D6733D">
        <w:rPr>
          <w:rFonts w:eastAsia="Times New Roman"/>
          <w:color w:val="000000"/>
        </w:rPr>
        <w:t xml:space="preserve">imensional </w:t>
      </w:r>
      <w:r>
        <w:rPr>
          <w:rFonts w:eastAsia="Times New Roman"/>
          <w:color w:val="000000"/>
        </w:rPr>
        <w:t>p</w:t>
      </w:r>
      <w:r w:rsidRPr="00D6733D">
        <w:rPr>
          <w:rFonts w:eastAsia="Times New Roman"/>
          <w:color w:val="000000"/>
        </w:rPr>
        <w:t xml:space="preserve">oroelastic </w:t>
      </w:r>
      <w:r>
        <w:rPr>
          <w:rFonts w:eastAsia="Times New Roman"/>
          <w:color w:val="000000"/>
        </w:rPr>
        <w:t>m</w:t>
      </w:r>
      <w:r w:rsidRPr="00D6733D">
        <w:rPr>
          <w:rFonts w:eastAsia="Times New Roman"/>
          <w:color w:val="000000"/>
        </w:rPr>
        <w:t xml:space="preserve">odeling of </w:t>
      </w:r>
      <w:r>
        <w:rPr>
          <w:rFonts w:eastAsia="Times New Roman"/>
          <w:color w:val="000000"/>
        </w:rPr>
        <w:t>m</w:t>
      </w:r>
      <w:r w:rsidRPr="00D6733D">
        <w:rPr>
          <w:rFonts w:eastAsia="Times New Roman"/>
          <w:color w:val="000000"/>
        </w:rPr>
        <w:t xml:space="preserve">ultiple </w:t>
      </w:r>
      <w:r>
        <w:rPr>
          <w:rFonts w:eastAsia="Times New Roman"/>
          <w:color w:val="000000"/>
        </w:rPr>
        <w:t>h</w:t>
      </w:r>
      <w:r w:rsidRPr="00D6733D">
        <w:rPr>
          <w:rFonts w:eastAsia="Times New Roman"/>
          <w:color w:val="000000"/>
        </w:rPr>
        <w:t xml:space="preserve">ydraulic </w:t>
      </w:r>
      <w:r>
        <w:rPr>
          <w:rFonts w:eastAsia="Times New Roman"/>
          <w:color w:val="000000"/>
        </w:rPr>
        <w:t>f</w:t>
      </w:r>
      <w:r w:rsidRPr="00D6733D">
        <w:rPr>
          <w:rFonts w:eastAsia="Times New Roman"/>
          <w:color w:val="000000"/>
        </w:rPr>
        <w:t xml:space="preserve">racture </w:t>
      </w:r>
      <w:r>
        <w:rPr>
          <w:rFonts w:eastAsia="Times New Roman"/>
          <w:color w:val="000000"/>
        </w:rPr>
        <w:t>p</w:t>
      </w:r>
      <w:r w:rsidRPr="00D6733D">
        <w:rPr>
          <w:rFonts w:eastAsia="Times New Roman"/>
          <w:color w:val="000000"/>
        </w:rPr>
        <w:t xml:space="preserve">ropagation from </w:t>
      </w:r>
      <w:r>
        <w:rPr>
          <w:rFonts w:eastAsia="Times New Roman"/>
          <w:color w:val="000000"/>
        </w:rPr>
        <w:t>h</w:t>
      </w:r>
      <w:r w:rsidRPr="00D6733D">
        <w:rPr>
          <w:rFonts w:eastAsia="Times New Roman"/>
          <w:color w:val="000000"/>
        </w:rPr>
        <w:t xml:space="preserve">orizontal </w:t>
      </w:r>
      <w:r>
        <w:rPr>
          <w:rFonts w:eastAsia="Times New Roman"/>
          <w:color w:val="000000"/>
        </w:rPr>
        <w:t>w</w:t>
      </w:r>
      <w:r w:rsidRPr="00D6733D">
        <w:rPr>
          <w:rFonts w:eastAsia="Times New Roman"/>
          <w:color w:val="000000"/>
        </w:rPr>
        <w:t xml:space="preserve">ells. International Journal of Rock Mechanics and </w:t>
      </w:r>
      <w:r>
        <w:rPr>
          <w:rFonts w:eastAsia="Times New Roman"/>
          <w:color w:val="000000"/>
        </w:rPr>
        <w:t>M</w:t>
      </w:r>
      <w:r w:rsidRPr="00980A45">
        <w:rPr>
          <w:rFonts w:eastAsia="Times New Roman"/>
          <w:color w:val="000000"/>
        </w:rPr>
        <w:t>i</w:t>
      </w:r>
      <w:r w:rsidRPr="00D6733D">
        <w:rPr>
          <w:rFonts w:eastAsia="Times New Roman"/>
          <w:color w:val="000000"/>
        </w:rPr>
        <w:t>ning Sciences</w:t>
      </w:r>
      <w:r>
        <w:rPr>
          <w:rFonts w:eastAsia="Times New Roman"/>
          <w:color w:val="000000"/>
        </w:rPr>
        <w:t xml:space="preserve"> </w:t>
      </w:r>
      <w:r w:rsidRPr="00D6733D">
        <w:rPr>
          <w:rFonts w:eastAsia="Times New Roman"/>
          <w:color w:val="000000"/>
        </w:rPr>
        <w:t>105, 192–209.</w:t>
      </w:r>
    </w:p>
    <w:p w14:paraId="4961B017" w14:textId="77777777" w:rsidR="00D073A0" w:rsidRDefault="00D073A0" w:rsidP="00D073A0">
      <w:pPr>
        <w:pStyle w:val="ListParagraph"/>
        <w:numPr>
          <w:ilvl w:val="0"/>
          <w:numId w:val="16"/>
        </w:numPr>
        <w:rPr>
          <w:rFonts w:eastAsia="Times New Roman"/>
          <w:color w:val="000000"/>
        </w:rPr>
      </w:pPr>
      <w:r>
        <w:rPr>
          <w:rFonts w:eastAsia="Times New Roman"/>
          <w:color w:val="000000"/>
        </w:rPr>
        <w:t>Li, F., Verma, S., Zhou, H., Zhao, T., Marfurt, K.J., 2016. Seismic attenuation attributes with applications on conventional and unconventional reservoirs. Interpretation 4, 1, SB63-SB77.</w:t>
      </w:r>
    </w:p>
    <w:p w14:paraId="43AD46C2" w14:textId="77777777" w:rsidR="00D073A0" w:rsidRDefault="00D073A0" w:rsidP="00D073A0">
      <w:pPr>
        <w:pStyle w:val="ListParagraph"/>
        <w:numPr>
          <w:ilvl w:val="0"/>
          <w:numId w:val="16"/>
        </w:numPr>
        <w:rPr>
          <w:rFonts w:eastAsia="Times New Roman"/>
          <w:color w:val="000000"/>
        </w:rPr>
      </w:pPr>
      <w:r>
        <w:rPr>
          <w:rFonts w:eastAsia="Times New Roman"/>
          <w:color w:val="000000"/>
        </w:rPr>
        <w:t xml:space="preserve">Liu, J., 2017. </w:t>
      </w:r>
      <w:r w:rsidRPr="00D6733D">
        <w:rPr>
          <w:rFonts w:eastAsia="Times New Roman"/>
          <w:color w:val="000000"/>
        </w:rPr>
        <w:t>Geomechanical reservoir characterization and applications</w:t>
      </w:r>
      <w:r>
        <w:rPr>
          <w:rFonts w:eastAsia="Times New Roman"/>
          <w:color w:val="000000"/>
        </w:rPr>
        <w:t>. M.Sc. thesis manuscript, The University of Oklahoma, p. 97.</w:t>
      </w:r>
    </w:p>
    <w:p w14:paraId="69806999" w14:textId="77777777" w:rsidR="00D073A0" w:rsidRPr="00D6733D" w:rsidRDefault="00D073A0" w:rsidP="00D073A0">
      <w:pPr>
        <w:pStyle w:val="ListParagraph"/>
        <w:numPr>
          <w:ilvl w:val="0"/>
          <w:numId w:val="16"/>
        </w:numPr>
        <w:rPr>
          <w:rFonts w:eastAsia="Times New Roman"/>
          <w:color w:val="000000"/>
        </w:rPr>
      </w:pPr>
      <w:r>
        <w:rPr>
          <w:rFonts w:eastAsia="Times New Roman"/>
          <w:color w:val="000000"/>
        </w:rPr>
        <w:t xml:space="preserve">Manchuck, J.G., Clayton, V.D., 2012. A </w:t>
      </w:r>
      <w:r w:rsidRPr="009A7813">
        <w:rPr>
          <w:rFonts w:eastAsia="Times New Roman"/>
          <w:color w:val="000000"/>
        </w:rPr>
        <w:t>flexible</w:t>
      </w:r>
      <w:r>
        <w:rPr>
          <w:rFonts w:eastAsia="Times New Roman"/>
          <w:color w:val="000000"/>
        </w:rPr>
        <w:t xml:space="preserve"> </w:t>
      </w:r>
      <w:r w:rsidRPr="009A7813">
        <w:rPr>
          <w:rFonts w:eastAsia="Times New Roman"/>
          <w:color w:val="000000"/>
        </w:rPr>
        <w:t>sequential</w:t>
      </w:r>
      <w:r>
        <w:rPr>
          <w:rFonts w:eastAsia="Times New Roman"/>
          <w:color w:val="000000"/>
        </w:rPr>
        <w:t xml:space="preserve"> </w:t>
      </w:r>
      <w:r w:rsidRPr="009A7813">
        <w:rPr>
          <w:rFonts w:eastAsia="Times New Roman"/>
          <w:color w:val="000000"/>
        </w:rPr>
        <w:t>Gaussian</w:t>
      </w:r>
      <w:r>
        <w:rPr>
          <w:rFonts w:eastAsia="Times New Roman"/>
          <w:color w:val="000000"/>
        </w:rPr>
        <w:t xml:space="preserve"> </w:t>
      </w:r>
      <w:r w:rsidRPr="009A7813">
        <w:rPr>
          <w:rFonts w:eastAsia="Times New Roman"/>
          <w:color w:val="000000"/>
        </w:rPr>
        <w:t>simulation</w:t>
      </w:r>
      <w:r>
        <w:rPr>
          <w:rFonts w:eastAsia="Times New Roman"/>
          <w:color w:val="000000"/>
        </w:rPr>
        <w:t xml:space="preserve"> </w:t>
      </w:r>
      <w:r w:rsidRPr="009A7813">
        <w:rPr>
          <w:rFonts w:eastAsia="Times New Roman"/>
          <w:color w:val="000000"/>
        </w:rPr>
        <w:t>program:</w:t>
      </w:r>
      <w:r>
        <w:rPr>
          <w:rFonts w:eastAsia="Times New Roman"/>
          <w:color w:val="000000"/>
        </w:rPr>
        <w:t xml:space="preserve"> </w:t>
      </w:r>
      <w:r w:rsidRPr="009A7813">
        <w:rPr>
          <w:rFonts w:eastAsia="Times New Roman"/>
          <w:color w:val="000000"/>
        </w:rPr>
        <w:t>USGSIM</w:t>
      </w:r>
      <w:r>
        <w:rPr>
          <w:rFonts w:eastAsia="Times New Roman"/>
          <w:color w:val="000000"/>
        </w:rPr>
        <w:t xml:space="preserve">. </w:t>
      </w:r>
      <w:r w:rsidRPr="009A7813">
        <w:rPr>
          <w:rFonts w:eastAsia="Times New Roman"/>
          <w:color w:val="000000"/>
        </w:rPr>
        <w:t>Computers &amp;</w:t>
      </w:r>
      <w:r>
        <w:rPr>
          <w:rFonts w:eastAsia="Times New Roman"/>
          <w:color w:val="000000"/>
        </w:rPr>
        <w:t xml:space="preserve"> </w:t>
      </w:r>
      <w:r w:rsidRPr="009A7813">
        <w:rPr>
          <w:rFonts w:eastAsia="Times New Roman"/>
          <w:color w:val="000000"/>
        </w:rPr>
        <w:t>Geosciences</w:t>
      </w:r>
      <w:r>
        <w:rPr>
          <w:rFonts w:eastAsia="Times New Roman"/>
          <w:color w:val="000000"/>
        </w:rPr>
        <w:t xml:space="preserve"> </w:t>
      </w:r>
      <w:r w:rsidRPr="009A7813">
        <w:rPr>
          <w:rFonts w:eastAsia="Times New Roman"/>
          <w:color w:val="000000"/>
        </w:rPr>
        <w:t>41</w:t>
      </w:r>
      <w:r>
        <w:rPr>
          <w:rFonts w:eastAsia="Times New Roman"/>
          <w:color w:val="000000"/>
        </w:rPr>
        <w:t xml:space="preserve">, </w:t>
      </w:r>
      <w:r w:rsidRPr="009A7813">
        <w:rPr>
          <w:rFonts w:eastAsia="Times New Roman"/>
          <w:color w:val="000000"/>
        </w:rPr>
        <w:t>2012</w:t>
      </w:r>
      <w:r>
        <w:rPr>
          <w:rFonts w:eastAsia="Times New Roman"/>
          <w:color w:val="000000"/>
        </w:rPr>
        <w:t xml:space="preserve">, </w:t>
      </w:r>
      <w:r w:rsidRPr="009A7813">
        <w:rPr>
          <w:rFonts w:eastAsia="Times New Roman"/>
          <w:color w:val="000000"/>
        </w:rPr>
        <w:t>208–216</w:t>
      </w:r>
      <w:r>
        <w:rPr>
          <w:rFonts w:eastAsia="Times New Roman"/>
          <w:color w:val="000000"/>
        </w:rPr>
        <w:t>.</w:t>
      </w:r>
    </w:p>
    <w:p w14:paraId="7E600CB6" w14:textId="77777777" w:rsidR="00D073A0" w:rsidRPr="003617B4" w:rsidRDefault="00D073A0" w:rsidP="00D073A0">
      <w:pPr>
        <w:pStyle w:val="ListParagraph"/>
        <w:numPr>
          <w:ilvl w:val="0"/>
          <w:numId w:val="16"/>
        </w:numPr>
        <w:rPr>
          <w:rFonts w:eastAsia="Times New Roman"/>
          <w:color w:val="000000"/>
        </w:rPr>
      </w:pPr>
      <w:r w:rsidRPr="003617B4">
        <w:rPr>
          <w:rFonts w:eastAsia="Times New Roman"/>
          <w:color w:val="000000"/>
          <w:lang w:val="es-CO"/>
        </w:rPr>
        <w:t xml:space="preserve">Matos, M., Yenugu, M., Angelo, S.M., Marfurt, K.J., 2011. </w:t>
      </w:r>
      <w:r w:rsidRPr="003617B4">
        <w:rPr>
          <w:rFonts w:eastAsia="Times New Roman"/>
          <w:color w:val="000000"/>
        </w:rPr>
        <w:t>Integrated seismic texture segmentation and cluster analysis applied to channel delineation and chert reservoir characterization</w:t>
      </w:r>
      <w:r>
        <w:rPr>
          <w:rFonts w:eastAsia="Times New Roman"/>
          <w:color w:val="000000"/>
        </w:rPr>
        <w:t>.</w:t>
      </w:r>
      <w:r w:rsidRPr="003617B4">
        <w:rPr>
          <w:rFonts w:eastAsia="Times New Roman"/>
          <w:color w:val="000000"/>
        </w:rPr>
        <w:t xml:space="preserve"> Geophysics 76, 11-21.</w:t>
      </w:r>
    </w:p>
    <w:p w14:paraId="45D4A52B"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Meldahl, P., Heggland, R., Bril, B., and de Groot, P., 2001</w:t>
      </w:r>
      <w:r>
        <w:rPr>
          <w:rFonts w:eastAsia="Times New Roman"/>
          <w:color w:val="000000"/>
        </w:rPr>
        <w:t>.</w:t>
      </w:r>
      <w:r w:rsidRPr="00680903">
        <w:rPr>
          <w:rFonts w:eastAsia="Times New Roman"/>
          <w:color w:val="000000"/>
        </w:rPr>
        <w:t xml:space="preserve"> Identifying fault and gas chimneys using multi-attributes and neural networks: </w:t>
      </w:r>
      <w:r>
        <w:rPr>
          <w:rFonts w:eastAsia="Times New Roman"/>
          <w:color w:val="000000"/>
        </w:rPr>
        <w:t xml:space="preserve">SEG </w:t>
      </w:r>
      <w:r w:rsidRPr="00680903">
        <w:rPr>
          <w:rFonts w:eastAsia="Times New Roman"/>
          <w:color w:val="000000"/>
        </w:rPr>
        <w:t xml:space="preserve">The Leading Edge 20, 474–482. </w:t>
      </w:r>
    </w:p>
    <w:p w14:paraId="09D130A0" w14:textId="77777777" w:rsidR="00D073A0" w:rsidRPr="00183F0C" w:rsidRDefault="00D073A0" w:rsidP="00D073A0">
      <w:pPr>
        <w:pStyle w:val="ListParagraph"/>
        <w:numPr>
          <w:ilvl w:val="0"/>
          <w:numId w:val="16"/>
        </w:numPr>
        <w:rPr>
          <w:rFonts w:eastAsia="Times New Roman"/>
          <w:color w:val="000000"/>
        </w:rPr>
      </w:pPr>
      <w:r>
        <w:rPr>
          <w:rFonts w:eastAsia="Times New Roman"/>
          <w:color w:val="000000"/>
        </w:rPr>
        <w:t>M</w:t>
      </w:r>
      <w:r w:rsidRPr="00980A45">
        <w:rPr>
          <w:rFonts w:eastAsia="Times New Roman"/>
          <w:color w:val="000000"/>
        </w:rPr>
        <w:t>i</w:t>
      </w:r>
      <w:r w:rsidRPr="00183F0C">
        <w:rPr>
          <w:rFonts w:eastAsia="Times New Roman"/>
          <w:color w:val="000000"/>
        </w:rPr>
        <w:t xml:space="preserve">celi-Romero, A.A, 2010. Geochemical characterization of the Woodford Shale, central and southeastern Oklahoma. M.Sc. </w:t>
      </w:r>
      <w:r>
        <w:rPr>
          <w:rFonts w:eastAsia="Times New Roman"/>
          <w:color w:val="000000"/>
        </w:rPr>
        <w:t>t</w:t>
      </w:r>
      <w:r w:rsidRPr="00183F0C">
        <w:rPr>
          <w:rFonts w:eastAsia="Times New Roman"/>
          <w:color w:val="000000"/>
        </w:rPr>
        <w:t xml:space="preserve">hesis manuscript, The University of Oklahoma, p. 149. </w:t>
      </w:r>
    </w:p>
    <w:p w14:paraId="394320F9" w14:textId="77777777" w:rsidR="00D073A0" w:rsidRDefault="00D073A0" w:rsidP="00D073A0">
      <w:pPr>
        <w:pStyle w:val="ListParagraph"/>
        <w:numPr>
          <w:ilvl w:val="0"/>
          <w:numId w:val="16"/>
        </w:numPr>
        <w:rPr>
          <w:rFonts w:eastAsia="Times New Roman"/>
          <w:color w:val="000000"/>
        </w:rPr>
      </w:pPr>
      <w:r>
        <w:rPr>
          <w:rFonts w:eastAsia="Times New Roman"/>
          <w:color w:val="000000"/>
        </w:rPr>
        <w:t>M</w:t>
      </w:r>
      <w:r w:rsidRPr="00980A45">
        <w:rPr>
          <w:rFonts w:eastAsia="Times New Roman"/>
          <w:color w:val="000000"/>
        </w:rPr>
        <w:t>i</w:t>
      </w:r>
      <w:r w:rsidRPr="00183F0C">
        <w:rPr>
          <w:rFonts w:eastAsia="Times New Roman"/>
          <w:color w:val="000000"/>
        </w:rPr>
        <w:t>celi-Romero, A.A., and Philp,</w:t>
      </w:r>
      <w:r>
        <w:rPr>
          <w:rFonts w:eastAsia="Times New Roman"/>
          <w:color w:val="000000"/>
        </w:rPr>
        <w:t xml:space="preserve"> </w:t>
      </w:r>
      <w:r w:rsidRPr="00183F0C">
        <w:rPr>
          <w:rFonts w:eastAsia="Times New Roman"/>
          <w:color w:val="000000"/>
        </w:rPr>
        <w:t>R.P.</w:t>
      </w:r>
      <w:r>
        <w:rPr>
          <w:rFonts w:eastAsia="Times New Roman"/>
          <w:color w:val="000000"/>
        </w:rPr>
        <w:t>,</w:t>
      </w:r>
      <w:r w:rsidRPr="00183F0C">
        <w:rPr>
          <w:rFonts w:eastAsia="Times New Roman"/>
          <w:color w:val="000000"/>
        </w:rPr>
        <w:t xml:space="preserve"> 2012</w:t>
      </w:r>
      <w:r>
        <w:rPr>
          <w:rFonts w:eastAsia="Times New Roman"/>
          <w:color w:val="000000"/>
        </w:rPr>
        <w:t>.</w:t>
      </w:r>
      <w:r w:rsidRPr="00183F0C">
        <w:rPr>
          <w:rFonts w:eastAsia="Times New Roman"/>
          <w:color w:val="000000"/>
        </w:rPr>
        <w:t xml:space="preserve"> Organic geochemistry of the Woodford Shale, </w:t>
      </w:r>
      <w:r>
        <w:rPr>
          <w:rFonts w:eastAsia="Times New Roman"/>
          <w:color w:val="000000"/>
        </w:rPr>
        <w:t>s</w:t>
      </w:r>
      <w:r w:rsidRPr="00183F0C">
        <w:rPr>
          <w:rFonts w:eastAsia="Times New Roman"/>
          <w:color w:val="000000"/>
        </w:rPr>
        <w:t>outheastern Oklahoma: How variable can shale be? AAPG Bulletin, 96</w:t>
      </w:r>
      <w:r>
        <w:rPr>
          <w:rFonts w:eastAsia="Times New Roman"/>
          <w:color w:val="000000"/>
        </w:rPr>
        <w:t xml:space="preserve">, </w:t>
      </w:r>
      <w:r w:rsidRPr="00183F0C">
        <w:rPr>
          <w:rFonts w:eastAsia="Times New Roman"/>
          <w:color w:val="000000"/>
        </w:rPr>
        <w:t>3, 493-517.</w:t>
      </w:r>
    </w:p>
    <w:p w14:paraId="5F54C8CC" w14:textId="77777777" w:rsidR="00D073A0" w:rsidRDefault="00D073A0" w:rsidP="00D073A0">
      <w:pPr>
        <w:pStyle w:val="ListParagraph"/>
        <w:numPr>
          <w:ilvl w:val="0"/>
          <w:numId w:val="16"/>
        </w:numPr>
        <w:rPr>
          <w:rFonts w:eastAsia="Times New Roman"/>
          <w:color w:val="000000"/>
        </w:rPr>
      </w:pPr>
      <w:r w:rsidRPr="00680903">
        <w:rPr>
          <w:rFonts w:eastAsia="Times New Roman"/>
          <w:color w:val="000000"/>
        </w:rPr>
        <w:t xml:space="preserve">Molinares, C. E., 2013. Stratigraphy and palynomorphs composition of the Woodford Shale in the Wyche </w:t>
      </w:r>
      <w:r>
        <w:rPr>
          <w:rFonts w:eastAsia="Times New Roman"/>
          <w:color w:val="000000"/>
        </w:rPr>
        <w:t>f</w:t>
      </w:r>
      <w:r w:rsidRPr="00680903">
        <w:rPr>
          <w:rFonts w:eastAsia="Times New Roman"/>
          <w:color w:val="000000"/>
        </w:rPr>
        <w:t xml:space="preserve">arm Shale </w:t>
      </w:r>
      <w:r>
        <w:rPr>
          <w:rFonts w:eastAsia="Times New Roman"/>
          <w:color w:val="000000"/>
        </w:rPr>
        <w:t>p</w:t>
      </w:r>
      <w:r w:rsidRPr="00680903">
        <w:rPr>
          <w:rFonts w:eastAsia="Times New Roman"/>
          <w:color w:val="000000"/>
        </w:rPr>
        <w:t>it, Pontotoc County, Oklahoma. M.Sc. Thesis Manuscript. The University of Oklahoma, School of Geology and Geophysics, pp. 104.</w:t>
      </w:r>
    </w:p>
    <w:p w14:paraId="52A819DE" w14:textId="77777777" w:rsidR="00D073A0" w:rsidRPr="00426AB6" w:rsidRDefault="00D073A0" w:rsidP="00D073A0">
      <w:pPr>
        <w:pStyle w:val="ListParagraph"/>
        <w:numPr>
          <w:ilvl w:val="0"/>
          <w:numId w:val="16"/>
        </w:numPr>
        <w:rPr>
          <w:rFonts w:eastAsia="Times New Roman"/>
          <w:color w:val="000000"/>
        </w:rPr>
      </w:pPr>
      <w:r w:rsidRPr="00B60E9D">
        <w:lastRenderedPageBreak/>
        <w:t xml:space="preserve">Molinares, C. E., 2019. The Frasnian/Famennian (F/F) transition in the Woodford </w:t>
      </w:r>
      <w:r>
        <w:t>S</w:t>
      </w:r>
      <w:r w:rsidRPr="00B60E9D">
        <w:t xml:space="preserve">hale, </w:t>
      </w:r>
      <w:r>
        <w:t>s</w:t>
      </w:r>
      <w:r w:rsidRPr="00B60E9D">
        <w:t>outh-</w:t>
      </w:r>
      <w:r>
        <w:t>c</w:t>
      </w:r>
      <w:r w:rsidRPr="00B60E9D">
        <w:t xml:space="preserve">entral Oklahoma – a multiproxy approach. </w:t>
      </w:r>
      <w:r>
        <w:t>Doctoral dissertation m</w:t>
      </w:r>
      <w:r w:rsidRPr="00B60E9D">
        <w:t>anuscript</w:t>
      </w:r>
      <w:r>
        <w:t>,</w:t>
      </w:r>
      <w:r w:rsidRPr="00B60E9D">
        <w:t xml:space="preserve"> The University of Oklahoma, p. 117.</w:t>
      </w:r>
    </w:p>
    <w:p w14:paraId="15F538BC" w14:textId="77777777" w:rsidR="00D073A0" w:rsidRDefault="00D073A0" w:rsidP="00D073A0">
      <w:pPr>
        <w:pStyle w:val="ListParagraph"/>
        <w:numPr>
          <w:ilvl w:val="0"/>
          <w:numId w:val="16"/>
        </w:numPr>
        <w:rPr>
          <w:rFonts w:eastAsia="Times New Roman"/>
          <w:color w:val="000000"/>
        </w:rPr>
      </w:pPr>
      <w:r>
        <w:rPr>
          <w:rFonts w:eastAsia="Times New Roman"/>
          <w:color w:val="000000"/>
        </w:rPr>
        <w:t>Mullen, M., Roundtree, R., Barree, R., and Turk, G., 2007. A composite determination of mechanical rock properties for stimulation design (What to do when you do not have a sonic log). SPE Rocky Mountain oil and gas technology symposium, Denver, CO. SPE 108139.</w:t>
      </w:r>
    </w:p>
    <w:p w14:paraId="7B8E4B07" w14:textId="77777777" w:rsidR="00D073A0" w:rsidRPr="007B0BF9" w:rsidRDefault="00D073A0" w:rsidP="00D073A0">
      <w:pPr>
        <w:pStyle w:val="ListParagraph"/>
        <w:numPr>
          <w:ilvl w:val="0"/>
          <w:numId w:val="16"/>
        </w:numPr>
        <w:rPr>
          <w:rFonts w:eastAsia="Times New Roman"/>
          <w:color w:val="000000"/>
        </w:rPr>
      </w:pPr>
      <w:r>
        <w:rPr>
          <w:rFonts w:eastAsia="Times New Roman"/>
          <w:color w:val="000000"/>
        </w:rPr>
        <w:t xml:space="preserve">Muralidharan, V., Joshi, K., 2018. Myths and facts of forecasting horizontal well production in unconventional reservoirs – Are we complicating a simple analysis? </w:t>
      </w:r>
      <w:r w:rsidRPr="00B774D3">
        <w:rPr>
          <w:rFonts w:eastAsia="Times New Roman"/>
          <w:color w:val="000000"/>
        </w:rPr>
        <w:t>Unconventional Resources Technology Conference (URTeC)</w:t>
      </w:r>
      <w:r>
        <w:rPr>
          <w:rFonts w:eastAsia="Times New Roman"/>
          <w:color w:val="000000"/>
        </w:rPr>
        <w:t xml:space="preserve"> 2018, 2897088, p. 19.</w:t>
      </w:r>
    </w:p>
    <w:p w14:paraId="1CE1375E" w14:textId="77777777" w:rsidR="00D073A0" w:rsidRPr="0000540A" w:rsidRDefault="00D073A0" w:rsidP="00D073A0">
      <w:pPr>
        <w:pStyle w:val="ListParagraph"/>
        <w:numPr>
          <w:ilvl w:val="0"/>
          <w:numId w:val="16"/>
        </w:numPr>
        <w:rPr>
          <w:rFonts w:eastAsia="Times New Roman"/>
          <w:color w:val="000000"/>
        </w:rPr>
      </w:pPr>
      <w:r w:rsidRPr="0000540A">
        <w:rPr>
          <w:rFonts w:eastAsia="Times New Roman"/>
          <w:color w:val="000000"/>
        </w:rPr>
        <w:t>Nayaran, N</w:t>
      </w:r>
      <w:r>
        <w:rPr>
          <w:rFonts w:eastAsia="Times New Roman"/>
          <w:color w:val="000000"/>
        </w:rPr>
        <w:t>.</w:t>
      </w:r>
      <w:r w:rsidRPr="0000540A">
        <w:rPr>
          <w:rFonts w:eastAsia="Times New Roman"/>
          <w:color w:val="000000"/>
        </w:rPr>
        <w:t>, Truax, J</w:t>
      </w:r>
      <w:r>
        <w:rPr>
          <w:rFonts w:eastAsia="Times New Roman"/>
          <w:color w:val="000000"/>
        </w:rPr>
        <w:t>.</w:t>
      </w:r>
      <w:r w:rsidRPr="0000540A">
        <w:rPr>
          <w:rFonts w:eastAsia="Times New Roman"/>
          <w:color w:val="000000"/>
        </w:rPr>
        <w:t>, 2017. Comparing and estimating initial production of fractured wells using vertical well logs</w:t>
      </w:r>
      <w:r>
        <w:rPr>
          <w:rFonts w:eastAsia="Times New Roman"/>
          <w:color w:val="000000"/>
        </w:rPr>
        <w:t xml:space="preserve">. </w:t>
      </w:r>
      <w:r w:rsidRPr="0000540A">
        <w:rPr>
          <w:rFonts w:eastAsia="Times New Roman"/>
          <w:color w:val="000000"/>
        </w:rPr>
        <w:t xml:space="preserve">SPWLA 58th Annual Logging Symposium, June </w:t>
      </w:r>
      <w:r>
        <w:rPr>
          <w:rFonts w:eastAsia="Times New Roman"/>
          <w:color w:val="000000"/>
        </w:rPr>
        <w:t>2017, p. 17.</w:t>
      </w:r>
    </w:p>
    <w:p w14:paraId="0715D350" w14:textId="77777777" w:rsidR="00D073A0" w:rsidRPr="00D37FC2" w:rsidRDefault="00D073A0" w:rsidP="00D073A0">
      <w:pPr>
        <w:pStyle w:val="ListParagraph"/>
        <w:numPr>
          <w:ilvl w:val="0"/>
          <w:numId w:val="16"/>
        </w:numPr>
        <w:rPr>
          <w:rFonts w:eastAsia="Times New Roman"/>
          <w:color w:val="000000"/>
        </w:rPr>
      </w:pPr>
      <w:r w:rsidRPr="00D37FC2">
        <w:rPr>
          <w:rFonts w:eastAsia="Times New Roman"/>
          <w:color w:val="000000"/>
        </w:rPr>
        <w:t xml:space="preserve">Northcutt, R.A., Johnson, K.S., and Hinshaw, G.C., 2001. Geology and petroleum reservoirs in Silurian, Devonian, and </w:t>
      </w:r>
      <w:r>
        <w:rPr>
          <w:rFonts w:eastAsia="Times New Roman"/>
          <w:color w:val="000000"/>
        </w:rPr>
        <w:t>M</w:t>
      </w:r>
      <w:r w:rsidRPr="00980A45">
        <w:rPr>
          <w:rFonts w:eastAsia="Times New Roman"/>
          <w:color w:val="000000"/>
        </w:rPr>
        <w:t>i</w:t>
      </w:r>
      <w:r w:rsidRPr="00D37FC2">
        <w:rPr>
          <w:rFonts w:eastAsia="Times New Roman"/>
          <w:color w:val="000000"/>
        </w:rPr>
        <w:t xml:space="preserve">ssissippian rocks in Oklahoma. In: Johnson K. S., eds., Silurian, Devonian, and </w:t>
      </w:r>
      <w:r>
        <w:rPr>
          <w:rFonts w:eastAsia="Times New Roman"/>
          <w:color w:val="000000"/>
        </w:rPr>
        <w:t>M</w:t>
      </w:r>
      <w:r w:rsidRPr="00980A45">
        <w:rPr>
          <w:rFonts w:eastAsia="Times New Roman"/>
          <w:color w:val="000000"/>
        </w:rPr>
        <w:t>i</w:t>
      </w:r>
      <w:r w:rsidRPr="00D37FC2">
        <w:rPr>
          <w:rFonts w:eastAsia="Times New Roman"/>
          <w:color w:val="000000"/>
        </w:rPr>
        <w:t xml:space="preserve">ssissippian geology and petroleum in the </w:t>
      </w:r>
      <w:r>
        <w:rPr>
          <w:rFonts w:eastAsia="Times New Roman"/>
          <w:color w:val="000000"/>
        </w:rPr>
        <w:t>s</w:t>
      </w:r>
      <w:r w:rsidRPr="00D37FC2">
        <w:rPr>
          <w:rFonts w:eastAsia="Times New Roman"/>
          <w:color w:val="000000"/>
        </w:rPr>
        <w:t xml:space="preserve">outhern </w:t>
      </w:r>
      <w:r w:rsidRPr="00980A45">
        <w:rPr>
          <w:rFonts w:eastAsia="Times New Roman"/>
          <w:color w:val="000000"/>
        </w:rPr>
        <w:t>mi</w:t>
      </w:r>
      <w:r w:rsidRPr="00D37FC2">
        <w:rPr>
          <w:rFonts w:eastAsia="Times New Roman"/>
          <w:color w:val="000000"/>
        </w:rPr>
        <w:t>dcontinent, 1999 symposium. Oklahoma Geological Survey Circular 105, 1-29.</w:t>
      </w:r>
    </w:p>
    <w:p w14:paraId="6B586672" w14:textId="77777777" w:rsidR="00D073A0" w:rsidRDefault="00D073A0" w:rsidP="00D073A0">
      <w:pPr>
        <w:pStyle w:val="ListParagraph"/>
        <w:numPr>
          <w:ilvl w:val="0"/>
          <w:numId w:val="16"/>
        </w:numPr>
        <w:rPr>
          <w:rFonts w:eastAsia="Times New Roman"/>
          <w:color w:val="000000"/>
        </w:rPr>
      </w:pPr>
      <w:r w:rsidRPr="00EC51F4">
        <w:rPr>
          <w:rFonts w:eastAsia="Times New Roman"/>
          <w:color w:val="000000"/>
        </w:rPr>
        <w:t>Passey, Q. R., Creaney, S., Kulla, J.B., Moretti, F.J., and Stroud, J.D., 1990. A practical model for organic richness from porosity and resistivity logs. AAPG Bulletin 74, 1777-1794.</w:t>
      </w:r>
    </w:p>
    <w:p w14:paraId="395F2112" w14:textId="77777777" w:rsidR="00D073A0" w:rsidRPr="00EC51F4" w:rsidRDefault="00D073A0" w:rsidP="00D073A0">
      <w:pPr>
        <w:pStyle w:val="ListParagraph"/>
        <w:numPr>
          <w:ilvl w:val="0"/>
          <w:numId w:val="16"/>
        </w:numPr>
        <w:rPr>
          <w:rFonts w:eastAsia="Times New Roman"/>
          <w:color w:val="000000"/>
        </w:rPr>
      </w:pPr>
      <w:r w:rsidRPr="00EC51F4">
        <w:rPr>
          <w:rFonts w:eastAsia="Times New Roman"/>
          <w:color w:val="000000"/>
        </w:rPr>
        <w:t>Passey, Q. R.., Bohacs, K. M., Esch, W. L., Klimentidis, R., and Sinha, S., 2010. From oil-prone source rock to gas-producing shale reservoir-geologic and petrophysical characterization of unconventional shale-gas reservoirs. 2010 CPS/SPE International Oil &amp; Gas Conference and Exhibition in China, 29 p.</w:t>
      </w:r>
    </w:p>
    <w:p w14:paraId="11847A8C" w14:textId="77777777" w:rsidR="00D073A0" w:rsidRPr="00EC51F4" w:rsidRDefault="00D073A0" w:rsidP="00D073A0">
      <w:pPr>
        <w:pStyle w:val="ListParagraph"/>
        <w:numPr>
          <w:ilvl w:val="0"/>
          <w:numId w:val="16"/>
        </w:numPr>
        <w:rPr>
          <w:rFonts w:eastAsia="Times New Roman"/>
          <w:color w:val="000000"/>
        </w:rPr>
      </w:pPr>
      <w:r w:rsidRPr="00EC51F4">
        <w:rPr>
          <w:rFonts w:eastAsia="Times New Roman"/>
          <w:color w:val="000000"/>
        </w:rPr>
        <w:t xml:space="preserve">Portas, R., 2009. Characterization and origin of fracture patterns in the Woodford Shale in </w:t>
      </w:r>
      <w:r>
        <w:rPr>
          <w:rFonts w:eastAsia="Times New Roman"/>
          <w:color w:val="000000"/>
        </w:rPr>
        <w:t>s</w:t>
      </w:r>
      <w:r w:rsidRPr="00EC51F4">
        <w:rPr>
          <w:rFonts w:eastAsia="Times New Roman"/>
          <w:color w:val="000000"/>
        </w:rPr>
        <w:t>outheastern Oklahoma for application to exploration and development. M.Sc. thesis manuscript, The University of Oklahoma, p. 113.</w:t>
      </w:r>
    </w:p>
    <w:p w14:paraId="225DF985" w14:textId="77777777" w:rsidR="00D073A0" w:rsidRDefault="00D073A0" w:rsidP="00D073A0">
      <w:pPr>
        <w:pStyle w:val="ListParagraph"/>
        <w:numPr>
          <w:ilvl w:val="0"/>
          <w:numId w:val="16"/>
        </w:numPr>
        <w:rPr>
          <w:rFonts w:eastAsia="Times New Roman"/>
          <w:color w:val="000000"/>
        </w:rPr>
      </w:pPr>
      <w:r w:rsidRPr="00680903">
        <w:rPr>
          <w:rFonts w:eastAsia="Times New Roman"/>
          <w:color w:val="000000"/>
        </w:rPr>
        <w:t>Qi, J., Lin,</w:t>
      </w:r>
      <w:r>
        <w:rPr>
          <w:rFonts w:eastAsia="Times New Roman"/>
          <w:color w:val="000000"/>
        </w:rPr>
        <w:t xml:space="preserve"> T., </w:t>
      </w:r>
      <w:r w:rsidRPr="00680903">
        <w:rPr>
          <w:rFonts w:eastAsia="Times New Roman"/>
          <w:color w:val="000000"/>
        </w:rPr>
        <w:t>Zhao,</w:t>
      </w:r>
      <w:r>
        <w:rPr>
          <w:rFonts w:eastAsia="Times New Roman"/>
          <w:color w:val="000000"/>
        </w:rPr>
        <w:t xml:space="preserve"> T.,  </w:t>
      </w:r>
      <w:r w:rsidRPr="00680903">
        <w:rPr>
          <w:rFonts w:eastAsia="Times New Roman"/>
          <w:color w:val="000000"/>
        </w:rPr>
        <w:t>Li,</w:t>
      </w:r>
      <w:r>
        <w:rPr>
          <w:rFonts w:eastAsia="Times New Roman"/>
          <w:color w:val="000000"/>
        </w:rPr>
        <w:t xml:space="preserve"> F.,</w:t>
      </w:r>
      <w:r w:rsidRPr="00680903">
        <w:rPr>
          <w:rFonts w:eastAsia="Times New Roman"/>
          <w:color w:val="000000"/>
        </w:rPr>
        <w:t xml:space="preserve"> and Marfurt,</w:t>
      </w:r>
      <w:r>
        <w:rPr>
          <w:rFonts w:eastAsia="Times New Roman"/>
          <w:color w:val="000000"/>
        </w:rPr>
        <w:t xml:space="preserve"> K.J.,</w:t>
      </w:r>
      <w:r w:rsidRPr="00680903">
        <w:rPr>
          <w:rFonts w:eastAsia="Times New Roman"/>
          <w:color w:val="000000"/>
        </w:rPr>
        <w:t xml:space="preserve"> 2016</w:t>
      </w:r>
      <w:r>
        <w:rPr>
          <w:rFonts w:eastAsia="Times New Roman"/>
          <w:color w:val="000000"/>
        </w:rPr>
        <w:t>.</w:t>
      </w:r>
      <w:r w:rsidRPr="00680903">
        <w:rPr>
          <w:rFonts w:eastAsia="Times New Roman"/>
          <w:color w:val="000000"/>
        </w:rPr>
        <w:t xml:space="preserve"> Semisupervised multiattribute seismic facies analysis</w:t>
      </w:r>
      <w:r>
        <w:rPr>
          <w:rFonts w:eastAsia="Times New Roman"/>
          <w:color w:val="000000"/>
        </w:rPr>
        <w:t>.</w:t>
      </w:r>
      <w:r w:rsidRPr="00680903">
        <w:rPr>
          <w:rFonts w:eastAsia="Times New Roman"/>
          <w:color w:val="000000"/>
        </w:rPr>
        <w:t xml:space="preserve"> Interpretation 4, 1, SB91-SB106</w:t>
      </w:r>
      <w:r>
        <w:rPr>
          <w:rFonts w:eastAsia="Times New Roman"/>
          <w:color w:val="000000"/>
        </w:rPr>
        <w:t>.</w:t>
      </w:r>
    </w:p>
    <w:p w14:paraId="0A3A20B0" w14:textId="77777777" w:rsidR="00D073A0" w:rsidRPr="00444424" w:rsidRDefault="00D073A0" w:rsidP="00D073A0">
      <w:pPr>
        <w:pStyle w:val="ListParagraph"/>
        <w:numPr>
          <w:ilvl w:val="0"/>
          <w:numId w:val="16"/>
        </w:numPr>
        <w:rPr>
          <w:rFonts w:eastAsia="Times New Roman"/>
          <w:color w:val="000000"/>
        </w:rPr>
      </w:pPr>
      <w:r w:rsidRPr="00444424">
        <w:rPr>
          <w:rFonts w:eastAsia="Times New Roman"/>
          <w:color w:val="000000"/>
        </w:rPr>
        <w:t xml:space="preserve">Qiao, J., Cai, X., Xiao, Q., Chen, Z., Kulkarni, P., Ferris, C., Kamarthi, S., Sridhar, S., 2019. Data on MRI brain lesion segmentation using K-means and Gaussian Mixture model-expectation maximization. Journal Data 27, 2019, 104628, p. 9. </w:t>
      </w:r>
    </w:p>
    <w:p w14:paraId="7304AA58" w14:textId="77777777" w:rsidR="00D073A0" w:rsidRPr="00363953" w:rsidRDefault="00D073A0" w:rsidP="00D073A0">
      <w:pPr>
        <w:pStyle w:val="ListParagraph"/>
        <w:numPr>
          <w:ilvl w:val="0"/>
          <w:numId w:val="16"/>
        </w:numPr>
        <w:rPr>
          <w:rFonts w:eastAsia="Times New Roman"/>
          <w:color w:val="000000"/>
        </w:rPr>
      </w:pPr>
      <w:r>
        <w:rPr>
          <w:rFonts w:eastAsia="Times New Roman"/>
          <w:color w:val="000000"/>
        </w:rPr>
        <w:t xml:space="preserve">Rickman, R., Mullen, M., Petre, E., Grieser, B., and Kundert, D., 2008. A practical use of Shale petrophysics for stimulation design optimization: All shale plays are not clones of the Barnett </w:t>
      </w:r>
      <w:r>
        <w:rPr>
          <w:rFonts w:eastAsia="Times New Roman"/>
          <w:color w:val="000000"/>
        </w:rPr>
        <w:lastRenderedPageBreak/>
        <w:t xml:space="preserve">Shale: </w:t>
      </w:r>
      <w:r w:rsidRPr="00B60E9D">
        <w:t xml:space="preserve">Proceedings from the </w:t>
      </w:r>
      <w:r>
        <w:t xml:space="preserve">SPE Annual Technical Conference and Exhibition ATC, SPE 115258. </w:t>
      </w:r>
    </w:p>
    <w:p w14:paraId="1507EAD5" w14:textId="77777777" w:rsidR="00D073A0" w:rsidRDefault="00D073A0" w:rsidP="00D073A0">
      <w:pPr>
        <w:pStyle w:val="ListParagraph"/>
        <w:numPr>
          <w:ilvl w:val="0"/>
          <w:numId w:val="16"/>
        </w:numPr>
        <w:rPr>
          <w:rFonts w:eastAsia="Times New Roman"/>
          <w:color w:val="000000"/>
        </w:rPr>
      </w:pPr>
      <w:r w:rsidRPr="00680903">
        <w:rPr>
          <w:rFonts w:eastAsia="Times New Roman"/>
          <w:color w:val="000000"/>
        </w:rPr>
        <w:t>Roy, A., Dowdell,</w:t>
      </w:r>
      <w:r>
        <w:rPr>
          <w:rFonts w:eastAsia="Times New Roman"/>
          <w:color w:val="000000"/>
        </w:rPr>
        <w:t xml:space="preserve"> </w:t>
      </w:r>
      <w:r w:rsidRPr="00680903">
        <w:rPr>
          <w:rFonts w:eastAsia="Times New Roman"/>
          <w:color w:val="000000"/>
        </w:rPr>
        <w:t>B.</w:t>
      </w:r>
      <w:r>
        <w:rPr>
          <w:rFonts w:eastAsia="Times New Roman"/>
          <w:color w:val="000000"/>
        </w:rPr>
        <w:t xml:space="preserve">, </w:t>
      </w:r>
      <w:r w:rsidRPr="00680903">
        <w:rPr>
          <w:rFonts w:eastAsia="Times New Roman"/>
          <w:color w:val="000000"/>
        </w:rPr>
        <w:t>and Marfurt,</w:t>
      </w:r>
      <w:r>
        <w:rPr>
          <w:rFonts w:eastAsia="Times New Roman"/>
          <w:color w:val="000000"/>
        </w:rPr>
        <w:t xml:space="preserve"> K.J.,</w:t>
      </w:r>
      <w:r w:rsidRPr="00680903">
        <w:rPr>
          <w:rFonts w:eastAsia="Times New Roman"/>
          <w:color w:val="000000"/>
        </w:rPr>
        <w:t xml:space="preserve"> 2013</w:t>
      </w:r>
      <w:r>
        <w:rPr>
          <w:rFonts w:eastAsia="Times New Roman"/>
          <w:color w:val="000000"/>
        </w:rPr>
        <w:t>.</w:t>
      </w:r>
      <w:r w:rsidRPr="00680903">
        <w:rPr>
          <w:rFonts w:eastAsia="Times New Roman"/>
          <w:color w:val="000000"/>
        </w:rPr>
        <w:t xml:space="preserve"> Characterizing a </w:t>
      </w:r>
      <w:r>
        <w:rPr>
          <w:rFonts w:eastAsia="Times New Roman"/>
          <w:color w:val="000000"/>
        </w:rPr>
        <w:t>M</w:t>
      </w:r>
      <w:r w:rsidRPr="00980A45">
        <w:rPr>
          <w:rFonts w:eastAsia="Times New Roman"/>
          <w:color w:val="000000"/>
        </w:rPr>
        <w:t>i</w:t>
      </w:r>
      <w:r w:rsidRPr="00680903">
        <w:rPr>
          <w:rFonts w:eastAsia="Times New Roman"/>
          <w:color w:val="000000"/>
        </w:rPr>
        <w:t>ssissippian tripolitic chert reservoir using 3D unsupervised and supervised multiattribute seismic facies analysis: An example from Osage County</w:t>
      </w:r>
      <w:r>
        <w:rPr>
          <w:rFonts w:eastAsia="Times New Roman"/>
          <w:color w:val="000000"/>
        </w:rPr>
        <w:t xml:space="preserve">. Interpretation </w:t>
      </w:r>
      <w:r w:rsidRPr="00680903">
        <w:rPr>
          <w:rFonts w:eastAsia="Times New Roman"/>
          <w:color w:val="000000"/>
        </w:rPr>
        <w:t xml:space="preserve">1, </w:t>
      </w:r>
      <w:r>
        <w:rPr>
          <w:rFonts w:eastAsia="Times New Roman"/>
          <w:color w:val="000000"/>
        </w:rPr>
        <w:t>2</w:t>
      </w:r>
      <w:r w:rsidRPr="00680903">
        <w:rPr>
          <w:rFonts w:eastAsia="Times New Roman"/>
          <w:color w:val="000000"/>
        </w:rPr>
        <w:t>,</w:t>
      </w:r>
      <w:r>
        <w:rPr>
          <w:rFonts w:eastAsia="Times New Roman"/>
          <w:color w:val="000000"/>
        </w:rPr>
        <w:t xml:space="preserve"> SB</w:t>
      </w:r>
      <w:r w:rsidRPr="00680903">
        <w:rPr>
          <w:rFonts w:eastAsia="Times New Roman"/>
          <w:color w:val="000000"/>
        </w:rPr>
        <w:t>109–</w:t>
      </w:r>
      <w:r>
        <w:rPr>
          <w:rFonts w:eastAsia="Times New Roman"/>
          <w:color w:val="000000"/>
        </w:rPr>
        <w:t>SB</w:t>
      </w:r>
      <w:r w:rsidRPr="00680903">
        <w:rPr>
          <w:rFonts w:eastAsia="Times New Roman"/>
          <w:color w:val="000000"/>
        </w:rPr>
        <w:t>124.</w:t>
      </w:r>
    </w:p>
    <w:p w14:paraId="6BC8A067" w14:textId="77777777" w:rsidR="00D073A0" w:rsidRDefault="00D073A0" w:rsidP="00D073A0">
      <w:pPr>
        <w:pStyle w:val="ListParagraph"/>
        <w:numPr>
          <w:ilvl w:val="0"/>
          <w:numId w:val="16"/>
        </w:numPr>
        <w:rPr>
          <w:rFonts w:eastAsia="Times New Roman"/>
          <w:color w:val="000000"/>
        </w:rPr>
      </w:pPr>
      <w:r w:rsidRPr="00D81B1B">
        <w:rPr>
          <w:rFonts w:eastAsia="Times New Roman"/>
          <w:color w:val="000000"/>
        </w:rPr>
        <w:t xml:space="preserve">Roy, A.,  Romero-Peláez, </w:t>
      </w:r>
      <w:r>
        <w:rPr>
          <w:rFonts w:eastAsia="Times New Roman"/>
          <w:color w:val="000000"/>
        </w:rPr>
        <w:t xml:space="preserve">A.S., </w:t>
      </w:r>
      <w:r w:rsidRPr="00D81B1B">
        <w:rPr>
          <w:rFonts w:eastAsia="Times New Roman"/>
          <w:color w:val="000000"/>
        </w:rPr>
        <w:t>Kwiatkowski,</w:t>
      </w:r>
      <w:r>
        <w:rPr>
          <w:rFonts w:eastAsia="Times New Roman"/>
          <w:color w:val="000000"/>
        </w:rPr>
        <w:t xml:space="preserve"> T.J., </w:t>
      </w:r>
      <w:r w:rsidRPr="00D81B1B">
        <w:rPr>
          <w:rFonts w:eastAsia="Times New Roman"/>
          <w:color w:val="000000"/>
        </w:rPr>
        <w:t>Marfurt,</w:t>
      </w:r>
      <w:r>
        <w:rPr>
          <w:rFonts w:eastAsia="Times New Roman"/>
          <w:color w:val="000000"/>
        </w:rPr>
        <w:t xml:space="preserve"> K.J.,</w:t>
      </w:r>
      <w:r w:rsidRPr="00D81B1B">
        <w:rPr>
          <w:rFonts w:eastAsia="Times New Roman"/>
          <w:color w:val="000000"/>
        </w:rPr>
        <w:t xml:space="preserve"> 2014</w:t>
      </w:r>
      <w:r>
        <w:rPr>
          <w:rFonts w:eastAsia="Times New Roman"/>
          <w:color w:val="000000"/>
        </w:rPr>
        <w:t>.</w:t>
      </w:r>
      <w:r w:rsidRPr="00D81B1B">
        <w:rPr>
          <w:rFonts w:eastAsia="Times New Roman"/>
          <w:color w:val="000000"/>
        </w:rPr>
        <w:t xml:space="preserve"> Generative topographic mapping for seismic facies estimation of a carbonate wash, Veracruz Basin, southern Mexico</w:t>
      </w:r>
      <w:r>
        <w:rPr>
          <w:rFonts w:eastAsia="Times New Roman"/>
          <w:color w:val="000000"/>
        </w:rPr>
        <w:t>.</w:t>
      </w:r>
      <w:r w:rsidRPr="00D81B1B">
        <w:rPr>
          <w:rFonts w:eastAsia="Times New Roman"/>
          <w:color w:val="000000"/>
        </w:rPr>
        <w:t xml:space="preserve"> Interpretation 2, </w:t>
      </w:r>
      <w:r>
        <w:rPr>
          <w:rFonts w:eastAsia="Times New Roman"/>
          <w:color w:val="000000"/>
        </w:rPr>
        <w:t xml:space="preserve"> 1,</w:t>
      </w:r>
      <w:r w:rsidRPr="00D81B1B">
        <w:rPr>
          <w:rFonts w:eastAsia="Times New Roman"/>
          <w:color w:val="000000"/>
        </w:rPr>
        <w:t xml:space="preserve"> SA31</w:t>
      </w:r>
      <w:r>
        <w:rPr>
          <w:rFonts w:eastAsia="Times New Roman"/>
          <w:color w:val="000000"/>
        </w:rPr>
        <w:t>-</w:t>
      </w:r>
      <w:r w:rsidRPr="00D81B1B">
        <w:rPr>
          <w:rFonts w:eastAsia="Times New Roman"/>
          <w:color w:val="000000"/>
        </w:rPr>
        <w:t>SA47.</w:t>
      </w:r>
    </w:p>
    <w:p w14:paraId="0ABE8403" w14:textId="77777777" w:rsidR="00D073A0" w:rsidRDefault="00D073A0" w:rsidP="00D073A0">
      <w:pPr>
        <w:pStyle w:val="ListParagraph"/>
        <w:numPr>
          <w:ilvl w:val="0"/>
          <w:numId w:val="16"/>
        </w:numPr>
        <w:rPr>
          <w:rFonts w:eastAsia="Times New Roman"/>
          <w:color w:val="000000"/>
        </w:rPr>
      </w:pPr>
      <w:r w:rsidRPr="0092161F">
        <w:rPr>
          <w:rFonts w:eastAsia="Times New Roman"/>
          <w:color w:val="000000"/>
        </w:rPr>
        <w:t>Sabeti, H., Javerian,</w:t>
      </w:r>
      <w:r>
        <w:rPr>
          <w:rFonts w:eastAsia="Times New Roman"/>
          <w:color w:val="000000"/>
        </w:rPr>
        <w:t xml:space="preserve"> A.,</w:t>
      </w:r>
      <w:r w:rsidRPr="0092161F">
        <w:rPr>
          <w:rFonts w:eastAsia="Times New Roman"/>
          <w:color w:val="000000"/>
        </w:rPr>
        <w:t xml:space="preserve"> 2009</w:t>
      </w:r>
      <w:r>
        <w:rPr>
          <w:rFonts w:eastAsia="Times New Roman"/>
          <w:color w:val="000000"/>
        </w:rPr>
        <w:t>.</w:t>
      </w:r>
      <w:r w:rsidRPr="0092161F">
        <w:rPr>
          <w:rFonts w:eastAsia="Times New Roman"/>
          <w:color w:val="000000"/>
        </w:rPr>
        <w:t xml:space="preserve"> </w:t>
      </w:r>
      <w:r>
        <w:rPr>
          <w:rFonts w:eastAsia="Times New Roman"/>
          <w:color w:val="000000"/>
        </w:rPr>
        <w:t>S</w:t>
      </w:r>
      <w:r w:rsidRPr="0092161F">
        <w:rPr>
          <w:rFonts w:eastAsia="Times New Roman"/>
          <w:color w:val="000000"/>
        </w:rPr>
        <w:t xml:space="preserve">eismic facies analysis based on </w:t>
      </w:r>
      <w:r>
        <w:rPr>
          <w:rFonts w:eastAsia="Times New Roman"/>
          <w:color w:val="000000"/>
        </w:rPr>
        <w:t>the K</w:t>
      </w:r>
      <w:r w:rsidRPr="0092161F">
        <w:rPr>
          <w:rFonts w:eastAsia="Times New Roman"/>
          <w:color w:val="000000"/>
        </w:rPr>
        <w:t>-means clustering algorithm using 3</w:t>
      </w:r>
      <w:r>
        <w:rPr>
          <w:rFonts w:eastAsia="Times New Roman"/>
          <w:color w:val="000000"/>
        </w:rPr>
        <w:t>D</w:t>
      </w:r>
      <w:r w:rsidRPr="0092161F">
        <w:rPr>
          <w:rFonts w:eastAsia="Times New Roman"/>
          <w:color w:val="000000"/>
        </w:rPr>
        <w:t xml:space="preserve"> seismic attributes</w:t>
      </w:r>
      <w:r>
        <w:rPr>
          <w:rFonts w:eastAsia="Times New Roman"/>
          <w:color w:val="000000"/>
        </w:rPr>
        <w:t>.</w:t>
      </w:r>
      <w:r w:rsidRPr="0092161F">
        <w:rPr>
          <w:rFonts w:eastAsia="Times New Roman"/>
          <w:color w:val="000000"/>
        </w:rPr>
        <w:t xml:space="preserve"> EAGE International Petroleum Conference and Exhibition </w:t>
      </w:r>
      <w:r>
        <w:rPr>
          <w:rFonts w:eastAsia="Times New Roman"/>
          <w:color w:val="000000"/>
        </w:rPr>
        <w:t>extended abstracts</w:t>
      </w:r>
      <w:r w:rsidRPr="0092161F">
        <w:rPr>
          <w:rFonts w:eastAsia="Times New Roman"/>
          <w:color w:val="000000"/>
        </w:rPr>
        <w:t>.</w:t>
      </w:r>
    </w:p>
    <w:p w14:paraId="49DB0C7B"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Schmoker, J.W., 1979</w:t>
      </w:r>
      <w:r>
        <w:rPr>
          <w:rFonts w:eastAsia="Times New Roman"/>
          <w:color w:val="000000"/>
        </w:rPr>
        <w:t>.</w:t>
      </w:r>
      <w:r w:rsidRPr="00680903">
        <w:rPr>
          <w:rFonts w:eastAsia="Times New Roman"/>
          <w:color w:val="000000"/>
        </w:rPr>
        <w:t xml:space="preserve"> Determination of </w:t>
      </w:r>
      <w:r>
        <w:rPr>
          <w:rFonts w:eastAsia="Times New Roman"/>
          <w:color w:val="000000"/>
        </w:rPr>
        <w:t>o</w:t>
      </w:r>
      <w:r w:rsidRPr="00680903">
        <w:rPr>
          <w:rFonts w:eastAsia="Times New Roman"/>
          <w:color w:val="000000"/>
        </w:rPr>
        <w:t xml:space="preserve">rganic </w:t>
      </w:r>
      <w:r>
        <w:rPr>
          <w:rFonts w:eastAsia="Times New Roman"/>
          <w:color w:val="000000"/>
        </w:rPr>
        <w:t>c</w:t>
      </w:r>
      <w:r w:rsidRPr="00680903">
        <w:rPr>
          <w:rFonts w:eastAsia="Times New Roman"/>
          <w:color w:val="000000"/>
        </w:rPr>
        <w:t xml:space="preserve">ontent of Appalachian Devonian Shales from </w:t>
      </w:r>
      <w:r>
        <w:rPr>
          <w:rFonts w:eastAsia="Times New Roman"/>
          <w:color w:val="000000"/>
        </w:rPr>
        <w:t>f</w:t>
      </w:r>
      <w:r w:rsidRPr="00680903">
        <w:rPr>
          <w:rFonts w:eastAsia="Times New Roman"/>
          <w:color w:val="000000"/>
        </w:rPr>
        <w:t xml:space="preserve">ormation </w:t>
      </w:r>
      <w:r>
        <w:rPr>
          <w:rFonts w:eastAsia="Times New Roman"/>
          <w:color w:val="000000"/>
        </w:rPr>
        <w:t>d</w:t>
      </w:r>
      <w:r w:rsidRPr="00680903">
        <w:rPr>
          <w:rFonts w:eastAsia="Times New Roman"/>
          <w:color w:val="000000"/>
        </w:rPr>
        <w:t xml:space="preserve">ensity </w:t>
      </w:r>
      <w:r>
        <w:rPr>
          <w:rFonts w:eastAsia="Times New Roman"/>
          <w:color w:val="000000"/>
        </w:rPr>
        <w:t>l</w:t>
      </w:r>
      <w:r w:rsidRPr="00680903">
        <w:rPr>
          <w:rFonts w:eastAsia="Times New Roman"/>
          <w:color w:val="000000"/>
        </w:rPr>
        <w:t>ogs. AAPG Bulletin 63, 9</w:t>
      </w:r>
      <w:r>
        <w:rPr>
          <w:rFonts w:eastAsia="Times New Roman"/>
          <w:color w:val="000000"/>
        </w:rPr>
        <w:t xml:space="preserve">, </w:t>
      </w:r>
      <w:r w:rsidRPr="00680903">
        <w:rPr>
          <w:rFonts w:eastAsia="Times New Roman"/>
          <w:color w:val="000000"/>
        </w:rPr>
        <w:t>1504-1537.</w:t>
      </w:r>
    </w:p>
    <w:p w14:paraId="737A96A8" w14:textId="77777777" w:rsidR="00D073A0" w:rsidRDefault="00D073A0" w:rsidP="00D073A0">
      <w:pPr>
        <w:pStyle w:val="ListParagraph"/>
        <w:numPr>
          <w:ilvl w:val="0"/>
          <w:numId w:val="16"/>
        </w:numPr>
        <w:rPr>
          <w:rFonts w:eastAsia="Times New Roman"/>
          <w:color w:val="000000"/>
        </w:rPr>
      </w:pPr>
      <w:r w:rsidRPr="00680903">
        <w:rPr>
          <w:rFonts w:eastAsia="Times New Roman"/>
          <w:color w:val="000000"/>
        </w:rPr>
        <w:t xml:space="preserve">Schmoker, J.W., 1981. Determination of </w:t>
      </w:r>
      <w:r>
        <w:rPr>
          <w:rFonts w:eastAsia="Times New Roman"/>
          <w:color w:val="000000"/>
        </w:rPr>
        <w:t>o</w:t>
      </w:r>
      <w:r w:rsidRPr="00680903">
        <w:rPr>
          <w:rFonts w:eastAsia="Times New Roman"/>
          <w:color w:val="000000"/>
        </w:rPr>
        <w:t xml:space="preserve">rganic </w:t>
      </w:r>
      <w:r>
        <w:rPr>
          <w:rFonts w:eastAsia="Times New Roman"/>
          <w:color w:val="000000"/>
        </w:rPr>
        <w:t>m</w:t>
      </w:r>
      <w:r w:rsidRPr="00680903">
        <w:rPr>
          <w:rFonts w:eastAsia="Times New Roman"/>
          <w:color w:val="000000"/>
        </w:rPr>
        <w:t xml:space="preserve">atter </w:t>
      </w:r>
      <w:r>
        <w:rPr>
          <w:rFonts w:eastAsia="Times New Roman"/>
          <w:color w:val="000000"/>
        </w:rPr>
        <w:t>c</w:t>
      </w:r>
      <w:r w:rsidRPr="00680903">
        <w:rPr>
          <w:rFonts w:eastAsia="Times New Roman"/>
          <w:color w:val="000000"/>
        </w:rPr>
        <w:t xml:space="preserve">ontent of the Appalachian Devonian Shales from Gamma-Ray </w:t>
      </w:r>
      <w:r>
        <w:rPr>
          <w:rFonts w:eastAsia="Times New Roman"/>
          <w:color w:val="000000"/>
        </w:rPr>
        <w:t>l</w:t>
      </w:r>
      <w:r w:rsidRPr="00680903">
        <w:rPr>
          <w:rFonts w:eastAsia="Times New Roman"/>
          <w:color w:val="000000"/>
        </w:rPr>
        <w:t>ogs. AAPG Bulletin 65</w:t>
      </w:r>
      <w:r>
        <w:rPr>
          <w:rFonts w:eastAsia="Times New Roman"/>
          <w:color w:val="000000"/>
        </w:rPr>
        <w:t xml:space="preserve">, </w:t>
      </w:r>
      <w:r w:rsidRPr="00680903">
        <w:rPr>
          <w:rFonts w:eastAsia="Times New Roman"/>
          <w:color w:val="000000"/>
        </w:rPr>
        <w:t>7, 1258-1298.</w:t>
      </w:r>
    </w:p>
    <w:p w14:paraId="40F2B247" w14:textId="77777777" w:rsidR="00D073A0" w:rsidRDefault="00D073A0" w:rsidP="00D073A0">
      <w:pPr>
        <w:pStyle w:val="ListParagraph"/>
        <w:numPr>
          <w:ilvl w:val="0"/>
          <w:numId w:val="16"/>
        </w:numPr>
        <w:rPr>
          <w:rFonts w:eastAsia="Times New Roman"/>
          <w:color w:val="000000"/>
        </w:rPr>
      </w:pPr>
      <w:r w:rsidRPr="00807716">
        <w:rPr>
          <w:rFonts w:eastAsia="Times New Roman"/>
          <w:color w:val="000000"/>
        </w:rPr>
        <w:t>Shepherd, M., 2009</w:t>
      </w:r>
      <w:r>
        <w:rPr>
          <w:rFonts w:eastAsia="Times New Roman"/>
          <w:color w:val="000000"/>
        </w:rPr>
        <w:t>.</w:t>
      </w:r>
      <w:r w:rsidRPr="00807716">
        <w:rPr>
          <w:rFonts w:eastAsia="Times New Roman"/>
          <w:color w:val="000000"/>
        </w:rPr>
        <w:t xml:space="preserve"> Reservoir modeling and geostatistics, in M. Shepherd, Oil field production geology: AAPG Memoir 91, p. 157.</w:t>
      </w:r>
    </w:p>
    <w:p w14:paraId="39AE2263" w14:textId="77777777" w:rsidR="00D073A0" w:rsidRPr="00680903" w:rsidRDefault="00D073A0" w:rsidP="00D073A0">
      <w:pPr>
        <w:pStyle w:val="ListParagraph"/>
        <w:numPr>
          <w:ilvl w:val="0"/>
          <w:numId w:val="16"/>
        </w:numPr>
        <w:rPr>
          <w:rFonts w:eastAsia="Times New Roman"/>
          <w:color w:val="000000"/>
        </w:rPr>
      </w:pPr>
      <w:r w:rsidRPr="00C14E64">
        <w:rPr>
          <w:rFonts w:eastAsia="Times New Roman"/>
          <w:color w:val="000000"/>
        </w:rPr>
        <w:t>Strecker, U., Uden,</w:t>
      </w:r>
      <w:r>
        <w:rPr>
          <w:rFonts w:eastAsia="Times New Roman"/>
          <w:color w:val="000000"/>
        </w:rPr>
        <w:t xml:space="preserve"> R.,</w:t>
      </w:r>
      <w:r w:rsidRPr="00C14E64">
        <w:rPr>
          <w:rFonts w:eastAsia="Times New Roman"/>
          <w:color w:val="000000"/>
        </w:rPr>
        <w:t xml:space="preserve"> 2002</w:t>
      </w:r>
      <w:r>
        <w:rPr>
          <w:rFonts w:eastAsia="Times New Roman"/>
          <w:color w:val="000000"/>
        </w:rPr>
        <w:t>.</w:t>
      </w:r>
      <w:r w:rsidRPr="00C14E64">
        <w:rPr>
          <w:rFonts w:eastAsia="Times New Roman"/>
          <w:color w:val="000000"/>
        </w:rPr>
        <w:t xml:space="preserve"> Data mining of 3D post</w:t>
      </w:r>
      <w:r>
        <w:rPr>
          <w:rFonts w:eastAsia="Times New Roman"/>
          <w:color w:val="000000"/>
        </w:rPr>
        <w:t>-</w:t>
      </w:r>
      <w:r w:rsidRPr="00C14E64">
        <w:rPr>
          <w:rFonts w:eastAsia="Times New Roman"/>
          <w:color w:val="000000"/>
        </w:rPr>
        <w:t>stack attribute volumes using Kohonen self-organizing maps</w:t>
      </w:r>
      <w:r>
        <w:rPr>
          <w:rFonts w:eastAsia="Times New Roman"/>
          <w:color w:val="000000"/>
        </w:rPr>
        <w:t xml:space="preserve">. </w:t>
      </w:r>
      <w:r w:rsidRPr="00C14E64">
        <w:rPr>
          <w:rFonts w:eastAsia="Times New Roman"/>
          <w:color w:val="000000"/>
        </w:rPr>
        <w:t>The Leading Edge 21, 1032-1037.</w:t>
      </w:r>
    </w:p>
    <w:p w14:paraId="686A0C93" w14:textId="77777777" w:rsidR="00D073A0" w:rsidRPr="00183F0C" w:rsidRDefault="00D073A0" w:rsidP="00D073A0">
      <w:pPr>
        <w:pStyle w:val="ListParagraph"/>
        <w:numPr>
          <w:ilvl w:val="0"/>
          <w:numId w:val="16"/>
        </w:numPr>
        <w:rPr>
          <w:rFonts w:eastAsia="Times New Roman"/>
          <w:color w:val="000000"/>
        </w:rPr>
      </w:pPr>
      <w:r w:rsidRPr="00183F0C">
        <w:rPr>
          <w:rFonts w:eastAsia="Times New Roman"/>
          <w:color w:val="000000"/>
        </w:rPr>
        <w:t>Sierra-Perez, R., 2011. Integrated geomechanics and geological characterization of the Devonian-</w:t>
      </w:r>
      <w:r w:rsidRPr="00980A45">
        <w:rPr>
          <w:rFonts w:eastAsia="Times New Roman"/>
          <w:color w:val="000000"/>
        </w:rPr>
        <w:t>Mississ</w:t>
      </w:r>
      <w:r w:rsidRPr="00183F0C">
        <w:rPr>
          <w:rFonts w:eastAsia="Times New Roman"/>
          <w:color w:val="000000"/>
        </w:rPr>
        <w:t xml:space="preserve">ippian Woodford Shale.  M.Sc. </w:t>
      </w:r>
      <w:r>
        <w:rPr>
          <w:rFonts w:eastAsia="Times New Roman"/>
          <w:color w:val="000000"/>
        </w:rPr>
        <w:t>t</w:t>
      </w:r>
      <w:r w:rsidRPr="00183F0C">
        <w:rPr>
          <w:rFonts w:eastAsia="Times New Roman"/>
          <w:color w:val="000000"/>
        </w:rPr>
        <w:t>hesis manuscript, The University of Oklahoma</w:t>
      </w:r>
      <w:r>
        <w:rPr>
          <w:rFonts w:eastAsia="Times New Roman"/>
          <w:color w:val="000000"/>
        </w:rPr>
        <w:t>, p. 123.</w:t>
      </w:r>
      <w:r w:rsidRPr="00183F0C">
        <w:rPr>
          <w:rFonts w:eastAsia="Times New Roman"/>
          <w:color w:val="000000"/>
        </w:rPr>
        <w:t xml:space="preserve"> </w:t>
      </w:r>
    </w:p>
    <w:p w14:paraId="477150B9" w14:textId="77777777" w:rsidR="00D073A0" w:rsidRDefault="00D073A0" w:rsidP="00D073A0">
      <w:pPr>
        <w:pStyle w:val="ListParagraph"/>
        <w:numPr>
          <w:ilvl w:val="0"/>
          <w:numId w:val="16"/>
        </w:numPr>
        <w:rPr>
          <w:rFonts w:eastAsia="Times New Roman"/>
          <w:color w:val="000000"/>
        </w:rPr>
      </w:pPr>
      <w:r w:rsidRPr="007752DF">
        <w:rPr>
          <w:rFonts w:eastAsia="Times New Roman"/>
          <w:color w:val="000000"/>
        </w:rPr>
        <w:t>Slatt, R.M., 2016. Institute of Reservoir Characterization (IRC), Woodford-</w:t>
      </w:r>
      <w:r w:rsidRPr="00980A45">
        <w:rPr>
          <w:rFonts w:eastAsia="Times New Roman"/>
          <w:color w:val="000000"/>
        </w:rPr>
        <w:t>Mississ</w:t>
      </w:r>
      <w:r w:rsidRPr="007752DF">
        <w:rPr>
          <w:rFonts w:eastAsia="Times New Roman"/>
          <w:color w:val="000000"/>
        </w:rPr>
        <w:t xml:space="preserve">ippian consortium, phase III technical report. The University of Oklahoma, p. 202. </w:t>
      </w:r>
    </w:p>
    <w:p w14:paraId="6132A392" w14:textId="77777777" w:rsidR="00D073A0" w:rsidRDefault="00D073A0" w:rsidP="00D073A0">
      <w:pPr>
        <w:pStyle w:val="ListParagraph"/>
        <w:numPr>
          <w:ilvl w:val="0"/>
          <w:numId w:val="16"/>
        </w:numPr>
        <w:rPr>
          <w:rFonts w:eastAsia="Times New Roman"/>
          <w:color w:val="000000"/>
        </w:rPr>
      </w:pPr>
      <w:r w:rsidRPr="00183F0C">
        <w:rPr>
          <w:rFonts w:eastAsia="Times New Roman"/>
          <w:color w:val="000000"/>
        </w:rPr>
        <w:t>Slatt, R. M., Buckner,</w:t>
      </w:r>
      <w:r w:rsidRPr="00BA1BCF">
        <w:rPr>
          <w:rFonts w:eastAsia="Times New Roman"/>
          <w:color w:val="000000"/>
        </w:rPr>
        <w:t xml:space="preserve"> </w:t>
      </w:r>
      <w:r w:rsidRPr="00183F0C">
        <w:rPr>
          <w:rFonts w:eastAsia="Times New Roman"/>
          <w:color w:val="000000"/>
        </w:rPr>
        <w:t>N.</w:t>
      </w:r>
      <w:r>
        <w:rPr>
          <w:rFonts w:eastAsia="Times New Roman"/>
          <w:color w:val="000000"/>
        </w:rPr>
        <w:t xml:space="preserve">, </w:t>
      </w:r>
      <w:r w:rsidRPr="00183F0C">
        <w:rPr>
          <w:rFonts w:eastAsia="Times New Roman"/>
          <w:color w:val="000000"/>
        </w:rPr>
        <w:t xml:space="preserve">Abousleiman, </w:t>
      </w:r>
      <w:r>
        <w:rPr>
          <w:rFonts w:eastAsia="Times New Roman"/>
          <w:color w:val="000000"/>
        </w:rPr>
        <w:t>Y., S</w:t>
      </w:r>
      <w:r w:rsidRPr="00183F0C">
        <w:rPr>
          <w:rFonts w:eastAsia="Times New Roman"/>
          <w:color w:val="000000"/>
        </w:rPr>
        <w:t>ierra</w:t>
      </w:r>
      <w:r>
        <w:rPr>
          <w:rFonts w:eastAsia="Times New Roman"/>
          <w:color w:val="000000"/>
        </w:rPr>
        <w:t>, R.</w:t>
      </w:r>
      <w:r w:rsidRPr="00183F0C">
        <w:rPr>
          <w:rFonts w:eastAsia="Times New Roman"/>
          <w:color w:val="000000"/>
        </w:rPr>
        <w:t>, Philp,</w:t>
      </w:r>
      <w:r>
        <w:rPr>
          <w:rFonts w:eastAsia="Times New Roman"/>
          <w:color w:val="000000"/>
        </w:rPr>
        <w:t xml:space="preserve"> R.P.,  </w:t>
      </w:r>
      <w:r w:rsidRPr="00980A45">
        <w:rPr>
          <w:rFonts w:eastAsia="Times New Roman"/>
          <w:color w:val="000000"/>
        </w:rPr>
        <w:t>Miceli</w:t>
      </w:r>
      <w:r w:rsidRPr="00183F0C">
        <w:rPr>
          <w:rFonts w:eastAsia="Times New Roman"/>
          <w:color w:val="000000"/>
        </w:rPr>
        <w:t>-Romero,</w:t>
      </w:r>
      <w:r>
        <w:rPr>
          <w:rFonts w:eastAsia="Times New Roman"/>
          <w:color w:val="000000"/>
        </w:rPr>
        <w:t xml:space="preserve"> A., </w:t>
      </w:r>
      <w:r w:rsidRPr="00183F0C">
        <w:rPr>
          <w:rFonts w:eastAsia="Times New Roman"/>
          <w:color w:val="000000"/>
        </w:rPr>
        <w:t>Portas,</w:t>
      </w:r>
      <w:r>
        <w:rPr>
          <w:rFonts w:eastAsia="Times New Roman"/>
          <w:color w:val="000000"/>
        </w:rPr>
        <w:t xml:space="preserve"> R., </w:t>
      </w:r>
      <w:r w:rsidRPr="00183F0C">
        <w:rPr>
          <w:rFonts w:eastAsia="Times New Roman"/>
          <w:color w:val="000000"/>
        </w:rPr>
        <w:t>O'Brien,</w:t>
      </w:r>
      <w:r>
        <w:rPr>
          <w:rFonts w:eastAsia="Times New Roman"/>
          <w:color w:val="000000"/>
        </w:rPr>
        <w:t xml:space="preserve"> N., T</w:t>
      </w:r>
      <w:r w:rsidRPr="00183F0C">
        <w:rPr>
          <w:rFonts w:eastAsia="Times New Roman"/>
          <w:color w:val="000000"/>
        </w:rPr>
        <w:t>ran,</w:t>
      </w:r>
      <w:r>
        <w:rPr>
          <w:rFonts w:eastAsia="Times New Roman"/>
          <w:color w:val="000000"/>
        </w:rPr>
        <w:t xml:space="preserve"> M., </w:t>
      </w:r>
      <w:r w:rsidRPr="00183F0C">
        <w:rPr>
          <w:rFonts w:eastAsia="Times New Roman"/>
          <w:color w:val="000000"/>
        </w:rPr>
        <w:t>Davis,</w:t>
      </w:r>
      <w:r>
        <w:rPr>
          <w:rFonts w:eastAsia="Times New Roman"/>
          <w:color w:val="000000"/>
        </w:rPr>
        <w:t xml:space="preserve"> R.,</w:t>
      </w:r>
      <w:r w:rsidRPr="00183F0C">
        <w:rPr>
          <w:rFonts w:eastAsia="Times New Roman"/>
          <w:color w:val="000000"/>
        </w:rPr>
        <w:t xml:space="preserve"> and Wawrzyniec,</w:t>
      </w:r>
      <w:r>
        <w:rPr>
          <w:rFonts w:eastAsia="Times New Roman"/>
          <w:color w:val="000000"/>
        </w:rPr>
        <w:t xml:space="preserve"> T.,</w:t>
      </w:r>
      <w:r w:rsidRPr="00183F0C">
        <w:rPr>
          <w:rFonts w:eastAsia="Times New Roman"/>
          <w:color w:val="000000"/>
        </w:rPr>
        <w:t xml:space="preserve"> 2012. Outcrop/behind outcrop (quarry), multiscale characterization of the Woodford </w:t>
      </w:r>
      <w:r>
        <w:rPr>
          <w:rFonts w:eastAsia="Times New Roman"/>
          <w:color w:val="000000"/>
        </w:rPr>
        <w:t>g</w:t>
      </w:r>
      <w:r w:rsidRPr="00183F0C">
        <w:rPr>
          <w:rFonts w:eastAsia="Times New Roman"/>
          <w:color w:val="000000"/>
        </w:rPr>
        <w:t xml:space="preserve">as </w:t>
      </w:r>
      <w:r>
        <w:rPr>
          <w:rFonts w:eastAsia="Times New Roman"/>
          <w:color w:val="000000"/>
        </w:rPr>
        <w:t>s</w:t>
      </w:r>
      <w:r w:rsidRPr="00183F0C">
        <w:rPr>
          <w:rFonts w:eastAsia="Times New Roman"/>
          <w:color w:val="000000"/>
        </w:rPr>
        <w:t>hale, Oklahoma, in J. Breyer, ed</w:t>
      </w:r>
      <w:r>
        <w:rPr>
          <w:rFonts w:eastAsia="Times New Roman"/>
          <w:color w:val="000000"/>
        </w:rPr>
        <w:t>s</w:t>
      </w:r>
      <w:r w:rsidRPr="00183F0C">
        <w:rPr>
          <w:rFonts w:eastAsia="Times New Roman"/>
          <w:color w:val="000000"/>
        </w:rPr>
        <w:t>., Shale reservoirs</w:t>
      </w:r>
      <w:r>
        <w:rPr>
          <w:rFonts w:eastAsia="Times New Roman"/>
          <w:color w:val="000000"/>
        </w:rPr>
        <w:t>-g</w:t>
      </w:r>
      <w:r w:rsidRPr="00183F0C">
        <w:rPr>
          <w:rFonts w:eastAsia="Times New Roman"/>
          <w:color w:val="000000"/>
        </w:rPr>
        <w:t>iant resources for the 21st century: American Association of Petroleum Geologists AAPG Memoir 97, 1–21.</w:t>
      </w:r>
    </w:p>
    <w:p w14:paraId="6EB9F420"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Snyder, J., 2016. Correlating rate of penetration and bit trips to 3D surface seismic data, Anadarko shelf, Oklahoma</w:t>
      </w:r>
      <w:r>
        <w:rPr>
          <w:rFonts w:eastAsia="Times New Roman"/>
          <w:color w:val="000000"/>
        </w:rPr>
        <w:t>.</w:t>
      </w:r>
      <w:r w:rsidRPr="00680903">
        <w:rPr>
          <w:rFonts w:eastAsia="Times New Roman"/>
          <w:color w:val="000000"/>
        </w:rPr>
        <w:t xml:space="preserve"> M.S</w:t>
      </w:r>
      <w:r>
        <w:rPr>
          <w:rFonts w:eastAsia="Times New Roman"/>
          <w:color w:val="000000"/>
        </w:rPr>
        <w:t>c</w:t>
      </w:r>
      <w:r w:rsidRPr="00680903">
        <w:rPr>
          <w:rFonts w:eastAsia="Times New Roman"/>
          <w:color w:val="000000"/>
        </w:rPr>
        <w:t xml:space="preserve">. </w:t>
      </w:r>
      <w:r>
        <w:rPr>
          <w:rFonts w:eastAsia="Times New Roman"/>
          <w:color w:val="000000"/>
        </w:rPr>
        <w:t>t</w:t>
      </w:r>
      <w:r w:rsidRPr="00680903">
        <w:rPr>
          <w:rFonts w:eastAsia="Times New Roman"/>
          <w:color w:val="000000"/>
        </w:rPr>
        <w:t>hesis</w:t>
      </w:r>
      <w:r>
        <w:rPr>
          <w:rFonts w:eastAsia="Times New Roman"/>
          <w:color w:val="000000"/>
        </w:rPr>
        <w:t xml:space="preserve"> manuscript</w:t>
      </w:r>
      <w:r w:rsidRPr="00680903">
        <w:rPr>
          <w:rFonts w:eastAsia="Times New Roman"/>
          <w:color w:val="000000"/>
        </w:rPr>
        <w:t>, The University of Oklahoma</w:t>
      </w:r>
      <w:r>
        <w:rPr>
          <w:rFonts w:eastAsia="Times New Roman"/>
          <w:color w:val="000000"/>
        </w:rPr>
        <w:t>, p. 184.</w:t>
      </w:r>
    </w:p>
    <w:p w14:paraId="6ED75287" w14:textId="77777777" w:rsidR="00D073A0" w:rsidRDefault="00D073A0" w:rsidP="00D073A0">
      <w:pPr>
        <w:pStyle w:val="ListParagraph"/>
        <w:numPr>
          <w:ilvl w:val="0"/>
          <w:numId w:val="16"/>
        </w:numPr>
        <w:rPr>
          <w:rFonts w:eastAsia="Times New Roman"/>
          <w:color w:val="000000"/>
        </w:rPr>
      </w:pPr>
      <w:r w:rsidRPr="00A11142">
        <w:rPr>
          <w:rFonts w:eastAsia="Times New Roman"/>
          <w:color w:val="000000"/>
        </w:rPr>
        <w:lastRenderedPageBreak/>
        <w:t>Sone</w:t>
      </w:r>
      <w:r>
        <w:rPr>
          <w:rFonts w:eastAsia="Times New Roman"/>
          <w:color w:val="000000"/>
        </w:rPr>
        <w:t>,</w:t>
      </w:r>
      <w:r w:rsidRPr="00A11142">
        <w:rPr>
          <w:rFonts w:eastAsia="Times New Roman"/>
          <w:color w:val="000000"/>
        </w:rPr>
        <w:t xml:space="preserve"> H</w:t>
      </w:r>
      <w:r>
        <w:rPr>
          <w:rFonts w:eastAsia="Times New Roman"/>
          <w:color w:val="000000"/>
        </w:rPr>
        <w:t>.</w:t>
      </w:r>
      <w:r w:rsidRPr="00A11142">
        <w:rPr>
          <w:rFonts w:eastAsia="Times New Roman"/>
          <w:color w:val="000000"/>
        </w:rPr>
        <w:t xml:space="preserve">, </w:t>
      </w:r>
      <w:r>
        <w:rPr>
          <w:rFonts w:eastAsia="Times New Roman"/>
          <w:color w:val="000000"/>
        </w:rPr>
        <w:t xml:space="preserve">and </w:t>
      </w:r>
      <w:r w:rsidRPr="00A11142">
        <w:rPr>
          <w:rFonts w:eastAsia="Times New Roman"/>
          <w:color w:val="000000"/>
        </w:rPr>
        <w:t>Zoback</w:t>
      </w:r>
      <w:r>
        <w:rPr>
          <w:rFonts w:eastAsia="Times New Roman"/>
          <w:color w:val="000000"/>
        </w:rPr>
        <w:t xml:space="preserve">, </w:t>
      </w:r>
      <w:r w:rsidRPr="00A11142">
        <w:rPr>
          <w:rFonts w:eastAsia="Times New Roman"/>
          <w:color w:val="000000"/>
        </w:rPr>
        <w:t>M</w:t>
      </w:r>
      <w:r>
        <w:rPr>
          <w:rFonts w:eastAsia="Times New Roman"/>
          <w:color w:val="000000"/>
        </w:rPr>
        <w:t>.</w:t>
      </w:r>
      <w:r w:rsidRPr="00A11142">
        <w:rPr>
          <w:rFonts w:eastAsia="Times New Roman"/>
          <w:color w:val="000000"/>
        </w:rPr>
        <w:t>D.</w:t>
      </w:r>
      <w:r>
        <w:rPr>
          <w:rFonts w:eastAsia="Times New Roman"/>
          <w:color w:val="000000"/>
        </w:rPr>
        <w:t>, 2013.</w:t>
      </w:r>
      <w:r w:rsidRPr="00A11142">
        <w:rPr>
          <w:rFonts w:eastAsia="Times New Roman"/>
          <w:color w:val="000000"/>
        </w:rPr>
        <w:t xml:space="preserve"> Mechanical properties of shale-gas reservoir rocks - Part 2: Ductile creep, brittle strength, and their relation to the elastic modulus</w:t>
      </w:r>
      <w:r>
        <w:rPr>
          <w:rFonts w:eastAsia="Times New Roman"/>
          <w:color w:val="000000"/>
        </w:rPr>
        <w:t>.</w:t>
      </w:r>
      <w:r w:rsidRPr="00A11142">
        <w:rPr>
          <w:rFonts w:eastAsia="Times New Roman"/>
          <w:color w:val="000000"/>
        </w:rPr>
        <w:t xml:space="preserve"> Geophysics 78</w:t>
      </w:r>
      <w:r>
        <w:rPr>
          <w:rFonts w:eastAsia="Times New Roman"/>
          <w:color w:val="000000"/>
        </w:rPr>
        <w:t xml:space="preserve">, </w:t>
      </w:r>
      <w:r w:rsidRPr="00A11142">
        <w:rPr>
          <w:rFonts w:eastAsia="Times New Roman"/>
          <w:color w:val="000000"/>
        </w:rPr>
        <w:t xml:space="preserve"> D39</w:t>
      </w:r>
      <w:r w:rsidRPr="00980A45">
        <w:rPr>
          <w:rFonts w:eastAsia="Times New Roman"/>
          <w:color w:val="000000"/>
        </w:rPr>
        <w:t>3</w:t>
      </w:r>
      <w:r>
        <w:rPr>
          <w:rFonts w:eastAsia="Times New Roman"/>
          <w:color w:val="000000"/>
        </w:rPr>
        <w:t>-</w:t>
      </w:r>
      <w:r w:rsidRPr="00980A45">
        <w:rPr>
          <w:rFonts w:eastAsia="Times New Roman"/>
          <w:color w:val="000000"/>
        </w:rPr>
        <w:t>D</w:t>
      </w:r>
      <w:r w:rsidRPr="00A11142">
        <w:rPr>
          <w:rFonts w:eastAsia="Times New Roman"/>
          <w:color w:val="000000"/>
        </w:rPr>
        <w:t>402</w:t>
      </w:r>
      <w:r>
        <w:rPr>
          <w:rFonts w:eastAsia="Times New Roman"/>
          <w:color w:val="000000"/>
        </w:rPr>
        <w:t>.</w:t>
      </w:r>
    </w:p>
    <w:p w14:paraId="5585FC41"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Sullivan, K.L., 1985</w:t>
      </w:r>
      <w:r>
        <w:rPr>
          <w:rFonts w:eastAsia="Times New Roman"/>
          <w:color w:val="000000"/>
        </w:rPr>
        <w:t>.</w:t>
      </w:r>
      <w:r w:rsidRPr="00680903">
        <w:rPr>
          <w:rFonts w:eastAsia="Times New Roman"/>
          <w:color w:val="000000"/>
        </w:rPr>
        <w:t xml:space="preserve"> Organic facies variation of the Woodford Shale in western Oklahoma</w:t>
      </w:r>
      <w:r>
        <w:rPr>
          <w:rFonts w:eastAsia="Times New Roman"/>
          <w:color w:val="000000"/>
        </w:rPr>
        <w:t>.</w:t>
      </w:r>
      <w:r w:rsidRPr="00680903">
        <w:rPr>
          <w:rFonts w:eastAsia="Times New Roman"/>
          <w:color w:val="000000"/>
        </w:rPr>
        <w:t xml:space="preserve"> Shale Shaker</w:t>
      </w:r>
      <w:r>
        <w:rPr>
          <w:rFonts w:eastAsia="Times New Roman"/>
          <w:color w:val="000000"/>
        </w:rPr>
        <w:t xml:space="preserve"> </w:t>
      </w:r>
      <w:r w:rsidRPr="00680903">
        <w:rPr>
          <w:rFonts w:eastAsia="Times New Roman"/>
          <w:color w:val="000000"/>
        </w:rPr>
        <w:t>35, 76-89.</w:t>
      </w:r>
    </w:p>
    <w:p w14:paraId="102B2328"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Tran, D</w:t>
      </w:r>
      <w:r>
        <w:rPr>
          <w:rFonts w:eastAsia="Times New Roman"/>
          <w:color w:val="000000"/>
        </w:rPr>
        <w:t>.</w:t>
      </w:r>
      <w:r w:rsidRPr="00680903">
        <w:rPr>
          <w:rFonts w:eastAsia="Times New Roman"/>
          <w:color w:val="000000"/>
        </w:rPr>
        <w:t xml:space="preserve">, Shrivastava, </w:t>
      </w:r>
      <w:r>
        <w:rPr>
          <w:rFonts w:eastAsia="Times New Roman"/>
          <w:color w:val="000000"/>
        </w:rPr>
        <w:t xml:space="preserve">V., </w:t>
      </w:r>
      <w:r w:rsidRPr="00680903">
        <w:rPr>
          <w:rFonts w:eastAsia="Times New Roman"/>
          <w:color w:val="000000"/>
        </w:rPr>
        <w:t xml:space="preserve">Nghiem, </w:t>
      </w:r>
      <w:r>
        <w:rPr>
          <w:rFonts w:eastAsia="Times New Roman"/>
          <w:color w:val="000000"/>
        </w:rPr>
        <w:t xml:space="preserve">L., </w:t>
      </w:r>
      <w:r w:rsidRPr="00680903">
        <w:rPr>
          <w:rFonts w:eastAsia="Times New Roman"/>
          <w:color w:val="000000"/>
        </w:rPr>
        <w:t>and Kohse</w:t>
      </w:r>
      <w:r>
        <w:rPr>
          <w:rFonts w:eastAsia="Times New Roman"/>
          <w:color w:val="000000"/>
        </w:rPr>
        <w:t>, B.,</w:t>
      </w:r>
      <w:r w:rsidRPr="00680903">
        <w:rPr>
          <w:rFonts w:eastAsia="Times New Roman"/>
          <w:color w:val="000000"/>
        </w:rPr>
        <w:t xml:space="preserve"> 2009. Geomechanical </w:t>
      </w:r>
      <w:r>
        <w:rPr>
          <w:rFonts w:eastAsia="Times New Roman"/>
          <w:color w:val="000000"/>
        </w:rPr>
        <w:t>r</w:t>
      </w:r>
      <w:r w:rsidRPr="00680903">
        <w:rPr>
          <w:rFonts w:eastAsia="Times New Roman"/>
          <w:color w:val="000000"/>
        </w:rPr>
        <w:t xml:space="preserve">isk </w:t>
      </w:r>
      <w:r>
        <w:rPr>
          <w:rFonts w:eastAsia="Times New Roman"/>
          <w:color w:val="000000"/>
        </w:rPr>
        <w:t>m</w:t>
      </w:r>
      <w:r w:rsidRPr="00680903">
        <w:rPr>
          <w:rFonts w:eastAsia="Times New Roman"/>
          <w:color w:val="000000"/>
        </w:rPr>
        <w:t>itigation for C</w:t>
      </w:r>
      <w:r w:rsidRPr="00640E9A">
        <w:rPr>
          <w:rFonts w:eastAsia="Times New Roman"/>
          <w:color w:val="000000"/>
        </w:rPr>
        <w:t>O</w:t>
      </w:r>
      <w:r w:rsidRPr="00640E9A">
        <w:rPr>
          <w:rFonts w:eastAsia="Times New Roman"/>
          <w:color w:val="000000"/>
          <w:vertAlign w:val="subscript"/>
        </w:rPr>
        <w:t>2</w:t>
      </w:r>
      <w:r w:rsidRPr="00680903">
        <w:rPr>
          <w:rFonts w:eastAsia="Times New Roman"/>
          <w:color w:val="000000"/>
        </w:rPr>
        <w:t xml:space="preserve"> </w:t>
      </w:r>
      <w:r>
        <w:rPr>
          <w:rFonts w:eastAsia="Times New Roman"/>
          <w:color w:val="000000"/>
        </w:rPr>
        <w:t>s</w:t>
      </w:r>
      <w:r w:rsidRPr="00680903">
        <w:rPr>
          <w:rFonts w:eastAsia="Times New Roman"/>
          <w:color w:val="000000"/>
        </w:rPr>
        <w:t xml:space="preserve">equestration in </w:t>
      </w:r>
      <w:r>
        <w:rPr>
          <w:rFonts w:eastAsia="Times New Roman"/>
          <w:color w:val="000000"/>
        </w:rPr>
        <w:t>s</w:t>
      </w:r>
      <w:r w:rsidRPr="00680903">
        <w:rPr>
          <w:rFonts w:eastAsia="Times New Roman"/>
          <w:color w:val="000000"/>
        </w:rPr>
        <w:t xml:space="preserve">aline </w:t>
      </w:r>
      <w:r>
        <w:rPr>
          <w:rFonts w:eastAsia="Times New Roman"/>
          <w:color w:val="000000"/>
        </w:rPr>
        <w:t>a</w:t>
      </w:r>
      <w:r w:rsidRPr="00680903">
        <w:rPr>
          <w:rFonts w:eastAsia="Times New Roman"/>
          <w:color w:val="000000"/>
        </w:rPr>
        <w:t xml:space="preserve">quifers. </w:t>
      </w:r>
      <w:r w:rsidRPr="00640E9A">
        <w:rPr>
          <w:rFonts w:eastAsia="Times New Roman"/>
          <w:color w:val="000000"/>
        </w:rPr>
        <w:t>Proceedings of SPE Annual Technical Conference and Exhibition</w:t>
      </w:r>
      <w:r>
        <w:rPr>
          <w:rFonts w:eastAsia="Times New Roman"/>
          <w:color w:val="000000"/>
        </w:rPr>
        <w:t xml:space="preserve"> 2009</w:t>
      </w:r>
      <w:r w:rsidRPr="00640E9A">
        <w:rPr>
          <w:rFonts w:eastAsia="Times New Roman"/>
          <w:color w:val="000000"/>
        </w:rPr>
        <w:t>,</w:t>
      </w:r>
      <w:r w:rsidRPr="00680903">
        <w:rPr>
          <w:rFonts w:eastAsia="Times New Roman"/>
          <w:color w:val="000000"/>
        </w:rPr>
        <w:t xml:space="preserve"> 1–18.</w:t>
      </w:r>
    </w:p>
    <w:p w14:paraId="61F06B54" w14:textId="77777777" w:rsidR="00D073A0" w:rsidRDefault="00D073A0" w:rsidP="00D073A0">
      <w:pPr>
        <w:pStyle w:val="ListParagraph"/>
        <w:numPr>
          <w:ilvl w:val="0"/>
          <w:numId w:val="16"/>
        </w:numPr>
        <w:rPr>
          <w:rFonts w:eastAsia="Times New Roman"/>
          <w:color w:val="000000"/>
        </w:rPr>
      </w:pPr>
      <w:r w:rsidRPr="00183F0C">
        <w:rPr>
          <w:rFonts w:eastAsia="Times New Roman"/>
          <w:color w:val="000000"/>
        </w:rPr>
        <w:t xml:space="preserve">Turner, B., 2015. The </w:t>
      </w:r>
      <w:r>
        <w:rPr>
          <w:rFonts w:eastAsia="Times New Roman"/>
          <w:color w:val="000000"/>
        </w:rPr>
        <w:t>u</w:t>
      </w:r>
      <w:r w:rsidRPr="00183F0C">
        <w:rPr>
          <w:rFonts w:eastAsia="Times New Roman"/>
          <w:color w:val="000000"/>
        </w:rPr>
        <w:t xml:space="preserve">se of </w:t>
      </w:r>
      <w:r>
        <w:rPr>
          <w:rFonts w:eastAsia="Times New Roman"/>
          <w:color w:val="000000"/>
        </w:rPr>
        <w:t>c</w:t>
      </w:r>
      <w:r w:rsidRPr="00183F0C">
        <w:rPr>
          <w:rFonts w:eastAsia="Times New Roman"/>
          <w:color w:val="000000"/>
        </w:rPr>
        <w:t xml:space="preserve">hemostratigraphy to </w:t>
      </w:r>
      <w:r>
        <w:rPr>
          <w:rFonts w:eastAsia="Times New Roman"/>
          <w:color w:val="000000"/>
        </w:rPr>
        <w:t>r</w:t>
      </w:r>
      <w:r w:rsidRPr="00183F0C">
        <w:rPr>
          <w:rFonts w:eastAsia="Times New Roman"/>
          <w:color w:val="000000"/>
        </w:rPr>
        <w:t xml:space="preserve">efine </w:t>
      </w:r>
      <w:r>
        <w:rPr>
          <w:rFonts w:eastAsia="Times New Roman"/>
          <w:color w:val="000000"/>
        </w:rPr>
        <w:t>a</w:t>
      </w:r>
      <w:r w:rsidRPr="00183F0C">
        <w:rPr>
          <w:rFonts w:eastAsia="Times New Roman"/>
          <w:color w:val="000000"/>
        </w:rPr>
        <w:t xml:space="preserve">mbiguous </w:t>
      </w:r>
      <w:r>
        <w:rPr>
          <w:rFonts w:eastAsia="Times New Roman"/>
          <w:color w:val="000000"/>
        </w:rPr>
        <w:t>s</w:t>
      </w:r>
      <w:r w:rsidRPr="00183F0C">
        <w:rPr>
          <w:rFonts w:eastAsia="Times New Roman"/>
          <w:color w:val="000000"/>
        </w:rPr>
        <w:t xml:space="preserve">equence </w:t>
      </w:r>
      <w:r>
        <w:rPr>
          <w:rFonts w:eastAsia="Times New Roman"/>
          <w:color w:val="000000"/>
        </w:rPr>
        <w:t>s</w:t>
      </w:r>
      <w:r w:rsidRPr="00183F0C">
        <w:rPr>
          <w:rFonts w:eastAsia="Times New Roman"/>
          <w:color w:val="000000"/>
        </w:rPr>
        <w:t xml:space="preserve">tratigraphic </w:t>
      </w:r>
      <w:r>
        <w:rPr>
          <w:rFonts w:eastAsia="Times New Roman"/>
          <w:color w:val="000000"/>
        </w:rPr>
        <w:t>c</w:t>
      </w:r>
      <w:r w:rsidRPr="00183F0C">
        <w:rPr>
          <w:rFonts w:eastAsia="Times New Roman"/>
          <w:color w:val="000000"/>
        </w:rPr>
        <w:t xml:space="preserve">orrelations in </w:t>
      </w:r>
      <w:r>
        <w:rPr>
          <w:rFonts w:eastAsia="Times New Roman"/>
          <w:color w:val="000000"/>
        </w:rPr>
        <w:t>m</w:t>
      </w:r>
      <w:r w:rsidRPr="00183F0C">
        <w:rPr>
          <w:rFonts w:eastAsia="Times New Roman"/>
          <w:color w:val="000000"/>
        </w:rPr>
        <w:t xml:space="preserve">arine </w:t>
      </w:r>
      <w:r>
        <w:rPr>
          <w:rFonts w:eastAsia="Times New Roman"/>
          <w:color w:val="000000"/>
        </w:rPr>
        <w:t>s</w:t>
      </w:r>
      <w:r w:rsidRPr="00183F0C">
        <w:rPr>
          <w:rFonts w:eastAsia="Times New Roman"/>
          <w:color w:val="000000"/>
        </w:rPr>
        <w:t xml:space="preserve">hales: An </w:t>
      </w:r>
      <w:r>
        <w:rPr>
          <w:rFonts w:eastAsia="Times New Roman"/>
          <w:color w:val="000000"/>
        </w:rPr>
        <w:t>e</w:t>
      </w:r>
      <w:r w:rsidRPr="00183F0C">
        <w:rPr>
          <w:rFonts w:eastAsia="Times New Roman"/>
          <w:color w:val="000000"/>
        </w:rPr>
        <w:t xml:space="preserve">xample of the Woodford Shale, Oklahoma. AAPG </w:t>
      </w:r>
      <w:r>
        <w:rPr>
          <w:rFonts w:eastAsia="Times New Roman"/>
          <w:color w:val="000000"/>
        </w:rPr>
        <w:t>e</w:t>
      </w:r>
      <w:r w:rsidRPr="00183F0C">
        <w:rPr>
          <w:rFonts w:eastAsia="Times New Roman"/>
          <w:color w:val="000000"/>
        </w:rPr>
        <w:t xml:space="preserve">ducation </w:t>
      </w:r>
      <w:r>
        <w:rPr>
          <w:rFonts w:eastAsia="Times New Roman"/>
          <w:color w:val="000000"/>
        </w:rPr>
        <w:t>d</w:t>
      </w:r>
      <w:r w:rsidRPr="00183F0C">
        <w:rPr>
          <w:rFonts w:eastAsia="Times New Roman"/>
          <w:color w:val="000000"/>
        </w:rPr>
        <w:t xml:space="preserve">irectorate, Woodford Shale </w:t>
      </w:r>
      <w:r>
        <w:rPr>
          <w:rFonts w:eastAsia="Times New Roman"/>
          <w:color w:val="000000"/>
        </w:rPr>
        <w:t>f</w:t>
      </w:r>
      <w:r w:rsidRPr="00183F0C">
        <w:rPr>
          <w:rFonts w:eastAsia="Times New Roman"/>
          <w:color w:val="000000"/>
        </w:rPr>
        <w:t xml:space="preserve">orum: Focus on </w:t>
      </w:r>
      <w:r>
        <w:rPr>
          <w:rFonts w:eastAsia="Times New Roman"/>
          <w:color w:val="000000"/>
        </w:rPr>
        <w:t>o</w:t>
      </w:r>
      <w:r w:rsidRPr="00183F0C">
        <w:rPr>
          <w:rFonts w:eastAsia="Times New Roman"/>
          <w:color w:val="000000"/>
        </w:rPr>
        <w:t>ptimization</w:t>
      </w:r>
      <w:r>
        <w:rPr>
          <w:rFonts w:eastAsia="Times New Roman"/>
          <w:color w:val="000000"/>
        </w:rPr>
        <w:t>.</w:t>
      </w:r>
      <w:r w:rsidRPr="00183F0C">
        <w:rPr>
          <w:rFonts w:eastAsia="Times New Roman"/>
          <w:color w:val="000000"/>
        </w:rPr>
        <w:t xml:space="preserve"> Oklahoma City, Oklahoma, 2015. AAPG Datapages</w:t>
      </w:r>
      <w:r>
        <w:rPr>
          <w:rFonts w:eastAsia="Times New Roman"/>
          <w:color w:val="000000"/>
        </w:rPr>
        <w:t xml:space="preserve"> </w:t>
      </w:r>
      <w:r w:rsidRPr="00183F0C">
        <w:rPr>
          <w:rFonts w:eastAsia="Times New Roman"/>
          <w:color w:val="000000"/>
        </w:rPr>
        <w:t xml:space="preserve">Search and Discovery </w:t>
      </w:r>
      <w:r>
        <w:rPr>
          <w:rFonts w:eastAsia="Times New Roman"/>
          <w:color w:val="000000"/>
        </w:rPr>
        <w:t>A</w:t>
      </w:r>
      <w:r w:rsidRPr="00183F0C">
        <w:rPr>
          <w:rFonts w:eastAsia="Times New Roman"/>
          <w:color w:val="000000"/>
        </w:rPr>
        <w:t>rticle 90241</w:t>
      </w:r>
      <w:r>
        <w:rPr>
          <w:rFonts w:eastAsia="Times New Roman"/>
          <w:color w:val="000000"/>
        </w:rPr>
        <w:t>.</w:t>
      </w:r>
    </w:p>
    <w:p w14:paraId="5F525F63" w14:textId="77777777" w:rsidR="00D073A0" w:rsidRDefault="00D073A0" w:rsidP="00D073A0">
      <w:pPr>
        <w:pStyle w:val="ListParagraph"/>
        <w:numPr>
          <w:ilvl w:val="0"/>
          <w:numId w:val="16"/>
        </w:numPr>
        <w:rPr>
          <w:rFonts w:eastAsia="Times New Roman"/>
          <w:color w:val="000000"/>
        </w:rPr>
      </w:pPr>
      <w:r w:rsidRPr="00183F0C">
        <w:rPr>
          <w:rFonts w:eastAsia="Times New Roman"/>
          <w:color w:val="000000"/>
        </w:rPr>
        <w:t>Turner, B., Molinares,</w:t>
      </w:r>
      <w:r>
        <w:rPr>
          <w:rFonts w:eastAsia="Times New Roman"/>
          <w:color w:val="000000"/>
        </w:rPr>
        <w:t xml:space="preserve"> </w:t>
      </w:r>
      <w:r w:rsidRPr="00183F0C">
        <w:rPr>
          <w:rFonts w:eastAsia="Times New Roman"/>
          <w:color w:val="000000"/>
        </w:rPr>
        <w:t>C.</w:t>
      </w:r>
      <w:r>
        <w:rPr>
          <w:rFonts w:eastAsia="Times New Roman"/>
          <w:color w:val="000000"/>
        </w:rPr>
        <w:t>,</w:t>
      </w:r>
      <w:r w:rsidRPr="00183F0C">
        <w:rPr>
          <w:rFonts w:eastAsia="Times New Roman"/>
          <w:color w:val="000000"/>
        </w:rPr>
        <w:t xml:space="preserve"> and</w:t>
      </w:r>
      <w:r>
        <w:rPr>
          <w:rFonts w:eastAsia="Times New Roman"/>
          <w:color w:val="000000"/>
        </w:rPr>
        <w:t xml:space="preserve"> </w:t>
      </w:r>
      <w:r w:rsidRPr="00183F0C">
        <w:rPr>
          <w:rFonts w:eastAsia="Times New Roman"/>
          <w:color w:val="000000"/>
        </w:rPr>
        <w:t>Slatt,</w:t>
      </w:r>
      <w:r>
        <w:rPr>
          <w:rFonts w:eastAsia="Times New Roman"/>
          <w:color w:val="000000"/>
        </w:rPr>
        <w:t xml:space="preserve"> R.M.,</w:t>
      </w:r>
      <w:r w:rsidRPr="00183F0C">
        <w:rPr>
          <w:rFonts w:eastAsia="Times New Roman"/>
          <w:color w:val="000000"/>
        </w:rPr>
        <w:t xml:space="preserve"> 2015</w:t>
      </w:r>
      <w:r>
        <w:rPr>
          <w:rFonts w:eastAsia="Times New Roman"/>
          <w:color w:val="000000"/>
        </w:rPr>
        <w:t>.</w:t>
      </w:r>
      <w:r w:rsidRPr="00183F0C">
        <w:rPr>
          <w:rFonts w:eastAsia="Times New Roman"/>
          <w:color w:val="000000"/>
        </w:rPr>
        <w:t xml:space="preserve"> Chemostratigraphic, palynostratigraphic, and sequence stratigraphic analysis of the Woodford Shale, Wyche Farm </w:t>
      </w:r>
      <w:r>
        <w:rPr>
          <w:rFonts w:eastAsia="Times New Roman"/>
          <w:color w:val="000000"/>
        </w:rPr>
        <w:t>q</w:t>
      </w:r>
      <w:r w:rsidRPr="00183F0C">
        <w:rPr>
          <w:rFonts w:eastAsia="Times New Roman"/>
          <w:color w:val="000000"/>
        </w:rPr>
        <w:t xml:space="preserve">uarry, Pontotoc </w:t>
      </w:r>
      <w:r>
        <w:rPr>
          <w:rFonts w:eastAsia="Times New Roman"/>
          <w:color w:val="000000"/>
        </w:rPr>
        <w:t>C</w:t>
      </w:r>
      <w:r w:rsidRPr="00183F0C">
        <w:rPr>
          <w:rFonts w:eastAsia="Times New Roman"/>
          <w:color w:val="000000"/>
        </w:rPr>
        <w:t>ounty, Oklahoma</w:t>
      </w:r>
      <w:r>
        <w:rPr>
          <w:rFonts w:eastAsia="Times New Roman"/>
          <w:color w:val="000000"/>
        </w:rPr>
        <w:t>.</w:t>
      </w:r>
      <w:r w:rsidRPr="00183F0C">
        <w:rPr>
          <w:rFonts w:eastAsia="Times New Roman"/>
          <w:color w:val="000000"/>
        </w:rPr>
        <w:t xml:space="preserve"> Interpretation 3</w:t>
      </w:r>
      <w:r>
        <w:rPr>
          <w:rFonts w:eastAsia="Times New Roman"/>
          <w:color w:val="000000"/>
        </w:rPr>
        <w:t xml:space="preserve">, </w:t>
      </w:r>
      <w:r w:rsidRPr="00183F0C">
        <w:rPr>
          <w:rFonts w:eastAsia="Times New Roman"/>
          <w:color w:val="000000"/>
        </w:rPr>
        <w:t>1, SH1-SH9.</w:t>
      </w:r>
    </w:p>
    <w:p w14:paraId="76224C0D" w14:textId="6106C52D" w:rsidR="00D073A0" w:rsidRDefault="00D073A0" w:rsidP="00D073A0">
      <w:pPr>
        <w:pStyle w:val="ListParagraph"/>
        <w:numPr>
          <w:ilvl w:val="0"/>
          <w:numId w:val="16"/>
        </w:numPr>
        <w:rPr>
          <w:rFonts w:eastAsia="Times New Roman"/>
          <w:color w:val="000000"/>
        </w:rPr>
      </w:pPr>
      <w:r>
        <w:rPr>
          <w:rFonts w:eastAsia="Times New Roman"/>
          <w:color w:val="000000"/>
        </w:rPr>
        <w:t>Verma, S., Guo, S., Marfurt, K.J., 2016</w:t>
      </w:r>
      <w:r w:rsidR="00F33EED">
        <w:rPr>
          <w:rFonts w:eastAsia="Times New Roman"/>
          <w:color w:val="000000"/>
        </w:rPr>
        <w:t>a</w:t>
      </w:r>
      <w:r>
        <w:rPr>
          <w:rFonts w:eastAsia="Times New Roman"/>
          <w:color w:val="000000"/>
        </w:rPr>
        <w:t xml:space="preserve">. </w:t>
      </w:r>
      <w:r w:rsidRPr="00E857E8">
        <w:rPr>
          <w:rFonts w:eastAsia="Times New Roman"/>
          <w:color w:val="000000"/>
        </w:rPr>
        <w:t>Data conditioning of legacy seismic using migration-driven 5D interpolation</w:t>
      </w:r>
      <w:r>
        <w:rPr>
          <w:rFonts w:eastAsia="Times New Roman"/>
          <w:color w:val="000000"/>
        </w:rPr>
        <w:t>. Interpretation 4, 2, SG31-SG40.</w:t>
      </w:r>
    </w:p>
    <w:p w14:paraId="1CCC8EED" w14:textId="36CC91EB" w:rsidR="00D073A0" w:rsidRPr="00D67750" w:rsidRDefault="00D073A0" w:rsidP="00D073A0">
      <w:pPr>
        <w:pStyle w:val="ListParagraph"/>
        <w:numPr>
          <w:ilvl w:val="0"/>
          <w:numId w:val="16"/>
        </w:numPr>
        <w:rPr>
          <w:rFonts w:eastAsia="Times New Roman"/>
          <w:color w:val="000000"/>
        </w:rPr>
      </w:pPr>
      <w:r w:rsidRPr="00D67750">
        <w:rPr>
          <w:rFonts w:eastAsia="Times New Roman"/>
          <w:color w:val="000000"/>
        </w:rPr>
        <w:t>Verma, S., Zhao, T., Marfurt, K.J., Devegowda, D., 2016</w:t>
      </w:r>
      <w:r w:rsidR="00F33EED">
        <w:rPr>
          <w:rFonts w:eastAsia="Times New Roman"/>
          <w:color w:val="000000"/>
        </w:rPr>
        <w:t>b</w:t>
      </w:r>
      <w:r w:rsidRPr="00D67750">
        <w:rPr>
          <w:rFonts w:eastAsia="Times New Roman"/>
          <w:color w:val="000000"/>
        </w:rPr>
        <w:t>. Estimation of total organic carbon and brittleness volume</w:t>
      </w:r>
      <w:r>
        <w:rPr>
          <w:rFonts w:eastAsia="Times New Roman"/>
          <w:color w:val="000000"/>
        </w:rPr>
        <w:t>. Interpretation 4, 3, T373-T385.</w:t>
      </w:r>
    </w:p>
    <w:p w14:paraId="6E93EBD8" w14:textId="77777777" w:rsidR="00D073A0" w:rsidRDefault="00D073A0" w:rsidP="00D073A0">
      <w:pPr>
        <w:pStyle w:val="ListParagraph"/>
        <w:numPr>
          <w:ilvl w:val="0"/>
          <w:numId w:val="16"/>
        </w:numPr>
        <w:rPr>
          <w:rFonts w:eastAsia="Times New Roman"/>
          <w:color w:val="000000"/>
        </w:rPr>
      </w:pPr>
      <w:r w:rsidRPr="00680903">
        <w:rPr>
          <w:rFonts w:eastAsia="Times New Roman"/>
          <w:color w:val="000000"/>
        </w:rPr>
        <w:t xml:space="preserve">Vermylen, J.P., 2011. Geomechanical </w:t>
      </w:r>
      <w:r>
        <w:rPr>
          <w:rFonts w:eastAsia="Times New Roman"/>
          <w:color w:val="000000"/>
        </w:rPr>
        <w:t>st</w:t>
      </w:r>
      <w:r w:rsidRPr="00680903">
        <w:rPr>
          <w:rFonts w:eastAsia="Times New Roman"/>
          <w:color w:val="000000"/>
        </w:rPr>
        <w:t xml:space="preserve">udies of the Barnett Shale, Texas, USA. </w:t>
      </w:r>
      <w:r>
        <w:rPr>
          <w:rFonts w:eastAsia="Times New Roman"/>
          <w:color w:val="000000"/>
        </w:rPr>
        <w:t>Doctoral dissertation manuscript</w:t>
      </w:r>
      <w:r w:rsidRPr="00680903">
        <w:rPr>
          <w:rFonts w:eastAsia="Times New Roman"/>
          <w:color w:val="000000"/>
        </w:rPr>
        <w:t>, Stanford University</w:t>
      </w:r>
      <w:r>
        <w:rPr>
          <w:rFonts w:eastAsia="Times New Roman"/>
          <w:color w:val="000000"/>
        </w:rPr>
        <w:t xml:space="preserve">, p. </w:t>
      </w:r>
      <w:r w:rsidRPr="00680903">
        <w:rPr>
          <w:rFonts w:eastAsia="Times New Roman"/>
          <w:color w:val="000000"/>
        </w:rPr>
        <w:t>143.</w:t>
      </w:r>
    </w:p>
    <w:p w14:paraId="3BCB9DD4" w14:textId="77777777" w:rsidR="00D073A0" w:rsidRDefault="00D073A0" w:rsidP="00D073A0">
      <w:pPr>
        <w:pStyle w:val="ListParagraph"/>
        <w:numPr>
          <w:ilvl w:val="0"/>
          <w:numId w:val="16"/>
        </w:numPr>
        <w:rPr>
          <w:rFonts w:eastAsia="Times New Roman"/>
          <w:color w:val="000000"/>
        </w:rPr>
      </w:pPr>
      <w:r w:rsidRPr="00583E44">
        <w:rPr>
          <w:rFonts w:eastAsia="Times New Roman"/>
          <w:color w:val="000000"/>
        </w:rPr>
        <w:t xml:space="preserve">Wang, Z., 2000. Dynamic versus static elastic properties of reservoir rocks. Seismic and </w:t>
      </w:r>
      <w:r>
        <w:rPr>
          <w:rFonts w:eastAsia="Times New Roman"/>
          <w:color w:val="000000"/>
        </w:rPr>
        <w:t>a</w:t>
      </w:r>
      <w:r w:rsidRPr="00583E44">
        <w:rPr>
          <w:rFonts w:eastAsia="Times New Roman"/>
          <w:color w:val="000000"/>
        </w:rPr>
        <w:t xml:space="preserve">coustic </w:t>
      </w:r>
      <w:r>
        <w:rPr>
          <w:rFonts w:eastAsia="Times New Roman"/>
          <w:color w:val="000000"/>
        </w:rPr>
        <w:t>v</w:t>
      </w:r>
      <w:r w:rsidRPr="00583E44">
        <w:rPr>
          <w:rFonts w:eastAsia="Times New Roman"/>
          <w:color w:val="000000"/>
        </w:rPr>
        <w:t xml:space="preserve">elocities in </w:t>
      </w:r>
      <w:r>
        <w:rPr>
          <w:rFonts w:eastAsia="Times New Roman"/>
          <w:color w:val="000000"/>
        </w:rPr>
        <w:t>r</w:t>
      </w:r>
      <w:r w:rsidRPr="00583E44">
        <w:rPr>
          <w:rFonts w:eastAsia="Times New Roman"/>
          <w:color w:val="000000"/>
        </w:rPr>
        <w:t xml:space="preserve">eservoir </w:t>
      </w:r>
      <w:r>
        <w:rPr>
          <w:rFonts w:eastAsia="Times New Roman"/>
          <w:color w:val="000000"/>
        </w:rPr>
        <w:t>r</w:t>
      </w:r>
      <w:r w:rsidRPr="00583E44">
        <w:rPr>
          <w:rFonts w:eastAsia="Times New Roman"/>
          <w:color w:val="000000"/>
        </w:rPr>
        <w:t>ocks</w:t>
      </w:r>
      <w:r>
        <w:rPr>
          <w:rFonts w:eastAsia="Times New Roman"/>
          <w:color w:val="000000"/>
        </w:rPr>
        <w:t>.</w:t>
      </w:r>
      <w:r w:rsidRPr="00583E44">
        <w:rPr>
          <w:rFonts w:eastAsia="Times New Roman"/>
          <w:color w:val="000000"/>
        </w:rPr>
        <w:t xml:space="preserve"> SEG Geophysics Reprint Series </w:t>
      </w:r>
      <w:r>
        <w:rPr>
          <w:rFonts w:eastAsia="Times New Roman"/>
          <w:color w:val="000000"/>
        </w:rPr>
        <w:t>1</w:t>
      </w:r>
      <w:r w:rsidRPr="00583E44">
        <w:rPr>
          <w:rFonts w:eastAsia="Times New Roman"/>
          <w:color w:val="000000"/>
        </w:rPr>
        <w:t>9.</w:t>
      </w:r>
    </w:p>
    <w:p w14:paraId="0D729846" w14:textId="77777777" w:rsidR="00D073A0" w:rsidRPr="00583E44" w:rsidRDefault="00D073A0" w:rsidP="00D073A0">
      <w:pPr>
        <w:pStyle w:val="ListParagraph"/>
        <w:numPr>
          <w:ilvl w:val="0"/>
          <w:numId w:val="16"/>
        </w:numPr>
        <w:rPr>
          <w:rFonts w:eastAsia="Times New Roman"/>
          <w:color w:val="000000"/>
        </w:rPr>
      </w:pPr>
      <w:r w:rsidRPr="00583E44">
        <w:rPr>
          <w:rFonts w:eastAsia="Times New Roman"/>
          <w:color w:val="000000"/>
        </w:rPr>
        <w:t>Wang, C., Zeng, Z., 2011. Overview of geomechanical properties of Bakken formation in the Williston basin, North Dakota. 45th US Rock Mechanics / Geomechanics Symposium held in San Francisco, CA, June 26–29, 2011.</w:t>
      </w:r>
    </w:p>
    <w:p w14:paraId="00486922" w14:textId="77777777" w:rsidR="00D073A0" w:rsidRDefault="00D073A0" w:rsidP="00D073A0">
      <w:pPr>
        <w:pStyle w:val="ListParagraph"/>
        <w:numPr>
          <w:ilvl w:val="0"/>
          <w:numId w:val="16"/>
        </w:numPr>
        <w:rPr>
          <w:rFonts w:eastAsia="Times New Roman"/>
          <w:color w:val="000000"/>
        </w:rPr>
      </w:pPr>
      <w:r w:rsidRPr="00990E00">
        <w:rPr>
          <w:rFonts w:eastAsia="Times New Roman"/>
          <w:color w:val="000000"/>
        </w:rPr>
        <w:t>Xiao, M., Zhang, G., Breitkopf, P., Villon, P., Zhang, W., 2018. Extended co-kriging interpolation method based on multi-fidelity data. Applied Mathematics and Computation 323, 120-131.</w:t>
      </w:r>
    </w:p>
    <w:p w14:paraId="74F5FD90" w14:textId="77777777" w:rsidR="00D073A0" w:rsidRDefault="00D073A0" w:rsidP="00D073A0">
      <w:pPr>
        <w:pStyle w:val="ListParagraph"/>
        <w:numPr>
          <w:ilvl w:val="0"/>
          <w:numId w:val="16"/>
        </w:numPr>
        <w:rPr>
          <w:rFonts w:eastAsia="Times New Roman"/>
          <w:color w:val="000000"/>
        </w:rPr>
      </w:pPr>
      <w:r>
        <w:rPr>
          <w:rFonts w:eastAsia="Times New Roman"/>
          <w:color w:val="000000"/>
        </w:rPr>
        <w:t xml:space="preserve">Xiong, H., Zhu, T., Forest, J., Yang, C., Wook Lee, J., Kumar, H, Li, C., 2018. A practical way to prepare physical-based type well performance curves for unconventional reservoirs in the </w:t>
      </w:r>
      <w:r>
        <w:rPr>
          <w:rFonts w:eastAsia="Times New Roman"/>
          <w:color w:val="000000"/>
        </w:rPr>
        <w:lastRenderedPageBreak/>
        <w:t xml:space="preserve">Permian basin. </w:t>
      </w:r>
      <w:r w:rsidRPr="00B774D3">
        <w:rPr>
          <w:rFonts w:eastAsia="Times New Roman"/>
          <w:color w:val="000000"/>
        </w:rPr>
        <w:t>Unconventional Resources Technology Conference (URTeC)</w:t>
      </w:r>
      <w:r>
        <w:rPr>
          <w:rFonts w:eastAsia="Times New Roman"/>
          <w:color w:val="000000"/>
        </w:rPr>
        <w:t xml:space="preserve"> 2018, 2888118, p. 13.</w:t>
      </w:r>
    </w:p>
    <w:p w14:paraId="1C0D70B5" w14:textId="77777777" w:rsidR="00D073A0" w:rsidRDefault="00D073A0" w:rsidP="00D073A0">
      <w:pPr>
        <w:pStyle w:val="ListParagraph"/>
        <w:numPr>
          <w:ilvl w:val="0"/>
          <w:numId w:val="16"/>
        </w:numPr>
        <w:rPr>
          <w:rFonts w:eastAsia="Times New Roman"/>
          <w:color w:val="000000"/>
        </w:rPr>
      </w:pPr>
      <w:r w:rsidRPr="00A13F88">
        <w:rPr>
          <w:rFonts w:eastAsia="Times New Roman"/>
          <w:color w:val="000000"/>
        </w:rPr>
        <w:t>Yale, D.P., Jamieson Jr., W.</w:t>
      </w:r>
      <w:r>
        <w:rPr>
          <w:rFonts w:eastAsia="Times New Roman"/>
          <w:color w:val="000000"/>
        </w:rPr>
        <w:t>H.</w:t>
      </w:r>
      <w:r w:rsidRPr="00A13F88">
        <w:rPr>
          <w:rFonts w:eastAsia="Times New Roman"/>
          <w:color w:val="000000"/>
        </w:rPr>
        <w:t>, 1994. Static and dynamic mechanical properties of carbonates. In: 1st North American Rock Mechanics Symposium. American Rock Mechanics Association.</w:t>
      </w:r>
    </w:p>
    <w:p w14:paraId="4AA98720" w14:textId="77777777" w:rsidR="00D073A0" w:rsidRDefault="00D073A0" w:rsidP="00D073A0">
      <w:pPr>
        <w:pStyle w:val="ListParagraph"/>
        <w:numPr>
          <w:ilvl w:val="0"/>
          <w:numId w:val="16"/>
        </w:numPr>
        <w:rPr>
          <w:rFonts w:eastAsia="Times New Roman"/>
          <w:color w:val="000000"/>
        </w:rPr>
      </w:pPr>
      <w:r>
        <w:rPr>
          <w:rFonts w:eastAsia="Times New Roman"/>
          <w:color w:val="000000"/>
        </w:rPr>
        <w:t>Yarus, J. M., 1994. Selected readings on geostatistics, in Yarus, M.J., Chambers, R.L eds., Stochastic modeling and geostatistics. Computer Applications 3, AAPG Special Volumes, 369-370.</w:t>
      </w:r>
    </w:p>
    <w:p w14:paraId="64B1B961" w14:textId="77777777" w:rsidR="00D073A0" w:rsidRDefault="00D073A0" w:rsidP="00D073A0">
      <w:pPr>
        <w:pStyle w:val="ListParagraph"/>
        <w:numPr>
          <w:ilvl w:val="0"/>
          <w:numId w:val="16"/>
        </w:numPr>
        <w:rPr>
          <w:rFonts w:eastAsia="Times New Roman"/>
          <w:color w:val="000000"/>
        </w:rPr>
      </w:pPr>
      <w:r w:rsidRPr="00C45ECD">
        <w:rPr>
          <w:rFonts w:eastAsia="Times New Roman"/>
          <w:color w:val="000000"/>
        </w:rPr>
        <w:t>Yasar,</w:t>
      </w:r>
      <w:r>
        <w:rPr>
          <w:rFonts w:eastAsia="Times New Roman"/>
          <w:color w:val="000000"/>
        </w:rPr>
        <w:t xml:space="preserve"> E.,</w:t>
      </w:r>
      <w:r w:rsidRPr="00C45ECD">
        <w:rPr>
          <w:rFonts w:eastAsia="Times New Roman"/>
          <w:color w:val="000000"/>
        </w:rPr>
        <w:t xml:space="preserve"> Erdogan,</w:t>
      </w:r>
      <w:r>
        <w:rPr>
          <w:rFonts w:eastAsia="Times New Roman"/>
          <w:color w:val="000000"/>
        </w:rPr>
        <w:t xml:space="preserve"> Y.,</w:t>
      </w:r>
      <w:r w:rsidRPr="00C45ECD">
        <w:rPr>
          <w:rFonts w:eastAsia="Times New Roman"/>
          <w:color w:val="000000"/>
        </w:rPr>
        <w:t xml:space="preserve"> 2004. Correlating sound velocity with the density, compressive strength</w:t>
      </w:r>
      <w:r>
        <w:rPr>
          <w:rFonts w:eastAsia="Times New Roman"/>
          <w:color w:val="000000"/>
        </w:rPr>
        <w:t>,</w:t>
      </w:r>
      <w:r w:rsidRPr="00C45ECD">
        <w:rPr>
          <w:rFonts w:eastAsia="Times New Roman"/>
          <w:color w:val="000000"/>
        </w:rPr>
        <w:t xml:space="preserve"> and Young's modulus of carbonate rocks. International Journal of Rock Mechanics and </w:t>
      </w:r>
      <w:r>
        <w:rPr>
          <w:rFonts w:eastAsia="Times New Roman"/>
          <w:color w:val="000000"/>
        </w:rPr>
        <w:t>M</w:t>
      </w:r>
      <w:r w:rsidRPr="00980A45">
        <w:rPr>
          <w:rFonts w:eastAsia="Times New Roman"/>
          <w:color w:val="000000"/>
        </w:rPr>
        <w:t>i</w:t>
      </w:r>
      <w:r w:rsidRPr="00C45ECD">
        <w:rPr>
          <w:rFonts w:eastAsia="Times New Roman"/>
          <w:color w:val="000000"/>
        </w:rPr>
        <w:t>ning Sciences</w:t>
      </w:r>
      <w:r>
        <w:rPr>
          <w:rFonts w:eastAsia="Times New Roman"/>
          <w:color w:val="000000"/>
        </w:rPr>
        <w:t xml:space="preserve"> </w:t>
      </w:r>
      <w:r w:rsidRPr="00C45ECD">
        <w:rPr>
          <w:rFonts w:eastAsia="Times New Roman"/>
          <w:color w:val="000000"/>
        </w:rPr>
        <w:t>4</w:t>
      </w:r>
      <w:r>
        <w:rPr>
          <w:rFonts w:eastAsia="Times New Roman"/>
          <w:color w:val="000000"/>
        </w:rPr>
        <w:t xml:space="preserve">1, </w:t>
      </w:r>
      <w:r w:rsidRPr="00C45ECD">
        <w:rPr>
          <w:rFonts w:eastAsia="Times New Roman"/>
          <w:color w:val="000000"/>
        </w:rPr>
        <w:t>5, 871-875.</w:t>
      </w:r>
      <w:r>
        <w:rPr>
          <w:rFonts w:eastAsia="Times New Roman"/>
          <w:color w:val="000000"/>
        </w:rPr>
        <w:t xml:space="preserve"> </w:t>
      </w:r>
    </w:p>
    <w:p w14:paraId="1121A784" w14:textId="77777777" w:rsidR="00D073A0" w:rsidRPr="00C45ECD" w:rsidRDefault="00D073A0" w:rsidP="00D073A0">
      <w:pPr>
        <w:pStyle w:val="ListParagraph"/>
        <w:numPr>
          <w:ilvl w:val="0"/>
          <w:numId w:val="16"/>
        </w:numPr>
        <w:rPr>
          <w:rFonts w:eastAsia="Times New Roman"/>
          <w:color w:val="000000"/>
        </w:rPr>
      </w:pPr>
      <w:r w:rsidRPr="00773C52">
        <w:rPr>
          <w:rFonts w:eastAsia="Times New Roman"/>
          <w:color w:val="000000"/>
        </w:rPr>
        <w:t>Ye, Z., Sesetty, V., Ghassemi, A. 2018. Experimental and numerical analysis of shear stimulation and permeability evolution in shales. Hydraulic Fracturing Journal 5</w:t>
      </w:r>
      <w:r>
        <w:rPr>
          <w:rFonts w:eastAsia="Times New Roman"/>
          <w:color w:val="000000"/>
        </w:rPr>
        <w:t xml:space="preserve">, </w:t>
      </w:r>
      <w:r w:rsidRPr="00773C52">
        <w:rPr>
          <w:rFonts w:eastAsia="Times New Roman"/>
          <w:color w:val="000000"/>
        </w:rPr>
        <w:t>3</w:t>
      </w:r>
      <w:r>
        <w:rPr>
          <w:rFonts w:eastAsia="Times New Roman"/>
          <w:color w:val="000000"/>
        </w:rPr>
        <w:t>, p.</w:t>
      </w:r>
      <w:r w:rsidRPr="00773C52">
        <w:rPr>
          <w:rFonts w:eastAsia="Times New Roman"/>
          <w:color w:val="000000"/>
        </w:rPr>
        <w:t xml:space="preserve"> 2841.</w:t>
      </w:r>
    </w:p>
    <w:p w14:paraId="53242E4C" w14:textId="77777777" w:rsidR="00D073A0" w:rsidRDefault="00D073A0" w:rsidP="00D073A0">
      <w:pPr>
        <w:pStyle w:val="ListParagraph"/>
        <w:numPr>
          <w:ilvl w:val="0"/>
          <w:numId w:val="16"/>
        </w:numPr>
        <w:rPr>
          <w:rFonts w:eastAsia="Times New Roman"/>
          <w:color w:val="000000"/>
        </w:rPr>
      </w:pPr>
      <w:r w:rsidRPr="00483000">
        <w:rPr>
          <w:rFonts w:eastAsia="Times New Roman"/>
          <w:color w:val="000000"/>
        </w:rPr>
        <w:t>Yenugu, M., Marfurt, K. J.</w:t>
      </w:r>
      <w:r>
        <w:rPr>
          <w:rFonts w:eastAsia="Times New Roman"/>
          <w:color w:val="000000"/>
        </w:rPr>
        <w:t>,</w:t>
      </w:r>
      <w:r w:rsidRPr="00483000">
        <w:rPr>
          <w:rFonts w:eastAsia="Times New Roman"/>
          <w:color w:val="000000"/>
        </w:rPr>
        <w:t xml:space="preserve"> Matson,</w:t>
      </w:r>
      <w:r>
        <w:rPr>
          <w:rFonts w:eastAsia="Times New Roman"/>
          <w:color w:val="000000"/>
        </w:rPr>
        <w:t xml:space="preserve"> S.,</w:t>
      </w:r>
      <w:r w:rsidRPr="00483000">
        <w:rPr>
          <w:rFonts w:eastAsia="Times New Roman"/>
          <w:color w:val="000000"/>
        </w:rPr>
        <w:t xml:space="preserve"> 2011</w:t>
      </w:r>
      <w:r>
        <w:rPr>
          <w:rFonts w:eastAsia="Times New Roman"/>
          <w:color w:val="000000"/>
        </w:rPr>
        <w:t xml:space="preserve">. </w:t>
      </w:r>
      <w:r w:rsidRPr="00483000">
        <w:rPr>
          <w:rFonts w:eastAsia="Times New Roman"/>
          <w:color w:val="000000"/>
        </w:rPr>
        <w:t>Seismic texture analysis for reservoir prediction and characterization</w:t>
      </w:r>
      <w:r>
        <w:rPr>
          <w:rFonts w:eastAsia="Times New Roman"/>
          <w:color w:val="000000"/>
        </w:rPr>
        <w:t>.</w:t>
      </w:r>
      <w:r w:rsidRPr="00483000">
        <w:rPr>
          <w:rFonts w:eastAsia="Times New Roman"/>
          <w:color w:val="000000"/>
        </w:rPr>
        <w:t xml:space="preserve"> The Leading Edge 29, 1116-1121.</w:t>
      </w:r>
    </w:p>
    <w:p w14:paraId="2E10EE0E" w14:textId="77777777" w:rsidR="00D073A0" w:rsidRPr="00483000" w:rsidRDefault="00D073A0" w:rsidP="00D073A0">
      <w:pPr>
        <w:pStyle w:val="ListParagraph"/>
        <w:numPr>
          <w:ilvl w:val="0"/>
          <w:numId w:val="16"/>
        </w:numPr>
        <w:rPr>
          <w:rFonts w:eastAsia="Times New Roman"/>
          <w:color w:val="000000"/>
        </w:rPr>
      </w:pPr>
      <w:r w:rsidRPr="003554F4">
        <w:rPr>
          <w:rFonts w:eastAsia="Times New Roman"/>
          <w:color w:val="000000"/>
        </w:rPr>
        <w:t xml:space="preserve">Zhao, T., Jayaram, </w:t>
      </w:r>
      <w:r>
        <w:rPr>
          <w:rFonts w:eastAsia="Times New Roman"/>
          <w:color w:val="000000"/>
        </w:rPr>
        <w:t xml:space="preserve">V., </w:t>
      </w:r>
      <w:r w:rsidRPr="003554F4">
        <w:rPr>
          <w:rFonts w:eastAsia="Times New Roman"/>
          <w:color w:val="000000"/>
        </w:rPr>
        <w:t>Roy</w:t>
      </w:r>
      <w:r>
        <w:rPr>
          <w:rFonts w:eastAsia="Times New Roman"/>
          <w:color w:val="000000"/>
        </w:rPr>
        <w:t>, A.</w:t>
      </w:r>
      <w:r w:rsidRPr="003554F4">
        <w:rPr>
          <w:rFonts w:eastAsia="Times New Roman"/>
          <w:color w:val="000000"/>
        </w:rPr>
        <w:t>, Marfurt</w:t>
      </w:r>
      <w:r>
        <w:rPr>
          <w:rFonts w:eastAsia="Times New Roman"/>
          <w:color w:val="000000"/>
        </w:rPr>
        <w:t>, K.J.</w:t>
      </w:r>
      <w:r w:rsidRPr="003554F4">
        <w:rPr>
          <w:rFonts w:eastAsia="Times New Roman"/>
          <w:color w:val="000000"/>
        </w:rPr>
        <w:t>, 2015</w:t>
      </w:r>
      <w:r>
        <w:rPr>
          <w:rFonts w:eastAsia="Times New Roman"/>
          <w:color w:val="000000"/>
        </w:rPr>
        <w:t>.</w:t>
      </w:r>
      <w:r w:rsidRPr="003554F4">
        <w:rPr>
          <w:rFonts w:eastAsia="Times New Roman"/>
          <w:color w:val="000000"/>
        </w:rPr>
        <w:t xml:space="preserve"> A comparison of classification techniques for seismic facies recognition</w:t>
      </w:r>
      <w:r>
        <w:rPr>
          <w:rFonts w:eastAsia="Times New Roman"/>
          <w:color w:val="000000"/>
        </w:rPr>
        <w:t>.</w:t>
      </w:r>
      <w:r w:rsidRPr="003554F4">
        <w:rPr>
          <w:rFonts w:eastAsia="Times New Roman"/>
          <w:color w:val="000000"/>
        </w:rPr>
        <w:t xml:space="preserve"> Interpretation 3, SAE29–SAE58,</w:t>
      </w:r>
    </w:p>
    <w:p w14:paraId="5A895DC2"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Zhao, T., Zhang,</w:t>
      </w:r>
      <w:r>
        <w:rPr>
          <w:rFonts w:eastAsia="Times New Roman"/>
          <w:color w:val="000000"/>
        </w:rPr>
        <w:t xml:space="preserve"> </w:t>
      </w:r>
      <w:r w:rsidRPr="00680903">
        <w:rPr>
          <w:rFonts w:eastAsia="Times New Roman"/>
          <w:color w:val="000000"/>
        </w:rPr>
        <w:t>J.</w:t>
      </w:r>
      <w:r>
        <w:rPr>
          <w:rFonts w:eastAsia="Times New Roman"/>
          <w:color w:val="000000"/>
        </w:rPr>
        <w:t xml:space="preserve">, </w:t>
      </w:r>
      <w:r w:rsidRPr="00680903">
        <w:rPr>
          <w:rFonts w:eastAsia="Times New Roman"/>
          <w:color w:val="000000"/>
        </w:rPr>
        <w:t>Li,</w:t>
      </w:r>
      <w:r>
        <w:rPr>
          <w:rFonts w:eastAsia="Times New Roman"/>
          <w:color w:val="000000"/>
        </w:rPr>
        <w:t xml:space="preserve"> F., </w:t>
      </w:r>
      <w:r w:rsidRPr="00680903">
        <w:rPr>
          <w:rFonts w:eastAsia="Times New Roman"/>
          <w:color w:val="000000"/>
        </w:rPr>
        <w:t xml:space="preserve">and Marfurt, </w:t>
      </w:r>
      <w:r>
        <w:rPr>
          <w:rFonts w:eastAsia="Times New Roman"/>
          <w:color w:val="000000"/>
        </w:rPr>
        <w:t xml:space="preserve">K.J., </w:t>
      </w:r>
      <w:r w:rsidRPr="00680903">
        <w:rPr>
          <w:rFonts w:eastAsia="Times New Roman"/>
          <w:color w:val="000000"/>
        </w:rPr>
        <w:t>2016</w:t>
      </w:r>
      <w:r>
        <w:rPr>
          <w:rFonts w:eastAsia="Times New Roman"/>
          <w:color w:val="000000"/>
        </w:rPr>
        <w:t>.</w:t>
      </w:r>
      <w:r w:rsidRPr="00680903">
        <w:rPr>
          <w:rFonts w:eastAsia="Times New Roman"/>
          <w:color w:val="000000"/>
        </w:rPr>
        <w:t xml:space="preserve"> Characterizing a turbidite system in Canterbury </w:t>
      </w:r>
      <w:r>
        <w:rPr>
          <w:rFonts w:eastAsia="Times New Roman"/>
          <w:color w:val="000000"/>
        </w:rPr>
        <w:t>b</w:t>
      </w:r>
      <w:r w:rsidRPr="00680903">
        <w:rPr>
          <w:rFonts w:eastAsia="Times New Roman"/>
          <w:color w:val="000000"/>
        </w:rPr>
        <w:t>asin, New Zealand, using seismic attribute and distance-preserving self-organizing maps</w:t>
      </w:r>
      <w:r>
        <w:rPr>
          <w:rFonts w:eastAsia="Times New Roman"/>
          <w:color w:val="000000"/>
        </w:rPr>
        <w:t>.</w:t>
      </w:r>
      <w:r w:rsidRPr="00680903">
        <w:rPr>
          <w:rFonts w:eastAsia="Times New Roman"/>
          <w:color w:val="000000"/>
        </w:rPr>
        <w:t xml:space="preserve"> Interpretation, 4, 1, SB79–SB89.</w:t>
      </w:r>
    </w:p>
    <w:p w14:paraId="62DED10A" w14:textId="77777777" w:rsidR="00D073A0" w:rsidRPr="00680903" w:rsidRDefault="00D073A0" w:rsidP="00D073A0">
      <w:pPr>
        <w:pStyle w:val="ListParagraph"/>
        <w:numPr>
          <w:ilvl w:val="0"/>
          <w:numId w:val="16"/>
        </w:numPr>
        <w:rPr>
          <w:rFonts w:eastAsia="Times New Roman"/>
          <w:color w:val="000000"/>
        </w:rPr>
      </w:pPr>
      <w:r w:rsidRPr="00680903">
        <w:rPr>
          <w:rFonts w:eastAsia="Times New Roman"/>
          <w:color w:val="000000"/>
        </w:rPr>
        <w:t>Zhao, T., Li,</w:t>
      </w:r>
      <w:r>
        <w:rPr>
          <w:rFonts w:eastAsia="Times New Roman"/>
          <w:color w:val="000000"/>
        </w:rPr>
        <w:t xml:space="preserve"> F.,</w:t>
      </w:r>
      <w:r w:rsidRPr="00680903">
        <w:rPr>
          <w:rFonts w:eastAsia="Times New Roman"/>
          <w:color w:val="000000"/>
        </w:rPr>
        <w:t xml:space="preserve"> and Marfurt</w:t>
      </w:r>
      <w:r>
        <w:rPr>
          <w:rFonts w:eastAsia="Times New Roman"/>
          <w:color w:val="000000"/>
        </w:rPr>
        <w:t xml:space="preserve">, </w:t>
      </w:r>
      <w:r w:rsidRPr="00680903">
        <w:rPr>
          <w:rFonts w:eastAsia="Times New Roman"/>
          <w:color w:val="000000"/>
        </w:rPr>
        <w:t>K. J., 2017</w:t>
      </w:r>
      <w:r>
        <w:rPr>
          <w:rFonts w:eastAsia="Times New Roman"/>
          <w:color w:val="000000"/>
        </w:rPr>
        <w:t>.</w:t>
      </w:r>
      <w:r w:rsidRPr="00680903">
        <w:rPr>
          <w:rFonts w:eastAsia="Times New Roman"/>
          <w:color w:val="000000"/>
        </w:rPr>
        <w:t xml:space="preserve"> Seismic attribute selection for unsupervised seismic facies analysis using user-guided data-adaptive weight</w:t>
      </w:r>
      <w:r>
        <w:rPr>
          <w:rFonts w:eastAsia="Times New Roman"/>
          <w:color w:val="000000"/>
        </w:rPr>
        <w:t>s.</w:t>
      </w:r>
      <w:r w:rsidRPr="00680903">
        <w:rPr>
          <w:rFonts w:eastAsia="Times New Roman"/>
          <w:color w:val="000000"/>
        </w:rPr>
        <w:t xml:space="preserve"> Geophysics 83</w:t>
      </w:r>
      <w:r>
        <w:rPr>
          <w:rFonts w:eastAsia="Times New Roman"/>
          <w:color w:val="000000"/>
        </w:rPr>
        <w:t xml:space="preserve">, </w:t>
      </w:r>
      <w:r w:rsidRPr="00680903">
        <w:rPr>
          <w:rFonts w:eastAsia="Times New Roman"/>
          <w:color w:val="000000"/>
        </w:rPr>
        <w:t>2, 1–62</w:t>
      </w:r>
      <w:r>
        <w:rPr>
          <w:rFonts w:eastAsia="Times New Roman"/>
          <w:color w:val="000000"/>
        </w:rPr>
        <w:t>.</w:t>
      </w:r>
    </w:p>
    <w:p w14:paraId="19064640" w14:textId="77777777" w:rsidR="00D073A0" w:rsidRPr="00E574CF" w:rsidRDefault="00D073A0" w:rsidP="00D073A0">
      <w:pPr>
        <w:pStyle w:val="ListParagraph"/>
        <w:numPr>
          <w:ilvl w:val="0"/>
          <w:numId w:val="16"/>
        </w:numPr>
      </w:pPr>
      <w:r w:rsidRPr="00E574CF">
        <w:rPr>
          <w:rFonts w:eastAsia="Times New Roman"/>
          <w:color w:val="000000"/>
        </w:rPr>
        <w:t xml:space="preserve">Zeng, Z., and Jiang, A., 2006. Geomechanical Study of Bakken formation for improved oil recovery. ISRM - Sponsored International Symposium on Rock Mechanics: Rock characterization, modeling, and engineering design methods, 2006. </w:t>
      </w:r>
    </w:p>
    <w:p w14:paraId="4BAD8D88" w14:textId="77777777" w:rsidR="00734537" w:rsidRPr="00734537" w:rsidRDefault="00D073A0" w:rsidP="00734537">
      <w:pPr>
        <w:pStyle w:val="ListParagraph"/>
        <w:numPr>
          <w:ilvl w:val="0"/>
          <w:numId w:val="16"/>
        </w:numPr>
      </w:pPr>
      <w:r w:rsidRPr="00734537">
        <w:rPr>
          <w:rFonts w:eastAsia="Times New Roman"/>
          <w:color w:val="000000"/>
        </w:rPr>
        <w:t xml:space="preserve">Zoback, M. D., Barton, C., Brudy, M., Castillo, D., Finkbeiner, T., Grollimund, B., Moos, D., Peska, P., Ward, C., and Wiprut, D., 2003. Determination of stress orientation and magnitude </w:t>
      </w:r>
      <w:r w:rsidR="00734537" w:rsidRPr="00734537">
        <w:rPr>
          <w:rFonts w:eastAsia="Times New Roman"/>
          <w:color w:val="000000"/>
        </w:rPr>
        <w:t>in deep wells. International Journal of Rock Mechanics and Mining Sciences 40, 1049 – 1076.</w:t>
      </w:r>
    </w:p>
    <w:p w14:paraId="48F727D1" w14:textId="77777777" w:rsidR="00734537" w:rsidRDefault="00734537" w:rsidP="00734537">
      <w:pPr>
        <w:pStyle w:val="ListParagraph"/>
        <w:ind w:left="360"/>
        <w:rPr>
          <w:rFonts w:eastAsia="Times New Roman"/>
          <w:color w:val="000000"/>
        </w:rPr>
      </w:pPr>
    </w:p>
    <w:p w14:paraId="63F788CB" w14:textId="77777777" w:rsidR="00734537" w:rsidRDefault="00734537" w:rsidP="00734537">
      <w:pPr>
        <w:pStyle w:val="ListParagraph"/>
        <w:ind w:left="360"/>
        <w:rPr>
          <w:rFonts w:eastAsia="Times New Roman"/>
          <w:color w:val="000000"/>
        </w:rPr>
      </w:pPr>
    </w:p>
    <w:p w14:paraId="2041C6F6" w14:textId="77777777" w:rsidR="00734537" w:rsidRDefault="00734537" w:rsidP="00734537">
      <w:pPr>
        <w:pStyle w:val="ListParagraph"/>
        <w:ind w:left="360"/>
        <w:rPr>
          <w:rFonts w:eastAsia="Times New Roman"/>
          <w:color w:val="000000"/>
        </w:rPr>
      </w:pPr>
    </w:p>
    <w:p w14:paraId="7635810F" w14:textId="77777777" w:rsidR="00734537" w:rsidRDefault="00734537" w:rsidP="00734537">
      <w:pPr>
        <w:pStyle w:val="ListParagraph"/>
        <w:ind w:left="360"/>
        <w:rPr>
          <w:rFonts w:eastAsia="Times New Roman"/>
          <w:color w:val="000000"/>
        </w:rPr>
      </w:pPr>
    </w:p>
    <w:p w14:paraId="0B28D8A3" w14:textId="4FBEE99F" w:rsidR="00545CC6" w:rsidRPr="00361D6F" w:rsidRDefault="00C12FED" w:rsidP="00592D14">
      <w:pPr>
        <w:pStyle w:val="Heading1"/>
        <w:numPr>
          <w:ilvl w:val="0"/>
          <w:numId w:val="34"/>
        </w:numPr>
      </w:pPr>
      <w:bookmarkStart w:id="451" w:name="_Toc35861148"/>
      <w:r>
        <w:lastRenderedPageBreak/>
        <w:t>Dissertation s</w:t>
      </w:r>
      <w:r w:rsidR="00CE4E11">
        <w:t>ummary and conclusions</w:t>
      </w:r>
      <w:bookmarkEnd w:id="451"/>
    </w:p>
    <w:p w14:paraId="6476CA17" w14:textId="760574C2" w:rsidR="00AC0D3C" w:rsidRPr="006D613B" w:rsidRDefault="00AC0D3C" w:rsidP="00AC0D3C">
      <w:pPr>
        <w:ind w:firstLine="720"/>
        <w:rPr>
          <w:lang w:eastAsia="ja-JP" w:bidi="en-US"/>
        </w:rPr>
      </w:pPr>
      <w:r>
        <w:t>In this dissertation, I show how o</w:t>
      </w:r>
      <w:r w:rsidRPr="00A475C1">
        <w:t xml:space="preserve">n the regional </w:t>
      </w:r>
      <w:r>
        <w:t xml:space="preserve">and local </w:t>
      </w:r>
      <w:r w:rsidRPr="00A475C1">
        <w:t>scale</w:t>
      </w:r>
      <w:r>
        <w:t>s, t</w:t>
      </w:r>
      <w:r w:rsidRPr="006D613B">
        <w:rPr>
          <w:lang w:eastAsia="ja-JP" w:bidi="en-US"/>
        </w:rPr>
        <w:t xml:space="preserve">he enclosed mini-basin fill </w:t>
      </w:r>
      <w:r>
        <w:rPr>
          <w:lang w:eastAsia="ja-JP" w:bidi="en-US"/>
        </w:rPr>
        <w:t xml:space="preserve">settings can be identified. The mini-basin fill </w:t>
      </w:r>
      <w:r w:rsidRPr="006D613B">
        <w:rPr>
          <w:lang w:eastAsia="ja-JP" w:bidi="en-US"/>
        </w:rPr>
        <w:t>start</w:t>
      </w:r>
      <w:r>
        <w:rPr>
          <w:lang w:eastAsia="ja-JP" w:bidi="en-US"/>
        </w:rPr>
        <w:t>ed</w:t>
      </w:r>
      <w:r w:rsidRPr="006D613B">
        <w:rPr>
          <w:lang w:eastAsia="ja-JP" w:bidi="en-US"/>
        </w:rPr>
        <w:t xml:space="preserve"> to develop at the onset of </w:t>
      </w:r>
      <w:r>
        <w:rPr>
          <w:lang w:eastAsia="ja-JP" w:bidi="en-US"/>
        </w:rPr>
        <w:t xml:space="preserve">a major </w:t>
      </w:r>
      <w:r w:rsidRPr="006D613B">
        <w:rPr>
          <w:lang w:eastAsia="ja-JP" w:bidi="en-US"/>
        </w:rPr>
        <w:t>marine</w:t>
      </w:r>
      <w:r>
        <w:rPr>
          <w:lang w:eastAsia="ja-JP" w:bidi="en-US"/>
        </w:rPr>
        <w:t xml:space="preserve"> transgression (sea level rise), where the erosion of pre-existing strata form concave-down silled areas. These restricted areas served as accommodation space of highly restricted deposits during the oceanic transgression events. On the persistent transgression events, the highly restricted conditions ended when filling these previously eroded pockets. I propose</w:t>
      </w:r>
      <w:r w:rsidR="001211E1">
        <w:rPr>
          <w:lang w:eastAsia="ja-JP" w:bidi="en-US"/>
        </w:rPr>
        <w:t>,</w:t>
      </w:r>
      <w:r>
        <w:rPr>
          <w:lang w:eastAsia="ja-JP" w:bidi="en-US"/>
        </w:rPr>
        <w:t xml:space="preserve"> for the case of the Woodford Shale</w:t>
      </w:r>
      <w:r w:rsidR="001211E1">
        <w:rPr>
          <w:lang w:eastAsia="ja-JP" w:bidi="en-US"/>
        </w:rPr>
        <w:t>,</w:t>
      </w:r>
      <w:r>
        <w:rPr>
          <w:lang w:eastAsia="ja-JP" w:bidi="en-US"/>
        </w:rPr>
        <w:t xml:space="preserve"> the mini-basin fill settings started at the base of the Lower member,</w:t>
      </w:r>
      <w:r w:rsidRPr="006D613B">
        <w:rPr>
          <w:lang w:eastAsia="ja-JP" w:bidi="en-US"/>
        </w:rPr>
        <w:t xml:space="preserve"> into</w:t>
      </w:r>
      <w:r>
        <w:rPr>
          <w:lang w:eastAsia="ja-JP" w:bidi="en-US"/>
        </w:rPr>
        <w:t xml:space="preserve"> the</w:t>
      </w:r>
      <w:r w:rsidRPr="006D613B">
        <w:rPr>
          <w:lang w:eastAsia="ja-JP" w:bidi="en-US"/>
        </w:rPr>
        <w:t xml:space="preserve"> Middle member time (upper part of the Middle Woodford member). The uppermost</w:t>
      </w:r>
      <w:r>
        <w:rPr>
          <w:lang w:eastAsia="ja-JP" w:bidi="en-US"/>
        </w:rPr>
        <w:t xml:space="preserve"> Woodford Shale</w:t>
      </w:r>
      <w:r w:rsidRPr="006D613B">
        <w:rPr>
          <w:lang w:eastAsia="ja-JP" w:bidi="en-US"/>
        </w:rPr>
        <w:t xml:space="preserve"> (</w:t>
      </w:r>
      <w:r>
        <w:rPr>
          <w:lang w:eastAsia="ja-JP" w:bidi="en-US"/>
        </w:rPr>
        <w:t xml:space="preserve">uppermost </w:t>
      </w:r>
      <w:r w:rsidRPr="006D613B">
        <w:rPr>
          <w:lang w:eastAsia="ja-JP" w:bidi="en-US"/>
        </w:rPr>
        <w:t xml:space="preserve">Middle Woodford member and </w:t>
      </w:r>
      <w:r>
        <w:rPr>
          <w:lang w:eastAsia="ja-JP" w:bidi="en-US"/>
        </w:rPr>
        <w:t xml:space="preserve">entire </w:t>
      </w:r>
      <w:r w:rsidRPr="006D613B">
        <w:rPr>
          <w:lang w:eastAsia="ja-JP" w:bidi="en-US"/>
        </w:rPr>
        <w:t>Upper Woodford member) w</w:t>
      </w:r>
      <w:r>
        <w:rPr>
          <w:lang w:eastAsia="ja-JP" w:bidi="en-US"/>
        </w:rPr>
        <w:t xml:space="preserve">as </w:t>
      </w:r>
      <w:r w:rsidRPr="006D613B">
        <w:rPr>
          <w:lang w:eastAsia="ja-JP" w:bidi="en-US"/>
        </w:rPr>
        <w:t xml:space="preserve">deposited after the maximum flooding </w:t>
      </w:r>
      <w:r>
        <w:rPr>
          <w:lang w:eastAsia="ja-JP" w:bidi="en-US"/>
        </w:rPr>
        <w:t xml:space="preserve">event </w:t>
      </w:r>
      <w:r w:rsidRPr="006D613B">
        <w:rPr>
          <w:lang w:eastAsia="ja-JP" w:bidi="en-US"/>
        </w:rPr>
        <w:t>(MFS) of the Woodford ocean, as a significant continuous, well-circulated open marine deposit</w:t>
      </w:r>
      <w:r>
        <w:rPr>
          <w:lang w:eastAsia="ja-JP" w:bidi="en-US"/>
        </w:rPr>
        <w:t>s</w:t>
      </w:r>
      <w:r w:rsidRPr="006D613B">
        <w:rPr>
          <w:lang w:eastAsia="ja-JP" w:bidi="en-US"/>
        </w:rPr>
        <w:t xml:space="preserve">. These </w:t>
      </w:r>
      <w:r>
        <w:rPr>
          <w:lang w:eastAsia="ja-JP" w:bidi="en-US"/>
        </w:rPr>
        <w:t xml:space="preserve">uppermost Woodford </w:t>
      </w:r>
      <w:r w:rsidRPr="006D613B">
        <w:rPr>
          <w:lang w:eastAsia="ja-JP" w:bidi="en-US"/>
        </w:rPr>
        <w:t>open marine deposits occur</w:t>
      </w:r>
      <w:r>
        <w:rPr>
          <w:lang w:eastAsia="ja-JP" w:bidi="en-US"/>
        </w:rPr>
        <w:t xml:space="preserve">red </w:t>
      </w:r>
      <w:r w:rsidRPr="006D613B">
        <w:rPr>
          <w:lang w:eastAsia="ja-JP" w:bidi="en-US"/>
        </w:rPr>
        <w:t>blanketing the filled pockets of Lower and Middle Woodford strata</w:t>
      </w:r>
      <w:r>
        <w:rPr>
          <w:lang w:eastAsia="ja-JP" w:bidi="en-US"/>
        </w:rPr>
        <w:t xml:space="preserve"> (the </w:t>
      </w:r>
      <w:r w:rsidR="00800460">
        <w:rPr>
          <w:lang w:eastAsia="ja-JP" w:bidi="en-US"/>
        </w:rPr>
        <w:t>Woodford</w:t>
      </w:r>
      <w:r>
        <w:rPr>
          <w:lang w:eastAsia="ja-JP" w:bidi="en-US"/>
        </w:rPr>
        <w:t xml:space="preserve"> enclosed mini-basin fill)</w:t>
      </w:r>
      <w:r w:rsidRPr="006D613B">
        <w:rPr>
          <w:lang w:eastAsia="ja-JP" w:bidi="en-US"/>
        </w:rPr>
        <w:t>. The open water conditions allowed the interaction with upwelling currents, providing nutrient-rich waters and develop</w:t>
      </w:r>
      <w:r>
        <w:rPr>
          <w:lang w:eastAsia="ja-JP" w:bidi="en-US"/>
        </w:rPr>
        <w:t>ed</w:t>
      </w:r>
      <w:r w:rsidRPr="006D613B">
        <w:rPr>
          <w:lang w:eastAsia="ja-JP" w:bidi="en-US"/>
        </w:rPr>
        <w:t xml:space="preserve"> algal</w:t>
      </w:r>
      <w:r w:rsidR="002F4359">
        <w:rPr>
          <w:lang w:eastAsia="ja-JP" w:bidi="en-US"/>
        </w:rPr>
        <w:t>, radiolarian</w:t>
      </w:r>
      <w:r w:rsidRPr="006D613B">
        <w:rPr>
          <w:lang w:eastAsia="ja-JP" w:bidi="en-US"/>
        </w:rPr>
        <w:t xml:space="preserve"> and planktonic blooms that </w:t>
      </w:r>
      <w:r>
        <w:rPr>
          <w:lang w:eastAsia="ja-JP" w:bidi="en-US"/>
        </w:rPr>
        <w:t>allowed</w:t>
      </w:r>
      <w:r w:rsidRPr="006D613B">
        <w:rPr>
          <w:lang w:eastAsia="ja-JP" w:bidi="en-US"/>
        </w:rPr>
        <w:t xml:space="preserve"> more biogenic activity and more oxidant agents</w:t>
      </w:r>
      <w:r>
        <w:rPr>
          <w:lang w:eastAsia="ja-JP" w:bidi="en-US"/>
        </w:rPr>
        <w:t>. The oxidant agents in the Upper Woodford member</w:t>
      </w:r>
      <w:r w:rsidRPr="006D613B">
        <w:rPr>
          <w:lang w:eastAsia="ja-JP" w:bidi="en-US"/>
        </w:rPr>
        <w:t xml:space="preserve"> disallowed higher preservation of the organic matter when compared to the Lower and Middle Woodford Shale enclosed mini-basin fill. </w:t>
      </w:r>
      <w:r>
        <w:rPr>
          <w:lang w:eastAsia="ja-JP" w:bidi="en-US"/>
        </w:rPr>
        <w:t xml:space="preserve">I recognize how the geological and geochemical characteristics of the Woodford shale deposits can also be recognized in the seismic data and have a direct impact on the simulation of unconventional production of hydrocarbons and wellbore operational planning and forecasts of production performance. </w:t>
      </w:r>
      <w:r w:rsidRPr="0072000C">
        <w:rPr>
          <w:lang w:eastAsia="ja-JP" w:bidi="en-US"/>
        </w:rPr>
        <w:t>I also show</w:t>
      </w:r>
      <w:r>
        <w:rPr>
          <w:lang w:eastAsia="ja-JP" w:bidi="en-US"/>
        </w:rPr>
        <w:t>ed</w:t>
      </w:r>
      <w:r w:rsidRPr="0072000C">
        <w:rPr>
          <w:lang w:eastAsia="ja-JP" w:bidi="en-US"/>
        </w:rPr>
        <w:t xml:space="preserve"> </w:t>
      </w:r>
      <w:r>
        <w:rPr>
          <w:lang w:eastAsia="ja-JP" w:bidi="en-US"/>
        </w:rPr>
        <w:t xml:space="preserve">how </w:t>
      </w:r>
      <w:r w:rsidRPr="0072000C">
        <w:rPr>
          <w:lang w:eastAsia="ja-JP" w:bidi="en-US"/>
        </w:rPr>
        <w:t>distincti</w:t>
      </w:r>
      <w:r>
        <w:rPr>
          <w:lang w:eastAsia="ja-JP" w:bidi="en-US"/>
        </w:rPr>
        <w:t>ve patterns in seismic data</w:t>
      </w:r>
      <w:r w:rsidRPr="0072000C">
        <w:rPr>
          <w:lang w:eastAsia="ja-JP" w:bidi="en-US"/>
        </w:rPr>
        <w:t xml:space="preserve"> c</w:t>
      </w:r>
      <w:r w:rsidR="001211E1">
        <w:rPr>
          <w:lang w:eastAsia="ja-JP" w:bidi="en-US"/>
        </w:rPr>
        <w:t>ould</w:t>
      </w:r>
      <w:r w:rsidR="002F4359">
        <w:rPr>
          <w:lang w:eastAsia="ja-JP" w:bidi="en-US"/>
        </w:rPr>
        <w:t xml:space="preserve"> </w:t>
      </w:r>
      <w:r w:rsidRPr="0072000C">
        <w:rPr>
          <w:lang w:eastAsia="ja-JP" w:bidi="en-US"/>
        </w:rPr>
        <w:t xml:space="preserve">be exploited using machine learning algorithms to identify and map </w:t>
      </w:r>
      <w:r>
        <w:rPr>
          <w:lang w:eastAsia="ja-JP" w:bidi="en-US"/>
        </w:rPr>
        <w:t>the vertical a</w:t>
      </w:r>
      <w:r w:rsidR="00D323CD">
        <w:rPr>
          <w:lang w:eastAsia="ja-JP" w:bidi="en-US"/>
        </w:rPr>
        <w:t>nd</w:t>
      </w:r>
      <w:r>
        <w:rPr>
          <w:lang w:eastAsia="ja-JP" w:bidi="en-US"/>
        </w:rPr>
        <w:t xml:space="preserve"> lateral stratigraphic variabilities of enclosed mini basin fill and open marine </w:t>
      </w:r>
      <w:r>
        <w:rPr>
          <w:lang w:eastAsia="ja-JP" w:bidi="en-US"/>
        </w:rPr>
        <w:lastRenderedPageBreak/>
        <w:t xml:space="preserve">Woodford Shale deposits. For this reason, I mention the crucial outcomes of my integrated analyses as the following: </w:t>
      </w:r>
    </w:p>
    <w:p w14:paraId="3C33CAE5" w14:textId="77777777" w:rsidR="00AC0D3C" w:rsidRPr="006D613B" w:rsidRDefault="00AC0D3C" w:rsidP="00AC0D3C">
      <w:pPr>
        <w:spacing w:after="0"/>
        <w:ind w:firstLine="360"/>
        <w:rPr>
          <w:lang w:eastAsia="ja-JP" w:bidi="en-US"/>
        </w:rPr>
      </w:pPr>
      <w:r>
        <w:rPr>
          <w:lang w:eastAsia="ja-JP" w:bidi="en-US"/>
        </w:rPr>
        <w:t>S</w:t>
      </w:r>
      <w:r w:rsidRPr="006D613B">
        <w:rPr>
          <w:lang w:eastAsia="ja-JP" w:bidi="en-US"/>
        </w:rPr>
        <w:t xml:space="preserve">eismic characteristics </w:t>
      </w:r>
      <w:r>
        <w:rPr>
          <w:lang w:eastAsia="ja-JP" w:bidi="en-US"/>
        </w:rPr>
        <w:t>of enclosed mini-basin fill.</w:t>
      </w:r>
    </w:p>
    <w:p w14:paraId="29FB744E" w14:textId="516F1F7D"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Thicker basal sections that trend to pinch out towards paleo structural hi</w:t>
      </w:r>
      <w:r>
        <w:rPr>
          <w:lang w:eastAsia="ja-JP" w:bidi="en-US"/>
        </w:rPr>
        <w:t>g</w:t>
      </w:r>
      <w:r w:rsidRPr="006D613B">
        <w:rPr>
          <w:lang w:eastAsia="ja-JP" w:bidi="en-US"/>
        </w:rPr>
        <w:t>h</w:t>
      </w:r>
      <w:r w:rsidR="00D323CD">
        <w:rPr>
          <w:lang w:eastAsia="ja-JP" w:bidi="en-US"/>
        </w:rPr>
        <w:t>s</w:t>
      </w:r>
      <w:r w:rsidRPr="006D613B">
        <w:rPr>
          <w:lang w:eastAsia="ja-JP" w:bidi="en-US"/>
        </w:rPr>
        <w:t xml:space="preserve"> of the pre-existing strata. In this case, the seismic resolution was enough to image internal reflectors of the Woodford Shale. </w:t>
      </w:r>
    </w:p>
    <w:p w14:paraId="2EA9A842" w14:textId="77777777"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 xml:space="preserve">Incoherent seismic data at the base of the </w:t>
      </w:r>
      <w:r>
        <w:rPr>
          <w:lang w:eastAsia="ja-JP" w:bidi="en-US"/>
        </w:rPr>
        <w:t>Woodford Shale</w:t>
      </w:r>
      <w:r w:rsidRPr="006D613B">
        <w:rPr>
          <w:lang w:eastAsia="ja-JP" w:bidi="en-US"/>
        </w:rPr>
        <w:t>, caused by erosion or karstification of pre-existing strata</w:t>
      </w:r>
    </w:p>
    <w:p w14:paraId="3DA8B03D" w14:textId="384F7B61"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Most negative curvature values in the areas of these deposits that indicate accommodation space</w:t>
      </w:r>
      <w:r>
        <w:rPr>
          <w:lang w:eastAsia="ja-JP" w:bidi="en-US"/>
        </w:rPr>
        <w:t xml:space="preserve"> and sedimentation </w:t>
      </w:r>
      <w:r w:rsidRPr="006D613B">
        <w:rPr>
          <w:lang w:eastAsia="ja-JP" w:bidi="en-US"/>
        </w:rPr>
        <w:t>filling the</w:t>
      </w:r>
      <w:r>
        <w:rPr>
          <w:lang w:eastAsia="ja-JP" w:bidi="en-US"/>
        </w:rPr>
        <w:t xml:space="preserve"> enclosed mini-basin fill</w:t>
      </w:r>
      <w:r w:rsidRPr="006D613B">
        <w:rPr>
          <w:lang w:eastAsia="ja-JP" w:bidi="en-US"/>
        </w:rPr>
        <w:t xml:space="preserve"> pockets. </w:t>
      </w:r>
    </w:p>
    <w:p w14:paraId="0B7DD9D9" w14:textId="77777777"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Low (or the lowest) acoustic impedance that correlates with higher accumulations of organic matter</w:t>
      </w:r>
      <w:r>
        <w:rPr>
          <w:lang w:eastAsia="ja-JP" w:bidi="en-US"/>
        </w:rPr>
        <w:t xml:space="preserve"> (%TOC) in the lowermost parts of the Woodford Shale seismic window. This is</w:t>
      </w:r>
      <w:r w:rsidRPr="006D613B">
        <w:rPr>
          <w:lang w:eastAsia="ja-JP" w:bidi="en-US"/>
        </w:rPr>
        <w:t xml:space="preserve"> due to a deeper water column in these areas and more restricted water circulation</w:t>
      </w:r>
      <w:r>
        <w:rPr>
          <w:lang w:eastAsia="ja-JP" w:bidi="en-US"/>
        </w:rPr>
        <w:t xml:space="preserve">, therefore, a restricted </w:t>
      </w:r>
      <w:r w:rsidRPr="006D613B">
        <w:rPr>
          <w:lang w:eastAsia="ja-JP" w:bidi="en-US"/>
        </w:rPr>
        <w:t xml:space="preserve">interaction </w:t>
      </w:r>
      <w:r>
        <w:rPr>
          <w:lang w:eastAsia="ja-JP" w:bidi="en-US"/>
        </w:rPr>
        <w:t>with</w:t>
      </w:r>
      <w:r w:rsidRPr="006D613B">
        <w:rPr>
          <w:lang w:eastAsia="ja-JP" w:bidi="en-US"/>
        </w:rPr>
        <w:t xml:space="preserve"> upwelling currents</w:t>
      </w:r>
      <w:r>
        <w:rPr>
          <w:lang w:eastAsia="ja-JP" w:bidi="en-US"/>
        </w:rPr>
        <w:t xml:space="preserve"> that preserve the %TOC</w:t>
      </w:r>
      <w:r w:rsidRPr="006D613B">
        <w:rPr>
          <w:lang w:eastAsia="ja-JP" w:bidi="en-US"/>
        </w:rPr>
        <w:t>.</w:t>
      </w:r>
    </w:p>
    <w:p w14:paraId="761B0A75" w14:textId="2C46DCC2" w:rsidR="00AC0D3C" w:rsidRPr="006D613B" w:rsidRDefault="00AC0D3C" w:rsidP="00AC0D3C">
      <w:pPr>
        <w:spacing w:after="0"/>
        <w:ind w:firstLine="360"/>
        <w:rPr>
          <w:lang w:eastAsia="ja-JP" w:bidi="en-US"/>
        </w:rPr>
      </w:pPr>
      <w:r>
        <w:rPr>
          <w:lang w:eastAsia="ja-JP" w:bidi="en-US"/>
        </w:rPr>
        <w:t>P</w:t>
      </w:r>
      <w:r w:rsidRPr="006D613B">
        <w:rPr>
          <w:lang w:eastAsia="ja-JP" w:bidi="en-US"/>
        </w:rPr>
        <w:t xml:space="preserve">rincipal geological and geochemical indicators for a highly restricted enclosed mini-basin fill </w:t>
      </w:r>
      <w:r w:rsidR="002F4359">
        <w:rPr>
          <w:lang w:eastAsia="ja-JP" w:bidi="en-US"/>
        </w:rPr>
        <w:t xml:space="preserve">settings </w:t>
      </w:r>
      <w:r w:rsidRPr="006D613B">
        <w:rPr>
          <w:lang w:eastAsia="ja-JP" w:bidi="en-US"/>
        </w:rPr>
        <w:t>in the</w:t>
      </w:r>
      <w:r>
        <w:rPr>
          <w:lang w:eastAsia="ja-JP" w:bidi="en-US"/>
        </w:rPr>
        <w:t xml:space="preserve"> Woodford Shale.</w:t>
      </w:r>
    </w:p>
    <w:p w14:paraId="066D264A" w14:textId="4A5D4092"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The Lower Woodford member</w:t>
      </w:r>
      <w:r w:rsidR="001211E1">
        <w:rPr>
          <w:lang w:eastAsia="ja-JP" w:bidi="en-US"/>
        </w:rPr>
        <w:t>'s</w:t>
      </w:r>
      <w:r>
        <w:rPr>
          <w:lang w:eastAsia="ja-JP" w:bidi="en-US"/>
        </w:rPr>
        <w:t xml:space="preserve"> gross </w:t>
      </w:r>
      <w:r w:rsidRPr="006D613B">
        <w:rPr>
          <w:lang w:eastAsia="ja-JP" w:bidi="en-US"/>
        </w:rPr>
        <w:t>thickness</w:t>
      </w:r>
      <w:r>
        <w:rPr>
          <w:lang w:eastAsia="ja-JP" w:bidi="en-US"/>
        </w:rPr>
        <w:t xml:space="preserve"> is,</w:t>
      </w:r>
      <w:r w:rsidRPr="006D613B">
        <w:rPr>
          <w:lang w:eastAsia="ja-JP" w:bidi="en-US"/>
        </w:rPr>
        <w:t xml:space="preserve"> </w:t>
      </w:r>
      <w:r>
        <w:rPr>
          <w:lang w:eastAsia="ja-JP" w:bidi="en-US"/>
        </w:rPr>
        <w:t xml:space="preserve">on average, </w:t>
      </w:r>
      <w:r w:rsidRPr="006D613B">
        <w:rPr>
          <w:lang w:eastAsia="ja-JP" w:bidi="en-US"/>
        </w:rPr>
        <w:t xml:space="preserve">greater than </w:t>
      </w:r>
      <w:r>
        <w:rPr>
          <w:lang w:eastAsia="ja-JP" w:bidi="en-US"/>
        </w:rPr>
        <w:t>9</w:t>
      </w:r>
      <w:r w:rsidRPr="006D613B">
        <w:rPr>
          <w:lang w:eastAsia="ja-JP" w:bidi="en-US"/>
        </w:rPr>
        <w:t>0 ft</w:t>
      </w:r>
      <w:r>
        <w:rPr>
          <w:lang w:eastAsia="ja-JP" w:bidi="en-US"/>
        </w:rPr>
        <w:t xml:space="preserve">. </w:t>
      </w:r>
      <w:r w:rsidRPr="006D613B">
        <w:rPr>
          <w:lang w:eastAsia="ja-JP" w:bidi="en-US"/>
        </w:rPr>
        <w:t xml:space="preserve"> </w:t>
      </w:r>
      <w:r w:rsidR="002F4359">
        <w:rPr>
          <w:lang w:eastAsia="ja-JP" w:bidi="en-US"/>
        </w:rPr>
        <w:t>A m</w:t>
      </w:r>
      <w:r>
        <w:rPr>
          <w:lang w:eastAsia="ja-JP" w:bidi="en-US"/>
        </w:rPr>
        <w:t>uch higher thickness of this specific member</w:t>
      </w:r>
      <w:r w:rsidRPr="006D613B">
        <w:rPr>
          <w:lang w:eastAsia="ja-JP" w:bidi="en-US"/>
        </w:rPr>
        <w:t xml:space="preserve"> when compared to other Woodford </w:t>
      </w:r>
      <w:r>
        <w:rPr>
          <w:lang w:eastAsia="ja-JP" w:bidi="en-US"/>
        </w:rPr>
        <w:t xml:space="preserve">Shale </w:t>
      </w:r>
      <w:r w:rsidRPr="006D613B">
        <w:rPr>
          <w:lang w:eastAsia="ja-JP" w:bidi="en-US"/>
        </w:rPr>
        <w:t xml:space="preserve">locations in </w:t>
      </w:r>
      <w:r>
        <w:rPr>
          <w:lang w:eastAsia="ja-JP" w:bidi="en-US"/>
        </w:rPr>
        <w:t xml:space="preserve">the </w:t>
      </w:r>
      <w:r w:rsidRPr="006D613B">
        <w:rPr>
          <w:lang w:eastAsia="ja-JP" w:bidi="en-US"/>
        </w:rPr>
        <w:t>Oklahoma petroleum provinces</w:t>
      </w:r>
      <w:r>
        <w:rPr>
          <w:lang w:eastAsia="ja-JP" w:bidi="en-US"/>
        </w:rPr>
        <w:t>. T</w:t>
      </w:r>
      <w:r w:rsidRPr="006D613B">
        <w:rPr>
          <w:lang w:eastAsia="ja-JP" w:bidi="en-US"/>
        </w:rPr>
        <w:t>herefore, more accommodation space was available for these basal Woodford Shale</w:t>
      </w:r>
      <w:r>
        <w:rPr>
          <w:lang w:eastAsia="ja-JP" w:bidi="en-US"/>
        </w:rPr>
        <w:t xml:space="preserve"> to deposit in the enclosed mini-basin fill settings.</w:t>
      </w:r>
    </w:p>
    <w:p w14:paraId="24629B0F" w14:textId="1CBF006D"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 xml:space="preserve">Locations surrounded by a lot of faulted provinces that </w:t>
      </w:r>
      <w:r>
        <w:rPr>
          <w:lang w:eastAsia="ja-JP" w:bidi="en-US"/>
        </w:rPr>
        <w:t>can be the</w:t>
      </w:r>
      <w:r w:rsidRPr="006D613B">
        <w:rPr>
          <w:lang w:eastAsia="ja-JP" w:bidi="en-US"/>
        </w:rPr>
        <w:t xml:space="preserve"> reactivation of pre-existing fault grabens could have acted as paleo structural lows</w:t>
      </w:r>
      <w:r>
        <w:rPr>
          <w:lang w:eastAsia="ja-JP" w:bidi="en-US"/>
        </w:rPr>
        <w:t>. These graben depocenters</w:t>
      </w:r>
      <w:r w:rsidRPr="006D613B">
        <w:rPr>
          <w:lang w:eastAsia="ja-JP" w:bidi="en-US"/>
        </w:rPr>
        <w:t xml:space="preserve"> allowed more accommodation space, higher sedimentation rates </w:t>
      </w:r>
      <w:r>
        <w:rPr>
          <w:lang w:eastAsia="ja-JP" w:bidi="en-US"/>
        </w:rPr>
        <w:t>if proximal to the</w:t>
      </w:r>
      <w:r w:rsidRPr="006D613B">
        <w:rPr>
          <w:lang w:eastAsia="ja-JP" w:bidi="en-US"/>
        </w:rPr>
        <w:t xml:space="preserve"> sediment supply </w:t>
      </w:r>
      <w:r>
        <w:rPr>
          <w:lang w:eastAsia="ja-JP" w:bidi="en-US"/>
        </w:rPr>
        <w:t xml:space="preserve">of a </w:t>
      </w:r>
      <w:r>
        <w:rPr>
          <w:lang w:eastAsia="ja-JP" w:bidi="en-US"/>
        </w:rPr>
        <w:lastRenderedPageBreak/>
        <w:t>specific petroleum province</w:t>
      </w:r>
      <w:r w:rsidRPr="006D613B">
        <w:rPr>
          <w:lang w:eastAsia="ja-JP" w:bidi="en-US"/>
        </w:rPr>
        <w:t>.  These</w:t>
      </w:r>
      <w:r>
        <w:rPr>
          <w:lang w:eastAsia="ja-JP" w:bidi="en-US"/>
        </w:rPr>
        <w:t xml:space="preserve"> paleo depocenters</w:t>
      </w:r>
      <w:r w:rsidRPr="006D613B">
        <w:rPr>
          <w:lang w:eastAsia="ja-JP" w:bidi="en-US"/>
        </w:rPr>
        <w:t xml:space="preserve"> would favor </w:t>
      </w:r>
      <w:r>
        <w:rPr>
          <w:lang w:eastAsia="ja-JP" w:bidi="en-US"/>
        </w:rPr>
        <w:t xml:space="preserve">the </w:t>
      </w:r>
      <w:r w:rsidRPr="006D613B">
        <w:rPr>
          <w:lang w:eastAsia="ja-JP" w:bidi="en-US"/>
        </w:rPr>
        <w:t>development of restricted conditions to the water chemocline for preventing open water circulation</w:t>
      </w:r>
      <w:r>
        <w:rPr>
          <w:lang w:eastAsia="ja-JP" w:bidi="en-US"/>
        </w:rPr>
        <w:t>s and oxidation processes in the organic matter</w:t>
      </w:r>
      <w:r w:rsidRPr="006D613B">
        <w:rPr>
          <w:lang w:eastAsia="ja-JP" w:bidi="en-US"/>
        </w:rPr>
        <w:t xml:space="preserve">. </w:t>
      </w:r>
    </w:p>
    <w:p w14:paraId="75E34E6F" w14:textId="2CD44688"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r>
      <w:r>
        <w:rPr>
          <w:lang w:eastAsia="ja-JP" w:bidi="en-US"/>
        </w:rPr>
        <w:t>From the saturate and aromatic biomarker analysis, the indicators of a</w:t>
      </w:r>
      <w:r w:rsidRPr="006D613B">
        <w:rPr>
          <w:lang w:eastAsia="ja-JP" w:bidi="en-US"/>
        </w:rPr>
        <w:t xml:space="preserve"> rise in </w:t>
      </w:r>
      <w:r>
        <w:rPr>
          <w:lang w:eastAsia="ja-JP" w:bidi="en-US"/>
        </w:rPr>
        <w:t xml:space="preserve">the </w:t>
      </w:r>
      <w:r w:rsidR="009E30EE">
        <w:rPr>
          <w:lang w:eastAsia="ja-JP" w:bidi="en-US"/>
        </w:rPr>
        <w:t>g</w:t>
      </w:r>
      <w:r w:rsidRPr="006D613B">
        <w:rPr>
          <w:lang w:eastAsia="ja-JP" w:bidi="en-US"/>
        </w:rPr>
        <w:t xml:space="preserve">ammacerane index, </w:t>
      </w:r>
      <w:r>
        <w:rPr>
          <w:lang w:eastAsia="ja-JP" w:bidi="en-US"/>
        </w:rPr>
        <w:t xml:space="preserve">a </w:t>
      </w:r>
      <w:r w:rsidRPr="006D613B">
        <w:rPr>
          <w:lang w:eastAsia="ja-JP" w:bidi="en-US"/>
        </w:rPr>
        <w:t>decrease in sterane/hopane ratios,</w:t>
      </w:r>
      <w:r>
        <w:rPr>
          <w:lang w:eastAsia="ja-JP" w:bidi="en-US"/>
        </w:rPr>
        <w:t xml:space="preserve"> high content of aryl isoprenoids</w:t>
      </w:r>
      <w:r w:rsidRPr="006D613B">
        <w:rPr>
          <w:lang w:eastAsia="ja-JP" w:bidi="en-US"/>
        </w:rPr>
        <w:t xml:space="preserve"> and C</w:t>
      </w:r>
      <w:r w:rsidRPr="006D613B">
        <w:rPr>
          <w:vertAlign w:val="subscript"/>
          <w:lang w:eastAsia="ja-JP" w:bidi="en-US"/>
        </w:rPr>
        <w:t xml:space="preserve">40 </w:t>
      </w:r>
      <w:r>
        <w:rPr>
          <w:lang w:eastAsia="ja-JP" w:bidi="en-US"/>
        </w:rPr>
        <w:t>carotenoids</w:t>
      </w:r>
      <w:r w:rsidRPr="006D613B">
        <w:rPr>
          <w:lang w:eastAsia="ja-JP" w:bidi="en-US"/>
        </w:rPr>
        <w:t xml:space="preserve"> indicate that the Lower Woodford and upper portion of the Middle Woodford member are characterized by isolated and persistent episodes of photic-zone euxinia (PZE)</w:t>
      </w:r>
      <w:r>
        <w:rPr>
          <w:lang w:eastAsia="ja-JP" w:bidi="en-US"/>
        </w:rPr>
        <w:t xml:space="preserve">. This PZE </w:t>
      </w:r>
      <w:r w:rsidRPr="006D613B">
        <w:rPr>
          <w:lang w:eastAsia="ja-JP" w:bidi="en-US"/>
        </w:rPr>
        <w:t>point</w:t>
      </w:r>
      <w:r>
        <w:rPr>
          <w:lang w:eastAsia="ja-JP" w:bidi="en-US"/>
        </w:rPr>
        <w:t>s</w:t>
      </w:r>
      <w:r w:rsidRPr="006D613B">
        <w:rPr>
          <w:lang w:eastAsia="ja-JP" w:bidi="en-US"/>
        </w:rPr>
        <w:t xml:space="preserve"> to oxygen minimum zones </w:t>
      </w:r>
      <w:r>
        <w:rPr>
          <w:lang w:eastAsia="ja-JP" w:bidi="en-US"/>
        </w:rPr>
        <w:t xml:space="preserve">and </w:t>
      </w:r>
      <w:r w:rsidRPr="006D613B">
        <w:rPr>
          <w:lang w:eastAsia="ja-JP" w:bidi="en-US"/>
        </w:rPr>
        <w:t xml:space="preserve">higher restricted conditions as </w:t>
      </w:r>
      <w:r>
        <w:rPr>
          <w:lang w:eastAsia="ja-JP" w:bidi="en-US"/>
        </w:rPr>
        <w:t xml:space="preserve">critical characteristics </w:t>
      </w:r>
      <w:r w:rsidRPr="006D613B">
        <w:rPr>
          <w:lang w:eastAsia="ja-JP" w:bidi="en-US"/>
        </w:rPr>
        <w:t>of</w:t>
      </w:r>
      <w:r>
        <w:rPr>
          <w:lang w:eastAsia="ja-JP" w:bidi="en-US"/>
        </w:rPr>
        <w:t xml:space="preserve"> the</w:t>
      </w:r>
      <w:r w:rsidRPr="006D613B">
        <w:rPr>
          <w:lang w:eastAsia="ja-JP" w:bidi="en-US"/>
        </w:rPr>
        <w:t xml:space="preserve"> enclosed mini-basin </w:t>
      </w:r>
      <w:r>
        <w:rPr>
          <w:lang w:eastAsia="ja-JP" w:bidi="en-US"/>
        </w:rPr>
        <w:t>fill settings</w:t>
      </w:r>
      <w:r w:rsidRPr="006D613B">
        <w:rPr>
          <w:lang w:eastAsia="ja-JP" w:bidi="en-US"/>
        </w:rPr>
        <w:t xml:space="preserve">. These </w:t>
      </w:r>
      <w:r>
        <w:rPr>
          <w:lang w:eastAsia="ja-JP" w:bidi="en-US"/>
        </w:rPr>
        <w:t>fills</w:t>
      </w:r>
      <w:r w:rsidRPr="006D613B">
        <w:rPr>
          <w:lang w:eastAsia="ja-JP" w:bidi="en-US"/>
        </w:rPr>
        <w:t xml:space="preserve"> are between 150-200 ft thick, which include both Lower and Middle Woodford intervals.</w:t>
      </w:r>
    </w:p>
    <w:p w14:paraId="2C44FD2C" w14:textId="7682F1E2" w:rsidR="00AC0D3C" w:rsidRPr="006D613B" w:rsidRDefault="00AC0D3C" w:rsidP="00AC0D3C">
      <w:pPr>
        <w:spacing w:after="0"/>
        <w:ind w:firstLine="360"/>
        <w:rPr>
          <w:lang w:eastAsia="ja-JP" w:bidi="en-US"/>
        </w:rPr>
      </w:pPr>
      <w:r w:rsidRPr="006D613B">
        <w:rPr>
          <w:lang w:eastAsia="ja-JP" w:bidi="en-US"/>
        </w:rPr>
        <w:t xml:space="preserve"> •</w:t>
      </w:r>
      <w:r w:rsidRPr="006D613B">
        <w:rPr>
          <w:lang w:eastAsia="ja-JP" w:bidi="en-US"/>
        </w:rPr>
        <w:tab/>
        <w:t>For the uppermost Middle member and complete Upper Woodford member</w:t>
      </w:r>
      <w:r w:rsidR="001211E1">
        <w:rPr>
          <w:lang w:eastAsia="ja-JP" w:bidi="en-US"/>
        </w:rPr>
        <w:t>,</w:t>
      </w:r>
      <w:r w:rsidRPr="006D613B">
        <w:rPr>
          <w:lang w:eastAsia="ja-JP" w:bidi="en-US"/>
        </w:rPr>
        <w:t xml:space="preserve"> the biomarker analyses have provided evidence for a potential mechanism for mass extinctions involving eutrophication of shallow marine settings, followed by increased bio productivity, oxygen consumption and subsequent global euxinic seas. </w:t>
      </w:r>
      <w:r>
        <w:rPr>
          <w:lang w:eastAsia="ja-JP" w:bidi="en-US"/>
        </w:rPr>
        <w:t xml:space="preserve">I </w:t>
      </w:r>
      <w:r w:rsidRPr="006D613B">
        <w:rPr>
          <w:lang w:eastAsia="ja-JP" w:bidi="en-US"/>
        </w:rPr>
        <w:t>conclude</w:t>
      </w:r>
      <w:r>
        <w:rPr>
          <w:lang w:eastAsia="ja-JP" w:bidi="en-US"/>
        </w:rPr>
        <w:t>d</w:t>
      </w:r>
      <w:r w:rsidRPr="006D613B">
        <w:rPr>
          <w:lang w:eastAsia="ja-JP" w:bidi="en-US"/>
        </w:rPr>
        <w:t xml:space="preserve"> that after the maximum flooding surface and before the Middle-Upper Woodford member’s boundary, </w:t>
      </w:r>
      <w:r>
        <w:rPr>
          <w:lang w:eastAsia="ja-JP" w:bidi="en-US"/>
        </w:rPr>
        <w:t xml:space="preserve">the Woodford develops the </w:t>
      </w:r>
      <w:r w:rsidRPr="006D613B">
        <w:rPr>
          <w:lang w:eastAsia="ja-JP" w:bidi="en-US"/>
        </w:rPr>
        <w:t>highstand system tract (HST)</w:t>
      </w:r>
      <w:r>
        <w:rPr>
          <w:lang w:eastAsia="ja-JP" w:bidi="en-US"/>
        </w:rPr>
        <w:t>,</w:t>
      </w:r>
      <w:r w:rsidRPr="006D613B">
        <w:rPr>
          <w:lang w:eastAsia="ja-JP" w:bidi="en-US"/>
        </w:rPr>
        <w:t xml:space="preserve"> which is</w:t>
      </w:r>
      <w:r>
        <w:rPr>
          <w:lang w:eastAsia="ja-JP" w:bidi="en-US"/>
        </w:rPr>
        <w:t xml:space="preserve"> the setting for typical</w:t>
      </w:r>
      <w:r w:rsidRPr="006D613B">
        <w:rPr>
          <w:lang w:eastAsia="ja-JP" w:bidi="en-US"/>
        </w:rPr>
        <w:t xml:space="preserve"> open marine deposits.</w:t>
      </w:r>
    </w:p>
    <w:p w14:paraId="6DB15CC5" w14:textId="1182B06D"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 xml:space="preserve">The enclosed mini-basin </w:t>
      </w:r>
      <w:r>
        <w:rPr>
          <w:lang w:eastAsia="ja-JP" w:bidi="en-US"/>
        </w:rPr>
        <w:t>fill</w:t>
      </w:r>
      <w:r w:rsidRPr="006D613B">
        <w:rPr>
          <w:lang w:eastAsia="ja-JP" w:bidi="en-US"/>
        </w:rPr>
        <w:t xml:space="preserve"> </w:t>
      </w:r>
      <w:r>
        <w:rPr>
          <w:lang w:eastAsia="ja-JP" w:bidi="en-US"/>
        </w:rPr>
        <w:t>is</w:t>
      </w:r>
      <w:r w:rsidRPr="006D613B">
        <w:rPr>
          <w:lang w:eastAsia="ja-JP" w:bidi="en-US"/>
        </w:rPr>
        <w:t xml:space="preserve"> critical for allowing the higher accumulation, restriction and preservation of organic matter, which is observed by a higher </w:t>
      </w:r>
      <w:r>
        <w:rPr>
          <w:lang w:eastAsia="ja-JP" w:bidi="en-US"/>
        </w:rPr>
        <w:t>total organic carbon (%</w:t>
      </w:r>
      <w:r w:rsidRPr="006D613B">
        <w:rPr>
          <w:lang w:eastAsia="ja-JP" w:bidi="en-US"/>
        </w:rPr>
        <w:t>TOC</w:t>
      </w:r>
      <w:r>
        <w:rPr>
          <w:lang w:eastAsia="ja-JP" w:bidi="en-US"/>
        </w:rPr>
        <w:t>)</w:t>
      </w:r>
      <w:r w:rsidRPr="006D613B">
        <w:rPr>
          <w:lang w:eastAsia="ja-JP" w:bidi="en-US"/>
        </w:rPr>
        <w:t xml:space="preserve">, </w:t>
      </w:r>
      <w:r>
        <w:rPr>
          <w:lang w:eastAsia="ja-JP" w:bidi="en-US"/>
        </w:rPr>
        <w:t>high hydrogen index (</w:t>
      </w:r>
      <w:r w:rsidRPr="006D613B">
        <w:rPr>
          <w:lang w:eastAsia="ja-JP" w:bidi="en-US"/>
        </w:rPr>
        <w:t>HI</w:t>
      </w:r>
      <w:r>
        <w:rPr>
          <w:lang w:eastAsia="ja-JP" w:bidi="en-US"/>
        </w:rPr>
        <w:t>)</w:t>
      </w:r>
      <w:r w:rsidRPr="006D613B">
        <w:rPr>
          <w:lang w:eastAsia="ja-JP" w:bidi="en-US"/>
        </w:rPr>
        <w:t xml:space="preserve"> and low </w:t>
      </w:r>
      <w:r>
        <w:rPr>
          <w:lang w:eastAsia="ja-JP" w:bidi="en-US"/>
        </w:rPr>
        <w:t>oxygen index (</w:t>
      </w:r>
      <w:r w:rsidRPr="006D613B">
        <w:rPr>
          <w:lang w:eastAsia="ja-JP" w:bidi="en-US"/>
        </w:rPr>
        <w:t>OI</w:t>
      </w:r>
      <w:r>
        <w:rPr>
          <w:lang w:eastAsia="ja-JP" w:bidi="en-US"/>
        </w:rPr>
        <w:t>)</w:t>
      </w:r>
      <w:r w:rsidRPr="006D613B">
        <w:rPr>
          <w:lang w:eastAsia="ja-JP" w:bidi="en-US"/>
        </w:rPr>
        <w:t xml:space="preserve">. Also, the bulk </w:t>
      </w:r>
      <w:r>
        <w:rPr>
          <w:lang w:eastAsia="ja-JP" w:bidi="en-US"/>
        </w:rPr>
        <w:t>%</w:t>
      </w:r>
      <w:r w:rsidRPr="006D613B">
        <w:rPr>
          <w:lang w:eastAsia="ja-JP" w:bidi="en-US"/>
        </w:rPr>
        <w:t xml:space="preserve">TOC </w:t>
      </w:r>
      <w:r>
        <w:rPr>
          <w:lang w:eastAsia="ja-JP" w:bidi="en-US"/>
        </w:rPr>
        <w:t xml:space="preserve">regional </w:t>
      </w:r>
      <w:r w:rsidRPr="006D613B">
        <w:rPr>
          <w:lang w:eastAsia="ja-JP" w:bidi="en-US"/>
        </w:rPr>
        <w:t xml:space="preserve">maps indicate that the </w:t>
      </w:r>
      <w:r>
        <w:rPr>
          <w:lang w:eastAsia="ja-JP" w:bidi="en-US"/>
        </w:rPr>
        <w:t>enclosed mini-basin fill present</w:t>
      </w:r>
      <w:r w:rsidRPr="006D613B">
        <w:rPr>
          <w:lang w:eastAsia="ja-JP" w:bidi="en-US"/>
        </w:rPr>
        <w:t xml:space="preserve"> higher average </w:t>
      </w:r>
      <w:r>
        <w:rPr>
          <w:lang w:eastAsia="ja-JP" w:bidi="en-US"/>
        </w:rPr>
        <w:t>%</w:t>
      </w:r>
      <w:r w:rsidRPr="006D613B">
        <w:rPr>
          <w:lang w:eastAsia="ja-JP" w:bidi="en-US"/>
        </w:rPr>
        <w:t xml:space="preserve">TOC values for the Woodford Shale </w:t>
      </w:r>
      <w:r>
        <w:rPr>
          <w:lang w:eastAsia="ja-JP" w:bidi="en-US"/>
        </w:rPr>
        <w:t xml:space="preserve">when compared to areas with open circulation conditions. </w:t>
      </w:r>
    </w:p>
    <w:p w14:paraId="4840DEF6" w14:textId="07C5FF87" w:rsidR="00AC0D3C" w:rsidRPr="006D613B" w:rsidRDefault="00AC0D3C" w:rsidP="00AC0D3C">
      <w:pPr>
        <w:spacing w:after="0"/>
        <w:ind w:firstLine="360"/>
        <w:rPr>
          <w:lang w:eastAsia="ja-JP" w:bidi="en-US"/>
        </w:rPr>
      </w:pPr>
      <w:r w:rsidRPr="006D613B">
        <w:rPr>
          <w:lang w:eastAsia="ja-JP" w:bidi="en-US"/>
        </w:rPr>
        <w:t>•</w:t>
      </w:r>
      <w:r w:rsidRPr="006D613B">
        <w:rPr>
          <w:lang w:eastAsia="ja-JP" w:bidi="en-US"/>
        </w:rPr>
        <w:tab/>
        <w:t>The enrichment in the Upper Woodford member of organically related proxies U, Mo, V, are likely to r</w:t>
      </w:r>
      <w:r>
        <w:rPr>
          <w:lang w:eastAsia="ja-JP" w:bidi="en-US"/>
        </w:rPr>
        <w:t>eflect</w:t>
      </w:r>
      <w:r w:rsidRPr="006D613B">
        <w:rPr>
          <w:lang w:eastAsia="ja-JP" w:bidi="en-US"/>
        </w:rPr>
        <w:t xml:space="preserve"> more open water circulation conditions</w:t>
      </w:r>
      <w:r>
        <w:rPr>
          <w:lang w:eastAsia="ja-JP" w:bidi="en-US"/>
        </w:rPr>
        <w:t xml:space="preserve">. </w:t>
      </w:r>
      <w:r w:rsidR="00D323CD">
        <w:rPr>
          <w:lang w:eastAsia="ja-JP" w:bidi="en-US"/>
        </w:rPr>
        <w:t>The</w:t>
      </w:r>
      <w:r>
        <w:rPr>
          <w:lang w:eastAsia="ja-JP" w:bidi="en-US"/>
        </w:rPr>
        <w:t xml:space="preserve"> enrichment i</w:t>
      </w:r>
      <w:r w:rsidR="00D323CD">
        <w:rPr>
          <w:lang w:eastAsia="ja-JP" w:bidi="en-US"/>
        </w:rPr>
        <w:t xml:space="preserve">n heavy elements </w:t>
      </w:r>
      <w:r w:rsidR="00A50ED2">
        <w:rPr>
          <w:lang w:eastAsia="ja-JP" w:bidi="en-US"/>
        </w:rPr>
        <w:lastRenderedPageBreak/>
        <w:t>occurs when the</w:t>
      </w:r>
      <w:r w:rsidRPr="006D613B">
        <w:rPr>
          <w:lang w:eastAsia="ja-JP" w:bidi="en-US"/>
        </w:rPr>
        <w:t xml:space="preserve"> open marine deposits captur</w:t>
      </w:r>
      <w:r w:rsidR="00A50ED2">
        <w:rPr>
          <w:lang w:eastAsia="ja-JP" w:bidi="en-US"/>
        </w:rPr>
        <w:t>e</w:t>
      </w:r>
      <w:r w:rsidRPr="006D613B">
        <w:rPr>
          <w:lang w:eastAsia="ja-JP" w:bidi="en-US"/>
        </w:rPr>
        <w:t xml:space="preserve"> the</w:t>
      </w:r>
      <w:r w:rsidR="00D323CD">
        <w:rPr>
          <w:lang w:eastAsia="ja-JP" w:bidi="en-US"/>
        </w:rPr>
        <w:t xml:space="preserve">m </w:t>
      </w:r>
      <w:r w:rsidR="00A50ED2">
        <w:rPr>
          <w:lang w:eastAsia="ja-JP" w:bidi="en-US"/>
        </w:rPr>
        <w:t>transported by</w:t>
      </w:r>
      <w:r w:rsidRPr="006D613B">
        <w:rPr>
          <w:lang w:eastAsia="ja-JP" w:bidi="en-US"/>
        </w:rPr>
        <w:t xml:space="preserve"> upwelling current suppl</w:t>
      </w:r>
      <w:r w:rsidR="00A50ED2">
        <w:rPr>
          <w:lang w:eastAsia="ja-JP" w:bidi="en-US"/>
        </w:rPr>
        <w:t>ies. The heavy elements are</w:t>
      </w:r>
      <w:r w:rsidRPr="006D613B">
        <w:rPr>
          <w:lang w:eastAsia="ja-JP" w:bidi="en-US"/>
        </w:rPr>
        <w:t xml:space="preserve"> concentrated principally in phosphate concretions</w:t>
      </w:r>
      <w:r>
        <w:rPr>
          <w:lang w:eastAsia="ja-JP" w:bidi="en-US"/>
        </w:rPr>
        <w:t xml:space="preserve"> and chert</w:t>
      </w:r>
      <w:r w:rsidR="00A50ED2">
        <w:rPr>
          <w:lang w:eastAsia="ja-JP" w:bidi="en-US"/>
        </w:rPr>
        <w:t>-</w:t>
      </w:r>
      <w:r>
        <w:rPr>
          <w:lang w:eastAsia="ja-JP" w:bidi="en-US"/>
        </w:rPr>
        <w:t>rich lithofacies</w:t>
      </w:r>
      <w:r w:rsidR="00A50ED2">
        <w:rPr>
          <w:lang w:eastAsia="ja-JP" w:bidi="en-US"/>
        </w:rPr>
        <w:t xml:space="preserve"> in the Upper member</w:t>
      </w:r>
      <w:r>
        <w:rPr>
          <w:lang w:eastAsia="ja-JP" w:bidi="en-US"/>
        </w:rPr>
        <w:t xml:space="preserve">. It is essential to recognize this </w:t>
      </w:r>
      <w:r w:rsidR="002F4359">
        <w:rPr>
          <w:lang w:eastAsia="ja-JP" w:bidi="en-US"/>
        </w:rPr>
        <w:t xml:space="preserve">enrichment in U, Mo, and V </w:t>
      </w:r>
      <w:r>
        <w:rPr>
          <w:lang w:eastAsia="ja-JP" w:bidi="en-US"/>
        </w:rPr>
        <w:t xml:space="preserve">for avoiding a false-positive interpretation of anoxia related proxies in the Upper Woodford member. </w:t>
      </w:r>
    </w:p>
    <w:p w14:paraId="7BB664B2" w14:textId="7F4B61E9" w:rsidR="00AC0D3C" w:rsidRPr="00914DE4" w:rsidRDefault="00AC0D3C" w:rsidP="00AC0D3C">
      <w:pPr>
        <w:ind w:firstLine="720"/>
      </w:pPr>
      <w:r>
        <w:t xml:space="preserve">I propose as an easy initial screening step of possible enclosed mini-basin fill rock intervals to perform </w:t>
      </w:r>
      <w:r w:rsidRPr="00914DE4">
        <w:t>Rock</w:t>
      </w:r>
      <w:r>
        <w:t>-E</w:t>
      </w:r>
      <w:r w:rsidRPr="00914DE4">
        <w:t>val pyrolysis analys</w:t>
      </w:r>
      <w:r>
        <w:t>es.</w:t>
      </w:r>
      <w:r w:rsidRPr="00914DE4">
        <w:t xml:space="preserve"> </w:t>
      </w:r>
      <w:r>
        <w:t>This methodology should be useful</w:t>
      </w:r>
      <w:r w:rsidRPr="00914DE4">
        <w:t xml:space="preserve"> for screening if there are possible changes in the type of organic matter</w:t>
      </w:r>
      <w:r>
        <w:t xml:space="preserve"> of a stratigraphic section</w:t>
      </w:r>
      <w:r w:rsidRPr="00914DE4">
        <w:t xml:space="preserve">, ideally </w:t>
      </w:r>
      <w:r>
        <w:t>undertaken on</w:t>
      </w:r>
      <w:r w:rsidRPr="00914DE4">
        <w:t xml:space="preserve"> low maturity samples and minimized weathering for the outcrop samples (tough to obtain for the outcrop </w:t>
      </w:r>
      <w:r>
        <w:t>samples</w:t>
      </w:r>
      <w:r w:rsidRPr="00914DE4">
        <w:t xml:space="preserve">). The identification of </w:t>
      </w:r>
      <w:r>
        <w:t>highly restricted anoxic deposits, as the enclosed mini-basin fill can</w:t>
      </w:r>
      <w:r w:rsidRPr="00914DE4">
        <w:t xml:space="preserve"> be focused and preferentially done to samples with high </w:t>
      </w:r>
      <w:r>
        <w:t>%</w:t>
      </w:r>
      <w:r w:rsidRPr="00914DE4">
        <w:t>TOC (&gt;</w:t>
      </w:r>
      <w:r>
        <w:t>5</w:t>
      </w:r>
      <w:r w:rsidRPr="00914DE4">
        <w:t xml:space="preserve">% </w:t>
      </w:r>
      <w:r w:rsidR="00800460" w:rsidRPr="00914DE4">
        <w:t>wt.</w:t>
      </w:r>
      <w:r w:rsidRPr="00914DE4">
        <w:t xml:space="preserve">), high </w:t>
      </w:r>
      <w:r w:rsidR="00F82442">
        <w:t xml:space="preserve">HI </w:t>
      </w:r>
      <w:r w:rsidRPr="00914DE4">
        <w:t xml:space="preserve"> (HI&gt;600 mg HC/g rock), low </w:t>
      </w:r>
      <w:r w:rsidR="00F82442">
        <w:t>OI</w:t>
      </w:r>
      <w:r w:rsidRPr="00914DE4">
        <w:t xml:space="preserve"> and generally </w:t>
      </w:r>
      <w:r>
        <w:t>high</w:t>
      </w:r>
      <w:r w:rsidRPr="00914DE4">
        <w:t xml:space="preserve"> sulfur (S</w:t>
      </w:r>
      <w:r w:rsidR="00567B75">
        <w:t>[ppm] from XRF</w:t>
      </w:r>
      <w:r w:rsidRPr="00914DE4">
        <w:t xml:space="preserve">) content. These initial interpretations of </w:t>
      </w:r>
      <w:r>
        <w:t>mini-basin fill</w:t>
      </w:r>
      <w:r w:rsidRPr="00914DE4">
        <w:t xml:space="preserve"> </w:t>
      </w:r>
      <w:r w:rsidR="00567B75">
        <w:t xml:space="preserve">settings </w:t>
      </w:r>
      <w:r w:rsidRPr="00914DE4">
        <w:t xml:space="preserve">should be correlated with the chemostratigraphy data proxies with a multi-linear regression for identifying possible restricted areas that might correspond to </w:t>
      </w:r>
      <w:r>
        <w:t>accumulations under anoxic proxies</w:t>
      </w:r>
      <w:r w:rsidR="00567B75">
        <w:t xml:space="preserve"> (high U, V and Mo form XRF)</w:t>
      </w:r>
      <w:r>
        <w:t xml:space="preserve">. </w:t>
      </w:r>
      <w:r w:rsidRPr="00914DE4">
        <w:t xml:space="preserve"> </w:t>
      </w:r>
    </w:p>
    <w:p w14:paraId="1F41FEFF" w14:textId="30DBFB30" w:rsidR="00AC0D3C" w:rsidRDefault="00AC0D3C" w:rsidP="00AC0D3C">
      <w:pPr>
        <w:ind w:firstLine="720"/>
      </w:pPr>
      <w:r>
        <w:t xml:space="preserve">It is essential to clarify that the Lower, Middle and Upper Woodford Shale members described in the chapters of this manuscript might vary </w:t>
      </w:r>
      <w:r w:rsidR="00942132">
        <w:t>across</w:t>
      </w:r>
      <w:r>
        <w:t xml:space="preserve"> the state of Oklahoma. So a direct one-to-one detailed comparison must be made when interpreting if the same enclosed mini-basin fill deposits are present in other areas where the Woodford members are identified or labeled with the same nomenclature (e.g., the Lower and Middle Woodford Shale members might be lithologically different and thinner, or not present, in other areas of Oklahoma, and present lower  %TOC because of depletion caused by higher maturity levels or organic facies variations).</w:t>
      </w:r>
    </w:p>
    <w:p w14:paraId="41E039B4" w14:textId="77777777" w:rsidR="00AC0D3C" w:rsidRDefault="00AC0D3C" w:rsidP="00AC0D3C"/>
    <w:p w14:paraId="048A7FAF" w14:textId="77777777" w:rsidR="004E4D87" w:rsidRDefault="004E4D87" w:rsidP="004E4D87">
      <w:pPr>
        <w:spacing w:after="0"/>
        <w:ind w:firstLine="360"/>
        <w:rPr>
          <w:lang w:eastAsia="ja-JP" w:bidi="en-US"/>
        </w:rPr>
      </w:pPr>
    </w:p>
    <w:p w14:paraId="17C6E37E" w14:textId="78D23336" w:rsidR="00124C63" w:rsidRPr="0078320A" w:rsidRDefault="00124C63" w:rsidP="00592D14">
      <w:pPr>
        <w:pStyle w:val="Heading1"/>
        <w:numPr>
          <w:ilvl w:val="0"/>
          <w:numId w:val="34"/>
        </w:numPr>
      </w:pPr>
      <w:bookmarkStart w:id="452" w:name="_Toc25833606"/>
      <w:bookmarkStart w:id="453" w:name="_Toc35861149"/>
      <w:bookmarkEnd w:id="369"/>
      <w:r w:rsidRPr="0078320A">
        <w:lastRenderedPageBreak/>
        <w:t>Appendices</w:t>
      </w:r>
      <w:bookmarkEnd w:id="452"/>
      <w:bookmarkEnd w:id="453"/>
    </w:p>
    <w:p w14:paraId="6AD0433C" w14:textId="27141207" w:rsidR="00130392" w:rsidRPr="0078320A" w:rsidRDefault="00124C63" w:rsidP="0074752B">
      <w:pPr>
        <w:pStyle w:val="Heading2"/>
      </w:pPr>
      <w:bookmarkStart w:id="454" w:name="_Toc25833607"/>
      <w:bookmarkStart w:id="455" w:name="_Toc35861150"/>
      <w:r w:rsidRPr="0078320A">
        <w:t xml:space="preserve">Appendix </w:t>
      </w:r>
      <w:r w:rsidR="00CE4E11">
        <w:t>A</w:t>
      </w:r>
      <w:r w:rsidRPr="0078320A">
        <w:t xml:space="preserve">: </w:t>
      </w:r>
      <w:r w:rsidR="00130392" w:rsidRPr="0078320A">
        <w:t xml:space="preserve">Proposed workflow for </w:t>
      </w:r>
      <w:r w:rsidR="00130392" w:rsidRPr="0078320A">
        <w:rPr>
          <w:u w:val="single"/>
        </w:rPr>
        <w:t>screening</w:t>
      </w:r>
      <w:r w:rsidR="00130392" w:rsidRPr="0078320A">
        <w:t xml:space="preserve"> </w:t>
      </w:r>
      <w:r w:rsidR="00A44516">
        <w:t xml:space="preserve">dynamic </w:t>
      </w:r>
      <w:r w:rsidR="00963AE4">
        <w:t>g</w:t>
      </w:r>
      <w:r w:rsidR="00130392" w:rsidRPr="0078320A">
        <w:t xml:space="preserve">eomechanics parameters in unconventional resource shales (Young modulus, Poisson’s </w:t>
      </w:r>
      <w:r w:rsidR="00963AE4">
        <w:t>r</w:t>
      </w:r>
      <w:r w:rsidR="00130392" w:rsidRPr="0078320A">
        <w:t xml:space="preserve">atio, </w:t>
      </w:r>
      <w:r w:rsidR="00963AE4">
        <w:t>f</w:t>
      </w:r>
      <w:r w:rsidR="00130392" w:rsidRPr="0078320A">
        <w:t xml:space="preserve">racture </w:t>
      </w:r>
      <w:r w:rsidR="00963AE4">
        <w:t>g</w:t>
      </w:r>
      <w:r w:rsidR="00130392" w:rsidRPr="0078320A">
        <w:t xml:space="preserve">radient, and </w:t>
      </w:r>
      <w:r w:rsidR="00963AE4">
        <w:t>f</w:t>
      </w:r>
      <w:r w:rsidR="00130392" w:rsidRPr="0078320A">
        <w:t xml:space="preserve">racture </w:t>
      </w:r>
      <w:r w:rsidR="00963AE4">
        <w:t>t</w:t>
      </w:r>
      <w:r w:rsidR="00130392" w:rsidRPr="0078320A">
        <w:t xml:space="preserve">oughness) based on </w:t>
      </w:r>
      <w:r w:rsidR="00A44516">
        <w:t>density (</w:t>
      </w:r>
      <w:r w:rsidR="00130392" w:rsidRPr="0078320A">
        <w:t>RHOB</w:t>
      </w:r>
      <w:r w:rsidR="00A44516">
        <w:t>)</w:t>
      </w:r>
      <w:r w:rsidR="00130392" w:rsidRPr="0078320A">
        <w:t xml:space="preserve"> and </w:t>
      </w:r>
      <w:r w:rsidR="00A44516">
        <w:t>sonic (D</w:t>
      </w:r>
      <w:r w:rsidR="00130392" w:rsidRPr="0078320A">
        <w:t>TC/</w:t>
      </w:r>
      <w:r w:rsidR="00A44516">
        <w:t>D</w:t>
      </w:r>
      <w:r w:rsidR="00130392" w:rsidRPr="0078320A">
        <w:t>TS</w:t>
      </w:r>
      <w:r w:rsidR="00A44516">
        <w:t>)</w:t>
      </w:r>
      <w:r w:rsidR="00130392" w:rsidRPr="0078320A">
        <w:t xml:space="preserve"> curves.</w:t>
      </w:r>
      <w:bookmarkEnd w:id="454"/>
      <w:bookmarkEnd w:id="455"/>
    </w:p>
    <w:p w14:paraId="4E7DD7FE" w14:textId="6714C8BC" w:rsidR="00130392" w:rsidRPr="00FC4841" w:rsidRDefault="00130392" w:rsidP="00662698">
      <w:pPr>
        <w:spacing w:line="276" w:lineRule="auto"/>
      </w:pPr>
      <w:r w:rsidRPr="00FC4841">
        <w:t>Authors: Emilio J. Torres-Parada</w:t>
      </w:r>
      <w:r w:rsidR="00100C8C" w:rsidRPr="00FC4841">
        <w:rPr>
          <w:rFonts w:ascii="Times New Roman Bold" w:hAnsi="Times New Roman Bold"/>
          <w:vertAlign w:val="superscript"/>
        </w:rPr>
        <w:t>1</w:t>
      </w:r>
      <w:r w:rsidRPr="00FC4841">
        <w:t xml:space="preserve"> and Jean D. Amorocho</w:t>
      </w:r>
      <w:r w:rsidR="00DA0FBE" w:rsidRPr="00FC4841">
        <w:t>-Sanchez</w:t>
      </w:r>
      <w:r w:rsidR="00100C8C" w:rsidRPr="00FC4841">
        <w:rPr>
          <w:rFonts w:ascii="Times New Roman Bold" w:hAnsi="Times New Roman Bold"/>
          <w:vertAlign w:val="superscript"/>
        </w:rPr>
        <w:t>2</w:t>
      </w:r>
      <w:r w:rsidRPr="00FC4841">
        <w:t xml:space="preserve">. </w:t>
      </w:r>
    </w:p>
    <w:p w14:paraId="4CD4093C" w14:textId="042B5401" w:rsidR="00130392" w:rsidRPr="00FC4841" w:rsidRDefault="00100C8C" w:rsidP="00662698">
      <w:pPr>
        <w:spacing w:line="276" w:lineRule="auto"/>
      </w:pPr>
      <w:r w:rsidRPr="00FC4841">
        <w:rPr>
          <w:rFonts w:ascii="Times New Roman Bold" w:hAnsi="Times New Roman Bold"/>
          <w:vertAlign w:val="superscript"/>
        </w:rPr>
        <w:t>1</w:t>
      </w:r>
      <w:r w:rsidR="001E126A">
        <w:rPr>
          <w:rFonts w:ascii="Times New Roman Bold" w:hAnsi="Times New Roman Bold"/>
          <w:vertAlign w:val="superscript"/>
        </w:rPr>
        <w:t xml:space="preserve"> </w:t>
      </w:r>
      <w:r w:rsidR="00130392" w:rsidRPr="00FC4841">
        <w:t xml:space="preserve">The University of Oklahoma, School of Geology and Geophysics. </w:t>
      </w:r>
    </w:p>
    <w:p w14:paraId="6563E385" w14:textId="1B8DC726" w:rsidR="00100C8C" w:rsidRPr="00FC4841" w:rsidRDefault="00100C8C" w:rsidP="00FC4841">
      <w:pPr>
        <w:rPr>
          <w:lang w:val="es-CO"/>
        </w:rPr>
      </w:pPr>
      <w:r w:rsidRPr="00FC4841">
        <w:rPr>
          <w:vertAlign w:val="superscript"/>
          <w:lang w:val="es-CO"/>
        </w:rPr>
        <w:t xml:space="preserve">2 </w:t>
      </w:r>
      <w:r w:rsidRPr="00FC4841">
        <w:rPr>
          <w:lang w:val="es-CO"/>
        </w:rPr>
        <w:t xml:space="preserve">Ecopetrol S.A. Gerencia de </w:t>
      </w:r>
      <w:r w:rsidR="004425AB" w:rsidRPr="00FC4841">
        <w:rPr>
          <w:lang w:val="es-CO"/>
        </w:rPr>
        <w:t>Yacimientos</w:t>
      </w:r>
      <w:r w:rsidR="00360680" w:rsidRPr="00FC4841">
        <w:rPr>
          <w:lang w:val="es-CO"/>
        </w:rPr>
        <w:t>,</w:t>
      </w:r>
      <w:r w:rsidR="0057725C" w:rsidRPr="00FC4841">
        <w:rPr>
          <w:lang w:val="es-CO"/>
        </w:rPr>
        <w:t xml:space="preserve"> </w:t>
      </w:r>
      <w:r w:rsidR="00C015D3" w:rsidRPr="00FC4841">
        <w:rPr>
          <w:lang w:val="es-CO"/>
        </w:rPr>
        <w:t>Bogotá</w:t>
      </w:r>
      <w:r w:rsidR="0057725C" w:rsidRPr="00FC4841">
        <w:rPr>
          <w:lang w:val="es-CO"/>
        </w:rPr>
        <w:t xml:space="preserve">, </w:t>
      </w:r>
      <w:r w:rsidR="00360680" w:rsidRPr="00FC4841">
        <w:rPr>
          <w:lang w:val="es-CO"/>
        </w:rPr>
        <w:t>Colombia.</w:t>
      </w:r>
    </w:p>
    <w:p w14:paraId="42D6B9A1" w14:textId="309E3DE5" w:rsidR="00130392" w:rsidRPr="00E06E68" w:rsidRDefault="00130392" w:rsidP="009349D2">
      <w:pPr>
        <w:rPr>
          <w:b/>
          <w:bCs/>
        </w:rPr>
      </w:pPr>
      <w:bookmarkStart w:id="456" w:name="_Toc323211217"/>
      <w:bookmarkStart w:id="457" w:name="_Toc22366111"/>
      <w:bookmarkStart w:id="458" w:name="_Toc315947153"/>
      <w:r w:rsidRPr="00E06E68">
        <w:rPr>
          <w:b/>
          <w:bCs/>
        </w:rPr>
        <w:t xml:space="preserve">Procedures for estimating </w:t>
      </w:r>
      <w:r w:rsidR="00155E67">
        <w:rPr>
          <w:b/>
          <w:bCs/>
        </w:rPr>
        <w:t>u</w:t>
      </w:r>
      <w:r w:rsidRPr="00E06E68">
        <w:rPr>
          <w:b/>
          <w:bCs/>
        </w:rPr>
        <w:t xml:space="preserve">nconventional </w:t>
      </w:r>
      <w:r w:rsidR="00155E67">
        <w:rPr>
          <w:b/>
          <w:bCs/>
        </w:rPr>
        <w:t>s</w:t>
      </w:r>
      <w:r w:rsidRPr="00E06E68">
        <w:rPr>
          <w:b/>
          <w:bCs/>
        </w:rPr>
        <w:t xml:space="preserve">hale </w:t>
      </w:r>
      <w:r w:rsidR="00155E67">
        <w:rPr>
          <w:b/>
          <w:bCs/>
        </w:rPr>
        <w:t>s</w:t>
      </w:r>
      <w:r w:rsidRPr="00E06E68">
        <w:rPr>
          <w:b/>
          <w:bCs/>
        </w:rPr>
        <w:t>weet-</w:t>
      </w:r>
      <w:r w:rsidR="00155E67">
        <w:rPr>
          <w:b/>
          <w:bCs/>
        </w:rPr>
        <w:t>s</w:t>
      </w:r>
      <w:r w:rsidRPr="00E06E68">
        <w:rPr>
          <w:b/>
          <w:bCs/>
        </w:rPr>
        <w:t>pot geomechanical properties</w:t>
      </w:r>
      <w:bookmarkEnd w:id="456"/>
      <w:bookmarkEnd w:id="457"/>
    </w:p>
    <w:p w14:paraId="692E2F80" w14:textId="20250205" w:rsidR="008B5B75" w:rsidRPr="0078320A" w:rsidRDefault="00130392" w:rsidP="00662698">
      <w:pPr>
        <w:ind w:firstLine="720"/>
        <w:rPr>
          <w:rFonts w:eastAsia="Times New Roman"/>
          <w:color w:val="000000"/>
        </w:rPr>
      </w:pPr>
      <w:r w:rsidRPr="0078320A">
        <w:rPr>
          <w:rFonts w:eastAsia="Times New Roman"/>
          <w:color w:val="000000"/>
        </w:rPr>
        <w:t>Reservoir geomechanics is the integrated study of the state of stress, pore pressure</w:t>
      </w:r>
      <w:r w:rsidR="00343C6E" w:rsidRPr="0078320A">
        <w:rPr>
          <w:rFonts w:eastAsia="Times New Roman"/>
          <w:color w:val="000000"/>
        </w:rPr>
        <w:t>,</w:t>
      </w:r>
      <w:r w:rsidRPr="0078320A">
        <w:rPr>
          <w:rFonts w:eastAsia="Times New Roman"/>
          <w:color w:val="000000"/>
        </w:rPr>
        <w:t xml:space="preserve"> and physical properties of reservoirs, natural fractures/faults, cap rocks, and the formations in the overburden</w:t>
      </w:r>
      <w:r w:rsidR="00316106">
        <w:rPr>
          <w:rFonts w:eastAsia="Times New Roman"/>
          <w:color w:val="000000"/>
        </w:rPr>
        <w:t xml:space="preserve"> (Kumar and Ghassemi, 2018)</w:t>
      </w:r>
      <w:r w:rsidRPr="0078320A">
        <w:rPr>
          <w:rFonts w:eastAsia="Times New Roman"/>
          <w:color w:val="000000"/>
        </w:rPr>
        <w:t>. It provides a context within which to understand the interactions between Geological conditions and engineering and production practices</w:t>
      </w:r>
      <w:r w:rsidR="00316106">
        <w:rPr>
          <w:rFonts w:eastAsia="Times New Roman"/>
          <w:color w:val="000000"/>
        </w:rPr>
        <w:t xml:space="preserve"> (Sierra-Perez, 2011)</w:t>
      </w:r>
      <w:r w:rsidRPr="0078320A">
        <w:rPr>
          <w:rFonts w:eastAsia="Times New Roman"/>
          <w:color w:val="000000"/>
        </w:rPr>
        <w:t xml:space="preserve">. </w:t>
      </w:r>
    </w:p>
    <w:p w14:paraId="429C3852" w14:textId="1FFCC5DE" w:rsidR="00130392" w:rsidRPr="0078320A" w:rsidRDefault="00130392" w:rsidP="00662698">
      <w:pPr>
        <w:ind w:firstLine="720"/>
        <w:rPr>
          <w:rFonts w:eastAsia="Times New Roman"/>
          <w:color w:val="000000"/>
        </w:rPr>
      </w:pPr>
      <w:r w:rsidRPr="0078320A">
        <w:rPr>
          <w:rFonts w:eastAsia="Times New Roman"/>
          <w:color w:val="000000"/>
        </w:rPr>
        <w:t>The primary parameters controlling these interactions are the state of in-situ stress, rock strength, bedding orientation and properties, pore pressure, distribution of fractures and faults, wellbore trajectory, and mud weight</w:t>
      </w:r>
      <w:r w:rsidR="00054962">
        <w:rPr>
          <w:rFonts w:eastAsia="Times New Roman"/>
          <w:color w:val="000000"/>
        </w:rPr>
        <w:t xml:space="preserve"> (Mullen et al., 2007;</w:t>
      </w:r>
      <w:r w:rsidR="00054962" w:rsidRPr="0078320A">
        <w:rPr>
          <w:rFonts w:eastAsia="Times New Roman"/>
          <w:color w:val="000000"/>
        </w:rPr>
        <w:t xml:space="preserve"> Rickman et al.</w:t>
      </w:r>
      <w:r w:rsidR="00054962">
        <w:rPr>
          <w:rFonts w:eastAsia="Times New Roman"/>
          <w:color w:val="000000"/>
        </w:rPr>
        <w:t xml:space="preserve">, </w:t>
      </w:r>
      <w:r w:rsidR="00054962" w:rsidRPr="0078320A">
        <w:rPr>
          <w:rFonts w:eastAsia="Times New Roman"/>
          <w:color w:val="000000"/>
        </w:rPr>
        <w:t>2008)</w:t>
      </w:r>
      <w:r w:rsidRPr="0078320A">
        <w:rPr>
          <w:rFonts w:eastAsia="Times New Roman"/>
          <w:color w:val="000000"/>
        </w:rPr>
        <w:t>. The state of stress in a hydrocarbon reservoir is defined in terms of the vertical stress (Sv) and the two mutually perpendicular horizontal stresses (S</w:t>
      </w:r>
      <w:r w:rsidR="007D723D" w:rsidRPr="007D723D">
        <w:rPr>
          <w:rFonts w:eastAsia="Times New Roman"/>
          <w:color w:val="000000"/>
          <w:vertAlign w:val="subscript"/>
        </w:rPr>
        <w:t>h</w:t>
      </w:r>
      <w:r w:rsidRPr="007D723D">
        <w:rPr>
          <w:rFonts w:eastAsia="Times New Roman"/>
          <w:color w:val="000000"/>
          <w:vertAlign w:val="subscript"/>
        </w:rPr>
        <w:t>max</w:t>
      </w:r>
      <w:r w:rsidRPr="0078320A">
        <w:rPr>
          <w:rFonts w:eastAsia="Times New Roman"/>
          <w:color w:val="000000"/>
        </w:rPr>
        <w:t xml:space="preserve"> and S</w:t>
      </w:r>
      <w:r w:rsidR="007D723D" w:rsidRPr="007D723D">
        <w:rPr>
          <w:rFonts w:eastAsia="Times New Roman"/>
          <w:color w:val="000000"/>
          <w:vertAlign w:val="subscript"/>
        </w:rPr>
        <w:t>h</w:t>
      </w:r>
      <w:r w:rsidRPr="007D723D">
        <w:rPr>
          <w:rFonts w:eastAsia="Times New Roman"/>
          <w:color w:val="000000"/>
          <w:vertAlign w:val="subscript"/>
        </w:rPr>
        <w:t>min</w:t>
      </w:r>
      <w:r w:rsidR="002A4248" w:rsidRPr="002A4248">
        <w:rPr>
          <w:rFonts w:eastAsia="Times New Roman"/>
          <w:color w:val="000000"/>
        </w:rPr>
        <w:t xml:space="preserve">; Kumar </w:t>
      </w:r>
      <w:r w:rsidR="002A4248">
        <w:rPr>
          <w:rFonts w:eastAsia="Times New Roman"/>
          <w:color w:val="000000"/>
        </w:rPr>
        <w:t>and G</w:t>
      </w:r>
      <w:r w:rsidR="00054962">
        <w:rPr>
          <w:rFonts w:eastAsia="Times New Roman"/>
          <w:color w:val="000000"/>
        </w:rPr>
        <w:t>h</w:t>
      </w:r>
      <w:r w:rsidR="002A4248">
        <w:rPr>
          <w:rFonts w:eastAsia="Times New Roman"/>
          <w:color w:val="000000"/>
        </w:rPr>
        <w:t>assemi, 2018</w:t>
      </w:r>
      <w:r w:rsidRPr="0078320A">
        <w:rPr>
          <w:rFonts w:eastAsia="Times New Roman"/>
          <w:color w:val="000000"/>
        </w:rPr>
        <w:t>). It is highly recommended to apply the equations proposed</w:t>
      </w:r>
      <w:r w:rsidR="00F560F8" w:rsidRPr="0078320A">
        <w:rPr>
          <w:rFonts w:eastAsia="Times New Roman"/>
          <w:color w:val="000000"/>
        </w:rPr>
        <w:t xml:space="preserve"> in this appendix</w:t>
      </w:r>
      <w:r w:rsidRPr="0078320A">
        <w:rPr>
          <w:rFonts w:eastAsia="Times New Roman"/>
          <w:color w:val="000000"/>
        </w:rPr>
        <w:t xml:space="preserve"> for the Woodford Shale</w:t>
      </w:r>
      <w:r w:rsidR="00F560F8" w:rsidRPr="0078320A">
        <w:rPr>
          <w:rFonts w:eastAsia="Times New Roman"/>
          <w:color w:val="000000"/>
        </w:rPr>
        <w:t>, that are calibrated from the rock measurements done</w:t>
      </w:r>
      <w:r w:rsidRPr="0078320A">
        <w:rPr>
          <w:rFonts w:eastAsia="Times New Roman"/>
          <w:color w:val="000000"/>
        </w:rPr>
        <w:t xml:space="preserve"> by Sierra-Perez (2011) and Slatt et al. (201</w:t>
      </w:r>
      <w:r w:rsidR="00F737A4" w:rsidRPr="0078320A">
        <w:rPr>
          <w:rFonts w:eastAsia="Times New Roman"/>
          <w:color w:val="000000"/>
        </w:rPr>
        <w:t>2</w:t>
      </w:r>
      <w:r w:rsidRPr="0078320A">
        <w:rPr>
          <w:rFonts w:eastAsia="Times New Roman"/>
          <w:color w:val="000000"/>
        </w:rPr>
        <w:t>) in Oklahoma USA., and</w:t>
      </w:r>
      <w:r w:rsidR="002532E9" w:rsidRPr="0078320A">
        <w:rPr>
          <w:rFonts w:eastAsia="Times New Roman"/>
          <w:color w:val="000000"/>
        </w:rPr>
        <w:t xml:space="preserve"> include the work of</w:t>
      </w:r>
      <w:r w:rsidRPr="0078320A">
        <w:rPr>
          <w:rFonts w:eastAsia="Times New Roman"/>
          <w:color w:val="000000"/>
        </w:rPr>
        <w:t xml:space="preserve"> Zoback et al. (2003)</w:t>
      </w:r>
      <w:r w:rsidR="00C975F5" w:rsidRPr="0078320A">
        <w:rPr>
          <w:rFonts w:eastAsia="Times New Roman"/>
          <w:color w:val="000000"/>
        </w:rPr>
        <w:t>,</w:t>
      </w:r>
      <w:r w:rsidR="00D84E08">
        <w:rPr>
          <w:rFonts w:eastAsia="Times New Roman"/>
          <w:color w:val="000000"/>
        </w:rPr>
        <w:t xml:space="preserve"> Mullen et al. (2007),</w:t>
      </w:r>
      <w:r w:rsidR="00EF79A5" w:rsidRPr="0078320A">
        <w:rPr>
          <w:rFonts w:eastAsia="Times New Roman"/>
          <w:color w:val="000000"/>
        </w:rPr>
        <w:t xml:space="preserve"> Rickman et al. (2008)</w:t>
      </w:r>
      <w:r w:rsidR="00305F88" w:rsidRPr="0078320A">
        <w:rPr>
          <w:rFonts w:eastAsia="Times New Roman"/>
          <w:color w:val="000000"/>
        </w:rPr>
        <w:t>,</w:t>
      </w:r>
      <w:r w:rsidR="00C975F5" w:rsidRPr="0078320A">
        <w:rPr>
          <w:rFonts w:eastAsia="Times New Roman"/>
          <w:color w:val="000000"/>
        </w:rPr>
        <w:t xml:space="preserve"> Bar</w:t>
      </w:r>
      <w:r w:rsidR="00D84E08">
        <w:rPr>
          <w:rFonts w:eastAsia="Times New Roman"/>
          <w:color w:val="000000"/>
        </w:rPr>
        <w:t>r</w:t>
      </w:r>
      <w:r w:rsidR="00C975F5" w:rsidRPr="0078320A">
        <w:rPr>
          <w:rFonts w:eastAsia="Times New Roman"/>
          <w:color w:val="000000"/>
        </w:rPr>
        <w:t>ee</w:t>
      </w:r>
      <w:r w:rsidR="00D84E08">
        <w:rPr>
          <w:rFonts w:eastAsia="Times New Roman"/>
          <w:color w:val="000000"/>
        </w:rPr>
        <w:t xml:space="preserve"> and Gilbert</w:t>
      </w:r>
      <w:r w:rsidR="00C975F5" w:rsidRPr="0078320A">
        <w:rPr>
          <w:rFonts w:eastAsia="Times New Roman"/>
          <w:color w:val="000000"/>
        </w:rPr>
        <w:t xml:space="preserve"> (2009)</w:t>
      </w:r>
      <w:r w:rsidR="00305F88" w:rsidRPr="0078320A">
        <w:rPr>
          <w:rFonts w:eastAsia="Times New Roman"/>
          <w:color w:val="000000"/>
        </w:rPr>
        <w:t xml:space="preserve">, </w:t>
      </w:r>
      <w:r w:rsidR="00825C30">
        <w:rPr>
          <w:rFonts w:eastAsia="Times New Roman"/>
          <w:color w:val="000000"/>
        </w:rPr>
        <w:t>an</w:t>
      </w:r>
      <w:r w:rsidR="00D84E08">
        <w:rPr>
          <w:rFonts w:eastAsia="Times New Roman"/>
          <w:color w:val="000000"/>
        </w:rPr>
        <w:t>d</w:t>
      </w:r>
      <w:r w:rsidR="00825C30">
        <w:rPr>
          <w:rFonts w:eastAsia="Times New Roman"/>
          <w:color w:val="000000"/>
        </w:rPr>
        <w:t xml:space="preserve"> Sone and Zoback (2013)</w:t>
      </w:r>
      <w:r w:rsidR="00C975F5" w:rsidRPr="0078320A">
        <w:rPr>
          <w:rFonts w:eastAsia="Times New Roman"/>
          <w:color w:val="000000"/>
        </w:rPr>
        <w:t xml:space="preserve"> for unconventional resources</w:t>
      </w:r>
      <w:r w:rsidR="00EF79A5" w:rsidRPr="0078320A">
        <w:rPr>
          <w:rFonts w:eastAsia="Times New Roman"/>
          <w:color w:val="000000"/>
        </w:rPr>
        <w:t xml:space="preserve">, </w:t>
      </w:r>
      <w:r w:rsidRPr="0078320A">
        <w:rPr>
          <w:rFonts w:eastAsia="Times New Roman"/>
          <w:color w:val="000000"/>
        </w:rPr>
        <w:t>along with</w:t>
      </w:r>
      <w:r w:rsidR="00EF79A5" w:rsidRPr="0078320A">
        <w:rPr>
          <w:rFonts w:eastAsia="Times New Roman"/>
          <w:color w:val="000000"/>
        </w:rPr>
        <w:t xml:space="preserve"> the compressional and shear velocity calculations methods proposed by</w:t>
      </w:r>
      <w:r w:rsidRPr="0078320A">
        <w:rPr>
          <w:rFonts w:eastAsia="Times New Roman"/>
          <w:color w:val="000000"/>
        </w:rPr>
        <w:t xml:space="preserve"> Castagna et al. </w:t>
      </w:r>
      <w:r w:rsidRPr="0078320A">
        <w:rPr>
          <w:rFonts w:eastAsia="Times New Roman"/>
          <w:color w:val="000000"/>
        </w:rPr>
        <w:lastRenderedPageBreak/>
        <w:t>(1986) and Castagna and Backus (1993). Their equations are c</w:t>
      </w:r>
      <w:r w:rsidR="00AE6BE8" w:rsidRPr="0078320A">
        <w:rPr>
          <w:rFonts w:eastAsia="Times New Roman"/>
          <w:color w:val="000000"/>
        </w:rPr>
        <w:t>ompiled</w:t>
      </w:r>
      <w:r w:rsidRPr="0078320A">
        <w:rPr>
          <w:rFonts w:eastAsia="Times New Roman"/>
          <w:color w:val="000000"/>
        </w:rPr>
        <w:t xml:space="preserve"> and described in this document</w:t>
      </w:r>
      <w:r w:rsidR="00AE6BE8" w:rsidRPr="0078320A">
        <w:rPr>
          <w:rFonts w:eastAsia="Times New Roman"/>
          <w:color w:val="000000"/>
        </w:rPr>
        <w:t xml:space="preserve"> as</w:t>
      </w:r>
      <w:r w:rsidR="00BC312E" w:rsidRPr="0078320A">
        <w:rPr>
          <w:rFonts w:eastAsia="Times New Roman"/>
          <w:color w:val="000000"/>
        </w:rPr>
        <w:t xml:space="preserve"> a </w:t>
      </w:r>
      <w:r w:rsidR="00941D3C" w:rsidRPr="0078320A">
        <w:rPr>
          <w:rFonts w:eastAsia="Times New Roman"/>
          <w:color w:val="000000"/>
        </w:rPr>
        <w:t>handy but straightforward</w:t>
      </w:r>
      <w:r w:rsidR="00AE6BE8" w:rsidRPr="0078320A">
        <w:rPr>
          <w:rFonts w:eastAsia="Times New Roman"/>
          <w:color w:val="000000"/>
        </w:rPr>
        <w:t xml:space="preserve"> methodology for screening brittle vs</w:t>
      </w:r>
      <w:r w:rsidR="00BC312E" w:rsidRPr="0078320A">
        <w:rPr>
          <w:rFonts w:eastAsia="Times New Roman"/>
          <w:color w:val="000000"/>
        </w:rPr>
        <w:t>.</w:t>
      </w:r>
      <w:r w:rsidR="00AE6BE8" w:rsidRPr="0078320A">
        <w:rPr>
          <w:rFonts w:eastAsia="Times New Roman"/>
          <w:color w:val="000000"/>
        </w:rPr>
        <w:t xml:space="preserve"> less brittle intervals within the Woodford Shale. </w:t>
      </w:r>
    </w:p>
    <w:p w14:paraId="16145CB6" w14:textId="0746B5FF" w:rsidR="00130392" w:rsidRPr="00662698" w:rsidRDefault="00130392" w:rsidP="009349D2">
      <w:pPr>
        <w:rPr>
          <w:b/>
        </w:rPr>
      </w:pPr>
      <w:bookmarkStart w:id="459" w:name="_Toc213471279"/>
      <w:bookmarkStart w:id="460" w:name="_Toc22366112"/>
      <w:bookmarkStart w:id="461" w:name="_Toc119924542"/>
      <w:bookmarkStart w:id="462" w:name="_Toc120024794"/>
      <w:r w:rsidRPr="00662698">
        <w:rPr>
          <w:b/>
        </w:rPr>
        <w:t xml:space="preserve">Force and </w:t>
      </w:r>
      <w:r w:rsidR="00155E67">
        <w:rPr>
          <w:b/>
        </w:rPr>
        <w:t>s</w:t>
      </w:r>
      <w:r w:rsidRPr="00662698">
        <w:rPr>
          <w:b/>
        </w:rPr>
        <w:t>tress</w:t>
      </w:r>
      <w:bookmarkEnd w:id="459"/>
      <w:bookmarkEnd w:id="460"/>
    </w:p>
    <w:p w14:paraId="68C9926D" w14:textId="77777777" w:rsidR="00130392" w:rsidRPr="0078320A" w:rsidRDefault="00130392" w:rsidP="009349D2">
      <w:r w:rsidRPr="0078320A">
        <w:t>Force is defined by Newton’s second law as:</w:t>
      </w:r>
    </w:p>
    <w:p w14:paraId="5754E170" w14:textId="6C0E06DD" w:rsidR="00130392" w:rsidRPr="0078320A" w:rsidRDefault="00987AD1" w:rsidP="009349D2">
      <w:pPr>
        <w:rPr>
          <w:lang w:eastAsia="zh-CN"/>
        </w:rPr>
      </w:pPr>
      <w:r w:rsidRPr="001E7D67">
        <w:rPr>
          <w:noProof/>
          <w:position w:val="-6"/>
        </w:rPr>
        <w:drawing>
          <wp:inline distT="0" distB="0" distL="0" distR="0" wp14:anchorId="48B2B62B" wp14:editId="3EB956AA">
            <wp:extent cx="508000" cy="177800"/>
            <wp:effectExtent l="0" t="0" r="0" b="0"/>
            <wp:docPr id="12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08000" cy="177800"/>
                    </a:xfrm>
                    <a:prstGeom prst="rect">
                      <a:avLst/>
                    </a:prstGeom>
                    <a:noFill/>
                    <a:ln>
                      <a:noFill/>
                    </a:ln>
                  </pic:spPr>
                </pic:pic>
              </a:graphicData>
            </a:graphic>
          </wp:inline>
        </w:drawing>
      </w:r>
      <w:r w:rsidR="00130392" w:rsidRPr="0078320A">
        <w:rPr>
          <w:lang w:eastAsia="zh-CN"/>
        </w:rPr>
        <w:t xml:space="preserve"> </w:t>
      </w:r>
      <w:r w:rsidR="00C015D3">
        <w:rPr>
          <w:lang w:eastAsia="zh-CN"/>
        </w:rPr>
        <w:t xml:space="preserve">, </w:t>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r>
      <w:r w:rsidR="00C015D3">
        <w:rPr>
          <w:lang w:eastAsia="zh-CN"/>
        </w:rPr>
        <w:tab/>
        <w:t xml:space="preserve">   (A-1) </w:t>
      </w:r>
      <w:r w:rsidR="00C015D3">
        <w:t>w</w:t>
      </w:r>
      <w:r w:rsidR="00130392" w:rsidRPr="0078320A">
        <w:t xml:space="preserve">here </w:t>
      </w:r>
      <w:r w:rsidR="00130392" w:rsidRPr="00C015D3">
        <w:rPr>
          <w:i/>
        </w:rPr>
        <w:t>F</w:t>
      </w:r>
      <w:r w:rsidR="00130392" w:rsidRPr="0078320A">
        <w:t xml:space="preserve"> is the force, </w:t>
      </w:r>
      <w:r w:rsidR="00130392" w:rsidRPr="00A44516">
        <w:rPr>
          <w:i/>
        </w:rPr>
        <w:t>m</w:t>
      </w:r>
      <w:r w:rsidR="00130392" w:rsidRPr="0078320A">
        <w:t xml:space="preserve"> is mass</w:t>
      </w:r>
      <w:r w:rsidR="009A535D" w:rsidRPr="0078320A">
        <w:t>,</w:t>
      </w:r>
      <w:r w:rsidR="00130392" w:rsidRPr="0078320A">
        <w:t xml:space="preserve"> and</w:t>
      </w:r>
      <w:r w:rsidR="00130392" w:rsidRPr="00A44516">
        <w:rPr>
          <w:i/>
        </w:rPr>
        <w:t xml:space="preserve"> a</w:t>
      </w:r>
      <w:r w:rsidR="00130392" w:rsidRPr="0078320A">
        <w:t xml:space="preserve"> is the acceleration.</w:t>
      </w:r>
    </w:p>
    <w:p w14:paraId="6E5962E5" w14:textId="05308CC5" w:rsidR="00130392" w:rsidRPr="0078320A" w:rsidRDefault="00130392" w:rsidP="009349D2">
      <w:r w:rsidRPr="0078320A">
        <w:t>Stress is defined as the force per unit area</w:t>
      </w:r>
      <w:r w:rsidR="00AB7791" w:rsidRPr="0078320A">
        <w:t xml:space="preserve"> (Zoback et al., 200</w:t>
      </w:r>
      <w:r w:rsidR="00C46EDF" w:rsidRPr="0078320A">
        <w:t>3</w:t>
      </w:r>
      <w:r w:rsidR="00AB7791" w:rsidRPr="0078320A">
        <w:t>)</w:t>
      </w:r>
      <w:r w:rsidRPr="0078320A">
        <w:t>:</w:t>
      </w:r>
    </w:p>
    <w:p w14:paraId="40A0D606" w14:textId="72462AD0" w:rsidR="00130392" w:rsidRPr="0078320A" w:rsidRDefault="00987AD1" w:rsidP="009349D2">
      <w:r w:rsidRPr="001E7D67">
        <w:rPr>
          <w:noProof/>
          <w:position w:val="-24"/>
        </w:rPr>
        <w:drawing>
          <wp:inline distT="0" distB="0" distL="0" distR="0" wp14:anchorId="651648FA" wp14:editId="32A30110">
            <wp:extent cx="444500" cy="393700"/>
            <wp:effectExtent l="0" t="0" r="0" b="0"/>
            <wp:docPr id="119"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44500" cy="393700"/>
                    </a:xfrm>
                    <a:prstGeom prst="rect">
                      <a:avLst/>
                    </a:prstGeom>
                    <a:noFill/>
                    <a:ln>
                      <a:noFill/>
                    </a:ln>
                  </pic:spPr>
                </pic:pic>
              </a:graphicData>
            </a:graphic>
          </wp:inline>
        </w:drawing>
      </w:r>
      <w:r w:rsidR="00130392" w:rsidRPr="0078320A">
        <w:t xml:space="preserve"> </w:t>
      </w:r>
      <w:r w:rsidR="00130392" w:rsidRPr="0078320A">
        <w:rPr>
          <w:rFonts w:eastAsia="SimSun"/>
          <w:lang w:eastAsia="zh-CN"/>
        </w:rPr>
        <w:t xml:space="preserve"> </w:t>
      </w:r>
      <w:r w:rsidR="00A235C7">
        <w:rPr>
          <w:rFonts w:eastAsia="SimSun"/>
          <w:lang w:eastAsia="zh-CN"/>
        </w:rPr>
        <w:t>,</w:t>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r>
      <w:r w:rsidR="00A235C7">
        <w:rPr>
          <w:rFonts w:eastAsia="SimSun"/>
          <w:lang w:eastAsia="zh-CN"/>
        </w:rPr>
        <w:tab/>
        <w:t xml:space="preserve">   (A-2)</w:t>
      </w:r>
      <w:r w:rsidR="00130392" w:rsidRPr="0078320A">
        <w:rPr>
          <w:rFonts w:eastAsia="SimSun"/>
          <w:lang w:eastAsia="zh-CN"/>
        </w:rPr>
        <w:t xml:space="preserve">                   </w:t>
      </w:r>
      <w:r w:rsidR="00A235C7">
        <w:t>w</w:t>
      </w:r>
      <w:r w:rsidR="00130392" w:rsidRPr="0078320A">
        <w:t xml:space="preserve">here σ’ is the stress </w:t>
      </w:r>
      <w:r w:rsidR="00A235C7">
        <w:t>measured in</w:t>
      </w:r>
      <w:r w:rsidR="00130392" w:rsidRPr="0078320A">
        <w:t xml:space="preserve"> Pascal</w:t>
      </w:r>
      <w:r w:rsidR="00A235C7">
        <w:t xml:space="preserve">. </w:t>
      </w:r>
      <w:r w:rsidR="00130392" w:rsidRPr="0078320A">
        <w:t>F is</w:t>
      </w:r>
      <w:r w:rsidR="00A235C7">
        <w:t xml:space="preserve"> the</w:t>
      </w:r>
      <w:r w:rsidR="00130392" w:rsidRPr="0078320A">
        <w:t xml:space="preserve"> force </w:t>
      </w:r>
      <w:r w:rsidR="00A235C7">
        <w:t xml:space="preserve">measured in Newton, and </w:t>
      </w:r>
      <w:r w:rsidR="00130392" w:rsidRPr="0078320A">
        <w:t>A is the area</w:t>
      </w:r>
      <w:r w:rsidR="00A235C7">
        <w:t xml:space="preserve"> in </w:t>
      </w:r>
      <w:r w:rsidR="00130392" w:rsidRPr="0078320A">
        <w:t>m</w:t>
      </w:r>
      <w:r w:rsidR="00130392" w:rsidRPr="0078320A">
        <w:rPr>
          <w:vertAlign w:val="superscript"/>
        </w:rPr>
        <w:t>2</w:t>
      </w:r>
      <w:r w:rsidR="00130392" w:rsidRPr="0078320A">
        <w:t>.</w:t>
      </w:r>
    </w:p>
    <w:p w14:paraId="753F8A4E" w14:textId="7933C9A7" w:rsidR="00130392" w:rsidRPr="001E7D67" w:rsidRDefault="00130392" w:rsidP="009349D2">
      <w:pPr>
        <w:rPr>
          <w:b/>
          <w:color w:val="000000"/>
          <w:u w:val="single"/>
        </w:rPr>
      </w:pPr>
      <w:r w:rsidRPr="001E7D67">
        <w:rPr>
          <w:b/>
          <w:color w:val="000000"/>
          <w:u w:val="single"/>
        </w:rPr>
        <w:t>Because rocks react to stresses and not to forces</w:t>
      </w:r>
      <w:r w:rsidR="00343C6E" w:rsidRPr="001E7D67">
        <w:rPr>
          <w:b/>
          <w:color w:val="000000"/>
          <w:u w:val="single"/>
        </w:rPr>
        <w:t>,</w:t>
      </w:r>
      <w:r w:rsidRPr="001E7D67">
        <w:rPr>
          <w:b/>
          <w:color w:val="000000"/>
          <w:u w:val="single"/>
        </w:rPr>
        <w:t xml:space="preserve"> the rock mechanics theory uses only stresses. </w:t>
      </w:r>
    </w:p>
    <w:p w14:paraId="21A9C248" w14:textId="5C58C533" w:rsidR="00130392" w:rsidRPr="00155E67" w:rsidRDefault="00130392" w:rsidP="009349D2">
      <w:pPr>
        <w:rPr>
          <w:b/>
        </w:rPr>
      </w:pPr>
      <w:bookmarkStart w:id="463" w:name="_Toc213471280"/>
      <w:bookmarkStart w:id="464" w:name="_Toc22366113"/>
      <w:r w:rsidRPr="00155E67">
        <w:rPr>
          <w:b/>
        </w:rPr>
        <w:t xml:space="preserve">Displacement and </w:t>
      </w:r>
      <w:r w:rsidR="00155E67" w:rsidRPr="00155E67">
        <w:rPr>
          <w:b/>
        </w:rPr>
        <w:t>s</w:t>
      </w:r>
      <w:r w:rsidRPr="00155E67">
        <w:rPr>
          <w:b/>
        </w:rPr>
        <w:t>train</w:t>
      </w:r>
      <w:bookmarkEnd w:id="463"/>
      <w:bookmarkEnd w:id="464"/>
      <w:r w:rsidRPr="00155E67">
        <w:rPr>
          <w:b/>
        </w:rPr>
        <w:t xml:space="preserve"> </w:t>
      </w:r>
      <w:bookmarkEnd w:id="461"/>
      <w:bookmarkEnd w:id="462"/>
    </w:p>
    <w:p w14:paraId="71E6BAB1" w14:textId="77777777" w:rsidR="00130392" w:rsidRPr="0078320A" w:rsidRDefault="00130392" w:rsidP="009349D2">
      <w:r w:rsidRPr="0078320A">
        <w:t xml:space="preserve">Displacement, </w:t>
      </w:r>
      <w:r w:rsidRPr="00A235C7">
        <w:rPr>
          <w:i/>
        </w:rPr>
        <w:t>ΔL</w:t>
      </w:r>
      <w:r w:rsidRPr="0078320A">
        <w:t>, is the change in length:</w:t>
      </w:r>
    </w:p>
    <w:p w14:paraId="3B950014" w14:textId="458A0D6C" w:rsidR="00130392" w:rsidRPr="00A235C7" w:rsidRDefault="00130392" w:rsidP="009349D2">
      <w:r w:rsidRPr="0078320A">
        <w:t>ΔL= L</w:t>
      </w:r>
      <w:r w:rsidRPr="0078320A">
        <w:rPr>
          <w:vertAlign w:val="subscript"/>
        </w:rPr>
        <w:t xml:space="preserve">2 </w:t>
      </w:r>
      <w:r w:rsidRPr="0078320A">
        <w:t>- L</w:t>
      </w:r>
      <w:r w:rsidRPr="0078320A">
        <w:rPr>
          <w:vertAlign w:val="subscript"/>
        </w:rPr>
        <w:t>1</w:t>
      </w:r>
      <w:r w:rsidR="00A235C7" w:rsidRPr="00A235C7">
        <w:t>,</w:t>
      </w:r>
      <w:r w:rsidR="00A235C7">
        <w:rPr>
          <w:vertAlign w:val="subscript"/>
        </w:rPr>
        <w:t xml:space="preserve"> </w:t>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r>
      <w:r w:rsidR="00A235C7">
        <w:rPr>
          <w:vertAlign w:val="subscript"/>
        </w:rPr>
        <w:tab/>
        <w:t xml:space="preserve">    </w:t>
      </w:r>
      <w:r w:rsidR="00A235C7" w:rsidRPr="0078320A">
        <w:t>(</w:t>
      </w:r>
      <w:r w:rsidR="00A235C7">
        <w:t>A-</w:t>
      </w:r>
      <w:r w:rsidR="00A235C7" w:rsidRPr="0078320A">
        <w:t>3)</w:t>
      </w:r>
    </w:p>
    <w:p w14:paraId="336D357D" w14:textId="38DF3F6E" w:rsidR="00155E67" w:rsidRDefault="00A235C7" w:rsidP="009349D2">
      <w:r w:rsidRPr="00A235C7">
        <w:t xml:space="preserve">where </w:t>
      </w:r>
      <w:r w:rsidR="00130392" w:rsidRPr="0078320A">
        <w:t>L</w:t>
      </w:r>
      <w:r w:rsidR="00130392" w:rsidRPr="0078320A">
        <w:rPr>
          <w:vertAlign w:val="subscript"/>
        </w:rPr>
        <w:t>1</w:t>
      </w:r>
      <w:r w:rsidR="00130392" w:rsidRPr="0078320A">
        <w:t xml:space="preserve"> and L</w:t>
      </w:r>
      <w:r w:rsidR="00130392" w:rsidRPr="0078320A">
        <w:rPr>
          <w:vertAlign w:val="subscript"/>
        </w:rPr>
        <w:t xml:space="preserve">2 </w:t>
      </w:r>
      <w:r w:rsidR="00130392" w:rsidRPr="0078320A">
        <w:t xml:space="preserve">are the original and displaced lengths respectfully. </w:t>
      </w:r>
    </w:p>
    <w:p w14:paraId="7A41C4B9" w14:textId="77777777" w:rsidR="001B654C" w:rsidRDefault="00130392" w:rsidP="009349D2">
      <w:r w:rsidRPr="0078320A">
        <w:t xml:space="preserve">Strain, </w:t>
      </w:r>
      <w:r w:rsidRPr="001B654C">
        <w:rPr>
          <w:i/>
        </w:rPr>
        <w:t>ε</w:t>
      </w:r>
      <w:r w:rsidRPr="0078320A">
        <w:t>, is the displacement divided by the original length:</w:t>
      </w:r>
    </w:p>
    <w:p w14:paraId="74A6C5E8" w14:textId="58D0924E" w:rsidR="00130392" w:rsidRDefault="00130392" w:rsidP="009349D2">
      <w:r w:rsidRPr="0078320A">
        <w:t>ε= ΔL/L</w:t>
      </w:r>
      <w:r w:rsidRPr="0078320A">
        <w:rPr>
          <w:vertAlign w:val="subscript"/>
        </w:rPr>
        <w:t>1</w:t>
      </w:r>
      <w:r w:rsidR="001B654C">
        <w:t xml:space="preserve">, </w:t>
      </w:r>
      <w:r w:rsidR="001B654C">
        <w:tab/>
      </w:r>
      <w:r w:rsidR="001B654C">
        <w:tab/>
      </w:r>
      <w:r w:rsidR="001B654C">
        <w:tab/>
      </w:r>
      <w:r w:rsidR="001B654C">
        <w:tab/>
      </w:r>
      <w:r w:rsidR="001B654C">
        <w:tab/>
      </w:r>
      <w:r w:rsidR="001B654C">
        <w:tab/>
      </w:r>
      <w:r w:rsidR="001B654C">
        <w:tab/>
      </w:r>
      <w:r w:rsidR="001B654C">
        <w:tab/>
      </w:r>
      <w:r w:rsidR="001B654C">
        <w:tab/>
      </w:r>
      <w:r w:rsidR="001B654C">
        <w:tab/>
      </w:r>
      <w:r w:rsidR="001B654C">
        <w:tab/>
        <w:t xml:space="preserve">   (A-4)</w:t>
      </w:r>
    </w:p>
    <w:p w14:paraId="3D0344ED" w14:textId="22527F53" w:rsidR="00130392" w:rsidRPr="00E06E68" w:rsidRDefault="00130392" w:rsidP="009349D2">
      <w:pPr>
        <w:rPr>
          <w:b/>
          <w:bCs/>
        </w:rPr>
      </w:pPr>
      <w:bookmarkStart w:id="465" w:name="_Toc22366114"/>
      <w:r w:rsidRPr="00E06E68">
        <w:rPr>
          <w:b/>
          <w:bCs/>
        </w:rPr>
        <w:lastRenderedPageBreak/>
        <w:t>Poro-elastic properties</w:t>
      </w:r>
      <w:bookmarkEnd w:id="465"/>
    </w:p>
    <w:p w14:paraId="22B0B0CB" w14:textId="0071AD44" w:rsidR="00130392" w:rsidRPr="0078320A" w:rsidRDefault="00130392" w:rsidP="00662698">
      <w:pPr>
        <w:ind w:firstLine="720"/>
        <w:rPr>
          <w:lang w:val="en"/>
        </w:rPr>
      </w:pPr>
      <w:r w:rsidRPr="0078320A">
        <w:rPr>
          <w:b/>
          <w:bCs/>
          <w:lang w:val="en"/>
        </w:rPr>
        <w:t>Poisson's ratio</w:t>
      </w:r>
      <w:r w:rsidRPr="0078320A">
        <w:rPr>
          <w:lang w:val="en"/>
        </w:rPr>
        <w:t xml:space="preserve"> (</w:t>
      </w:r>
      <w:r w:rsidR="00987AD1" w:rsidRPr="001E7D67">
        <w:rPr>
          <w:b/>
          <w:i/>
          <w:noProof/>
        </w:rPr>
        <w:drawing>
          <wp:inline distT="0" distB="0" distL="0" distR="0" wp14:anchorId="1CED22F1" wp14:editId="2D8DE332">
            <wp:extent cx="101600" cy="88900"/>
            <wp:effectExtent l="0" t="0" r="0" b="0"/>
            <wp:docPr id="118" name="Picture 2093" descr="\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descr="\nu"/>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Pr="0078320A">
        <w:rPr>
          <w:lang w:val="en"/>
        </w:rPr>
        <w:t xml:space="preserve">), named after </w:t>
      </w:r>
      <w:r w:rsidRPr="001B654C">
        <w:rPr>
          <w:b/>
          <w:lang w:val="en"/>
        </w:rPr>
        <w:t>Siméon Poisson</w:t>
      </w:r>
      <w:r w:rsidR="001B654C" w:rsidRPr="001B654C">
        <w:rPr>
          <w:lang w:val="en"/>
        </w:rPr>
        <w:t>,</w:t>
      </w:r>
      <w:r w:rsidRPr="0078320A">
        <w:rPr>
          <w:lang w:val="en"/>
        </w:rPr>
        <w:t xml:space="preserve"> is the ratio when a sample object is stretched of the contraction or transverse strain (perpendicular to the applied load), to the extension or axial strain (in the direction of the applied load). When a material is compressed in one direction, it usually tends to expand in the other two directions perpendicular to the direction of compression</w:t>
      </w:r>
      <w:r w:rsidR="0016310C">
        <w:rPr>
          <w:lang w:val="en"/>
        </w:rPr>
        <w:t xml:space="preserve"> </w:t>
      </w:r>
      <w:r w:rsidR="0016310C">
        <w:rPr>
          <w:rFonts w:eastAsia="MS Mincho"/>
          <w:lang w:val="en" w:eastAsia="ja-JP"/>
        </w:rPr>
        <w:t>(Kumar and Gassemi, 2018)</w:t>
      </w:r>
      <w:r w:rsidRPr="0078320A">
        <w:rPr>
          <w:lang w:val="en"/>
        </w:rPr>
        <w:t xml:space="preserve">. This phenomenon is called the </w:t>
      </w:r>
      <w:r w:rsidRPr="0078320A">
        <w:rPr>
          <w:b/>
          <w:bCs/>
          <w:lang w:val="en"/>
        </w:rPr>
        <w:t>Poisson effect</w:t>
      </w:r>
      <w:r w:rsidRPr="0078320A">
        <w:rPr>
          <w:lang w:val="en"/>
        </w:rPr>
        <w:t xml:space="preserve">. Poisson's ratio </w:t>
      </w:r>
      <w:r w:rsidR="00987AD1" w:rsidRPr="001E7D67">
        <w:rPr>
          <w:i/>
          <w:noProof/>
        </w:rPr>
        <w:drawing>
          <wp:inline distT="0" distB="0" distL="0" distR="0" wp14:anchorId="4B59672B" wp14:editId="690B6394">
            <wp:extent cx="101600" cy="88900"/>
            <wp:effectExtent l="0" t="0" r="0" b="0"/>
            <wp:docPr id="117" name="Picture 2094" descr="\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descr="\nu"/>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1600" cy="88900"/>
                    </a:xfrm>
                    <a:prstGeom prst="rect">
                      <a:avLst/>
                    </a:prstGeom>
                    <a:noFill/>
                    <a:ln>
                      <a:noFill/>
                    </a:ln>
                  </pic:spPr>
                </pic:pic>
              </a:graphicData>
            </a:graphic>
          </wp:inline>
        </w:drawing>
      </w:r>
      <w:r w:rsidR="001B654C">
        <w:rPr>
          <w:lang w:val="en"/>
        </w:rPr>
        <w:t xml:space="preserve"> </w:t>
      </w:r>
      <w:r w:rsidRPr="0078320A">
        <w:rPr>
          <w:lang w:val="en"/>
        </w:rPr>
        <w:t>(“nu”) is a measure of the Poisson effect. The Poisson ratio is the ratio of the fraction (or percent) of expansion divided by the fraction (or percent) of compression for small values of these changes</w:t>
      </w:r>
      <w:r w:rsidR="0016310C">
        <w:rPr>
          <w:lang w:val="en"/>
        </w:rPr>
        <w:t xml:space="preserve"> </w:t>
      </w:r>
      <w:r w:rsidR="0016310C">
        <w:rPr>
          <w:rFonts w:eastAsia="MS Mincho"/>
          <w:lang w:val="en" w:eastAsia="ja-JP"/>
        </w:rPr>
        <w:t>(Kumar and Gassemi, 2018)</w:t>
      </w:r>
      <w:r w:rsidRPr="0078320A">
        <w:rPr>
          <w:lang w:val="en"/>
        </w:rPr>
        <w:t>.</w:t>
      </w:r>
    </w:p>
    <w:p w14:paraId="69C271B1" w14:textId="3419A935" w:rsidR="00130392" w:rsidRDefault="00130392" w:rsidP="00662698">
      <w:pPr>
        <w:ind w:firstLine="720"/>
        <w:rPr>
          <w:rFonts w:eastAsia="MS Mincho"/>
          <w:lang w:val="en" w:eastAsia="ja-JP"/>
        </w:rPr>
      </w:pPr>
      <w:r w:rsidRPr="0078320A">
        <w:rPr>
          <w:rFonts w:eastAsia="MS Mincho"/>
          <w:b/>
          <w:lang w:val="en" w:eastAsia="ja-JP"/>
        </w:rPr>
        <w:t>Young's modulus</w:t>
      </w:r>
      <w:r w:rsidRPr="0078320A">
        <w:rPr>
          <w:rFonts w:eastAsia="MS Mincho"/>
          <w:lang w:val="en" w:eastAsia="ja-JP"/>
        </w:rPr>
        <w:t xml:space="preserve">, also known as the </w:t>
      </w:r>
      <w:r w:rsidRPr="0078320A">
        <w:rPr>
          <w:rFonts w:eastAsia="MS Mincho"/>
          <w:u w:val="single"/>
          <w:lang w:val="en" w:eastAsia="ja-JP"/>
        </w:rPr>
        <w:t>tensile modulus</w:t>
      </w:r>
      <w:r w:rsidRPr="0078320A">
        <w:rPr>
          <w:rFonts w:eastAsia="MS Mincho"/>
          <w:lang w:val="en" w:eastAsia="ja-JP"/>
        </w:rPr>
        <w:t xml:space="preserve">, is a measure of the </w:t>
      </w:r>
      <w:hyperlink r:id="rId165" w:tooltip="Stiffness" w:history="1">
        <w:r w:rsidRPr="0078320A">
          <w:rPr>
            <w:rFonts w:eastAsia="MS Mincho"/>
            <w:lang w:eastAsia="ja-JP"/>
          </w:rPr>
          <w:t>stiffness</w:t>
        </w:r>
      </w:hyperlink>
      <w:r w:rsidRPr="0078320A">
        <w:rPr>
          <w:rFonts w:eastAsia="MS Mincho"/>
          <w:lang w:val="en" w:eastAsia="ja-JP"/>
        </w:rPr>
        <w:t xml:space="preserve"> of an </w:t>
      </w:r>
      <w:hyperlink r:id="rId166" w:tooltip="Elasticity (physics)" w:history="1">
        <w:r w:rsidRPr="0078320A">
          <w:rPr>
            <w:rFonts w:eastAsia="MS Mincho"/>
            <w:lang w:eastAsia="ja-JP"/>
          </w:rPr>
          <w:t>elastic</w:t>
        </w:r>
      </w:hyperlink>
      <w:r w:rsidRPr="0078320A">
        <w:rPr>
          <w:rFonts w:eastAsia="MS Mincho"/>
          <w:lang w:val="en" w:eastAsia="ja-JP"/>
        </w:rPr>
        <w:t xml:space="preserve"> material and is a quantity used to characterize materials</w:t>
      </w:r>
      <w:r w:rsidR="00CE6A36">
        <w:rPr>
          <w:rFonts w:eastAsia="MS Mincho"/>
          <w:lang w:val="en" w:eastAsia="ja-JP"/>
        </w:rPr>
        <w:t xml:space="preserve"> (</w:t>
      </w:r>
      <w:r w:rsidR="00CE6A36" w:rsidRPr="0078320A">
        <w:t>Schlumberger Oilfield Glossary, 2019</w:t>
      </w:r>
      <w:r w:rsidR="00CE6A36">
        <w:t>)</w:t>
      </w:r>
      <w:r w:rsidRPr="0078320A">
        <w:rPr>
          <w:rFonts w:eastAsia="MS Mincho"/>
          <w:lang w:val="en" w:eastAsia="ja-JP"/>
        </w:rPr>
        <w:t xml:space="preserve">. It is defined as the ratio of the uniaxial </w:t>
      </w:r>
      <w:hyperlink r:id="rId167" w:tooltip="Stress (physics)" w:history="1">
        <w:r w:rsidRPr="0078320A">
          <w:rPr>
            <w:rFonts w:eastAsia="MS Mincho"/>
            <w:lang w:eastAsia="ja-JP"/>
          </w:rPr>
          <w:t>stress</w:t>
        </w:r>
      </w:hyperlink>
      <w:r w:rsidRPr="0078320A">
        <w:rPr>
          <w:rFonts w:eastAsia="MS Mincho"/>
          <w:lang w:val="en" w:eastAsia="ja-JP"/>
        </w:rPr>
        <w:t xml:space="preserve"> over the uniaxial </w:t>
      </w:r>
      <w:hyperlink r:id="rId168" w:tooltip="Strain (materials science)" w:history="1">
        <w:r w:rsidRPr="0078320A">
          <w:rPr>
            <w:rFonts w:eastAsia="MS Mincho"/>
            <w:lang w:eastAsia="ja-JP"/>
          </w:rPr>
          <w:t>strain</w:t>
        </w:r>
      </w:hyperlink>
      <w:r w:rsidRPr="0078320A">
        <w:rPr>
          <w:rFonts w:eastAsia="MS Mincho"/>
          <w:lang w:val="en" w:eastAsia="ja-JP"/>
        </w:rPr>
        <w:t xml:space="preserve"> in the range of stress in which </w:t>
      </w:r>
      <w:hyperlink r:id="rId169" w:tooltip="Hooke's Law" w:history="1">
        <w:r w:rsidRPr="001B654C">
          <w:rPr>
            <w:rFonts w:eastAsia="MS Mincho"/>
            <w:b/>
            <w:lang w:eastAsia="ja-JP"/>
          </w:rPr>
          <w:t>Hooke's Law</w:t>
        </w:r>
      </w:hyperlink>
      <w:r w:rsidRPr="0078320A">
        <w:rPr>
          <w:rFonts w:eastAsia="MS Mincho"/>
          <w:lang w:val="en" w:eastAsia="ja-JP"/>
        </w:rPr>
        <w:t xml:space="preserve"> holds.</w:t>
      </w:r>
      <w:r w:rsidR="001B654C">
        <w:rPr>
          <w:rFonts w:eastAsia="MS Mincho"/>
          <w:lang w:val="en" w:eastAsia="ja-JP"/>
        </w:rPr>
        <w:t xml:space="preserve"> </w:t>
      </w:r>
      <w:r w:rsidRPr="0078320A">
        <w:rPr>
          <w:rFonts w:eastAsia="MS Mincho"/>
          <w:lang w:val="en" w:eastAsia="ja-JP"/>
        </w:rPr>
        <w:t xml:space="preserve">In </w:t>
      </w:r>
      <w:hyperlink r:id="rId170" w:tooltip="Solid mechanics" w:history="1">
        <w:r w:rsidRPr="0078320A">
          <w:rPr>
            <w:rFonts w:eastAsia="MS Mincho"/>
            <w:lang w:eastAsia="ja-JP"/>
          </w:rPr>
          <w:t>solid mechanics</w:t>
        </w:r>
      </w:hyperlink>
      <w:r w:rsidRPr="0078320A">
        <w:rPr>
          <w:rFonts w:eastAsia="MS Mincho"/>
          <w:lang w:val="en" w:eastAsia="ja-JP"/>
        </w:rPr>
        <w:t xml:space="preserve">, the slope of the </w:t>
      </w:r>
      <w:hyperlink r:id="rId171" w:tooltip="Stress-strain curve" w:history="1">
        <w:r w:rsidRPr="0078320A">
          <w:rPr>
            <w:rFonts w:eastAsia="MS Mincho"/>
            <w:lang w:eastAsia="ja-JP"/>
          </w:rPr>
          <w:t>stress-strain curve</w:t>
        </w:r>
      </w:hyperlink>
      <w:r w:rsidRPr="0078320A">
        <w:rPr>
          <w:rFonts w:eastAsia="MS Mincho"/>
          <w:lang w:val="en" w:eastAsia="ja-JP"/>
        </w:rPr>
        <w:t xml:space="preserve"> at any point is called the </w:t>
      </w:r>
      <w:hyperlink r:id="rId172" w:tooltip="Tangent modulus" w:history="1">
        <w:r w:rsidRPr="0078320A">
          <w:rPr>
            <w:rFonts w:eastAsia="MS Mincho"/>
            <w:lang w:eastAsia="ja-JP"/>
          </w:rPr>
          <w:t>tangent modulus</w:t>
        </w:r>
      </w:hyperlink>
      <w:r w:rsidRPr="0078320A">
        <w:rPr>
          <w:rFonts w:eastAsia="MS Mincho"/>
          <w:lang w:val="en" w:eastAsia="ja-JP"/>
        </w:rPr>
        <w:t xml:space="preserve">. The tangent modulus of the initial, linear </w:t>
      </w:r>
      <w:r w:rsidR="001B654C">
        <w:rPr>
          <w:rFonts w:eastAsia="MS Mincho"/>
          <w:lang w:val="en" w:eastAsia="ja-JP"/>
        </w:rPr>
        <w:t xml:space="preserve">Young’s modulus </w:t>
      </w:r>
      <w:r w:rsidRPr="0078320A">
        <w:rPr>
          <w:rFonts w:eastAsia="MS Mincho"/>
          <w:lang w:val="en" w:eastAsia="ja-JP"/>
        </w:rPr>
        <w:t xml:space="preserve">portion of a stress-strain curve is called Young's modulus. It can be experimentally determined from the </w:t>
      </w:r>
      <w:hyperlink r:id="rId173" w:tooltip="Slope" w:history="1">
        <w:r w:rsidRPr="0078320A">
          <w:rPr>
            <w:rFonts w:eastAsia="MS Mincho"/>
            <w:lang w:eastAsia="ja-JP"/>
          </w:rPr>
          <w:t>slope</w:t>
        </w:r>
      </w:hyperlink>
      <w:r w:rsidRPr="0078320A">
        <w:rPr>
          <w:rFonts w:eastAsia="MS Mincho"/>
          <w:lang w:val="en" w:eastAsia="ja-JP"/>
        </w:rPr>
        <w:t xml:space="preserve"> of a </w:t>
      </w:r>
      <w:hyperlink r:id="rId174" w:tooltip="Stress-strain curve" w:history="1">
        <w:r w:rsidRPr="0078320A">
          <w:rPr>
            <w:rFonts w:eastAsia="MS Mincho"/>
            <w:lang w:eastAsia="ja-JP"/>
          </w:rPr>
          <w:t>stress-strain curve</w:t>
        </w:r>
      </w:hyperlink>
      <w:r w:rsidRPr="0078320A">
        <w:rPr>
          <w:rFonts w:eastAsia="MS Mincho"/>
          <w:lang w:val="en" w:eastAsia="ja-JP"/>
        </w:rPr>
        <w:t xml:space="preserve"> created during </w:t>
      </w:r>
      <w:hyperlink r:id="rId175" w:tooltip="Tensile test" w:history="1">
        <w:r w:rsidRPr="0078320A">
          <w:rPr>
            <w:rFonts w:eastAsia="MS Mincho"/>
            <w:lang w:eastAsia="ja-JP"/>
          </w:rPr>
          <w:t>tensile tests</w:t>
        </w:r>
      </w:hyperlink>
      <w:r w:rsidRPr="0078320A">
        <w:rPr>
          <w:rFonts w:eastAsia="MS Mincho"/>
          <w:lang w:val="en" w:eastAsia="ja-JP"/>
        </w:rPr>
        <w:t xml:space="preserve"> conducted on a sample of the material</w:t>
      </w:r>
      <w:r w:rsidR="0016310C">
        <w:rPr>
          <w:rFonts w:eastAsia="MS Mincho"/>
          <w:lang w:val="en" w:eastAsia="ja-JP"/>
        </w:rPr>
        <w:t xml:space="preserve"> (Kumar and Gassemi, 2018)</w:t>
      </w:r>
      <w:r w:rsidRPr="0078320A">
        <w:rPr>
          <w:rFonts w:eastAsia="MS Mincho"/>
          <w:lang w:val="en" w:eastAsia="ja-JP"/>
        </w:rPr>
        <w:t xml:space="preserve">. In </w:t>
      </w:r>
      <w:hyperlink r:id="rId176" w:tooltip="Anisotropic" w:history="1">
        <w:r w:rsidRPr="0078320A">
          <w:rPr>
            <w:rFonts w:eastAsia="MS Mincho"/>
            <w:lang w:eastAsia="ja-JP"/>
          </w:rPr>
          <w:t>anisotropic</w:t>
        </w:r>
      </w:hyperlink>
      <w:r w:rsidRPr="0078320A">
        <w:rPr>
          <w:rFonts w:eastAsia="MS Mincho"/>
          <w:lang w:val="en" w:eastAsia="ja-JP"/>
        </w:rPr>
        <w:t xml:space="preserve"> materials, Young's modulus may have different values depending on the direction of the applied force to the material's structure</w:t>
      </w:r>
      <w:r w:rsidR="0016310C">
        <w:rPr>
          <w:rFonts w:eastAsia="MS Mincho"/>
          <w:lang w:val="en" w:eastAsia="ja-JP"/>
        </w:rPr>
        <w:t xml:space="preserve"> (Kumar and Gassemi, 2018)</w:t>
      </w:r>
      <w:r w:rsidRPr="0078320A">
        <w:rPr>
          <w:rFonts w:eastAsia="MS Mincho"/>
          <w:lang w:val="en" w:eastAsia="ja-JP"/>
        </w:rPr>
        <w:t xml:space="preserve">. It is also commonly called the </w:t>
      </w:r>
      <w:hyperlink r:id="rId177" w:tooltip="Elastic modulus" w:history="1">
        <w:r w:rsidRPr="0078320A">
          <w:rPr>
            <w:rFonts w:eastAsia="MS Mincho"/>
            <w:lang w:eastAsia="ja-JP"/>
          </w:rPr>
          <w:t>elastic modulus</w:t>
        </w:r>
      </w:hyperlink>
      <w:r w:rsidRPr="0078320A">
        <w:rPr>
          <w:rFonts w:eastAsia="MS Mincho"/>
          <w:lang w:val="en" w:eastAsia="ja-JP"/>
        </w:rPr>
        <w:t xml:space="preserve"> or modulus of elasticity because Young's modulus is the most common elastic modulus used, but there are other elastic moduli measured, too, such as the </w:t>
      </w:r>
      <w:hyperlink r:id="rId178" w:tooltip="Bulk modulus" w:history="1">
        <w:r w:rsidRPr="0078320A">
          <w:rPr>
            <w:rFonts w:eastAsia="MS Mincho"/>
            <w:lang w:eastAsia="ja-JP"/>
          </w:rPr>
          <w:t>bulk modulus</w:t>
        </w:r>
      </w:hyperlink>
      <w:r w:rsidRPr="0078320A">
        <w:rPr>
          <w:rFonts w:eastAsia="MS Mincho"/>
          <w:lang w:val="en" w:eastAsia="ja-JP"/>
        </w:rPr>
        <w:t xml:space="preserve"> and the </w:t>
      </w:r>
      <w:hyperlink r:id="rId179" w:tooltip="Shear modulus" w:history="1">
        <w:r w:rsidRPr="0078320A">
          <w:rPr>
            <w:rFonts w:eastAsia="MS Mincho"/>
            <w:lang w:eastAsia="ja-JP"/>
          </w:rPr>
          <w:t>shear modulus</w:t>
        </w:r>
      </w:hyperlink>
      <w:r w:rsidRPr="0078320A">
        <w:rPr>
          <w:rFonts w:eastAsia="MS Mincho"/>
          <w:lang w:val="en" w:eastAsia="ja-JP"/>
        </w:rPr>
        <w:t xml:space="preserve">. Young's modulus is named after </w:t>
      </w:r>
      <w:hyperlink r:id="rId180" w:tooltip="Thomas Young (scientist)" w:history="1">
        <w:r w:rsidRPr="001B654C">
          <w:rPr>
            <w:rFonts w:eastAsia="MS Mincho"/>
            <w:b/>
            <w:lang w:eastAsia="ja-JP"/>
          </w:rPr>
          <w:t>Thomas Young</w:t>
        </w:r>
      </w:hyperlink>
      <w:r w:rsidRPr="0078320A">
        <w:rPr>
          <w:rFonts w:eastAsia="MS Mincho"/>
          <w:lang w:val="en" w:eastAsia="ja-JP"/>
        </w:rPr>
        <w:t>, a 19th</w:t>
      </w:r>
      <w:r w:rsidR="00343C6E" w:rsidRPr="0078320A">
        <w:rPr>
          <w:rFonts w:eastAsia="MS Mincho"/>
          <w:lang w:val="en" w:eastAsia="ja-JP"/>
        </w:rPr>
        <w:t>-</w:t>
      </w:r>
      <w:r w:rsidRPr="0078320A">
        <w:rPr>
          <w:rFonts w:eastAsia="MS Mincho"/>
          <w:lang w:val="en" w:eastAsia="ja-JP"/>
        </w:rPr>
        <w:t>century British scientist.</w:t>
      </w:r>
    </w:p>
    <w:p w14:paraId="5FA57015" w14:textId="4F99ED2C" w:rsidR="00662698" w:rsidRDefault="00662698" w:rsidP="00662698">
      <w:pPr>
        <w:ind w:firstLine="720"/>
        <w:rPr>
          <w:rFonts w:eastAsia="MS Mincho"/>
          <w:lang w:val="en" w:eastAsia="ja-JP"/>
        </w:rPr>
      </w:pPr>
    </w:p>
    <w:p w14:paraId="1F2D404E" w14:textId="17493844" w:rsidR="00130392" w:rsidRPr="0078320A" w:rsidRDefault="00130392" w:rsidP="00662698">
      <w:pPr>
        <w:ind w:firstLine="720"/>
        <w:rPr>
          <w:rFonts w:eastAsia="MS Mincho"/>
          <w:lang w:val="en" w:eastAsia="ja-JP"/>
        </w:rPr>
      </w:pPr>
      <w:r w:rsidRPr="0078320A">
        <w:rPr>
          <w:b/>
          <w:lang w:val="en"/>
        </w:rPr>
        <w:lastRenderedPageBreak/>
        <w:t xml:space="preserve">Bulk modulus </w:t>
      </w:r>
      <w:r w:rsidRPr="001B654C">
        <w:rPr>
          <w:b/>
          <w:i/>
          <w:lang w:val="en"/>
        </w:rPr>
        <w:t>K</w:t>
      </w:r>
      <w:r w:rsidRPr="0078320A">
        <w:rPr>
          <w:lang w:val="en"/>
        </w:rPr>
        <w:t xml:space="preserve"> of a substance measures the substance's resistance to uniform compression</w:t>
      </w:r>
      <w:r w:rsidR="001B654C">
        <w:rPr>
          <w:lang w:val="en"/>
        </w:rPr>
        <w:t xml:space="preserve"> and </w:t>
      </w:r>
      <w:r w:rsidR="00AA2F0D">
        <w:rPr>
          <w:lang w:val="en"/>
        </w:rPr>
        <w:t xml:space="preserve">according to </w:t>
      </w:r>
      <w:r w:rsidR="00AA2F0D">
        <w:rPr>
          <w:rFonts w:eastAsia="Times New Roman"/>
          <w:color w:val="000000"/>
        </w:rPr>
        <w:t>Mullen et al. (2007),</w:t>
      </w:r>
      <w:r w:rsidR="00AA2F0D" w:rsidRPr="0078320A">
        <w:rPr>
          <w:rFonts w:eastAsia="Times New Roman"/>
          <w:color w:val="000000"/>
        </w:rPr>
        <w:t xml:space="preserve"> Rickman et al. (2008)</w:t>
      </w:r>
      <w:r w:rsidR="00AA2F0D">
        <w:rPr>
          <w:rFonts w:eastAsia="Times New Roman"/>
          <w:color w:val="000000"/>
        </w:rPr>
        <w:t xml:space="preserve"> and</w:t>
      </w:r>
      <w:r w:rsidR="00AA2F0D" w:rsidRPr="0078320A">
        <w:rPr>
          <w:rFonts w:eastAsia="Times New Roman"/>
          <w:color w:val="000000"/>
        </w:rPr>
        <w:t xml:space="preserve"> Bar</w:t>
      </w:r>
      <w:r w:rsidR="00AA2F0D">
        <w:rPr>
          <w:rFonts w:eastAsia="Times New Roman"/>
          <w:color w:val="000000"/>
        </w:rPr>
        <w:t>r</w:t>
      </w:r>
      <w:r w:rsidR="00AA2F0D" w:rsidRPr="0078320A">
        <w:rPr>
          <w:rFonts w:eastAsia="Times New Roman"/>
          <w:color w:val="000000"/>
        </w:rPr>
        <w:t>ee</w:t>
      </w:r>
      <w:r w:rsidR="00AA2F0D">
        <w:rPr>
          <w:rFonts w:eastAsia="Times New Roman"/>
          <w:color w:val="000000"/>
        </w:rPr>
        <w:t xml:space="preserve"> and Gilbert</w:t>
      </w:r>
      <w:r w:rsidR="00AA2F0D" w:rsidRPr="0078320A">
        <w:rPr>
          <w:rFonts w:eastAsia="Times New Roman"/>
          <w:color w:val="000000"/>
        </w:rPr>
        <w:t xml:space="preserve"> (2009)</w:t>
      </w:r>
      <w:r w:rsidR="00AA2F0D">
        <w:rPr>
          <w:rFonts w:eastAsia="Times New Roman"/>
          <w:color w:val="000000"/>
        </w:rPr>
        <w:t xml:space="preserve"> is the</w:t>
      </w:r>
      <w:r w:rsidRPr="0078320A">
        <w:rPr>
          <w:lang w:val="en"/>
        </w:rPr>
        <w:t xml:space="preserve"> ratio of the </w:t>
      </w:r>
      <w:hyperlink r:id="rId181" w:tooltip="Infinitesimal" w:history="1">
        <w:r w:rsidRPr="0078320A">
          <w:t>infinitesimal</w:t>
        </w:r>
      </w:hyperlink>
      <w:r w:rsidRPr="0078320A">
        <w:rPr>
          <w:lang w:val="en"/>
        </w:rPr>
        <w:t xml:space="preserve"> </w:t>
      </w:r>
      <w:hyperlink r:id="rId182" w:tooltip="Pressure" w:history="1">
        <w:r w:rsidRPr="0078320A">
          <w:t>pressure</w:t>
        </w:r>
      </w:hyperlink>
      <w:r w:rsidRPr="0078320A">
        <w:rPr>
          <w:lang w:val="en"/>
        </w:rPr>
        <w:t xml:space="preserve"> increase to the resulting relative decrease of the </w:t>
      </w:r>
      <w:hyperlink r:id="rId183" w:tooltip="Volume" w:history="1">
        <w:r w:rsidRPr="0078320A">
          <w:t>volume</w:t>
        </w:r>
      </w:hyperlink>
      <w:r w:rsidRPr="0078320A">
        <w:rPr>
          <w:lang w:val="en"/>
        </w:rPr>
        <w:t xml:space="preserve">. </w:t>
      </w:r>
      <w:r w:rsidR="001B654C">
        <w:rPr>
          <w:lang w:val="en"/>
        </w:rPr>
        <w:t xml:space="preserve">The bulk modulus is measured in </w:t>
      </w:r>
      <w:r w:rsidR="00EA3F0B">
        <w:rPr>
          <w:lang w:val="en"/>
        </w:rPr>
        <w:t>Pascal</w:t>
      </w:r>
      <w:r w:rsidR="001B654C">
        <w:rPr>
          <w:lang w:val="en"/>
        </w:rPr>
        <w:t>, is always positive, and</w:t>
      </w:r>
      <w:r w:rsidRPr="0078320A">
        <w:rPr>
          <w:rFonts w:eastAsia="MS Mincho"/>
          <w:lang w:val="en" w:eastAsia="ja-JP"/>
        </w:rPr>
        <w:t xml:space="preserve"> </w:t>
      </w:r>
      <w:r w:rsidR="001B654C">
        <w:rPr>
          <w:rFonts w:eastAsia="MS Mincho"/>
          <w:lang w:val="en" w:eastAsia="ja-JP"/>
        </w:rPr>
        <w:t>is</w:t>
      </w:r>
      <w:r w:rsidRPr="0078320A">
        <w:rPr>
          <w:rFonts w:eastAsia="MS Mincho"/>
          <w:lang w:val="en" w:eastAsia="ja-JP"/>
        </w:rPr>
        <w:t xml:space="preserve"> defined by</w:t>
      </w:r>
      <w:r w:rsidR="001B654C">
        <w:rPr>
          <w:rFonts w:eastAsia="MS Mincho"/>
          <w:lang w:val="en" w:eastAsia="ja-JP"/>
        </w:rPr>
        <w:t>:</w:t>
      </w:r>
    </w:p>
    <w:p w14:paraId="36EB386E" w14:textId="28A8EC54" w:rsidR="00130392" w:rsidRPr="0078320A" w:rsidRDefault="00987AD1" w:rsidP="009349D2">
      <w:pPr>
        <w:rPr>
          <w:lang w:val="en"/>
        </w:rPr>
      </w:pPr>
      <w:r w:rsidRPr="001E7D67">
        <w:rPr>
          <w:noProof/>
        </w:rPr>
        <w:drawing>
          <wp:inline distT="0" distB="0" distL="0" distR="0" wp14:anchorId="22FD7E3C" wp14:editId="0CFEFC41">
            <wp:extent cx="990600" cy="406400"/>
            <wp:effectExtent l="0" t="0" r="0" b="0"/>
            <wp:docPr id="116" name="Picture 2095" descr="K=-V\frac{\mathrm d P}{\mathrm d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descr="K=-V\frac{\mathrm d P}{\mathrm d V}"/>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990600" cy="406400"/>
                    </a:xfrm>
                    <a:prstGeom prst="rect">
                      <a:avLst/>
                    </a:prstGeom>
                    <a:noFill/>
                    <a:ln>
                      <a:noFill/>
                    </a:ln>
                  </pic:spPr>
                </pic:pic>
              </a:graphicData>
            </a:graphic>
          </wp:inline>
        </w:drawing>
      </w:r>
      <w:r w:rsidR="001B654C">
        <w:rPr>
          <w:lang w:val="en"/>
        </w:rPr>
        <w:t xml:space="preserve"> , </w:t>
      </w:r>
      <w:r w:rsidR="001B654C">
        <w:rPr>
          <w:lang w:val="en"/>
        </w:rPr>
        <w:tab/>
      </w:r>
      <w:r w:rsidR="001B654C">
        <w:rPr>
          <w:lang w:val="en"/>
        </w:rPr>
        <w:tab/>
      </w:r>
      <w:r w:rsidR="001B654C">
        <w:rPr>
          <w:lang w:val="en"/>
        </w:rPr>
        <w:tab/>
      </w:r>
      <w:r w:rsidR="001B654C">
        <w:rPr>
          <w:lang w:val="en"/>
        </w:rPr>
        <w:tab/>
      </w:r>
      <w:r w:rsidR="001B654C">
        <w:rPr>
          <w:lang w:val="en"/>
        </w:rPr>
        <w:tab/>
      </w:r>
      <w:r w:rsidR="001B654C">
        <w:rPr>
          <w:lang w:val="en"/>
        </w:rPr>
        <w:tab/>
      </w:r>
      <w:r w:rsidR="001B654C">
        <w:rPr>
          <w:lang w:val="en"/>
        </w:rPr>
        <w:tab/>
      </w:r>
      <w:r w:rsidR="001B654C">
        <w:rPr>
          <w:lang w:val="en"/>
        </w:rPr>
        <w:tab/>
      </w:r>
      <w:r w:rsidR="001B654C">
        <w:rPr>
          <w:lang w:val="en"/>
        </w:rPr>
        <w:tab/>
      </w:r>
      <w:r w:rsidR="001B654C">
        <w:rPr>
          <w:lang w:val="en"/>
        </w:rPr>
        <w:tab/>
        <w:t xml:space="preserve">   (A-5)</w:t>
      </w:r>
    </w:p>
    <w:p w14:paraId="5DDA4A42" w14:textId="29ACC8B3" w:rsidR="00130392" w:rsidRPr="0078320A" w:rsidRDefault="001B654C" w:rsidP="001B654C">
      <w:pPr>
        <w:rPr>
          <w:rFonts w:eastAsia="MS Mincho"/>
          <w:lang w:val="en" w:eastAsia="ja-JP"/>
        </w:rPr>
      </w:pPr>
      <w:r>
        <w:rPr>
          <w:rFonts w:eastAsia="MS Mincho"/>
          <w:lang w:val="en" w:eastAsia="ja-JP"/>
        </w:rPr>
        <w:t>w</w:t>
      </w:r>
      <w:r w:rsidR="00130392" w:rsidRPr="0078320A">
        <w:rPr>
          <w:rFonts w:eastAsia="MS Mincho"/>
          <w:lang w:val="en" w:eastAsia="ja-JP"/>
        </w:rPr>
        <w:t xml:space="preserve">here </w:t>
      </w:r>
      <w:r w:rsidR="00130392" w:rsidRPr="001B654C">
        <w:rPr>
          <w:rFonts w:eastAsia="MS Mincho"/>
          <w:i/>
          <w:lang w:val="en" w:eastAsia="ja-JP"/>
        </w:rPr>
        <w:t>P</w:t>
      </w:r>
      <w:r w:rsidR="00130392" w:rsidRPr="0078320A">
        <w:rPr>
          <w:rFonts w:eastAsia="MS Mincho"/>
          <w:lang w:val="en" w:eastAsia="ja-JP"/>
        </w:rPr>
        <w:t xml:space="preserve"> is pressure, </w:t>
      </w:r>
      <w:r w:rsidR="00130392" w:rsidRPr="001B654C">
        <w:rPr>
          <w:rFonts w:eastAsia="MS Mincho"/>
          <w:i/>
          <w:lang w:val="en" w:eastAsia="ja-JP"/>
        </w:rPr>
        <w:t>V</w:t>
      </w:r>
      <w:r w:rsidR="00130392" w:rsidRPr="0078320A">
        <w:rPr>
          <w:rFonts w:eastAsia="MS Mincho"/>
          <w:lang w:val="en" w:eastAsia="ja-JP"/>
        </w:rPr>
        <w:t xml:space="preserve"> is volume, and </w:t>
      </w:r>
      <w:r w:rsidR="00130392" w:rsidRPr="001B654C">
        <w:rPr>
          <w:rFonts w:eastAsia="MS Mincho"/>
          <w:i/>
          <w:lang w:val="en" w:eastAsia="ja-JP"/>
        </w:rPr>
        <w:t>dP/dV</w:t>
      </w:r>
      <w:r w:rsidR="00130392" w:rsidRPr="0078320A">
        <w:rPr>
          <w:rFonts w:eastAsia="MS Mincho"/>
          <w:lang w:val="en" w:eastAsia="ja-JP"/>
        </w:rPr>
        <w:t xml:space="preserve"> denotes the </w:t>
      </w:r>
      <w:hyperlink r:id="rId185" w:tooltip="Derivative" w:history="1">
        <w:r w:rsidR="00130392" w:rsidRPr="0078320A">
          <w:rPr>
            <w:rFonts w:eastAsia="MS Mincho"/>
            <w:lang w:eastAsia="ja-JP"/>
          </w:rPr>
          <w:t>derivative</w:t>
        </w:r>
      </w:hyperlink>
      <w:r w:rsidR="00130392" w:rsidRPr="0078320A">
        <w:rPr>
          <w:rFonts w:eastAsia="MS Mincho"/>
          <w:lang w:val="en" w:eastAsia="ja-JP"/>
        </w:rPr>
        <w:t xml:space="preserve"> of pressure </w:t>
      </w:r>
      <w:r>
        <w:rPr>
          <w:rFonts w:eastAsia="MS Mincho"/>
          <w:lang w:val="en" w:eastAsia="ja-JP"/>
        </w:rPr>
        <w:t>with</w:t>
      </w:r>
      <w:r w:rsidR="00130392" w:rsidRPr="0078320A">
        <w:rPr>
          <w:rFonts w:eastAsia="MS Mincho"/>
          <w:lang w:val="en" w:eastAsia="ja-JP"/>
        </w:rPr>
        <w:t xml:space="preserve"> volume. Equivalently</w:t>
      </w:r>
      <w:r>
        <w:rPr>
          <w:rFonts w:eastAsia="MS Mincho"/>
          <w:lang w:val="en" w:eastAsia="ja-JP"/>
        </w:rPr>
        <w:t>,</w:t>
      </w:r>
    </w:p>
    <w:p w14:paraId="3A72603D" w14:textId="77777777" w:rsidR="004B1F3E" w:rsidRDefault="00987AD1" w:rsidP="004B1F3E">
      <w:pPr>
        <w:rPr>
          <w:lang w:val="en"/>
        </w:rPr>
      </w:pPr>
      <w:r w:rsidRPr="001E7D67">
        <w:rPr>
          <w:noProof/>
        </w:rPr>
        <w:drawing>
          <wp:inline distT="0" distB="0" distL="0" distR="0" wp14:anchorId="58EB1634" wp14:editId="4AB653DE">
            <wp:extent cx="800100" cy="431800"/>
            <wp:effectExtent l="0" t="0" r="0" b="0"/>
            <wp:docPr id="115" name="Picture 2096" descr="K=\rho \frac{\partial P}{\partial \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descr="K=\rho \frac{\partial P}{\partial \rho}"/>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800100" cy="431800"/>
                    </a:xfrm>
                    <a:prstGeom prst="rect">
                      <a:avLst/>
                    </a:prstGeom>
                    <a:noFill/>
                    <a:ln>
                      <a:noFill/>
                    </a:ln>
                  </pic:spPr>
                </pic:pic>
              </a:graphicData>
            </a:graphic>
          </wp:inline>
        </w:drawing>
      </w:r>
      <w:r w:rsidR="001B654C">
        <w:rPr>
          <w:lang w:val="en"/>
        </w:rPr>
        <w:t>,</w:t>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t xml:space="preserve">   (A-6)</w:t>
      </w:r>
    </w:p>
    <w:p w14:paraId="68A95823" w14:textId="22F92DE7" w:rsidR="00130392" w:rsidRPr="004B1F3E" w:rsidRDefault="004B1F3E" w:rsidP="004B1F3E">
      <w:pPr>
        <w:rPr>
          <w:lang w:val="en"/>
        </w:rPr>
      </w:pPr>
      <w:r>
        <w:rPr>
          <w:rFonts w:eastAsia="MS Mincho"/>
          <w:lang w:val="en" w:eastAsia="ja-JP"/>
        </w:rPr>
        <w:t>w</w:t>
      </w:r>
      <w:r w:rsidR="00130392" w:rsidRPr="0078320A">
        <w:rPr>
          <w:rFonts w:eastAsia="MS Mincho"/>
          <w:lang w:val="en" w:eastAsia="ja-JP"/>
        </w:rPr>
        <w:t xml:space="preserve">here </w:t>
      </w:r>
      <w:r w:rsidR="00130392" w:rsidRPr="004B1F3E">
        <w:rPr>
          <w:rFonts w:eastAsia="MS Mincho"/>
          <w:i/>
          <w:lang w:val="en" w:eastAsia="ja-JP"/>
        </w:rPr>
        <w:t>ρ</w:t>
      </w:r>
      <w:r w:rsidR="00130392" w:rsidRPr="0078320A">
        <w:rPr>
          <w:rFonts w:eastAsia="MS Mincho"/>
          <w:lang w:val="en" w:eastAsia="ja-JP"/>
        </w:rPr>
        <w:t xml:space="preserve"> is </w:t>
      </w:r>
      <w:hyperlink r:id="rId187" w:tooltip="Density" w:history="1">
        <w:r w:rsidR="00130392" w:rsidRPr="0078320A">
          <w:rPr>
            <w:rFonts w:eastAsia="MS Mincho"/>
            <w:lang w:eastAsia="ja-JP"/>
          </w:rPr>
          <w:t>density</w:t>
        </w:r>
      </w:hyperlink>
      <w:r w:rsidR="00481AAE">
        <w:rPr>
          <w:rFonts w:eastAsia="MS Mincho"/>
          <w:lang w:eastAsia="ja-JP"/>
        </w:rPr>
        <w:t>,</w:t>
      </w:r>
      <w:r w:rsidR="00130392" w:rsidRPr="0078320A">
        <w:rPr>
          <w:rFonts w:eastAsia="MS Mincho"/>
          <w:lang w:val="en" w:eastAsia="ja-JP"/>
        </w:rPr>
        <w:t xml:space="preserve"> and </w:t>
      </w:r>
      <w:r w:rsidR="00130392" w:rsidRPr="004B1F3E">
        <w:rPr>
          <w:rFonts w:eastAsia="MS Mincho"/>
          <w:i/>
          <w:lang w:val="en" w:eastAsia="ja-JP"/>
        </w:rPr>
        <w:t>δP/δρ</w:t>
      </w:r>
      <w:r w:rsidR="00130392" w:rsidRPr="0078320A">
        <w:rPr>
          <w:rFonts w:eastAsia="MS Mincho"/>
          <w:lang w:val="en" w:eastAsia="ja-JP"/>
        </w:rPr>
        <w:t xml:space="preserve"> denotes the derivative of pressure </w:t>
      </w:r>
      <w:r w:rsidR="00D73891" w:rsidRPr="0078320A">
        <w:rPr>
          <w:rFonts w:eastAsia="MS Mincho"/>
          <w:lang w:val="en" w:eastAsia="ja-JP"/>
        </w:rPr>
        <w:t>concerning</w:t>
      </w:r>
      <w:r w:rsidR="00130392" w:rsidRPr="0078320A">
        <w:rPr>
          <w:rFonts w:eastAsia="MS Mincho"/>
          <w:lang w:val="en" w:eastAsia="ja-JP"/>
        </w:rPr>
        <w:t xml:space="preserve"> density. The inverse of the bulk modulus gives a substance's </w:t>
      </w:r>
      <w:hyperlink r:id="rId188" w:tooltip="Compressibility" w:history="1">
        <w:r w:rsidR="00130392" w:rsidRPr="0078320A">
          <w:rPr>
            <w:rFonts w:eastAsia="MS Mincho"/>
            <w:lang w:eastAsia="ja-JP"/>
          </w:rPr>
          <w:t>compressibility</w:t>
        </w:r>
      </w:hyperlink>
      <w:r w:rsidR="00130392" w:rsidRPr="0078320A">
        <w:rPr>
          <w:rFonts w:eastAsia="MS Mincho"/>
          <w:lang w:val="en" w:eastAsia="ja-JP"/>
        </w:rPr>
        <w:t>. Other moduli describe the material's response (</w:t>
      </w:r>
      <w:hyperlink r:id="rId189" w:tooltip="Strain (materials science)" w:history="1">
        <w:r w:rsidR="00130392" w:rsidRPr="0078320A">
          <w:rPr>
            <w:rFonts w:eastAsia="MS Mincho"/>
            <w:lang w:eastAsia="ja-JP"/>
          </w:rPr>
          <w:t>strain</w:t>
        </w:r>
      </w:hyperlink>
      <w:r w:rsidR="00130392" w:rsidRPr="0078320A">
        <w:rPr>
          <w:rFonts w:eastAsia="MS Mincho"/>
          <w:lang w:val="en" w:eastAsia="ja-JP"/>
        </w:rPr>
        <w:t xml:space="preserve">) to other kinds of </w:t>
      </w:r>
      <w:hyperlink r:id="rId190" w:tooltip="Stress (physics)" w:history="1">
        <w:r w:rsidR="00130392" w:rsidRPr="0078320A">
          <w:rPr>
            <w:rFonts w:eastAsia="MS Mincho"/>
            <w:lang w:eastAsia="ja-JP"/>
          </w:rPr>
          <w:t>stress</w:t>
        </w:r>
      </w:hyperlink>
      <w:r w:rsidR="00130392" w:rsidRPr="0078320A">
        <w:rPr>
          <w:rFonts w:eastAsia="MS Mincho"/>
          <w:lang w:val="en" w:eastAsia="ja-JP"/>
        </w:rPr>
        <w:t xml:space="preserve">: the </w:t>
      </w:r>
      <w:hyperlink r:id="rId191" w:tooltip="Shear modulus" w:history="1">
        <w:r w:rsidR="00130392" w:rsidRPr="0078320A">
          <w:rPr>
            <w:rFonts w:eastAsia="MS Mincho"/>
            <w:lang w:eastAsia="ja-JP"/>
          </w:rPr>
          <w:t>shear modulus</w:t>
        </w:r>
      </w:hyperlink>
      <w:r w:rsidR="00130392" w:rsidRPr="0078320A">
        <w:rPr>
          <w:rFonts w:eastAsia="MS Mincho"/>
          <w:lang w:val="en" w:eastAsia="ja-JP"/>
        </w:rPr>
        <w:t xml:space="preserve"> describes the response to shear</w:t>
      </w:r>
      <w:r>
        <w:rPr>
          <w:rFonts w:eastAsia="MS Mincho"/>
          <w:lang w:val="en" w:eastAsia="ja-JP"/>
        </w:rPr>
        <w:t xml:space="preserve"> stress</w:t>
      </w:r>
      <w:r w:rsidR="00130392" w:rsidRPr="0078320A">
        <w:rPr>
          <w:rFonts w:eastAsia="MS Mincho"/>
          <w:lang w:val="en" w:eastAsia="ja-JP"/>
        </w:rPr>
        <w:t xml:space="preserve">, and </w:t>
      </w:r>
      <w:hyperlink r:id="rId192" w:tooltip="Young's modulus" w:history="1">
        <w:r w:rsidR="00130392" w:rsidRPr="0078320A">
          <w:rPr>
            <w:rFonts w:eastAsia="MS Mincho"/>
            <w:lang w:eastAsia="ja-JP"/>
          </w:rPr>
          <w:t>Young's modulus</w:t>
        </w:r>
      </w:hyperlink>
      <w:r w:rsidR="00130392" w:rsidRPr="0078320A">
        <w:rPr>
          <w:rFonts w:eastAsia="MS Mincho"/>
          <w:lang w:val="en" w:eastAsia="ja-JP"/>
        </w:rPr>
        <w:t xml:space="preserve"> describes the response to </w:t>
      </w:r>
      <w:r>
        <w:rPr>
          <w:rFonts w:eastAsia="MS Mincho"/>
          <w:lang w:val="en" w:eastAsia="ja-JP"/>
        </w:rPr>
        <w:t>compressive</w:t>
      </w:r>
      <w:r w:rsidR="00130392" w:rsidRPr="0078320A">
        <w:rPr>
          <w:rFonts w:eastAsia="MS Mincho"/>
          <w:lang w:val="en" w:eastAsia="ja-JP"/>
        </w:rPr>
        <w:t xml:space="preserve"> stress. </w:t>
      </w:r>
    </w:p>
    <w:p w14:paraId="43A72024" w14:textId="47380D6E" w:rsidR="00130392" w:rsidRPr="0078320A" w:rsidRDefault="00130392" w:rsidP="00662698">
      <w:pPr>
        <w:ind w:firstLine="720"/>
        <w:rPr>
          <w:lang w:val="en"/>
        </w:rPr>
      </w:pPr>
      <w:r w:rsidRPr="0078320A">
        <w:rPr>
          <w:b/>
          <w:lang w:val="en"/>
        </w:rPr>
        <w:t xml:space="preserve">Shear Modulus, </w:t>
      </w:r>
      <w:r w:rsidRPr="004B1F3E">
        <w:rPr>
          <w:b/>
          <w:i/>
          <w:lang w:val="en"/>
        </w:rPr>
        <w:t>G</w:t>
      </w:r>
      <w:r w:rsidRPr="0078320A">
        <w:rPr>
          <w:b/>
          <w:lang w:val="en"/>
        </w:rPr>
        <w:t xml:space="preserve">: </w:t>
      </w:r>
      <w:r w:rsidRPr="0078320A">
        <w:rPr>
          <w:lang w:val="en"/>
        </w:rPr>
        <w:t xml:space="preserve">In materials science, </w:t>
      </w:r>
      <w:r w:rsidR="004B1F3E">
        <w:rPr>
          <w:lang w:val="en"/>
        </w:rPr>
        <w:t xml:space="preserve">the </w:t>
      </w:r>
      <w:r w:rsidRPr="0078320A">
        <w:rPr>
          <w:b/>
          <w:bCs/>
          <w:lang w:val="en"/>
        </w:rPr>
        <w:t>shear modulus</w:t>
      </w:r>
      <w:r w:rsidRPr="0078320A">
        <w:rPr>
          <w:lang w:val="en"/>
        </w:rPr>
        <w:t xml:space="preserve"> or </w:t>
      </w:r>
      <w:r w:rsidRPr="0078320A">
        <w:rPr>
          <w:b/>
          <w:bCs/>
          <w:lang w:val="en"/>
        </w:rPr>
        <w:t>modulus of rigidity</w:t>
      </w:r>
      <w:r w:rsidRPr="0078320A">
        <w:rPr>
          <w:lang w:val="en"/>
        </w:rPr>
        <w:t xml:space="preserve">, denoted by </w:t>
      </w:r>
      <w:r w:rsidRPr="0078320A">
        <w:rPr>
          <w:i/>
          <w:iCs/>
          <w:lang w:val="en"/>
        </w:rPr>
        <w:t>G</w:t>
      </w:r>
      <w:r w:rsidRPr="0078320A">
        <w:rPr>
          <w:lang w:val="en"/>
        </w:rPr>
        <w:t xml:space="preserve">, or sometimes </w:t>
      </w:r>
      <w:r w:rsidRPr="0078320A">
        <w:rPr>
          <w:i/>
          <w:iCs/>
          <w:lang w:val="en"/>
        </w:rPr>
        <w:t>S</w:t>
      </w:r>
      <w:r w:rsidRPr="0078320A">
        <w:rPr>
          <w:lang w:val="en"/>
        </w:rPr>
        <w:t xml:space="preserve"> or </w:t>
      </w:r>
      <w:r w:rsidRPr="0078320A">
        <w:rPr>
          <w:i/>
          <w:iCs/>
          <w:lang w:val="en"/>
        </w:rPr>
        <w:t>μ</w:t>
      </w:r>
      <w:r w:rsidRPr="0078320A">
        <w:rPr>
          <w:lang w:val="en"/>
        </w:rPr>
        <w:t>, is defined as the ratio of shear stress to the shear strain</w:t>
      </w:r>
      <w:r w:rsidR="004B1F3E">
        <w:rPr>
          <w:lang w:val="en"/>
        </w:rPr>
        <w:t>:</w:t>
      </w:r>
    </w:p>
    <w:p w14:paraId="7D88CE5B" w14:textId="5ECD299C" w:rsidR="00130392" w:rsidRPr="0078320A" w:rsidRDefault="00987AD1" w:rsidP="009349D2">
      <w:pPr>
        <w:rPr>
          <w:lang w:val="en"/>
        </w:rPr>
      </w:pPr>
      <w:r w:rsidRPr="001E7D67">
        <w:rPr>
          <w:noProof/>
        </w:rPr>
        <w:drawing>
          <wp:inline distT="0" distB="0" distL="0" distR="0" wp14:anchorId="432F62A0" wp14:editId="1993C3C5">
            <wp:extent cx="2095500" cy="469900"/>
            <wp:effectExtent l="0" t="0" r="0" b="0"/>
            <wp:docPr id="114" name="Picture 2097" descr="G \ \stackrel{\mathrm{def}}{=}\ \frac {\tau_{xy}} {\gamma_{xy}} = \frac{F/A}{\Delta x/l} = \frac{F l}{A \Delta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descr="G \ \stackrel{\mathrm{def}}{=}\ \frac {\tau_{xy}} {\gamma_{xy}} = \frac{F/A}{\Delta x/l} = \frac{F l}{A \Delta x} "/>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95500" cy="469900"/>
                    </a:xfrm>
                    <a:prstGeom prst="rect">
                      <a:avLst/>
                    </a:prstGeom>
                    <a:noFill/>
                    <a:ln>
                      <a:noFill/>
                    </a:ln>
                  </pic:spPr>
                </pic:pic>
              </a:graphicData>
            </a:graphic>
          </wp:inline>
        </w:drawing>
      </w:r>
      <w:r w:rsidR="004B1F3E">
        <w:rPr>
          <w:lang w:val="en"/>
        </w:rPr>
        <w:t xml:space="preserve"> , </w:t>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r>
      <w:r w:rsidR="004B1F3E">
        <w:rPr>
          <w:lang w:val="en"/>
        </w:rPr>
        <w:tab/>
        <w:t xml:space="preserve">   (A-7)</w:t>
      </w:r>
    </w:p>
    <w:p w14:paraId="286AA8A0" w14:textId="13D5C221" w:rsidR="00130392" w:rsidRPr="0078320A" w:rsidRDefault="004B1F3E" w:rsidP="009349D2">
      <w:pPr>
        <w:rPr>
          <w:lang w:val="en"/>
        </w:rPr>
      </w:pPr>
      <w:r>
        <w:rPr>
          <w:lang w:val="en"/>
        </w:rPr>
        <w:t>w</w:t>
      </w:r>
      <w:r w:rsidR="00130392" w:rsidRPr="0078320A">
        <w:rPr>
          <w:lang w:val="en"/>
        </w:rPr>
        <w:t>here</w:t>
      </w:r>
      <w:r>
        <w:rPr>
          <w:lang w:val="en"/>
        </w:rPr>
        <w:t xml:space="preserve">  </w:t>
      </w:r>
      <w:r w:rsidR="00987AD1" w:rsidRPr="001E7D67">
        <w:rPr>
          <w:noProof/>
        </w:rPr>
        <w:drawing>
          <wp:inline distT="0" distB="0" distL="0" distR="0" wp14:anchorId="4A7F9BC8" wp14:editId="5411FE48">
            <wp:extent cx="850900" cy="203200"/>
            <wp:effectExtent l="0" t="0" r="0" b="0"/>
            <wp:docPr id="113" name="Picture 2098" descr="\tau_{xy} = F/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descr="\tau_{xy} = F/A \,"/>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50900" cy="203200"/>
                    </a:xfrm>
                    <a:prstGeom prst="rect">
                      <a:avLst/>
                    </a:prstGeom>
                    <a:noFill/>
                    <a:ln>
                      <a:noFill/>
                    </a:ln>
                  </pic:spPr>
                </pic:pic>
              </a:graphicData>
            </a:graphic>
          </wp:inline>
        </w:drawing>
      </w:r>
      <w:r w:rsidR="00130392" w:rsidRPr="0078320A">
        <w:rPr>
          <w:lang w:val="en"/>
        </w:rPr>
        <w:t>= shear stress</w:t>
      </w:r>
      <w:r>
        <w:rPr>
          <w:lang w:val="en"/>
        </w:rPr>
        <w:t xml:space="preserve">, </w:t>
      </w:r>
    </w:p>
    <w:p w14:paraId="7752F695" w14:textId="3453796D" w:rsidR="00130392" w:rsidRPr="004B1F3E" w:rsidRDefault="00130392" w:rsidP="004B1F3E">
      <w:pPr>
        <w:pStyle w:val="ListParagraph"/>
        <w:numPr>
          <w:ilvl w:val="0"/>
          <w:numId w:val="23"/>
        </w:numPr>
        <w:rPr>
          <w:lang w:val="en"/>
        </w:rPr>
      </w:pPr>
      <w:r w:rsidRPr="004B1F3E">
        <w:rPr>
          <w:lang w:val="en"/>
        </w:rPr>
        <w:t>is the</w:t>
      </w:r>
      <w:r w:rsidR="004B1F3E" w:rsidRPr="004B1F3E">
        <w:rPr>
          <w:lang w:val="en"/>
        </w:rPr>
        <w:t xml:space="preserve"> shear, </w:t>
      </w:r>
      <w:r w:rsidR="00987AD1" w:rsidRPr="001E7D67">
        <w:rPr>
          <w:noProof/>
        </w:rPr>
        <w:drawing>
          <wp:inline distT="0" distB="0" distL="0" distR="0" wp14:anchorId="518F780E" wp14:editId="2F023B6B">
            <wp:extent cx="139700" cy="127000"/>
            <wp:effectExtent l="0" t="0" r="0" b="0"/>
            <wp:docPr id="111" name="Picture 2100"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descr="A"/>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39700" cy="127000"/>
                    </a:xfrm>
                    <a:prstGeom prst="rect">
                      <a:avLst/>
                    </a:prstGeom>
                    <a:noFill/>
                    <a:ln>
                      <a:noFill/>
                    </a:ln>
                  </pic:spPr>
                </pic:pic>
              </a:graphicData>
            </a:graphic>
          </wp:inline>
        </w:drawing>
      </w:r>
      <w:r w:rsidRPr="004B1F3E">
        <w:rPr>
          <w:lang w:val="en"/>
        </w:rPr>
        <w:t xml:space="preserve"> is the area on which the force acts</w:t>
      </w:r>
      <w:r w:rsidR="004B1F3E" w:rsidRPr="004B1F3E">
        <w:rPr>
          <w:lang w:val="en"/>
        </w:rPr>
        <w:t xml:space="preserve">, </w:t>
      </w:r>
      <w:r w:rsidR="00987AD1" w:rsidRPr="001E7D67">
        <w:rPr>
          <w:noProof/>
        </w:rPr>
        <w:drawing>
          <wp:inline distT="0" distB="0" distL="0" distR="0" wp14:anchorId="6AD95687" wp14:editId="4360E29B">
            <wp:extent cx="266700" cy="139700"/>
            <wp:effectExtent l="0" t="0" r="0" b="0"/>
            <wp:docPr id="108" name="Picture 2103" descr="\Delt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descr="\Delta x"/>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66700" cy="139700"/>
                    </a:xfrm>
                    <a:prstGeom prst="rect">
                      <a:avLst/>
                    </a:prstGeom>
                    <a:noFill/>
                    <a:ln>
                      <a:noFill/>
                    </a:ln>
                  </pic:spPr>
                </pic:pic>
              </a:graphicData>
            </a:graphic>
          </wp:inline>
        </w:drawing>
      </w:r>
      <w:r w:rsidRPr="004B1F3E">
        <w:rPr>
          <w:lang w:val="en"/>
        </w:rPr>
        <w:t>is the transverse displacement</w:t>
      </w:r>
      <w:r w:rsidR="004B1F3E" w:rsidRPr="004B1F3E">
        <w:rPr>
          <w:lang w:val="en"/>
        </w:rPr>
        <w:t xml:space="preserve">, </w:t>
      </w:r>
      <w:r w:rsidR="00987AD1" w:rsidRPr="001E7D67">
        <w:rPr>
          <w:noProof/>
        </w:rPr>
        <w:drawing>
          <wp:inline distT="0" distB="0" distL="0" distR="0" wp14:anchorId="3C59CA82" wp14:editId="5E9DC1AB">
            <wp:extent cx="50800" cy="127000"/>
            <wp:effectExtent l="0" t="0" r="0" b="0"/>
            <wp:docPr id="107" name="Picture 2104"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descr="l"/>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0800" cy="127000"/>
                    </a:xfrm>
                    <a:prstGeom prst="rect">
                      <a:avLst/>
                    </a:prstGeom>
                    <a:noFill/>
                    <a:ln>
                      <a:noFill/>
                    </a:ln>
                  </pic:spPr>
                </pic:pic>
              </a:graphicData>
            </a:graphic>
          </wp:inline>
        </w:drawing>
      </w:r>
      <w:r w:rsidRPr="004B1F3E">
        <w:rPr>
          <w:lang w:val="en"/>
        </w:rPr>
        <w:t>is the initial length</w:t>
      </w:r>
      <w:r w:rsidR="004B1F3E" w:rsidRPr="004B1F3E">
        <w:rPr>
          <w:lang w:val="en"/>
        </w:rPr>
        <w:t xml:space="preserve">, </w:t>
      </w:r>
    </w:p>
    <w:p w14:paraId="16F16703" w14:textId="7E3B16AF" w:rsidR="004B1F3E" w:rsidRPr="004B1F3E" w:rsidRDefault="004B1F3E" w:rsidP="004B1F3E">
      <w:pPr>
        <w:rPr>
          <w:lang w:val="en"/>
        </w:rPr>
      </w:pPr>
      <w:r w:rsidRPr="004B1F3E">
        <w:rPr>
          <w:lang w:val="en"/>
        </w:rPr>
        <w:t xml:space="preserve">In engineering, </w:t>
      </w:r>
      <w:r w:rsidRPr="001E7D67">
        <w:rPr>
          <w:noProof/>
        </w:rPr>
        <w:drawing>
          <wp:inline distT="0" distB="0" distL="0" distR="0" wp14:anchorId="46098B46" wp14:editId="7730C435">
            <wp:extent cx="1549400" cy="203200"/>
            <wp:effectExtent l="0" t="0" r="0" b="0"/>
            <wp:docPr id="110" name="Picture 2101" descr="\gamma_{xy} = \Delta x/l = \tan \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descr="\gamma_{xy} = \Delta x/l = \tan \theta \,"/>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549400" cy="203200"/>
                    </a:xfrm>
                    <a:prstGeom prst="rect">
                      <a:avLst/>
                    </a:prstGeom>
                    <a:noFill/>
                    <a:ln>
                      <a:noFill/>
                    </a:ln>
                  </pic:spPr>
                </pic:pic>
              </a:graphicData>
            </a:graphic>
          </wp:inline>
        </w:drawing>
      </w:r>
      <w:r w:rsidRPr="004B1F3E">
        <w:rPr>
          <w:lang w:val="en"/>
        </w:rPr>
        <w:t xml:space="preserve">= shear strain. </w:t>
      </w:r>
    </w:p>
    <w:p w14:paraId="5EF3B988" w14:textId="630DF5DA" w:rsidR="00130392" w:rsidRPr="0078320A" w:rsidRDefault="00130392" w:rsidP="009349D2">
      <w:pPr>
        <w:rPr>
          <w:lang w:val="en"/>
        </w:rPr>
      </w:pPr>
      <w:r w:rsidRPr="0078320A">
        <w:rPr>
          <w:lang w:val="en"/>
        </w:rPr>
        <w:lastRenderedPageBreak/>
        <w:t>Shear modulu</w:t>
      </w:r>
      <w:r w:rsidR="004B1F3E">
        <w:rPr>
          <w:lang w:val="en"/>
        </w:rPr>
        <w:t xml:space="preserve">s is measured in </w:t>
      </w:r>
      <w:r w:rsidR="00EA3F0B">
        <w:t>Pascal</w:t>
      </w:r>
      <w:r w:rsidRPr="0078320A">
        <w:rPr>
          <w:lang w:val="en"/>
        </w:rPr>
        <w:t xml:space="preserve"> (Pa), </w:t>
      </w:r>
      <w:hyperlink r:id="rId199" w:tooltip="Pascal (unit)" w:history="1">
        <w:r w:rsidRPr="0078320A">
          <w:t>gigapascals</w:t>
        </w:r>
      </w:hyperlink>
      <w:r w:rsidRPr="0078320A">
        <w:rPr>
          <w:lang w:val="en"/>
        </w:rPr>
        <w:t xml:space="preserve"> (GPa)</w:t>
      </w:r>
      <w:r w:rsidR="00481AAE">
        <w:rPr>
          <w:lang w:val="en"/>
        </w:rPr>
        <w:t>,</w:t>
      </w:r>
      <w:r w:rsidRPr="0078320A">
        <w:rPr>
          <w:lang w:val="en"/>
        </w:rPr>
        <w:t xml:space="preserve"> or thousands of pounds per square inch (kpsi).</w:t>
      </w:r>
      <w:r w:rsidR="00662698">
        <w:rPr>
          <w:lang w:val="en"/>
        </w:rPr>
        <w:t xml:space="preserve"> </w:t>
      </w:r>
      <w:r w:rsidRPr="0078320A">
        <w:rPr>
          <w:lang w:val="en"/>
        </w:rPr>
        <w:t>The shear modulus is always positive.</w:t>
      </w:r>
      <w:r w:rsidR="00662698">
        <w:rPr>
          <w:lang w:val="en"/>
        </w:rPr>
        <w:t xml:space="preserve"> </w:t>
      </w:r>
      <w:r w:rsidR="0089719A" w:rsidRPr="0078320A">
        <w:rPr>
          <w:lang w:val="en"/>
        </w:rPr>
        <w:t>Rickman et al. (2008) mention that t</w:t>
      </w:r>
      <w:r w:rsidRPr="0078320A">
        <w:rPr>
          <w:lang w:val="en"/>
        </w:rPr>
        <w:t>he shear modulus is one of several quantities for measuring the stiffness of materials. All of them arise in the generalized Hooke's law:</w:t>
      </w:r>
    </w:p>
    <w:p w14:paraId="47218F91" w14:textId="4DFEFFB4" w:rsidR="00130392" w:rsidRPr="00662698" w:rsidRDefault="00130392" w:rsidP="00662698">
      <w:pPr>
        <w:pStyle w:val="ListParagraph"/>
        <w:numPr>
          <w:ilvl w:val="0"/>
          <w:numId w:val="19"/>
        </w:numPr>
        <w:rPr>
          <w:lang w:val="en"/>
        </w:rPr>
      </w:pPr>
      <w:r w:rsidRPr="00662698">
        <w:rPr>
          <w:b/>
          <w:lang w:val="en"/>
        </w:rPr>
        <w:t>Young's modulus</w:t>
      </w:r>
      <w:r w:rsidRPr="00662698">
        <w:rPr>
          <w:lang w:val="en"/>
        </w:rPr>
        <w:t xml:space="preserve"> describes the material's response to linear strain (</w:t>
      </w:r>
      <w:r w:rsidR="004B1F3E">
        <w:rPr>
          <w:lang w:val="en"/>
        </w:rPr>
        <w:t>such as</w:t>
      </w:r>
      <w:r w:rsidRPr="00662698">
        <w:rPr>
          <w:lang w:val="en"/>
        </w:rPr>
        <w:t xml:space="preserve"> pulling on the ends of a wire),</w:t>
      </w:r>
    </w:p>
    <w:p w14:paraId="6D8D7C7F" w14:textId="77777777" w:rsidR="00130392" w:rsidRPr="00662698" w:rsidRDefault="00130392" w:rsidP="00662698">
      <w:pPr>
        <w:pStyle w:val="ListParagraph"/>
        <w:numPr>
          <w:ilvl w:val="0"/>
          <w:numId w:val="19"/>
        </w:numPr>
        <w:rPr>
          <w:lang w:val="en"/>
        </w:rPr>
      </w:pPr>
      <w:r w:rsidRPr="00662698">
        <w:rPr>
          <w:lang w:val="en"/>
        </w:rPr>
        <w:t xml:space="preserve">the </w:t>
      </w:r>
      <w:r w:rsidRPr="00662698">
        <w:rPr>
          <w:b/>
          <w:lang w:val="en"/>
        </w:rPr>
        <w:t>bulk modulus</w:t>
      </w:r>
      <w:r w:rsidRPr="00662698">
        <w:rPr>
          <w:lang w:val="en"/>
        </w:rPr>
        <w:t xml:space="preserve"> describes the material's response to uniform pressure, and</w:t>
      </w:r>
    </w:p>
    <w:p w14:paraId="67EE17A2" w14:textId="77777777" w:rsidR="00130392" w:rsidRPr="00662698" w:rsidRDefault="00130392" w:rsidP="00662698">
      <w:pPr>
        <w:pStyle w:val="ListParagraph"/>
        <w:numPr>
          <w:ilvl w:val="0"/>
          <w:numId w:val="19"/>
        </w:numPr>
        <w:rPr>
          <w:lang w:val="en"/>
        </w:rPr>
      </w:pPr>
      <w:r w:rsidRPr="00662698">
        <w:rPr>
          <w:lang w:val="en"/>
        </w:rPr>
        <w:t xml:space="preserve">The </w:t>
      </w:r>
      <w:r w:rsidRPr="00662698">
        <w:rPr>
          <w:b/>
          <w:bCs/>
          <w:lang w:val="en"/>
        </w:rPr>
        <w:t>shear modulus</w:t>
      </w:r>
      <w:r w:rsidRPr="00662698">
        <w:rPr>
          <w:lang w:val="en"/>
        </w:rPr>
        <w:t xml:space="preserve"> describes the material's response to shearing strains.</w:t>
      </w:r>
    </w:p>
    <w:p w14:paraId="340D99AA" w14:textId="77777777" w:rsidR="00130392" w:rsidRPr="00662698" w:rsidRDefault="00130392" w:rsidP="00662698">
      <w:pPr>
        <w:pStyle w:val="ListParagraph"/>
        <w:numPr>
          <w:ilvl w:val="0"/>
          <w:numId w:val="19"/>
        </w:numPr>
        <w:rPr>
          <w:lang w:val="en"/>
        </w:rPr>
      </w:pPr>
      <w:r w:rsidRPr="00662698">
        <w:rPr>
          <w:lang w:val="en"/>
        </w:rPr>
        <w:t xml:space="preserve">The shear modulus is concerned with the deformation of a solid when it experiences a force parallel to one of its surfaces while its opposite face experiences an opposing force (such as friction). In the case of an object that's shaped like a rectangular prism, it will deform into a parallelepiped. </w:t>
      </w:r>
    </w:p>
    <w:p w14:paraId="08CCD33F" w14:textId="7DB8A852" w:rsidR="00130392" w:rsidRPr="0078320A" w:rsidRDefault="00130392" w:rsidP="00662698">
      <w:pPr>
        <w:pStyle w:val="ListParagraph"/>
        <w:numPr>
          <w:ilvl w:val="0"/>
          <w:numId w:val="19"/>
        </w:numPr>
      </w:pPr>
      <w:r w:rsidRPr="00662698">
        <w:rPr>
          <w:lang w:val="en"/>
        </w:rPr>
        <w:t>Anisotropic materials such as wood, paper</w:t>
      </w:r>
      <w:r w:rsidR="00BE5DCD" w:rsidRPr="00662698">
        <w:rPr>
          <w:lang w:val="en"/>
        </w:rPr>
        <w:t>,</w:t>
      </w:r>
      <w:r w:rsidRPr="00662698">
        <w:rPr>
          <w:lang w:val="en"/>
        </w:rPr>
        <w:t xml:space="preserve"> and </w:t>
      </w:r>
      <w:r w:rsidR="004B1F3E">
        <w:rPr>
          <w:lang w:val="en"/>
        </w:rPr>
        <w:t xml:space="preserve">nearly </w:t>
      </w:r>
      <w:r w:rsidRPr="00662698">
        <w:rPr>
          <w:lang w:val="en"/>
        </w:rPr>
        <w:t xml:space="preserve">all single crystals exhibit </w:t>
      </w:r>
      <w:r w:rsidR="00166686" w:rsidRPr="00662698">
        <w:rPr>
          <w:lang w:val="en"/>
        </w:rPr>
        <w:t xml:space="preserve">a </w:t>
      </w:r>
      <w:r w:rsidRPr="00662698">
        <w:rPr>
          <w:lang w:val="en"/>
        </w:rPr>
        <w:t>differing material response to stress or strain when tested in different directions. In this case</w:t>
      </w:r>
      <w:r w:rsidR="00166686" w:rsidRPr="00662698">
        <w:rPr>
          <w:lang w:val="en"/>
        </w:rPr>
        <w:t>,</w:t>
      </w:r>
      <w:r w:rsidRPr="00662698">
        <w:rPr>
          <w:lang w:val="en"/>
        </w:rPr>
        <w:t xml:space="preserve"> one may need to use the full tensor-expression of the elastic constants, rather than a single scalar value.</w:t>
      </w:r>
      <w:r w:rsidRPr="00662698">
        <w:rPr>
          <w:rFonts w:eastAsia="SimSun"/>
          <w:lang w:eastAsia="zh-CN"/>
        </w:rPr>
        <w:t xml:space="preserve">     </w:t>
      </w:r>
    </w:p>
    <w:p w14:paraId="34D0CC1D" w14:textId="78B28A74" w:rsidR="00130392" w:rsidRPr="00662698" w:rsidRDefault="00130392" w:rsidP="009349D2">
      <w:pPr>
        <w:rPr>
          <w:b/>
        </w:rPr>
      </w:pPr>
      <w:bookmarkStart w:id="466" w:name="_Toc213471283"/>
      <w:bookmarkStart w:id="467" w:name="_Toc22366115"/>
      <w:r w:rsidRPr="00662698">
        <w:rPr>
          <w:b/>
        </w:rPr>
        <w:t xml:space="preserve">Compressional and </w:t>
      </w:r>
      <w:r w:rsidR="00155E67">
        <w:rPr>
          <w:b/>
        </w:rPr>
        <w:t>s</w:t>
      </w:r>
      <w:r w:rsidRPr="00662698">
        <w:rPr>
          <w:b/>
        </w:rPr>
        <w:t xml:space="preserve">hear </w:t>
      </w:r>
      <w:r w:rsidR="00155E67">
        <w:rPr>
          <w:b/>
        </w:rPr>
        <w:t>v</w:t>
      </w:r>
      <w:r w:rsidRPr="00662698">
        <w:rPr>
          <w:b/>
        </w:rPr>
        <w:t>elocities</w:t>
      </w:r>
      <w:bookmarkEnd w:id="466"/>
      <w:bookmarkEnd w:id="467"/>
    </w:p>
    <w:p w14:paraId="4235232B" w14:textId="5BE66159" w:rsidR="00130392" w:rsidRPr="0078320A" w:rsidRDefault="004B1F3E" w:rsidP="00316106">
      <w:pPr>
        <w:ind w:firstLine="720"/>
      </w:pPr>
      <w:r>
        <w:t>In anisotropic material, the c</w:t>
      </w:r>
      <w:r w:rsidR="00130392" w:rsidRPr="0078320A">
        <w:t xml:space="preserve">ompressional wave (P-wave) is a wave </w:t>
      </w:r>
      <w:r>
        <w:t>whose</w:t>
      </w:r>
      <w:r w:rsidR="00130392" w:rsidRPr="0078320A">
        <w:t xml:space="preserve"> displacement vector is parallel to the wave’s propagation vector</w:t>
      </w:r>
      <w:r w:rsidR="00592D14">
        <w:t>. In contrast,</w:t>
      </w:r>
      <w:r>
        <w:t xml:space="preserve"> the s</w:t>
      </w:r>
      <w:r w:rsidR="00130392" w:rsidRPr="0078320A">
        <w:t>hear wave (S-wave) is a wave</w:t>
      </w:r>
      <w:r w:rsidR="00166686" w:rsidRPr="0078320A">
        <w:t xml:space="preserve"> in</w:t>
      </w:r>
      <w:r w:rsidR="00130392" w:rsidRPr="0078320A">
        <w:t xml:space="preserve"> which its displacement vector is perpendicular to the wave’s propagation vector</w:t>
      </w:r>
      <w:r w:rsidR="00316106">
        <w:t xml:space="preserve"> (</w:t>
      </w:r>
      <w:r w:rsidR="00316106" w:rsidRPr="0078320A">
        <w:t>Castagna et al.</w:t>
      </w:r>
      <w:r w:rsidR="00316106">
        <w:t xml:space="preserve">, </w:t>
      </w:r>
      <w:r w:rsidR="00316106" w:rsidRPr="0078320A">
        <w:t>1986)</w:t>
      </w:r>
      <w:r w:rsidR="00130392" w:rsidRPr="0078320A">
        <w:t xml:space="preserve">. </w:t>
      </w:r>
      <w:r>
        <w:t>For anisotropic materials, there is only one quasi P-wave and two quasi S-waves</w:t>
      </w:r>
      <w:r w:rsidR="00316106">
        <w:t xml:space="preserve"> (</w:t>
      </w:r>
      <w:r w:rsidR="00316106" w:rsidRPr="0078320A">
        <w:t>Castagna and Backu</w:t>
      </w:r>
      <w:r w:rsidR="00316106">
        <w:t xml:space="preserve">s, </w:t>
      </w:r>
      <w:r w:rsidR="00316106" w:rsidRPr="0078320A">
        <w:t>1993)</w:t>
      </w:r>
      <w:r>
        <w:t>.</w:t>
      </w:r>
      <w:r w:rsidR="00130392" w:rsidRPr="0078320A">
        <w:t xml:space="preserve"> The compressional wave</w:t>
      </w:r>
      <w:r>
        <w:t xml:space="preserve"> velocity, </w:t>
      </w:r>
      <w:r w:rsidRPr="004B1F3E">
        <w:rPr>
          <w:i/>
        </w:rPr>
        <w:t>Vp</w:t>
      </w:r>
      <w:r w:rsidRPr="004B1F3E">
        <w:t>,</w:t>
      </w:r>
      <w:r>
        <w:t xml:space="preserve"> is </w:t>
      </w:r>
      <w:r w:rsidR="00481AAE">
        <w:t>high</w:t>
      </w:r>
      <w:r>
        <w:t xml:space="preserve">er than </w:t>
      </w:r>
      <w:r w:rsidR="00130392" w:rsidRPr="0078320A">
        <w:t>the shear wave</w:t>
      </w:r>
      <w:r>
        <w:t xml:space="preserve"> velocity, </w:t>
      </w:r>
      <w:r w:rsidRPr="004B1F3E">
        <w:rPr>
          <w:i/>
        </w:rPr>
        <w:t>Vs</w:t>
      </w:r>
      <w:r w:rsidR="00166686" w:rsidRPr="0078320A">
        <w:t>; therefore,</w:t>
      </w:r>
      <w:r w:rsidR="00130392" w:rsidRPr="0078320A">
        <w:t xml:space="preserve"> the</w:t>
      </w:r>
      <w:r w:rsidR="001355B8">
        <w:t xml:space="preserve"> P-wave</w:t>
      </w:r>
      <w:r w:rsidR="00130392" w:rsidRPr="0078320A">
        <w:t xml:space="preserve"> arrival time is smaller than the shear wave arrival time (about half </w:t>
      </w:r>
      <w:r w:rsidR="001355B8">
        <w:t xml:space="preserve">the </w:t>
      </w:r>
      <w:r w:rsidR="00130392" w:rsidRPr="0078320A">
        <w:t>value).</w:t>
      </w:r>
      <w:r w:rsidR="00662698">
        <w:t xml:space="preserve"> </w:t>
      </w:r>
      <w:r w:rsidR="00130392" w:rsidRPr="0078320A">
        <w:t xml:space="preserve">Castagna et al. (1986) and Castagna and Backus (1993) </w:t>
      </w:r>
      <w:r w:rsidR="001355B8">
        <w:t>used</w:t>
      </w:r>
      <w:r w:rsidR="00130392" w:rsidRPr="0078320A">
        <w:t xml:space="preserve"> sonic and density logs </w:t>
      </w:r>
      <w:r w:rsidR="001355B8">
        <w:t>to derive empirical relations for shale and dolomite rocks.</w:t>
      </w:r>
    </w:p>
    <w:p w14:paraId="28DE5474" w14:textId="26414246" w:rsidR="001355B8" w:rsidRDefault="001355B8" w:rsidP="009349D2">
      <w:r>
        <w:lastRenderedPageBreak/>
        <w:t>Castagna et al. (1986</w:t>
      </w:r>
      <w:r w:rsidR="00316106">
        <w:t xml:space="preserve"> and</w:t>
      </w:r>
      <w:r>
        <w:t xml:space="preserve"> 1993) for shale lithologies:</w:t>
      </w:r>
    </w:p>
    <w:p w14:paraId="0B92F5E0" w14:textId="341743B0" w:rsidR="00130392" w:rsidRDefault="001355B8" w:rsidP="009349D2">
      <w:pPr>
        <w:rPr>
          <w:noProof/>
        </w:rPr>
      </w:pPr>
      <w:r>
        <w:t>Vp = [</w:t>
      </w:r>
      <w:r w:rsidRPr="004B1F3E">
        <w:rPr>
          <w:rFonts w:eastAsia="MS Mincho"/>
          <w:i/>
          <w:lang w:val="en" w:eastAsia="ja-JP"/>
        </w:rPr>
        <w:t>ρ</w:t>
      </w:r>
      <w:r>
        <w:rPr>
          <w:rFonts w:eastAsia="MS Mincho"/>
          <w:i/>
          <w:lang w:val="en" w:eastAsia="ja-JP"/>
        </w:rPr>
        <w:t>/</w:t>
      </w:r>
      <w:r>
        <w:rPr>
          <w:noProof/>
        </w:rPr>
        <w:t>1.75]</w:t>
      </w:r>
      <w:r w:rsidRPr="001355B8">
        <w:rPr>
          <w:noProof/>
          <w:vertAlign w:val="superscript"/>
        </w:rPr>
        <w:t>3.77</w:t>
      </w:r>
      <w:r>
        <w:rPr>
          <w:noProof/>
        </w:rPr>
        <w:t>,</w:t>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(A-9a)</w:t>
      </w:r>
    </w:p>
    <w:p w14:paraId="77ABE1DB" w14:textId="7B8C81F0" w:rsidR="001355B8" w:rsidRDefault="001355B8" w:rsidP="009349D2">
      <w:pPr>
        <w:rPr>
          <w:noProof/>
        </w:rPr>
      </w:pPr>
      <w:r>
        <w:t xml:space="preserve">Vs = </w:t>
      </w:r>
      <w:r>
        <w:rPr>
          <w:noProof/>
        </w:rPr>
        <w:t xml:space="preserve">0.804* Vp-0.8559, </w:t>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(A-9b)</w:t>
      </w:r>
    </w:p>
    <w:p w14:paraId="5861CD92" w14:textId="3E85FA07" w:rsidR="001355B8" w:rsidRDefault="001355B8" w:rsidP="009349D2">
      <w:pPr>
        <w:rPr>
          <w:noProof/>
        </w:rPr>
      </w:pPr>
      <w:r>
        <w:rPr>
          <w:noProof/>
        </w:rPr>
        <w:t>Where density is measured in g/cm</w:t>
      </w:r>
      <w:r w:rsidRPr="001355B8">
        <w:rPr>
          <w:noProof/>
          <w:vertAlign w:val="superscript"/>
        </w:rPr>
        <w:t>3</w:t>
      </w:r>
      <w:r>
        <w:rPr>
          <w:noProof/>
        </w:rPr>
        <w:t>, and velocities in Km/s.</w:t>
      </w:r>
    </w:p>
    <w:p w14:paraId="0814C200" w14:textId="5537DCC8" w:rsidR="001355B8" w:rsidRDefault="001355B8" w:rsidP="001355B8">
      <w:r>
        <w:t>Castagna et al. (1986, 1993) for dolomite lithologies:</w:t>
      </w:r>
    </w:p>
    <w:p w14:paraId="1F632024" w14:textId="617DC1FB" w:rsidR="001355B8" w:rsidRDefault="001355B8" w:rsidP="001355B8">
      <w:pPr>
        <w:rPr>
          <w:noProof/>
        </w:rPr>
      </w:pPr>
      <w:r>
        <w:t>Vp = [</w:t>
      </w:r>
      <w:r w:rsidRPr="004B1F3E">
        <w:rPr>
          <w:rFonts w:eastAsia="MS Mincho"/>
          <w:i/>
          <w:lang w:val="en" w:eastAsia="ja-JP"/>
        </w:rPr>
        <w:t>ρ</w:t>
      </w:r>
      <w:r>
        <w:rPr>
          <w:rFonts w:eastAsia="MS Mincho"/>
          <w:i/>
          <w:lang w:val="en" w:eastAsia="ja-JP"/>
        </w:rPr>
        <w:t>/</w:t>
      </w:r>
      <w:r>
        <w:rPr>
          <w:noProof/>
        </w:rPr>
        <w:t>1.74]</w:t>
      </w:r>
      <w:r w:rsidRPr="001355B8">
        <w:rPr>
          <w:noProof/>
          <w:vertAlign w:val="superscript"/>
        </w:rPr>
        <w:t>3.</w:t>
      </w:r>
      <w:r>
        <w:rPr>
          <w:noProof/>
          <w:vertAlign w:val="superscript"/>
        </w:rPr>
        <w:t>9</w:t>
      </w:r>
      <w:r w:rsidRPr="001355B8">
        <w:rPr>
          <w:noProof/>
          <w:vertAlign w:val="superscript"/>
        </w:rPr>
        <w:t>7</w:t>
      </w:r>
      <w:r>
        <w:rPr>
          <w:noProof/>
        </w:rPr>
        <w:t>,</w:t>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(A-10a)</w:t>
      </w:r>
    </w:p>
    <w:p w14:paraId="38D4CA03" w14:textId="3ADFACAB" w:rsidR="001355B8" w:rsidRDefault="001355B8" w:rsidP="001355B8">
      <w:pPr>
        <w:rPr>
          <w:noProof/>
        </w:rPr>
      </w:pPr>
      <w:r>
        <w:t xml:space="preserve">Vs = </w:t>
      </w:r>
      <w:r>
        <w:rPr>
          <w:noProof/>
        </w:rPr>
        <w:t xml:space="preserve">0.583* Vp-0.078, </w:t>
      </w:r>
      <w:r>
        <w:rPr>
          <w:noProof/>
        </w:rPr>
        <w:tab/>
      </w:r>
      <w:r>
        <w:rPr>
          <w:noProof/>
        </w:rPr>
        <w:tab/>
      </w:r>
      <w:r>
        <w:rPr>
          <w:noProof/>
        </w:rPr>
        <w:tab/>
      </w:r>
      <w:r>
        <w:rPr>
          <w:noProof/>
        </w:rPr>
        <w:tab/>
      </w:r>
      <w:r>
        <w:rPr>
          <w:noProof/>
        </w:rPr>
        <w:tab/>
      </w:r>
      <w:r>
        <w:rPr>
          <w:noProof/>
        </w:rPr>
        <w:tab/>
      </w:r>
      <w:r>
        <w:rPr>
          <w:noProof/>
        </w:rPr>
        <w:tab/>
      </w:r>
      <w:r>
        <w:rPr>
          <w:noProof/>
        </w:rPr>
        <w:tab/>
        <w:t xml:space="preserve">           (A-10b)</w:t>
      </w:r>
    </w:p>
    <w:p w14:paraId="1FEF5045" w14:textId="359DF547" w:rsidR="00130392" w:rsidRPr="0078320A" w:rsidRDefault="00130392" w:rsidP="009349D2">
      <w:r w:rsidRPr="0078320A">
        <w:t xml:space="preserve">The velocities can </w:t>
      </w:r>
      <w:r w:rsidR="00166686" w:rsidRPr="0078320A">
        <w:t>also be</w:t>
      </w:r>
      <w:r w:rsidRPr="0078320A">
        <w:t xml:space="preserve"> expressed in terms of density, shear modulus</w:t>
      </w:r>
      <w:r w:rsidR="00166686" w:rsidRPr="0078320A">
        <w:t>,</w:t>
      </w:r>
      <w:r w:rsidRPr="0078320A">
        <w:t xml:space="preserve"> and the bulk modulus </w:t>
      </w:r>
      <w:r w:rsidR="001355B8">
        <w:t>as:</w:t>
      </w:r>
    </w:p>
    <w:p w14:paraId="2A4936E1" w14:textId="3E6C1F5A" w:rsidR="00AC296D" w:rsidRDefault="00987AD1" w:rsidP="009349D2">
      <w:pPr>
        <w:rPr>
          <w:rFonts w:eastAsia="SimSun"/>
          <w:lang w:eastAsia="zh-CN"/>
        </w:rPr>
      </w:pPr>
      <w:r w:rsidRPr="001E7D67">
        <w:rPr>
          <w:noProof/>
          <w:position w:val="-26"/>
        </w:rPr>
        <w:drawing>
          <wp:inline distT="0" distB="0" distL="0" distR="0" wp14:anchorId="3F03CDF4" wp14:editId="2CCEB92B">
            <wp:extent cx="1193800" cy="469900"/>
            <wp:effectExtent l="0" t="0" r="0" b="0"/>
            <wp:docPr id="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193800" cy="469900"/>
                    </a:xfrm>
                    <a:prstGeom prst="rect">
                      <a:avLst/>
                    </a:prstGeom>
                    <a:noFill/>
                    <a:ln>
                      <a:noFill/>
                    </a:ln>
                  </pic:spPr>
                </pic:pic>
              </a:graphicData>
            </a:graphic>
          </wp:inline>
        </w:drawing>
      </w:r>
      <w:r w:rsidR="001355B8">
        <w:rPr>
          <w:rFonts w:eastAsia="SimSun"/>
          <w:lang w:eastAsia="zh-CN"/>
        </w:rPr>
        <w:t xml:space="preserve">, </w:t>
      </w:r>
      <w:r w:rsidR="001355B8">
        <w:rPr>
          <w:rFonts w:eastAsia="SimSun"/>
          <w:lang w:eastAsia="zh-CN"/>
        </w:rPr>
        <w:tab/>
      </w:r>
      <w:r w:rsidR="001355B8">
        <w:rPr>
          <w:rFonts w:eastAsia="SimSun"/>
          <w:lang w:eastAsia="zh-CN"/>
        </w:rPr>
        <w:tab/>
      </w:r>
      <w:r w:rsidR="001355B8">
        <w:rPr>
          <w:rFonts w:eastAsia="SimSun"/>
          <w:lang w:eastAsia="zh-CN"/>
        </w:rPr>
        <w:tab/>
      </w:r>
      <w:r w:rsidR="001355B8">
        <w:rPr>
          <w:rFonts w:eastAsia="SimSun"/>
          <w:lang w:eastAsia="zh-CN"/>
        </w:rPr>
        <w:tab/>
      </w:r>
      <w:r w:rsidR="001355B8">
        <w:rPr>
          <w:rFonts w:eastAsia="SimSun"/>
          <w:lang w:eastAsia="zh-CN"/>
        </w:rPr>
        <w:tab/>
      </w:r>
      <w:r w:rsidR="001355B8">
        <w:rPr>
          <w:rFonts w:eastAsia="SimSun"/>
          <w:lang w:eastAsia="zh-CN"/>
        </w:rPr>
        <w:tab/>
      </w:r>
      <w:r w:rsidR="001355B8">
        <w:rPr>
          <w:rFonts w:eastAsia="SimSun"/>
          <w:lang w:eastAsia="zh-CN"/>
        </w:rPr>
        <w:tab/>
      </w:r>
      <w:r w:rsidR="001355B8">
        <w:rPr>
          <w:rFonts w:eastAsia="SimSun"/>
          <w:lang w:eastAsia="zh-CN"/>
        </w:rPr>
        <w:tab/>
      </w:r>
      <w:r w:rsidR="001355B8">
        <w:rPr>
          <w:rFonts w:eastAsia="SimSun"/>
          <w:lang w:eastAsia="zh-CN"/>
        </w:rPr>
        <w:tab/>
        <w:t xml:space="preserve">           (A</w:t>
      </w:r>
      <w:r w:rsidR="00AC296D">
        <w:rPr>
          <w:rFonts w:eastAsia="SimSun"/>
          <w:lang w:eastAsia="zh-CN"/>
        </w:rPr>
        <w:t>-</w:t>
      </w:r>
      <w:r w:rsidR="001355B8">
        <w:rPr>
          <w:rFonts w:eastAsia="SimSun"/>
          <w:lang w:eastAsia="zh-CN"/>
        </w:rPr>
        <w:t>11a)</w:t>
      </w:r>
    </w:p>
    <w:p w14:paraId="097E0FC0" w14:textId="6969CA40" w:rsidR="00130392" w:rsidRPr="0078320A" w:rsidRDefault="00ED0653" w:rsidP="009349D2">
      <w:pPr>
        <w:rPr>
          <w:rFonts w:eastAsia="SimSun"/>
          <w:lang w:eastAsia="zh-CN"/>
        </w:rPr>
      </w:pPr>
      <w:r>
        <w:t>and</w:t>
      </w:r>
      <w:r w:rsidR="00130392" w:rsidRPr="0078320A">
        <w:t xml:space="preserve"> </w:t>
      </w:r>
      <w:r w:rsidR="00987AD1" w:rsidRPr="001E7D67">
        <w:rPr>
          <w:noProof/>
          <w:position w:val="-30"/>
        </w:rPr>
        <w:drawing>
          <wp:inline distT="0" distB="0" distL="0" distR="0" wp14:anchorId="591BFD9D" wp14:editId="53C3ADF7">
            <wp:extent cx="736600" cy="520700"/>
            <wp:effectExtent l="0" t="0" r="0" b="0"/>
            <wp:docPr id="1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736600" cy="520700"/>
                    </a:xfrm>
                    <a:prstGeom prst="rect">
                      <a:avLst/>
                    </a:prstGeom>
                    <a:noFill/>
                    <a:ln>
                      <a:noFill/>
                    </a:ln>
                  </pic:spPr>
                </pic:pic>
              </a:graphicData>
            </a:graphic>
          </wp:inline>
        </w:drawing>
      </w:r>
      <w:r w:rsidR="00130392" w:rsidRPr="0078320A">
        <w:rPr>
          <w:rFonts w:eastAsia="SimSun"/>
          <w:lang w:eastAsia="zh-CN"/>
        </w:rPr>
        <w:t xml:space="preserve">  </w:t>
      </w:r>
      <w:r>
        <w:rPr>
          <w:rFonts w:eastAsia="SimSun"/>
          <w:lang w:eastAsia="zh-CN"/>
        </w:rPr>
        <w:t xml:space="preserve">, </w:t>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t xml:space="preserve">           (A-11b)</w:t>
      </w:r>
      <w:r w:rsidR="00130392" w:rsidRPr="0078320A">
        <w:rPr>
          <w:rFonts w:eastAsia="SimSun"/>
          <w:lang w:eastAsia="zh-CN"/>
        </w:rPr>
        <w:tab/>
      </w:r>
    </w:p>
    <w:p w14:paraId="564908D4" w14:textId="77777777" w:rsidR="00130392" w:rsidRPr="0078320A" w:rsidRDefault="00130392" w:rsidP="009349D2">
      <w:r w:rsidRPr="0078320A">
        <w:t>The stress and strain recorded in the quasi-static measurements enable us to calculate Young’s modulus and Poisson’s ratio:</w:t>
      </w:r>
    </w:p>
    <w:p w14:paraId="139B4B16" w14:textId="77777777" w:rsidR="00ED0653" w:rsidRDefault="00987AD1" w:rsidP="009349D2">
      <w:pPr>
        <w:rPr>
          <w:rFonts w:eastAsia="SimSun"/>
          <w:lang w:eastAsia="zh-CN"/>
        </w:rPr>
      </w:pPr>
      <w:r w:rsidRPr="001E7D67">
        <w:rPr>
          <w:noProof/>
          <w:position w:val="-10"/>
        </w:rPr>
        <w:drawing>
          <wp:inline distT="0" distB="0" distL="0" distR="0" wp14:anchorId="25319AE9" wp14:editId="17D4B740">
            <wp:extent cx="990600" cy="254000"/>
            <wp:effectExtent l="0" t="0" r="0" b="0"/>
            <wp:docPr id="10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990600" cy="254000"/>
                    </a:xfrm>
                    <a:prstGeom prst="rect">
                      <a:avLst/>
                    </a:prstGeom>
                    <a:noFill/>
                    <a:ln>
                      <a:noFill/>
                    </a:ln>
                  </pic:spPr>
                </pic:pic>
              </a:graphicData>
            </a:graphic>
          </wp:inline>
        </w:drawing>
      </w:r>
      <w:r w:rsidR="00ED0653">
        <w:rPr>
          <w:rFonts w:eastAsia="SimSun"/>
          <w:lang w:eastAsia="zh-CN"/>
        </w:rPr>
        <w:t xml:space="preserve">, </w:t>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t xml:space="preserve">           (A-12a) </w:t>
      </w:r>
      <w:r w:rsidRPr="001E7D67">
        <w:rPr>
          <w:noProof/>
          <w:position w:val="-12"/>
        </w:rPr>
        <w:drawing>
          <wp:inline distT="0" distB="0" distL="0" distR="0" wp14:anchorId="0D8CB572" wp14:editId="4551E1DC">
            <wp:extent cx="812800" cy="292100"/>
            <wp:effectExtent l="0" t="0" r="0" b="0"/>
            <wp:docPr id="102"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812800" cy="292100"/>
                    </a:xfrm>
                    <a:prstGeom prst="rect">
                      <a:avLst/>
                    </a:prstGeom>
                    <a:noFill/>
                    <a:ln>
                      <a:noFill/>
                    </a:ln>
                  </pic:spPr>
                </pic:pic>
              </a:graphicData>
            </a:graphic>
          </wp:inline>
        </w:drawing>
      </w:r>
      <w:r w:rsidR="00ED0653">
        <w:rPr>
          <w:rFonts w:eastAsia="SimSun"/>
          <w:lang w:eastAsia="zh-CN"/>
        </w:rPr>
        <w:t xml:space="preserve">, </w:t>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t xml:space="preserve">           (A-12b)</w:t>
      </w:r>
    </w:p>
    <w:p w14:paraId="3E4422E4" w14:textId="77777777" w:rsidR="00ED0653" w:rsidRDefault="00ED0653" w:rsidP="009349D2">
      <w:r>
        <w:rPr>
          <w:rFonts w:eastAsia="SimSun"/>
          <w:lang w:eastAsia="zh-CN"/>
        </w:rPr>
        <w:t xml:space="preserve">where </w:t>
      </w:r>
      <w:r w:rsidR="00130392" w:rsidRPr="0078320A">
        <w:t>ε</w:t>
      </w:r>
      <w:r w:rsidR="00130392" w:rsidRPr="0078320A">
        <w:rPr>
          <w:vertAlign w:val="subscript"/>
        </w:rPr>
        <w:t>x</w:t>
      </w:r>
      <w:r w:rsidR="00905A69" w:rsidRPr="0078320A">
        <w:rPr>
          <w:vertAlign w:val="subscript"/>
        </w:rPr>
        <w:t>,</w:t>
      </w:r>
      <w:r w:rsidR="00130392" w:rsidRPr="0078320A">
        <w:rPr>
          <w:vertAlign w:val="subscript"/>
        </w:rPr>
        <w:t xml:space="preserve"> </w:t>
      </w:r>
      <w:r w:rsidR="00130392" w:rsidRPr="0078320A">
        <w:t>and</w:t>
      </w:r>
      <w:r w:rsidR="00130392" w:rsidRPr="0078320A">
        <w:rPr>
          <w:vertAlign w:val="subscript"/>
        </w:rPr>
        <w:t xml:space="preserve"> </w:t>
      </w:r>
      <w:r w:rsidR="00130392" w:rsidRPr="0078320A">
        <w:t>ε</w:t>
      </w:r>
      <w:r w:rsidR="00130392" w:rsidRPr="0078320A">
        <w:rPr>
          <w:vertAlign w:val="subscript"/>
        </w:rPr>
        <w:t xml:space="preserve">z </w:t>
      </w:r>
      <w:r w:rsidR="00130392" w:rsidRPr="0078320A">
        <w:t xml:space="preserve">are </w:t>
      </w:r>
      <w:r w:rsidR="00905A69" w:rsidRPr="0078320A">
        <w:t xml:space="preserve">a </w:t>
      </w:r>
      <w:r w:rsidR="00130392" w:rsidRPr="0078320A">
        <w:t>lateral strain and axial strain</w:t>
      </w:r>
      <w:r>
        <w:t xml:space="preserve"> for an isotropic medium</w:t>
      </w:r>
      <w:r w:rsidR="00130392" w:rsidRPr="0078320A">
        <w:t xml:space="preserve">. </w:t>
      </w:r>
    </w:p>
    <w:p w14:paraId="039F80FB" w14:textId="77777777" w:rsidR="00ED0653" w:rsidRDefault="00ED0653" w:rsidP="009349D2"/>
    <w:p w14:paraId="0BD26E8C" w14:textId="77777777" w:rsidR="00ED0653" w:rsidRDefault="00ED0653" w:rsidP="009349D2"/>
    <w:p w14:paraId="6626ADDC" w14:textId="1923C1E7" w:rsidR="00130392" w:rsidRPr="00ED0653" w:rsidRDefault="00ED0653" w:rsidP="009349D2">
      <w:pPr>
        <w:rPr>
          <w:rFonts w:eastAsia="SimSun"/>
          <w:lang w:eastAsia="zh-CN"/>
        </w:rPr>
      </w:pPr>
      <w:r>
        <w:lastRenderedPageBreak/>
        <w:t>Alternatively, it can be computed:</w:t>
      </w:r>
    </w:p>
    <w:p w14:paraId="74E8C429" w14:textId="46714CBD" w:rsidR="00130392" w:rsidRPr="0078320A" w:rsidRDefault="00987AD1" w:rsidP="009349D2">
      <w:r w:rsidRPr="001E7D67">
        <w:rPr>
          <w:noProof/>
          <w:position w:val="-28"/>
        </w:rPr>
        <w:drawing>
          <wp:inline distT="0" distB="0" distL="0" distR="0" wp14:anchorId="4C453F5E" wp14:editId="23D438DD">
            <wp:extent cx="1422400" cy="558800"/>
            <wp:effectExtent l="0" t="0" r="0" b="0"/>
            <wp:docPr id="1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422400" cy="558800"/>
                    </a:xfrm>
                    <a:prstGeom prst="rect">
                      <a:avLst/>
                    </a:prstGeom>
                    <a:noFill/>
                    <a:ln>
                      <a:noFill/>
                    </a:ln>
                  </pic:spPr>
                </pic:pic>
              </a:graphicData>
            </a:graphic>
          </wp:inline>
        </w:drawing>
      </w:r>
      <w:r w:rsidR="00ED0653">
        <w:t xml:space="preserve">, </w:t>
      </w:r>
      <w:r w:rsidR="00ED0653">
        <w:tab/>
      </w:r>
      <w:r w:rsidR="00ED0653">
        <w:tab/>
      </w:r>
      <w:r w:rsidR="00ED0653">
        <w:tab/>
      </w:r>
      <w:r w:rsidR="00ED0653">
        <w:tab/>
      </w:r>
      <w:r w:rsidR="00ED0653">
        <w:tab/>
      </w:r>
      <w:r w:rsidR="00ED0653">
        <w:tab/>
      </w:r>
      <w:r w:rsidR="00ED0653">
        <w:tab/>
      </w:r>
      <w:r w:rsidR="00ED0653">
        <w:tab/>
      </w:r>
      <w:r w:rsidR="00ED0653">
        <w:tab/>
        <w:t xml:space="preserve"> (A-13)</w:t>
      </w:r>
    </w:p>
    <w:p w14:paraId="244FCFFE" w14:textId="77C2BD54" w:rsidR="00130392" w:rsidRPr="0078320A" w:rsidRDefault="00ED0653" w:rsidP="00ED0653">
      <w:r>
        <w:t xml:space="preserve">Likewise, </w:t>
      </w:r>
      <w:r w:rsidR="00130392" w:rsidRPr="0078320A">
        <w:t xml:space="preserve">the bulk modulus, </w:t>
      </w:r>
      <w:r w:rsidR="00130392" w:rsidRPr="00ED0653">
        <w:rPr>
          <w:i/>
        </w:rPr>
        <w:t>K</w:t>
      </w:r>
      <w:r w:rsidR="00A56450" w:rsidRPr="0078320A">
        <w:t xml:space="preserve"> can be computed</w:t>
      </w:r>
      <w:r w:rsidR="00130392" w:rsidRPr="0078320A">
        <w:t xml:space="preserve">, and the shear modulus, </w:t>
      </w:r>
      <w:r w:rsidR="00130392" w:rsidRPr="00ED0653">
        <w:rPr>
          <w:i/>
        </w:rPr>
        <w:t>G</w:t>
      </w:r>
      <w:r w:rsidR="00130392" w:rsidRPr="0078320A">
        <w:t xml:space="preserve"> using the following relationship:</w:t>
      </w:r>
    </w:p>
    <w:p w14:paraId="0BDEEF28" w14:textId="6E5F95C9" w:rsidR="00ED0653" w:rsidRDefault="00987AD1" w:rsidP="009349D2">
      <w:pPr>
        <w:rPr>
          <w:rFonts w:eastAsia="SimSun"/>
          <w:lang w:eastAsia="zh-CN"/>
        </w:rPr>
      </w:pPr>
      <w:r w:rsidRPr="001E7D67">
        <w:rPr>
          <w:noProof/>
          <w:position w:val="-24"/>
        </w:rPr>
        <w:drawing>
          <wp:inline distT="0" distB="0" distL="0" distR="0" wp14:anchorId="00283571" wp14:editId="28529D16">
            <wp:extent cx="838200" cy="381000"/>
            <wp:effectExtent l="0" t="0" r="0" b="0"/>
            <wp:docPr id="10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838200" cy="381000"/>
                    </a:xfrm>
                    <a:prstGeom prst="rect">
                      <a:avLst/>
                    </a:prstGeom>
                    <a:noFill/>
                    <a:ln>
                      <a:noFill/>
                    </a:ln>
                  </pic:spPr>
                </pic:pic>
              </a:graphicData>
            </a:graphic>
          </wp:inline>
        </w:drawing>
      </w:r>
      <w:r w:rsidR="00130392" w:rsidRPr="0078320A">
        <w:rPr>
          <w:rFonts w:eastAsia="SimSun"/>
          <w:lang w:eastAsia="zh-CN"/>
        </w:rPr>
        <w:tab/>
      </w:r>
      <w:r w:rsidR="00ED0653">
        <w:rPr>
          <w:rFonts w:eastAsia="SimSun"/>
          <w:lang w:eastAsia="zh-CN"/>
        </w:rPr>
        <w:t>,</w:t>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t xml:space="preserve">           (A-14a)</w:t>
      </w:r>
      <w:r w:rsidRPr="001E7D67">
        <w:rPr>
          <w:noProof/>
          <w:position w:val="-24"/>
        </w:rPr>
        <w:drawing>
          <wp:inline distT="0" distB="0" distL="0" distR="0" wp14:anchorId="168594A0" wp14:editId="79A5E70A">
            <wp:extent cx="762000" cy="381000"/>
            <wp:effectExtent l="0" t="0" r="0" b="0"/>
            <wp:docPr id="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r w:rsidR="00ED0653">
        <w:rPr>
          <w:rFonts w:eastAsia="SimSun"/>
          <w:lang w:eastAsia="zh-CN"/>
        </w:rPr>
        <w:t>,</w:t>
      </w:r>
      <w:r w:rsidR="00ED0653">
        <w:rPr>
          <w:rFonts w:eastAsia="SimSun"/>
          <w:lang w:eastAsia="zh-CN"/>
        </w:rPr>
        <w:tab/>
        <w:t xml:space="preserve">          </w:t>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r>
      <w:r w:rsidR="00ED0653">
        <w:rPr>
          <w:rFonts w:eastAsia="SimSun"/>
          <w:lang w:eastAsia="zh-CN"/>
        </w:rPr>
        <w:tab/>
        <w:t xml:space="preserve">                       (A-14b)</w:t>
      </w:r>
      <w:bookmarkStart w:id="468" w:name="_Toc213471284"/>
      <w:bookmarkStart w:id="469" w:name="_Toc22366116"/>
    </w:p>
    <w:p w14:paraId="496AE2E6" w14:textId="77777777" w:rsidR="009B3A58" w:rsidRDefault="00130392" w:rsidP="009B3A58">
      <w:pPr>
        <w:rPr>
          <w:b/>
        </w:rPr>
      </w:pPr>
      <w:r w:rsidRPr="00662698">
        <w:rPr>
          <w:b/>
        </w:rPr>
        <w:t xml:space="preserve">Dynamic </w:t>
      </w:r>
      <w:r w:rsidR="00155E67">
        <w:rPr>
          <w:b/>
        </w:rPr>
        <w:t>m</w:t>
      </w:r>
      <w:r w:rsidRPr="00662698">
        <w:rPr>
          <w:b/>
        </w:rPr>
        <w:t xml:space="preserve">oduli from </w:t>
      </w:r>
      <w:r w:rsidR="00155E67">
        <w:rPr>
          <w:b/>
        </w:rPr>
        <w:t>v</w:t>
      </w:r>
      <w:r w:rsidRPr="00662698">
        <w:rPr>
          <w:b/>
        </w:rPr>
        <w:t>elocities</w:t>
      </w:r>
      <w:bookmarkEnd w:id="468"/>
      <w:bookmarkEnd w:id="469"/>
      <w:r w:rsidRPr="00662698">
        <w:rPr>
          <w:b/>
        </w:rPr>
        <w:t xml:space="preserve"> </w:t>
      </w:r>
    </w:p>
    <w:p w14:paraId="722459DE" w14:textId="573EE40A" w:rsidR="00130392" w:rsidRPr="009B3A58" w:rsidRDefault="00130392" w:rsidP="008244F0">
      <w:pPr>
        <w:ind w:firstLine="720"/>
        <w:rPr>
          <w:b/>
        </w:rPr>
      </w:pPr>
      <w:r w:rsidRPr="0078320A">
        <w:t xml:space="preserve">In order to compute the elastic properties of </w:t>
      </w:r>
      <w:r w:rsidR="009B3A58">
        <w:t>a</w:t>
      </w:r>
      <w:r w:rsidRPr="0078320A">
        <w:t xml:space="preserve"> sample using </w:t>
      </w:r>
      <w:r w:rsidR="009B3A58">
        <w:t>a</w:t>
      </w:r>
      <w:r w:rsidRPr="0078320A">
        <w:t xml:space="preserve"> dynamic measurement</w:t>
      </w:r>
      <w:r w:rsidR="00905A69" w:rsidRPr="0078320A">
        <w:t>,</w:t>
      </w:r>
      <w:r w:rsidRPr="0078320A">
        <w:t xml:space="preserve"> </w:t>
      </w:r>
      <w:r w:rsidR="009B3A58">
        <w:t>it is necessary</w:t>
      </w:r>
      <w:r w:rsidRPr="0078320A">
        <w:t xml:space="preserve"> </w:t>
      </w:r>
      <w:r w:rsidR="009B3A58">
        <w:t xml:space="preserve">to </w:t>
      </w:r>
      <w:r w:rsidRPr="0078320A">
        <w:t>calculate the sample density (</w:t>
      </w:r>
      <w:r w:rsidR="00987AD1" w:rsidRPr="001E7D67">
        <w:rPr>
          <w:noProof/>
          <w:position w:val="-10"/>
        </w:rPr>
        <w:drawing>
          <wp:inline distT="0" distB="0" distL="0" distR="0" wp14:anchorId="45D14512" wp14:editId="1C799453">
            <wp:extent cx="152400" cy="165100"/>
            <wp:effectExtent l="0" t="0" r="0" b="0"/>
            <wp:docPr id="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78320A">
        <w:t>) directly from the RHOB well log. The P-</w:t>
      </w:r>
      <w:r w:rsidR="009B3A58">
        <w:t>w</w:t>
      </w:r>
      <w:r w:rsidRPr="0078320A">
        <w:t xml:space="preserve">ave velocities can </w:t>
      </w:r>
      <w:r w:rsidR="009B3A58">
        <w:t>be computed from the</w:t>
      </w:r>
      <w:r w:rsidR="00905A69" w:rsidRPr="0078320A">
        <w:t xml:space="preserve"> </w:t>
      </w:r>
      <w:r w:rsidRPr="0078320A">
        <w:t xml:space="preserve">DT log. </w:t>
      </w:r>
      <w:r w:rsidR="009B3A58">
        <w:t xml:space="preserve"> These measurements provide dynamic rather than static estimations</w:t>
      </w:r>
      <w:r w:rsidRPr="0078320A">
        <w:t>:</w:t>
      </w:r>
    </w:p>
    <w:p w14:paraId="3098BCE1" w14:textId="0DA5891E" w:rsidR="00130392" w:rsidRPr="00D073A0" w:rsidRDefault="00987AD1" w:rsidP="009349D2">
      <w:r w:rsidRPr="001E7D67">
        <w:rPr>
          <w:noProof/>
          <w:position w:val="-34"/>
        </w:rPr>
        <w:drawing>
          <wp:inline distT="0" distB="0" distL="0" distR="0" wp14:anchorId="0A0F277B" wp14:editId="70AEFFA6">
            <wp:extent cx="1346200" cy="508000"/>
            <wp:effectExtent l="0" t="0" r="0" b="0"/>
            <wp:docPr id="95" name="Picture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46200" cy="508000"/>
                    </a:xfrm>
                    <a:prstGeom prst="rect">
                      <a:avLst/>
                    </a:prstGeom>
                    <a:noFill/>
                    <a:ln>
                      <a:noFill/>
                    </a:ln>
                  </pic:spPr>
                </pic:pic>
              </a:graphicData>
            </a:graphic>
          </wp:inline>
        </w:drawing>
      </w:r>
      <w:r w:rsidR="00130392" w:rsidRPr="00D073A0">
        <w:t xml:space="preserve"> </w:t>
      </w:r>
      <w:r w:rsidR="009B3A58" w:rsidRPr="00D073A0">
        <w:t>,</w:t>
      </w:r>
      <w:r w:rsidR="009B3A58" w:rsidRPr="00D073A0">
        <w:tab/>
      </w:r>
      <w:r w:rsidR="009B3A58" w:rsidRPr="00D073A0">
        <w:tab/>
      </w:r>
      <w:r w:rsidR="009B3A58" w:rsidRPr="00D073A0">
        <w:tab/>
      </w:r>
      <w:r w:rsidR="009B3A58" w:rsidRPr="00D073A0">
        <w:tab/>
      </w:r>
      <w:r w:rsidR="009B3A58" w:rsidRPr="00D073A0">
        <w:tab/>
      </w:r>
      <w:r w:rsidR="009B3A58" w:rsidRPr="00D073A0">
        <w:tab/>
      </w:r>
      <w:r w:rsidR="009B3A58" w:rsidRPr="00D073A0">
        <w:tab/>
      </w:r>
      <w:r w:rsidR="009B3A58" w:rsidRPr="00D073A0">
        <w:tab/>
        <w:t xml:space="preserve">           (A-15a)</w:t>
      </w:r>
      <w:r w:rsidR="00130392" w:rsidRPr="00D073A0">
        <w:rPr>
          <w:rFonts w:eastAsia="SimSun"/>
          <w:lang w:eastAsia="zh-CN"/>
        </w:rPr>
        <w:tab/>
        <w:t xml:space="preserve">     </w:t>
      </w:r>
    </w:p>
    <w:p w14:paraId="1259D34E" w14:textId="0AA8BC51" w:rsidR="00130392" w:rsidRPr="0035004C" w:rsidRDefault="00987AD1" w:rsidP="009349D2">
      <w:pPr>
        <w:rPr>
          <w:lang w:val="es-CO"/>
        </w:rPr>
      </w:pPr>
      <w:r w:rsidRPr="001E7D67">
        <w:rPr>
          <w:noProof/>
          <w:position w:val="-34"/>
        </w:rPr>
        <w:drawing>
          <wp:inline distT="0" distB="0" distL="0" distR="0" wp14:anchorId="192DEBA9" wp14:editId="1DCB9619">
            <wp:extent cx="965200" cy="508000"/>
            <wp:effectExtent l="0" t="0" r="0" b="0"/>
            <wp:docPr id="94" name="Picture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65200" cy="508000"/>
                    </a:xfrm>
                    <a:prstGeom prst="rect">
                      <a:avLst/>
                    </a:prstGeom>
                    <a:noFill/>
                    <a:ln>
                      <a:noFill/>
                    </a:ln>
                  </pic:spPr>
                </pic:pic>
              </a:graphicData>
            </a:graphic>
          </wp:inline>
        </w:drawing>
      </w:r>
      <w:r w:rsidR="00130392" w:rsidRPr="0035004C">
        <w:rPr>
          <w:lang w:val="es-CO"/>
        </w:rPr>
        <w:t xml:space="preserve"> </w:t>
      </w:r>
      <w:r w:rsidR="009B3A58" w:rsidRPr="0035004C">
        <w:rPr>
          <w:lang w:val="es-CO"/>
        </w:rPr>
        <w:t xml:space="preserve">, </w:t>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t xml:space="preserve">           (A-15b)</w:t>
      </w:r>
      <w:r w:rsidR="009B3A58" w:rsidRPr="001E7D67">
        <w:rPr>
          <w:noProof/>
          <w:position w:val="-20"/>
        </w:rPr>
        <w:drawing>
          <wp:inline distT="0" distB="0" distL="0" distR="0" wp14:anchorId="424E68C3" wp14:editId="5515C818">
            <wp:extent cx="1092200" cy="355600"/>
            <wp:effectExtent l="0" t="0" r="0" b="0"/>
            <wp:docPr id="93"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092200" cy="355600"/>
                    </a:xfrm>
                    <a:prstGeom prst="rect">
                      <a:avLst/>
                    </a:prstGeom>
                    <a:noFill/>
                    <a:ln>
                      <a:noFill/>
                    </a:ln>
                  </pic:spPr>
                </pic:pic>
              </a:graphicData>
            </a:graphic>
          </wp:inline>
        </w:drawing>
      </w:r>
      <w:r w:rsidR="009B3A58" w:rsidRPr="0035004C">
        <w:rPr>
          <w:lang w:val="es-CO"/>
        </w:rPr>
        <w:t xml:space="preserve">, </w:t>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r>
      <w:r w:rsidR="009B3A58" w:rsidRPr="0035004C">
        <w:rPr>
          <w:lang w:val="es-CO"/>
        </w:rPr>
        <w:tab/>
        <w:t xml:space="preserve">           (A-15c)</w:t>
      </w:r>
      <w:r w:rsidR="00130392" w:rsidRPr="0035004C">
        <w:rPr>
          <w:rFonts w:eastAsia="SimSun"/>
          <w:lang w:val="es-CO" w:eastAsia="zh-CN"/>
        </w:rPr>
        <w:tab/>
        <w:t xml:space="preserve"> </w:t>
      </w:r>
      <w:r w:rsidR="00130392" w:rsidRPr="0035004C">
        <w:rPr>
          <w:lang w:val="es-CO"/>
        </w:rPr>
        <w:t xml:space="preserve"> </w:t>
      </w:r>
    </w:p>
    <w:p w14:paraId="17DB3109" w14:textId="47E1090C" w:rsidR="009B3A58" w:rsidRPr="0035004C" w:rsidRDefault="009B3A58" w:rsidP="009349D2">
      <w:pPr>
        <w:rPr>
          <w:lang w:val="es-CO"/>
        </w:rPr>
      </w:pPr>
      <w:r>
        <w:rPr>
          <w:noProof/>
        </w:rPr>
        <mc:AlternateContent>
          <mc:Choice Requires="wps">
            <w:drawing>
              <wp:anchor distT="0" distB="0" distL="114300" distR="114300" simplePos="0" relativeHeight="251548160" behindDoc="0" locked="0" layoutInCell="1" allowOverlap="1" wp14:anchorId="4CF3A89F" wp14:editId="5A1211B9">
                <wp:simplePos x="0" y="0"/>
                <wp:positionH relativeFrom="column">
                  <wp:posOffset>856</wp:posOffset>
                </wp:positionH>
                <wp:positionV relativeFrom="paragraph">
                  <wp:posOffset>380393</wp:posOffset>
                </wp:positionV>
                <wp:extent cx="899795" cy="640080"/>
                <wp:effectExtent l="0" t="0" r="0" b="0"/>
                <wp:wrapNone/>
                <wp:docPr id="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5" cy="640080"/>
                        </a:xfrm>
                        <a:prstGeom prst="rect">
                          <a:avLst/>
                        </a:prstGeom>
                        <a:noFill/>
                      </wps:spPr>
                      <wps:txbx>
                        <w:txbxContent>
                          <w:p w14:paraId="1B60B843" w14:textId="2948B7AF" w:rsidR="00EA43A0" w:rsidRPr="00987AD1" w:rsidRDefault="00EA43A0" w:rsidP="00130392">
                            <w:pPr>
                              <w:pStyle w:val="NormalWeb"/>
                              <w:spacing w:before="0" w:beforeAutospacing="0" w:after="0" w:afterAutospacing="0"/>
                              <w:rPr>
                                <w:sz w:val="18"/>
                              </w:rPr>
                            </w:pPr>
                            <m:oMathPara>
                              <m:oMathParaPr>
                                <m:jc m:val="centerGroup"/>
                              </m:oMathParaPr>
                              <m:oMath>
                                <m:r>
                                  <w:rPr>
                                    <w:rFonts w:ascii="Cambria Math" w:eastAsia="Cambria Math" w:hAnsi="Cambria Math"/>
                                    <w:color w:val="000000"/>
                                    <w:kern w:val="24"/>
                                    <w:szCs w:val="36"/>
                                  </w:rPr>
                                  <m:t>α</m:t>
                                </m:r>
                                <m:r>
                                  <w:rPr>
                                    <w:rFonts w:ascii="Cambria Math" w:hAnsi="Cambria Math"/>
                                    <w:color w:val="000000"/>
                                    <w:kern w:val="24"/>
                                    <w:szCs w:val="36"/>
                                  </w:rPr>
                                  <m:t>=1-</m:t>
                                </m:r>
                                <m:f>
                                  <m:fPr>
                                    <m:ctrlPr>
                                      <w:rPr>
                                        <w:rFonts w:ascii="Cambria Math" w:hAnsi="Cambria Math"/>
                                        <w:i/>
                                        <w:iCs/>
                                        <w:color w:val="000000"/>
                                        <w:kern w:val="24"/>
                                        <w:szCs w:val="36"/>
                                      </w:rPr>
                                    </m:ctrlPr>
                                  </m:fPr>
                                  <m:num>
                                    <m:r>
                                      <w:rPr>
                                        <w:rFonts w:ascii="Cambria Math" w:hAnsi="Cambria Math"/>
                                        <w:color w:val="000000"/>
                                        <w:kern w:val="24"/>
                                        <w:szCs w:val="36"/>
                                      </w:rPr>
                                      <m:t>K</m:t>
                                    </m:r>
                                  </m:num>
                                  <m:den>
                                    <m:sSub>
                                      <m:sSubPr>
                                        <m:ctrlPr>
                                          <w:rPr>
                                            <w:rFonts w:ascii="Cambria Math" w:hAnsi="Cambria Math"/>
                                            <w:i/>
                                            <w:iCs/>
                                            <w:color w:val="000000"/>
                                            <w:kern w:val="24"/>
                                            <w:szCs w:val="36"/>
                                          </w:rPr>
                                        </m:ctrlPr>
                                      </m:sSubPr>
                                      <m:e>
                                        <m:r>
                                          <w:rPr>
                                            <w:rFonts w:ascii="Cambria Math" w:hAnsi="Cambria Math"/>
                                            <w:color w:val="000000"/>
                                            <w:kern w:val="24"/>
                                            <w:szCs w:val="36"/>
                                          </w:rPr>
                                          <m:t>K</m:t>
                                        </m:r>
                                      </m:e>
                                      <m:sub>
                                        <m:r>
                                          <w:rPr>
                                            <w:rFonts w:ascii="Cambria Math" w:hAnsi="Cambria Math"/>
                                            <w:color w:val="000000"/>
                                            <w:kern w:val="24"/>
                                            <w:szCs w:val="36"/>
                                          </w:rPr>
                                          <m:t>s</m:t>
                                        </m:r>
                                      </m:sub>
                                    </m:sSub>
                                  </m:den>
                                </m:f>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CF3A89F" id="TextBox 9" o:spid="_x0000_s1055" type="#_x0000_t202" style="position:absolute;left:0;text-align:left;margin-left:.05pt;margin-top:29.95pt;width:70.85pt;height:50.4pt;z-index:251548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" filled="f" stroked="f">
                <v:textbox style="mso-fit-shape-to-text:t">
                  <w:txbxContent>
                    <w:p w14:paraId="1B60B843" w14:textId="2948B7AF" w:rsidR="00EA43A0" w:rsidRPr="00987AD1" w:rsidRDefault="00EA43A0" w:rsidP="00130392">
                      <w:pPr>
                        <w:pStyle w:val="NormalWeb"/>
                        <w:spacing w:before="0" w:beforeAutospacing="0" w:after="0" w:afterAutospacing="0"/>
                        <w:rPr>
                          <w:sz w:val="18"/>
                        </w:rPr>
                      </w:pPr>
                      <m:oMathPara>
                        <m:oMathParaPr>
                          <m:jc m:val="centerGroup"/>
                        </m:oMathParaPr>
                        <m:oMath>
                          <m:r>
                            <w:rPr>
                              <w:rFonts w:ascii="Cambria Math" w:eastAsia="Cambria Math" w:hAnsi="Cambria Math"/>
                              <w:color w:val="000000"/>
                              <w:kern w:val="24"/>
                              <w:szCs w:val="36"/>
                            </w:rPr>
                            <m:t>α</m:t>
                          </m:r>
                          <m:r>
                            <w:rPr>
                              <w:rFonts w:ascii="Cambria Math" w:hAnsi="Cambria Math"/>
                              <w:color w:val="000000"/>
                              <w:kern w:val="24"/>
                              <w:szCs w:val="36"/>
                            </w:rPr>
                            <m:t>=1-</m:t>
                          </m:r>
                          <m:f>
                            <m:fPr>
                              <m:ctrlPr>
                                <w:rPr>
                                  <w:rFonts w:ascii="Cambria Math" w:hAnsi="Cambria Math"/>
                                  <w:i/>
                                  <w:iCs/>
                                  <w:color w:val="000000"/>
                                  <w:kern w:val="24"/>
                                  <w:szCs w:val="36"/>
                                </w:rPr>
                              </m:ctrlPr>
                            </m:fPr>
                            <m:num>
                              <m:r>
                                <w:rPr>
                                  <w:rFonts w:ascii="Cambria Math" w:hAnsi="Cambria Math"/>
                                  <w:color w:val="000000"/>
                                  <w:kern w:val="24"/>
                                  <w:szCs w:val="36"/>
                                </w:rPr>
                                <m:t>K</m:t>
                              </m:r>
                            </m:num>
                            <m:den>
                              <m:sSub>
                                <m:sSubPr>
                                  <m:ctrlPr>
                                    <w:rPr>
                                      <w:rFonts w:ascii="Cambria Math" w:hAnsi="Cambria Math"/>
                                      <w:i/>
                                      <w:iCs/>
                                      <w:color w:val="000000"/>
                                      <w:kern w:val="24"/>
                                      <w:szCs w:val="36"/>
                                    </w:rPr>
                                  </m:ctrlPr>
                                </m:sSubPr>
                                <m:e>
                                  <m:r>
                                    <w:rPr>
                                      <w:rFonts w:ascii="Cambria Math" w:hAnsi="Cambria Math"/>
                                      <w:color w:val="000000"/>
                                      <w:kern w:val="24"/>
                                      <w:szCs w:val="36"/>
                                    </w:rPr>
                                    <m:t>K</m:t>
                                  </m:r>
                                </m:e>
                                <m:sub>
                                  <m:r>
                                    <w:rPr>
                                      <w:rFonts w:ascii="Cambria Math" w:hAnsi="Cambria Math"/>
                                      <w:color w:val="000000"/>
                                      <w:kern w:val="24"/>
                                      <w:szCs w:val="36"/>
                                    </w:rPr>
                                    <m:t>s</m:t>
                                  </m:r>
                                </m:sub>
                              </m:sSub>
                            </m:den>
                          </m:f>
                        </m:oMath>
                      </m:oMathPara>
                    </w:p>
                  </w:txbxContent>
                </v:textbox>
              </v:shape>
            </w:pict>
          </mc:Fallback>
        </mc:AlternateContent>
      </w:r>
      <w:r w:rsidRPr="001E7D67">
        <w:rPr>
          <w:noProof/>
          <w:position w:val="-12"/>
        </w:rPr>
        <w:drawing>
          <wp:inline distT="0" distB="0" distL="0" distR="0" wp14:anchorId="7316B83A" wp14:editId="49A686A6">
            <wp:extent cx="596900" cy="241300"/>
            <wp:effectExtent l="0" t="0" r="0" b="0"/>
            <wp:docPr id="92" name="Picture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6900" cy="241300"/>
                    </a:xfrm>
                    <a:prstGeom prst="rect">
                      <a:avLst/>
                    </a:prstGeom>
                    <a:noFill/>
                    <a:ln>
                      <a:noFill/>
                    </a:ln>
                  </pic:spPr>
                </pic:pic>
              </a:graphicData>
            </a:graphic>
          </wp:inline>
        </w:drawing>
      </w:r>
      <w:r w:rsidRPr="0035004C">
        <w:rPr>
          <w:lang w:val="es-CO"/>
        </w:rPr>
        <w:t xml:space="preserve">, </w:t>
      </w:r>
      <w:r w:rsidRPr="0035004C">
        <w:rPr>
          <w:lang w:val="es-CO"/>
        </w:rPr>
        <w:tab/>
      </w:r>
      <w:r w:rsidRPr="0035004C">
        <w:rPr>
          <w:lang w:val="es-CO"/>
        </w:rPr>
        <w:tab/>
      </w:r>
      <w:r w:rsidRPr="0035004C">
        <w:rPr>
          <w:lang w:val="es-CO"/>
        </w:rPr>
        <w:tab/>
      </w:r>
      <w:r w:rsidRPr="0035004C">
        <w:rPr>
          <w:lang w:val="es-CO"/>
        </w:rPr>
        <w:tab/>
      </w:r>
      <w:r w:rsidRPr="0035004C">
        <w:rPr>
          <w:lang w:val="es-CO"/>
        </w:rPr>
        <w:tab/>
      </w:r>
      <w:r w:rsidRPr="0035004C">
        <w:rPr>
          <w:lang w:val="es-CO"/>
        </w:rPr>
        <w:tab/>
      </w:r>
      <w:r w:rsidRPr="0035004C">
        <w:rPr>
          <w:lang w:val="es-CO"/>
        </w:rPr>
        <w:tab/>
      </w:r>
      <w:r w:rsidRPr="0035004C">
        <w:rPr>
          <w:lang w:val="es-CO"/>
        </w:rPr>
        <w:tab/>
      </w:r>
      <w:r w:rsidRPr="0035004C">
        <w:rPr>
          <w:lang w:val="es-CO"/>
        </w:rPr>
        <w:tab/>
      </w:r>
      <w:r w:rsidRPr="0035004C">
        <w:rPr>
          <w:lang w:val="es-CO"/>
        </w:rPr>
        <w:tab/>
        <w:t xml:space="preserve">           (A-15d)</w:t>
      </w:r>
    </w:p>
    <w:p w14:paraId="09A7E951" w14:textId="6188D603" w:rsidR="00130392" w:rsidRPr="009B3A58" w:rsidRDefault="00130392" w:rsidP="009349D2">
      <w:pPr>
        <w:rPr>
          <w:position w:val="-12"/>
        </w:rPr>
      </w:pPr>
      <w:r w:rsidRPr="0035004C">
        <w:rPr>
          <w:lang w:val="es-CO"/>
        </w:rPr>
        <w:t xml:space="preserve"> </w:t>
      </w:r>
      <w:r w:rsidRPr="0035004C">
        <w:rPr>
          <w:position w:val="-20"/>
          <w:lang w:val="es-CO"/>
        </w:rPr>
        <w:t xml:space="preserve"> </w:t>
      </w:r>
      <w:r w:rsidR="009B3A58" w:rsidRPr="0035004C">
        <w:rPr>
          <w:position w:val="-12"/>
          <w:lang w:val="es-CO"/>
        </w:rPr>
        <w:t xml:space="preserve">   </w:t>
      </w:r>
      <w:r w:rsidRPr="0035004C">
        <w:rPr>
          <w:position w:val="-12"/>
          <w:lang w:val="es-CO"/>
        </w:rPr>
        <w:t xml:space="preserve">                      </w:t>
      </w:r>
      <w:r w:rsidR="00EA3F0B" w:rsidRPr="0035004C">
        <w:rPr>
          <w:position w:val="-12"/>
          <w:lang w:val="es-CO"/>
        </w:rPr>
        <w:t>; Ks</w:t>
      </w:r>
      <w:r w:rsidRPr="0035004C">
        <w:rPr>
          <w:position w:val="-12"/>
          <w:lang w:val="es-CO"/>
        </w:rPr>
        <w:t xml:space="preserve"> = 83GPa</w:t>
      </w:r>
      <w:r w:rsidR="009B3A58" w:rsidRPr="0035004C">
        <w:rPr>
          <w:position w:val="-12"/>
          <w:lang w:val="es-CO"/>
        </w:rPr>
        <w:t xml:space="preserve"> for </w:t>
      </w:r>
      <w:r w:rsidR="0040621C" w:rsidRPr="0035004C">
        <w:rPr>
          <w:position w:val="-12"/>
          <w:lang w:val="es-CO"/>
        </w:rPr>
        <w:t>s</w:t>
      </w:r>
      <w:r w:rsidR="009B3A58" w:rsidRPr="0035004C">
        <w:rPr>
          <w:position w:val="-12"/>
          <w:lang w:val="es-CO"/>
        </w:rPr>
        <w:t>outh Oklahoma (Sierra-</w:t>
      </w:r>
      <w:r w:rsidR="00EA3F0B" w:rsidRPr="0035004C">
        <w:rPr>
          <w:position w:val="-12"/>
          <w:lang w:val="es-CO"/>
        </w:rPr>
        <w:t>Pérez</w:t>
      </w:r>
      <w:r w:rsidR="009B3A58" w:rsidRPr="0035004C">
        <w:rPr>
          <w:position w:val="-12"/>
          <w:lang w:val="es-CO"/>
        </w:rPr>
        <w:t xml:space="preserve">, 2011).                          </w:t>
      </w:r>
      <w:r w:rsidR="009B3A58" w:rsidRPr="009B3A58">
        <w:rPr>
          <w:position w:val="-12"/>
        </w:rPr>
        <w:t>(A-15e)</w:t>
      </w:r>
    </w:p>
    <w:p w14:paraId="15E6CF97" w14:textId="1EDC80B8" w:rsidR="009B3A58" w:rsidRDefault="009B3A58" w:rsidP="009B3A58">
      <w:pPr>
        <w:ind w:left="720" w:hanging="720"/>
      </w:pPr>
      <w:r>
        <w:rPr>
          <w:noProof/>
        </w:rPr>
        <w:lastRenderedPageBreak/>
        <mc:AlternateContent>
          <mc:Choice Requires="wps">
            <w:drawing>
              <wp:anchor distT="0" distB="0" distL="114300" distR="114300" simplePos="0" relativeHeight="251552256" behindDoc="0" locked="0" layoutInCell="1" allowOverlap="1" wp14:anchorId="66B6750A" wp14:editId="53E6AD99">
                <wp:simplePos x="0" y="0"/>
                <wp:positionH relativeFrom="column">
                  <wp:posOffset>0</wp:posOffset>
                </wp:positionH>
                <wp:positionV relativeFrom="paragraph">
                  <wp:posOffset>420066</wp:posOffset>
                </wp:positionV>
                <wp:extent cx="1768475" cy="449580"/>
                <wp:effectExtent l="0" t="0" r="0" b="0"/>
                <wp:wrapNone/>
                <wp:docPr id="5"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449580"/>
                        </a:xfrm>
                        <a:prstGeom prst="rect">
                          <a:avLst/>
                        </a:prstGeom>
                        <a:noFill/>
                      </wps:spPr>
                      <wps:txbx>
                        <w:txbxContent>
                          <w:p w14:paraId="688995F7" w14:textId="7904595B" w:rsidR="00EA43A0" w:rsidRPr="00987AD1" w:rsidRDefault="000310DF" w:rsidP="00130392">
                            <w:pPr>
                              <w:pStyle w:val="NormalWeb"/>
                              <w:spacing w:before="0" w:beforeAutospacing="0" w:after="0" w:afterAutospacing="0"/>
                              <w:rPr>
                                <w:sz w:val="18"/>
                              </w:rPr>
                            </w:pPr>
                            <m:oMathPara>
                              <m:oMathParaPr>
                                <m:jc m:val="centerGroup"/>
                              </m:oMathParaPr>
                              <m:oMath>
                                <m:sSup>
                                  <m:sSupPr>
                                    <m:ctrlPr>
                                      <w:rPr>
                                        <w:rFonts w:ascii="Cambria Math" w:hAnsi="Cambria Math"/>
                                        <w:i/>
                                        <w:iCs/>
                                        <w:color w:val="000000"/>
                                        <w:kern w:val="24"/>
                                        <w:szCs w:val="36"/>
                                      </w:rPr>
                                    </m:ctrlPr>
                                  </m:sSupPr>
                                  <m:e>
                                    <m:r>
                                      <w:rPr>
                                        <w:rFonts w:ascii="Cambria Math" w:hAnsi="Cambria Math"/>
                                        <w:color w:val="000000"/>
                                        <w:kern w:val="24"/>
                                        <w:szCs w:val="36"/>
                                      </w:rPr>
                                      <m:t>UCS=7.22E</m:t>
                                    </m:r>
                                  </m:e>
                                  <m:sup>
                                    <m:r>
                                      <w:rPr>
                                        <w:rFonts w:ascii="Cambria Math" w:hAnsi="Cambria Math"/>
                                        <w:color w:val="000000"/>
                                        <w:kern w:val="24"/>
                                        <w:szCs w:val="36"/>
                                      </w:rPr>
                                      <m:t>0.712</m:t>
                                    </m:r>
                                  </m:sup>
                                </m:sSup>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B6750A" id="_x0000_s1056" type="#_x0000_t202" style="position:absolute;left:0;text-align:left;margin-left:0;margin-top:33.1pt;width:139.25pt;height:35.4pt;z-index:251552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" filled="f" stroked="f">
                <v:textbox style="mso-fit-shape-to-text:t">
                  <w:txbxContent>
                    <w:p w14:paraId="688995F7" w14:textId="7904595B" w:rsidR="00EA43A0" w:rsidRPr="00987AD1" w:rsidRDefault="000310DF" w:rsidP="00130392">
                      <w:pPr>
                        <w:pStyle w:val="NormalWeb"/>
                        <w:spacing w:before="0" w:beforeAutospacing="0" w:after="0" w:afterAutospacing="0"/>
                        <w:rPr>
                          <w:sz w:val="18"/>
                        </w:rPr>
                      </w:pPr>
                      <m:oMathPara>
                        <m:oMathParaPr>
                          <m:jc m:val="centerGroup"/>
                        </m:oMathParaPr>
                        <m:oMath>
                          <m:sSup>
                            <m:sSupPr>
                              <m:ctrlPr>
                                <w:rPr>
                                  <w:rFonts w:ascii="Cambria Math" w:hAnsi="Cambria Math"/>
                                  <w:i/>
                                  <w:iCs/>
                                  <w:color w:val="000000"/>
                                  <w:kern w:val="24"/>
                                  <w:szCs w:val="36"/>
                                </w:rPr>
                              </m:ctrlPr>
                            </m:sSupPr>
                            <m:e>
                              <m:r>
                                <w:rPr>
                                  <w:rFonts w:ascii="Cambria Math" w:hAnsi="Cambria Math"/>
                                  <w:color w:val="000000"/>
                                  <w:kern w:val="24"/>
                                  <w:szCs w:val="36"/>
                                </w:rPr>
                                <m:t>UCS=7.22E</m:t>
                              </m:r>
                            </m:e>
                            <m:sup>
                              <m:r>
                                <w:rPr>
                                  <w:rFonts w:ascii="Cambria Math" w:hAnsi="Cambria Math"/>
                                  <w:color w:val="000000"/>
                                  <w:kern w:val="24"/>
                                  <w:szCs w:val="36"/>
                                </w:rPr>
                                <m:t>0.712</m:t>
                              </m:r>
                            </m:sup>
                          </m:sSup>
                        </m:oMath>
                      </m:oMathPara>
                    </w:p>
                  </w:txbxContent>
                </v:textbox>
              </v:shape>
            </w:pict>
          </mc:Fallback>
        </mc:AlternateContent>
      </w:r>
      <w:r w:rsidR="0040621C">
        <w:t>Th</w:t>
      </w:r>
      <w:r>
        <w:t>e Uncon</w:t>
      </w:r>
      <w:r w:rsidR="0040621C">
        <w:t>f</w:t>
      </w:r>
      <w:r>
        <w:t>ined stress in MPa is:</w:t>
      </w:r>
    </w:p>
    <w:p w14:paraId="04898D77" w14:textId="5F8FC28F" w:rsidR="00130392" w:rsidRPr="0078320A" w:rsidRDefault="00987AD1" w:rsidP="009349D2">
      <w:r>
        <w:rPr>
          <w:noProof/>
        </w:rPr>
        <mc:AlternateContent>
          <mc:Choice Requires="wps">
            <w:drawing>
              <wp:anchor distT="0" distB="0" distL="114300" distR="114300" simplePos="0" relativeHeight="251556352" behindDoc="0" locked="0" layoutInCell="1" allowOverlap="1" wp14:anchorId="3779F0ED" wp14:editId="4AD2885E">
                <wp:simplePos x="0" y="0"/>
                <wp:positionH relativeFrom="column">
                  <wp:posOffset>-856</wp:posOffset>
                </wp:positionH>
                <wp:positionV relativeFrom="paragraph">
                  <wp:posOffset>417802</wp:posOffset>
                </wp:positionV>
                <wp:extent cx="1638935" cy="449580"/>
                <wp:effectExtent l="0" t="0" r="0" b="0"/>
                <wp:wrapNone/>
                <wp:docPr id="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935" cy="449580"/>
                        </a:xfrm>
                        <a:prstGeom prst="rect">
                          <a:avLst/>
                        </a:prstGeom>
                        <a:noFill/>
                      </wps:spPr>
                      <wps:txbx>
                        <w:txbxContent>
                          <w:p w14:paraId="014B0458" w14:textId="38B43924" w:rsidR="00EA43A0" w:rsidRPr="00987AD1" w:rsidRDefault="000310DF" w:rsidP="00130392">
                            <w:pPr>
                              <w:pStyle w:val="NormalWeb"/>
                              <w:spacing w:before="0" w:beforeAutospacing="0" w:after="0" w:afterAutospacing="0"/>
                              <w:rPr>
                                <w:sz w:val="18"/>
                              </w:rPr>
                            </w:pPr>
                            <m:oMathPara>
                              <m:oMathParaPr>
                                <m:jc m:val="centerGroup"/>
                              </m:oMathParaPr>
                              <m:oMath>
                                <m:sSup>
                                  <m:sSupPr>
                                    <m:ctrlPr>
                                      <w:rPr>
                                        <w:rFonts w:ascii="Cambria Math" w:hAnsi="Cambria Math"/>
                                        <w:i/>
                                        <w:iCs/>
                                        <w:color w:val="000000"/>
                                        <w:kern w:val="24"/>
                                        <w:szCs w:val="36"/>
                                      </w:rPr>
                                    </m:ctrlPr>
                                  </m:sSupPr>
                                  <m:e>
                                    <m:r>
                                      <w:rPr>
                                        <w:rFonts w:ascii="Cambria Math" w:hAnsi="Cambria Math"/>
                                        <w:color w:val="000000"/>
                                        <w:kern w:val="24"/>
                                        <w:szCs w:val="36"/>
                                      </w:rPr>
                                      <m:t>UCS=25.1E</m:t>
                                    </m:r>
                                  </m:e>
                                  <m:sup>
                                    <m:r>
                                      <w:rPr>
                                        <w:rFonts w:ascii="Cambria Math" w:hAnsi="Cambria Math"/>
                                        <w:color w:val="000000"/>
                                        <w:kern w:val="24"/>
                                        <w:szCs w:val="36"/>
                                      </w:rPr>
                                      <m:t>0.3</m:t>
                                    </m:r>
                                  </m:sup>
                                </m:sSup>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779F0ED" id="_x0000_s1057" type="#_x0000_t202" style="position:absolute;left:0;text-align:left;margin-left:-.05pt;margin-top:32.9pt;width:129.05pt;height:35.4pt;z-index:25155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" filled="f" stroked="f">
                <v:textbox style="mso-fit-shape-to-text:t">
                  <w:txbxContent>
                    <w:p w14:paraId="014B0458" w14:textId="38B43924" w:rsidR="00EA43A0" w:rsidRPr="00987AD1" w:rsidRDefault="000310DF" w:rsidP="00130392">
                      <w:pPr>
                        <w:pStyle w:val="NormalWeb"/>
                        <w:spacing w:before="0" w:beforeAutospacing="0" w:after="0" w:afterAutospacing="0"/>
                        <w:rPr>
                          <w:sz w:val="18"/>
                        </w:rPr>
                      </w:pPr>
                      <m:oMathPara>
                        <m:oMathParaPr>
                          <m:jc m:val="centerGroup"/>
                        </m:oMathParaPr>
                        <m:oMath>
                          <m:sSup>
                            <m:sSupPr>
                              <m:ctrlPr>
                                <w:rPr>
                                  <w:rFonts w:ascii="Cambria Math" w:hAnsi="Cambria Math"/>
                                  <w:i/>
                                  <w:iCs/>
                                  <w:color w:val="000000"/>
                                  <w:kern w:val="24"/>
                                  <w:szCs w:val="36"/>
                                </w:rPr>
                              </m:ctrlPr>
                            </m:sSupPr>
                            <m:e>
                              <m:r>
                                <w:rPr>
                                  <w:rFonts w:ascii="Cambria Math" w:hAnsi="Cambria Math"/>
                                  <w:color w:val="000000"/>
                                  <w:kern w:val="24"/>
                                  <w:szCs w:val="36"/>
                                </w:rPr>
                                <m:t>UCS=25.1E</m:t>
                              </m:r>
                            </m:e>
                            <m:sup>
                              <m:r>
                                <w:rPr>
                                  <w:rFonts w:ascii="Cambria Math" w:hAnsi="Cambria Math"/>
                                  <w:color w:val="000000"/>
                                  <w:kern w:val="24"/>
                                  <w:szCs w:val="36"/>
                                </w:rPr>
                                <m:t>0.3</m:t>
                              </m:r>
                            </m:sup>
                          </m:sSup>
                        </m:oMath>
                      </m:oMathPara>
                    </w:p>
                  </w:txbxContent>
                </v:textbox>
              </v:shape>
            </w:pict>
          </mc:Fallback>
        </mc:AlternateContent>
      </w:r>
      <w:r w:rsidR="00130392" w:rsidRPr="0078320A">
        <w:t xml:space="preserve">                                      for shale intervals.</w:t>
      </w:r>
      <w:r w:rsidR="00C1519F">
        <w:t xml:space="preserve"> </w:t>
      </w:r>
      <w:r w:rsidR="00C1519F">
        <w:tab/>
      </w:r>
      <w:r w:rsidR="00C1519F">
        <w:tab/>
      </w:r>
      <w:r w:rsidR="00C1519F">
        <w:tab/>
      </w:r>
      <w:r w:rsidR="00C1519F">
        <w:tab/>
      </w:r>
      <w:r w:rsidR="00C1519F">
        <w:tab/>
      </w:r>
      <w:r w:rsidR="00C1519F">
        <w:tab/>
      </w:r>
      <w:r w:rsidR="00C1519F">
        <w:tab/>
        <w:t xml:space="preserve"> (A-16)</w:t>
      </w:r>
    </w:p>
    <w:p w14:paraId="2C04CED2" w14:textId="5AF76F62" w:rsidR="00130392" w:rsidRDefault="00130392" w:rsidP="009349D2">
      <w:r w:rsidRPr="0078320A">
        <w:t xml:space="preserve">                                      for dolomite-rich intervals.</w:t>
      </w:r>
      <w:r w:rsidR="00C1519F">
        <w:t xml:space="preserve"> </w:t>
      </w:r>
      <w:r w:rsidR="00C1519F">
        <w:tab/>
      </w:r>
      <w:r w:rsidR="00C1519F">
        <w:tab/>
      </w:r>
      <w:r w:rsidR="00C1519F">
        <w:tab/>
      </w:r>
      <w:r w:rsidR="00C1519F">
        <w:tab/>
      </w:r>
      <w:r w:rsidR="00C1519F">
        <w:tab/>
      </w:r>
      <w:r w:rsidR="00C1519F">
        <w:tab/>
        <w:t xml:space="preserve"> (A-17)</w:t>
      </w:r>
    </w:p>
    <w:p w14:paraId="46154375" w14:textId="09066DBD" w:rsidR="00C1519F" w:rsidRDefault="00C1519F" w:rsidP="009349D2">
      <w:r>
        <w:rPr>
          <w:noProof/>
        </w:rPr>
        <mc:AlternateContent>
          <mc:Choice Requires="wps">
            <w:drawing>
              <wp:anchor distT="0" distB="0" distL="114300" distR="114300" simplePos="0" relativeHeight="251560448" behindDoc="0" locked="0" layoutInCell="1" allowOverlap="1" wp14:anchorId="1F5E9453" wp14:editId="22915AEC">
                <wp:simplePos x="0" y="0"/>
                <wp:positionH relativeFrom="column">
                  <wp:posOffset>-29210</wp:posOffset>
                </wp:positionH>
                <wp:positionV relativeFrom="paragraph">
                  <wp:posOffset>421309</wp:posOffset>
                </wp:positionV>
                <wp:extent cx="1200150" cy="372745"/>
                <wp:effectExtent l="0" t="0" r="0" b="8255"/>
                <wp:wrapNone/>
                <wp:docPr id="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24EC1" w14:textId="1D434110" w:rsidR="00EA43A0" w:rsidRPr="00987AD1" w:rsidRDefault="000310DF" w:rsidP="00130392">
                            <w:pPr>
                              <w:pStyle w:val="NormalWeb"/>
                              <w:spacing w:before="0" w:beforeAutospacing="0" w:after="0" w:afterAutospacing="0"/>
                              <w:rPr>
                                <w:sz w:val="18"/>
                              </w:rPr>
                            </w:pPr>
                            <m:oMathPara>
                              <m:oMathParaPr>
                                <m:jc m:val="left"/>
                              </m:oMathParaPr>
                              <m:oMath>
                                <m:sSub>
                                  <m:sSubPr>
                                    <m:ctrlPr>
                                      <w:rPr>
                                        <w:rFonts w:ascii="Cambria Math" w:hAnsi="Cambria Math"/>
                                        <w:i/>
                                        <w:iCs/>
                                        <w:color w:val="000000"/>
                                        <w:kern w:val="24"/>
                                        <w:szCs w:val="36"/>
                                      </w:rPr>
                                    </m:ctrlPr>
                                  </m:sSubPr>
                                  <m:e>
                                    <m:r>
                                      <w:rPr>
                                        <w:rFonts w:ascii="Cambria Math" w:hAnsi="Cambria Math"/>
                                        <w:color w:val="000000"/>
                                        <w:kern w:val="24"/>
                                        <w:szCs w:val="36"/>
                                      </w:rPr>
                                      <m:t>T</m:t>
                                    </m:r>
                                  </m:e>
                                  <m:sub>
                                    <m:r>
                                      <w:rPr>
                                        <w:rFonts w:ascii="Cambria Math" w:hAnsi="Cambria Math"/>
                                        <w:color w:val="000000"/>
                                        <w:kern w:val="24"/>
                                        <w:szCs w:val="36"/>
                                      </w:rPr>
                                      <m:t>o</m:t>
                                    </m:r>
                                  </m:sub>
                                </m:sSub>
                                <m:r>
                                  <w:rPr>
                                    <w:rFonts w:ascii="Cambria Math" w:hAnsi="Cambria Math"/>
                                    <w:color w:val="000000"/>
                                    <w:kern w:val="24"/>
                                    <w:szCs w:val="36"/>
                                  </w:rPr>
                                  <m:t>=10%UCS</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E9453" id="_x0000_s1058" type="#_x0000_t202" style="position:absolute;left:0;text-align:left;margin-left:-2.3pt;margin-top:33.15pt;width:94.5pt;height:29.3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" filled="f" stroked="f">
                <v:textbox>
                  <w:txbxContent>
                    <w:p w14:paraId="35F24EC1" w14:textId="1D434110" w:rsidR="00EA43A0" w:rsidRPr="00987AD1" w:rsidRDefault="000310DF" w:rsidP="00130392">
                      <w:pPr>
                        <w:pStyle w:val="NormalWeb"/>
                        <w:spacing w:before="0" w:beforeAutospacing="0" w:after="0" w:afterAutospacing="0"/>
                        <w:rPr>
                          <w:sz w:val="18"/>
                        </w:rPr>
                      </w:pPr>
                      <m:oMathPara>
                        <m:oMathParaPr>
                          <m:jc m:val="left"/>
                        </m:oMathParaPr>
                        <m:oMath>
                          <m:sSub>
                            <m:sSubPr>
                              <m:ctrlPr>
                                <w:rPr>
                                  <w:rFonts w:ascii="Cambria Math" w:hAnsi="Cambria Math"/>
                                  <w:i/>
                                  <w:iCs/>
                                  <w:color w:val="000000"/>
                                  <w:kern w:val="24"/>
                                  <w:szCs w:val="36"/>
                                </w:rPr>
                              </m:ctrlPr>
                            </m:sSubPr>
                            <m:e>
                              <m:r>
                                <w:rPr>
                                  <w:rFonts w:ascii="Cambria Math" w:hAnsi="Cambria Math"/>
                                  <w:color w:val="000000"/>
                                  <w:kern w:val="24"/>
                                  <w:szCs w:val="36"/>
                                </w:rPr>
                                <m:t>T</m:t>
                              </m:r>
                            </m:e>
                            <m:sub>
                              <m:r>
                                <w:rPr>
                                  <w:rFonts w:ascii="Cambria Math" w:hAnsi="Cambria Math"/>
                                  <w:color w:val="000000"/>
                                  <w:kern w:val="24"/>
                                  <w:szCs w:val="36"/>
                                </w:rPr>
                                <m:t>o</m:t>
                              </m:r>
                            </m:sub>
                          </m:sSub>
                          <m:r>
                            <w:rPr>
                              <w:rFonts w:ascii="Cambria Math" w:hAnsi="Cambria Math"/>
                              <w:color w:val="000000"/>
                              <w:kern w:val="24"/>
                              <w:szCs w:val="36"/>
                            </w:rPr>
                            <m:t>=10%UCS</m:t>
                          </m:r>
                        </m:oMath>
                      </m:oMathPara>
                    </w:p>
                  </w:txbxContent>
                </v:textbox>
              </v:shape>
            </w:pict>
          </mc:Fallback>
        </mc:AlternateContent>
      </w:r>
      <w:r>
        <w:t>and the Tensile stress</w:t>
      </w:r>
    </w:p>
    <w:p w14:paraId="56AC97B8" w14:textId="67342670" w:rsidR="00C1519F" w:rsidRPr="0078320A" w:rsidRDefault="00C1519F" w:rsidP="009349D2">
      <w:r>
        <w:t xml:space="preserve">                           , </w:t>
      </w:r>
      <w:r>
        <w:tab/>
      </w:r>
      <w:r>
        <w:tab/>
      </w:r>
      <w:r>
        <w:tab/>
      </w:r>
      <w:r>
        <w:tab/>
      </w:r>
      <w:r>
        <w:tab/>
      </w:r>
      <w:r>
        <w:tab/>
      </w:r>
      <w:r>
        <w:tab/>
      </w:r>
      <w:r>
        <w:tab/>
      </w:r>
      <w:r>
        <w:tab/>
      </w:r>
      <w:r>
        <w:tab/>
        <w:t xml:space="preserve"> (A-18)</w:t>
      </w:r>
    </w:p>
    <w:p w14:paraId="0B39800C" w14:textId="5A8FCE97" w:rsidR="00130392" w:rsidRPr="00662698" w:rsidRDefault="00130392" w:rsidP="00C1519F">
      <w:pPr>
        <w:spacing w:after="0"/>
        <w:rPr>
          <w:b/>
        </w:rPr>
      </w:pPr>
      <w:bookmarkStart w:id="470" w:name="_Toc22366117"/>
      <w:r w:rsidRPr="00662698">
        <w:rPr>
          <w:b/>
        </w:rPr>
        <w:t xml:space="preserve">In-situ </w:t>
      </w:r>
      <w:r w:rsidR="00155E67">
        <w:rPr>
          <w:b/>
        </w:rPr>
        <w:t>s</w:t>
      </w:r>
      <w:r w:rsidRPr="00662698">
        <w:rPr>
          <w:b/>
        </w:rPr>
        <w:t>tresses and</w:t>
      </w:r>
      <w:r w:rsidR="00C1519F">
        <w:rPr>
          <w:b/>
        </w:rPr>
        <w:t xml:space="preserve"> the</w:t>
      </w:r>
      <w:r w:rsidRPr="00662698">
        <w:rPr>
          <w:b/>
        </w:rPr>
        <w:t xml:space="preserve"> </w:t>
      </w:r>
      <w:bookmarkStart w:id="471" w:name="_Toc315947161"/>
      <w:r w:rsidR="00155E67">
        <w:rPr>
          <w:b/>
        </w:rPr>
        <w:t>f</w:t>
      </w:r>
      <w:r w:rsidRPr="00662698">
        <w:rPr>
          <w:b/>
        </w:rPr>
        <w:t xml:space="preserve">racture </w:t>
      </w:r>
      <w:r w:rsidR="00155E67">
        <w:rPr>
          <w:b/>
        </w:rPr>
        <w:t>g</w:t>
      </w:r>
      <w:r w:rsidRPr="00662698">
        <w:rPr>
          <w:b/>
        </w:rPr>
        <w:t>radient</w:t>
      </w:r>
      <w:bookmarkEnd w:id="470"/>
      <w:r w:rsidR="00155E67">
        <w:rPr>
          <w:b/>
        </w:rPr>
        <w:t xml:space="preserve"> (FG)</w:t>
      </w:r>
    </w:p>
    <w:p w14:paraId="0DA51680" w14:textId="6F3BE12D" w:rsidR="00C1519F" w:rsidRDefault="00130392" w:rsidP="008244F0">
      <w:pPr>
        <w:ind w:firstLine="720"/>
      </w:pPr>
      <w:bookmarkStart w:id="472" w:name="_Toc323211222"/>
      <w:r w:rsidRPr="0078320A">
        <w:t>Depending on the in-situ stress state</w:t>
      </w:r>
      <w:r w:rsidR="00905A69" w:rsidRPr="0078320A">
        <w:t>,</w:t>
      </w:r>
      <w:r w:rsidRPr="0078320A">
        <w:t xml:space="preserve"> there may exist an optimal</w:t>
      </w:r>
      <w:r w:rsidR="00C1519F">
        <w:t xml:space="preserve"> </w:t>
      </w:r>
      <w:r w:rsidR="00C1519F" w:rsidRPr="0078320A">
        <w:t>drilled near-balanced or under-balanced</w:t>
      </w:r>
      <w:r w:rsidRPr="0078320A">
        <w:t xml:space="preserve"> trajectory that can be to minimize the</w:t>
      </w:r>
      <w:r w:rsidR="00603773" w:rsidRPr="0078320A">
        <w:t xml:space="preserve"> rock</w:t>
      </w:r>
      <w:r w:rsidRPr="0078320A">
        <w:t xml:space="preserve"> </w:t>
      </w:r>
      <w:r w:rsidR="00905A69" w:rsidRPr="0078320A">
        <w:t xml:space="preserve">damaging </w:t>
      </w:r>
      <w:r w:rsidRPr="0078320A">
        <w:t>effects due to mud infiltration o</w:t>
      </w:r>
      <w:r w:rsidR="00C1519F">
        <w:t>n the</w:t>
      </w:r>
      <w:r w:rsidRPr="0078320A">
        <w:t xml:space="preserve"> completed open-hole</w:t>
      </w:r>
      <w:r w:rsidR="00C1519F">
        <w:t xml:space="preserve">. </w:t>
      </w:r>
      <w:r w:rsidRPr="0078320A">
        <w:t xml:space="preserve"> </w:t>
      </w:r>
      <w:r w:rsidR="00C1519F">
        <w:t>Optimal</w:t>
      </w:r>
      <w:r w:rsidRPr="0078320A">
        <w:t xml:space="preserve"> trajectories may require more aggressive drilling and completion parameters. </w:t>
      </w:r>
      <w:r w:rsidR="00662698">
        <w:t xml:space="preserve"> </w:t>
      </w:r>
      <w:r w:rsidRPr="0078320A">
        <w:t xml:space="preserve">A well-constrained stress field can help determine the appropriate mud window that controls compressive failure leading to the development of wellbore breakouts (in </w:t>
      </w:r>
      <w:r w:rsidR="00C1519F">
        <w:t xml:space="preserve">both </w:t>
      </w:r>
      <w:r w:rsidRPr="0078320A">
        <w:t>isotropic and anisotropic rock) and at the same time, prevent catastrophic tensile failure leading to formation breakdown</w:t>
      </w:r>
      <w:r w:rsidR="00316106">
        <w:t xml:space="preserve"> (</w:t>
      </w:r>
      <w:r w:rsidR="00316106" w:rsidRPr="0078320A">
        <w:t>Zoback et al.</w:t>
      </w:r>
      <w:r w:rsidR="00316106">
        <w:t xml:space="preserve">, </w:t>
      </w:r>
      <w:r w:rsidR="00316106" w:rsidRPr="0078320A">
        <w:t>2003)</w:t>
      </w:r>
      <w:r w:rsidR="00316106">
        <w:t>,</w:t>
      </w:r>
      <w:r w:rsidRPr="0078320A">
        <w:t>.</w:t>
      </w:r>
      <w:r w:rsidR="00662698">
        <w:t xml:space="preserve"> The u</w:t>
      </w:r>
      <w:r w:rsidRPr="0078320A">
        <w:t>nconventional shale reservoirs exhibit considerable variability in composition and geologic history</w:t>
      </w:r>
      <w:r w:rsidR="00C1519F">
        <w:t>. However,</w:t>
      </w:r>
      <w:r w:rsidRPr="0078320A">
        <w:t xml:space="preserve"> the major shale reservoirs in the United States are all characterized by extremely small grain sizes, low natural permeability, and elevated total organic carbon</w:t>
      </w:r>
      <w:r w:rsidR="00316106">
        <w:t xml:space="preserve"> (Mullen et al., 2007)</w:t>
      </w:r>
      <w:r w:rsidRPr="0078320A">
        <w:t xml:space="preserve">. After the organic-rich rock was buried and heated, first to temperatures high enough to generate oil and then to temperatures high enough to generate natural gas, </w:t>
      </w:r>
      <w:r w:rsidR="00C1519F">
        <w:t>a significant amount of the generated</w:t>
      </w:r>
      <w:r w:rsidRPr="0078320A">
        <w:t xml:space="preserve"> liquid and gas hydrocarbons remained.</w:t>
      </w:r>
      <w:r w:rsidR="00662698">
        <w:t xml:space="preserve"> </w:t>
      </w:r>
    </w:p>
    <w:p w14:paraId="58393244" w14:textId="77777777" w:rsidR="000C432C" w:rsidRDefault="000C432C" w:rsidP="00C1519F">
      <w:pPr>
        <w:rPr>
          <w:b/>
        </w:rPr>
      </w:pPr>
      <w:bookmarkStart w:id="473" w:name="_Toc22366118"/>
    </w:p>
    <w:p w14:paraId="2BB19FF4" w14:textId="77777777" w:rsidR="000C432C" w:rsidRDefault="000C432C" w:rsidP="00C1519F">
      <w:pPr>
        <w:rPr>
          <w:b/>
        </w:rPr>
      </w:pPr>
    </w:p>
    <w:p w14:paraId="729843F4" w14:textId="254A3A77" w:rsidR="00130392" w:rsidRPr="00C1519F" w:rsidRDefault="00C1519F" w:rsidP="00C1519F">
      <w:pPr>
        <w:rPr>
          <w:b/>
        </w:rPr>
      </w:pPr>
      <w:r w:rsidRPr="00C1519F">
        <w:rPr>
          <w:b/>
        </w:rPr>
        <w:lastRenderedPageBreak/>
        <w:t>P</w:t>
      </w:r>
      <w:r w:rsidR="00130392" w:rsidRPr="00C1519F">
        <w:rPr>
          <w:b/>
        </w:rPr>
        <w:t>rocedures for estimating in-situ stresses and fracture gradient</w:t>
      </w:r>
      <w:bookmarkEnd w:id="472"/>
      <w:r w:rsidR="00130392" w:rsidRPr="00C1519F">
        <w:rPr>
          <w:b/>
        </w:rPr>
        <w:t xml:space="preserve"> reservoir before hydraulic fracturing occurred.</w:t>
      </w:r>
      <w:bookmarkEnd w:id="473"/>
    </w:p>
    <w:p w14:paraId="359DF1B8" w14:textId="272E11EA" w:rsidR="00130392" w:rsidRPr="0078320A" w:rsidRDefault="00130392" w:rsidP="00662698">
      <w:pPr>
        <w:ind w:firstLine="720"/>
      </w:pPr>
      <w:bookmarkStart w:id="474" w:name="_Toc315947165"/>
      <w:bookmarkStart w:id="475" w:name="_Toc323211223"/>
      <w:bookmarkEnd w:id="471"/>
      <w:r w:rsidRPr="0078320A">
        <w:t xml:space="preserve">The geological and geomechanical data must be integrated in order to characterize the rock properties in a specific study area </w:t>
      </w:r>
      <w:r w:rsidR="008244F0">
        <w:t>in order to model</w:t>
      </w:r>
      <w:r w:rsidRPr="0078320A">
        <w:t xml:space="preserve"> the stresses. </w:t>
      </w:r>
      <w:r w:rsidR="008244F0">
        <w:t xml:space="preserve">Ideally, </w:t>
      </w:r>
      <w:r w:rsidRPr="0078320A">
        <w:t xml:space="preserve">the hydraulic fracturing and micro-seismicity data from that study area </w:t>
      </w:r>
      <w:r w:rsidR="008244F0">
        <w:t>provide a means to</w:t>
      </w:r>
      <w:r w:rsidRPr="0078320A">
        <w:t xml:space="preserve"> build a geomechanical model of the reservoir that includes the mechanical rock properties along with the state of in situ stresses. </w:t>
      </w:r>
    </w:p>
    <w:p w14:paraId="7B01696D" w14:textId="3D474EA5" w:rsidR="00130392" w:rsidRPr="0078320A" w:rsidRDefault="00130392" w:rsidP="00662698">
      <w:pPr>
        <w:ind w:firstLine="720"/>
      </w:pPr>
      <w:r w:rsidRPr="0078320A">
        <w:t>This model is particularly useful in understanding the evolution of stress before, during, and after hydraulic fracturing. Zoback et al. (2003)</w:t>
      </w:r>
      <w:r w:rsidR="00DF2E0F">
        <w:t xml:space="preserve">, </w:t>
      </w:r>
      <w:r w:rsidRPr="0078320A">
        <w:t>Zeng and Jiang (2006)</w:t>
      </w:r>
      <w:r w:rsidR="005F78AC">
        <w:t>, and Sone and Zoback (2013),</w:t>
      </w:r>
      <w:r w:rsidRPr="0078320A">
        <w:t xml:space="preserve"> </w:t>
      </w:r>
      <w:r w:rsidR="008244F0">
        <w:t>recommended measurements of</w:t>
      </w:r>
      <w:r w:rsidRPr="0078320A">
        <w:t xml:space="preserve"> the orientation and magnitudes of the principal stresses in the reservoir</w:t>
      </w:r>
      <w:r w:rsidR="008244F0">
        <w:t>, where c</w:t>
      </w:r>
      <w:r w:rsidRPr="0078320A">
        <w:t>ommon rock properties used in the stress determination are based on well logs, lab tests, and published literature on different unconventional shale reservoirs.</w:t>
      </w:r>
    </w:p>
    <w:p w14:paraId="42DB95C6" w14:textId="0D069C61" w:rsidR="00130392" w:rsidRPr="0078320A" w:rsidRDefault="00130392" w:rsidP="009349D2">
      <w:pPr>
        <w:rPr>
          <w:i/>
        </w:rPr>
      </w:pPr>
      <w:r w:rsidRPr="0078320A">
        <w:t xml:space="preserve"> </w:t>
      </w:r>
      <w:r w:rsidR="008B5B75" w:rsidRPr="0078320A">
        <w:tab/>
      </w:r>
      <w:r w:rsidRPr="0078320A">
        <w:t xml:space="preserve">The </w:t>
      </w:r>
      <w:r w:rsidR="00155E67" w:rsidRPr="008244F0">
        <w:rPr>
          <w:b/>
        </w:rPr>
        <w:t>f</w:t>
      </w:r>
      <w:r w:rsidRPr="008244F0">
        <w:rPr>
          <w:b/>
        </w:rPr>
        <w:t xml:space="preserve">racture </w:t>
      </w:r>
      <w:r w:rsidR="00155E67" w:rsidRPr="008244F0">
        <w:rPr>
          <w:b/>
        </w:rPr>
        <w:t>g</w:t>
      </w:r>
      <w:r w:rsidRPr="008244F0">
        <w:rPr>
          <w:b/>
        </w:rPr>
        <w:t>radient</w:t>
      </w:r>
      <w:r w:rsidRPr="0078320A">
        <w:rPr>
          <w:b/>
        </w:rPr>
        <w:t xml:space="preserve"> </w:t>
      </w:r>
      <w:r w:rsidR="008244F0">
        <w:t>is</w:t>
      </w:r>
      <w:r w:rsidRPr="0078320A">
        <w:t xml:space="preserve"> defined as the pressure required to induce fractures in rock at a given depth. </w:t>
      </w:r>
      <w:r w:rsidR="003B4ECF" w:rsidRPr="0078320A">
        <w:t>The Schlumberger Oilfield Glossary</w:t>
      </w:r>
      <w:r w:rsidR="00F2584D" w:rsidRPr="0078320A">
        <w:t xml:space="preserve"> (2019)</w:t>
      </w:r>
      <w:r w:rsidR="003B4ECF" w:rsidRPr="0078320A">
        <w:t xml:space="preserve"> </w:t>
      </w:r>
      <w:r w:rsidR="008244F0">
        <w:t>defines the fracture gradient as</w:t>
      </w:r>
      <w:r w:rsidR="00F2584D" w:rsidRPr="0078320A">
        <w:t>:</w:t>
      </w:r>
      <w:r w:rsidR="00510CA6" w:rsidRPr="0078320A">
        <w:t xml:space="preserve"> </w:t>
      </w:r>
      <w:r w:rsidR="00F2584D" w:rsidRPr="0078320A">
        <w:t>“</w:t>
      </w:r>
      <w:r w:rsidR="00510CA6" w:rsidRPr="0078320A">
        <w:rPr>
          <w:i/>
        </w:rPr>
        <w:t>t</w:t>
      </w:r>
      <w:r w:rsidRPr="0078320A">
        <w:rPr>
          <w:i/>
        </w:rPr>
        <w:t xml:space="preserve">he factor used to determine </w:t>
      </w:r>
      <w:hyperlink r:id="rId207" w:history="1">
        <w:r w:rsidRPr="0078320A">
          <w:rPr>
            <w:i/>
          </w:rPr>
          <w:t>formation</w:t>
        </w:r>
      </w:hyperlink>
      <w:r w:rsidRPr="0078320A">
        <w:rPr>
          <w:i/>
        </w:rPr>
        <w:t xml:space="preserve"> fracturing </w:t>
      </w:r>
      <w:hyperlink r:id="rId208" w:history="1">
        <w:r w:rsidRPr="0078320A">
          <w:rPr>
            <w:i/>
          </w:rPr>
          <w:t>pressure</w:t>
        </w:r>
      </w:hyperlink>
      <w:r w:rsidRPr="0078320A">
        <w:rPr>
          <w:i/>
        </w:rPr>
        <w:t xml:space="preserve"> as a function of well depth in units of psi/ft. </w:t>
      </w:r>
      <w:r w:rsidR="00393B58" w:rsidRPr="0078320A">
        <w:rPr>
          <w:i/>
        </w:rPr>
        <w:t xml:space="preserve"> </w:t>
      </w:r>
      <w:r w:rsidRPr="0078320A">
        <w:rPr>
          <w:i/>
        </w:rPr>
        <w:t xml:space="preserve">For example, a </w:t>
      </w:r>
      <w:hyperlink r:id="rId209" w:history="1">
        <w:r w:rsidRPr="0078320A">
          <w:rPr>
            <w:i/>
          </w:rPr>
          <w:t>fracture</w:t>
        </w:r>
      </w:hyperlink>
      <w:r w:rsidRPr="0078320A">
        <w:rPr>
          <w:i/>
        </w:rPr>
        <w:t xml:space="preserve"> gradient of 0.7 psi/ft [15.8 kPa/m] in a well with a </w:t>
      </w:r>
      <w:hyperlink r:id="rId210" w:history="1">
        <w:r w:rsidRPr="0078320A">
          <w:rPr>
            <w:i/>
          </w:rPr>
          <w:t>true vertical depth</w:t>
        </w:r>
      </w:hyperlink>
      <w:r w:rsidRPr="0078320A">
        <w:rPr>
          <w:i/>
        </w:rPr>
        <w:t xml:space="preserve"> of 8000 ft [2440 m] would predict a </w:t>
      </w:r>
      <w:hyperlink r:id="rId211" w:history="1">
        <w:r w:rsidRPr="0078320A">
          <w:rPr>
            <w:i/>
          </w:rPr>
          <w:t>fracturing pressure</w:t>
        </w:r>
      </w:hyperlink>
      <w:r w:rsidRPr="0078320A">
        <w:rPr>
          <w:i/>
        </w:rPr>
        <w:t xml:space="preserve"> of 5600 psi [38.6 MPa</w:t>
      </w:r>
      <w:r w:rsidR="00F2584D" w:rsidRPr="0078320A">
        <w:rPr>
          <w:i/>
        </w:rPr>
        <w:t>]”.</w:t>
      </w:r>
    </w:p>
    <w:p w14:paraId="7D0D941C" w14:textId="56B048CF" w:rsidR="00130392" w:rsidRPr="0078320A" w:rsidRDefault="00130392" w:rsidP="00662698">
      <w:pPr>
        <w:ind w:firstLine="720"/>
        <w:rPr>
          <w:lang w:val="en"/>
        </w:rPr>
      </w:pPr>
      <w:r w:rsidRPr="0078320A">
        <w:rPr>
          <w:lang w:val="en"/>
        </w:rPr>
        <w:t xml:space="preserve">The </w:t>
      </w:r>
      <w:r w:rsidRPr="008244F0">
        <w:rPr>
          <w:b/>
          <w:bCs/>
          <w:lang w:val="en"/>
        </w:rPr>
        <w:t>fracture toughness</w:t>
      </w:r>
      <w:r w:rsidRPr="0078320A">
        <w:rPr>
          <w:lang w:val="en"/>
        </w:rPr>
        <w:t xml:space="preserve"> is defined as </w:t>
      </w:r>
      <w:r w:rsidR="00743040">
        <w:rPr>
          <w:lang w:val="en"/>
        </w:rPr>
        <w:t>the</w:t>
      </w:r>
      <w:r w:rsidRPr="0078320A">
        <w:rPr>
          <w:lang w:val="en"/>
        </w:rPr>
        <w:t xml:space="preserve"> ability of a material containing a crack to resist </w:t>
      </w:r>
      <w:r w:rsidR="00743040">
        <w:rPr>
          <w:lang w:val="en"/>
        </w:rPr>
        <w:t xml:space="preserve">further </w:t>
      </w:r>
      <w:r w:rsidRPr="0078320A">
        <w:rPr>
          <w:lang w:val="en"/>
        </w:rPr>
        <w:t>fracture and is one of the most important properties of any material for virtually all design applications. The linear-elastic fracture toughness of a material is determined from the stress intensity factor (</w:t>
      </w:r>
      <w:r w:rsidR="00743040" w:rsidRPr="00743040">
        <w:rPr>
          <w:i/>
          <w:noProof/>
        </w:rPr>
        <w:t>K</w:t>
      </w:r>
      <w:r w:rsidR="00743040" w:rsidRPr="00743040">
        <w:rPr>
          <w:i/>
          <w:vertAlign w:val="subscript"/>
          <w:lang w:val="en"/>
        </w:rPr>
        <w:t>I</w:t>
      </w:r>
      <w:r w:rsidRPr="0078320A">
        <w:rPr>
          <w:lang w:val="en"/>
        </w:rPr>
        <w:t>) at which a thin crack in the material begins to grow</w:t>
      </w:r>
      <w:r w:rsidR="00743040">
        <w:rPr>
          <w:lang w:val="en"/>
        </w:rPr>
        <w:t xml:space="preserve"> and is measured in Pa*m</w:t>
      </w:r>
      <w:r w:rsidR="00743040" w:rsidRPr="00743040">
        <w:rPr>
          <w:vertAlign w:val="superscript"/>
          <w:lang w:val="en"/>
        </w:rPr>
        <w:t>1/2</w:t>
      </w:r>
      <w:r w:rsidRPr="0078320A">
        <w:rPr>
          <w:lang w:val="en"/>
        </w:rPr>
        <w:t>. It is denoted</w:t>
      </w:r>
      <w:r w:rsidR="00743040">
        <w:rPr>
          <w:lang w:val="en"/>
        </w:rPr>
        <w:t xml:space="preserve"> as</w:t>
      </w:r>
      <w:r w:rsidRPr="0078320A">
        <w:rPr>
          <w:lang w:val="en"/>
        </w:rPr>
        <w:t xml:space="preserve"> </w:t>
      </w:r>
      <w:r w:rsidRPr="00743040">
        <w:rPr>
          <w:i/>
          <w:lang w:val="en"/>
        </w:rPr>
        <w:t>K</w:t>
      </w:r>
      <w:r w:rsidR="00743040" w:rsidRPr="00743040">
        <w:rPr>
          <w:i/>
          <w:vertAlign w:val="subscript"/>
          <w:lang w:val="en"/>
        </w:rPr>
        <w:t>I</w:t>
      </w:r>
      <w:r w:rsidR="008244F0" w:rsidRPr="00743040">
        <w:rPr>
          <w:i/>
          <w:vertAlign w:val="subscript"/>
          <w:lang w:val="en"/>
        </w:rPr>
        <w:t>C</w:t>
      </w:r>
      <w:r w:rsidR="00743040" w:rsidRPr="00743040">
        <w:rPr>
          <w:lang w:val="en"/>
        </w:rPr>
        <w:t>.</w:t>
      </w:r>
      <w:r w:rsidRPr="00743040">
        <w:rPr>
          <w:lang w:val="en"/>
        </w:rPr>
        <w:t xml:space="preserve"> </w:t>
      </w:r>
    </w:p>
    <w:p w14:paraId="0CF7F3D4" w14:textId="05CA289B" w:rsidR="00130392" w:rsidRPr="0078320A" w:rsidRDefault="00662698" w:rsidP="00662698">
      <w:pPr>
        <w:ind w:firstLine="720"/>
        <w:rPr>
          <w:lang w:val="en"/>
        </w:rPr>
      </w:pPr>
      <w:r>
        <w:rPr>
          <w:lang w:val="en"/>
        </w:rPr>
        <w:lastRenderedPageBreak/>
        <w:t xml:space="preserve">The </w:t>
      </w:r>
      <w:r w:rsidR="00130392" w:rsidRPr="0078320A">
        <w:rPr>
          <w:lang w:val="en"/>
        </w:rPr>
        <w:t xml:space="preserve">Plastic-elastic fracture toughness is denoted by </w:t>
      </w:r>
      <w:r w:rsidR="00130392" w:rsidRPr="00743040">
        <w:rPr>
          <w:i/>
          <w:lang w:val="en"/>
        </w:rPr>
        <w:t>J</w:t>
      </w:r>
      <w:r w:rsidR="00130392" w:rsidRPr="00743040">
        <w:rPr>
          <w:i/>
          <w:vertAlign w:val="subscript"/>
          <w:lang w:val="en"/>
        </w:rPr>
        <w:t>Ic</w:t>
      </w:r>
      <w:r w:rsidR="00130392" w:rsidRPr="00743040">
        <w:rPr>
          <w:i/>
          <w:lang w:val="en"/>
        </w:rPr>
        <w:t>,</w:t>
      </w:r>
      <w:r w:rsidR="00130392" w:rsidRPr="0078320A">
        <w:rPr>
          <w:lang w:val="en"/>
        </w:rPr>
        <w:t xml:space="preserve"> with the unit of J/cm</w:t>
      </w:r>
      <w:r w:rsidR="00130392" w:rsidRPr="0078320A">
        <w:rPr>
          <w:vertAlign w:val="superscript"/>
          <w:lang w:val="en"/>
        </w:rPr>
        <w:t>2</w:t>
      </w:r>
      <w:r w:rsidR="00130392" w:rsidRPr="0078320A">
        <w:rPr>
          <w:lang w:val="en"/>
        </w:rPr>
        <w:t xml:space="preserve"> or </w:t>
      </w:r>
      <w:r w:rsidR="00EA3F0B" w:rsidRPr="0078320A">
        <w:rPr>
          <w:lang w:val="en"/>
        </w:rPr>
        <w:t>lb.</w:t>
      </w:r>
      <w:r w:rsidR="00743040">
        <w:rPr>
          <w:lang w:val="en"/>
        </w:rPr>
        <w:t>-</w:t>
      </w:r>
      <w:r w:rsidR="00130392" w:rsidRPr="0078320A">
        <w:rPr>
          <w:lang w:val="en"/>
        </w:rPr>
        <w:t>f</w:t>
      </w:r>
      <w:r w:rsidR="00743040">
        <w:rPr>
          <w:lang w:val="en"/>
        </w:rPr>
        <w:t>t</w:t>
      </w:r>
      <w:r w:rsidR="00130392" w:rsidRPr="0078320A">
        <w:rPr>
          <w:lang w:val="en"/>
        </w:rPr>
        <w:t>/</w:t>
      </w:r>
      <w:r w:rsidR="00800460" w:rsidRPr="0078320A">
        <w:rPr>
          <w:lang w:val="en"/>
        </w:rPr>
        <w:t>in</w:t>
      </w:r>
      <w:r w:rsidR="00800460" w:rsidRPr="0078320A">
        <w:rPr>
          <w:vertAlign w:val="superscript"/>
          <w:lang w:val="en"/>
        </w:rPr>
        <w:t>2 and</w:t>
      </w:r>
      <w:r w:rsidR="00130392" w:rsidRPr="0078320A">
        <w:rPr>
          <w:lang w:val="en"/>
        </w:rPr>
        <w:t xml:space="preserve"> is a measurement of the energy required to grow a thin crack. The subscript </w:t>
      </w:r>
      <w:r w:rsidR="00130392" w:rsidRPr="0078320A">
        <w:rPr>
          <w:i/>
          <w:iCs/>
          <w:lang w:val="en"/>
        </w:rPr>
        <w:t>Ic</w:t>
      </w:r>
      <w:r w:rsidR="00130392" w:rsidRPr="0078320A">
        <w:rPr>
          <w:lang w:val="en"/>
        </w:rPr>
        <w:t xml:space="preserve"> denotes “mode I” crack opening under a normal tensile stress perpendicular to the crack since the material can be made deep enough to stand</w:t>
      </w:r>
      <w:r w:rsidR="00743040">
        <w:rPr>
          <w:lang w:val="en"/>
        </w:rPr>
        <w:t xml:space="preserve"> with</w:t>
      </w:r>
      <w:r w:rsidR="00130392" w:rsidRPr="0078320A">
        <w:rPr>
          <w:lang w:val="en"/>
        </w:rPr>
        <w:t xml:space="preserve"> shear (mode II) or tear (mode III)</w:t>
      </w:r>
      <w:r w:rsidR="00743040">
        <w:rPr>
          <w:lang w:val="en"/>
        </w:rPr>
        <w:t xml:space="preserve"> failure</w:t>
      </w:r>
      <w:r w:rsidR="00054962">
        <w:rPr>
          <w:lang w:val="en"/>
        </w:rPr>
        <w:t xml:space="preserve"> (Kumar and Ghassemi, 2018)</w:t>
      </w:r>
      <w:r w:rsidR="00130392" w:rsidRPr="0078320A">
        <w:rPr>
          <w:lang w:val="en"/>
        </w:rPr>
        <w:t xml:space="preserve">. Fracture toughness is a quantitative way of expressing a material's resistance to brittle fracture when a crack is present. If </w:t>
      </w:r>
      <w:r w:rsidR="00C44E17" w:rsidRPr="0078320A">
        <w:rPr>
          <w:lang w:val="en"/>
        </w:rPr>
        <w:t xml:space="preserve">the </w:t>
      </w:r>
      <w:r w:rsidR="00130392" w:rsidRPr="0078320A">
        <w:rPr>
          <w:lang w:val="en"/>
        </w:rPr>
        <w:t xml:space="preserve">material </w:t>
      </w:r>
      <w:r w:rsidR="00743040">
        <w:rPr>
          <w:lang w:val="en"/>
        </w:rPr>
        <w:t>has sufficient</w:t>
      </w:r>
      <w:r w:rsidR="00130392" w:rsidRPr="0078320A">
        <w:rPr>
          <w:lang w:val="en"/>
        </w:rPr>
        <w:t xml:space="preserve"> fracture toughness</w:t>
      </w:r>
      <w:r w:rsidR="00C44E17" w:rsidRPr="0078320A">
        <w:rPr>
          <w:lang w:val="en"/>
        </w:rPr>
        <w:t>,</w:t>
      </w:r>
      <w:r w:rsidR="00130392" w:rsidRPr="0078320A">
        <w:rPr>
          <w:lang w:val="en"/>
        </w:rPr>
        <w:t xml:space="preserve"> it will probably undergo ductile fracture. </w:t>
      </w:r>
      <w:r w:rsidR="00743040">
        <w:rPr>
          <w:lang w:val="en"/>
        </w:rPr>
        <w:t>In contrast, b</w:t>
      </w:r>
      <w:r w:rsidR="00130392" w:rsidRPr="0078320A">
        <w:rPr>
          <w:lang w:val="en"/>
        </w:rPr>
        <w:t>rittle fracture is very characteristic of materials with less fracture toughness.</w:t>
      </w:r>
    </w:p>
    <w:p w14:paraId="18D4C8BC" w14:textId="0504D1E7" w:rsidR="00130392" w:rsidRPr="0078320A" w:rsidRDefault="00743040" w:rsidP="00743040">
      <w:pPr>
        <w:ind w:firstLine="720"/>
      </w:pPr>
      <w:r>
        <w:rPr>
          <w:noProof/>
        </w:rPr>
        <mc:AlternateContent>
          <mc:Choice Requires="wps">
            <w:drawing>
              <wp:anchor distT="0" distB="0" distL="114300" distR="114300" simplePos="0" relativeHeight="251564544" behindDoc="0" locked="0" layoutInCell="1" allowOverlap="1" wp14:anchorId="498DF94D" wp14:editId="17E465D0">
                <wp:simplePos x="0" y="0"/>
                <wp:positionH relativeFrom="column">
                  <wp:posOffset>1941029</wp:posOffset>
                </wp:positionH>
                <wp:positionV relativeFrom="paragraph">
                  <wp:posOffset>1472289</wp:posOffset>
                </wp:positionV>
                <wp:extent cx="960755" cy="449580"/>
                <wp:effectExtent l="0" t="0" r="0" b="0"/>
                <wp:wrapNone/>
                <wp:docPr id="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0755" cy="449580"/>
                        </a:xfrm>
                        <a:prstGeom prst="rect">
                          <a:avLst/>
                        </a:prstGeom>
                        <a:noFill/>
                      </wps:spPr>
                      <wps:txbx>
                        <w:txbxContent>
                          <w:p w14:paraId="2BC41117" w14:textId="63A07FC6" w:rsidR="00EA43A0" w:rsidRPr="00987AD1" w:rsidRDefault="000310DF" w:rsidP="00130392">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K</m:t>
                                    </m:r>
                                  </m:e>
                                  <m:sub>
                                    <m:r>
                                      <w:rPr>
                                        <w:rFonts w:ascii="Cambria Math" w:hAnsi="Cambria Math"/>
                                        <w:color w:val="000000"/>
                                        <w:kern w:val="24"/>
                                      </w:rPr>
                                      <m:t>ic</m:t>
                                    </m:r>
                                  </m:sub>
                                </m:sSub>
                                <m:r>
                                  <w:rPr>
                                    <w:rFonts w:ascii="Cambria Math" w:hAnsi="Cambria Math"/>
                                    <w:color w:val="000000"/>
                                    <w:kern w:val="24"/>
                                  </w:rPr>
                                  <m:t>=0.05E</m:t>
                                </m:r>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98DF94D" id="_x0000_s1059" type="#_x0000_t202" style="position:absolute;left:0;text-align:left;margin-left:152.85pt;margin-top:115.95pt;width:75.65pt;height:35.4pt;z-index:25156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" filled="f" stroked="f">
                <v:textbox style="mso-fit-shape-to-text:t">
                  <w:txbxContent>
                    <w:p w14:paraId="2BC41117" w14:textId="63A07FC6" w:rsidR="00EA43A0" w:rsidRPr="00987AD1" w:rsidRDefault="000310DF" w:rsidP="00130392">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K</m:t>
                              </m:r>
                            </m:e>
                            <m:sub>
                              <m:r>
                                <w:rPr>
                                  <w:rFonts w:ascii="Cambria Math" w:hAnsi="Cambria Math"/>
                                  <w:color w:val="000000"/>
                                  <w:kern w:val="24"/>
                                </w:rPr>
                                <m:t>ic</m:t>
                              </m:r>
                            </m:sub>
                          </m:sSub>
                          <m:r>
                            <w:rPr>
                              <w:rFonts w:ascii="Cambria Math" w:hAnsi="Cambria Math"/>
                              <w:color w:val="000000"/>
                              <w:kern w:val="24"/>
                            </w:rPr>
                            <m:t>=0.05E</m:t>
                          </m:r>
                        </m:oMath>
                      </m:oMathPara>
                    </w:p>
                  </w:txbxContent>
                </v:textbox>
              </v:shape>
            </w:pict>
          </mc:Fallback>
        </mc:AlternateContent>
      </w:r>
      <w:r>
        <w:t>In the C</w:t>
      </w:r>
      <w:r w:rsidR="00481AAE">
        <w:t>h</w:t>
      </w:r>
      <w:r>
        <w:t xml:space="preserve">apter III, the </w:t>
      </w:r>
      <w:r w:rsidR="00CE6A36">
        <w:t>f</w:t>
      </w:r>
      <w:r w:rsidR="00130392" w:rsidRPr="0078320A">
        <w:t xml:space="preserve">racture </w:t>
      </w:r>
      <w:r w:rsidR="00CE6A36">
        <w:t>g</w:t>
      </w:r>
      <w:r w:rsidR="00130392" w:rsidRPr="0078320A">
        <w:t xml:space="preserve">radient and </w:t>
      </w:r>
      <w:r w:rsidR="00CE6A36">
        <w:t>f</w:t>
      </w:r>
      <w:r w:rsidR="00130392" w:rsidRPr="0078320A">
        <w:t xml:space="preserve">racture </w:t>
      </w:r>
      <w:r w:rsidR="00CE6A36">
        <w:t>t</w:t>
      </w:r>
      <w:r w:rsidR="00130392" w:rsidRPr="0078320A">
        <w:t xml:space="preserve">oughness </w:t>
      </w:r>
      <w:r>
        <w:t>model was made for the Woodford Shale, using</w:t>
      </w:r>
      <w:r w:rsidR="00130392" w:rsidRPr="0078320A">
        <w:t xml:space="preserve"> estimat</w:t>
      </w:r>
      <w:r>
        <w:t>es</w:t>
      </w:r>
      <w:r w:rsidR="00130392" w:rsidRPr="0078320A">
        <w:t xml:space="preserve"> of these mechanical properties </w:t>
      </w:r>
      <w:r>
        <w:t>from</w:t>
      </w:r>
      <w:r w:rsidR="00130392" w:rsidRPr="0078320A">
        <w:t xml:space="preserve"> well logs </w:t>
      </w:r>
      <w:r>
        <w:t xml:space="preserve">and previous work by </w:t>
      </w:r>
      <w:r w:rsidR="00DF2E0F">
        <w:t>Zoback et al.</w:t>
      </w:r>
      <w:r>
        <w:t xml:space="preserve"> (2</w:t>
      </w:r>
      <w:r w:rsidR="00DF2E0F">
        <w:t>003</w:t>
      </w:r>
      <w:r>
        <w:t xml:space="preserve">), </w:t>
      </w:r>
      <w:r w:rsidR="00130392" w:rsidRPr="0078320A">
        <w:t>Havens et al.</w:t>
      </w:r>
      <w:r>
        <w:t xml:space="preserve"> (</w:t>
      </w:r>
      <w:r w:rsidR="00130392" w:rsidRPr="0078320A">
        <w:t>2010</w:t>
      </w:r>
      <w:r>
        <w:t>), Sierra-Perez (2011), W</w:t>
      </w:r>
      <w:r w:rsidR="00130392" w:rsidRPr="0078320A">
        <w:t>ang et al.</w:t>
      </w:r>
      <w:r>
        <w:t xml:space="preserve"> (</w:t>
      </w:r>
      <w:r w:rsidR="00130392" w:rsidRPr="0078320A">
        <w:t>2011</w:t>
      </w:r>
      <w:r>
        <w:t>), and</w:t>
      </w:r>
      <w:r w:rsidR="00DF2E0F">
        <w:t xml:space="preserve"> Sone and Zoback</w:t>
      </w:r>
      <w:r>
        <w:t xml:space="preserve"> (</w:t>
      </w:r>
      <w:r w:rsidR="00DF2E0F">
        <w:t>2013</w:t>
      </w:r>
      <w:r w:rsidR="00130392" w:rsidRPr="0078320A">
        <w:t>). The recommended equations are the following:</w:t>
      </w:r>
    </w:p>
    <w:p w14:paraId="3625806E" w14:textId="1B145132" w:rsidR="00130392" w:rsidRPr="00743040" w:rsidRDefault="00743040" w:rsidP="009349D2">
      <w:r>
        <w:rPr>
          <w:noProof/>
        </w:rPr>
        <mc:AlternateContent>
          <mc:Choice Requires="wps">
            <w:drawing>
              <wp:anchor distT="0" distB="0" distL="114300" distR="114300" simplePos="0" relativeHeight="251568640" behindDoc="0" locked="0" layoutInCell="1" allowOverlap="1" wp14:anchorId="20BE8D1B" wp14:editId="48129AD1">
                <wp:simplePos x="0" y="0"/>
                <wp:positionH relativeFrom="column">
                  <wp:posOffset>2053507</wp:posOffset>
                </wp:positionH>
                <wp:positionV relativeFrom="paragraph">
                  <wp:posOffset>298754</wp:posOffset>
                </wp:positionV>
                <wp:extent cx="2012315" cy="586740"/>
                <wp:effectExtent l="0" t="0" r="0" b="0"/>
                <wp:wrapNone/>
                <wp:docPr id="2"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315" cy="586740"/>
                        </a:xfrm>
                        <a:prstGeom prst="rect">
                          <a:avLst/>
                        </a:prstGeom>
                        <a:noFill/>
                      </wps:spPr>
                      <wps:txbx>
                        <w:txbxContent>
                          <w:p w14:paraId="1BD06F88" w14:textId="28911509" w:rsidR="00EA43A0" w:rsidRPr="00987AD1" w:rsidRDefault="000310DF" w:rsidP="00130392">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v</m:t>
                                        </m:r>
                                      </m:num>
                                      <m:den>
                                        <m:r>
                                          <w:rPr>
                                            <w:rFonts w:ascii="Cambria Math" w:hAnsi="Cambria Math"/>
                                            <w:color w:val="000000"/>
                                            <w:kern w:val="24"/>
                                          </w:rPr>
                                          <m:t>1-v</m:t>
                                        </m:r>
                                      </m:den>
                                    </m:f>
                                  </m:e>
                                </m:d>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v</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1-2v</m:t>
                                        </m:r>
                                      </m:num>
                                      <m:den>
                                        <m:r>
                                          <w:rPr>
                                            <w:rFonts w:ascii="Cambria Math" w:hAnsi="Cambria Math"/>
                                            <w:color w:val="000000"/>
                                            <w:kern w:val="24"/>
                                          </w:rPr>
                                          <m:t>1-v</m:t>
                                        </m:r>
                                      </m:den>
                                    </m:f>
                                  </m:e>
                                </m:d>
                                <m:r>
                                  <w:rPr>
                                    <w:rFonts w:ascii="Cambria Math" w:eastAsia="Cambria Math" w:hAnsi="Cambria Math"/>
                                    <w:color w:val="000000"/>
                                    <w:kern w:val="24"/>
                                  </w:rPr>
                                  <m:t>αρ</m:t>
                                </m:r>
                              </m:oMath>
                            </m:oMathPara>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BE8D1B" id="_x0000_s1060" type="#_x0000_t202" style="position:absolute;left:0;text-align:left;margin-left:161.7pt;margin-top:23.5pt;width:158.45pt;height:46.2pt;z-index:251568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" filled="f" stroked="f">
                <v:textbox style="mso-fit-shape-to-text:t">
                  <w:txbxContent>
                    <w:p w14:paraId="1BD06F88" w14:textId="28911509" w:rsidR="00EA43A0" w:rsidRPr="00987AD1" w:rsidRDefault="000310DF" w:rsidP="00130392">
                      <w:pPr>
                        <w:pStyle w:val="NormalWeb"/>
                        <w:spacing w:before="0" w:beforeAutospacing="0" w:after="0" w:afterAutospacing="0"/>
                      </w:pPr>
                      <m:oMathPara>
                        <m:oMathParaPr>
                          <m:jc m:val="centerGroup"/>
                        </m:oMathParaPr>
                        <m:oMath>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v</m:t>
                                  </m:r>
                                </m:num>
                                <m:den>
                                  <m:r>
                                    <w:rPr>
                                      <w:rFonts w:ascii="Cambria Math" w:hAnsi="Cambria Math"/>
                                      <w:color w:val="000000"/>
                                      <w:kern w:val="24"/>
                                    </w:rPr>
                                    <m:t>1-v</m:t>
                                  </m:r>
                                </m:den>
                              </m:f>
                            </m:e>
                          </m:d>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v</m:t>
                              </m:r>
                            </m:sub>
                          </m:sSub>
                          <m:r>
                            <w:rPr>
                              <w:rFonts w:ascii="Cambria Math" w:hAnsi="Cambria Math"/>
                              <w:color w:val="000000"/>
                              <w:kern w:val="24"/>
                            </w:rPr>
                            <m:t>+</m:t>
                          </m:r>
                          <m:d>
                            <m:dPr>
                              <m:ctrlPr>
                                <w:rPr>
                                  <w:rFonts w:ascii="Cambria Math" w:hAnsi="Cambria Math"/>
                                  <w:i/>
                                  <w:iCs/>
                                  <w:color w:val="000000"/>
                                  <w:kern w:val="24"/>
                                </w:rPr>
                              </m:ctrlPr>
                            </m:dPr>
                            <m:e>
                              <m:f>
                                <m:fPr>
                                  <m:ctrlPr>
                                    <w:rPr>
                                      <w:rFonts w:ascii="Cambria Math" w:hAnsi="Cambria Math"/>
                                      <w:i/>
                                      <w:iCs/>
                                      <w:color w:val="000000"/>
                                      <w:kern w:val="24"/>
                                    </w:rPr>
                                  </m:ctrlPr>
                                </m:fPr>
                                <m:num>
                                  <m:r>
                                    <w:rPr>
                                      <w:rFonts w:ascii="Cambria Math" w:hAnsi="Cambria Math"/>
                                      <w:color w:val="000000"/>
                                      <w:kern w:val="24"/>
                                    </w:rPr>
                                    <m:t>1-2v</m:t>
                                  </m:r>
                                </m:num>
                                <m:den>
                                  <m:r>
                                    <w:rPr>
                                      <w:rFonts w:ascii="Cambria Math" w:hAnsi="Cambria Math"/>
                                      <w:color w:val="000000"/>
                                      <w:kern w:val="24"/>
                                    </w:rPr>
                                    <m:t>1-v</m:t>
                                  </m:r>
                                </m:den>
                              </m:f>
                            </m:e>
                          </m:d>
                          <m:r>
                            <w:rPr>
                              <w:rFonts w:ascii="Cambria Math" w:eastAsia="Cambria Math" w:hAnsi="Cambria Math"/>
                              <w:color w:val="000000"/>
                              <w:kern w:val="24"/>
                            </w:rPr>
                            <m:t>αρ</m:t>
                          </m:r>
                        </m:oMath>
                      </m:oMathPara>
                    </w:p>
                  </w:txbxContent>
                </v:textbox>
              </v:shape>
            </w:pict>
          </mc:Fallback>
        </mc:AlternateContent>
      </w:r>
      <w:r>
        <w:rPr>
          <w:b/>
        </w:rPr>
        <w:t>The f</w:t>
      </w:r>
      <w:r w:rsidR="00130392" w:rsidRPr="0078320A">
        <w:rPr>
          <w:b/>
        </w:rPr>
        <w:t xml:space="preserve">racture </w:t>
      </w:r>
      <w:r w:rsidR="00155E67">
        <w:rPr>
          <w:b/>
        </w:rPr>
        <w:t>t</w:t>
      </w:r>
      <w:r w:rsidR="00130392" w:rsidRPr="0078320A">
        <w:rPr>
          <w:b/>
        </w:rPr>
        <w:t xml:space="preserve">oughness </w:t>
      </w:r>
      <w:r>
        <w:t xml:space="preserve">                                         , </w:t>
      </w:r>
      <w:r>
        <w:tab/>
      </w:r>
      <w:r>
        <w:tab/>
      </w:r>
      <w:r>
        <w:tab/>
      </w:r>
      <w:r>
        <w:tab/>
      </w:r>
      <w:r>
        <w:tab/>
      </w:r>
      <w:r>
        <w:tab/>
        <w:t xml:space="preserve"> (A-19)</w:t>
      </w:r>
    </w:p>
    <w:p w14:paraId="024ECC0E" w14:textId="18A2BC58" w:rsidR="00130392" w:rsidRPr="0078320A" w:rsidRDefault="001B4D8D" w:rsidP="009349D2">
      <w:pPr>
        <w:rPr>
          <w:b/>
        </w:rPr>
      </w:pPr>
      <w:r>
        <w:rPr>
          <w:noProof/>
        </w:rPr>
        <mc:AlternateContent>
          <mc:Choice Requires="wps">
            <w:drawing>
              <wp:anchor distT="0" distB="0" distL="114300" distR="114300" simplePos="0" relativeHeight="251572736" behindDoc="0" locked="0" layoutInCell="1" allowOverlap="1" wp14:anchorId="359F1CC6" wp14:editId="30F24304">
                <wp:simplePos x="0" y="0"/>
                <wp:positionH relativeFrom="column">
                  <wp:posOffset>1712098</wp:posOffset>
                </wp:positionH>
                <wp:positionV relativeFrom="paragraph">
                  <wp:posOffset>375920</wp:posOffset>
                </wp:positionV>
                <wp:extent cx="1158875" cy="617220"/>
                <wp:effectExtent l="0" t="0" r="0" b="0"/>
                <wp:wrapNone/>
                <wp:docPr id="1"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875" cy="617220"/>
                        </a:xfrm>
                        <a:prstGeom prst="rect">
                          <a:avLst/>
                        </a:prstGeom>
                        <a:noFill/>
                      </wps:spPr>
                      <wps:txbx>
                        <w:txbxContent>
                          <w:p w14:paraId="26537585" w14:textId="6F5B4CAF" w:rsidR="00EA43A0" w:rsidRPr="00987AD1" w:rsidRDefault="00EA43A0" w:rsidP="00130392">
                            <w:pPr>
                              <w:pStyle w:val="NormalWeb"/>
                              <w:spacing w:before="0" w:beforeAutospacing="0" w:after="0" w:afterAutospacing="0"/>
                            </w:pPr>
                            <m:oMath>
                              <m:r>
                                <w:rPr>
                                  <w:rFonts w:ascii="Cambria Math" w:hAnsi="Cambria Math"/>
                                  <w:color w:val="000000"/>
                                  <w:kern w:val="24"/>
                                </w:rPr>
                                <m:t>FG=</m:t>
                              </m:r>
                              <m:f>
                                <m:fPr>
                                  <m:ctrlPr>
                                    <w:rPr>
                                      <w:rFonts w:ascii="Cambria Math" w:hAnsi="Cambria Math"/>
                                      <w:i/>
                                      <w:iCs/>
                                      <w:color w:val="000000"/>
                                      <w:kern w:val="24"/>
                                    </w:rPr>
                                  </m:ctrlPr>
                                </m:fPr>
                                <m:num>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T</m:t>
                                      </m:r>
                                    </m:e>
                                    <m:sub>
                                      <m:r>
                                        <w:rPr>
                                          <w:rFonts w:ascii="Cambria Math" w:hAnsi="Cambria Math"/>
                                          <w:color w:val="000000"/>
                                          <w:kern w:val="24"/>
                                        </w:rPr>
                                        <m:t>o</m:t>
                                      </m:r>
                                    </m:sub>
                                  </m:sSub>
                                </m:num>
                                <m:den>
                                  <m:r>
                                    <w:rPr>
                                      <w:rFonts w:ascii="Cambria Math" w:hAnsi="Cambria Math"/>
                                      <w:color w:val="000000"/>
                                      <w:kern w:val="24"/>
                                    </w:rPr>
                                    <m:t>Depth(m)</m:t>
                                  </m:r>
                                </m:den>
                              </m:f>
                            </m:oMath>
                            <w:r>
                              <w:rPr>
                                <w:iCs/>
                                <w:color w:val="000000"/>
                                <w:kern w:val="24"/>
                              </w:rPr>
                              <w:t xml:space="preserve">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59F1CC6" id="_x0000_s1061" type="#_x0000_t202" style="position:absolute;left:0;text-align:left;margin-left:134.8pt;margin-top:29.6pt;width:91.25pt;height:48.6pt;z-index:251572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" filled="f" stroked="f">
                <v:textbox style="mso-fit-shape-to-text:t">
                  <w:txbxContent>
                    <w:p w14:paraId="26537585" w14:textId="6F5B4CAF" w:rsidR="00EA43A0" w:rsidRPr="00987AD1" w:rsidRDefault="00EA43A0" w:rsidP="00130392">
                      <w:pPr>
                        <w:pStyle w:val="NormalWeb"/>
                        <w:spacing w:before="0" w:beforeAutospacing="0" w:after="0" w:afterAutospacing="0"/>
                      </w:pPr>
                      <m:oMath>
                        <m:r>
                          <w:rPr>
                            <w:rFonts w:ascii="Cambria Math" w:hAnsi="Cambria Math"/>
                            <w:color w:val="000000"/>
                            <w:kern w:val="24"/>
                          </w:rPr>
                          <m:t>FG=</m:t>
                        </m:r>
                        <m:f>
                          <m:fPr>
                            <m:ctrlPr>
                              <w:rPr>
                                <w:rFonts w:ascii="Cambria Math" w:hAnsi="Cambria Math"/>
                                <w:i/>
                                <w:iCs/>
                                <w:color w:val="000000"/>
                                <w:kern w:val="24"/>
                              </w:rPr>
                            </m:ctrlPr>
                          </m:fPr>
                          <m:num>
                            <m:sSub>
                              <m:sSubPr>
                                <m:ctrlPr>
                                  <w:rPr>
                                    <w:rFonts w:ascii="Cambria Math" w:hAnsi="Cambria Math"/>
                                    <w:i/>
                                    <w:iCs/>
                                    <w:color w:val="000000"/>
                                    <w:kern w:val="24"/>
                                  </w:rPr>
                                </m:ctrlPr>
                              </m:sSubPr>
                              <m:e>
                                <m:r>
                                  <w:rPr>
                                    <w:rFonts w:ascii="Cambria Math" w:hAnsi="Cambria Math"/>
                                    <w:color w:val="000000"/>
                                    <w:kern w:val="24"/>
                                  </w:rPr>
                                  <m:t>S</m:t>
                                </m:r>
                              </m:e>
                              <m:sub>
                                <m:r>
                                  <w:rPr>
                                    <w:rFonts w:ascii="Cambria Math" w:hAnsi="Cambria Math"/>
                                    <w:color w:val="000000"/>
                                    <w:kern w:val="24"/>
                                  </w:rPr>
                                  <m:t>h</m:t>
                                </m:r>
                              </m:sub>
                            </m:sSub>
                            <m: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T</m:t>
                                </m:r>
                              </m:e>
                              <m:sub>
                                <m:r>
                                  <w:rPr>
                                    <w:rFonts w:ascii="Cambria Math" w:hAnsi="Cambria Math"/>
                                    <w:color w:val="000000"/>
                                    <w:kern w:val="24"/>
                                  </w:rPr>
                                  <m:t>o</m:t>
                                </m:r>
                              </m:sub>
                            </m:sSub>
                          </m:num>
                          <m:den>
                            <m:r>
                              <w:rPr>
                                <w:rFonts w:ascii="Cambria Math" w:hAnsi="Cambria Math"/>
                                <w:color w:val="000000"/>
                                <w:kern w:val="24"/>
                              </w:rPr>
                              <m:t>Depth(m)</m:t>
                            </m:r>
                          </m:den>
                        </m:f>
                      </m:oMath>
                      <w:r>
                        <w:rPr>
                          <w:iCs/>
                          <w:color w:val="000000"/>
                          <w:kern w:val="24"/>
                        </w:rPr>
                        <w:t xml:space="preserve"> </w:t>
                      </w:r>
                    </w:p>
                  </w:txbxContent>
                </v:textbox>
              </v:shape>
            </w:pict>
          </mc:Fallback>
        </mc:AlternateContent>
      </w:r>
      <w:r w:rsidR="00743040">
        <w:rPr>
          <w:b/>
        </w:rPr>
        <w:t>The m</w:t>
      </w:r>
      <w:r w:rsidR="00130392" w:rsidRPr="0078320A">
        <w:rPr>
          <w:b/>
        </w:rPr>
        <w:t xml:space="preserve">inimum horizontal Stress </w:t>
      </w:r>
      <w:r w:rsidR="00743040">
        <w:rPr>
          <w:b/>
        </w:rPr>
        <w:t xml:space="preserve">                                                      </w:t>
      </w:r>
      <w:r w:rsidR="00743040" w:rsidRPr="00743040">
        <w:t>,</w:t>
      </w:r>
      <w:r w:rsidR="00743040">
        <w:t xml:space="preserve"> </w:t>
      </w:r>
      <w:r w:rsidR="00743040">
        <w:tab/>
      </w:r>
      <w:r w:rsidR="00743040">
        <w:tab/>
      </w:r>
      <w:r w:rsidR="00743040">
        <w:tab/>
        <w:t xml:space="preserve"> (A-20)</w:t>
      </w:r>
    </w:p>
    <w:p w14:paraId="50C65F30" w14:textId="1F001D45" w:rsidR="00130392" w:rsidRPr="0078320A" w:rsidRDefault="00EA3F0B" w:rsidP="009349D2">
      <w:pPr>
        <w:rPr>
          <w:b/>
        </w:rPr>
      </w:pPr>
      <w:r>
        <w:rPr>
          <w:b/>
        </w:rPr>
        <w:t>And</w:t>
      </w:r>
      <w:r w:rsidR="00743040">
        <w:rPr>
          <w:b/>
        </w:rPr>
        <w:t xml:space="preserve"> the f</w:t>
      </w:r>
      <w:r w:rsidR="00130392" w:rsidRPr="0078320A">
        <w:rPr>
          <w:b/>
        </w:rPr>
        <w:t xml:space="preserve">racture </w:t>
      </w:r>
      <w:r w:rsidR="00155E67">
        <w:rPr>
          <w:b/>
        </w:rPr>
        <w:t>g</w:t>
      </w:r>
      <w:r w:rsidR="00130392" w:rsidRPr="0078320A">
        <w:rPr>
          <w:b/>
        </w:rPr>
        <w:t xml:space="preserve">radient </w:t>
      </w:r>
      <w:r w:rsidR="00743040">
        <w:rPr>
          <w:b/>
        </w:rPr>
        <w:t xml:space="preserve">                            </w:t>
      </w:r>
      <w:r w:rsidR="00743040" w:rsidRPr="00743040">
        <w:t>,</w:t>
      </w:r>
      <w:r w:rsidR="00743040">
        <w:t xml:space="preserve">          </w:t>
      </w:r>
      <w:r w:rsidR="001B4D8D">
        <w:t xml:space="preserve">      </w:t>
      </w:r>
      <w:r w:rsidR="00743040">
        <w:t xml:space="preserve">                                                        </w:t>
      </w:r>
      <w:r w:rsidR="00743040" w:rsidRPr="00743040">
        <w:t>(A-21)</w:t>
      </w:r>
      <w:r w:rsidR="00743040">
        <w:rPr>
          <w:b/>
        </w:rPr>
        <w:t xml:space="preserve">      </w:t>
      </w:r>
    </w:p>
    <w:p w14:paraId="3E0E7057" w14:textId="4DF2A2B5" w:rsidR="00A04E6F" w:rsidRPr="0078320A" w:rsidRDefault="00130392" w:rsidP="00662698">
      <w:pPr>
        <w:ind w:firstLine="720"/>
      </w:pPr>
      <w:r w:rsidRPr="0078320A">
        <w:t xml:space="preserve">The in-situ pore pressure within </w:t>
      </w:r>
      <w:r w:rsidR="00924918" w:rsidRPr="0078320A">
        <w:t>unconventional shale</w:t>
      </w:r>
      <w:r w:rsidR="001B4D8D">
        <w:t>s</w:t>
      </w:r>
      <w:r w:rsidRPr="0078320A">
        <w:t xml:space="preserve"> like the Woodford Shale is </w:t>
      </w:r>
      <w:r w:rsidR="001B4D8D">
        <w:t>difficult</w:t>
      </w:r>
      <w:r w:rsidRPr="0078320A">
        <w:t xml:space="preserve"> to measure accurately due to its very low intrinsic permeability (Sierra-Perez, 201</w:t>
      </w:r>
      <w:r w:rsidR="001B4D8D">
        <w:t>1; Slatt et al., 2012</w:t>
      </w:r>
      <w:r w:rsidRPr="0078320A">
        <w:t xml:space="preserve">). </w:t>
      </w:r>
      <w:r w:rsidR="001B4D8D">
        <w:t>For this reason, the pore pressure</w:t>
      </w:r>
      <w:r w:rsidRPr="0078320A">
        <w:rPr>
          <w:i/>
          <w:iCs/>
        </w:rPr>
        <w:t xml:space="preserve"> </w:t>
      </w:r>
      <w:r w:rsidRPr="0078320A">
        <w:t>is often assumed to be roughly equal to the mud weight when there is neither gas intrusion nor loss of circulation at that weight.</w:t>
      </w:r>
      <w:bookmarkEnd w:id="458"/>
      <w:bookmarkEnd w:id="474"/>
      <w:bookmarkEnd w:id="475"/>
    </w:p>
    <w:p w14:paraId="60CA9A55" w14:textId="77777777" w:rsidR="000C432C" w:rsidRDefault="000C432C" w:rsidP="009349D2">
      <w:pPr>
        <w:rPr>
          <w:b/>
        </w:rPr>
      </w:pPr>
    </w:p>
    <w:p w14:paraId="3AAD534C" w14:textId="77777777" w:rsidR="000C432C" w:rsidRDefault="000C432C" w:rsidP="009349D2">
      <w:pPr>
        <w:rPr>
          <w:b/>
        </w:rPr>
      </w:pPr>
    </w:p>
    <w:p w14:paraId="5FCF300C" w14:textId="578F9754" w:rsidR="00130392" w:rsidRPr="0078320A" w:rsidRDefault="00130392" w:rsidP="009349D2">
      <w:r w:rsidRPr="0078320A">
        <w:rPr>
          <w:b/>
        </w:rPr>
        <w:lastRenderedPageBreak/>
        <w:t>Cited Refer</w:t>
      </w:r>
      <w:r w:rsidR="008B5B75" w:rsidRPr="0078320A">
        <w:rPr>
          <w:b/>
        </w:rPr>
        <w:t>e</w:t>
      </w:r>
      <w:r w:rsidRPr="0078320A">
        <w:rPr>
          <w:b/>
        </w:rPr>
        <w:t>nces</w:t>
      </w:r>
    </w:p>
    <w:p w14:paraId="652A1855" w14:textId="77777777" w:rsidR="004575AB" w:rsidRDefault="004575AB" w:rsidP="004575AB">
      <w:pPr>
        <w:pStyle w:val="ListParagraph"/>
        <w:numPr>
          <w:ilvl w:val="0"/>
          <w:numId w:val="20"/>
        </w:numPr>
        <w:rPr>
          <w:rFonts w:eastAsia="Times New Roman"/>
          <w:color w:val="000000"/>
        </w:rPr>
      </w:pPr>
      <w:r w:rsidRPr="00F6236E">
        <w:rPr>
          <w:rFonts w:eastAsia="Times New Roman"/>
          <w:color w:val="000000"/>
        </w:rPr>
        <w:t xml:space="preserve">Castagna, J.P, Batzle M. L., and Eastwood R. L., 1886. Relationships between compressional-wave and shear-wave velocities in clastic silicate rocks. Geophysics Journal, Society of Exploration Geophysicists 50, 4, 571-581. </w:t>
      </w:r>
    </w:p>
    <w:p w14:paraId="1AF46832" w14:textId="77777777" w:rsidR="004575AB" w:rsidRDefault="004575AB" w:rsidP="004575AB">
      <w:pPr>
        <w:pStyle w:val="ListParagraph"/>
        <w:numPr>
          <w:ilvl w:val="0"/>
          <w:numId w:val="20"/>
        </w:numPr>
        <w:rPr>
          <w:rFonts w:eastAsia="Times New Roman"/>
          <w:color w:val="000000"/>
        </w:rPr>
      </w:pPr>
      <w:r w:rsidRPr="00F6236E">
        <w:rPr>
          <w:rFonts w:eastAsia="Times New Roman"/>
          <w:color w:val="000000"/>
        </w:rPr>
        <w:t xml:space="preserve">Castagna, J.P, and Backus M.M., 1993. AVO analysis—Tutorial and review. Offset-dependent reflectivity: Theory and practice of AVO analysis. SEG Investigations in Geophysics 8, 3-36. </w:t>
      </w:r>
    </w:p>
    <w:p w14:paraId="0D2C2D22" w14:textId="2D49A8EF" w:rsidR="00104471" w:rsidRPr="00D92934" w:rsidRDefault="00104471" w:rsidP="00104471">
      <w:pPr>
        <w:pStyle w:val="ListParagraph"/>
        <w:numPr>
          <w:ilvl w:val="0"/>
          <w:numId w:val="20"/>
        </w:numPr>
        <w:rPr>
          <w:rFonts w:eastAsia="Times New Roman"/>
          <w:color w:val="000000"/>
        </w:rPr>
      </w:pPr>
      <w:r>
        <w:rPr>
          <w:rFonts w:eastAsia="Times New Roman"/>
          <w:color w:val="000000"/>
        </w:rPr>
        <w:t xml:space="preserve">Barree, R.D., and Gilbert, J.V., 2009. Stress and rock property profiling for unconventional reservoir stimulation. SPE Hydraulic Fracturing Technology </w:t>
      </w:r>
      <w:r w:rsidR="00BC64F6">
        <w:rPr>
          <w:rFonts w:eastAsia="Times New Roman"/>
          <w:color w:val="000000"/>
        </w:rPr>
        <w:t>C</w:t>
      </w:r>
      <w:r>
        <w:rPr>
          <w:rFonts w:eastAsia="Times New Roman"/>
          <w:color w:val="000000"/>
        </w:rPr>
        <w:t>onference, The Woodlands, Texas, USA, 2009. SPE 118703.</w:t>
      </w:r>
    </w:p>
    <w:p w14:paraId="3F45F7ED" w14:textId="20CE50DD" w:rsidR="00294194" w:rsidRDefault="00294194" w:rsidP="00294194">
      <w:pPr>
        <w:pStyle w:val="ListParagraph"/>
        <w:numPr>
          <w:ilvl w:val="0"/>
          <w:numId w:val="20"/>
        </w:numPr>
        <w:rPr>
          <w:rFonts w:eastAsia="Times New Roman"/>
          <w:color w:val="000000"/>
        </w:rPr>
      </w:pPr>
      <w:r w:rsidRPr="001F7A3E">
        <w:rPr>
          <w:rFonts w:eastAsia="Times New Roman"/>
          <w:color w:val="000000"/>
        </w:rPr>
        <w:t>Havens, J. B., and Batzle, M.L., 2011. Minimum horizontal stress in the Bakken formation.  45th US Rock Mechanics / Geomechanics Symposium held in San Francisco, CA, 2011</w:t>
      </w:r>
      <w:r>
        <w:rPr>
          <w:rFonts w:eastAsia="Times New Roman"/>
          <w:color w:val="000000"/>
        </w:rPr>
        <w:t>.</w:t>
      </w:r>
    </w:p>
    <w:p w14:paraId="6751F5AB" w14:textId="77777777" w:rsidR="00054962" w:rsidRDefault="00054962" w:rsidP="00054962">
      <w:pPr>
        <w:pStyle w:val="ListParagraph"/>
        <w:numPr>
          <w:ilvl w:val="0"/>
          <w:numId w:val="20"/>
        </w:numPr>
        <w:rPr>
          <w:rFonts w:eastAsia="Times New Roman"/>
          <w:color w:val="000000"/>
        </w:rPr>
      </w:pPr>
      <w:r w:rsidRPr="00D6733D">
        <w:rPr>
          <w:rFonts w:eastAsia="Times New Roman"/>
          <w:color w:val="000000"/>
        </w:rPr>
        <w:t>Kumar, D., Ghassemi, A., 2018. Three-</w:t>
      </w:r>
      <w:r>
        <w:rPr>
          <w:rFonts w:eastAsia="Times New Roman"/>
          <w:color w:val="000000"/>
        </w:rPr>
        <w:t>d</w:t>
      </w:r>
      <w:r w:rsidRPr="00D6733D">
        <w:rPr>
          <w:rFonts w:eastAsia="Times New Roman"/>
          <w:color w:val="000000"/>
        </w:rPr>
        <w:t xml:space="preserve">imensional </w:t>
      </w:r>
      <w:r>
        <w:rPr>
          <w:rFonts w:eastAsia="Times New Roman"/>
          <w:color w:val="000000"/>
        </w:rPr>
        <w:t>p</w:t>
      </w:r>
      <w:r w:rsidRPr="00D6733D">
        <w:rPr>
          <w:rFonts w:eastAsia="Times New Roman"/>
          <w:color w:val="000000"/>
        </w:rPr>
        <w:t xml:space="preserve">oroelastic </w:t>
      </w:r>
      <w:r>
        <w:rPr>
          <w:rFonts w:eastAsia="Times New Roman"/>
          <w:color w:val="000000"/>
        </w:rPr>
        <w:t>m</w:t>
      </w:r>
      <w:r w:rsidRPr="00D6733D">
        <w:rPr>
          <w:rFonts w:eastAsia="Times New Roman"/>
          <w:color w:val="000000"/>
        </w:rPr>
        <w:t xml:space="preserve">odeling of </w:t>
      </w:r>
      <w:r>
        <w:rPr>
          <w:rFonts w:eastAsia="Times New Roman"/>
          <w:color w:val="000000"/>
        </w:rPr>
        <w:t>m</w:t>
      </w:r>
      <w:r w:rsidRPr="00D6733D">
        <w:rPr>
          <w:rFonts w:eastAsia="Times New Roman"/>
          <w:color w:val="000000"/>
        </w:rPr>
        <w:t xml:space="preserve">ultiple </w:t>
      </w:r>
      <w:r>
        <w:rPr>
          <w:rFonts w:eastAsia="Times New Roman"/>
          <w:color w:val="000000"/>
        </w:rPr>
        <w:t>h</w:t>
      </w:r>
      <w:r w:rsidRPr="00D6733D">
        <w:rPr>
          <w:rFonts w:eastAsia="Times New Roman"/>
          <w:color w:val="000000"/>
        </w:rPr>
        <w:t xml:space="preserve">ydraulic </w:t>
      </w:r>
      <w:r>
        <w:rPr>
          <w:rFonts w:eastAsia="Times New Roman"/>
          <w:color w:val="000000"/>
        </w:rPr>
        <w:t>f</w:t>
      </w:r>
      <w:r w:rsidRPr="00D6733D">
        <w:rPr>
          <w:rFonts w:eastAsia="Times New Roman"/>
          <w:color w:val="000000"/>
        </w:rPr>
        <w:t xml:space="preserve">racture </w:t>
      </w:r>
      <w:r>
        <w:rPr>
          <w:rFonts w:eastAsia="Times New Roman"/>
          <w:color w:val="000000"/>
        </w:rPr>
        <w:t>p</w:t>
      </w:r>
      <w:r w:rsidRPr="00D6733D">
        <w:rPr>
          <w:rFonts w:eastAsia="Times New Roman"/>
          <w:color w:val="000000"/>
        </w:rPr>
        <w:t xml:space="preserve">ropagation from </w:t>
      </w:r>
      <w:r>
        <w:rPr>
          <w:rFonts w:eastAsia="Times New Roman"/>
          <w:color w:val="000000"/>
        </w:rPr>
        <w:t>h</w:t>
      </w:r>
      <w:r w:rsidRPr="00D6733D">
        <w:rPr>
          <w:rFonts w:eastAsia="Times New Roman"/>
          <w:color w:val="000000"/>
        </w:rPr>
        <w:t xml:space="preserve">orizontal </w:t>
      </w:r>
      <w:r>
        <w:rPr>
          <w:rFonts w:eastAsia="Times New Roman"/>
          <w:color w:val="000000"/>
        </w:rPr>
        <w:t>w</w:t>
      </w:r>
      <w:r w:rsidRPr="00D6733D">
        <w:rPr>
          <w:rFonts w:eastAsia="Times New Roman"/>
          <w:color w:val="000000"/>
        </w:rPr>
        <w:t xml:space="preserve">ells. International Journal of Rock Mechanics and </w:t>
      </w:r>
      <w:r>
        <w:rPr>
          <w:rFonts w:eastAsia="Times New Roman"/>
          <w:color w:val="000000"/>
        </w:rPr>
        <w:t>M</w:t>
      </w:r>
      <w:r w:rsidRPr="00980A45">
        <w:rPr>
          <w:rFonts w:eastAsia="Times New Roman"/>
          <w:color w:val="000000"/>
        </w:rPr>
        <w:t>i</w:t>
      </w:r>
      <w:r w:rsidRPr="00D6733D">
        <w:rPr>
          <w:rFonts w:eastAsia="Times New Roman"/>
          <w:color w:val="000000"/>
        </w:rPr>
        <w:t>ning Sciences</w:t>
      </w:r>
      <w:r>
        <w:rPr>
          <w:rFonts w:eastAsia="Times New Roman"/>
          <w:color w:val="000000"/>
        </w:rPr>
        <w:t xml:space="preserve"> </w:t>
      </w:r>
      <w:r w:rsidRPr="00D6733D">
        <w:rPr>
          <w:rFonts w:eastAsia="Times New Roman"/>
          <w:color w:val="000000"/>
        </w:rPr>
        <w:t>105, 192–209.</w:t>
      </w:r>
    </w:p>
    <w:p w14:paraId="0A776DF7" w14:textId="60C6006B" w:rsidR="00D335F1" w:rsidRPr="007B0BF9" w:rsidRDefault="00D335F1" w:rsidP="00D335F1">
      <w:pPr>
        <w:pStyle w:val="ListParagraph"/>
        <w:numPr>
          <w:ilvl w:val="0"/>
          <w:numId w:val="20"/>
        </w:numPr>
        <w:rPr>
          <w:rFonts w:eastAsia="Times New Roman"/>
          <w:color w:val="000000"/>
        </w:rPr>
      </w:pPr>
      <w:r>
        <w:rPr>
          <w:rFonts w:eastAsia="Times New Roman"/>
          <w:color w:val="000000"/>
        </w:rPr>
        <w:t>Mullen, M., Roundtree, R., Barree, R., and Turk, G., 2007. A composite determination of mechanical rock properties for stimulation design (What to do when you don’t have a sonic log). SPE Rocky Mountain oil and gas technology symposium, Denver, CO. SPE 108139.</w:t>
      </w:r>
    </w:p>
    <w:p w14:paraId="677686D5" w14:textId="78218CA6" w:rsidR="005C6639" w:rsidRPr="00363953" w:rsidRDefault="005C6639" w:rsidP="005C6639">
      <w:pPr>
        <w:pStyle w:val="ListParagraph"/>
        <w:numPr>
          <w:ilvl w:val="0"/>
          <w:numId w:val="20"/>
        </w:numPr>
        <w:rPr>
          <w:rFonts w:eastAsia="Times New Roman"/>
          <w:color w:val="000000"/>
        </w:rPr>
      </w:pPr>
      <w:r>
        <w:rPr>
          <w:rFonts w:eastAsia="Times New Roman"/>
          <w:color w:val="000000"/>
        </w:rPr>
        <w:t xml:space="preserve">Rickman, R., Mullen, M., Petre, E., Grieser, B., and Kundert, D., 2008. A practical use of Shale petrophysics for stimulation design optimization: All shale plays are not clones of the Barnett Shale. </w:t>
      </w:r>
      <w:r w:rsidRPr="00B60E9D">
        <w:t xml:space="preserve">Proceedings from the </w:t>
      </w:r>
      <w:r>
        <w:t xml:space="preserve">SPE </w:t>
      </w:r>
      <w:r w:rsidR="00BC64F6">
        <w:t>A</w:t>
      </w:r>
      <w:r>
        <w:t xml:space="preserve">nnual Technical Conference and Exhibition ATC, SPE 115258. </w:t>
      </w:r>
    </w:p>
    <w:p w14:paraId="59BE5D74" w14:textId="721BA0B8" w:rsidR="00015DA9" w:rsidRDefault="00015DA9" w:rsidP="00015DA9">
      <w:pPr>
        <w:pStyle w:val="ListParagraph"/>
        <w:numPr>
          <w:ilvl w:val="0"/>
          <w:numId w:val="20"/>
        </w:numPr>
        <w:rPr>
          <w:rFonts w:eastAsia="Times New Roman"/>
          <w:color w:val="000000"/>
        </w:rPr>
      </w:pPr>
      <w:r w:rsidRPr="00183F0C">
        <w:rPr>
          <w:rFonts w:eastAsia="Times New Roman"/>
          <w:color w:val="000000"/>
        </w:rPr>
        <w:t xml:space="preserve">Sierra-Perez, R., 2011. Integrated geomechanics and geological characterization of the Devonian-Mississippian Woodford Shale.  M.Sc. </w:t>
      </w:r>
      <w:r>
        <w:rPr>
          <w:rFonts w:eastAsia="Times New Roman"/>
          <w:color w:val="000000"/>
        </w:rPr>
        <w:t>t</w:t>
      </w:r>
      <w:r w:rsidRPr="00183F0C">
        <w:rPr>
          <w:rFonts w:eastAsia="Times New Roman"/>
          <w:color w:val="000000"/>
        </w:rPr>
        <w:t>hesis manuscript, The University of Oklahoma</w:t>
      </w:r>
      <w:r>
        <w:rPr>
          <w:rFonts w:eastAsia="Times New Roman"/>
          <w:color w:val="000000"/>
        </w:rPr>
        <w:t>, p. 123.</w:t>
      </w:r>
      <w:r w:rsidRPr="00183F0C">
        <w:rPr>
          <w:rFonts w:eastAsia="Times New Roman"/>
          <w:color w:val="000000"/>
        </w:rPr>
        <w:t xml:space="preserve"> </w:t>
      </w:r>
    </w:p>
    <w:p w14:paraId="2F9D00EB" w14:textId="238163E1" w:rsidR="00602012" w:rsidRDefault="00602012" w:rsidP="00602012">
      <w:pPr>
        <w:pStyle w:val="ListParagraph"/>
        <w:numPr>
          <w:ilvl w:val="0"/>
          <w:numId w:val="20"/>
        </w:numPr>
        <w:rPr>
          <w:rFonts w:eastAsia="Times New Roman"/>
          <w:color w:val="000000"/>
        </w:rPr>
      </w:pPr>
      <w:r w:rsidRPr="00183F0C">
        <w:rPr>
          <w:rFonts w:eastAsia="Times New Roman"/>
          <w:color w:val="000000"/>
        </w:rPr>
        <w:t>Slatt, R. M., Buckner,</w:t>
      </w:r>
      <w:r w:rsidRPr="00BA1BCF">
        <w:rPr>
          <w:rFonts w:eastAsia="Times New Roman"/>
          <w:color w:val="000000"/>
        </w:rPr>
        <w:t xml:space="preserve"> </w:t>
      </w:r>
      <w:r w:rsidRPr="00183F0C">
        <w:rPr>
          <w:rFonts w:eastAsia="Times New Roman"/>
          <w:color w:val="000000"/>
        </w:rPr>
        <w:t>N.</w:t>
      </w:r>
      <w:r>
        <w:rPr>
          <w:rFonts w:eastAsia="Times New Roman"/>
          <w:color w:val="000000"/>
        </w:rPr>
        <w:t xml:space="preserve">, </w:t>
      </w:r>
      <w:r w:rsidRPr="00183F0C">
        <w:rPr>
          <w:rFonts w:eastAsia="Times New Roman"/>
          <w:color w:val="000000"/>
        </w:rPr>
        <w:t xml:space="preserve">Abousleiman, </w:t>
      </w:r>
      <w:r>
        <w:rPr>
          <w:rFonts w:eastAsia="Times New Roman"/>
          <w:color w:val="000000"/>
        </w:rPr>
        <w:t>Y., S</w:t>
      </w:r>
      <w:r w:rsidRPr="00183F0C">
        <w:rPr>
          <w:rFonts w:eastAsia="Times New Roman"/>
          <w:color w:val="000000"/>
        </w:rPr>
        <w:t>ierra</w:t>
      </w:r>
      <w:r>
        <w:rPr>
          <w:rFonts w:eastAsia="Times New Roman"/>
          <w:color w:val="000000"/>
        </w:rPr>
        <w:t>, R.</w:t>
      </w:r>
      <w:r w:rsidRPr="00183F0C">
        <w:rPr>
          <w:rFonts w:eastAsia="Times New Roman"/>
          <w:color w:val="000000"/>
        </w:rPr>
        <w:t>, Philp,</w:t>
      </w:r>
      <w:r>
        <w:rPr>
          <w:rFonts w:eastAsia="Times New Roman"/>
          <w:color w:val="000000"/>
        </w:rPr>
        <w:t xml:space="preserve"> R.P.</w:t>
      </w:r>
      <w:r w:rsidR="00EA3F0B">
        <w:rPr>
          <w:rFonts w:eastAsia="Times New Roman"/>
          <w:color w:val="000000"/>
        </w:rPr>
        <w:t>, Miceli</w:t>
      </w:r>
      <w:r w:rsidRPr="00183F0C">
        <w:rPr>
          <w:rFonts w:eastAsia="Times New Roman"/>
          <w:color w:val="000000"/>
        </w:rPr>
        <w:t>-Romero,</w:t>
      </w:r>
      <w:r>
        <w:rPr>
          <w:rFonts w:eastAsia="Times New Roman"/>
          <w:color w:val="000000"/>
        </w:rPr>
        <w:t xml:space="preserve"> A., </w:t>
      </w:r>
      <w:r w:rsidRPr="00183F0C">
        <w:rPr>
          <w:rFonts w:eastAsia="Times New Roman"/>
          <w:color w:val="000000"/>
        </w:rPr>
        <w:t>Portas,</w:t>
      </w:r>
      <w:r>
        <w:rPr>
          <w:rFonts w:eastAsia="Times New Roman"/>
          <w:color w:val="000000"/>
        </w:rPr>
        <w:t xml:space="preserve"> R., </w:t>
      </w:r>
      <w:r w:rsidRPr="00183F0C">
        <w:rPr>
          <w:rFonts w:eastAsia="Times New Roman"/>
          <w:color w:val="000000"/>
        </w:rPr>
        <w:t>O'Brien,</w:t>
      </w:r>
      <w:r>
        <w:rPr>
          <w:rFonts w:eastAsia="Times New Roman"/>
          <w:color w:val="000000"/>
        </w:rPr>
        <w:t xml:space="preserve"> N., T</w:t>
      </w:r>
      <w:r w:rsidRPr="00183F0C">
        <w:rPr>
          <w:rFonts w:eastAsia="Times New Roman"/>
          <w:color w:val="000000"/>
        </w:rPr>
        <w:t>ran,</w:t>
      </w:r>
      <w:r>
        <w:rPr>
          <w:rFonts w:eastAsia="Times New Roman"/>
          <w:color w:val="000000"/>
        </w:rPr>
        <w:t xml:space="preserve"> M., </w:t>
      </w:r>
      <w:r w:rsidRPr="00183F0C">
        <w:rPr>
          <w:rFonts w:eastAsia="Times New Roman"/>
          <w:color w:val="000000"/>
        </w:rPr>
        <w:t>Davis,</w:t>
      </w:r>
      <w:r>
        <w:rPr>
          <w:rFonts w:eastAsia="Times New Roman"/>
          <w:color w:val="000000"/>
        </w:rPr>
        <w:t xml:space="preserve"> R.,</w:t>
      </w:r>
      <w:r w:rsidRPr="00183F0C">
        <w:rPr>
          <w:rFonts w:eastAsia="Times New Roman"/>
          <w:color w:val="000000"/>
        </w:rPr>
        <w:t xml:space="preserve"> and Wawrzyniec,</w:t>
      </w:r>
      <w:r>
        <w:rPr>
          <w:rFonts w:eastAsia="Times New Roman"/>
          <w:color w:val="000000"/>
        </w:rPr>
        <w:t xml:space="preserve"> T.,</w:t>
      </w:r>
      <w:r w:rsidRPr="00183F0C">
        <w:rPr>
          <w:rFonts w:eastAsia="Times New Roman"/>
          <w:color w:val="000000"/>
        </w:rPr>
        <w:t xml:space="preserve"> 2012. Outcrop/behind outcrop (quarry), multiscale characterization of the Woodford </w:t>
      </w:r>
      <w:r>
        <w:rPr>
          <w:rFonts w:eastAsia="Times New Roman"/>
          <w:color w:val="000000"/>
        </w:rPr>
        <w:t>g</w:t>
      </w:r>
      <w:r w:rsidRPr="00183F0C">
        <w:rPr>
          <w:rFonts w:eastAsia="Times New Roman"/>
          <w:color w:val="000000"/>
        </w:rPr>
        <w:t xml:space="preserve">as </w:t>
      </w:r>
      <w:r>
        <w:rPr>
          <w:rFonts w:eastAsia="Times New Roman"/>
          <w:color w:val="000000"/>
        </w:rPr>
        <w:t>s</w:t>
      </w:r>
      <w:r w:rsidRPr="00183F0C">
        <w:rPr>
          <w:rFonts w:eastAsia="Times New Roman"/>
          <w:color w:val="000000"/>
        </w:rPr>
        <w:t>hale, Oklahoma, in J. Breyer, ed</w:t>
      </w:r>
      <w:r>
        <w:rPr>
          <w:rFonts w:eastAsia="Times New Roman"/>
          <w:color w:val="000000"/>
        </w:rPr>
        <w:t>s</w:t>
      </w:r>
      <w:r w:rsidRPr="00183F0C">
        <w:rPr>
          <w:rFonts w:eastAsia="Times New Roman"/>
          <w:color w:val="000000"/>
        </w:rPr>
        <w:t>., Shale reservoirs</w:t>
      </w:r>
      <w:r>
        <w:rPr>
          <w:rFonts w:eastAsia="Times New Roman"/>
          <w:color w:val="000000"/>
        </w:rPr>
        <w:t>-g</w:t>
      </w:r>
      <w:r w:rsidRPr="00183F0C">
        <w:rPr>
          <w:rFonts w:eastAsia="Times New Roman"/>
          <w:color w:val="000000"/>
        </w:rPr>
        <w:t>iant resources for the 21st century: American Association of Petroleum Geologists AAPG Memoir 97, 1–21.</w:t>
      </w:r>
    </w:p>
    <w:p w14:paraId="4D6F26E8" w14:textId="0629C0F8" w:rsidR="004441D2" w:rsidRPr="0078320A" w:rsidRDefault="004441D2" w:rsidP="00662698">
      <w:pPr>
        <w:pStyle w:val="ListParagraph"/>
        <w:numPr>
          <w:ilvl w:val="0"/>
          <w:numId w:val="20"/>
        </w:numPr>
      </w:pPr>
      <w:r w:rsidRPr="0078320A">
        <w:t xml:space="preserve">Schlumberger Oilfield Glossary, 2019. </w:t>
      </w:r>
      <w:r w:rsidR="002B0879" w:rsidRPr="0078320A">
        <w:t>https://www.glossary.oilfield.slb.com/</w:t>
      </w:r>
    </w:p>
    <w:p w14:paraId="4143B0FA" w14:textId="5B5F25DD" w:rsidR="005D2A71" w:rsidRPr="00E43722" w:rsidRDefault="005D2A71" w:rsidP="005D2A71">
      <w:pPr>
        <w:pStyle w:val="ListParagraph"/>
        <w:numPr>
          <w:ilvl w:val="0"/>
          <w:numId w:val="20"/>
        </w:numPr>
        <w:rPr>
          <w:rFonts w:eastAsia="Times New Roman"/>
          <w:color w:val="000000"/>
        </w:rPr>
      </w:pPr>
      <w:r w:rsidRPr="00E43722">
        <w:rPr>
          <w:rFonts w:eastAsia="Times New Roman"/>
          <w:color w:val="000000"/>
        </w:rPr>
        <w:lastRenderedPageBreak/>
        <w:t xml:space="preserve">Wang, C., and Zeng, Z., 2011. Overview of geomechanical properties of Bakken formation in </w:t>
      </w:r>
      <w:r w:rsidR="00BC64F6">
        <w:rPr>
          <w:rFonts w:eastAsia="Times New Roman"/>
          <w:color w:val="000000"/>
        </w:rPr>
        <w:t xml:space="preserve">the </w:t>
      </w:r>
      <w:r w:rsidRPr="00E43722">
        <w:rPr>
          <w:rFonts w:eastAsia="Times New Roman"/>
          <w:color w:val="000000"/>
        </w:rPr>
        <w:t>Williston basin, North Dakota. 45th US Rock Mechanics / Geomechanics Symposium held in San Francisco, CA, June 26–29, 2011.</w:t>
      </w:r>
    </w:p>
    <w:p w14:paraId="12709A23" w14:textId="4C3DA93A" w:rsidR="00F42B85" w:rsidRDefault="00F42B85" w:rsidP="00F42B85">
      <w:pPr>
        <w:pStyle w:val="ListParagraph"/>
        <w:numPr>
          <w:ilvl w:val="0"/>
          <w:numId w:val="20"/>
        </w:numPr>
        <w:rPr>
          <w:rFonts w:eastAsia="Times New Roman"/>
          <w:color w:val="000000"/>
        </w:rPr>
      </w:pPr>
      <w:r w:rsidRPr="00687B23">
        <w:rPr>
          <w:rFonts w:eastAsia="Times New Roman"/>
          <w:color w:val="000000"/>
        </w:rPr>
        <w:t xml:space="preserve">Zeng, Z., and Jiang, A., 2006. Geomechanical </w:t>
      </w:r>
      <w:r w:rsidR="00BC64F6">
        <w:rPr>
          <w:rFonts w:eastAsia="Times New Roman"/>
          <w:color w:val="000000"/>
        </w:rPr>
        <w:t>S</w:t>
      </w:r>
      <w:r w:rsidRPr="00687B23">
        <w:rPr>
          <w:rFonts w:eastAsia="Times New Roman"/>
          <w:color w:val="000000"/>
        </w:rPr>
        <w:t>tudy of Bakken formation for improved oil recovery. ISRM - Sponsored International Symposium on Rock Mechanics: Rock characteri</w:t>
      </w:r>
      <w:r w:rsidR="00BC64F6">
        <w:rPr>
          <w:rFonts w:eastAsia="Times New Roman"/>
          <w:color w:val="000000"/>
        </w:rPr>
        <w:t>z</w:t>
      </w:r>
      <w:r w:rsidRPr="00687B23">
        <w:rPr>
          <w:rFonts w:eastAsia="Times New Roman"/>
          <w:color w:val="000000"/>
        </w:rPr>
        <w:t xml:space="preserve">ation, modeling, and engineering design methods, 2006. </w:t>
      </w:r>
    </w:p>
    <w:p w14:paraId="28EB4734" w14:textId="77777777" w:rsidR="00DA7951" w:rsidRPr="00DA7951" w:rsidRDefault="006C7516" w:rsidP="003945A8">
      <w:pPr>
        <w:pStyle w:val="ListParagraph"/>
        <w:numPr>
          <w:ilvl w:val="0"/>
          <w:numId w:val="20"/>
        </w:numPr>
      </w:pPr>
      <w:r w:rsidRPr="007E3F90">
        <w:rPr>
          <w:rFonts w:eastAsia="Times New Roman"/>
          <w:color w:val="000000"/>
        </w:rPr>
        <w:t>Zoback, M. D., Barton, C., Brudy, M., Castillo, D., Finkbeiner, T., Grollimund, B., Moos, D., Peska, P., Ward, C., and Wiprut, D., 2003. Determination of stress orientation and magnitude in deep wells. International Journal of Rock Mecha</w:t>
      </w:r>
      <w:r w:rsidR="00BC64F6">
        <w:rPr>
          <w:rFonts w:eastAsia="Times New Roman"/>
          <w:color w:val="000000"/>
        </w:rPr>
        <w:t>n</w:t>
      </w:r>
      <w:r w:rsidRPr="007E3F90">
        <w:rPr>
          <w:rFonts w:eastAsia="Times New Roman"/>
          <w:color w:val="000000"/>
        </w:rPr>
        <w:t>ics and Mining Sciences 40, 1049 – 1076.</w:t>
      </w:r>
    </w:p>
    <w:p w14:paraId="48962484" w14:textId="34CDD2D3" w:rsidR="00DA7951" w:rsidRDefault="00DA7951" w:rsidP="00DA7951"/>
    <w:p w14:paraId="571DA9EA" w14:textId="45C7B58E" w:rsidR="004F68A3" w:rsidRDefault="004F68A3" w:rsidP="00DA7951"/>
    <w:p w14:paraId="198CD889" w14:textId="6F5074F6" w:rsidR="004F68A3" w:rsidRDefault="004F68A3" w:rsidP="00DA7951"/>
    <w:p w14:paraId="7CA3F7FA" w14:textId="52128342" w:rsidR="004F68A3" w:rsidRDefault="004F68A3" w:rsidP="00DA7951"/>
    <w:p w14:paraId="2B425FC2" w14:textId="1684E94A" w:rsidR="004F68A3" w:rsidRDefault="004F68A3" w:rsidP="00DA7951"/>
    <w:p w14:paraId="03F67834" w14:textId="0EFE4054" w:rsidR="004F68A3" w:rsidRDefault="004F68A3" w:rsidP="00DA7951"/>
    <w:p w14:paraId="4AF68259" w14:textId="3CBE68F4" w:rsidR="004F68A3" w:rsidRDefault="004F68A3" w:rsidP="00DA7951"/>
    <w:p w14:paraId="6FCD394C" w14:textId="6023B253" w:rsidR="004F68A3" w:rsidRDefault="004F68A3" w:rsidP="00DA7951"/>
    <w:p w14:paraId="547CFA96" w14:textId="3FD20168" w:rsidR="004F68A3" w:rsidRDefault="004F68A3" w:rsidP="00DA7951"/>
    <w:p w14:paraId="768CBB89" w14:textId="51E4C437" w:rsidR="004F68A3" w:rsidRDefault="004F68A3" w:rsidP="00DA7951"/>
    <w:p w14:paraId="5048594E" w14:textId="0A912B35" w:rsidR="004F68A3" w:rsidRDefault="004F68A3" w:rsidP="00DA7951"/>
    <w:p w14:paraId="7E3338A3" w14:textId="77777777" w:rsidR="004F68A3" w:rsidRDefault="004F68A3" w:rsidP="00DA7951"/>
    <w:p w14:paraId="320830B5" w14:textId="75D429AC" w:rsidR="00DA7951" w:rsidRPr="00DA7951" w:rsidRDefault="00DA7951" w:rsidP="00D31CF8">
      <w:pPr>
        <w:pStyle w:val="Heading2"/>
      </w:pPr>
      <w:bookmarkStart w:id="476" w:name="_Toc35861151"/>
      <w:r w:rsidRPr="00DA7951">
        <w:lastRenderedPageBreak/>
        <w:t>Appendix B</w:t>
      </w:r>
      <w:r w:rsidR="00D31CF8">
        <w:t>: Applied biomarker analysis workflow and analytical techniques</w:t>
      </w:r>
      <w:bookmarkEnd w:id="476"/>
    </w:p>
    <w:p w14:paraId="02B571D6" w14:textId="77777777" w:rsidR="00DA7951" w:rsidRPr="00DA7951" w:rsidRDefault="00DA7951" w:rsidP="00DA7951">
      <w:pPr>
        <w:rPr>
          <w:b/>
        </w:rPr>
      </w:pPr>
      <w:r w:rsidRPr="00DA7951">
        <w:rPr>
          <w:b/>
        </w:rPr>
        <w:t>Soluble organic matter extraction and precipitation</w:t>
      </w:r>
    </w:p>
    <w:p w14:paraId="6DC8E7A8" w14:textId="77777777" w:rsidR="00C74E6C" w:rsidRPr="00571A9A" w:rsidRDefault="00C74E6C" w:rsidP="00C74E6C">
      <w:pPr>
        <w:ind w:firstLine="720"/>
      </w:pPr>
      <w:r>
        <w:t>For obtaining the biomarkers from the soluble organic matter (rock extracts), the rock s</w:t>
      </w:r>
      <w:r w:rsidRPr="00571A9A">
        <w:t xml:space="preserve">amples were </w:t>
      </w:r>
      <w:r>
        <w:t xml:space="preserve">initially prepared by scrubbing and rinsing </w:t>
      </w:r>
      <w:r w:rsidRPr="00571A9A">
        <w:t xml:space="preserve">in deionized water to remove dirt or contamination from the surface. With sterilized metal tongs, each sample was dipped into methanol </w:t>
      </w:r>
      <w:r>
        <w:t>three</w:t>
      </w:r>
      <w:r w:rsidRPr="00571A9A">
        <w:t xml:space="preserve"> times and left to dry for several hours. Then, the same procedure was repeated with dichloromethane</w:t>
      </w:r>
      <w:r>
        <w:t>; these processes remove organic impurities that might cause erroneous analyses of contamination effects</w:t>
      </w:r>
      <w:r w:rsidRPr="00571A9A">
        <w:t>. Samples were left to dry for 24 hours in a vent hood. Approximately 50</w:t>
      </w:r>
      <w:r>
        <w:t>-60</w:t>
      </w:r>
      <w:r w:rsidRPr="00571A9A">
        <w:t xml:space="preserve"> grams of each sample w</w:t>
      </w:r>
      <w:r>
        <w:t>as</w:t>
      </w:r>
      <w:r w:rsidRPr="00571A9A">
        <w:t xml:space="preserve"> weig</w:t>
      </w:r>
      <w:r>
        <w:t>h</w:t>
      </w:r>
      <w:r w:rsidRPr="00571A9A">
        <w:t>ed</w:t>
      </w:r>
      <w:r>
        <w:t xml:space="preserve"> </w:t>
      </w:r>
      <w:r w:rsidRPr="00571A9A">
        <w:t xml:space="preserve">and crushed using a mortar and pestle until each sample was </w:t>
      </w:r>
      <w:r>
        <w:t xml:space="preserve">clean </w:t>
      </w:r>
      <w:r w:rsidRPr="00571A9A">
        <w:t xml:space="preserve">enough to be sieved through a US </w:t>
      </w:r>
      <w:r>
        <w:t>s</w:t>
      </w:r>
      <w:r w:rsidRPr="00571A9A">
        <w:t xml:space="preserve">tandard </w:t>
      </w:r>
      <w:r>
        <w:t>m</w:t>
      </w:r>
      <w:r w:rsidRPr="00571A9A">
        <w:t>esh No. 40 (0.425 mm)</w:t>
      </w:r>
      <w:r>
        <w:t xml:space="preserve"> screen</w:t>
      </w:r>
      <w:r w:rsidRPr="00571A9A">
        <w:t>.</w:t>
      </w:r>
      <w:r>
        <w:t xml:space="preserve"> For samples with the lower the TOC, more amount of sample was used, and vice-versa. </w:t>
      </w:r>
    </w:p>
    <w:p w14:paraId="05DCCAA7" w14:textId="0243FB1F" w:rsidR="00DA7951" w:rsidRDefault="00DA7951" w:rsidP="00DA7951">
      <w:pPr>
        <w:ind w:firstLine="720"/>
        <w:rPr>
          <w:color w:val="000000"/>
        </w:rPr>
      </w:pPr>
      <w:r>
        <w:rPr>
          <w:color w:val="000000"/>
        </w:rPr>
        <w:t>T</w:t>
      </w:r>
      <w:r w:rsidRPr="001E7D67">
        <w:rPr>
          <w:color w:val="000000"/>
        </w:rPr>
        <w:t xml:space="preserve">he </w:t>
      </w:r>
      <w:r>
        <w:rPr>
          <w:color w:val="000000"/>
        </w:rPr>
        <w:t>F</w:t>
      </w:r>
      <w:r w:rsidRPr="001E7D67">
        <w:rPr>
          <w:color w:val="000000"/>
        </w:rPr>
        <w:t>orty</w:t>
      </w:r>
      <w:r>
        <w:rPr>
          <w:color w:val="000000"/>
        </w:rPr>
        <w:t>-five</w:t>
      </w:r>
      <w:r w:rsidRPr="001E7D67">
        <w:rPr>
          <w:color w:val="000000"/>
        </w:rPr>
        <w:t xml:space="preserve"> samples out of the 536 available</w:t>
      </w:r>
      <w:r>
        <w:rPr>
          <w:color w:val="000000"/>
        </w:rPr>
        <w:t xml:space="preserve"> were selected for extraction</w:t>
      </w:r>
      <w:r w:rsidRPr="001E7D67">
        <w:rPr>
          <w:color w:val="000000"/>
        </w:rPr>
        <w:t>,</w:t>
      </w:r>
      <w:r>
        <w:rPr>
          <w:color w:val="000000"/>
        </w:rPr>
        <w:t xml:space="preserve"> and</w:t>
      </w:r>
      <w:r w:rsidRPr="001E7D67">
        <w:rPr>
          <w:color w:val="000000"/>
        </w:rPr>
        <w:t xml:space="preserve"> for effectively removing the soluble bitumen from each sample, </w:t>
      </w:r>
      <w:r>
        <w:rPr>
          <w:color w:val="000000"/>
        </w:rPr>
        <w:t xml:space="preserve">using </w:t>
      </w:r>
      <w:r w:rsidRPr="001E7D67">
        <w:rPr>
          <w:color w:val="000000"/>
        </w:rPr>
        <w:t xml:space="preserve">Soxhlet extraction. The glass apparatus, thimble, glass wool, and boiling chips that are used in this methodology were pre-extracted for 24 hours with approximately 500 mL of a 1:1 mixture of dichloromethane and methanol before the start of each extraction. The Soxhlet was allowed to cool; the solvent was removed and replaced, keeping the boiling chips in place. </w:t>
      </w:r>
      <w:r>
        <w:rPr>
          <w:color w:val="000000"/>
        </w:rPr>
        <w:t xml:space="preserve">The </w:t>
      </w:r>
      <w:r w:rsidRPr="001E7D67">
        <w:rPr>
          <w:color w:val="000000"/>
        </w:rPr>
        <w:t xml:space="preserve">ground sample </w:t>
      </w:r>
      <w:r>
        <w:rPr>
          <w:color w:val="000000"/>
        </w:rPr>
        <w:t xml:space="preserve">(50-60 g) </w:t>
      </w:r>
      <w:r w:rsidRPr="001E7D67">
        <w:rPr>
          <w:color w:val="000000"/>
        </w:rPr>
        <w:t>was poured into each thimble and covered with the pre-extracted wool</w:t>
      </w:r>
      <w:r>
        <w:rPr>
          <w:color w:val="000000"/>
        </w:rPr>
        <w:t xml:space="preserve"> for avoiding sediment (of powdered rock sample) to contaminate the organic matter extract</w:t>
      </w:r>
      <w:r w:rsidRPr="001E7D67">
        <w:rPr>
          <w:color w:val="000000"/>
        </w:rPr>
        <w:t>. The</w:t>
      </w:r>
      <w:r>
        <w:rPr>
          <w:color w:val="000000"/>
        </w:rPr>
        <w:t xml:space="preserve"> condenser</w:t>
      </w:r>
      <w:r w:rsidRPr="001E7D67">
        <w:rPr>
          <w:color w:val="000000"/>
        </w:rPr>
        <w:t xml:space="preserve"> was placed back on the Soxhlet with the sample and cycled on medium heat for 24 hours, or until the solvent in the thimble was clear</w:t>
      </w:r>
      <w:r>
        <w:rPr>
          <w:color w:val="000000"/>
        </w:rPr>
        <w:t>, indicating that the majority of the soluble organic matter (soluble bitumen) has been extracted from the rock</w:t>
      </w:r>
      <w:r w:rsidRPr="001E7D67">
        <w:rPr>
          <w:color w:val="000000"/>
        </w:rPr>
        <w:t>.</w:t>
      </w:r>
    </w:p>
    <w:p w14:paraId="05059514" w14:textId="77777777" w:rsidR="005F3265" w:rsidRPr="001E7D67" w:rsidRDefault="005F3265" w:rsidP="00DA7951">
      <w:pPr>
        <w:ind w:firstLine="720"/>
        <w:rPr>
          <w:color w:val="000000"/>
        </w:rPr>
      </w:pPr>
    </w:p>
    <w:p w14:paraId="02572D15" w14:textId="77777777" w:rsidR="00DA7951" w:rsidRPr="00DA7951" w:rsidRDefault="00DA7951" w:rsidP="00DA7951">
      <w:pPr>
        <w:rPr>
          <w:b/>
        </w:rPr>
      </w:pPr>
      <w:r w:rsidRPr="00DA7951">
        <w:rPr>
          <w:b/>
        </w:rPr>
        <w:lastRenderedPageBreak/>
        <w:t>Bitumen fractionation</w:t>
      </w:r>
    </w:p>
    <w:p w14:paraId="656942E1" w14:textId="77777777" w:rsidR="00DA7951" w:rsidRDefault="00DA7951" w:rsidP="00DA7951">
      <w:pPr>
        <w:ind w:firstLine="720"/>
        <w:rPr>
          <w:color w:val="000000"/>
        </w:rPr>
      </w:pPr>
      <w:r>
        <w:rPr>
          <w:color w:val="000000"/>
        </w:rPr>
        <w:t>T</w:t>
      </w:r>
      <w:r w:rsidRPr="001E7D67">
        <w:rPr>
          <w:color w:val="000000"/>
        </w:rPr>
        <w:t xml:space="preserve">he Soxhlet extracts from the previous step were concentrated using a rotary evaporator until they were nearly dry. The extracts were removed from the flask using dichloromethane and placed in a pre-weighed 20 mL vial, evaporated </w:t>
      </w:r>
      <w:r>
        <w:rPr>
          <w:color w:val="000000"/>
        </w:rPr>
        <w:t>to dryness</w:t>
      </w:r>
      <w:r w:rsidRPr="001E7D67">
        <w:rPr>
          <w:color w:val="000000"/>
        </w:rPr>
        <w:t xml:space="preserve"> using nitrogen gas, and reweighed </w:t>
      </w:r>
      <w:r>
        <w:rPr>
          <w:color w:val="000000"/>
        </w:rPr>
        <w:t>to</w:t>
      </w:r>
      <w:r w:rsidRPr="001E7D67">
        <w:rPr>
          <w:color w:val="000000"/>
        </w:rPr>
        <w:t xml:space="preserve"> obtain the total extractable organic matter (EOM). The asphaltene fraction was removed from the </w:t>
      </w:r>
      <w:r>
        <w:rPr>
          <w:color w:val="000000"/>
        </w:rPr>
        <w:t>Soxhlet extract</w:t>
      </w:r>
      <w:r w:rsidRPr="001E7D67">
        <w:rPr>
          <w:color w:val="000000"/>
        </w:rPr>
        <w:t xml:space="preserve"> before performing column chromatography</w:t>
      </w:r>
      <w:r>
        <w:rPr>
          <w:color w:val="000000"/>
        </w:rPr>
        <w:t>. T</w:t>
      </w:r>
      <w:r w:rsidRPr="001E7D67">
        <w:rPr>
          <w:color w:val="000000"/>
        </w:rPr>
        <w:t>he high polarity component of th</w:t>
      </w:r>
      <w:r>
        <w:rPr>
          <w:color w:val="000000"/>
        </w:rPr>
        <w:t>e asphaltene</w:t>
      </w:r>
      <w:r w:rsidRPr="001E7D67">
        <w:rPr>
          <w:color w:val="000000"/>
        </w:rPr>
        <w:t xml:space="preserve"> fraction does not permit it to identify</w:t>
      </w:r>
      <w:r>
        <w:rPr>
          <w:color w:val="000000"/>
        </w:rPr>
        <w:t xml:space="preserve"> detailed molecularly</w:t>
      </w:r>
      <w:r w:rsidRPr="001E7D67">
        <w:rPr>
          <w:color w:val="000000"/>
        </w:rPr>
        <w:t xml:space="preserve"> lighter hydrocarbon </w:t>
      </w:r>
      <w:r>
        <w:rPr>
          <w:color w:val="000000"/>
        </w:rPr>
        <w:t>in the maltene fraction</w:t>
      </w:r>
      <w:r w:rsidRPr="001E7D67">
        <w:rPr>
          <w:color w:val="000000"/>
        </w:rPr>
        <w:t xml:space="preserve"> </w:t>
      </w:r>
      <w:r>
        <w:rPr>
          <w:color w:val="000000"/>
        </w:rPr>
        <w:t xml:space="preserve">via </w:t>
      </w:r>
      <w:r w:rsidRPr="001E7D67">
        <w:rPr>
          <w:color w:val="000000"/>
        </w:rPr>
        <w:t xml:space="preserve">GC, </w:t>
      </w:r>
      <w:r>
        <w:rPr>
          <w:color w:val="000000"/>
        </w:rPr>
        <w:t xml:space="preserve">nor </w:t>
      </w:r>
      <w:r w:rsidRPr="001E7D67">
        <w:rPr>
          <w:color w:val="000000"/>
        </w:rPr>
        <w:t>GC-MS</w:t>
      </w:r>
      <w:r>
        <w:rPr>
          <w:color w:val="000000"/>
        </w:rPr>
        <w:t>.</w:t>
      </w:r>
    </w:p>
    <w:p w14:paraId="12378E88" w14:textId="4C9D6AAB" w:rsidR="00DA7951" w:rsidRDefault="00DA7951" w:rsidP="00DA7951">
      <w:pPr>
        <w:ind w:firstLine="720"/>
        <w:rPr>
          <w:color w:val="000000"/>
        </w:rPr>
      </w:pPr>
      <w:r w:rsidRPr="001E7D67">
        <w:rPr>
          <w:color w:val="000000"/>
        </w:rPr>
        <w:t xml:space="preserve"> In order to do this, the bitumen was transferred into 40 mL centrifuge tubes, taking care to transfer as much bitumen as possible, since much of the sample tended to adhere to the side of the container. Using a nitrogen dryer, the excess solvent was blown off from each sample. Approximately 1 milliliter of </w:t>
      </w:r>
      <w:r>
        <w:rPr>
          <w:color w:val="000000"/>
        </w:rPr>
        <w:t>dichloromethane (</w:t>
      </w:r>
      <w:r w:rsidRPr="001E7D67">
        <w:rPr>
          <w:color w:val="000000"/>
        </w:rPr>
        <w:t>DCM</w:t>
      </w:r>
      <w:r>
        <w:rPr>
          <w:color w:val="000000"/>
        </w:rPr>
        <w:t>)</w:t>
      </w:r>
      <w:r w:rsidRPr="001E7D67">
        <w:rPr>
          <w:color w:val="000000"/>
        </w:rPr>
        <w:t xml:space="preserve"> was added to each centrifuge tube before it was placed in the sonicator, t</w:t>
      </w:r>
      <w:r>
        <w:rPr>
          <w:color w:val="000000"/>
        </w:rPr>
        <w:t>o</w:t>
      </w:r>
      <w:r w:rsidRPr="001E7D67">
        <w:rPr>
          <w:color w:val="000000"/>
        </w:rPr>
        <w:t xml:space="preserve"> ensure maximum dissolution into the n-pentane. </w:t>
      </w:r>
      <w:r>
        <w:rPr>
          <w:color w:val="000000"/>
        </w:rPr>
        <w:t xml:space="preserve">Next, </w:t>
      </w:r>
      <w:r w:rsidRPr="001E7D67">
        <w:rPr>
          <w:color w:val="000000"/>
        </w:rPr>
        <w:t>the sonicator was turned on for 15 minutes</w:t>
      </w:r>
      <w:r>
        <w:rPr>
          <w:color w:val="000000"/>
        </w:rPr>
        <w:t>,</w:t>
      </w:r>
      <w:r w:rsidRPr="001E7D67">
        <w:rPr>
          <w:color w:val="000000"/>
        </w:rPr>
        <w:t xml:space="preserve"> while n-pentane was added dropwise to the centrifuge tube to break up the organic material until the tube was filled. Tubes were placed standing up overnight in a freezer set to -5 °C. After 24 hours, the samples were centrifuged for 10 minutes, so the asphaltenes were collected at the bottom of the tube. The solvent was decanted and filtered through 1 inch of packed glass wool in a glass pipette while making sure not to disturb the asphaltene pellet at the bottom. The product was collected in a 100 mL round bottom flask and dried via rotary evaporation, then transferred with 2 mL of dichloromethane into a pre-weighed 4 mL vial, dried under nitrogen, and reweighed to assess maltene weight. The remaining asphaltene was also removed from the centrifuge tube and weighed.</w:t>
      </w:r>
    </w:p>
    <w:p w14:paraId="4E1205ED" w14:textId="77777777" w:rsidR="005F3265" w:rsidRPr="001E7D67" w:rsidRDefault="005F3265" w:rsidP="00DA7951">
      <w:pPr>
        <w:ind w:firstLine="720"/>
        <w:rPr>
          <w:color w:val="000000"/>
        </w:rPr>
      </w:pPr>
    </w:p>
    <w:p w14:paraId="7863C45B" w14:textId="77777777" w:rsidR="00DA7951" w:rsidRPr="00DA7951" w:rsidRDefault="00DA7951" w:rsidP="00DA7951">
      <w:pPr>
        <w:rPr>
          <w:b/>
        </w:rPr>
      </w:pPr>
      <w:r w:rsidRPr="00DA7951">
        <w:rPr>
          <w:b/>
        </w:rPr>
        <w:lastRenderedPageBreak/>
        <w:t>Liquid column chromatography of the maltene fractionation</w:t>
      </w:r>
    </w:p>
    <w:p w14:paraId="2670C5CE" w14:textId="77777777" w:rsidR="00DA7951" w:rsidRPr="001E7D67" w:rsidRDefault="00DA7951" w:rsidP="00DA7951">
      <w:pPr>
        <w:spacing w:before="240"/>
        <w:ind w:firstLine="720"/>
        <w:rPr>
          <w:color w:val="000000"/>
        </w:rPr>
      </w:pPr>
      <w:r w:rsidRPr="001E7D67">
        <w:rPr>
          <w:color w:val="000000"/>
        </w:rPr>
        <w:t>In a new 4 mL vial, 15-20 mg of the maltene fraction was weighed out and diluted with 200 microliters of hexane. For samples that had limited extract, as little as 10 mg of sample were used for fractionation. In a glass pipette, a half-centimeter of glass wool was packed into the bottom, and 3.8 grams of powdered AlSiO</w:t>
      </w:r>
      <w:r w:rsidRPr="001E7D67">
        <w:rPr>
          <w:color w:val="000000"/>
          <w:vertAlign w:val="subscript"/>
        </w:rPr>
        <w:t>2</w:t>
      </w:r>
      <w:r w:rsidRPr="001E7D67">
        <w:rPr>
          <w:color w:val="000000"/>
        </w:rPr>
        <w:t xml:space="preserve"> was measured on aluminum foil and poured into the pipette. The pipettes were tapped until the powder was settled and leveled. Air was used for packing the liquid chromatography alumina column. Approximately 40 mL of hexane was pushed through the column. By doing this while avoiding drying out the column, the alumina forms a continuous substrate on which the various compound classes could be fractionated. </w:t>
      </w:r>
    </w:p>
    <w:p w14:paraId="4F61354B" w14:textId="5D99C876" w:rsidR="00DA7951" w:rsidRDefault="00DA7951" w:rsidP="00DA7951">
      <w:pPr>
        <w:ind w:firstLine="720"/>
        <w:rPr>
          <w:color w:val="000000"/>
        </w:rPr>
      </w:pPr>
      <w:r w:rsidRPr="001E7D67">
        <w:rPr>
          <w:color w:val="000000"/>
        </w:rPr>
        <w:t>The obtained 200 microliter maltene/hexane solution was</w:t>
      </w:r>
      <w:r>
        <w:rPr>
          <w:color w:val="000000"/>
        </w:rPr>
        <w:t xml:space="preserve"> then</w:t>
      </w:r>
      <w:r w:rsidRPr="001E7D67">
        <w:rPr>
          <w:color w:val="000000"/>
        </w:rPr>
        <w:t xml:space="preserve"> introduced to the column for performing compound separation by liquid chromatography. The aliphatic fraction was </w:t>
      </w:r>
      <w:r>
        <w:rPr>
          <w:color w:val="000000"/>
        </w:rPr>
        <w:t xml:space="preserve">eluted </w:t>
      </w:r>
      <w:r w:rsidRPr="001E7D67">
        <w:rPr>
          <w:color w:val="000000"/>
        </w:rPr>
        <w:t xml:space="preserve">using 8.5 mL of hexane; the aromatic fraction with 25 mL of a 3:7 mix dichloromethane and methanol; the remaining polar fraction with 100% dichloromethane. Each of these products was collected in separate heated 100 mL round bottom flasks and dried via rotary evaporation. The dried fractions were diluted with approximately 1 mL of their respective solvents and transferred to pre-weighed 4 mL vials. The final weight of each biomarker fraction was recorded. A summary of the entire laboratory workflow used to analyze samples is illustrated in Figure </w:t>
      </w:r>
      <w:r w:rsidR="008054AB">
        <w:rPr>
          <w:color w:val="000000"/>
        </w:rPr>
        <w:t>B</w:t>
      </w:r>
      <w:r w:rsidR="00D31CF8">
        <w:rPr>
          <w:color w:val="000000"/>
        </w:rPr>
        <w:t>.1</w:t>
      </w:r>
      <w:r w:rsidRPr="001E7D67">
        <w:rPr>
          <w:color w:val="000000"/>
        </w:rPr>
        <w:t>.</w:t>
      </w:r>
    </w:p>
    <w:p w14:paraId="5F4666B2" w14:textId="77777777" w:rsidR="00DA7951" w:rsidRPr="00DA7951" w:rsidRDefault="00DA7951" w:rsidP="00DA7951">
      <w:pPr>
        <w:rPr>
          <w:b/>
        </w:rPr>
      </w:pPr>
      <w:r w:rsidRPr="00DA7951">
        <w:rPr>
          <w:b/>
        </w:rPr>
        <w:t xml:space="preserve">Gas Chromatography </w:t>
      </w:r>
    </w:p>
    <w:p w14:paraId="2ADE9C72" w14:textId="77C101CD" w:rsidR="00DA7951" w:rsidRPr="00F546EC" w:rsidRDefault="00DA7951" w:rsidP="00DA7951">
      <w:pPr>
        <w:ind w:firstLine="720"/>
        <w:rPr>
          <w:rFonts w:eastAsia="Times New Roman"/>
          <w:color w:val="000000"/>
        </w:rPr>
      </w:pPr>
      <w:r>
        <w:rPr>
          <w:rFonts w:eastAsia="Times New Roman"/>
          <w:color w:val="000000"/>
        </w:rPr>
        <w:t>The g</w:t>
      </w:r>
      <w:r w:rsidRPr="00F546EC">
        <w:rPr>
          <w:rFonts w:eastAsia="Times New Roman"/>
          <w:color w:val="000000"/>
        </w:rPr>
        <w:t>as chromatography (GC) is used to analyze the maltene fraction of all samples on an Agilent 6890 series GC system with a split/</w:t>
      </w:r>
      <w:r w:rsidR="003935A9" w:rsidRPr="00F546EC">
        <w:rPr>
          <w:rFonts w:eastAsia="Times New Roman"/>
          <w:color w:val="000000"/>
        </w:rPr>
        <w:t>splitless</w:t>
      </w:r>
      <w:r w:rsidRPr="00F546EC">
        <w:rPr>
          <w:rFonts w:eastAsia="Times New Roman"/>
          <w:color w:val="000000"/>
        </w:rPr>
        <w:t xml:space="preserve"> capillary injection system equipped with a 30 m by 0.32 mm i.d. J&amp;W scientific HP-5 fused silica capillary column with a 0.25 µm liquid film. Samples </w:t>
      </w:r>
      <w:r>
        <w:rPr>
          <w:rFonts w:eastAsia="Times New Roman"/>
          <w:color w:val="000000"/>
        </w:rPr>
        <w:t>were</w:t>
      </w:r>
      <w:r w:rsidRPr="00F546EC">
        <w:rPr>
          <w:rFonts w:eastAsia="Times New Roman"/>
          <w:color w:val="000000"/>
        </w:rPr>
        <w:t xml:space="preserve"> also analyzed in </w:t>
      </w:r>
      <w:r w:rsidR="003935A9" w:rsidRPr="00F546EC">
        <w:rPr>
          <w:rFonts w:eastAsia="Times New Roman"/>
          <w:color w:val="000000"/>
        </w:rPr>
        <w:t>splitless</w:t>
      </w:r>
      <w:r w:rsidRPr="00F546EC">
        <w:rPr>
          <w:rFonts w:eastAsia="Times New Roman"/>
          <w:color w:val="000000"/>
        </w:rPr>
        <w:t xml:space="preserve"> injection mode with a temperature program set to an initial </w:t>
      </w:r>
      <w:r w:rsidRPr="00F546EC">
        <w:rPr>
          <w:rFonts w:eastAsia="Times New Roman"/>
          <w:color w:val="000000"/>
        </w:rPr>
        <w:lastRenderedPageBreak/>
        <w:t xml:space="preserve">temperature of 40 °C with a 10 min holding time. The temperature of the system is increased to 300 °C at 4 °C/min rate and held isothermal for 24 min with a detector temperature of 310 °C. Helium is used as the carrier gas with a flow rate of 2.0 ml/min.  </w:t>
      </w:r>
    </w:p>
    <w:p w14:paraId="39249CD4" w14:textId="77777777" w:rsidR="00DA7951" w:rsidRPr="00DA7951" w:rsidRDefault="00DA7951" w:rsidP="00DA7951">
      <w:pPr>
        <w:rPr>
          <w:b/>
        </w:rPr>
      </w:pPr>
      <w:r w:rsidRPr="00DA7951">
        <w:rPr>
          <w:b/>
        </w:rPr>
        <w:t xml:space="preserve">Gas Chromatography-Mass Spectrometry </w:t>
      </w:r>
    </w:p>
    <w:p w14:paraId="4CA13B92" w14:textId="426F1167" w:rsidR="00DA7951" w:rsidRDefault="00DA7951" w:rsidP="00DA7951">
      <w:pPr>
        <w:ind w:firstLine="720"/>
        <w:rPr>
          <w:rFonts w:eastAsia="Times New Roman"/>
          <w:color w:val="000000"/>
        </w:rPr>
      </w:pPr>
      <w:r>
        <w:rPr>
          <w:rFonts w:eastAsia="Times New Roman"/>
          <w:color w:val="000000"/>
        </w:rPr>
        <w:t>The s</w:t>
      </w:r>
      <w:r w:rsidRPr="00F546EC">
        <w:rPr>
          <w:rFonts w:eastAsia="Times New Roman"/>
          <w:color w:val="000000"/>
        </w:rPr>
        <w:t xml:space="preserve">aturate and aromatic fractions of the maltenes </w:t>
      </w:r>
      <w:r>
        <w:rPr>
          <w:rFonts w:eastAsia="Times New Roman"/>
          <w:color w:val="000000"/>
        </w:rPr>
        <w:t>were</w:t>
      </w:r>
      <w:r w:rsidRPr="00F546EC">
        <w:rPr>
          <w:rFonts w:eastAsia="Times New Roman"/>
          <w:color w:val="000000"/>
        </w:rPr>
        <w:t xml:space="preserve"> analyzed by gas chromatography-mass spectrometry (GC-MS) using an Agilent 7890A GC coupled with a 5975C mass spectrometer detector (MSD) running in the </w:t>
      </w:r>
      <w:r w:rsidR="003935A9" w:rsidRPr="00F546EC">
        <w:rPr>
          <w:rFonts w:eastAsia="Times New Roman"/>
          <w:color w:val="000000"/>
        </w:rPr>
        <w:t>splitless</w:t>
      </w:r>
      <w:r w:rsidRPr="00F546EC">
        <w:rPr>
          <w:rFonts w:eastAsia="Times New Roman"/>
          <w:color w:val="000000"/>
        </w:rPr>
        <w:t xml:space="preserve"> injection mode. The GC-MS used a 60 m by 0.25 mm i.d. J&amp;W scientific DB-5MS fused silica capillary column coated with a 0.25 µm liquid film. Single ion monitoring (SIM) is used with specific ions for biomarker analyses</w:t>
      </w:r>
      <w:r>
        <w:rPr>
          <w:rFonts w:eastAsia="Times New Roman"/>
          <w:color w:val="000000"/>
        </w:rPr>
        <w:t xml:space="preserve">. </w:t>
      </w:r>
      <w:r w:rsidRPr="00F546EC">
        <w:rPr>
          <w:rFonts w:eastAsia="Times New Roman"/>
          <w:color w:val="000000"/>
        </w:rPr>
        <w:t xml:space="preserve">The temperature program for the analyses started at 40 °C with a 1.5 min hold time, and the oven temperature was programmed to 316 °C at 4 °C/min rate and held isothermal for 50 min with helium as the carrier gas at a flow rate of 1.4 ml/min. </w:t>
      </w:r>
    </w:p>
    <w:p w14:paraId="60771F9C" w14:textId="77777777" w:rsidR="00DA7951" w:rsidRPr="00DA7951" w:rsidRDefault="00DA7951" w:rsidP="00DA7951">
      <w:pPr>
        <w:rPr>
          <w:b/>
        </w:rPr>
      </w:pPr>
      <w:r w:rsidRPr="00DA7951">
        <w:rPr>
          <w:b/>
        </w:rPr>
        <w:t>Gas Chromatography-Mass Spectrometry-Mass Spectrometry</w:t>
      </w:r>
    </w:p>
    <w:p w14:paraId="5504A020" w14:textId="39FB870B" w:rsidR="00DA7951" w:rsidRDefault="00DA7951" w:rsidP="00DA7951">
      <w:pPr>
        <w:ind w:firstLine="720"/>
        <w:rPr>
          <w:rFonts w:eastAsia="Times New Roman"/>
          <w:color w:val="000000"/>
        </w:rPr>
      </w:pPr>
      <w:r>
        <w:rPr>
          <w:rFonts w:eastAsia="Times New Roman"/>
          <w:color w:val="000000"/>
        </w:rPr>
        <w:t>Eight s</w:t>
      </w:r>
      <w:r w:rsidRPr="005B2074">
        <w:rPr>
          <w:rFonts w:eastAsia="Times New Roman"/>
          <w:color w:val="000000"/>
        </w:rPr>
        <w:t xml:space="preserve">elected samples were analyzed using Thermo Scientific TRACE 1310 GC coupled with an 8000 triple stage quadrupole (TSQ) operating in </w:t>
      </w:r>
      <w:r w:rsidR="003935A9" w:rsidRPr="005B2074">
        <w:rPr>
          <w:rFonts w:eastAsia="Times New Roman"/>
          <w:color w:val="000000"/>
        </w:rPr>
        <w:t>splitless</w:t>
      </w:r>
      <w:r w:rsidRPr="005B2074">
        <w:rPr>
          <w:rFonts w:eastAsia="Times New Roman"/>
          <w:color w:val="000000"/>
        </w:rPr>
        <w:t xml:space="preserve"> injection mode. For more detailed analyses, the GC/MS/MS was equipped with a 60 m by 0.25 mm J&amp;W scientific DB-5MS fused silica capillary column coated with a 0.25</w:t>
      </w:r>
      <w:r>
        <w:rPr>
          <w:rFonts w:eastAsia="Times New Roman"/>
          <w:color w:val="000000"/>
        </w:rPr>
        <w:t>-</w:t>
      </w:r>
      <w:r w:rsidRPr="005B2074">
        <w:rPr>
          <w:rFonts w:eastAsia="Times New Roman"/>
          <w:color w:val="000000"/>
        </w:rPr>
        <w:t>micrometer liquid film</w:t>
      </w:r>
      <w:r>
        <w:rPr>
          <w:rFonts w:eastAsia="Times New Roman"/>
          <w:color w:val="000000"/>
        </w:rPr>
        <w:t xml:space="preserve">. Helium was used as </w:t>
      </w:r>
      <w:r w:rsidRPr="005B2074">
        <w:rPr>
          <w:rFonts w:eastAsia="Times New Roman"/>
          <w:color w:val="000000"/>
        </w:rPr>
        <w:t xml:space="preserve">the carrier gas </w:t>
      </w:r>
      <w:r>
        <w:rPr>
          <w:rFonts w:eastAsia="Times New Roman"/>
          <w:color w:val="000000"/>
        </w:rPr>
        <w:t xml:space="preserve">at a rate of </w:t>
      </w:r>
      <w:r w:rsidRPr="005B2074">
        <w:rPr>
          <w:rFonts w:eastAsia="Times New Roman"/>
          <w:color w:val="000000"/>
        </w:rPr>
        <w:t>1.4 mL/min</w:t>
      </w:r>
      <w:r>
        <w:rPr>
          <w:rFonts w:eastAsia="Times New Roman"/>
          <w:color w:val="000000"/>
        </w:rPr>
        <w:t>;</w:t>
      </w:r>
      <w:r w:rsidRPr="005B2074">
        <w:rPr>
          <w:rFonts w:eastAsia="Times New Roman"/>
          <w:color w:val="000000"/>
        </w:rPr>
        <w:t xml:space="preserve"> the oven was programmed with a 1.5</w:t>
      </w:r>
      <w:r>
        <w:rPr>
          <w:rFonts w:eastAsia="Times New Roman"/>
          <w:color w:val="000000"/>
        </w:rPr>
        <w:t>-</w:t>
      </w:r>
      <w:r w:rsidRPr="005B2074">
        <w:rPr>
          <w:rFonts w:eastAsia="Times New Roman"/>
          <w:color w:val="000000"/>
        </w:rPr>
        <w:t xml:space="preserve">minute hold at 40 °C, with a 4 °C per minute ramp to 300 °C, where it was held isothermally for 34 minutes. The identities of the compounds were determined by utilizing parent </w:t>
      </w:r>
      <w:r>
        <w:rPr>
          <w:rFonts w:eastAsia="Times New Roman"/>
          <w:color w:val="000000"/>
        </w:rPr>
        <w:t>→</w:t>
      </w:r>
      <w:r w:rsidRPr="005B2074">
        <w:rPr>
          <w:rFonts w:eastAsia="Times New Roman"/>
          <w:color w:val="000000"/>
        </w:rPr>
        <w:t xml:space="preserve"> daughter ion relationships and literature comparisons</w:t>
      </w:r>
      <w:r>
        <w:rPr>
          <w:rFonts w:eastAsia="Times New Roman"/>
          <w:color w:val="000000"/>
        </w:rPr>
        <w:t xml:space="preserve"> for identifying the presence of tricyclic polyprenoids (TPP) using the m/z 414→259 and m/z 358→</w:t>
      </w:r>
      <w:r w:rsidRPr="005B2074">
        <w:rPr>
          <w:rFonts w:eastAsia="Times New Roman"/>
          <w:color w:val="000000"/>
        </w:rPr>
        <w:t xml:space="preserve"> </w:t>
      </w:r>
      <w:r>
        <w:rPr>
          <w:rFonts w:eastAsia="Times New Roman"/>
          <w:color w:val="000000"/>
        </w:rPr>
        <w:t>217 rations</w:t>
      </w:r>
      <w:r w:rsidRPr="005B2074">
        <w:rPr>
          <w:rFonts w:eastAsia="Times New Roman"/>
          <w:color w:val="000000"/>
        </w:rPr>
        <w:t>.</w:t>
      </w:r>
    </w:p>
    <w:p w14:paraId="2D7FE084" w14:textId="77777777" w:rsidR="00DA7951" w:rsidRPr="00DA7951" w:rsidRDefault="00DA7951" w:rsidP="00DA7951">
      <w:pPr>
        <w:rPr>
          <w:rFonts w:eastAsia="Times New Roman"/>
          <w:b/>
          <w:color w:val="000000"/>
        </w:rPr>
      </w:pPr>
      <w:r w:rsidRPr="00DA7951">
        <w:rPr>
          <w:b/>
        </w:rPr>
        <w:lastRenderedPageBreak/>
        <w:t>Compound quantification and identification</w:t>
      </w:r>
    </w:p>
    <w:p w14:paraId="1DD4E938" w14:textId="2590BF4A" w:rsidR="00DA7951" w:rsidRPr="001E7D67" w:rsidRDefault="00DA7951" w:rsidP="00DA7951">
      <w:pPr>
        <w:spacing w:before="240"/>
        <w:ind w:firstLine="720"/>
        <w:rPr>
          <w:color w:val="000000"/>
        </w:rPr>
      </w:pPr>
      <w:r w:rsidRPr="004C37B1">
        <w:rPr>
          <w:color w:val="000000"/>
        </w:rPr>
        <w:t>Agilent Technologies</w:t>
      </w:r>
      <w:r>
        <w:rPr>
          <w:color w:val="000000"/>
        </w:rPr>
        <w:t xml:space="preserve"> Mass Hunter</w:t>
      </w:r>
      <w:r w:rsidRPr="004C37B1">
        <w:rPr>
          <w:color w:val="000000"/>
        </w:rPr>
        <w:t xml:space="preserve"> </w:t>
      </w:r>
      <w:r>
        <w:rPr>
          <w:color w:val="000000"/>
        </w:rPr>
        <w:t>workstations software B.0.8208.0</w:t>
      </w:r>
      <w:r w:rsidRPr="004C37B1">
        <w:rPr>
          <w:color w:val="000000"/>
        </w:rPr>
        <w:t xml:space="preserve"> </w:t>
      </w:r>
      <w:r>
        <w:rPr>
          <w:color w:val="000000"/>
        </w:rPr>
        <w:t xml:space="preserve">(2016) </w:t>
      </w:r>
      <w:r w:rsidRPr="004C37B1">
        <w:rPr>
          <w:color w:val="000000"/>
        </w:rPr>
        <w:t xml:space="preserve">was used </w:t>
      </w:r>
      <w:r>
        <w:rPr>
          <w:color w:val="000000"/>
        </w:rPr>
        <w:t xml:space="preserve">as a qualitative analysis navigator </w:t>
      </w:r>
      <w:r w:rsidRPr="004C37B1">
        <w:rPr>
          <w:color w:val="000000"/>
        </w:rPr>
        <w:t>to identify and quantify each sample. The peak identities were determined by their retention time, relative position to the standard</w:t>
      </w:r>
      <w:r>
        <w:rPr>
          <w:color w:val="000000"/>
        </w:rPr>
        <w:t>,</w:t>
      </w:r>
      <w:r w:rsidRPr="004C37B1">
        <w:rPr>
          <w:color w:val="000000"/>
        </w:rPr>
        <w:t xml:space="preserve"> and by comparison to the literature. Mass spectra were also used and compared to literature in order to verify compound identities. For samples quantified, </w:t>
      </w:r>
      <w:r>
        <w:rPr>
          <w:color w:val="000000"/>
        </w:rPr>
        <w:t xml:space="preserve">chrysene in the ion m/z 228.3 (Figure </w:t>
      </w:r>
      <w:r w:rsidR="008054AB">
        <w:rPr>
          <w:color w:val="000000"/>
        </w:rPr>
        <w:t>B</w:t>
      </w:r>
      <w:r>
        <w:rPr>
          <w:color w:val="000000"/>
        </w:rPr>
        <w:t>.</w:t>
      </w:r>
      <w:r w:rsidR="00D31CF8">
        <w:rPr>
          <w:color w:val="000000"/>
        </w:rPr>
        <w:t>2</w:t>
      </w:r>
      <w:r>
        <w:rPr>
          <w:color w:val="000000"/>
        </w:rPr>
        <w:t>) was used as an external</w:t>
      </w:r>
      <w:r w:rsidRPr="004C37B1">
        <w:rPr>
          <w:color w:val="000000"/>
        </w:rPr>
        <w:t xml:space="preserve"> standard of known concentration</w:t>
      </w:r>
      <w:r>
        <w:rPr>
          <w:color w:val="000000"/>
        </w:rPr>
        <w:t xml:space="preserve">, </w:t>
      </w:r>
      <w:r w:rsidRPr="004C37B1">
        <w:rPr>
          <w:color w:val="000000"/>
        </w:rPr>
        <w:t xml:space="preserve">to calculate concentrations in micrograms/gram </w:t>
      </w:r>
      <w:r>
        <w:rPr>
          <w:color w:val="000000"/>
        </w:rPr>
        <w:t>of extractable organic matter (EOM)</w:t>
      </w:r>
      <w:r w:rsidRPr="004C37B1">
        <w:rPr>
          <w:color w:val="000000"/>
        </w:rPr>
        <w:t xml:space="preserve">. </w:t>
      </w:r>
    </w:p>
    <w:p w14:paraId="0C03C4D7" w14:textId="77777777" w:rsidR="00DA7951" w:rsidRPr="005439F7" w:rsidRDefault="00DA7951" w:rsidP="00DA7951">
      <w:pPr>
        <w:spacing w:after="0" w:line="360" w:lineRule="auto"/>
        <w:jc w:val="center"/>
      </w:pPr>
      <w:r w:rsidRPr="00027614">
        <w:rPr>
          <w:noProof/>
        </w:rPr>
        <w:drawing>
          <wp:inline distT="0" distB="0" distL="0" distR="0" wp14:anchorId="68D3F8A0" wp14:editId="26F5F269">
            <wp:extent cx="5005070" cy="4118898"/>
            <wp:effectExtent l="0" t="0" r="5080" b="0"/>
            <wp:docPr id="1041" name="Picture 56" descr="Work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orkflow.jpg"/>
                    <pic:cNvPicPr>
                      <a:picLocks noChangeAspect="1" noChangeArrowheads="1"/>
                    </pic:cNvPicPr>
                  </pic:nvPicPr>
                  <pic:blipFill>
                    <a:blip r:embed="rId212">
                      <a:extLst>
                        <a:ext uri="{28A0092B-C50C-407E-A947-70E740481C1C}">
                          <a14:useLocalDpi xmlns:a14="http://schemas.microsoft.com/office/drawing/2010/main" val="0"/>
                        </a:ext>
                      </a:extLst>
                    </a:blip>
                    <a:srcRect r="4662"/>
                    <a:stretch>
                      <a:fillRect/>
                    </a:stretch>
                  </pic:blipFill>
                  <pic:spPr bwMode="auto">
                    <a:xfrm>
                      <a:off x="0" y="0"/>
                      <a:ext cx="5026829" cy="4136804"/>
                    </a:xfrm>
                    <a:prstGeom prst="rect">
                      <a:avLst/>
                    </a:prstGeom>
                    <a:noFill/>
                    <a:ln>
                      <a:noFill/>
                    </a:ln>
                  </pic:spPr>
                </pic:pic>
              </a:graphicData>
            </a:graphic>
          </wp:inline>
        </w:drawing>
      </w:r>
    </w:p>
    <w:p w14:paraId="07A32820" w14:textId="3E45255D" w:rsidR="00DA7951" w:rsidRDefault="00DA7951" w:rsidP="00DA7951">
      <w:pPr>
        <w:pStyle w:val="Caption"/>
      </w:pPr>
      <w:bookmarkStart w:id="477" w:name="_Toc35861266"/>
      <w:r w:rsidRPr="004107D6">
        <w:rPr>
          <w:b/>
        </w:rPr>
        <w:t xml:space="preserve">Figure </w:t>
      </w:r>
      <w:r w:rsidR="008054AB">
        <w:rPr>
          <w:b/>
        </w:rPr>
        <w:t>B</w:t>
      </w:r>
      <w:r>
        <w:rPr>
          <w:b/>
        </w:rPr>
        <w:t>.1</w:t>
      </w:r>
      <w:r w:rsidRPr="004107D6">
        <w:rPr>
          <w:b/>
        </w:rPr>
        <w:t>.</w:t>
      </w:r>
      <w:r>
        <w:t xml:space="preserve"> </w:t>
      </w:r>
      <w:r w:rsidRPr="005439F7">
        <w:t>Schematic workflow used in the laboratory analysis. Methodology from the OU Organic Geochemistry Group (OG2). Diagram modified from Miceli-Romero (201</w:t>
      </w:r>
      <w:r>
        <w:t>4</w:t>
      </w:r>
      <w:r w:rsidRPr="005439F7">
        <w:t>).</w:t>
      </w:r>
      <w:bookmarkEnd w:id="477"/>
      <w:r w:rsidRPr="005439F7">
        <w:t xml:space="preserve"> </w:t>
      </w:r>
    </w:p>
    <w:p w14:paraId="19471A0F" w14:textId="77777777" w:rsidR="00DA7951" w:rsidRDefault="00DA7951" w:rsidP="00DA7951">
      <w:pPr>
        <w:spacing w:line="276" w:lineRule="auto"/>
        <w:jc w:val="center"/>
        <w:rPr>
          <w:lang w:bidi="en-US"/>
        </w:rPr>
      </w:pPr>
      <w:r>
        <w:rPr>
          <w:noProof/>
        </w:rPr>
        <w:lastRenderedPageBreak/>
        <w:drawing>
          <wp:inline distT="0" distB="0" distL="0" distR="0" wp14:anchorId="44616948" wp14:editId="6810BF67">
            <wp:extent cx="5491443" cy="3086100"/>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srcRect r="3044"/>
                    <a:stretch/>
                  </pic:blipFill>
                  <pic:spPr bwMode="auto">
                    <a:xfrm>
                      <a:off x="0" y="0"/>
                      <a:ext cx="5493845" cy="3087450"/>
                    </a:xfrm>
                    <a:prstGeom prst="rect">
                      <a:avLst/>
                    </a:prstGeom>
                    <a:ln>
                      <a:noFill/>
                    </a:ln>
                    <a:extLst>
                      <a:ext uri="{53640926-AAD7-44D8-BBD7-CCE9431645EC}">
                        <a14:shadowObscured xmlns:a14="http://schemas.microsoft.com/office/drawing/2010/main"/>
                      </a:ext>
                    </a:extLst>
                  </pic:spPr>
                </pic:pic>
              </a:graphicData>
            </a:graphic>
          </wp:inline>
        </w:drawing>
      </w:r>
    </w:p>
    <w:p w14:paraId="5EA0C5C0" w14:textId="77797301" w:rsidR="008814B1" w:rsidRPr="0078320A" w:rsidRDefault="00DA7951" w:rsidP="00DA7951">
      <w:pPr>
        <w:pStyle w:val="Caption"/>
      </w:pPr>
      <w:bookmarkStart w:id="478" w:name="_Toc35861267"/>
      <w:r w:rsidRPr="00C93D3A">
        <w:rPr>
          <w:b/>
        </w:rPr>
        <w:t xml:space="preserve">Figure </w:t>
      </w:r>
      <w:r w:rsidR="008054AB">
        <w:rPr>
          <w:b/>
        </w:rPr>
        <w:t>B</w:t>
      </w:r>
      <w:r>
        <w:rPr>
          <w:b/>
        </w:rPr>
        <w:t>.2</w:t>
      </w:r>
      <w:r>
        <w:t>. Chrysene of 107 ppm as an external standard, recognized in ion m/z 228.3</w:t>
      </w:r>
      <w:bookmarkEnd w:id="478"/>
      <w:r w:rsidR="008814B1" w:rsidRPr="0078320A">
        <w:br w:type="page"/>
      </w:r>
    </w:p>
    <w:p w14:paraId="53DF1901" w14:textId="4A70B40A" w:rsidR="00FF3C64" w:rsidRPr="00591D82" w:rsidRDefault="00A02E24" w:rsidP="00031BDD">
      <w:pPr>
        <w:pStyle w:val="Heading2"/>
        <w:rPr>
          <w:caps/>
        </w:rPr>
      </w:pPr>
      <w:bookmarkStart w:id="479" w:name="_Toc25833608"/>
      <w:bookmarkStart w:id="480" w:name="_Toc35861152"/>
      <w:r w:rsidRPr="00591D82">
        <w:lastRenderedPageBreak/>
        <w:t xml:space="preserve">Appendix </w:t>
      </w:r>
      <w:r w:rsidR="00DA7951">
        <w:t>C</w:t>
      </w:r>
      <w:r w:rsidRPr="00591D82">
        <w:t xml:space="preserve">: </w:t>
      </w:r>
      <w:r w:rsidR="00155E67">
        <w:t>Rock-E</w:t>
      </w:r>
      <w:r w:rsidR="00FF3C64" w:rsidRPr="00591D82">
        <w:t xml:space="preserve">val pyrolysis characterization of Woodford </w:t>
      </w:r>
      <w:r w:rsidR="00B77648">
        <w:t>S</w:t>
      </w:r>
      <w:r w:rsidR="00FF3C64" w:rsidRPr="00591D82">
        <w:t>hale core, cutting</w:t>
      </w:r>
      <w:r w:rsidR="00B92B4F" w:rsidRPr="00591D82">
        <w:t>,</w:t>
      </w:r>
      <w:r w:rsidR="00FF3C64" w:rsidRPr="00591D82">
        <w:t xml:space="preserve"> and outcrop samples. Organic facies identification and its variations in the </w:t>
      </w:r>
      <w:r w:rsidR="00155E67">
        <w:t>d</w:t>
      </w:r>
      <w:r w:rsidR="00FF3C64" w:rsidRPr="00591D82">
        <w:t xml:space="preserve">ifferent study areas of the </w:t>
      </w:r>
      <w:r w:rsidR="00FF3C64" w:rsidRPr="00B77648">
        <w:rPr>
          <w:iCs w:val="0"/>
        </w:rPr>
        <w:t>Institute of Reservoir Characterization</w:t>
      </w:r>
      <w:r w:rsidR="00FF3C64" w:rsidRPr="00591D82">
        <w:t xml:space="preserve"> (IRC).</w:t>
      </w:r>
      <w:bookmarkEnd w:id="479"/>
      <w:bookmarkEnd w:id="480"/>
      <w:r w:rsidR="00FF3C64" w:rsidRPr="00591D82">
        <w:t xml:space="preserve"> </w:t>
      </w:r>
    </w:p>
    <w:p w14:paraId="30CF2517" w14:textId="6D138901" w:rsidR="00FF3C64" w:rsidRPr="00155E67" w:rsidRDefault="00FF3C64" w:rsidP="00155E67">
      <w:r w:rsidRPr="00155E67">
        <w:t>Torres</w:t>
      </w:r>
      <w:r w:rsidR="00296C93" w:rsidRPr="00155E67">
        <w:t>-Parada</w:t>
      </w:r>
      <w:r w:rsidR="008763B4">
        <w:t>, E.J.</w:t>
      </w:r>
    </w:p>
    <w:p w14:paraId="3E03C963" w14:textId="2D7ED577" w:rsidR="005540A3" w:rsidRDefault="009E1D41" w:rsidP="004229E0">
      <w:pPr>
        <w:ind w:firstLine="720"/>
        <w:rPr>
          <w:color w:val="000000"/>
          <w:shd w:val="clear" w:color="auto" w:fill="FFFFFF"/>
        </w:rPr>
      </w:pPr>
      <w:r w:rsidRPr="009E1D41">
        <w:rPr>
          <w:color w:val="000000"/>
          <w:shd w:val="clear" w:color="auto" w:fill="FFFFFF"/>
        </w:rPr>
        <w:t>A unique statewide organic matter and thermal maturity study of The Woodford Shale was conducted between the Institute of Reservoir Characterization (IRC) and Organic Geochemistry Group (OG2) of the University of Oklahoma, USA. This analysis allowed us to identify critical variabilities between the different Oklahoman Petroleum Provinces. Slatt and Rodriguez (2012), and Miceli</w:t>
      </w:r>
      <w:r w:rsidR="00B77648">
        <w:rPr>
          <w:color w:val="000000"/>
          <w:shd w:val="clear" w:color="auto" w:fill="FFFFFF"/>
        </w:rPr>
        <w:t>-Romero</w:t>
      </w:r>
      <w:r w:rsidRPr="009E1D41">
        <w:rPr>
          <w:color w:val="000000"/>
          <w:shd w:val="clear" w:color="auto" w:fill="FFFFFF"/>
        </w:rPr>
        <w:t xml:space="preserve"> and Philp (2012) mention that at original immature conditions, the prolific Woodford </w:t>
      </w:r>
      <w:r w:rsidR="00B77648">
        <w:rPr>
          <w:color w:val="000000"/>
          <w:shd w:val="clear" w:color="auto" w:fill="FFFFFF"/>
        </w:rPr>
        <w:t>S</w:t>
      </w:r>
      <w:r w:rsidRPr="009E1D41">
        <w:rPr>
          <w:color w:val="000000"/>
          <w:shd w:val="clear" w:color="auto" w:fill="FFFFFF"/>
        </w:rPr>
        <w:t xml:space="preserve">hale intervals are usually characterized by </w:t>
      </w:r>
      <w:r w:rsidR="00EC5ED9">
        <w:rPr>
          <w:color w:val="000000"/>
          <w:shd w:val="clear" w:color="auto" w:fill="FFFFFF"/>
        </w:rPr>
        <w:t>t</w:t>
      </w:r>
      <w:r w:rsidRPr="009E1D41">
        <w:rPr>
          <w:color w:val="000000"/>
          <w:shd w:val="clear" w:color="auto" w:fill="FFFFFF"/>
        </w:rPr>
        <w:t xml:space="preserve">ype II kerogens (oil and gas prone) with high organic richness (usually &gt; 3% Total Organic Carbon -TOC-) and Hydrogen Index (HI) values &gt; 350 (mg HC/g rock). </w:t>
      </w:r>
      <w:r w:rsidR="003E4D46">
        <w:rPr>
          <w:color w:val="000000"/>
          <w:shd w:val="clear" w:color="auto" w:fill="FFFFFF"/>
        </w:rPr>
        <w:t xml:space="preserve"> </w:t>
      </w:r>
      <w:r w:rsidRPr="009E1D41">
        <w:rPr>
          <w:color w:val="000000"/>
          <w:shd w:val="clear" w:color="auto" w:fill="FFFFFF"/>
        </w:rPr>
        <w:t xml:space="preserve">Peters and Cassa (1994) defined for a common source rock that the threshold for typical immature oil-prone kerogen has </w:t>
      </w:r>
      <w:r w:rsidR="00EC5ED9">
        <w:rPr>
          <w:color w:val="000000"/>
          <w:shd w:val="clear" w:color="auto" w:fill="FFFFFF"/>
        </w:rPr>
        <w:t>h</w:t>
      </w:r>
      <w:r w:rsidRPr="009E1D41">
        <w:rPr>
          <w:color w:val="000000"/>
          <w:shd w:val="clear" w:color="auto" w:fill="FFFFFF"/>
        </w:rPr>
        <w:t xml:space="preserve">igh TOC (&gt;2% </w:t>
      </w:r>
      <w:r w:rsidR="00800460" w:rsidRPr="009E1D41">
        <w:rPr>
          <w:color w:val="000000"/>
          <w:shd w:val="clear" w:color="auto" w:fill="FFFFFF"/>
        </w:rPr>
        <w:t>wt.</w:t>
      </w:r>
      <w:r w:rsidRPr="009E1D41">
        <w:rPr>
          <w:color w:val="000000"/>
          <w:shd w:val="clear" w:color="auto" w:fill="FFFFFF"/>
        </w:rPr>
        <w:t xml:space="preserve">), High HI (&gt;400 mg HC/g rock), low Oxygen Index (OI) and generally low sulfur (S) content. </w:t>
      </w:r>
    </w:p>
    <w:p w14:paraId="55610016" w14:textId="2671F253" w:rsidR="006D4A0F" w:rsidRDefault="009E1D41" w:rsidP="006D4A0F">
      <w:pPr>
        <w:ind w:firstLine="720"/>
        <w:rPr>
          <w:color w:val="000000"/>
          <w:shd w:val="clear" w:color="auto" w:fill="FFFFFF"/>
        </w:rPr>
      </w:pPr>
      <w:r w:rsidRPr="009E1D41">
        <w:rPr>
          <w:color w:val="000000"/>
          <w:shd w:val="clear" w:color="auto" w:fill="FFFFFF"/>
        </w:rPr>
        <w:t xml:space="preserve">These screening parameters aid in identifying possible zones of higher unconventional pay (sweet spots of oil vs. gas), where the rock intervals with these characteristics will screen the probable GOR level of any specific producing acreage location. Analyses were performed </w:t>
      </w:r>
      <w:r w:rsidR="00536A12">
        <w:rPr>
          <w:color w:val="000000"/>
          <w:shd w:val="clear" w:color="auto" w:fill="FFFFFF"/>
        </w:rPr>
        <w:t xml:space="preserve">by the Institute of Reservoir Characterization (IRC) </w:t>
      </w:r>
      <w:r w:rsidR="00CD5C07">
        <w:rPr>
          <w:color w:val="000000"/>
          <w:shd w:val="clear" w:color="auto" w:fill="FFFFFF"/>
        </w:rPr>
        <w:t xml:space="preserve">consortium members </w:t>
      </w:r>
      <w:r w:rsidRPr="009E1D41">
        <w:rPr>
          <w:color w:val="000000"/>
          <w:shd w:val="clear" w:color="auto" w:fill="FFFFFF"/>
        </w:rPr>
        <w:t xml:space="preserve">on thousands of samples of core, cuttings, and outcrops </w:t>
      </w:r>
      <w:r w:rsidR="00CD5C07">
        <w:rPr>
          <w:color w:val="000000"/>
          <w:shd w:val="clear" w:color="auto" w:fill="FFFFFF"/>
        </w:rPr>
        <w:t>and donated to the IRC database,</w:t>
      </w:r>
      <w:r w:rsidRPr="009E1D41">
        <w:rPr>
          <w:color w:val="000000"/>
          <w:shd w:val="clear" w:color="auto" w:fill="FFFFFF"/>
        </w:rPr>
        <w:t xml:space="preserve"> and </w:t>
      </w:r>
      <w:r w:rsidR="00CD5C07">
        <w:rPr>
          <w:color w:val="000000"/>
          <w:shd w:val="clear" w:color="auto" w:fill="FFFFFF"/>
        </w:rPr>
        <w:t xml:space="preserve">additional </w:t>
      </w:r>
      <w:r w:rsidRPr="009E1D41">
        <w:rPr>
          <w:color w:val="000000"/>
          <w:shd w:val="clear" w:color="auto" w:fill="FFFFFF"/>
        </w:rPr>
        <w:t>600 measured samples</w:t>
      </w:r>
      <w:r w:rsidR="00CD5C07">
        <w:rPr>
          <w:color w:val="000000"/>
          <w:shd w:val="clear" w:color="auto" w:fill="FFFFFF"/>
        </w:rPr>
        <w:t xml:space="preserve"> from graduate thesis</w:t>
      </w:r>
      <w:r w:rsidRPr="009E1D41">
        <w:rPr>
          <w:color w:val="000000"/>
          <w:shd w:val="clear" w:color="auto" w:fill="FFFFFF"/>
        </w:rPr>
        <w:t>.</w:t>
      </w:r>
      <w:r w:rsidR="003E4D46">
        <w:rPr>
          <w:color w:val="000000"/>
          <w:shd w:val="clear" w:color="auto" w:fill="FFFFFF"/>
        </w:rPr>
        <w:t xml:space="preserve"> </w:t>
      </w:r>
      <w:r w:rsidRPr="009E1D41">
        <w:rPr>
          <w:color w:val="000000"/>
          <w:shd w:val="clear" w:color="auto" w:fill="FFFFFF"/>
        </w:rPr>
        <w:t>These measurements were corrected to original (immature) TOC and HI conditions</w:t>
      </w:r>
      <w:r w:rsidR="000F3B0E">
        <w:rPr>
          <w:color w:val="000000"/>
          <w:shd w:val="clear" w:color="auto" w:fill="FFFFFF"/>
        </w:rPr>
        <w:t xml:space="preserve"> (Jarvie, </w:t>
      </w:r>
      <w:r w:rsidRPr="009E1D41">
        <w:rPr>
          <w:color w:val="000000"/>
          <w:shd w:val="clear" w:color="auto" w:fill="FFFFFF"/>
        </w:rPr>
        <w:t xml:space="preserve">2012). Analyses were performed on approximately 2g of each sample and represented the screening parameters of organic facies, and thermal maturity reached in hundreds of locations. The TOC values reflect the amount of organic carbon, including kerogen and bitumen, </w:t>
      </w:r>
      <w:r w:rsidRPr="009E1D41">
        <w:rPr>
          <w:color w:val="000000"/>
          <w:shd w:val="clear" w:color="auto" w:fill="FFFFFF"/>
        </w:rPr>
        <w:lastRenderedPageBreak/>
        <w:t>in a source rock and are interpreted into the regional depositional IRC model of The Woodford shale for understanding the differences in burial histories (thickness and present-day depths) and organic facies distribution in the state of Oklahoma (kerogen type lateral and vertical variability within the Woodford Shale beds</w:t>
      </w:r>
      <w:r w:rsidR="001216E6">
        <w:rPr>
          <w:color w:val="000000"/>
          <w:shd w:val="clear" w:color="auto" w:fill="FFFFFF"/>
        </w:rPr>
        <w:t xml:space="preserve">; Figure </w:t>
      </w:r>
      <w:r w:rsidR="008054AB">
        <w:rPr>
          <w:color w:val="000000"/>
          <w:shd w:val="clear" w:color="auto" w:fill="FFFFFF"/>
        </w:rPr>
        <w:t>B</w:t>
      </w:r>
      <w:r w:rsidR="001216E6">
        <w:rPr>
          <w:color w:val="000000"/>
          <w:shd w:val="clear" w:color="auto" w:fill="FFFFFF"/>
        </w:rPr>
        <w:t>.</w:t>
      </w:r>
      <w:r w:rsidR="00A4362C">
        <w:rPr>
          <w:color w:val="000000"/>
          <w:shd w:val="clear" w:color="auto" w:fill="FFFFFF"/>
        </w:rPr>
        <w:t>3</w:t>
      </w:r>
      <w:r w:rsidR="001216E6">
        <w:rPr>
          <w:color w:val="000000"/>
          <w:shd w:val="clear" w:color="auto" w:fill="FFFFFF"/>
        </w:rPr>
        <w:t xml:space="preserve">, and Figure </w:t>
      </w:r>
      <w:r w:rsidR="008054AB">
        <w:rPr>
          <w:color w:val="000000"/>
          <w:shd w:val="clear" w:color="auto" w:fill="FFFFFF"/>
        </w:rPr>
        <w:t>B</w:t>
      </w:r>
      <w:r w:rsidR="001216E6">
        <w:rPr>
          <w:color w:val="000000"/>
          <w:shd w:val="clear" w:color="auto" w:fill="FFFFFF"/>
        </w:rPr>
        <w:t>.</w:t>
      </w:r>
      <w:r w:rsidR="00A4362C">
        <w:rPr>
          <w:color w:val="000000"/>
          <w:shd w:val="clear" w:color="auto" w:fill="FFFFFF"/>
        </w:rPr>
        <w:t>4</w:t>
      </w:r>
      <w:r w:rsidR="00D23081">
        <w:rPr>
          <w:color w:val="000000"/>
          <w:shd w:val="clear" w:color="auto" w:fill="FFFFFF"/>
        </w:rPr>
        <w:t>).</w:t>
      </w:r>
      <w:r w:rsidR="006D4A0F">
        <w:rPr>
          <w:color w:val="000000"/>
          <w:shd w:val="clear" w:color="auto" w:fill="FFFFFF"/>
        </w:rPr>
        <w:t xml:space="preserve"> </w:t>
      </w:r>
    </w:p>
    <w:p w14:paraId="0E6E684D" w14:textId="0F03C8D6" w:rsidR="009E1D41" w:rsidRDefault="009E1D41" w:rsidP="006D4A0F">
      <w:pPr>
        <w:ind w:firstLine="720"/>
        <w:rPr>
          <w:color w:val="000000"/>
          <w:shd w:val="clear" w:color="auto" w:fill="FFFFFF"/>
        </w:rPr>
      </w:pPr>
      <w:r w:rsidRPr="009E1D41">
        <w:rPr>
          <w:color w:val="000000"/>
          <w:shd w:val="clear" w:color="auto" w:fill="FFFFFF"/>
        </w:rPr>
        <w:t xml:space="preserve">In conclusion, in the </w:t>
      </w:r>
      <w:r w:rsidR="00B77648">
        <w:rPr>
          <w:color w:val="000000"/>
          <w:shd w:val="clear" w:color="auto" w:fill="FFFFFF"/>
        </w:rPr>
        <w:t>s</w:t>
      </w:r>
      <w:r w:rsidRPr="009E1D41">
        <w:rPr>
          <w:color w:val="000000"/>
          <w:shd w:val="clear" w:color="auto" w:fill="FFFFFF"/>
        </w:rPr>
        <w:t xml:space="preserve">tate of Oklahoma, the Woodford Shale members have: (1) for the </w:t>
      </w:r>
      <w:r w:rsidR="00310AC9">
        <w:rPr>
          <w:color w:val="000000"/>
          <w:shd w:val="clear" w:color="auto" w:fill="FFFFFF"/>
        </w:rPr>
        <w:t>L</w:t>
      </w:r>
      <w:r w:rsidRPr="009E1D41">
        <w:rPr>
          <w:color w:val="000000"/>
          <w:shd w:val="clear" w:color="auto" w:fill="FFFFFF"/>
        </w:rPr>
        <w:t xml:space="preserve">ower member TOC from 0.07% to 16.90% (7.06% TOC average); (2) the Middle Woodford member from 0.09% to 15.60% (average of 6.31% TOC); and (3) for the Upper member from 0.07% to 15.70% (with average 6.00% </w:t>
      </w:r>
      <w:r w:rsidR="003935A9" w:rsidRPr="009E1D41">
        <w:rPr>
          <w:color w:val="000000"/>
          <w:shd w:val="clear" w:color="auto" w:fill="FFFFFF"/>
        </w:rPr>
        <w:t>TOC)</w:t>
      </w:r>
      <w:r w:rsidRPr="009E1D41">
        <w:rPr>
          <w:color w:val="000000"/>
          <w:shd w:val="clear" w:color="auto" w:fill="FFFFFF"/>
        </w:rPr>
        <w:t xml:space="preserve">. Some anomalous values in the Upper Woodford Shale member at specific outcrops range from 12-31% of TOC and are related to Woodford sourced hydrocarbon migration, and as </w:t>
      </w:r>
      <w:r w:rsidR="00B610B4">
        <w:rPr>
          <w:color w:val="000000"/>
          <w:shd w:val="clear" w:color="auto" w:fill="FFFFFF"/>
        </w:rPr>
        <w:t xml:space="preserve">was </w:t>
      </w:r>
      <w:r w:rsidRPr="009E1D41">
        <w:rPr>
          <w:color w:val="000000"/>
          <w:shd w:val="clear" w:color="auto" w:fill="FFFFFF"/>
        </w:rPr>
        <w:t xml:space="preserve">confirmed by fluid inclusion analysis (Woodford </w:t>
      </w:r>
      <w:r w:rsidR="00B77648">
        <w:rPr>
          <w:color w:val="000000"/>
          <w:shd w:val="clear" w:color="auto" w:fill="FFFFFF"/>
        </w:rPr>
        <w:t>S</w:t>
      </w:r>
      <w:r w:rsidRPr="009E1D41">
        <w:rPr>
          <w:color w:val="000000"/>
          <w:shd w:val="clear" w:color="auto" w:fill="FFFFFF"/>
        </w:rPr>
        <w:t xml:space="preserve">hale charging itself from deeper to shallower locations). A total statistical average of 6.38% for all samples is indicative of very good to </w:t>
      </w:r>
      <w:r w:rsidR="00D46CE7">
        <w:rPr>
          <w:color w:val="000000"/>
          <w:shd w:val="clear" w:color="auto" w:fill="FFFFFF"/>
        </w:rPr>
        <w:t xml:space="preserve">the </w:t>
      </w:r>
      <w:r w:rsidRPr="009E1D41">
        <w:rPr>
          <w:color w:val="000000"/>
          <w:shd w:val="clear" w:color="auto" w:fill="FFFFFF"/>
        </w:rPr>
        <w:t xml:space="preserve">excellent potential for oil and gas generation, and that there still exists remaining areas to explore and develop that economically vary due to the maturity, depths (pressured or under pressured reservoirs) and thickness in specific petroleum province locations. </w:t>
      </w:r>
    </w:p>
    <w:p w14:paraId="332EBC88" w14:textId="77777777" w:rsidR="00E047CB" w:rsidRPr="001E7D67" w:rsidRDefault="00E047CB" w:rsidP="009349D2">
      <w:pPr>
        <w:rPr>
          <w:rFonts w:ascii="Times New Roman Bold" w:eastAsia="Times New Roman" w:hAnsi="Times New Roman Bold"/>
          <w:b/>
          <w:bCs/>
          <w:caps/>
          <w:vanish/>
          <w:lang w:bidi="en-US"/>
        </w:rPr>
      </w:pPr>
    </w:p>
    <w:p w14:paraId="562F52AD" w14:textId="77777777" w:rsidR="00E047CB" w:rsidRPr="001E7D67" w:rsidRDefault="00E047CB" w:rsidP="009349D2">
      <w:pPr>
        <w:rPr>
          <w:rFonts w:ascii="Times New Roman Bold" w:eastAsia="Times New Roman" w:hAnsi="Times New Roman Bold"/>
          <w:b/>
          <w:bCs/>
          <w:caps/>
          <w:vanish/>
          <w:lang w:bidi="en-US"/>
        </w:rPr>
      </w:pPr>
    </w:p>
    <w:p w14:paraId="01472DA4" w14:textId="77777777" w:rsidR="00E047CB" w:rsidRPr="001E7D67" w:rsidRDefault="00E047CB" w:rsidP="009349D2">
      <w:pPr>
        <w:rPr>
          <w:rFonts w:ascii="Times New Roman Bold" w:eastAsia="Times New Roman" w:hAnsi="Times New Roman Bold"/>
          <w:b/>
          <w:bCs/>
          <w:caps/>
          <w:vanish/>
          <w:lang w:bidi="en-US"/>
        </w:rPr>
      </w:pPr>
    </w:p>
    <w:p w14:paraId="20224C0E" w14:textId="77777777" w:rsidR="00E047CB" w:rsidRPr="001E7D67" w:rsidRDefault="00E047CB" w:rsidP="009349D2">
      <w:pPr>
        <w:rPr>
          <w:rFonts w:ascii="Times New Roman Bold" w:eastAsia="Times New Roman" w:hAnsi="Times New Roman Bold"/>
          <w:b/>
          <w:bCs/>
          <w:caps/>
          <w:vanish/>
          <w:lang w:bidi="en-US"/>
        </w:rPr>
      </w:pPr>
    </w:p>
    <w:p w14:paraId="64E965FE" w14:textId="77777777" w:rsidR="00E047CB" w:rsidRPr="001E7D67" w:rsidRDefault="00E047CB" w:rsidP="009349D2">
      <w:pPr>
        <w:rPr>
          <w:rFonts w:ascii="Times New Roman Bold" w:eastAsia="Times New Roman" w:hAnsi="Times New Roman Bold"/>
          <w:b/>
          <w:bCs/>
          <w:caps/>
          <w:vanish/>
          <w:lang w:bidi="en-US"/>
        </w:rPr>
      </w:pPr>
    </w:p>
    <w:p w14:paraId="74567416" w14:textId="77777777" w:rsidR="00E047CB" w:rsidRPr="001E7D67" w:rsidRDefault="00E047CB" w:rsidP="009349D2">
      <w:pPr>
        <w:rPr>
          <w:rFonts w:ascii="Times New Roman Bold" w:eastAsia="Times New Roman" w:hAnsi="Times New Roman Bold"/>
          <w:b/>
          <w:bCs/>
          <w:caps/>
          <w:vanish/>
          <w:lang w:bidi="en-US"/>
        </w:rPr>
      </w:pPr>
    </w:p>
    <w:p w14:paraId="13B5D55D" w14:textId="77777777" w:rsidR="00E047CB" w:rsidRPr="001E7D67" w:rsidRDefault="00E047CB" w:rsidP="009349D2">
      <w:pPr>
        <w:rPr>
          <w:rFonts w:ascii="Times New Roman Bold" w:eastAsia="Times New Roman" w:hAnsi="Times New Roman Bold"/>
          <w:b/>
          <w:bCs/>
          <w:caps/>
          <w:vanish/>
          <w:lang w:bidi="en-US"/>
        </w:rPr>
      </w:pPr>
    </w:p>
    <w:p w14:paraId="0CA1DD01" w14:textId="77777777" w:rsidR="00E047CB" w:rsidRPr="001E7D67" w:rsidRDefault="00E047CB" w:rsidP="009349D2">
      <w:pPr>
        <w:rPr>
          <w:rFonts w:ascii="Times New Roman Bold" w:eastAsia="Times New Roman" w:hAnsi="Times New Roman Bold"/>
          <w:b/>
          <w:bCs/>
          <w:caps/>
          <w:vanish/>
          <w:lang w:bidi="en-US"/>
        </w:rPr>
      </w:pPr>
    </w:p>
    <w:p w14:paraId="266FB6B8" w14:textId="77777777" w:rsidR="00E047CB" w:rsidRPr="001E7D67" w:rsidRDefault="00E047CB" w:rsidP="009349D2">
      <w:pPr>
        <w:rPr>
          <w:rFonts w:ascii="Times New Roman Bold" w:eastAsia="Times New Roman" w:hAnsi="Times New Roman Bold"/>
          <w:b/>
          <w:bCs/>
          <w:caps/>
          <w:vanish/>
          <w:lang w:bidi="en-US"/>
        </w:rPr>
      </w:pPr>
    </w:p>
    <w:p w14:paraId="64FE8647" w14:textId="77777777" w:rsidR="00E047CB" w:rsidRPr="001E7D67" w:rsidRDefault="00E047CB" w:rsidP="009349D2">
      <w:pPr>
        <w:rPr>
          <w:rFonts w:ascii="Times New Roman Bold" w:eastAsia="Times New Roman" w:hAnsi="Times New Roman Bold"/>
          <w:b/>
          <w:bCs/>
          <w:caps/>
          <w:vanish/>
          <w:lang w:bidi="en-US"/>
        </w:rPr>
      </w:pPr>
    </w:p>
    <w:p w14:paraId="20147F9A" w14:textId="77777777" w:rsidR="00E047CB" w:rsidRPr="001E7D67" w:rsidRDefault="00E047CB" w:rsidP="009349D2">
      <w:pPr>
        <w:rPr>
          <w:rFonts w:ascii="Times New Roman Bold" w:eastAsia="Times New Roman" w:hAnsi="Times New Roman Bold"/>
          <w:b/>
          <w:bCs/>
          <w:caps/>
          <w:vanish/>
          <w:lang w:bidi="en-US"/>
        </w:rPr>
      </w:pPr>
    </w:p>
    <w:p w14:paraId="5A2A9B46" w14:textId="77777777" w:rsidR="00E047CB" w:rsidRPr="001E7D67" w:rsidRDefault="00E047CB" w:rsidP="009349D2">
      <w:pPr>
        <w:rPr>
          <w:rFonts w:ascii="Times New Roman Bold" w:eastAsia="Times New Roman" w:hAnsi="Times New Roman Bold"/>
          <w:b/>
          <w:bCs/>
          <w:caps/>
          <w:vanish/>
          <w:lang w:bidi="en-US"/>
        </w:rPr>
      </w:pPr>
    </w:p>
    <w:p w14:paraId="08033714" w14:textId="39E1F1EC" w:rsidR="0038797D" w:rsidRPr="00C21A7F" w:rsidRDefault="00E047CB" w:rsidP="009349D2">
      <w:pPr>
        <w:rPr>
          <w:rFonts w:ascii="Times New Roman Bold" w:hAnsi="Times New Roman Bold"/>
          <w:caps/>
        </w:rPr>
      </w:pPr>
      <w:r w:rsidRPr="00C21A7F">
        <w:rPr>
          <w:rFonts w:ascii="Times New Roman Bold" w:hAnsi="Times New Roman Bold"/>
          <w:b/>
        </w:rPr>
        <w:t xml:space="preserve">Woodford shale organic facies by </w:t>
      </w:r>
      <w:r w:rsidR="00D94198">
        <w:rPr>
          <w:rFonts w:ascii="Times New Roman Bold" w:hAnsi="Times New Roman Bold"/>
          <w:b/>
        </w:rPr>
        <w:t>R</w:t>
      </w:r>
      <w:r w:rsidRPr="00C21A7F">
        <w:rPr>
          <w:rFonts w:ascii="Times New Roman Bold" w:hAnsi="Times New Roman Bold"/>
          <w:b/>
        </w:rPr>
        <w:t>oc</w:t>
      </w:r>
      <w:r w:rsidR="00D94198">
        <w:rPr>
          <w:rFonts w:ascii="Times New Roman Bold" w:hAnsi="Times New Roman Bold"/>
          <w:b/>
        </w:rPr>
        <w:t>k-E</w:t>
      </w:r>
      <w:r w:rsidRPr="00C21A7F">
        <w:rPr>
          <w:rFonts w:ascii="Times New Roman Bold" w:hAnsi="Times New Roman Bold"/>
          <w:b/>
        </w:rPr>
        <w:t>val pyrolysis data analysis</w:t>
      </w:r>
    </w:p>
    <w:p w14:paraId="33CA3747" w14:textId="1E89A8C0" w:rsidR="0038797D" w:rsidRDefault="0038797D" w:rsidP="00031BDD">
      <w:pPr>
        <w:spacing w:after="0"/>
        <w:ind w:firstLine="720"/>
      </w:pPr>
      <w:r w:rsidRPr="00C21A7F">
        <w:t xml:space="preserve">Peters and Cassa (1994) defined the threshold for values typical of immature </w:t>
      </w:r>
      <w:r w:rsidR="00D94198">
        <w:t>t</w:t>
      </w:r>
      <w:r w:rsidRPr="00C21A7F">
        <w:t>ype I kerogen</w:t>
      </w:r>
      <w:r w:rsidR="00D94198">
        <w:t xml:space="preserve"> as</w:t>
      </w:r>
      <w:r w:rsidRPr="00C21A7F">
        <w:t xml:space="preserve"> </w:t>
      </w:r>
      <w:r w:rsidR="00D94198">
        <w:t>h</w:t>
      </w:r>
      <w:r w:rsidRPr="00C21A7F">
        <w:t xml:space="preserve">igh TOC (&gt;2% </w:t>
      </w:r>
      <w:r w:rsidR="00800460" w:rsidRPr="00C21A7F">
        <w:t>wt.</w:t>
      </w:r>
      <w:r w:rsidRPr="00C21A7F">
        <w:t xml:space="preserve">), high atomic H/C (&gt;1.5), low O/C (&lt;0.1), </w:t>
      </w:r>
      <w:r w:rsidR="00D94198">
        <w:t>h</w:t>
      </w:r>
      <w:r w:rsidRPr="00C21A7F">
        <w:t xml:space="preserve">igh HI (&gt;600 mg HC/g rock), low </w:t>
      </w:r>
      <w:r w:rsidR="00D94198">
        <w:t>o</w:t>
      </w:r>
      <w:r w:rsidRPr="00C21A7F">
        <w:t xml:space="preserve">xygen </w:t>
      </w:r>
      <w:r w:rsidR="00D94198">
        <w:t>i</w:t>
      </w:r>
      <w:r w:rsidRPr="00C21A7F">
        <w:t xml:space="preserve">ndex (OI) and generally low sulfur (S) content. The </w:t>
      </w:r>
      <w:r w:rsidR="00D94198">
        <w:t>t</w:t>
      </w:r>
      <w:r w:rsidRPr="00C21A7F">
        <w:t>ype I oil</w:t>
      </w:r>
      <w:r w:rsidR="00B92B4F">
        <w:t>-</w:t>
      </w:r>
      <w:r w:rsidRPr="00C21A7F">
        <w:t>prone kerogens are dominated by amorphous organic matter (</w:t>
      </w:r>
      <w:r w:rsidRPr="00C21A7F">
        <w:rPr>
          <w:i/>
        </w:rPr>
        <w:t>Botryococcus</w:t>
      </w:r>
      <w:r w:rsidRPr="00C21A7F">
        <w:t xml:space="preserve"> and similar lacustrine algae), with liptinite macerals and vitrinite and inertinite macerals in lesser </w:t>
      </w:r>
      <w:r w:rsidR="0094057C" w:rsidRPr="00C21A7F">
        <w:t>amounts and</w:t>
      </w:r>
      <w:r w:rsidRPr="00C21A7F">
        <w:t xml:space="preserve"> appear to be derived from extensive bacterial reworking of lipid</w:t>
      </w:r>
      <w:r w:rsidR="00B92B4F">
        <w:t>-</w:t>
      </w:r>
      <w:r w:rsidRPr="00C21A7F">
        <w:t xml:space="preserve">rich algal organic matter, commonly but not always deposited under lacustrine settings (Peters and Cassa, 1994). These screening parameters provide </w:t>
      </w:r>
      <w:r w:rsidRPr="00C21A7F">
        <w:lastRenderedPageBreak/>
        <w:t xml:space="preserve">a </w:t>
      </w:r>
      <w:r w:rsidR="00B92B4F">
        <w:t>crucial</w:t>
      </w:r>
      <w:r w:rsidRPr="00C21A7F">
        <w:t xml:space="preserve"> factor for identifying possible</w:t>
      </w:r>
      <w:r w:rsidR="00E4556D">
        <w:t xml:space="preserve"> </w:t>
      </w:r>
      <w:r w:rsidR="00804F72">
        <w:t xml:space="preserve">enclosed mini-basin </w:t>
      </w:r>
      <w:r w:rsidR="00A22E4E">
        <w:t>fill</w:t>
      </w:r>
      <w:r w:rsidR="00804F72" w:rsidRPr="00F546EC">
        <w:t xml:space="preserve"> </w:t>
      </w:r>
      <w:r w:rsidRPr="00C21A7F">
        <w:t>deposits, where the rock intervals with these kerogen characteristics will screen a possible</w:t>
      </w:r>
      <w:r w:rsidR="00E4556D" w:rsidRPr="00C21A7F">
        <w:t xml:space="preserve"> </w:t>
      </w:r>
      <w:r w:rsidRPr="00C21A7F">
        <w:t>lacustrine provenance</w:t>
      </w:r>
      <w:r w:rsidR="00E4556D">
        <w:t xml:space="preserve"> </w:t>
      </w:r>
      <w:r w:rsidR="00804F72">
        <w:t xml:space="preserve">towards the enclosed mini-basin </w:t>
      </w:r>
      <w:r w:rsidR="00A22E4E">
        <w:t>fill</w:t>
      </w:r>
      <w:r w:rsidR="00804F72">
        <w:t xml:space="preserve">, </w:t>
      </w:r>
      <w:r w:rsidR="00E4556D">
        <w:t>but in reality</w:t>
      </w:r>
      <w:r w:rsidR="001E126A">
        <w:t>,</w:t>
      </w:r>
      <w:r w:rsidR="00E4556D">
        <w:t xml:space="preserve"> can be a low OI marine kerogen</w:t>
      </w:r>
      <w:r w:rsidRPr="00C21A7F">
        <w:t>.</w:t>
      </w:r>
      <w:r w:rsidR="00031BDD">
        <w:t xml:space="preserve"> </w:t>
      </w:r>
      <w:r w:rsidRPr="00C21A7F">
        <w:t xml:space="preserve">A comprehensive series of geochemical analyses were performed on 553 Woodford </w:t>
      </w:r>
      <w:r w:rsidR="007846F9">
        <w:t>S</w:t>
      </w:r>
      <w:r w:rsidRPr="00C21A7F">
        <w:t xml:space="preserve">hale samples corresponding to </w:t>
      </w:r>
      <w:r w:rsidR="001249CC">
        <w:t xml:space="preserve">the </w:t>
      </w:r>
      <w:r w:rsidRPr="00C21A7F">
        <w:t>core, cuttings</w:t>
      </w:r>
      <w:r w:rsidR="001249CC">
        <w:t>,</w:t>
      </w:r>
      <w:r w:rsidRPr="00C21A7F">
        <w:t xml:space="preserve"> and outcrop samples of</w:t>
      </w:r>
      <w:r w:rsidR="007D5218">
        <w:t xml:space="preserve"> the IRC database</w:t>
      </w:r>
      <w:r w:rsidRPr="00C21A7F">
        <w:t>. The Rock</w:t>
      </w:r>
      <w:r w:rsidR="00B92B4F">
        <w:t>-</w:t>
      </w:r>
      <w:r w:rsidRPr="00C21A7F">
        <w:t xml:space="preserve">Eval pyrolysis </w:t>
      </w:r>
      <w:r w:rsidR="0051791E">
        <w:t xml:space="preserve">(RE) </w:t>
      </w:r>
      <w:r w:rsidRPr="00C21A7F">
        <w:t>and Total Organic Carbon (TOC) were performed on approximately 2g of each sample and represent</w:t>
      </w:r>
      <w:r w:rsidR="00B92B4F">
        <w:t>ed</w:t>
      </w:r>
      <w:r w:rsidRPr="00C21A7F">
        <w:t xml:space="preserve"> the screening parameters of organic facies and thermal maturity </w:t>
      </w:r>
      <w:r w:rsidR="00C92100">
        <w:t>previously discussed</w:t>
      </w:r>
      <w:r w:rsidRPr="00C21A7F">
        <w:t xml:space="preserve">. Table </w:t>
      </w:r>
      <w:r w:rsidR="00867342">
        <w:t>C</w:t>
      </w:r>
      <w:r w:rsidR="00027044">
        <w:t>.1</w:t>
      </w:r>
      <w:r w:rsidRPr="00C21A7F">
        <w:t xml:space="preserve"> summarizes the Rock</w:t>
      </w:r>
      <w:r w:rsidR="00B92B4F">
        <w:t>-</w:t>
      </w:r>
      <w:r w:rsidRPr="00C21A7F">
        <w:t xml:space="preserve">Eval pyrolysis parameters applied in the characterization of source rocks. </w:t>
      </w:r>
      <w:r w:rsidRPr="00A2749A">
        <w:rPr>
          <w:bCs/>
          <w:iCs/>
        </w:rPr>
        <w:t xml:space="preserve">All of the raw data that was gathered and analyzed in this document is available in </w:t>
      </w:r>
      <w:r w:rsidR="00F011F4" w:rsidRPr="00A2749A">
        <w:rPr>
          <w:bCs/>
          <w:iCs/>
        </w:rPr>
        <w:t>the IRC Woodford-MSSP digital database</w:t>
      </w:r>
      <w:r w:rsidRPr="00A2749A">
        <w:rPr>
          <w:bCs/>
          <w:iCs/>
        </w:rPr>
        <w:t xml:space="preserve"> upon request. </w:t>
      </w:r>
      <w:r w:rsidR="00F011F4" w:rsidRPr="00A2749A">
        <w:rPr>
          <w:bCs/>
          <w:iCs/>
        </w:rPr>
        <w:t>Access can be granted by emailing Dr. Roger</w:t>
      </w:r>
      <w:r w:rsidR="00B4028A" w:rsidRPr="00A2749A">
        <w:rPr>
          <w:bCs/>
          <w:iCs/>
        </w:rPr>
        <w:t xml:space="preserve"> M.</w:t>
      </w:r>
      <w:r w:rsidR="00F011F4" w:rsidRPr="00A2749A">
        <w:rPr>
          <w:bCs/>
          <w:iCs/>
        </w:rPr>
        <w:t xml:space="preserve"> Slatt to </w:t>
      </w:r>
      <w:hyperlink r:id="rId214" w:history="1">
        <w:r w:rsidR="00AD7399" w:rsidRPr="007C5A03">
          <w:rPr>
            <w:rStyle w:val="Hyperlink"/>
            <w:bCs/>
            <w:iCs/>
          </w:rPr>
          <w:t>rslatt@ou.edu</w:t>
        </w:r>
      </w:hyperlink>
      <w:r w:rsidR="00BC222A">
        <w:rPr>
          <w:bCs/>
          <w:iCs/>
        </w:rPr>
        <w:t xml:space="preserve"> or Emilio J Torres to </w:t>
      </w:r>
      <w:hyperlink r:id="rId215" w:history="1">
        <w:r w:rsidR="00BC222A" w:rsidRPr="0083615B">
          <w:rPr>
            <w:rStyle w:val="Hyperlink"/>
            <w:bCs/>
            <w:iCs/>
          </w:rPr>
          <w:t>emilianitto@gmail.com</w:t>
        </w:r>
      </w:hyperlink>
      <w:r w:rsidR="00CF7EF3">
        <w:rPr>
          <w:bCs/>
          <w:iCs/>
        </w:rPr>
        <w:t>.</w:t>
      </w:r>
      <w:r w:rsidR="00F011F4">
        <w:rPr>
          <w:b/>
          <w:i/>
        </w:rPr>
        <w:t xml:space="preserve"> </w:t>
      </w:r>
      <w:r w:rsidRPr="00C21A7F">
        <w:t>A total statistical average of 6.38% for all 553 samples and also for each member is indicative of very good to excellent potential source rock intervals (Peters, 1986; Peters and Cassa, 1994).</w:t>
      </w:r>
    </w:p>
    <w:p w14:paraId="6FB75DA8" w14:textId="65265A4A" w:rsidR="0038797D" w:rsidRDefault="00F35341" w:rsidP="005E704D">
      <w:pPr>
        <w:pStyle w:val="TableofFigures"/>
      </w:pPr>
      <w:bookmarkStart w:id="481" w:name="_Toc355797735"/>
      <w:bookmarkStart w:id="482" w:name="_Toc22366119"/>
      <w:r w:rsidRPr="00C21A7F">
        <w:rPr>
          <w:b/>
        </w:rPr>
        <w:t xml:space="preserve">Table </w:t>
      </w:r>
      <w:r w:rsidR="005F3265">
        <w:rPr>
          <w:b/>
        </w:rPr>
        <w:t>C</w:t>
      </w:r>
      <w:r w:rsidRPr="00C21A7F">
        <w:rPr>
          <w:b/>
        </w:rPr>
        <w:t>.</w:t>
      </w:r>
      <w:r w:rsidR="00031BDD">
        <w:rPr>
          <w:b/>
        </w:rPr>
        <w:t xml:space="preserve">1. </w:t>
      </w:r>
      <w:r w:rsidR="0038797D" w:rsidRPr="00C21A7F">
        <w:t>Parameters and terms derived from Rock</w:t>
      </w:r>
      <w:r w:rsidR="00DA4159">
        <w:t>-</w:t>
      </w:r>
      <w:r w:rsidR="0038797D" w:rsidRPr="00C21A7F">
        <w:t>Eval pyrolysis (modified from Peters and Cassa, 1994; Jarvie et al., 2005 and 2007).</w:t>
      </w:r>
      <w:bookmarkEnd w:id="481"/>
      <w:bookmarkEnd w:id="482"/>
    </w:p>
    <w:p w14:paraId="1396624F" w14:textId="185FE7E6" w:rsidR="00031BDD" w:rsidRDefault="00031BDD" w:rsidP="00031BDD">
      <w:pPr>
        <w:spacing w:line="240" w:lineRule="auto"/>
      </w:pPr>
      <w:r w:rsidRPr="00031BDD">
        <w:rPr>
          <w:noProof/>
        </w:rPr>
        <w:drawing>
          <wp:inline distT="0" distB="0" distL="0" distR="0" wp14:anchorId="24FF5024" wp14:editId="04B9F7C5">
            <wp:extent cx="5495192" cy="31052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b="10322"/>
                    <a:stretch/>
                  </pic:blipFill>
                  <pic:spPr bwMode="auto">
                    <a:xfrm>
                      <a:off x="0" y="0"/>
                      <a:ext cx="5501281" cy="3108713"/>
                    </a:xfrm>
                    <a:prstGeom prst="rect">
                      <a:avLst/>
                    </a:prstGeom>
                    <a:noFill/>
                    <a:ln>
                      <a:noFill/>
                    </a:ln>
                    <a:extLst>
                      <a:ext uri="{53640926-AAD7-44D8-BBD7-CCE9431645EC}">
                        <a14:shadowObscured xmlns:a14="http://schemas.microsoft.com/office/drawing/2010/main"/>
                      </a:ext>
                    </a:extLst>
                  </pic:spPr>
                </pic:pic>
              </a:graphicData>
            </a:graphic>
          </wp:inline>
        </w:drawing>
      </w:r>
    </w:p>
    <w:p w14:paraId="1B8CCFA4" w14:textId="48771CD7" w:rsidR="0038797D" w:rsidRPr="00031BDD" w:rsidRDefault="0038797D" w:rsidP="009349D2">
      <w:pPr>
        <w:rPr>
          <w:b/>
        </w:rPr>
      </w:pPr>
      <w:bookmarkStart w:id="483" w:name="_Toc246928272"/>
      <w:bookmarkStart w:id="484" w:name="_Toc255830975"/>
      <w:bookmarkStart w:id="485" w:name="_Toc355793515"/>
      <w:r w:rsidRPr="00031BDD">
        <w:rPr>
          <w:b/>
        </w:rPr>
        <w:lastRenderedPageBreak/>
        <w:t xml:space="preserve">Woodford </w:t>
      </w:r>
      <w:r w:rsidR="00031BDD" w:rsidRPr="00031BDD">
        <w:rPr>
          <w:b/>
        </w:rPr>
        <w:t>s</w:t>
      </w:r>
      <w:r w:rsidRPr="00031BDD">
        <w:rPr>
          <w:b/>
        </w:rPr>
        <w:t xml:space="preserve">hale </w:t>
      </w:r>
      <w:r w:rsidR="00031BDD" w:rsidRPr="00031BDD">
        <w:rPr>
          <w:b/>
        </w:rPr>
        <w:t>k</w:t>
      </w:r>
      <w:r w:rsidRPr="00031BDD">
        <w:rPr>
          <w:b/>
        </w:rPr>
        <w:t xml:space="preserve">erogen </w:t>
      </w:r>
      <w:r w:rsidR="00031BDD" w:rsidRPr="00031BDD">
        <w:rPr>
          <w:b/>
        </w:rPr>
        <w:t>t</w:t>
      </w:r>
      <w:r w:rsidRPr="00031BDD">
        <w:rPr>
          <w:b/>
        </w:rPr>
        <w:t>ype</w:t>
      </w:r>
      <w:bookmarkEnd w:id="483"/>
      <w:bookmarkEnd w:id="484"/>
      <w:bookmarkEnd w:id="485"/>
    </w:p>
    <w:p w14:paraId="40313572" w14:textId="3B2791D7" w:rsidR="0038797D" w:rsidRPr="00C21A7F" w:rsidRDefault="004721FB" w:rsidP="004721FB">
      <w:pPr>
        <w:ind w:firstLine="720"/>
      </w:pPr>
      <w:r>
        <w:t>The o</w:t>
      </w:r>
      <w:r w:rsidR="0038797D" w:rsidRPr="00C21A7F">
        <w:t>rganic matter quality was determined through Rock</w:t>
      </w:r>
      <w:r w:rsidR="00DA4159">
        <w:t>-</w:t>
      </w:r>
      <w:r w:rsidR="0038797D" w:rsidRPr="00C21A7F">
        <w:t>Eval pyrolysis parameters</w:t>
      </w:r>
      <w:r w:rsidR="00DA4159">
        <w:t>,</w:t>
      </w:r>
      <w:r w:rsidR="0038797D" w:rsidRPr="00C21A7F">
        <w:t xml:space="preserve"> which provided additional information regarding hydrocarbon generative potential for the Woodford Shale (Table</w:t>
      </w:r>
      <w:r w:rsidR="0026185E" w:rsidRPr="00C21A7F">
        <w:t xml:space="preserve"> </w:t>
      </w:r>
      <w:r w:rsidR="00867342">
        <w:t>C</w:t>
      </w:r>
      <w:r w:rsidR="00031BDD">
        <w:t>.1</w:t>
      </w:r>
      <w:r w:rsidR="0038797D" w:rsidRPr="00C21A7F">
        <w:t>).</w:t>
      </w:r>
      <w:r w:rsidR="00031BDD">
        <w:t xml:space="preserve"> </w:t>
      </w:r>
      <w:r w:rsidR="0038797D" w:rsidRPr="00C21A7F">
        <w:t>The most commonly used parameters for determining kerogen type are the Hydrogen Index (HI) and Oxygen Index (OI)</w:t>
      </w:r>
      <w:r w:rsidR="00DA4159">
        <w:t>,</w:t>
      </w:r>
      <w:r w:rsidR="0038797D" w:rsidRPr="00C21A7F">
        <w:t xml:space="preserve"> which are plotted on a modified or Van Krevelen-type diagram developed by Tissot et al. (1974) and is illustrated for </w:t>
      </w:r>
      <w:r w:rsidR="0026185E" w:rsidRPr="00C21A7F">
        <w:t xml:space="preserve">all the 553 samples in Figure </w:t>
      </w:r>
      <w:r w:rsidR="008054AB">
        <w:t>B</w:t>
      </w:r>
      <w:r w:rsidR="0026185E" w:rsidRPr="00C21A7F">
        <w:t>.</w:t>
      </w:r>
      <w:r w:rsidR="00A4362C">
        <w:t>3</w:t>
      </w:r>
      <w:r w:rsidR="0038797D" w:rsidRPr="00C21A7F">
        <w:t xml:space="preserve"> and </w:t>
      </w:r>
      <w:r w:rsidR="008054AB">
        <w:t>Figure B</w:t>
      </w:r>
      <w:r w:rsidR="0026185E" w:rsidRPr="00C21A7F">
        <w:t>.</w:t>
      </w:r>
      <w:r w:rsidR="00A4362C">
        <w:t>4</w:t>
      </w:r>
      <w:r w:rsidR="00155E67">
        <w:t>.</w:t>
      </w:r>
      <w:r w:rsidR="0038797D" w:rsidRPr="00C21A7F">
        <w:t xml:space="preserve"> </w:t>
      </w:r>
      <w:r w:rsidR="00A85B01">
        <w:t xml:space="preserve">These samples are different from the 536 samples measured </w:t>
      </w:r>
      <w:r w:rsidR="003935A9">
        <w:t>for</w:t>
      </w:r>
      <w:r w:rsidR="00A85B01">
        <w:t xml:space="preserve"> the Speake Ranch and discussed in Chapter </w:t>
      </w:r>
      <w:r w:rsidR="00027044">
        <w:t>III. T</w:t>
      </w:r>
      <w:r w:rsidR="00A85B01">
        <w:t xml:space="preserve">his appendix presents the locations different than the Speake Ranch for showing an overview in different areas and petroleum provinces of Oklahoma. </w:t>
      </w:r>
      <w:r w:rsidR="0038797D" w:rsidRPr="00C21A7F">
        <w:t xml:space="preserve">A diagram of </w:t>
      </w:r>
      <w:r>
        <w:t xml:space="preserve">RE </w:t>
      </w:r>
      <w:r w:rsidR="0038797D" w:rsidRPr="00C21A7F">
        <w:t xml:space="preserve">S2 versus TOC constitutes another approach to determine kerogen quality in source rock samples (Figure </w:t>
      </w:r>
      <w:r w:rsidR="008054AB">
        <w:t>B</w:t>
      </w:r>
      <w:r w:rsidR="0026185E" w:rsidRPr="00C21A7F">
        <w:t>.</w:t>
      </w:r>
      <w:r w:rsidR="00A4362C">
        <w:t>9</w:t>
      </w:r>
      <w:r w:rsidR="0038797D" w:rsidRPr="00C21A7F">
        <w:t>). According to Cornford et al. (1998)</w:t>
      </w:r>
      <w:r w:rsidR="00DA4159">
        <w:t>,</w:t>
      </w:r>
      <w:r w:rsidR="0038797D" w:rsidRPr="00C21A7F">
        <w:t xml:space="preserve"> this plot is more reliable for establishing organic matter type, especially for rocks with high carbonate contents that tend to yield dubious OI values.</w:t>
      </w:r>
    </w:p>
    <w:p w14:paraId="3ADC1C8C" w14:textId="754EC090" w:rsidR="0038797D" w:rsidRPr="00C21A7F" w:rsidRDefault="0038797D" w:rsidP="004721FB">
      <w:pPr>
        <w:ind w:firstLine="720"/>
      </w:pPr>
      <w:r w:rsidRPr="00C21A7F">
        <w:t xml:space="preserve">The thermal maturity of the 553 Woodford </w:t>
      </w:r>
      <w:r w:rsidR="007846F9">
        <w:t>S</w:t>
      </w:r>
      <w:r w:rsidRPr="00C21A7F">
        <w:t>hale samples was assessed through calculated vitrinite reflectance (%Ro) values and Rock</w:t>
      </w:r>
      <w:r w:rsidR="00DA4159">
        <w:t>-</w:t>
      </w:r>
      <w:r w:rsidRPr="00C21A7F">
        <w:t>Eval pyrolysis. According to Miceli-Romero (2010), Slatt et al. (2011a) and Dahl et al. (2012), in a shale gas/shale oil exploration framework, %Ro values besides being useful for determining source rock maturity, have also been used to help estimate and predict gas flow rates. Jarvie et al. (2007) and Dahl et al. (2012) suggested %Ro as a geochemical parameter for locating high gas flow rates in the Barnett Shale and Woodford Shale. These authors indicated that areas of low %Ro (low maturity) usually exhibit low gas flow rates</w:t>
      </w:r>
      <w:r w:rsidR="00DA4159">
        <w:t>,</w:t>
      </w:r>
      <w:r w:rsidRPr="00C21A7F">
        <w:t xml:space="preserve"> probably due to low volumes of gas generated and because </w:t>
      </w:r>
      <w:r w:rsidR="00DA4159">
        <w:t>residual liquid hydrocarbons obstruct pore</w:t>
      </w:r>
      <w:r w:rsidRPr="00C21A7F">
        <w:t xml:space="preserve">s. The areas of high %Ro commonly show high gas flow rates due to </w:t>
      </w:r>
      <w:r w:rsidR="00DA4159">
        <w:t>more significant</w:t>
      </w:r>
      <w:r w:rsidRPr="00C21A7F">
        <w:t xml:space="preserve"> amounts of gas generated from cracking of kerogen and bitumen in high-maturity source rocks. It is </w:t>
      </w:r>
      <w:r w:rsidR="00DA4159">
        <w:lastRenderedPageBreak/>
        <w:t>essential</w:t>
      </w:r>
      <w:r w:rsidRPr="00C21A7F">
        <w:t xml:space="preserve"> to correlate %Ro values with other maturity parameters such as Tmax and transformation ratios in order to make a more accurate estimation of organic matter conversion. </w:t>
      </w:r>
    </w:p>
    <w:p w14:paraId="2940014D" w14:textId="05E90E90" w:rsidR="0038797D" w:rsidRPr="00C21A7F" w:rsidRDefault="0038797D" w:rsidP="004721FB">
      <w:pPr>
        <w:ind w:firstLine="720"/>
      </w:pPr>
      <w:r w:rsidRPr="00C21A7F">
        <w:t>According to Peters and Cassa (1994) and Peters et al. (2005)</w:t>
      </w:r>
      <w:r w:rsidR="00DA4159">
        <w:t>,</w:t>
      </w:r>
      <w:r w:rsidRPr="00C21A7F">
        <w:t xml:space="preserve"> since Tmax and production index (PI) are dependent on organic matter type, they are used to make rough estimates of thermal maturity</w:t>
      </w:r>
      <w:r w:rsidR="00D46CE7">
        <w:t>,</w:t>
      </w:r>
      <w:r w:rsidRPr="00C21A7F">
        <w:t xml:space="preserve"> </w:t>
      </w:r>
      <w:r w:rsidR="0048471B">
        <w:t>which</w:t>
      </w:r>
      <w:r w:rsidRPr="00C21A7F">
        <w:t xml:space="preserve"> need to be correlated with more reliable maturity parameters. In general, it is expected to observe an increase in PI with Tmax</w:t>
      </w:r>
      <w:r w:rsidR="00DA4159">
        <w:t>,</w:t>
      </w:r>
      <w:r w:rsidRPr="00C21A7F">
        <w:t xml:space="preserve"> where PI constitutes a measure for hydrocarbon retention (Peters, 1986; Cornford et al., 1998</w:t>
      </w:r>
      <w:r w:rsidR="00DA4159">
        <w:t>;</w:t>
      </w:r>
      <w:r w:rsidRPr="00C21A7F">
        <w:t xml:space="preserve"> Peters et al. 2005). The 553 Woodford samples show PI values ranging from 0.02 to 0.89 and Tmax values for immature intervals (&lt;435° Tmax) and some samples beyond 500°C indicating high maturity organic matter beyond the dry gas window.  </w:t>
      </w:r>
    </w:p>
    <w:p w14:paraId="177EA3AB" w14:textId="6D0134BD" w:rsidR="0038797D" w:rsidRPr="00C21A7F" w:rsidRDefault="0038797D" w:rsidP="004721FB">
      <w:pPr>
        <w:ind w:firstLine="720"/>
      </w:pPr>
      <w:r w:rsidRPr="00C21A7F">
        <w:t>The S1 vs</w:t>
      </w:r>
      <w:r w:rsidR="00DA4159">
        <w:t>.</w:t>
      </w:r>
      <w:r w:rsidRPr="00C21A7F">
        <w:t xml:space="preserve"> TOC plot (Figure </w:t>
      </w:r>
      <w:r w:rsidR="008054AB">
        <w:t>B</w:t>
      </w:r>
      <w:r w:rsidR="0026185E" w:rsidRPr="00C21A7F">
        <w:t>.</w:t>
      </w:r>
      <w:r w:rsidR="00A4362C">
        <w:t>5</w:t>
      </w:r>
      <w:r w:rsidRPr="00C21A7F">
        <w:t>) was useful to determine that the samples analyzed in this study were not contaminated or stained with non-indigenous hydrocarbons such as drilling fluids from oil</w:t>
      </w:r>
      <w:r w:rsidR="00DA4159">
        <w:t>-</w:t>
      </w:r>
      <w:r w:rsidRPr="00C21A7F">
        <w:t>based drilling mud (</w:t>
      </w:r>
      <w:r w:rsidR="003935A9" w:rsidRPr="00C21A7F">
        <w:t>Miceli</w:t>
      </w:r>
      <w:r w:rsidRPr="00C21A7F">
        <w:t xml:space="preserve">, 2010; Albaghdady, 2013). In Figure </w:t>
      </w:r>
      <w:r w:rsidR="008054AB">
        <w:t>B</w:t>
      </w:r>
      <w:r w:rsidR="007E4118">
        <w:t>.</w:t>
      </w:r>
      <w:r w:rsidR="00A4362C">
        <w:t>5</w:t>
      </w:r>
      <w:r w:rsidRPr="00C21A7F">
        <w:t xml:space="preserve">, the red dashed lines separate samples with and without contamination. There are </w:t>
      </w:r>
      <w:r w:rsidR="00530F54">
        <w:t>some possibilities</w:t>
      </w:r>
      <w:r w:rsidRPr="00C21A7F">
        <w:t xml:space="preserve"> for a sample to yield under the contamination area</w:t>
      </w:r>
      <w:r w:rsidR="00530F54">
        <w:t xml:space="preserve"> of this S1 vs. TOC plot, and these are due to</w:t>
      </w:r>
      <w:r w:rsidRPr="00C21A7F">
        <w:t>:</w:t>
      </w:r>
    </w:p>
    <w:p w14:paraId="0E547614" w14:textId="0FC53930" w:rsidR="00B5378F" w:rsidRDefault="0038797D" w:rsidP="00B5378F">
      <w:pPr>
        <w:pStyle w:val="ListParagraph"/>
        <w:numPr>
          <w:ilvl w:val="0"/>
          <w:numId w:val="22"/>
        </w:numPr>
        <w:spacing w:line="480" w:lineRule="auto"/>
      </w:pPr>
      <w:r w:rsidRPr="00C21A7F">
        <w:t xml:space="preserve">Relatively low TOC samples (&lt; 1% in the plot) with high S1 (mobile and volatile hydrocarbons measured by </w:t>
      </w:r>
      <w:r w:rsidR="00B5378F">
        <w:t>R</w:t>
      </w:r>
      <w:r w:rsidRPr="00C21A7F">
        <w:t>ock</w:t>
      </w:r>
      <w:r w:rsidR="00B5378F">
        <w:t>-E</w:t>
      </w:r>
      <w:r w:rsidRPr="00C21A7F">
        <w:t xml:space="preserve">val pyrolysis; S1 from 1 to 10 in the plot) </w:t>
      </w:r>
      <w:r w:rsidRPr="00B5378F">
        <w:rPr>
          <w:i/>
        </w:rPr>
        <w:t>may</w:t>
      </w:r>
      <w:r w:rsidRPr="00C21A7F">
        <w:t xml:space="preserve"> contain some of this contamination, because if the TOC is low and if the thermal maturity is low, then something additional is adding mobile hydrocarbons (possibly drilling fluids</w:t>
      </w:r>
      <w:r w:rsidR="0048471B">
        <w:t xml:space="preserve"> in core and cuttings, but no contamination of this type in outcrop samples</w:t>
      </w:r>
      <w:r w:rsidR="004721FB">
        <w:t>)</w:t>
      </w:r>
      <w:r w:rsidR="00B5378F">
        <w:t>.</w:t>
      </w:r>
      <w:r w:rsidR="004721FB">
        <w:t xml:space="preserve"> </w:t>
      </w:r>
    </w:p>
    <w:p w14:paraId="20A482D6" w14:textId="1FA7C590" w:rsidR="00B5378F" w:rsidRDefault="001E126A" w:rsidP="00B5378F">
      <w:pPr>
        <w:pStyle w:val="ListParagraph"/>
        <w:numPr>
          <w:ilvl w:val="0"/>
          <w:numId w:val="22"/>
        </w:numPr>
        <w:spacing w:line="480" w:lineRule="auto"/>
      </w:pPr>
      <w:r>
        <w:t>Samples with v</w:t>
      </w:r>
      <w:r w:rsidR="0026185E" w:rsidRPr="00C21A7F">
        <w:t xml:space="preserve">ery high S1 </w:t>
      </w:r>
      <w:r w:rsidR="0038797D" w:rsidRPr="00C21A7F">
        <w:t xml:space="preserve">with high TOC (TOC from 1% to 10%). If </w:t>
      </w:r>
      <w:r w:rsidR="00B5378F">
        <w:t xml:space="preserve">the </w:t>
      </w:r>
      <w:r w:rsidR="0038797D" w:rsidRPr="00C21A7F">
        <w:t>S1</w:t>
      </w:r>
      <w:r w:rsidR="0048471B">
        <w:t xml:space="preserve"> i</w:t>
      </w:r>
      <w:r w:rsidR="0038797D" w:rsidRPr="00C21A7F">
        <w:t>s high, the rock has generated hydrocarbons from the kerogen</w:t>
      </w:r>
      <w:r w:rsidR="00DA4159">
        <w:t>,</w:t>
      </w:r>
      <w:r w:rsidR="0038797D" w:rsidRPr="00C21A7F">
        <w:t xml:space="preserve"> and TOC should decrease. </w:t>
      </w:r>
      <w:r w:rsidR="00800460" w:rsidRPr="00C21A7F">
        <w:t>Again,</w:t>
      </w:r>
      <w:r w:rsidR="0038797D" w:rsidRPr="00C21A7F">
        <w:t xml:space="preserve"> some external addition of mobile hydrocarbons is indicated;</w:t>
      </w:r>
      <w:r w:rsidR="004721FB">
        <w:t xml:space="preserve"> </w:t>
      </w:r>
      <w:r w:rsidR="0038797D" w:rsidRPr="00C21A7F">
        <w:t xml:space="preserve">Low TOC (&lt; 1%) with S1 from 0.1 to 1. </w:t>
      </w:r>
    </w:p>
    <w:p w14:paraId="7AC3A0C9" w14:textId="78459650" w:rsidR="0038797D" w:rsidRPr="00C21A7F" w:rsidRDefault="0038797D" w:rsidP="00B5378F">
      <w:pPr>
        <w:pStyle w:val="ListParagraph"/>
        <w:numPr>
          <w:ilvl w:val="0"/>
          <w:numId w:val="22"/>
        </w:numPr>
        <w:spacing w:line="480" w:lineRule="auto"/>
      </w:pPr>
      <w:r w:rsidRPr="00C21A7F">
        <w:lastRenderedPageBreak/>
        <w:t>Low TOC</w:t>
      </w:r>
      <w:r w:rsidR="00DA4159">
        <w:t>,</w:t>
      </w:r>
      <w:r w:rsidRPr="00C21A7F">
        <w:t xml:space="preserve"> but some S1 means that something can be caved in (in the case of cuttings) that decreases the TOC, or the original TOC is low (low generation potential)</w:t>
      </w:r>
      <w:r w:rsidR="00DA4159">
        <w:t>,</w:t>
      </w:r>
      <w:r w:rsidRPr="00C21A7F">
        <w:t xml:space="preserve"> but the S1 is due to drilling fluid contamination. </w:t>
      </w:r>
    </w:p>
    <w:p w14:paraId="0D498B1D" w14:textId="2EB37E9C" w:rsidR="0038797D" w:rsidRPr="00C21A7F" w:rsidRDefault="0038797D" w:rsidP="004721FB">
      <w:pPr>
        <w:ind w:firstLine="720"/>
      </w:pPr>
      <w:r w:rsidRPr="00C21A7F">
        <w:t xml:space="preserve">Drilling fluids are hard to wash out from samples, especially those that soak the rock during drilling. Shales tend to retain drilling fluids. Contamination can also occur when cores are stored for </w:t>
      </w:r>
      <w:r w:rsidR="00DA4159">
        <w:t xml:space="preserve">a </w:t>
      </w:r>
      <w:r w:rsidRPr="00C21A7F">
        <w:t xml:space="preserve">long time after being cleaned for organic geochemistry. In this current </w:t>
      </w:r>
      <w:r w:rsidR="00D75648">
        <w:t>compilation of Rock-Eval data</w:t>
      </w:r>
      <w:r w:rsidRPr="00C21A7F">
        <w:t xml:space="preserve">, the deeper wells, especially the Ridenour well, have samples that indicate contamination, </w:t>
      </w:r>
      <w:r w:rsidR="00AB6E5A">
        <w:t>but this can also be a misinterpretation due to the</w:t>
      </w:r>
      <w:r w:rsidRPr="00C21A7F">
        <w:t xml:space="preserve"> very high maturity (dry gas window) with remaining </w:t>
      </w:r>
      <w:r w:rsidR="00AB6E5A">
        <w:t xml:space="preserve">minimal </w:t>
      </w:r>
      <w:r w:rsidRPr="00C21A7F">
        <w:t>TOC and S</w:t>
      </w:r>
      <w:r w:rsidR="00165039">
        <w:t>1</w:t>
      </w:r>
      <w:r w:rsidRPr="00C21A7F">
        <w:t xml:space="preserve"> (which</w:t>
      </w:r>
      <w:r w:rsidR="00AB6E5A">
        <w:t xml:space="preserve"> both</w:t>
      </w:r>
      <w:r w:rsidRPr="00C21A7F">
        <w:t xml:space="preserve"> should have been depleted at </w:t>
      </w:r>
      <w:r w:rsidR="00AB6E5A">
        <w:t>a</w:t>
      </w:r>
      <w:r w:rsidR="00DC14F2">
        <w:t>n</w:t>
      </w:r>
      <w:r w:rsidR="00AB6E5A">
        <w:t xml:space="preserve"> elevated</w:t>
      </w:r>
      <w:r w:rsidRPr="00C21A7F">
        <w:t xml:space="preserve"> level of thermal maturity). </w:t>
      </w:r>
    </w:p>
    <w:p w14:paraId="596AA037" w14:textId="06CDABB4" w:rsidR="0038797D" w:rsidRPr="00C21A7F" w:rsidRDefault="0038797D" w:rsidP="004721FB">
      <w:pPr>
        <w:ind w:firstLine="720"/>
      </w:pPr>
      <w:r w:rsidRPr="00C21A7F">
        <w:t xml:space="preserve">As proposed by Miceli-Romero (2010) for the Woodford Shale, and Lo Monaco (2012) for the Barnett Shale, a plot of HI versus Tmax provides information about the maturity of the samples if the type of organic matter is known or can indicate the type of organic matter if maturity is the known parameter. Hydrocarbon generation, as a consequence of thermal maturity, results in a decrease of HI, so the trends represented by gray dotted lines in Figures </w:t>
      </w:r>
      <w:r w:rsidR="008054AB">
        <w:t>B</w:t>
      </w:r>
      <w:r w:rsidR="0026185E" w:rsidRPr="00C21A7F">
        <w:t>.</w:t>
      </w:r>
      <w:r w:rsidR="00A4362C">
        <w:t>6</w:t>
      </w:r>
      <w:r w:rsidR="0026185E" w:rsidRPr="00C21A7F">
        <w:t xml:space="preserve"> and </w:t>
      </w:r>
      <w:r w:rsidR="008054AB">
        <w:t>B</w:t>
      </w:r>
      <w:r w:rsidR="0026185E" w:rsidRPr="00C21A7F">
        <w:t>.</w:t>
      </w:r>
      <w:r w:rsidRPr="00C21A7F">
        <w:t xml:space="preserve">5 indicate the remaining hydrocarbon potential of the rock (Cornford et al., 1998). In Figures </w:t>
      </w:r>
      <w:r w:rsidR="008054AB">
        <w:t>B</w:t>
      </w:r>
      <w:r w:rsidR="0026185E" w:rsidRPr="00C21A7F">
        <w:t>.</w:t>
      </w:r>
      <w:r w:rsidR="00A4362C">
        <w:t>8</w:t>
      </w:r>
      <w:r w:rsidRPr="00C21A7F">
        <w:t xml:space="preserve"> and Figure </w:t>
      </w:r>
      <w:r w:rsidR="008054AB">
        <w:t>B</w:t>
      </w:r>
      <w:r w:rsidR="0026185E" w:rsidRPr="00C21A7F">
        <w:t>.</w:t>
      </w:r>
      <w:r w:rsidR="00A4362C">
        <w:t>9</w:t>
      </w:r>
      <w:r w:rsidRPr="00C21A7F">
        <w:t xml:space="preserve"> most of the Woodford </w:t>
      </w:r>
      <w:r w:rsidR="007846F9">
        <w:t>S</w:t>
      </w:r>
      <w:r w:rsidRPr="00C21A7F">
        <w:t xml:space="preserve">hale samples plot within the </w:t>
      </w:r>
      <w:r w:rsidR="00D75648">
        <w:t>t</w:t>
      </w:r>
      <w:r w:rsidRPr="00C21A7F">
        <w:t xml:space="preserve">ype I/II kerogen field and along the maturity line for vitrinite reflectance &lt; 1.2 % Ro (peak oil window) indicating that these samples reached high maturity levels for the generation of oil and wet gas, but not for dry gas. </w:t>
      </w:r>
    </w:p>
    <w:p w14:paraId="6A913F29" w14:textId="2C1C1C4F" w:rsidR="0038797D" w:rsidRPr="00C21A7F" w:rsidRDefault="0038797D" w:rsidP="004721FB">
      <w:pPr>
        <w:ind w:firstLine="720"/>
      </w:pPr>
      <w:r w:rsidRPr="00C21A7F">
        <w:t xml:space="preserve">The interpretation of the yield of mixed organic matter between </w:t>
      </w:r>
      <w:r w:rsidR="00DC14F2">
        <w:t>t</w:t>
      </w:r>
      <w:r w:rsidRPr="00C21A7F">
        <w:t xml:space="preserve">ypes II/III kerogen could be due to a thermal maturation effect where only solid bitumen is left in the rock, and HI, S1 and S2 are depleted. This mixing could be due to a thermal maturation effect where chemical structures present in the kerogen rearrange and become more aromatized (Miceli-Romero, 2010) or the </w:t>
      </w:r>
      <w:r w:rsidRPr="00C21A7F">
        <w:lastRenderedPageBreak/>
        <w:t xml:space="preserve">supply of continental organic matter to these members is higher. In Figure </w:t>
      </w:r>
      <w:r w:rsidR="008054AB">
        <w:t>B</w:t>
      </w:r>
      <w:r w:rsidR="0026185E" w:rsidRPr="00C21A7F">
        <w:t>.</w:t>
      </w:r>
      <w:r w:rsidR="00A4362C">
        <w:t>3</w:t>
      </w:r>
      <w:r w:rsidRPr="00C21A7F">
        <w:t xml:space="preserve">, Figure </w:t>
      </w:r>
      <w:r w:rsidR="008054AB">
        <w:t>B</w:t>
      </w:r>
      <w:r w:rsidR="0026185E" w:rsidRPr="00C21A7F">
        <w:t>.</w:t>
      </w:r>
      <w:r w:rsidR="00A4362C">
        <w:t>8</w:t>
      </w:r>
      <w:r w:rsidR="00240B05">
        <w:t>,</w:t>
      </w:r>
      <w:r w:rsidRPr="00C21A7F">
        <w:t xml:space="preserve"> and Figure </w:t>
      </w:r>
      <w:r w:rsidR="008054AB">
        <w:t>B</w:t>
      </w:r>
      <w:r w:rsidR="0026185E" w:rsidRPr="00C21A7F">
        <w:t>.</w:t>
      </w:r>
      <w:r w:rsidR="00A4362C">
        <w:t>9</w:t>
      </w:r>
      <w:r w:rsidRPr="00C21A7F">
        <w:t>, most of the immature samples plot within the Type I an</w:t>
      </w:r>
      <w:r w:rsidR="00240B05">
        <w:t>d</w:t>
      </w:r>
      <w:r w:rsidRPr="00C21A7F">
        <w:t xml:space="preserve"> type II kerogen field and along the maturity line for vitrinite reflectance 0.5%Ro (early oil window) indicating that these samples are immature to marginally mature. </w:t>
      </w:r>
    </w:p>
    <w:p w14:paraId="2EB1F40B" w14:textId="30D7C03B" w:rsidR="0038797D" w:rsidRPr="004721FB" w:rsidRDefault="004721FB" w:rsidP="009349D2">
      <w:r>
        <w:t>The purely l</w:t>
      </w:r>
      <w:r w:rsidR="0038797D" w:rsidRPr="00C21A7F">
        <w:t xml:space="preserve">acustrine deposits have typical Type I kerogen which can be distinguished by having high TOC (&gt;2% </w:t>
      </w:r>
      <w:r w:rsidR="00800460" w:rsidRPr="00C21A7F">
        <w:t>wt.</w:t>
      </w:r>
      <w:r w:rsidR="0038797D" w:rsidRPr="00C21A7F">
        <w:t xml:space="preserve">), high atomic H/C (&gt;1.5), low O/C (&lt;0.1), very high hydrogen Index (HI &gt;600), very low Oxygen Index (OI&lt;20) with general low sulfur content. These apparent </w:t>
      </w:r>
      <w:r w:rsidR="00A4362C">
        <w:t>t</w:t>
      </w:r>
      <w:r w:rsidR="0038797D" w:rsidRPr="00C21A7F">
        <w:t xml:space="preserve">ype I kerogen intervals from Figure </w:t>
      </w:r>
      <w:r w:rsidR="008054AB">
        <w:t>B</w:t>
      </w:r>
      <w:r w:rsidR="00FE4415" w:rsidRPr="00C21A7F">
        <w:t>.</w:t>
      </w:r>
      <w:r w:rsidR="00A4362C">
        <w:t>4</w:t>
      </w:r>
      <w:r w:rsidR="0038797D" w:rsidRPr="00C21A7F">
        <w:t xml:space="preserve">, Figure </w:t>
      </w:r>
      <w:r w:rsidR="008054AB">
        <w:t>B</w:t>
      </w:r>
      <w:r w:rsidR="00FE4415" w:rsidRPr="00C21A7F">
        <w:t>.</w:t>
      </w:r>
      <w:r w:rsidR="00A4362C">
        <w:t>8</w:t>
      </w:r>
      <w:r w:rsidR="00705E5E">
        <w:t>,</w:t>
      </w:r>
      <w:r w:rsidR="0038797D" w:rsidRPr="00C21A7F">
        <w:t xml:space="preserve"> and Figure</w:t>
      </w:r>
      <w:r w:rsidR="00027044">
        <w:t xml:space="preserve"> </w:t>
      </w:r>
      <w:r w:rsidR="008054AB">
        <w:t>B</w:t>
      </w:r>
      <w:r w:rsidR="00FE4415" w:rsidRPr="00C21A7F">
        <w:t>.</w:t>
      </w:r>
      <w:r w:rsidR="00A4362C">
        <w:t>9</w:t>
      </w:r>
      <w:r w:rsidR="0038797D" w:rsidRPr="00C21A7F">
        <w:t xml:space="preserve"> plots will be screened with future biomarker analysis for a more detailed characterization if any lacustrine origin organic m</w:t>
      </w:r>
      <w:r w:rsidR="0026185E" w:rsidRPr="00C21A7F">
        <w:t>atter is present (Chapter 3).</w:t>
      </w:r>
      <w:r>
        <w:t xml:space="preserve"> </w:t>
      </w:r>
      <w:r w:rsidR="0038797D" w:rsidRPr="00C21A7F">
        <w:t>This screening analysis</w:t>
      </w:r>
      <w:r w:rsidR="00240B05">
        <w:t>,</w:t>
      </w:r>
      <w:r w:rsidR="0038797D" w:rsidRPr="00C21A7F">
        <w:t xml:space="preserve"> followed by a more detailed characterization of the organic matter type</w:t>
      </w:r>
      <w:r w:rsidR="001D3BF6" w:rsidRPr="00C21A7F">
        <w:t xml:space="preserve"> (Chapter </w:t>
      </w:r>
      <w:r w:rsidR="00027044">
        <w:t>III</w:t>
      </w:r>
      <w:r w:rsidR="001D3BF6" w:rsidRPr="00C21A7F">
        <w:t>),</w:t>
      </w:r>
      <w:r w:rsidR="0038797D" w:rsidRPr="00C21A7F">
        <w:t xml:space="preserve"> will determine if rocks of a marine environment under very </w:t>
      </w:r>
      <w:r w:rsidR="008918C0">
        <w:t>controll</w:t>
      </w:r>
      <w:r w:rsidR="0038797D" w:rsidRPr="00C21A7F">
        <w:t xml:space="preserve">ed conditions can additionally support the accumulation of lacustrine organic matter within the Woodford </w:t>
      </w:r>
      <w:r w:rsidR="007846F9">
        <w:t>S</w:t>
      </w:r>
      <w:r w:rsidR="0038797D" w:rsidRPr="00C21A7F">
        <w:t>hale. If so, where the marine rock intervals are in high thermal maturity, the liquid hydrocarbons are cracked to gas, but in a similar maturity level for</w:t>
      </w:r>
      <w:r w:rsidR="0038797D" w:rsidRPr="004721FB">
        <w:t xml:space="preserve"> the lacustrine </w:t>
      </w:r>
      <w:r w:rsidR="00804F72">
        <w:t xml:space="preserve">organic matter in the enclosed mini-basin </w:t>
      </w:r>
      <w:r w:rsidR="00A22E4E">
        <w:t>fill</w:t>
      </w:r>
      <w:r w:rsidR="00804F72" w:rsidRPr="00F546EC">
        <w:t xml:space="preserve"> </w:t>
      </w:r>
      <w:r w:rsidR="0038797D" w:rsidRPr="004721FB">
        <w:t xml:space="preserve">deposits, the sourced oil will be preserved or more resistant to thermal cracking, thus providing previously unidentified exploration and prospectivity targets within the Woodford </w:t>
      </w:r>
      <w:r w:rsidR="007846F9">
        <w:t>S</w:t>
      </w:r>
      <w:r w:rsidR="0038797D" w:rsidRPr="004721FB">
        <w:t xml:space="preserve">hale. </w:t>
      </w:r>
    </w:p>
    <w:p w14:paraId="7BEC1692" w14:textId="77777777" w:rsidR="0038797D" w:rsidRPr="00C21A7F" w:rsidRDefault="0038797D" w:rsidP="009349D2">
      <w:pPr>
        <w:sectPr w:rsidR="0038797D" w:rsidRPr="00C21A7F" w:rsidSect="0095456D">
          <w:footerReference w:type="default" r:id="rId217"/>
          <w:pgSz w:w="12240" w:h="15840"/>
          <w:pgMar w:top="1440" w:right="1440" w:bottom="1440" w:left="1440" w:header="720" w:footer="720" w:gutter="0"/>
          <w:cols w:space="720"/>
          <w:docGrid w:linePitch="360"/>
        </w:sectPr>
      </w:pPr>
    </w:p>
    <w:p w14:paraId="2B2AD14E" w14:textId="72557373" w:rsidR="0038797D" w:rsidRPr="00C21A7F" w:rsidRDefault="00987AD1" w:rsidP="004341DC">
      <w:pPr>
        <w:spacing w:after="0"/>
        <w:jc w:val="center"/>
      </w:pPr>
      <w:r w:rsidRPr="00027614">
        <w:rPr>
          <w:noProof/>
        </w:rPr>
        <w:lastRenderedPageBreak/>
        <w:drawing>
          <wp:inline distT="0" distB="0" distL="0" distR="0" wp14:anchorId="01C9E5BE" wp14:editId="0BC6DCD3">
            <wp:extent cx="7856220" cy="5325745"/>
            <wp:effectExtent l="0" t="0" r="0" b="0"/>
            <wp:docPr id="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7863575" cy="5330731"/>
                    </a:xfrm>
                    <a:prstGeom prst="rect">
                      <a:avLst/>
                    </a:prstGeom>
                    <a:noFill/>
                    <a:ln>
                      <a:noFill/>
                    </a:ln>
                  </pic:spPr>
                </pic:pic>
              </a:graphicData>
            </a:graphic>
          </wp:inline>
        </w:drawing>
      </w:r>
    </w:p>
    <w:p w14:paraId="24AC7754" w14:textId="4366F647" w:rsidR="0038797D" w:rsidRPr="00C21A7F" w:rsidRDefault="0038797D" w:rsidP="004341DC">
      <w:pPr>
        <w:pStyle w:val="Caption"/>
      </w:pPr>
      <w:bookmarkStart w:id="486" w:name="_Toc35861268"/>
      <w:r w:rsidRPr="00C21A7F">
        <w:rPr>
          <w:b/>
        </w:rPr>
        <w:t xml:space="preserve">Figure </w:t>
      </w:r>
      <w:r w:rsidR="008054AB">
        <w:rPr>
          <w:b/>
        </w:rPr>
        <w:t>B</w:t>
      </w:r>
      <w:r w:rsidR="007F4268" w:rsidRPr="00C21A7F">
        <w:rPr>
          <w:b/>
        </w:rPr>
        <w:t>.</w:t>
      </w:r>
      <w:r w:rsidR="00A4362C">
        <w:rPr>
          <w:b/>
        </w:rPr>
        <w:t>3</w:t>
      </w:r>
      <w:r w:rsidRPr="00C21A7F">
        <w:rPr>
          <w:b/>
        </w:rPr>
        <w:t xml:space="preserve">. </w:t>
      </w:r>
      <w:r w:rsidRPr="00C21A7F">
        <w:t xml:space="preserve">Location of the different </w:t>
      </w:r>
      <w:r w:rsidR="00165039">
        <w:t>m</w:t>
      </w:r>
      <w:r w:rsidRPr="00C21A7F">
        <w:t xml:space="preserve">asters and </w:t>
      </w:r>
      <w:r w:rsidR="00165039">
        <w:t>d</w:t>
      </w:r>
      <w:r w:rsidRPr="00C21A7F">
        <w:t>octorate theses where the Rock</w:t>
      </w:r>
      <w:r w:rsidR="00240B05">
        <w:t>-</w:t>
      </w:r>
      <w:r w:rsidRPr="00C21A7F">
        <w:t xml:space="preserve">Eval </w:t>
      </w:r>
      <w:r w:rsidR="00165039">
        <w:t>p</w:t>
      </w:r>
      <w:r w:rsidRPr="00C21A7F">
        <w:t xml:space="preserve">yrolysis data was gathered and organized for an organic </w:t>
      </w:r>
      <w:r w:rsidR="00F03FE3" w:rsidRPr="00C21A7F">
        <w:t>facies’</w:t>
      </w:r>
      <w:r w:rsidRPr="00C21A7F">
        <w:t xml:space="preserve"> analysis of the Woodford </w:t>
      </w:r>
      <w:r w:rsidR="007846F9">
        <w:t>S</w:t>
      </w:r>
      <w:r w:rsidRPr="00C21A7F">
        <w:t>hale in Oklahoma.</w:t>
      </w:r>
      <w:bookmarkEnd w:id="486"/>
      <w:r w:rsidRPr="00C21A7F">
        <w:t xml:space="preserve"> </w:t>
      </w:r>
    </w:p>
    <w:p w14:paraId="076A8AC4" w14:textId="77777777" w:rsidR="0038797D" w:rsidRPr="00C21A7F" w:rsidRDefault="0038797D" w:rsidP="009349D2">
      <w:pPr>
        <w:sectPr w:rsidR="0038797D" w:rsidRPr="00C21A7F" w:rsidSect="0095456D">
          <w:type w:val="continuous"/>
          <w:pgSz w:w="15840" w:h="12240" w:orient="landscape"/>
          <w:pgMar w:top="1440" w:right="1440" w:bottom="1440" w:left="1440" w:header="720" w:footer="720" w:gutter="0"/>
          <w:cols w:space="720"/>
          <w:docGrid w:linePitch="360"/>
        </w:sectPr>
      </w:pPr>
    </w:p>
    <w:p w14:paraId="275657E3" w14:textId="1855B04D" w:rsidR="0038797D" w:rsidRDefault="00987AD1" w:rsidP="004341DC">
      <w:pPr>
        <w:spacing w:after="0"/>
      </w:pPr>
      <w:r w:rsidRPr="001E7D67">
        <w:rPr>
          <w:noProof/>
        </w:rPr>
        <w:lastRenderedPageBreak/>
        <w:drawing>
          <wp:inline distT="0" distB="0" distL="0" distR="0" wp14:anchorId="45F13B9A" wp14:editId="7F847A53">
            <wp:extent cx="5435600" cy="6858000"/>
            <wp:effectExtent l="0" t="0" r="0" b="0"/>
            <wp:docPr id="8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435600" cy="6858000"/>
                    </a:xfrm>
                    <a:prstGeom prst="rect">
                      <a:avLst/>
                    </a:prstGeom>
                    <a:noFill/>
                    <a:ln>
                      <a:noFill/>
                    </a:ln>
                  </pic:spPr>
                </pic:pic>
              </a:graphicData>
            </a:graphic>
          </wp:inline>
        </w:drawing>
      </w:r>
    </w:p>
    <w:p w14:paraId="3676642D" w14:textId="751E0830" w:rsidR="0038797D" w:rsidRPr="00C21A7F" w:rsidRDefault="0038797D" w:rsidP="004341DC">
      <w:pPr>
        <w:pStyle w:val="Caption"/>
      </w:pPr>
      <w:bookmarkStart w:id="487" w:name="_Toc35861269"/>
      <w:r w:rsidRPr="00C21A7F">
        <w:rPr>
          <w:b/>
        </w:rPr>
        <w:t xml:space="preserve">Figure </w:t>
      </w:r>
      <w:r w:rsidR="008054AB">
        <w:rPr>
          <w:b/>
        </w:rPr>
        <w:t>B</w:t>
      </w:r>
      <w:r w:rsidR="007F4268" w:rsidRPr="00C21A7F">
        <w:rPr>
          <w:b/>
        </w:rPr>
        <w:t>.</w:t>
      </w:r>
      <w:r w:rsidR="00A4362C">
        <w:rPr>
          <w:b/>
        </w:rPr>
        <w:t>4</w:t>
      </w:r>
      <w:r w:rsidRPr="00C21A7F">
        <w:rPr>
          <w:b/>
        </w:rPr>
        <w:t xml:space="preserve">. </w:t>
      </w:r>
      <w:r w:rsidRPr="00C21A7F">
        <w:t xml:space="preserve">Modified pseudo </w:t>
      </w:r>
      <w:r w:rsidR="00165039">
        <w:t>v</w:t>
      </w:r>
      <w:r w:rsidRPr="00C21A7F">
        <w:t xml:space="preserve">an Krevelen diagram for all the 553 Woodford </w:t>
      </w:r>
      <w:r w:rsidR="007846F9">
        <w:t>S</w:t>
      </w:r>
      <w:r w:rsidRPr="00C21A7F">
        <w:t>hale core, cuttings</w:t>
      </w:r>
      <w:r w:rsidR="00240B05">
        <w:t>,</w:t>
      </w:r>
      <w:r w:rsidRPr="00C21A7F">
        <w:t xml:space="preserve"> and outcrop samples. The diagram show</w:t>
      </w:r>
      <w:r w:rsidR="00134074">
        <w:t>s that</w:t>
      </w:r>
      <w:r w:rsidRPr="00C21A7F">
        <w:t xml:space="preserve"> the source rock intervals are dominated by apparent </w:t>
      </w:r>
      <w:r w:rsidR="00165039">
        <w:t>t</w:t>
      </w:r>
      <w:r w:rsidRPr="00C21A7F">
        <w:t xml:space="preserve">ype I and </w:t>
      </w:r>
      <w:r w:rsidR="00165039">
        <w:t>t</w:t>
      </w:r>
      <w:r w:rsidRPr="00C21A7F">
        <w:t>ype II kerogen</w:t>
      </w:r>
      <w:r w:rsidR="00134074">
        <w:t>. S</w:t>
      </w:r>
      <w:r w:rsidRPr="00C21A7F">
        <w:t xml:space="preserve">ome intervals </w:t>
      </w:r>
      <w:r w:rsidR="00134074">
        <w:t xml:space="preserve">are </w:t>
      </w:r>
      <w:r w:rsidRPr="00C21A7F">
        <w:t xml:space="preserve">in the </w:t>
      </w:r>
      <w:r w:rsidR="00165039">
        <w:t>t</w:t>
      </w:r>
      <w:r w:rsidRPr="00C21A7F">
        <w:t xml:space="preserve">ype III zone because of the type of organic matter </w:t>
      </w:r>
      <w:r w:rsidR="00134074">
        <w:t xml:space="preserve">and </w:t>
      </w:r>
      <w:r w:rsidRPr="00C21A7F">
        <w:t>also due to the high thermal maturity</w:t>
      </w:r>
      <w:r w:rsidR="00D46CE7">
        <w:t>,</w:t>
      </w:r>
      <w:r w:rsidRPr="00C21A7F">
        <w:t xml:space="preserve"> such as the well Ridenour 1-20H. Tmax average</w:t>
      </w:r>
      <w:r w:rsidR="00240B05">
        <w:t xml:space="preserve"> of</w:t>
      </w:r>
      <w:r w:rsidRPr="00C21A7F">
        <w:t xml:space="preserve"> 435 ⁰C.</w:t>
      </w:r>
      <w:bookmarkEnd w:id="487"/>
    </w:p>
    <w:p w14:paraId="1E09BBF4" w14:textId="5DCCEDEF" w:rsidR="0038797D" w:rsidRPr="00C21A7F" w:rsidRDefault="00987AD1" w:rsidP="004341DC">
      <w:pPr>
        <w:spacing w:after="0"/>
      </w:pPr>
      <w:r w:rsidRPr="001E7D67">
        <w:rPr>
          <w:noProof/>
        </w:rPr>
        <w:lastRenderedPageBreak/>
        <w:drawing>
          <wp:inline distT="0" distB="0" distL="0" distR="0" wp14:anchorId="60D7739B" wp14:editId="3200A529">
            <wp:extent cx="5575300" cy="7340600"/>
            <wp:effectExtent l="0" t="0" r="0" b="0"/>
            <wp:docPr id="8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575300" cy="7340600"/>
                    </a:xfrm>
                    <a:prstGeom prst="rect">
                      <a:avLst/>
                    </a:prstGeom>
                    <a:noFill/>
                    <a:ln>
                      <a:noFill/>
                    </a:ln>
                  </pic:spPr>
                </pic:pic>
              </a:graphicData>
            </a:graphic>
          </wp:inline>
        </w:drawing>
      </w:r>
    </w:p>
    <w:p w14:paraId="767C3104" w14:textId="050D4AA4" w:rsidR="0038797D" w:rsidRPr="00C21A7F" w:rsidRDefault="0038797D" w:rsidP="004341DC">
      <w:pPr>
        <w:pStyle w:val="Caption"/>
      </w:pPr>
      <w:bookmarkStart w:id="488" w:name="_Toc35861270"/>
      <w:r w:rsidRPr="00C21A7F">
        <w:rPr>
          <w:b/>
        </w:rPr>
        <w:t xml:space="preserve">Figure </w:t>
      </w:r>
      <w:r w:rsidR="008054AB">
        <w:rPr>
          <w:b/>
        </w:rPr>
        <w:t>B</w:t>
      </w:r>
      <w:r w:rsidR="007F4268" w:rsidRPr="00C21A7F">
        <w:rPr>
          <w:b/>
        </w:rPr>
        <w:t>.</w:t>
      </w:r>
      <w:r w:rsidR="00A4362C">
        <w:rPr>
          <w:b/>
        </w:rPr>
        <w:t>5</w:t>
      </w:r>
      <w:r w:rsidRPr="00C21A7F">
        <w:rPr>
          <w:b/>
        </w:rPr>
        <w:t xml:space="preserve">. </w:t>
      </w:r>
      <w:r w:rsidRPr="00C21A7F">
        <w:t xml:space="preserve">S1 vs. TOC plot for identifying the hydrocarbon staining and contamination for all the 553 Woodford </w:t>
      </w:r>
      <w:r w:rsidR="007846F9">
        <w:t>S</w:t>
      </w:r>
      <w:r w:rsidRPr="00C21A7F">
        <w:t>hale samples. The wells Ridenour 1-20H and Cassell 1-25H are the only ones that seem to have been affected by contamination with the drilling mud fluids.  Plot modified from Miceli-Romero (2010) and Albaghdady (2013).</w:t>
      </w:r>
      <w:bookmarkEnd w:id="488"/>
    </w:p>
    <w:p w14:paraId="15715B32" w14:textId="1F8B6D9E" w:rsidR="0038797D" w:rsidRPr="00C21A7F" w:rsidRDefault="00987AD1" w:rsidP="004341DC">
      <w:pPr>
        <w:jc w:val="center"/>
      </w:pPr>
      <w:r w:rsidRPr="001E7D67">
        <w:rPr>
          <w:noProof/>
        </w:rPr>
        <w:lastRenderedPageBreak/>
        <w:drawing>
          <wp:inline distT="0" distB="0" distL="0" distR="0" wp14:anchorId="2508AE5F" wp14:editId="04E9FC94">
            <wp:extent cx="5435600" cy="7010400"/>
            <wp:effectExtent l="0" t="0" r="0" b="0"/>
            <wp:docPr id="8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435600" cy="7010400"/>
                    </a:xfrm>
                    <a:prstGeom prst="rect">
                      <a:avLst/>
                    </a:prstGeom>
                    <a:noFill/>
                    <a:ln>
                      <a:noFill/>
                    </a:ln>
                  </pic:spPr>
                </pic:pic>
              </a:graphicData>
            </a:graphic>
          </wp:inline>
        </w:drawing>
      </w:r>
    </w:p>
    <w:p w14:paraId="38C440A4" w14:textId="7F9ED3F3" w:rsidR="0038797D" w:rsidRPr="00C21A7F" w:rsidRDefault="0038797D" w:rsidP="004341DC">
      <w:pPr>
        <w:pStyle w:val="Caption"/>
      </w:pPr>
      <w:bookmarkStart w:id="489" w:name="_Toc35861271"/>
      <w:r w:rsidRPr="00C21A7F">
        <w:rPr>
          <w:b/>
        </w:rPr>
        <w:t xml:space="preserve">Figure </w:t>
      </w:r>
      <w:r w:rsidR="008054AB">
        <w:rPr>
          <w:b/>
        </w:rPr>
        <w:t>B</w:t>
      </w:r>
      <w:r w:rsidR="007F4268" w:rsidRPr="00C21A7F">
        <w:rPr>
          <w:b/>
        </w:rPr>
        <w:t>.</w:t>
      </w:r>
      <w:r w:rsidR="00A4362C">
        <w:rPr>
          <w:b/>
        </w:rPr>
        <w:t>6</w:t>
      </w:r>
      <w:r w:rsidRPr="00C21A7F">
        <w:rPr>
          <w:b/>
        </w:rPr>
        <w:t xml:space="preserve">. </w:t>
      </w:r>
      <w:r w:rsidRPr="00C21A7F">
        <w:t xml:space="preserve">Tmax vs. Production Index (PI) plot for estimating thermal maturity for all the 553 Woodford </w:t>
      </w:r>
      <w:r w:rsidR="007846F9">
        <w:t>S</w:t>
      </w:r>
      <w:r w:rsidRPr="00C21A7F">
        <w:t>hale core, cuttings</w:t>
      </w:r>
      <w:r w:rsidR="00DC6CDB">
        <w:t>,</w:t>
      </w:r>
      <w:r w:rsidRPr="00C21A7F">
        <w:t xml:space="preserve"> and outcrop samples. The only samples with high maturity levels are from the Ridenour 1-20H well. All other samples are immature or in the early oil generation window. Plot modified from Miceli-Romero (2010) and Albaghdady (2013).</w:t>
      </w:r>
      <w:bookmarkEnd w:id="489"/>
    </w:p>
    <w:p w14:paraId="3BAE9ECE" w14:textId="0DAA6302" w:rsidR="0038797D" w:rsidRPr="00C21A7F" w:rsidRDefault="00987AD1" w:rsidP="004341DC">
      <w:pPr>
        <w:spacing w:after="0"/>
        <w:jc w:val="center"/>
      </w:pPr>
      <w:r w:rsidRPr="001E7D67">
        <w:rPr>
          <w:noProof/>
        </w:rPr>
        <w:lastRenderedPageBreak/>
        <w:drawing>
          <wp:inline distT="0" distB="0" distL="0" distR="0" wp14:anchorId="3FD0C1D0" wp14:editId="457DFEF2">
            <wp:extent cx="5524500" cy="7340600"/>
            <wp:effectExtent l="0" t="0" r="0" b="0"/>
            <wp:docPr id="8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524500" cy="7340600"/>
                    </a:xfrm>
                    <a:prstGeom prst="rect">
                      <a:avLst/>
                    </a:prstGeom>
                    <a:noFill/>
                    <a:ln>
                      <a:noFill/>
                    </a:ln>
                  </pic:spPr>
                </pic:pic>
              </a:graphicData>
            </a:graphic>
          </wp:inline>
        </w:drawing>
      </w:r>
    </w:p>
    <w:p w14:paraId="350F1097" w14:textId="33AB5478" w:rsidR="0038797D" w:rsidRPr="00C21A7F" w:rsidRDefault="0038797D" w:rsidP="004341DC">
      <w:pPr>
        <w:pStyle w:val="Caption"/>
      </w:pPr>
      <w:bookmarkStart w:id="490" w:name="_Toc35861272"/>
      <w:r w:rsidRPr="00C21A7F">
        <w:rPr>
          <w:b/>
        </w:rPr>
        <w:t xml:space="preserve">Figure </w:t>
      </w:r>
      <w:r w:rsidR="008054AB">
        <w:rPr>
          <w:b/>
        </w:rPr>
        <w:t>B</w:t>
      </w:r>
      <w:r w:rsidR="00AB44FF">
        <w:rPr>
          <w:b/>
        </w:rPr>
        <w:t>.</w:t>
      </w:r>
      <w:r w:rsidR="00A4362C">
        <w:rPr>
          <w:b/>
        </w:rPr>
        <w:t>7</w:t>
      </w:r>
      <w:r w:rsidRPr="00C21A7F">
        <w:rPr>
          <w:b/>
        </w:rPr>
        <w:t xml:space="preserve">. </w:t>
      </w:r>
      <w:r w:rsidRPr="00C21A7F">
        <w:t>Diagram of TOC vs</w:t>
      </w:r>
      <w:r w:rsidR="00DC6CDB">
        <w:t>.</w:t>
      </w:r>
      <w:r w:rsidRPr="00C21A7F">
        <w:t xml:space="preserve"> </w:t>
      </w:r>
      <w:r w:rsidR="00906297">
        <w:t>t</w:t>
      </w:r>
      <w:r w:rsidRPr="00C21A7F">
        <w:t xml:space="preserve">otal generation potential (S1+S2), which illustrates the source rock intervals that reached the hydrocarbon generation conditions (potential or </w:t>
      </w:r>
      <w:r w:rsidR="005063A4">
        <w:t>a</w:t>
      </w:r>
      <w:r w:rsidRPr="00C21A7F">
        <w:t>ctive source rocks). All locations analyzed have rock intervals that reached the conditions of enough organic matter and maturity to generate hydrocarbons.</w:t>
      </w:r>
      <w:bookmarkEnd w:id="490"/>
    </w:p>
    <w:p w14:paraId="1DFC3CD6" w14:textId="44C2DDCE" w:rsidR="0038797D" w:rsidRPr="00C21A7F" w:rsidRDefault="00987AD1" w:rsidP="004341DC">
      <w:pPr>
        <w:spacing w:after="0"/>
        <w:jc w:val="center"/>
      </w:pPr>
      <w:r w:rsidRPr="001E7D67">
        <w:rPr>
          <w:noProof/>
        </w:rPr>
        <w:lastRenderedPageBreak/>
        <w:drawing>
          <wp:inline distT="0" distB="0" distL="0" distR="0" wp14:anchorId="4D5789A2" wp14:editId="313B2338">
            <wp:extent cx="5575300" cy="7353300"/>
            <wp:effectExtent l="0" t="0" r="0" b="0"/>
            <wp:docPr id="83"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575300" cy="7353300"/>
                    </a:xfrm>
                    <a:prstGeom prst="rect">
                      <a:avLst/>
                    </a:prstGeom>
                    <a:noFill/>
                    <a:ln>
                      <a:noFill/>
                    </a:ln>
                  </pic:spPr>
                </pic:pic>
              </a:graphicData>
            </a:graphic>
          </wp:inline>
        </w:drawing>
      </w:r>
    </w:p>
    <w:p w14:paraId="70B69842" w14:textId="42DF6FDA" w:rsidR="0038797D" w:rsidRPr="00C21A7F" w:rsidRDefault="0038797D" w:rsidP="004341DC">
      <w:pPr>
        <w:pStyle w:val="Caption"/>
      </w:pPr>
      <w:bookmarkStart w:id="491" w:name="_Toc35861273"/>
      <w:r w:rsidRPr="00C21A7F">
        <w:rPr>
          <w:b/>
        </w:rPr>
        <w:t xml:space="preserve">Figure </w:t>
      </w:r>
      <w:r w:rsidR="008054AB">
        <w:rPr>
          <w:b/>
        </w:rPr>
        <w:t>B</w:t>
      </w:r>
      <w:r w:rsidR="007F4268" w:rsidRPr="00C21A7F">
        <w:rPr>
          <w:b/>
        </w:rPr>
        <w:t>.</w:t>
      </w:r>
      <w:r w:rsidR="00A4362C">
        <w:rPr>
          <w:b/>
        </w:rPr>
        <w:t>8</w:t>
      </w:r>
      <w:r w:rsidRPr="00C21A7F">
        <w:rPr>
          <w:b/>
        </w:rPr>
        <w:t>.</w:t>
      </w:r>
      <w:r w:rsidR="00BF6580">
        <w:t xml:space="preserve"> </w:t>
      </w:r>
      <w:r w:rsidRPr="00C21A7F">
        <w:t xml:space="preserve">HI vs. Tmax plot showing maturity and kerogen type for all the 553 Woodford </w:t>
      </w:r>
      <w:r w:rsidR="006404ED">
        <w:t>S</w:t>
      </w:r>
      <w:r w:rsidRPr="00C21A7F">
        <w:t>hale core, cuttings</w:t>
      </w:r>
      <w:r w:rsidR="00DC6CDB">
        <w:t>,</w:t>
      </w:r>
      <w:r w:rsidRPr="00C21A7F">
        <w:t xml:space="preserve"> and outcrop samples. Most of the samples plot on the type II kerogen yield, some in the </w:t>
      </w:r>
      <w:r w:rsidR="00165039">
        <w:t>t</w:t>
      </w:r>
      <w:r w:rsidRPr="00C21A7F">
        <w:t xml:space="preserve">ype I kerogen, some in </w:t>
      </w:r>
      <w:r w:rsidR="00165039">
        <w:t>t</w:t>
      </w:r>
      <w:r w:rsidRPr="00C21A7F">
        <w:t xml:space="preserve">ype III. The Ridenour 1-20H well shows </w:t>
      </w:r>
      <w:r w:rsidR="00DC6CDB">
        <w:t xml:space="preserve">a </w:t>
      </w:r>
      <w:r w:rsidRPr="00C21A7F">
        <w:t>high maturity level and apparent type III kerogen because of the depletion of HI by thermal cracking.</w:t>
      </w:r>
      <w:bookmarkEnd w:id="491"/>
    </w:p>
    <w:p w14:paraId="27FC16DC" w14:textId="77777777" w:rsidR="0038797D" w:rsidRPr="00C21A7F" w:rsidRDefault="0038797D" w:rsidP="009349D2">
      <w:pPr>
        <w:sectPr w:rsidR="0038797D" w:rsidRPr="00C21A7F" w:rsidSect="0095456D">
          <w:pgSz w:w="12240" w:h="15840"/>
          <w:pgMar w:top="1440" w:right="1440" w:bottom="1440" w:left="1440" w:header="720" w:footer="720" w:gutter="0"/>
          <w:cols w:space="720"/>
          <w:docGrid w:linePitch="360"/>
        </w:sectPr>
      </w:pPr>
    </w:p>
    <w:p w14:paraId="0D05CB91" w14:textId="1B3A6C81" w:rsidR="0038797D" w:rsidRDefault="00987AD1" w:rsidP="004341DC">
      <w:pPr>
        <w:spacing w:after="0"/>
        <w:jc w:val="center"/>
      </w:pPr>
      <w:r w:rsidRPr="001E7D67">
        <w:rPr>
          <w:noProof/>
        </w:rPr>
        <w:lastRenderedPageBreak/>
        <w:drawing>
          <wp:inline distT="0" distB="0" distL="0" distR="0" wp14:anchorId="34F2D788" wp14:editId="3BE354D6">
            <wp:extent cx="7632700" cy="5041900"/>
            <wp:effectExtent l="0" t="0" r="0" b="0"/>
            <wp:docPr id="82"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9"/>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7632700" cy="5041900"/>
                    </a:xfrm>
                    <a:prstGeom prst="rect">
                      <a:avLst/>
                    </a:prstGeom>
                    <a:noFill/>
                    <a:ln>
                      <a:noFill/>
                    </a:ln>
                  </pic:spPr>
                </pic:pic>
              </a:graphicData>
            </a:graphic>
          </wp:inline>
        </w:drawing>
      </w:r>
    </w:p>
    <w:p w14:paraId="325F44C1" w14:textId="59C064C3" w:rsidR="0038797D" w:rsidRPr="00C21A7F" w:rsidRDefault="0038797D" w:rsidP="004341DC">
      <w:pPr>
        <w:pStyle w:val="Caption"/>
      </w:pPr>
      <w:bookmarkStart w:id="492" w:name="_Toc35861274"/>
      <w:r w:rsidRPr="00C21A7F">
        <w:rPr>
          <w:b/>
        </w:rPr>
        <w:t xml:space="preserve">Figure </w:t>
      </w:r>
      <w:r w:rsidR="008054AB">
        <w:rPr>
          <w:b/>
        </w:rPr>
        <w:t>B.</w:t>
      </w:r>
      <w:r w:rsidR="00A4362C">
        <w:rPr>
          <w:b/>
        </w:rPr>
        <w:t>9</w:t>
      </w:r>
      <w:r w:rsidRPr="00C21A7F">
        <w:rPr>
          <w:b/>
        </w:rPr>
        <w:t xml:space="preserve">. </w:t>
      </w:r>
      <w:r w:rsidRPr="00C21A7F">
        <w:t>Rock</w:t>
      </w:r>
      <w:r w:rsidR="00DC6CDB">
        <w:t>-</w:t>
      </w:r>
      <w:r w:rsidRPr="00C21A7F">
        <w:t xml:space="preserve">Eval </w:t>
      </w:r>
      <w:r w:rsidR="00165039">
        <w:t>r</w:t>
      </w:r>
      <w:r w:rsidRPr="00C21A7F">
        <w:t xml:space="preserve">emaining </w:t>
      </w:r>
      <w:r w:rsidR="00165039">
        <w:t>h</w:t>
      </w:r>
      <w:r w:rsidRPr="00C21A7F">
        <w:t xml:space="preserve">ydrocarbon </w:t>
      </w:r>
      <w:r w:rsidR="00165039">
        <w:t>p</w:t>
      </w:r>
      <w:r w:rsidRPr="00C21A7F">
        <w:t>otential (S</w:t>
      </w:r>
      <w:r w:rsidRPr="00C21A7F">
        <w:rPr>
          <w:vertAlign w:val="subscript"/>
        </w:rPr>
        <w:t>2</w:t>
      </w:r>
      <w:r w:rsidRPr="00C21A7F">
        <w:t xml:space="preserve">) vs. TOC plot for determination of kerogen type and maturity for all the 553 Woodford </w:t>
      </w:r>
      <w:r w:rsidR="006404ED">
        <w:t>S</w:t>
      </w:r>
      <w:r w:rsidRPr="00C21A7F">
        <w:t>hale core, cuttings</w:t>
      </w:r>
      <w:r w:rsidR="00DC6CDB">
        <w:t>,</w:t>
      </w:r>
      <w:r w:rsidRPr="00C21A7F">
        <w:t xml:space="preserve"> and outcrop samples. Note that most of the samples plot in the type II Kerogen area</w:t>
      </w:r>
      <w:r w:rsidR="00DC6CDB">
        <w:t>,</w:t>
      </w:r>
      <w:r w:rsidRPr="00C21A7F">
        <w:t xml:space="preserve"> but some are in the </w:t>
      </w:r>
      <w:r w:rsidR="00165039">
        <w:t>t</w:t>
      </w:r>
      <w:r w:rsidRPr="00C21A7F">
        <w:t>ype I kerogen yield. The Ridenour 1-20H well shows a high maturity level and apparent type III kerogen because of the depletion of S2 by thermal cracking.</w:t>
      </w:r>
      <w:bookmarkEnd w:id="492"/>
    </w:p>
    <w:p w14:paraId="0BDD7A1B" w14:textId="77777777" w:rsidR="0038797D" w:rsidRPr="00C21A7F" w:rsidRDefault="0038797D" w:rsidP="009349D2">
      <w:pPr>
        <w:sectPr w:rsidR="0038797D" w:rsidRPr="00C21A7F" w:rsidSect="0095456D">
          <w:pgSz w:w="15840" w:h="12240" w:orient="landscape"/>
          <w:pgMar w:top="1440" w:right="1440" w:bottom="1440" w:left="1440" w:header="720" w:footer="720" w:gutter="0"/>
          <w:cols w:space="720"/>
          <w:docGrid w:linePitch="360"/>
        </w:sectPr>
      </w:pPr>
    </w:p>
    <w:p w14:paraId="4AA2170E" w14:textId="69222DB0" w:rsidR="0038797D" w:rsidRPr="00C21A7F" w:rsidRDefault="00E047CB" w:rsidP="009349D2">
      <w:pPr>
        <w:rPr>
          <w:rFonts w:ascii="Times New Roman Bold" w:hAnsi="Times New Roman Bold"/>
          <w:b/>
          <w:caps/>
        </w:rPr>
      </w:pPr>
      <w:r w:rsidRPr="00C21A7F">
        <w:rPr>
          <w:rFonts w:ascii="Times New Roman Bold" w:hAnsi="Times New Roman Bold"/>
          <w:b/>
        </w:rPr>
        <w:lastRenderedPageBreak/>
        <w:t xml:space="preserve">Specific location Woodford </w:t>
      </w:r>
      <w:r w:rsidR="006404ED">
        <w:rPr>
          <w:rFonts w:ascii="Times New Roman Bold" w:hAnsi="Times New Roman Bold"/>
          <w:b/>
        </w:rPr>
        <w:t>S</w:t>
      </w:r>
      <w:r w:rsidRPr="00C21A7F">
        <w:rPr>
          <w:rFonts w:ascii="Times New Roman Bold" w:hAnsi="Times New Roman Bold"/>
          <w:b/>
        </w:rPr>
        <w:t>hale characterization</w:t>
      </w:r>
    </w:p>
    <w:p w14:paraId="475B453C" w14:textId="2682DC13" w:rsidR="0038797D" w:rsidRPr="00C21A7F" w:rsidRDefault="0038797D" w:rsidP="004341DC">
      <w:pPr>
        <w:ind w:firstLine="720"/>
      </w:pPr>
      <w:r w:rsidRPr="00C21A7F">
        <w:t xml:space="preserve">Individual locations of wells </w:t>
      </w:r>
      <w:r w:rsidR="003935A9" w:rsidRPr="00C21A7F">
        <w:t>for Rock</w:t>
      </w:r>
      <w:r w:rsidR="00E73B13">
        <w:t>-</w:t>
      </w:r>
      <w:r w:rsidRPr="00C21A7F">
        <w:t xml:space="preserve">Eval Pyrolysis characterization are shown in this chapter for a more detailed analysis per well or outcrop location. A total of eighteen different locations across Oklahoma have key sample measurements. From these different data sets, only seven </w:t>
      </w:r>
      <w:r w:rsidR="00E73B13">
        <w:t>significant</w:t>
      </w:r>
      <w:r w:rsidRPr="00C21A7F">
        <w:t xml:space="preserve"> locations are composed of enough data to show a </w:t>
      </w:r>
      <w:r w:rsidR="00134074">
        <w:t xml:space="preserve">significant </w:t>
      </w:r>
      <w:r w:rsidRPr="00C21A7F">
        <w:t xml:space="preserve">variation within the Woodford </w:t>
      </w:r>
      <w:r w:rsidR="006404ED">
        <w:t>S</w:t>
      </w:r>
      <w:r w:rsidRPr="00C21A7F">
        <w:t>hale internal vertical stratigraphy. The total data correspond</w:t>
      </w:r>
      <w:r w:rsidR="00E604FA">
        <w:t>s</w:t>
      </w:r>
      <w:r w:rsidRPr="00C21A7F">
        <w:t xml:space="preserve"> to 440 core sample measurements, 46 </w:t>
      </w:r>
      <w:r w:rsidR="00CA3FED">
        <w:t>c</w:t>
      </w:r>
      <w:r w:rsidRPr="00C21A7F">
        <w:t>utting sample measurements</w:t>
      </w:r>
      <w:r w:rsidR="00705E5E">
        <w:t>,</w:t>
      </w:r>
      <w:r w:rsidRPr="00C21A7F">
        <w:t xml:space="preserve"> and 67 sample outcrop measurements for a total of 553 Rock</w:t>
      </w:r>
      <w:r w:rsidR="00E73B13">
        <w:t>-</w:t>
      </w:r>
      <w:r w:rsidRPr="00C21A7F">
        <w:t xml:space="preserve">Eval data points. </w:t>
      </w:r>
    </w:p>
    <w:p w14:paraId="137BDDC6" w14:textId="7EC1416E" w:rsidR="0038797D" w:rsidRPr="00C21A7F" w:rsidRDefault="0038797D" w:rsidP="009349D2">
      <w:pPr>
        <w:rPr>
          <w:b/>
        </w:rPr>
      </w:pPr>
      <w:r w:rsidRPr="00C21A7F">
        <w:rPr>
          <w:b/>
        </w:rPr>
        <w:t>Wyche-1 Core. Pontotoc Co.</w:t>
      </w:r>
    </w:p>
    <w:p w14:paraId="11F7B9A4" w14:textId="01C9A548" w:rsidR="0038797D" w:rsidRPr="00C21A7F" w:rsidRDefault="0038797D" w:rsidP="004341DC">
      <w:pPr>
        <w:spacing w:after="0"/>
        <w:ind w:firstLine="720"/>
      </w:pPr>
      <w:r w:rsidRPr="00C21A7F">
        <w:t>The Wyche-1 core is a core</w:t>
      </w:r>
      <w:r w:rsidR="00EE0897" w:rsidRPr="00C21A7F">
        <w:t xml:space="preserve"> </w:t>
      </w:r>
      <w:r w:rsidRPr="00C21A7F">
        <w:t xml:space="preserve">drilled behind an outcrop in the Wyche Farm </w:t>
      </w:r>
      <w:r w:rsidR="00A974A0">
        <w:t>q</w:t>
      </w:r>
      <w:r w:rsidRPr="00C21A7F">
        <w:t xml:space="preserve">uarry located in Pontotoc Co, Oklahoma. TOC varies from 3.67% to 16.9%. Data points from </w:t>
      </w:r>
      <w:r w:rsidR="003935A9" w:rsidRPr="00C21A7F">
        <w:t>Miceli</w:t>
      </w:r>
      <w:r w:rsidRPr="00C21A7F">
        <w:t xml:space="preserve"> (2010) and Connock (2015).</w:t>
      </w:r>
    </w:p>
    <w:p w14:paraId="0977B163" w14:textId="1B899A1F" w:rsidR="0038797D" w:rsidRPr="00C21A7F" w:rsidRDefault="00987AD1" w:rsidP="004341DC">
      <w:pPr>
        <w:spacing w:after="0"/>
        <w:jc w:val="center"/>
      </w:pPr>
      <w:r w:rsidRPr="001E7D67">
        <w:rPr>
          <w:noProof/>
        </w:rPr>
        <w:lastRenderedPageBreak/>
        <w:drawing>
          <wp:inline distT="0" distB="0" distL="0" distR="0" wp14:anchorId="633A230E" wp14:editId="52D7C498">
            <wp:extent cx="5196697" cy="6981093"/>
            <wp:effectExtent l="0" t="0" r="4445" b="0"/>
            <wp:docPr id="8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206044" cy="6993650"/>
                    </a:xfrm>
                    <a:prstGeom prst="rect">
                      <a:avLst/>
                    </a:prstGeom>
                    <a:noFill/>
                    <a:ln>
                      <a:noFill/>
                    </a:ln>
                  </pic:spPr>
                </pic:pic>
              </a:graphicData>
            </a:graphic>
          </wp:inline>
        </w:drawing>
      </w:r>
    </w:p>
    <w:p w14:paraId="4FDCD444" w14:textId="569942E7" w:rsidR="0038797D" w:rsidRPr="00C21A7F" w:rsidRDefault="0038797D" w:rsidP="004341DC">
      <w:pPr>
        <w:pStyle w:val="Caption"/>
      </w:pPr>
      <w:bookmarkStart w:id="493" w:name="_Toc35861275"/>
      <w:r w:rsidRPr="00C21A7F">
        <w:rPr>
          <w:b/>
        </w:rPr>
        <w:t xml:space="preserve">Figure </w:t>
      </w:r>
      <w:r w:rsidR="008054AB">
        <w:rPr>
          <w:b/>
        </w:rPr>
        <w:t>B</w:t>
      </w:r>
      <w:r w:rsidR="007F4268" w:rsidRPr="00C21A7F">
        <w:rPr>
          <w:b/>
        </w:rPr>
        <w:t>.</w:t>
      </w:r>
      <w:r w:rsidR="00A4362C">
        <w:rPr>
          <w:b/>
        </w:rPr>
        <w:t>10</w:t>
      </w:r>
      <w:r w:rsidRPr="00C21A7F">
        <w:rPr>
          <w:b/>
        </w:rPr>
        <w:t xml:space="preserve">. </w:t>
      </w:r>
      <w:r w:rsidRPr="00C21A7F">
        <w:t xml:space="preserve">TOC, </w:t>
      </w:r>
      <w:r w:rsidR="006404ED">
        <w:t>r</w:t>
      </w:r>
      <w:r w:rsidRPr="00C21A7F">
        <w:t xml:space="preserve">elative </w:t>
      </w:r>
      <w:r w:rsidR="006404ED">
        <w:t>h</w:t>
      </w:r>
      <w:r w:rsidRPr="00C21A7F">
        <w:t xml:space="preserve">ydrocarbon </w:t>
      </w:r>
      <w:r w:rsidR="006404ED">
        <w:t>p</w:t>
      </w:r>
      <w:r w:rsidRPr="00C21A7F">
        <w:t>otential (RHP)</w:t>
      </w:r>
      <w:r w:rsidR="00E73B13">
        <w:t>,</w:t>
      </w:r>
      <w:r w:rsidRPr="00C21A7F">
        <w:t xml:space="preserve"> and Tmax maturity variations along</w:t>
      </w:r>
      <w:r w:rsidR="00E73B13">
        <w:t xml:space="preserve"> with</w:t>
      </w:r>
      <w:r w:rsidRPr="00C21A7F">
        <w:t xml:space="preserve"> the Wyche-1 core. </w:t>
      </w:r>
      <w:r w:rsidR="00E73B13">
        <w:t>The p</w:t>
      </w:r>
      <w:r w:rsidRPr="00C21A7F">
        <w:t xml:space="preserve">urple dashed horizontal lines correspond to Woodford Shale member tops, and brown dashed horizontal line corresponds to the top of a maximum flooding surface (SB) and start of the </w:t>
      </w:r>
      <w:r w:rsidR="00165039">
        <w:t>h</w:t>
      </w:r>
      <w:r w:rsidRPr="00C21A7F">
        <w:t xml:space="preserve">ighstand </w:t>
      </w:r>
      <w:r w:rsidR="00165039">
        <w:t>s</w:t>
      </w:r>
      <w:r w:rsidRPr="00C21A7F">
        <w:t xml:space="preserve">ystem tract (HST) facies towards the Woodford </w:t>
      </w:r>
      <w:r w:rsidR="006404ED">
        <w:t>S</w:t>
      </w:r>
      <w:r w:rsidRPr="00C21A7F">
        <w:t>hale top. All samples are immature (Tmax &lt; 435 °C) with an average of 422°C of Tmax.</w:t>
      </w:r>
      <w:bookmarkEnd w:id="493"/>
    </w:p>
    <w:p w14:paraId="65C82279" w14:textId="2972D221" w:rsidR="0038797D" w:rsidRPr="00C21A7F" w:rsidRDefault="00987AD1" w:rsidP="004341DC">
      <w:pPr>
        <w:jc w:val="center"/>
        <w:rPr>
          <w:b/>
        </w:rPr>
      </w:pPr>
      <w:r w:rsidRPr="001E7D67">
        <w:rPr>
          <w:noProof/>
        </w:rPr>
        <w:lastRenderedPageBreak/>
        <w:drawing>
          <wp:inline distT="0" distB="0" distL="0" distR="0" wp14:anchorId="17E5C7DB" wp14:editId="4DD61866">
            <wp:extent cx="5130800" cy="6477000"/>
            <wp:effectExtent l="0" t="0" r="0" b="0"/>
            <wp:docPr id="80"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130800" cy="6477000"/>
                    </a:xfrm>
                    <a:prstGeom prst="rect">
                      <a:avLst/>
                    </a:prstGeom>
                    <a:noFill/>
                    <a:ln>
                      <a:noFill/>
                    </a:ln>
                  </pic:spPr>
                </pic:pic>
              </a:graphicData>
            </a:graphic>
          </wp:inline>
        </w:drawing>
      </w:r>
    </w:p>
    <w:p w14:paraId="49DF59C4" w14:textId="3EBA14D1" w:rsidR="0038797D" w:rsidRPr="00C21A7F" w:rsidRDefault="0038797D" w:rsidP="004341DC">
      <w:pPr>
        <w:pStyle w:val="Caption"/>
      </w:pPr>
      <w:bookmarkStart w:id="494" w:name="_Toc35861276"/>
      <w:r w:rsidRPr="00C21A7F">
        <w:rPr>
          <w:b/>
        </w:rPr>
        <w:t xml:space="preserve">Figure </w:t>
      </w:r>
      <w:r w:rsidR="008054AB">
        <w:rPr>
          <w:b/>
        </w:rPr>
        <w:t>B.1</w:t>
      </w:r>
      <w:r w:rsidR="00A4362C">
        <w:rPr>
          <w:b/>
        </w:rPr>
        <w:t>1</w:t>
      </w:r>
      <w:r w:rsidRPr="00C21A7F">
        <w:rPr>
          <w:b/>
        </w:rPr>
        <w:t xml:space="preserve">. </w:t>
      </w:r>
      <w:r w:rsidRPr="00C21A7F">
        <w:t xml:space="preserve">Modified pseudo </w:t>
      </w:r>
      <w:r w:rsidR="00624168">
        <w:t>v</w:t>
      </w:r>
      <w:r w:rsidRPr="00C21A7F">
        <w:t xml:space="preserve">an Krevelen diagram for all the 59 core samples of Woodford </w:t>
      </w:r>
      <w:r w:rsidR="006404ED">
        <w:t>S</w:t>
      </w:r>
      <w:r w:rsidRPr="00C21A7F">
        <w:t xml:space="preserve">hale Wyche-1 core. The diagram shows that the source rock intervals are dominated by apparent </w:t>
      </w:r>
      <w:r w:rsidR="00624168">
        <w:t>t</w:t>
      </w:r>
      <w:r w:rsidRPr="00C21A7F">
        <w:t xml:space="preserve">ype I and </w:t>
      </w:r>
      <w:r w:rsidR="00624168">
        <w:t>t</w:t>
      </w:r>
      <w:r w:rsidRPr="00C21A7F">
        <w:t xml:space="preserve">ype II kerogen. There are no samples which plot in the </w:t>
      </w:r>
      <w:r w:rsidR="00624168">
        <w:t>t</w:t>
      </w:r>
      <w:r w:rsidRPr="00C21A7F">
        <w:t xml:space="preserve">ype III area, maybe because the core is immature and usually </w:t>
      </w:r>
      <w:r w:rsidR="00E73B13">
        <w:t xml:space="preserve">the </w:t>
      </w:r>
      <w:r w:rsidR="00624168">
        <w:t>h</w:t>
      </w:r>
      <w:r w:rsidRPr="00C21A7F">
        <w:t xml:space="preserve">ydrogen </w:t>
      </w:r>
      <w:r w:rsidR="00624168">
        <w:t>i</w:t>
      </w:r>
      <w:r w:rsidRPr="00C21A7F">
        <w:t>ndex gets depleted with thermal cracking</w:t>
      </w:r>
      <w:r w:rsidR="00E73B13">
        <w:t>,</w:t>
      </w:r>
      <w:r w:rsidRPr="00C21A7F">
        <w:t xml:space="preserve"> and these core samples are showing original conditions of the organic matter types. All three Woodford </w:t>
      </w:r>
      <w:r w:rsidR="006404ED">
        <w:t>S</w:t>
      </w:r>
      <w:r w:rsidRPr="00C21A7F">
        <w:t xml:space="preserve">hale members have apparent </w:t>
      </w:r>
      <w:r w:rsidR="00624168">
        <w:t>t</w:t>
      </w:r>
      <w:r w:rsidRPr="00C21A7F">
        <w:t>ype I kerogen samples. Tmax average</w:t>
      </w:r>
      <w:r w:rsidR="00E73B13">
        <w:t xml:space="preserve"> of</w:t>
      </w:r>
      <w:r w:rsidRPr="00C21A7F">
        <w:t xml:space="preserve"> 422 ⁰C.</w:t>
      </w:r>
      <w:bookmarkEnd w:id="494"/>
    </w:p>
    <w:p w14:paraId="18839DEE" w14:textId="28E4AF0C" w:rsidR="0038797D" w:rsidRDefault="00987AD1" w:rsidP="009349D2">
      <w:r w:rsidRPr="001E7D67">
        <w:rPr>
          <w:noProof/>
        </w:rPr>
        <w:lastRenderedPageBreak/>
        <w:drawing>
          <wp:inline distT="0" distB="0" distL="0" distR="0" wp14:anchorId="500F3625" wp14:editId="07E9A17B">
            <wp:extent cx="5702300" cy="3873500"/>
            <wp:effectExtent l="0" t="0" r="0" b="0"/>
            <wp:docPr id="79"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02300" cy="3873500"/>
                    </a:xfrm>
                    <a:prstGeom prst="rect">
                      <a:avLst/>
                    </a:prstGeom>
                    <a:noFill/>
                    <a:ln>
                      <a:noFill/>
                    </a:ln>
                  </pic:spPr>
                </pic:pic>
              </a:graphicData>
            </a:graphic>
          </wp:inline>
        </w:drawing>
      </w:r>
    </w:p>
    <w:p w14:paraId="0C4E7241" w14:textId="14A0CD73" w:rsidR="0038797D" w:rsidRPr="00C21A7F" w:rsidRDefault="0038797D" w:rsidP="004341DC">
      <w:pPr>
        <w:pStyle w:val="Caption"/>
      </w:pPr>
      <w:bookmarkStart w:id="495" w:name="_Toc35861277"/>
      <w:r w:rsidRPr="00C21A7F">
        <w:rPr>
          <w:b/>
        </w:rPr>
        <w:t xml:space="preserve">Figure </w:t>
      </w:r>
      <w:r w:rsidR="008054AB">
        <w:rPr>
          <w:b/>
        </w:rPr>
        <w:t>B</w:t>
      </w:r>
      <w:r w:rsidR="007F4268" w:rsidRPr="00C21A7F">
        <w:rPr>
          <w:b/>
        </w:rPr>
        <w:t>.1</w:t>
      </w:r>
      <w:r w:rsidR="00A4362C">
        <w:rPr>
          <w:b/>
        </w:rPr>
        <w:t>2</w:t>
      </w:r>
      <w:r w:rsidRPr="00C21A7F">
        <w:rPr>
          <w:b/>
        </w:rPr>
        <w:t xml:space="preserve">. </w:t>
      </w:r>
      <w:r w:rsidRPr="00C21A7F">
        <w:t>Rock</w:t>
      </w:r>
      <w:r w:rsidR="00E73B13">
        <w:t>-</w:t>
      </w:r>
      <w:r w:rsidRPr="00C21A7F">
        <w:t xml:space="preserve">Eval </w:t>
      </w:r>
      <w:r w:rsidR="00624168">
        <w:t>r</w:t>
      </w:r>
      <w:r w:rsidRPr="00C21A7F">
        <w:t xml:space="preserve">emaining </w:t>
      </w:r>
      <w:r w:rsidR="00624168">
        <w:t>h</w:t>
      </w:r>
      <w:r w:rsidRPr="00C21A7F">
        <w:t xml:space="preserve">ydrocarbon </w:t>
      </w:r>
      <w:r w:rsidR="00624168">
        <w:t>p</w:t>
      </w:r>
      <w:r w:rsidRPr="00C21A7F">
        <w:t xml:space="preserve">otential (S2) vs. TOC plot for determination of kerogen type and maturity for all the 59 Wyche-1 Woodford </w:t>
      </w:r>
      <w:r w:rsidR="00BC4F79">
        <w:t>S</w:t>
      </w:r>
      <w:r w:rsidRPr="00C21A7F">
        <w:t xml:space="preserve">hale core samples. Note that most of the samples plot in the </w:t>
      </w:r>
      <w:r w:rsidR="00624168">
        <w:t>t</w:t>
      </w:r>
      <w:r w:rsidRPr="00C21A7F">
        <w:t xml:space="preserve">ype II </w:t>
      </w:r>
      <w:r w:rsidR="00624168">
        <w:t>k</w:t>
      </w:r>
      <w:r w:rsidRPr="00C21A7F">
        <w:t>erogen area</w:t>
      </w:r>
      <w:r w:rsidR="00E73B13">
        <w:t>,</w:t>
      </w:r>
      <w:r w:rsidRPr="00C21A7F">
        <w:t xml:space="preserve"> but some are in the </w:t>
      </w:r>
      <w:r w:rsidR="00624168">
        <w:t>t</w:t>
      </w:r>
      <w:r w:rsidRPr="00C21A7F">
        <w:t xml:space="preserve">ype I kerogen yield, mainly for the </w:t>
      </w:r>
      <w:r w:rsidR="001F1BFF">
        <w:t>U</w:t>
      </w:r>
      <w:r w:rsidRPr="00C21A7F">
        <w:t xml:space="preserve">pper Woodford member and one for the Middle and one sample for the Lower member. There is not any apparent </w:t>
      </w:r>
      <w:r w:rsidR="00624168">
        <w:t>t</w:t>
      </w:r>
      <w:r w:rsidRPr="00C21A7F">
        <w:t>ype III kerogen because of the depletion of S2 by the thermal cracking. Also</w:t>
      </w:r>
      <w:r w:rsidR="00E73B13">
        <w:t>,</w:t>
      </w:r>
      <w:r w:rsidRPr="00C21A7F">
        <w:t xml:space="preserve"> </w:t>
      </w:r>
      <w:r w:rsidR="00E73B13">
        <w:t xml:space="preserve">no samples </w:t>
      </w:r>
      <w:r w:rsidRPr="00C21A7F">
        <w:t>plot</w:t>
      </w:r>
      <w:r w:rsidR="00AC70EA">
        <w:t xml:space="preserve"> </w:t>
      </w:r>
      <w:r w:rsidRPr="00C21A7F">
        <w:t xml:space="preserve">in the </w:t>
      </w:r>
      <w:r w:rsidR="00E73B13">
        <w:t>lean organic</w:t>
      </w:r>
      <w:r w:rsidRPr="00C21A7F">
        <w:t xml:space="preserve"> area.</w:t>
      </w:r>
      <w:bookmarkEnd w:id="495"/>
    </w:p>
    <w:p w14:paraId="3881E355" w14:textId="77777777" w:rsidR="0038797D" w:rsidRPr="00C21A7F" w:rsidRDefault="0038797D" w:rsidP="009349D2">
      <w:pPr>
        <w:rPr>
          <w:b/>
        </w:rPr>
      </w:pPr>
    </w:p>
    <w:p w14:paraId="69FB04CD" w14:textId="20FD02F9" w:rsidR="0038797D" w:rsidRPr="00C21A7F" w:rsidRDefault="0038797D" w:rsidP="009349D2">
      <w:pPr>
        <w:rPr>
          <w:b/>
        </w:rPr>
      </w:pPr>
      <w:r w:rsidRPr="00C21A7F">
        <w:rPr>
          <w:b/>
        </w:rPr>
        <w:t>East Fitts 9-41 well. Pontotoc Co.</w:t>
      </w:r>
    </w:p>
    <w:p w14:paraId="769FF15A" w14:textId="38E2A711" w:rsidR="0038797D" w:rsidRPr="00C21A7F" w:rsidRDefault="0038797D" w:rsidP="004341DC">
      <w:pPr>
        <w:ind w:firstLine="720"/>
      </w:pPr>
      <w:r w:rsidRPr="00C21A7F">
        <w:t xml:space="preserve">The East Fitts 9-41 core is located in Pontotoc Co, Oklahoma. Only samples from the Woodford </w:t>
      </w:r>
      <w:r w:rsidR="00BC4F79">
        <w:t>S</w:t>
      </w:r>
      <w:r w:rsidRPr="00C21A7F">
        <w:t xml:space="preserve">hale </w:t>
      </w:r>
      <w:r w:rsidR="001F1BFF">
        <w:t>M</w:t>
      </w:r>
      <w:r w:rsidRPr="00C21A7F">
        <w:t xml:space="preserve">iddle and </w:t>
      </w:r>
      <w:r w:rsidR="001F1BFF">
        <w:t>L</w:t>
      </w:r>
      <w:r w:rsidRPr="00C21A7F">
        <w:t xml:space="preserve">ower members were </w:t>
      </w:r>
      <w:r w:rsidR="00624168">
        <w:t>obtained and measured by Miceli-Romero</w:t>
      </w:r>
      <w:r w:rsidRPr="00C21A7F">
        <w:t xml:space="preserve"> (2010). TOC varies from 1.18% to 16.48% </w:t>
      </w:r>
      <w:r w:rsidR="00F03FE3" w:rsidRPr="00C21A7F">
        <w:t>wt.</w:t>
      </w:r>
      <w:r w:rsidRPr="00C21A7F">
        <w:t xml:space="preserve"> (Figure </w:t>
      </w:r>
      <w:r w:rsidR="008054AB">
        <w:t>B</w:t>
      </w:r>
      <w:r w:rsidR="007E4118">
        <w:t>.1</w:t>
      </w:r>
      <w:r w:rsidR="00A4362C">
        <w:t>3</w:t>
      </w:r>
      <w:r w:rsidRPr="00C21A7F">
        <w:t xml:space="preserve">). </w:t>
      </w:r>
    </w:p>
    <w:p w14:paraId="70FAF810" w14:textId="1563E18C" w:rsidR="0038797D" w:rsidRDefault="00987AD1" w:rsidP="004341DC">
      <w:pPr>
        <w:jc w:val="center"/>
      </w:pPr>
      <w:r w:rsidRPr="001E7D67">
        <w:rPr>
          <w:noProof/>
        </w:rPr>
        <w:lastRenderedPageBreak/>
        <w:drawing>
          <wp:inline distT="0" distB="0" distL="0" distR="0" wp14:anchorId="5976246F" wp14:editId="1897DF72">
            <wp:extent cx="5676900" cy="6604000"/>
            <wp:effectExtent l="0" t="0" r="0" b="0"/>
            <wp:docPr id="78"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676900" cy="6604000"/>
                    </a:xfrm>
                    <a:prstGeom prst="rect">
                      <a:avLst/>
                    </a:prstGeom>
                    <a:noFill/>
                    <a:ln>
                      <a:noFill/>
                    </a:ln>
                  </pic:spPr>
                </pic:pic>
              </a:graphicData>
            </a:graphic>
          </wp:inline>
        </w:drawing>
      </w:r>
    </w:p>
    <w:p w14:paraId="670B6D14" w14:textId="3F7EC61F" w:rsidR="0038797D" w:rsidRPr="00C21A7F" w:rsidRDefault="0038797D" w:rsidP="004341DC">
      <w:pPr>
        <w:pStyle w:val="Caption"/>
      </w:pPr>
      <w:bookmarkStart w:id="496" w:name="_Toc35861278"/>
      <w:r w:rsidRPr="00C21A7F">
        <w:rPr>
          <w:b/>
        </w:rPr>
        <w:t xml:space="preserve">Figure </w:t>
      </w:r>
      <w:r w:rsidR="008054AB">
        <w:rPr>
          <w:b/>
        </w:rPr>
        <w:t>B</w:t>
      </w:r>
      <w:r w:rsidR="00AB44FF">
        <w:rPr>
          <w:b/>
        </w:rPr>
        <w:t>.</w:t>
      </w:r>
      <w:r w:rsidR="007F4268" w:rsidRPr="00C21A7F">
        <w:rPr>
          <w:b/>
        </w:rPr>
        <w:t>1</w:t>
      </w:r>
      <w:r w:rsidR="00A4362C">
        <w:rPr>
          <w:b/>
        </w:rPr>
        <w:t>3</w:t>
      </w:r>
      <w:r w:rsidRPr="00C21A7F">
        <w:rPr>
          <w:b/>
        </w:rPr>
        <w:t xml:space="preserve">. </w:t>
      </w:r>
      <w:r w:rsidRPr="00C21A7F">
        <w:t xml:space="preserve">TOC, </w:t>
      </w:r>
      <w:r w:rsidR="00624168">
        <w:t>r</w:t>
      </w:r>
      <w:r w:rsidRPr="00C21A7F">
        <w:t xml:space="preserve">elative </w:t>
      </w:r>
      <w:r w:rsidR="00624168">
        <w:t>h</w:t>
      </w:r>
      <w:r w:rsidRPr="00C21A7F">
        <w:t xml:space="preserve">ydrocarbon </w:t>
      </w:r>
      <w:r w:rsidR="00624168">
        <w:t>p</w:t>
      </w:r>
      <w:r w:rsidRPr="00C21A7F">
        <w:t>otential (RHP)</w:t>
      </w:r>
      <w:r w:rsidR="00E73B13">
        <w:t>,</w:t>
      </w:r>
      <w:r w:rsidRPr="00C21A7F">
        <w:t xml:space="preserve"> and Tmax maturity variations along</w:t>
      </w:r>
      <w:r w:rsidR="00E73B13">
        <w:t xml:space="preserve"> with</w:t>
      </w:r>
      <w:r w:rsidRPr="00C21A7F">
        <w:t xml:space="preserve"> the East Fitts 9-41 well core. </w:t>
      </w:r>
      <w:r w:rsidR="00E73B13">
        <w:t>The p</w:t>
      </w:r>
      <w:r w:rsidRPr="00C21A7F">
        <w:t xml:space="preserve">urple dashed horizontal lines correspond to Woodford </w:t>
      </w:r>
      <w:r w:rsidR="00BC4F79">
        <w:t>S</w:t>
      </w:r>
      <w:r w:rsidRPr="00C21A7F">
        <w:t>hale</w:t>
      </w:r>
      <w:r w:rsidR="00481AAE">
        <w:t>'s</w:t>
      </w:r>
      <w:r w:rsidRPr="00C21A7F">
        <w:t xml:space="preserve"> </w:t>
      </w:r>
      <w:r w:rsidR="00481AAE">
        <w:t>L</w:t>
      </w:r>
      <w:r w:rsidRPr="00C21A7F">
        <w:t>ower member. All samples are immature (Tmax &lt; 435 °C)</w:t>
      </w:r>
      <w:r w:rsidR="00E73B13">
        <w:t>,</w:t>
      </w:r>
      <w:r w:rsidRPr="00C21A7F">
        <w:t xml:space="preserve"> with an average of 425.63°C of Tmax.</w:t>
      </w:r>
      <w:bookmarkEnd w:id="496"/>
    </w:p>
    <w:p w14:paraId="3C648E6E" w14:textId="77777777" w:rsidR="0038797D" w:rsidRPr="00C21A7F" w:rsidRDefault="0038797D" w:rsidP="009349D2"/>
    <w:p w14:paraId="660D6DBE" w14:textId="718003D6" w:rsidR="0038797D" w:rsidRPr="00C21A7F" w:rsidRDefault="00987AD1" w:rsidP="004F68A3">
      <w:pPr>
        <w:spacing w:after="0" w:line="276" w:lineRule="auto"/>
        <w:jc w:val="center"/>
      </w:pPr>
      <w:r w:rsidRPr="001E7D67">
        <w:rPr>
          <w:noProof/>
        </w:rPr>
        <w:lastRenderedPageBreak/>
        <w:drawing>
          <wp:inline distT="0" distB="0" distL="0" distR="0" wp14:anchorId="7FD58C1F" wp14:editId="2682735B">
            <wp:extent cx="4739640" cy="3430714"/>
            <wp:effectExtent l="0" t="0" r="0" b="0"/>
            <wp:docPr id="77"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747209" cy="3436193"/>
                    </a:xfrm>
                    <a:prstGeom prst="rect">
                      <a:avLst/>
                    </a:prstGeom>
                    <a:noFill/>
                    <a:ln>
                      <a:noFill/>
                    </a:ln>
                  </pic:spPr>
                </pic:pic>
              </a:graphicData>
            </a:graphic>
          </wp:inline>
        </w:drawing>
      </w:r>
    </w:p>
    <w:p w14:paraId="2C37FADA" w14:textId="38087895" w:rsidR="0038797D" w:rsidRPr="00C21A7F" w:rsidRDefault="0038797D" w:rsidP="004341DC">
      <w:pPr>
        <w:pStyle w:val="Caption"/>
      </w:pPr>
      <w:bookmarkStart w:id="497" w:name="_Toc35861279"/>
      <w:r w:rsidRPr="00C21A7F">
        <w:rPr>
          <w:b/>
        </w:rPr>
        <w:t xml:space="preserve">Figure </w:t>
      </w:r>
      <w:r w:rsidR="008054AB">
        <w:rPr>
          <w:b/>
        </w:rPr>
        <w:t>B</w:t>
      </w:r>
      <w:r w:rsidR="007F4268" w:rsidRPr="00C21A7F">
        <w:rPr>
          <w:b/>
        </w:rPr>
        <w:t>.</w:t>
      </w:r>
      <w:r w:rsidR="00624168">
        <w:rPr>
          <w:b/>
        </w:rPr>
        <w:t>1</w:t>
      </w:r>
      <w:r w:rsidR="00A4362C">
        <w:rPr>
          <w:b/>
        </w:rPr>
        <w:t>4</w:t>
      </w:r>
      <w:r w:rsidRPr="00C21A7F">
        <w:rPr>
          <w:b/>
        </w:rPr>
        <w:t xml:space="preserve">. </w:t>
      </w:r>
      <w:r w:rsidRPr="00C21A7F">
        <w:t xml:space="preserve">Modified pseudo </w:t>
      </w:r>
      <w:r w:rsidR="00624168">
        <w:t>v</w:t>
      </w:r>
      <w:r w:rsidRPr="00C21A7F">
        <w:t>an Krevelen diagram for all the 59 core samples of Woodford Shale East Fitts 9-41 core. Note that all t</w:t>
      </w:r>
      <w:r w:rsidR="00624168">
        <w:t>he samples plot in an apparent t</w:t>
      </w:r>
      <w:r w:rsidRPr="00C21A7F">
        <w:t>ype I kerogen</w:t>
      </w:r>
      <w:r w:rsidR="00624168">
        <w:t>.</w:t>
      </w:r>
      <w:bookmarkEnd w:id="497"/>
    </w:p>
    <w:p w14:paraId="7A9F3517" w14:textId="114EEC1D" w:rsidR="0038797D" w:rsidRPr="00C21A7F" w:rsidRDefault="00987AD1" w:rsidP="004F68A3">
      <w:pPr>
        <w:spacing w:after="0" w:line="276" w:lineRule="auto"/>
        <w:jc w:val="center"/>
      </w:pPr>
      <w:r w:rsidRPr="001E7D67">
        <w:rPr>
          <w:noProof/>
        </w:rPr>
        <w:drawing>
          <wp:inline distT="0" distB="0" distL="0" distR="0" wp14:anchorId="159AC550" wp14:editId="50569218">
            <wp:extent cx="5387340" cy="2887980"/>
            <wp:effectExtent l="0" t="0" r="0" b="7620"/>
            <wp:docPr id="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6"/>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447635" cy="2920302"/>
                    </a:xfrm>
                    <a:prstGeom prst="rect">
                      <a:avLst/>
                    </a:prstGeom>
                    <a:noFill/>
                    <a:ln>
                      <a:noFill/>
                    </a:ln>
                  </pic:spPr>
                </pic:pic>
              </a:graphicData>
            </a:graphic>
          </wp:inline>
        </w:drawing>
      </w:r>
    </w:p>
    <w:p w14:paraId="142FC100" w14:textId="73A9B202" w:rsidR="00E047CB" w:rsidRPr="00C21A7F" w:rsidRDefault="0038797D" w:rsidP="004341DC">
      <w:pPr>
        <w:pStyle w:val="Caption"/>
      </w:pPr>
      <w:bookmarkStart w:id="498" w:name="_Toc35861280"/>
      <w:r w:rsidRPr="00C21A7F">
        <w:rPr>
          <w:b/>
        </w:rPr>
        <w:t xml:space="preserve">Figure </w:t>
      </w:r>
      <w:r w:rsidR="008054AB">
        <w:rPr>
          <w:b/>
        </w:rPr>
        <w:t>B</w:t>
      </w:r>
      <w:r w:rsidR="007F4268" w:rsidRPr="00C21A7F">
        <w:rPr>
          <w:b/>
        </w:rPr>
        <w:t>.1</w:t>
      </w:r>
      <w:r w:rsidR="00A4362C">
        <w:rPr>
          <w:b/>
        </w:rPr>
        <w:t>5</w:t>
      </w:r>
      <w:r w:rsidRPr="00C21A7F">
        <w:rPr>
          <w:b/>
        </w:rPr>
        <w:t xml:space="preserve">. </w:t>
      </w:r>
      <w:r w:rsidRPr="00C21A7F">
        <w:t>Rock</w:t>
      </w:r>
      <w:r w:rsidR="005071D6">
        <w:t>-</w:t>
      </w:r>
      <w:r w:rsidRPr="00C21A7F">
        <w:t xml:space="preserve">Eval </w:t>
      </w:r>
      <w:r w:rsidR="00624168">
        <w:t>r</w:t>
      </w:r>
      <w:r w:rsidRPr="00C21A7F">
        <w:t xml:space="preserve">emaining </w:t>
      </w:r>
      <w:r w:rsidR="00624168">
        <w:t>h</w:t>
      </w:r>
      <w:r w:rsidRPr="00C21A7F">
        <w:t xml:space="preserve">ydrocarbon </w:t>
      </w:r>
      <w:r w:rsidR="00624168">
        <w:t>p</w:t>
      </w:r>
      <w:r w:rsidRPr="00C21A7F">
        <w:t xml:space="preserve">otential (S2) vs. TOC plot for determination of kerogen type and maturity for all the 22 East Fitts 9-41 Woodford </w:t>
      </w:r>
      <w:r w:rsidR="00A616E1">
        <w:t>S</w:t>
      </w:r>
      <w:r w:rsidRPr="00C21A7F">
        <w:t xml:space="preserve">hale core samples. Note that most of the samples plot in the </w:t>
      </w:r>
      <w:r w:rsidR="00624168">
        <w:t>t</w:t>
      </w:r>
      <w:r w:rsidRPr="00C21A7F">
        <w:t xml:space="preserve">ype I </w:t>
      </w:r>
      <w:r w:rsidR="00624168">
        <w:t>k</w:t>
      </w:r>
      <w:r w:rsidRPr="00C21A7F">
        <w:t xml:space="preserve">erogen for the </w:t>
      </w:r>
      <w:r w:rsidR="00310AC9">
        <w:t>L</w:t>
      </w:r>
      <w:r w:rsidRPr="00C21A7F">
        <w:t xml:space="preserve">ower Woodford member, and </w:t>
      </w:r>
      <w:r w:rsidR="00624168">
        <w:t>t</w:t>
      </w:r>
      <w:r w:rsidRPr="00C21A7F">
        <w:t xml:space="preserve">ype II kerogen yield mainly for the </w:t>
      </w:r>
      <w:r w:rsidR="001F1BFF">
        <w:t>M</w:t>
      </w:r>
      <w:r w:rsidRPr="00C21A7F">
        <w:t xml:space="preserve">iddle Woodford member. There is not any apparent </w:t>
      </w:r>
      <w:r w:rsidR="00624168">
        <w:t>t</w:t>
      </w:r>
      <w:r w:rsidRPr="00C21A7F">
        <w:t xml:space="preserve">ype III kerogen because </w:t>
      </w:r>
      <w:r w:rsidR="005071D6">
        <w:t xml:space="preserve">the </w:t>
      </w:r>
      <w:r w:rsidRPr="00C21A7F">
        <w:t>depletion of S2 by the thermal cracking is absent due to the low maturity of the samples. Also</w:t>
      </w:r>
      <w:r w:rsidR="005071D6">
        <w:t>,</w:t>
      </w:r>
      <w:r w:rsidRPr="00C21A7F">
        <w:t xml:space="preserve"> there is one sample that plots in the </w:t>
      </w:r>
      <w:r w:rsidR="005071D6">
        <w:t>lean organic</w:t>
      </w:r>
      <w:r w:rsidRPr="00C21A7F">
        <w:t xml:space="preserve"> area of the </w:t>
      </w:r>
      <w:r w:rsidR="00310AC9">
        <w:t>L</w:t>
      </w:r>
      <w:r w:rsidRPr="00C21A7F">
        <w:t>ower Woodford member.</w:t>
      </w:r>
      <w:bookmarkEnd w:id="498"/>
    </w:p>
    <w:p w14:paraId="3A4F278C" w14:textId="05E692D0" w:rsidR="0038797D" w:rsidRPr="00C21A7F" w:rsidRDefault="0038797D" w:rsidP="009349D2">
      <w:r w:rsidRPr="00C21A7F">
        <w:rPr>
          <w:b/>
        </w:rPr>
        <w:lastRenderedPageBreak/>
        <w:t>Ridenour 1-20H. Canadian Co.</w:t>
      </w:r>
    </w:p>
    <w:p w14:paraId="3AAFA986" w14:textId="36CE806F" w:rsidR="0038797D" w:rsidRPr="00C21A7F" w:rsidRDefault="0038797D" w:rsidP="004341DC">
      <w:pPr>
        <w:spacing w:after="0"/>
        <w:ind w:firstLine="720"/>
      </w:pPr>
      <w:r w:rsidRPr="00C21A7F">
        <w:t xml:space="preserve">The Ridenour 1-20H core is located in Canadian Co, North Central Oklahoma. Samples from the Woodford </w:t>
      </w:r>
      <w:r w:rsidR="00A616E1">
        <w:t>S</w:t>
      </w:r>
      <w:r w:rsidRPr="00C21A7F">
        <w:t xml:space="preserve">hale </w:t>
      </w:r>
      <w:r w:rsidR="00481AAE">
        <w:t>U</w:t>
      </w:r>
      <w:r w:rsidRPr="00C21A7F">
        <w:t xml:space="preserve">pper, </w:t>
      </w:r>
      <w:r w:rsidR="00481AAE">
        <w:t>M</w:t>
      </w:r>
      <w:r w:rsidRPr="00C21A7F">
        <w:t>iddle</w:t>
      </w:r>
      <w:r w:rsidR="00481AAE">
        <w:t>,</w:t>
      </w:r>
      <w:r w:rsidRPr="00C21A7F">
        <w:t xml:space="preserve"> and </w:t>
      </w:r>
      <w:r w:rsidR="00481AAE">
        <w:t>L</w:t>
      </w:r>
      <w:r w:rsidRPr="00C21A7F">
        <w:t xml:space="preserve">ower members were obtained and measured by Chain (2012) and Marathon Oil Co. TOC varies from 0.78% to 12% wt. Average Tmax of </w:t>
      </w:r>
      <w:r w:rsidR="004E5FF2">
        <w:t>480</w:t>
      </w:r>
      <w:r w:rsidRPr="00C21A7F">
        <w:t xml:space="preserve"> °C indicates that the dry gas window was reached. The high maturity levels are a key restriction to interpreting organic facies variations with this Rock</w:t>
      </w:r>
      <w:r w:rsidR="00C212CE">
        <w:t>-</w:t>
      </w:r>
      <w:r w:rsidRPr="00C21A7F">
        <w:t>Eval Pyrolysis data because the pyrolysis analysis products (</w:t>
      </w:r>
      <w:r w:rsidR="00C212CE">
        <w:t>e</w:t>
      </w:r>
      <w:r w:rsidRPr="00C21A7F">
        <w:t>specially Hydrogen Index, S1</w:t>
      </w:r>
      <w:r w:rsidR="00C212CE">
        <w:t>,</w:t>
      </w:r>
      <w:r w:rsidRPr="00C21A7F">
        <w:t xml:space="preserve"> and S2 peaks) might be depleted due to the thermal cracking of organic compounds. Not all the TOC samples were provided with Hydrogen Index and Oxygen index values, which is why the Figure </w:t>
      </w:r>
      <w:r w:rsidR="008054AB">
        <w:t>B</w:t>
      </w:r>
      <w:r w:rsidR="00AB44FF">
        <w:t>.</w:t>
      </w:r>
      <w:r w:rsidR="007F4268" w:rsidRPr="00C21A7F">
        <w:t>1</w:t>
      </w:r>
      <w:r w:rsidR="00A4362C">
        <w:t>7</w:t>
      </w:r>
      <w:r w:rsidRPr="00C21A7F">
        <w:t xml:space="preserve"> plot has fewer data points than Figure </w:t>
      </w:r>
      <w:r w:rsidR="008054AB">
        <w:t>B</w:t>
      </w:r>
      <w:r w:rsidR="00AB44FF">
        <w:t>.1</w:t>
      </w:r>
      <w:r w:rsidR="001D64C0">
        <w:t>6</w:t>
      </w:r>
      <w:r w:rsidRPr="00C21A7F">
        <w:t xml:space="preserve"> vertical plots. </w:t>
      </w:r>
    </w:p>
    <w:p w14:paraId="358336D3" w14:textId="1AA3F34C" w:rsidR="0038797D" w:rsidRPr="00C21A7F" w:rsidRDefault="00987AD1" w:rsidP="004341DC">
      <w:pPr>
        <w:spacing w:after="0" w:line="240" w:lineRule="auto"/>
        <w:jc w:val="center"/>
        <w:rPr>
          <w:b/>
        </w:rPr>
      </w:pPr>
      <w:r w:rsidRPr="001E7D67">
        <w:rPr>
          <w:noProof/>
        </w:rPr>
        <w:drawing>
          <wp:inline distT="0" distB="0" distL="0" distR="0" wp14:anchorId="1846B16E" wp14:editId="0BCD1783">
            <wp:extent cx="4016549" cy="3864502"/>
            <wp:effectExtent l="0" t="0" r="3175" b="3175"/>
            <wp:docPr id="75"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022994" cy="3870703"/>
                    </a:xfrm>
                    <a:prstGeom prst="rect">
                      <a:avLst/>
                    </a:prstGeom>
                    <a:noFill/>
                    <a:ln>
                      <a:noFill/>
                    </a:ln>
                  </pic:spPr>
                </pic:pic>
              </a:graphicData>
            </a:graphic>
          </wp:inline>
        </w:drawing>
      </w:r>
    </w:p>
    <w:p w14:paraId="05DB05A3" w14:textId="52944044" w:rsidR="0038797D" w:rsidRPr="00C21A7F" w:rsidRDefault="0038797D" w:rsidP="004341DC">
      <w:pPr>
        <w:pStyle w:val="Caption"/>
      </w:pPr>
      <w:bookmarkStart w:id="499" w:name="_Toc35861281"/>
      <w:r w:rsidRPr="00C21A7F">
        <w:rPr>
          <w:b/>
        </w:rPr>
        <w:t xml:space="preserve">Figure </w:t>
      </w:r>
      <w:r w:rsidR="008054AB">
        <w:rPr>
          <w:b/>
        </w:rPr>
        <w:t>B</w:t>
      </w:r>
      <w:r w:rsidR="007F4268" w:rsidRPr="00C21A7F">
        <w:rPr>
          <w:b/>
        </w:rPr>
        <w:t>.1</w:t>
      </w:r>
      <w:r w:rsidR="001D64C0">
        <w:rPr>
          <w:b/>
        </w:rPr>
        <w:t>6</w:t>
      </w:r>
      <w:r w:rsidRPr="00C21A7F">
        <w:rPr>
          <w:b/>
        </w:rPr>
        <w:t xml:space="preserve">. </w:t>
      </w:r>
      <w:r w:rsidRPr="00C21A7F">
        <w:t xml:space="preserve">TOC, </w:t>
      </w:r>
      <w:r w:rsidR="00624168">
        <w:t>r</w:t>
      </w:r>
      <w:r w:rsidRPr="00C21A7F">
        <w:t xml:space="preserve">elative </w:t>
      </w:r>
      <w:r w:rsidR="00624168">
        <w:t>h</w:t>
      </w:r>
      <w:r w:rsidRPr="00C21A7F">
        <w:t xml:space="preserve">ydrocarbon </w:t>
      </w:r>
      <w:r w:rsidR="00624168">
        <w:t>p</w:t>
      </w:r>
      <w:r w:rsidRPr="00C21A7F">
        <w:t>otential (RHP)</w:t>
      </w:r>
      <w:r w:rsidR="00C212CE">
        <w:t>,</w:t>
      </w:r>
      <w:r w:rsidRPr="00C21A7F">
        <w:t xml:space="preserve"> and Tmax maturity variations along</w:t>
      </w:r>
      <w:r w:rsidR="00C212CE">
        <w:t xml:space="preserve"> with</w:t>
      </w:r>
      <w:r w:rsidRPr="00C21A7F">
        <w:t xml:space="preserve"> the Ridenour Hill 1-20H well core. </w:t>
      </w:r>
      <w:r w:rsidR="00C212CE">
        <w:t>The p</w:t>
      </w:r>
      <w:r w:rsidRPr="00C21A7F">
        <w:t xml:space="preserve">urple dashed horizontal lines correspond to Woodford </w:t>
      </w:r>
      <w:r w:rsidR="00A616E1">
        <w:t>S</w:t>
      </w:r>
      <w:r w:rsidRPr="00C21A7F">
        <w:t xml:space="preserve">hale member tops and at the base to the contact with the Hunton </w:t>
      </w:r>
      <w:r w:rsidR="00624168">
        <w:t>g</w:t>
      </w:r>
      <w:r w:rsidRPr="00C21A7F">
        <w:t>roup. All samples are over-mature (Tmax &gt; 470 °C) with an average of close to 480°C of Tmax.</w:t>
      </w:r>
      <w:bookmarkEnd w:id="499"/>
    </w:p>
    <w:p w14:paraId="029E52DF" w14:textId="568572C0" w:rsidR="0038797D" w:rsidRPr="00C21A7F" w:rsidRDefault="00987AD1" w:rsidP="004341DC">
      <w:pPr>
        <w:jc w:val="center"/>
      </w:pPr>
      <w:r w:rsidRPr="001E7D67">
        <w:rPr>
          <w:noProof/>
        </w:rPr>
        <w:lastRenderedPageBreak/>
        <w:drawing>
          <wp:inline distT="0" distB="0" distL="0" distR="0" wp14:anchorId="7329924C" wp14:editId="21690F87">
            <wp:extent cx="5232400" cy="6832600"/>
            <wp:effectExtent l="0" t="0" r="0" b="0"/>
            <wp:docPr id="74"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32400" cy="6832600"/>
                    </a:xfrm>
                    <a:prstGeom prst="rect">
                      <a:avLst/>
                    </a:prstGeom>
                    <a:noFill/>
                    <a:ln>
                      <a:noFill/>
                    </a:ln>
                  </pic:spPr>
                </pic:pic>
              </a:graphicData>
            </a:graphic>
          </wp:inline>
        </w:drawing>
      </w:r>
    </w:p>
    <w:p w14:paraId="0EDDE68B" w14:textId="666EF601" w:rsidR="0038797D" w:rsidRPr="00C21A7F" w:rsidRDefault="0038797D" w:rsidP="004341DC">
      <w:pPr>
        <w:pStyle w:val="Caption"/>
      </w:pPr>
      <w:bookmarkStart w:id="500" w:name="_Toc35861282"/>
      <w:r w:rsidRPr="00C21A7F">
        <w:rPr>
          <w:b/>
        </w:rPr>
        <w:t xml:space="preserve">Figure </w:t>
      </w:r>
      <w:r w:rsidR="008054AB">
        <w:rPr>
          <w:b/>
        </w:rPr>
        <w:t>B</w:t>
      </w:r>
      <w:r w:rsidR="007F4268" w:rsidRPr="00C21A7F">
        <w:rPr>
          <w:b/>
        </w:rPr>
        <w:t>.1</w:t>
      </w:r>
      <w:r w:rsidR="001D64C0">
        <w:rPr>
          <w:b/>
        </w:rPr>
        <w:t>7</w:t>
      </w:r>
      <w:r w:rsidRPr="00C21A7F">
        <w:rPr>
          <w:b/>
        </w:rPr>
        <w:t xml:space="preserve">. </w:t>
      </w:r>
      <w:r w:rsidRPr="00C21A7F">
        <w:t xml:space="preserve">Modified pseudo </w:t>
      </w:r>
      <w:r w:rsidR="005A5645">
        <w:t>v</w:t>
      </w:r>
      <w:r w:rsidRPr="00C21A7F">
        <w:t xml:space="preserve">an Krevelen diagram for the core samples of Woodford </w:t>
      </w:r>
      <w:r w:rsidR="00A616E1">
        <w:t>S</w:t>
      </w:r>
      <w:r w:rsidRPr="00C21A7F">
        <w:t xml:space="preserve">hale Ridenour Hill 1-20H core. The diagram shows the source rock intervals are dominated by apparent </w:t>
      </w:r>
      <w:r w:rsidR="005A5645">
        <w:t>t</w:t>
      </w:r>
      <w:r w:rsidRPr="00C21A7F">
        <w:t>ype III kerogen, but this is an artifact due to the high thermal maturity level reached in this location.  Usually</w:t>
      </w:r>
      <w:r w:rsidR="00C212CE">
        <w:t>,</w:t>
      </w:r>
      <w:r w:rsidRPr="00C21A7F">
        <w:t xml:space="preserve"> </w:t>
      </w:r>
      <w:r w:rsidR="004E5FF2">
        <w:t xml:space="preserve">the </w:t>
      </w:r>
      <w:r w:rsidR="005A5645">
        <w:t>h</w:t>
      </w:r>
      <w:r w:rsidRPr="00C21A7F">
        <w:t xml:space="preserve">ydrogen </w:t>
      </w:r>
      <w:r w:rsidR="005A5645">
        <w:t>i</w:t>
      </w:r>
      <w:r w:rsidRPr="00C21A7F">
        <w:t>ndex becomes depleted with thermal cracking</w:t>
      </w:r>
      <w:r w:rsidR="00C212CE">
        <w:t>,</w:t>
      </w:r>
      <w:r w:rsidRPr="00C21A7F">
        <w:t xml:space="preserve"> and these core samples are not showing original conditions of the organic matter types. For this reason, the </w:t>
      </w:r>
      <w:r w:rsidR="004E5FF2">
        <w:t>R</w:t>
      </w:r>
      <w:r w:rsidRPr="00C21A7F">
        <w:t>ock</w:t>
      </w:r>
      <w:r w:rsidR="004E5FF2">
        <w:t>-E</w:t>
      </w:r>
      <w:r w:rsidRPr="00C21A7F">
        <w:t>val pyrolysis analysis is not a good indicator of organic facies within this core.</w:t>
      </w:r>
      <w:bookmarkEnd w:id="500"/>
    </w:p>
    <w:p w14:paraId="09D0B5DE" w14:textId="4AAFC228" w:rsidR="0038797D" w:rsidRPr="00C21A7F" w:rsidRDefault="0038797D" w:rsidP="009349D2">
      <w:pPr>
        <w:rPr>
          <w:b/>
        </w:rPr>
      </w:pPr>
      <w:r w:rsidRPr="00C21A7F">
        <w:rPr>
          <w:b/>
        </w:rPr>
        <w:lastRenderedPageBreak/>
        <w:t xml:space="preserve">McAlister Quarry, Carter Co. </w:t>
      </w:r>
    </w:p>
    <w:p w14:paraId="244A4455" w14:textId="7AC1924F" w:rsidR="0038797D" w:rsidRPr="00C21A7F" w:rsidRDefault="0038797D" w:rsidP="004341DC">
      <w:pPr>
        <w:spacing w:after="0"/>
        <w:ind w:firstLine="720"/>
      </w:pPr>
      <w:r w:rsidRPr="00C21A7F">
        <w:t xml:space="preserve">The McAlester quarry is an outcrop that exposes the complete Woodford </w:t>
      </w:r>
      <w:r w:rsidR="00A616E1">
        <w:t>S</w:t>
      </w:r>
      <w:r w:rsidRPr="00C21A7F">
        <w:t>hale section. This outcrop is located in Carter Co</w:t>
      </w:r>
      <w:r w:rsidR="007702F1">
        <w:t>unty</w:t>
      </w:r>
      <w:r w:rsidRPr="00C21A7F">
        <w:t xml:space="preserve">, </w:t>
      </w:r>
      <w:r w:rsidR="0040621C">
        <w:t>s</w:t>
      </w:r>
      <w:r w:rsidRPr="00C21A7F">
        <w:t>outheast Oklahoma</w:t>
      </w:r>
      <w:r w:rsidR="00C212CE">
        <w:t>,</w:t>
      </w:r>
      <w:r w:rsidRPr="00C21A7F">
        <w:t xml:space="preserve"> in the McAlister Cemetery </w:t>
      </w:r>
      <w:r w:rsidR="007702F1">
        <w:t>q</w:t>
      </w:r>
      <w:r w:rsidRPr="00C21A7F">
        <w:t xml:space="preserve">uarry, Criner Hills </w:t>
      </w:r>
      <w:r w:rsidR="007702F1">
        <w:t>u</w:t>
      </w:r>
      <w:r w:rsidRPr="00C21A7F">
        <w:t xml:space="preserve">plift, Ardmore </w:t>
      </w:r>
      <w:r w:rsidR="007702F1">
        <w:t>b</w:t>
      </w:r>
      <w:r w:rsidRPr="00C21A7F">
        <w:t>asin Oklahoma. TOC varies from 0.07% to 15.6%</w:t>
      </w:r>
      <w:r w:rsidR="00453850">
        <w:t xml:space="preserve"> [</w:t>
      </w:r>
      <w:r w:rsidRPr="00C21A7F">
        <w:t>Data points from Serna</w:t>
      </w:r>
      <w:r w:rsidR="007702F1">
        <w:t>-</w:t>
      </w:r>
      <w:r w:rsidRPr="00C21A7F">
        <w:t>Bernal (2013) and DeGarmo (2015)</w:t>
      </w:r>
      <w:r w:rsidR="00453850">
        <w:t>]</w:t>
      </w:r>
      <w:r w:rsidRPr="00C21A7F">
        <w:t xml:space="preserve">.  </w:t>
      </w:r>
      <w:r w:rsidR="00D46CE7">
        <w:t>The a</w:t>
      </w:r>
      <w:r w:rsidRPr="00C21A7F">
        <w:t xml:space="preserve">verage Tmax </w:t>
      </w:r>
      <w:r w:rsidR="00453850">
        <w:t>is</w:t>
      </w:r>
      <w:r w:rsidRPr="00C21A7F">
        <w:t xml:space="preserve"> 419.78 °C.</w:t>
      </w:r>
    </w:p>
    <w:p w14:paraId="502C3331" w14:textId="4D2E31E5" w:rsidR="0038797D" w:rsidRPr="00C21A7F" w:rsidRDefault="00987AD1" w:rsidP="004341DC">
      <w:pPr>
        <w:spacing w:after="0"/>
        <w:jc w:val="center"/>
      </w:pPr>
      <w:r w:rsidRPr="001E7D67">
        <w:rPr>
          <w:noProof/>
        </w:rPr>
        <w:drawing>
          <wp:inline distT="0" distB="0" distL="0" distR="0" wp14:anchorId="7A316B28" wp14:editId="3AE70EC3">
            <wp:extent cx="5118100" cy="5486400"/>
            <wp:effectExtent l="0" t="0" r="0" b="0"/>
            <wp:docPr id="73"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118100" cy="5486400"/>
                    </a:xfrm>
                    <a:prstGeom prst="rect">
                      <a:avLst/>
                    </a:prstGeom>
                    <a:noFill/>
                    <a:ln>
                      <a:noFill/>
                    </a:ln>
                  </pic:spPr>
                </pic:pic>
              </a:graphicData>
            </a:graphic>
          </wp:inline>
        </w:drawing>
      </w:r>
    </w:p>
    <w:p w14:paraId="10AF2DAD" w14:textId="4250C29F" w:rsidR="0038797D" w:rsidRPr="00C21A7F" w:rsidRDefault="0038797D" w:rsidP="004341DC">
      <w:pPr>
        <w:pStyle w:val="Caption"/>
      </w:pPr>
      <w:bookmarkStart w:id="501" w:name="_Toc35861283"/>
      <w:r w:rsidRPr="00C21A7F">
        <w:rPr>
          <w:b/>
        </w:rPr>
        <w:t xml:space="preserve">Figure </w:t>
      </w:r>
      <w:r w:rsidR="008054AB">
        <w:rPr>
          <w:b/>
        </w:rPr>
        <w:t>B</w:t>
      </w:r>
      <w:r w:rsidR="007F4268" w:rsidRPr="00C21A7F">
        <w:rPr>
          <w:b/>
        </w:rPr>
        <w:t>.1</w:t>
      </w:r>
      <w:r w:rsidR="001D64C0">
        <w:rPr>
          <w:b/>
        </w:rPr>
        <w:t>8</w:t>
      </w:r>
      <w:r w:rsidRPr="00C21A7F">
        <w:rPr>
          <w:b/>
        </w:rPr>
        <w:t xml:space="preserve">. </w:t>
      </w:r>
      <w:r w:rsidRPr="00C21A7F">
        <w:t xml:space="preserve">TOC, </w:t>
      </w:r>
      <w:r w:rsidR="005A5645">
        <w:t>r</w:t>
      </w:r>
      <w:r w:rsidRPr="00C21A7F">
        <w:t xml:space="preserve">elative </w:t>
      </w:r>
      <w:r w:rsidR="005A5645">
        <w:t>h</w:t>
      </w:r>
      <w:r w:rsidRPr="00C21A7F">
        <w:t xml:space="preserve">ydrocarbon </w:t>
      </w:r>
      <w:r w:rsidR="005A5645">
        <w:t>p</w:t>
      </w:r>
      <w:r w:rsidRPr="00C21A7F">
        <w:t>otential (RHP)</w:t>
      </w:r>
      <w:r w:rsidR="00C212CE">
        <w:t>,</w:t>
      </w:r>
      <w:r w:rsidRPr="00C21A7F">
        <w:t xml:space="preserve"> and Tmax maturity variations along the McAlister </w:t>
      </w:r>
      <w:r w:rsidR="005A5645">
        <w:t>q</w:t>
      </w:r>
      <w:r w:rsidRPr="00C21A7F">
        <w:t xml:space="preserve">uarry outcrop. </w:t>
      </w:r>
      <w:r w:rsidR="00C212CE">
        <w:t>The p</w:t>
      </w:r>
      <w:r w:rsidRPr="00C21A7F">
        <w:t xml:space="preserve">urple dashed horizontal lines correspond to Woodford </w:t>
      </w:r>
      <w:r w:rsidR="00D66B6F">
        <w:t>S</w:t>
      </w:r>
      <w:r w:rsidRPr="00C21A7F">
        <w:t xml:space="preserve">hale member tops and at the base to the contact with the Hunton </w:t>
      </w:r>
      <w:r w:rsidR="005A5645">
        <w:t>g</w:t>
      </w:r>
      <w:r w:rsidRPr="00C21A7F">
        <w:t>roup. All samples are immature (Tmax &lt;435 °C) with an average of close to 420°C of Tmax.</w:t>
      </w:r>
      <w:bookmarkEnd w:id="501"/>
    </w:p>
    <w:p w14:paraId="50DE30BA" w14:textId="5FA7D1E7" w:rsidR="0038797D" w:rsidRDefault="00987AD1" w:rsidP="004341DC">
      <w:pPr>
        <w:jc w:val="center"/>
      </w:pPr>
      <w:r w:rsidRPr="001E7D67">
        <w:rPr>
          <w:noProof/>
        </w:rPr>
        <w:lastRenderedPageBreak/>
        <w:drawing>
          <wp:inline distT="0" distB="0" distL="0" distR="0" wp14:anchorId="47522E2C" wp14:editId="2A7EDB17">
            <wp:extent cx="4648200" cy="6273800"/>
            <wp:effectExtent l="0" t="0" r="0" b="0"/>
            <wp:docPr id="72" name="Pictur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648200" cy="6273800"/>
                    </a:xfrm>
                    <a:prstGeom prst="rect">
                      <a:avLst/>
                    </a:prstGeom>
                    <a:noFill/>
                    <a:ln>
                      <a:noFill/>
                    </a:ln>
                  </pic:spPr>
                </pic:pic>
              </a:graphicData>
            </a:graphic>
          </wp:inline>
        </w:drawing>
      </w:r>
    </w:p>
    <w:p w14:paraId="5B66FCA5" w14:textId="54A514B3" w:rsidR="0038797D" w:rsidRPr="00C21A7F" w:rsidRDefault="0038797D" w:rsidP="004341DC">
      <w:pPr>
        <w:pStyle w:val="Caption"/>
      </w:pPr>
      <w:bookmarkStart w:id="502" w:name="_Toc35861284"/>
      <w:r w:rsidRPr="00C21A7F">
        <w:rPr>
          <w:b/>
        </w:rPr>
        <w:t xml:space="preserve">Figure </w:t>
      </w:r>
      <w:r w:rsidR="008054AB">
        <w:rPr>
          <w:b/>
        </w:rPr>
        <w:t>B</w:t>
      </w:r>
      <w:r w:rsidR="00AB44FF">
        <w:rPr>
          <w:b/>
        </w:rPr>
        <w:t>.</w:t>
      </w:r>
      <w:r w:rsidR="007F4268" w:rsidRPr="00C21A7F">
        <w:rPr>
          <w:b/>
        </w:rPr>
        <w:t>1</w:t>
      </w:r>
      <w:r w:rsidR="001D64C0">
        <w:rPr>
          <w:b/>
        </w:rPr>
        <w:t>9</w:t>
      </w:r>
      <w:r w:rsidRPr="00C21A7F">
        <w:rPr>
          <w:b/>
        </w:rPr>
        <w:t xml:space="preserve">. </w:t>
      </w:r>
      <w:r w:rsidRPr="00C21A7F">
        <w:t xml:space="preserve">Modified pseudo </w:t>
      </w:r>
      <w:r w:rsidR="005A5645">
        <w:t>v</w:t>
      </w:r>
      <w:r w:rsidRPr="00C21A7F">
        <w:t xml:space="preserve">an Krevelen diagram for the outcrop samples of Woodford </w:t>
      </w:r>
      <w:r w:rsidR="00D66B6F">
        <w:t>S</w:t>
      </w:r>
      <w:r w:rsidRPr="00C21A7F">
        <w:t xml:space="preserve">hale McAlister </w:t>
      </w:r>
      <w:r w:rsidR="005A5645">
        <w:t>q</w:t>
      </w:r>
      <w:r w:rsidRPr="00C21A7F">
        <w:t xml:space="preserve">uarry. The diagram shows the source rock intervals are dominated by apparent </w:t>
      </w:r>
      <w:r w:rsidR="005A5645">
        <w:t>t</w:t>
      </w:r>
      <w:r w:rsidRPr="00C21A7F">
        <w:t xml:space="preserve">ype I and </w:t>
      </w:r>
      <w:r w:rsidR="005A5645">
        <w:t>t</w:t>
      </w:r>
      <w:r w:rsidRPr="00C21A7F">
        <w:t>ype II kerogen. Also</w:t>
      </w:r>
      <w:r w:rsidR="00C212CE">
        <w:t>,</w:t>
      </w:r>
      <w:r w:rsidRPr="00C21A7F">
        <w:t xml:space="preserve"> </w:t>
      </w:r>
      <w:r w:rsidR="005A5645">
        <w:t>t</w:t>
      </w:r>
      <w:r w:rsidRPr="00C21A7F">
        <w:t xml:space="preserve">ype III kerogen occurs </w:t>
      </w:r>
      <w:r w:rsidR="00D23DE7">
        <w:t>primari</w:t>
      </w:r>
      <w:r w:rsidRPr="00C21A7F">
        <w:t xml:space="preserve">ly in the </w:t>
      </w:r>
      <w:r w:rsidR="001F1BFF">
        <w:t>U</w:t>
      </w:r>
      <w:r w:rsidRPr="00C21A7F">
        <w:t>pper member is not an artifact due to the high thermal maturity level reached in this location because samples are immature.   Usually</w:t>
      </w:r>
      <w:r w:rsidR="00C212CE">
        <w:t>,</w:t>
      </w:r>
      <w:r w:rsidRPr="00C21A7F">
        <w:t xml:space="preserve"> </w:t>
      </w:r>
      <w:r w:rsidR="00705E5E">
        <w:t xml:space="preserve">the </w:t>
      </w:r>
      <w:r w:rsidR="005A5645">
        <w:t>h</w:t>
      </w:r>
      <w:r w:rsidRPr="00C21A7F">
        <w:t xml:space="preserve">ydrogen </w:t>
      </w:r>
      <w:r w:rsidR="005A5645">
        <w:t>i</w:t>
      </w:r>
      <w:r w:rsidRPr="00C21A7F">
        <w:t>ndex becomes depleted with thermal cracking</w:t>
      </w:r>
      <w:r w:rsidR="00C212CE">
        <w:t>,</w:t>
      </w:r>
      <w:r w:rsidRPr="00C21A7F">
        <w:t xml:space="preserve"> and these core samples are not showing original conditions of the organic matter types. For this reason, the rock eval pyrolysis analysis </w:t>
      </w:r>
      <w:r w:rsidR="00C212CE">
        <w:t>is</w:t>
      </w:r>
      <w:r w:rsidRPr="00C21A7F">
        <w:t xml:space="preserve"> a good indicator of organic facies within this outcrop section.</w:t>
      </w:r>
      <w:bookmarkEnd w:id="502"/>
    </w:p>
    <w:p w14:paraId="7D862AB9" w14:textId="4C5B6850" w:rsidR="0038797D" w:rsidRPr="00C21A7F" w:rsidRDefault="00987AD1" w:rsidP="005A5645">
      <w:pPr>
        <w:jc w:val="center"/>
        <w:rPr>
          <w:b/>
        </w:rPr>
      </w:pPr>
      <w:r w:rsidRPr="001E7D67">
        <w:rPr>
          <w:noProof/>
        </w:rPr>
        <w:lastRenderedPageBreak/>
        <w:drawing>
          <wp:inline distT="0" distB="0" distL="0" distR="0" wp14:anchorId="757D9F51" wp14:editId="7189BE6E">
            <wp:extent cx="5600700" cy="4000500"/>
            <wp:effectExtent l="0" t="0" r="0" b="0"/>
            <wp:docPr id="7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600700" cy="4000500"/>
                    </a:xfrm>
                    <a:prstGeom prst="rect">
                      <a:avLst/>
                    </a:prstGeom>
                    <a:noFill/>
                    <a:ln>
                      <a:noFill/>
                    </a:ln>
                  </pic:spPr>
                </pic:pic>
              </a:graphicData>
            </a:graphic>
          </wp:inline>
        </w:drawing>
      </w:r>
    </w:p>
    <w:p w14:paraId="1F220680" w14:textId="017876AF" w:rsidR="0038797D" w:rsidRPr="00C21A7F" w:rsidRDefault="0038797D" w:rsidP="00776248">
      <w:pPr>
        <w:pStyle w:val="Caption"/>
      </w:pPr>
      <w:bookmarkStart w:id="503" w:name="_Toc35861285"/>
      <w:r w:rsidRPr="00C21A7F">
        <w:rPr>
          <w:b/>
        </w:rPr>
        <w:t xml:space="preserve">Figure </w:t>
      </w:r>
      <w:r w:rsidR="008054AB">
        <w:rPr>
          <w:b/>
        </w:rPr>
        <w:t>B</w:t>
      </w:r>
      <w:r w:rsidR="007F4268" w:rsidRPr="00C21A7F">
        <w:rPr>
          <w:b/>
        </w:rPr>
        <w:t>.</w:t>
      </w:r>
      <w:r w:rsidR="001D64C0">
        <w:rPr>
          <w:b/>
        </w:rPr>
        <w:t>20</w:t>
      </w:r>
      <w:r w:rsidRPr="00C21A7F">
        <w:rPr>
          <w:b/>
        </w:rPr>
        <w:t xml:space="preserve">. </w:t>
      </w:r>
      <w:r w:rsidRPr="00C21A7F">
        <w:t>Rock</w:t>
      </w:r>
      <w:r w:rsidR="00C212CE">
        <w:t>-</w:t>
      </w:r>
      <w:r w:rsidRPr="00C21A7F">
        <w:t xml:space="preserve">Eval </w:t>
      </w:r>
      <w:r w:rsidR="005A5645">
        <w:t>r</w:t>
      </w:r>
      <w:r w:rsidRPr="00C21A7F">
        <w:t xml:space="preserve">emaining </w:t>
      </w:r>
      <w:r w:rsidR="005A5645">
        <w:t>h</w:t>
      </w:r>
      <w:r w:rsidRPr="00C21A7F">
        <w:t xml:space="preserve">ydrocarbon </w:t>
      </w:r>
      <w:r w:rsidR="005A5645">
        <w:t>p</w:t>
      </w:r>
      <w:r w:rsidRPr="00C21A7F">
        <w:t xml:space="preserve">otential (S2) vs. TOC plot for determination of kerogen type and maturity for all the 47 McAlister </w:t>
      </w:r>
      <w:r w:rsidR="005A5645">
        <w:t>q</w:t>
      </w:r>
      <w:r w:rsidRPr="00C21A7F">
        <w:t xml:space="preserve">uarry Woodford </w:t>
      </w:r>
      <w:r w:rsidR="00D66B6F">
        <w:t>S</w:t>
      </w:r>
      <w:r w:rsidRPr="00C21A7F">
        <w:t xml:space="preserve">hale outcrop samples. Note that most of the samples plot in the </w:t>
      </w:r>
      <w:r w:rsidR="005A5645">
        <w:t>t</w:t>
      </w:r>
      <w:r w:rsidRPr="00C21A7F">
        <w:t xml:space="preserve">ype II Kerogen range for the </w:t>
      </w:r>
      <w:r w:rsidR="00310AC9">
        <w:t>L</w:t>
      </w:r>
      <w:r w:rsidRPr="00C21A7F">
        <w:t xml:space="preserve">ower and </w:t>
      </w:r>
      <w:r w:rsidR="001F1BFF">
        <w:t>M</w:t>
      </w:r>
      <w:r w:rsidRPr="00C21A7F">
        <w:t xml:space="preserve">iddle Woodford members, and some </w:t>
      </w:r>
      <w:r w:rsidR="005A5645">
        <w:t>t</w:t>
      </w:r>
      <w:r w:rsidRPr="00C21A7F">
        <w:t xml:space="preserve">ype I kerogen yield mainly for the </w:t>
      </w:r>
      <w:r w:rsidR="001F1BFF">
        <w:t>M</w:t>
      </w:r>
      <w:r w:rsidRPr="00C21A7F">
        <w:t xml:space="preserve">iddle Woodford and </w:t>
      </w:r>
      <w:r w:rsidR="001F1BFF">
        <w:t>U</w:t>
      </w:r>
      <w:r w:rsidRPr="00C21A7F">
        <w:t xml:space="preserve">pper member. There are not many apparent </w:t>
      </w:r>
      <w:r w:rsidR="00F03FE3">
        <w:t>t</w:t>
      </w:r>
      <w:r w:rsidR="00F03FE3" w:rsidRPr="00C21A7F">
        <w:t>ype</w:t>
      </w:r>
      <w:r w:rsidRPr="00C21A7F">
        <w:t xml:space="preserve"> III kerogen samples because of a lack of depletion of S2 by thermal cracking, due to the low maturity of the samples. Also</w:t>
      </w:r>
      <w:r w:rsidR="00C212CE">
        <w:t>,</w:t>
      </w:r>
      <w:r w:rsidRPr="00C21A7F">
        <w:t xml:space="preserve"> </w:t>
      </w:r>
      <w:r w:rsidR="00C212CE">
        <w:t>a few samples are</w:t>
      </w:r>
      <w:r w:rsidRPr="00C21A7F">
        <w:t xml:space="preserve"> plotting in the </w:t>
      </w:r>
      <w:r w:rsidR="00C212CE">
        <w:t>lean organic</w:t>
      </w:r>
      <w:r w:rsidRPr="00C21A7F">
        <w:t xml:space="preserve"> area of the </w:t>
      </w:r>
      <w:r w:rsidR="001F1BFF">
        <w:t>U</w:t>
      </w:r>
      <w:r w:rsidRPr="00C21A7F">
        <w:t>pper Woodford member.</w:t>
      </w:r>
      <w:bookmarkEnd w:id="503"/>
    </w:p>
    <w:p w14:paraId="73CC66D2" w14:textId="77777777" w:rsidR="00776248" w:rsidRDefault="00776248" w:rsidP="00776248">
      <w:pPr>
        <w:spacing w:before="240" w:after="0" w:line="240" w:lineRule="auto"/>
        <w:rPr>
          <w:b/>
        </w:rPr>
      </w:pPr>
    </w:p>
    <w:p w14:paraId="3F2E8F01" w14:textId="574100E6" w:rsidR="0038797D" w:rsidRPr="00C21A7F" w:rsidRDefault="0038797D" w:rsidP="00776248">
      <w:pPr>
        <w:rPr>
          <w:b/>
        </w:rPr>
      </w:pPr>
      <w:r w:rsidRPr="00C21A7F">
        <w:rPr>
          <w:b/>
        </w:rPr>
        <w:t xml:space="preserve">West Star Ray 1-13 well, Pottawatomie Co. </w:t>
      </w:r>
    </w:p>
    <w:p w14:paraId="12FA9F6A" w14:textId="58E97D7E" w:rsidR="0038797D" w:rsidRPr="00C21A7F" w:rsidRDefault="0038797D" w:rsidP="00776248">
      <w:pPr>
        <w:ind w:firstLine="720"/>
      </w:pPr>
      <w:r w:rsidRPr="00C21A7F">
        <w:t>Th</w:t>
      </w:r>
      <w:r w:rsidR="00C212CE">
        <w:t>e West Star Ray 1-13</w:t>
      </w:r>
      <w:r w:rsidRPr="00C21A7F">
        <w:t xml:space="preserve"> is a 150 ft core located in the </w:t>
      </w:r>
      <w:r w:rsidR="0040621C">
        <w:t>s</w:t>
      </w:r>
      <w:r w:rsidRPr="00C21A7F">
        <w:t>outh</w:t>
      </w:r>
      <w:r w:rsidR="0040621C">
        <w:t>e</w:t>
      </w:r>
      <w:r w:rsidRPr="00C21A7F">
        <w:t>ast Pottawatomie county in Oklahoma. TOC varies from 0.27% to 14.59%. Data points</w:t>
      </w:r>
      <w:r w:rsidR="00453850">
        <w:t xml:space="preserve"> are</w:t>
      </w:r>
      <w:r w:rsidRPr="00C21A7F">
        <w:t xml:space="preserve"> from </w:t>
      </w:r>
      <w:r w:rsidR="003935A9" w:rsidRPr="00C21A7F">
        <w:t>Althoff</w:t>
      </w:r>
      <w:r w:rsidRPr="00C21A7F">
        <w:t xml:space="preserve"> (2012) and Villalba (2016).  Average Tmax of 430.13 °C, close to the oil window generation.</w:t>
      </w:r>
      <w:r w:rsidR="00C212CE">
        <w:t xml:space="preserve"> </w:t>
      </w:r>
      <w:r w:rsidRPr="00C21A7F">
        <w:t xml:space="preserve">Figure </w:t>
      </w:r>
      <w:r w:rsidR="008054AB">
        <w:t>B</w:t>
      </w:r>
      <w:r w:rsidR="00AB44FF">
        <w:t>.</w:t>
      </w:r>
      <w:r w:rsidR="001D64C0">
        <w:t>21</w:t>
      </w:r>
      <w:r w:rsidRPr="00C21A7F">
        <w:t xml:space="preserve"> illustrates the variation of TOC, which is high at the base of the </w:t>
      </w:r>
      <w:r w:rsidR="00310AC9">
        <w:t>L</w:t>
      </w:r>
      <w:r w:rsidRPr="00C21A7F">
        <w:t xml:space="preserve">ower Woodford member, starts to decrease towards the contact with the </w:t>
      </w:r>
      <w:r w:rsidR="001F1BFF">
        <w:t>M</w:t>
      </w:r>
      <w:r w:rsidRPr="00C21A7F">
        <w:t xml:space="preserve">iddle Woodford member, </w:t>
      </w:r>
      <w:r w:rsidR="00B5481D">
        <w:t xml:space="preserve">then </w:t>
      </w:r>
      <w:r w:rsidRPr="00C21A7F">
        <w:t xml:space="preserve">increases again in the </w:t>
      </w:r>
      <w:r w:rsidR="001F1BFF">
        <w:t>M</w:t>
      </w:r>
      <w:r w:rsidRPr="00C21A7F">
        <w:t xml:space="preserve">iddle Woodford towards the contact with the </w:t>
      </w:r>
      <w:r w:rsidR="001F1BFF">
        <w:t>U</w:t>
      </w:r>
      <w:r w:rsidRPr="00C21A7F">
        <w:t xml:space="preserve">pper Woodford and finally decreases towards the </w:t>
      </w:r>
      <w:r w:rsidRPr="00C21A7F">
        <w:lastRenderedPageBreak/>
        <w:t xml:space="preserve">Woodford </w:t>
      </w:r>
      <w:r w:rsidR="007732A1">
        <w:t>S</w:t>
      </w:r>
      <w:r w:rsidRPr="00C21A7F">
        <w:t xml:space="preserve">hale top. </w:t>
      </w:r>
      <w:r w:rsidR="00453850">
        <w:t xml:space="preserve"> </w:t>
      </w:r>
      <w:r w:rsidR="00B5481D">
        <w:t xml:space="preserve">The </w:t>
      </w:r>
      <w:r w:rsidR="00584B42">
        <w:t>r</w:t>
      </w:r>
      <w:r w:rsidRPr="00C21A7F">
        <w:t>elative hydrocarbon potential (</w:t>
      </w:r>
      <w:r w:rsidR="00584B42">
        <w:t xml:space="preserve">RHP; </w:t>
      </w:r>
      <w:r w:rsidRPr="00C21A7F">
        <w:t xml:space="preserve">Figure </w:t>
      </w:r>
      <w:r w:rsidR="008054AB">
        <w:t>B</w:t>
      </w:r>
      <w:r w:rsidR="001D64C0">
        <w:t>.21</w:t>
      </w:r>
      <w:r w:rsidRPr="00C21A7F">
        <w:t xml:space="preserve">) varies along the Woodford </w:t>
      </w:r>
      <w:r w:rsidR="007732A1">
        <w:t>S</w:t>
      </w:r>
      <w:r w:rsidRPr="00C21A7F">
        <w:t xml:space="preserve">hale but drastically drops from the base of the </w:t>
      </w:r>
      <w:r w:rsidR="001F1BFF">
        <w:t>U</w:t>
      </w:r>
      <w:r w:rsidRPr="00C21A7F">
        <w:t xml:space="preserve">pper Woodford towards the top of the Woodford </w:t>
      </w:r>
      <w:r w:rsidR="007732A1">
        <w:t>S</w:t>
      </w:r>
      <w:r w:rsidRPr="00C21A7F">
        <w:t>hale, indicating more oxic conditions and sea</w:t>
      </w:r>
      <w:r w:rsidR="00C212CE">
        <w:t>-</w:t>
      </w:r>
      <w:r w:rsidRPr="00C21A7F">
        <w:t xml:space="preserve">level drop upward in the section. </w:t>
      </w:r>
    </w:p>
    <w:p w14:paraId="55699595" w14:textId="45C5AF83" w:rsidR="00C212CE" w:rsidRPr="00C21A7F" w:rsidRDefault="00987AD1" w:rsidP="00776248">
      <w:pPr>
        <w:spacing w:line="240" w:lineRule="auto"/>
        <w:jc w:val="center"/>
        <w:rPr>
          <w:b/>
        </w:rPr>
      </w:pPr>
      <w:r w:rsidRPr="001E7D67">
        <w:rPr>
          <w:noProof/>
        </w:rPr>
        <w:drawing>
          <wp:inline distT="0" distB="0" distL="0" distR="0" wp14:anchorId="08EAFF92" wp14:editId="188B49D1">
            <wp:extent cx="5384800" cy="5816600"/>
            <wp:effectExtent l="0" t="0" r="0" b="0"/>
            <wp:docPr id="70"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384800" cy="5816600"/>
                    </a:xfrm>
                    <a:prstGeom prst="rect">
                      <a:avLst/>
                    </a:prstGeom>
                    <a:noFill/>
                    <a:ln>
                      <a:noFill/>
                    </a:ln>
                  </pic:spPr>
                </pic:pic>
              </a:graphicData>
            </a:graphic>
          </wp:inline>
        </w:drawing>
      </w:r>
    </w:p>
    <w:p w14:paraId="7FA68DEE" w14:textId="21AA0E72" w:rsidR="0038797D" w:rsidRPr="00C21A7F" w:rsidRDefault="0038797D" w:rsidP="00776248">
      <w:pPr>
        <w:pStyle w:val="Caption"/>
      </w:pPr>
      <w:bookmarkStart w:id="504" w:name="_Toc35861286"/>
      <w:r w:rsidRPr="00C21A7F">
        <w:rPr>
          <w:b/>
        </w:rPr>
        <w:t>Figure</w:t>
      </w:r>
      <w:r w:rsidR="00AB44FF">
        <w:rPr>
          <w:b/>
        </w:rPr>
        <w:t xml:space="preserve"> </w:t>
      </w:r>
      <w:r w:rsidR="008054AB">
        <w:rPr>
          <w:b/>
        </w:rPr>
        <w:t>B</w:t>
      </w:r>
      <w:r w:rsidR="007F4268" w:rsidRPr="00C21A7F">
        <w:rPr>
          <w:b/>
        </w:rPr>
        <w:t>.</w:t>
      </w:r>
      <w:r w:rsidR="001D64C0">
        <w:rPr>
          <w:b/>
        </w:rPr>
        <w:t>21</w:t>
      </w:r>
      <w:r w:rsidRPr="00C21A7F">
        <w:rPr>
          <w:b/>
        </w:rPr>
        <w:t xml:space="preserve">. </w:t>
      </w:r>
      <w:r w:rsidRPr="00C21A7F">
        <w:t xml:space="preserve">TOC, </w:t>
      </w:r>
      <w:r w:rsidR="005A5645">
        <w:t>r</w:t>
      </w:r>
      <w:r w:rsidRPr="00C21A7F">
        <w:t xml:space="preserve">elative </w:t>
      </w:r>
      <w:r w:rsidR="005A5645">
        <w:t>h</w:t>
      </w:r>
      <w:r w:rsidRPr="00C21A7F">
        <w:t xml:space="preserve">ydrocarbon </w:t>
      </w:r>
      <w:r w:rsidR="005A5645">
        <w:t>p</w:t>
      </w:r>
      <w:r w:rsidRPr="00C21A7F">
        <w:t>otential (RHP)</w:t>
      </w:r>
      <w:r w:rsidR="00C212CE">
        <w:t>,</w:t>
      </w:r>
      <w:r w:rsidRPr="00C21A7F">
        <w:t xml:space="preserve"> and Tmax maturity variations along</w:t>
      </w:r>
      <w:r w:rsidR="00D23DE7">
        <w:t xml:space="preserve"> with</w:t>
      </w:r>
      <w:r w:rsidRPr="00C21A7F">
        <w:t xml:space="preserve"> the West Star Ray 1013 core. </w:t>
      </w:r>
      <w:r w:rsidR="00D23DE7">
        <w:t>The p</w:t>
      </w:r>
      <w:r w:rsidRPr="00C21A7F">
        <w:t xml:space="preserve">urple dashed horizontal lines correspond to Woodford Shale member tops and at the base to the contact with the Hunton </w:t>
      </w:r>
      <w:r w:rsidR="005A5645">
        <w:t>g</w:t>
      </w:r>
      <w:r w:rsidRPr="00C21A7F">
        <w:t>roup. Most of the samples are immature (Tmax &lt;435 °C)</w:t>
      </w:r>
      <w:r w:rsidR="00D23DE7">
        <w:t>,</w:t>
      </w:r>
      <w:r w:rsidRPr="00C21A7F">
        <w:t xml:space="preserve"> with an average of 430°C of Tmax. Some samples show </w:t>
      </w:r>
      <w:r w:rsidR="00D23DE7">
        <w:t>new</w:t>
      </w:r>
      <w:r w:rsidRPr="00C21A7F">
        <w:t xml:space="preserve"> oil generation thermal maturity.</w:t>
      </w:r>
      <w:bookmarkEnd w:id="504"/>
    </w:p>
    <w:p w14:paraId="15C8BB22" w14:textId="466EC15E" w:rsidR="0038797D" w:rsidRPr="00C21A7F" w:rsidRDefault="00987AD1" w:rsidP="00776248">
      <w:pPr>
        <w:spacing w:line="240" w:lineRule="auto"/>
        <w:jc w:val="center"/>
        <w:rPr>
          <w:b/>
        </w:rPr>
      </w:pPr>
      <w:r w:rsidRPr="001E7D67">
        <w:rPr>
          <w:noProof/>
        </w:rPr>
        <w:lastRenderedPageBreak/>
        <w:drawing>
          <wp:inline distT="0" distB="0" distL="0" distR="0" wp14:anchorId="6F14BBCE" wp14:editId="57572D39">
            <wp:extent cx="5511800" cy="6769100"/>
            <wp:effectExtent l="0" t="0" r="0" b="0"/>
            <wp:docPr id="69"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511800" cy="6769100"/>
                    </a:xfrm>
                    <a:prstGeom prst="rect">
                      <a:avLst/>
                    </a:prstGeom>
                    <a:noFill/>
                    <a:ln>
                      <a:noFill/>
                    </a:ln>
                  </pic:spPr>
                </pic:pic>
              </a:graphicData>
            </a:graphic>
          </wp:inline>
        </w:drawing>
      </w:r>
    </w:p>
    <w:p w14:paraId="6957A731" w14:textId="0406AF30" w:rsidR="0038797D" w:rsidRPr="00C21A7F" w:rsidRDefault="0038797D" w:rsidP="00776248">
      <w:pPr>
        <w:pStyle w:val="Caption"/>
      </w:pPr>
      <w:bookmarkStart w:id="505" w:name="_Toc35861287"/>
      <w:r w:rsidRPr="00C21A7F">
        <w:rPr>
          <w:b/>
        </w:rPr>
        <w:t xml:space="preserve">Figure </w:t>
      </w:r>
      <w:r w:rsidR="008054AB">
        <w:rPr>
          <w:b/>
        </w:rPr>
        <w:t>B</w:t>
      </w:r>
      <w:r w:rsidR="007F4268" w:rsidRPr="00C21A7F">
        <w:rPr>
          <w:b/>
        </w:rPr>
        <w:t>.2</w:t>
      </w:r>
      <w:r w:rsidR="001D64C0">
        <w:rPr>
          <w:b/>
        </w:rPr>
        <w:t>2</w:t>
      </w:r>
      <w:r w:rsidRPr="00C21A7F">
        <w:rPr>
          <w:b/>
        </w:rPr>
        <w:t xml:space="preserve">. </w:t>
      </w:r>
      <w:r w:rsidRPr="00C21A7F">
        <w:t xml:space="preserve">Modified pseudo </w:t>
      </w:r>
      <w:r w:rsidR="005A5645">
        <w:t>v</w:t>
      </w:r>
      <w:r w:rsidRPr="00C21A7F">
        <w:t xml:space="preserve">an Krevelen diagram for the samples of Woodford </w:t>
      </w:r>
      <w:r w:rsidR="00F74D1F">
        <w:t>S</w:t>
      </w:r>
      <w:r w:rsidRPr="00C21A7F">
        <w:t xml:space="preserve">hale West Star Ray 1-13 core. The diagram shows the source rock intervals are dominated by apparent </w:t>
      </w:r>
      <w:r w:rsidR="00705E5E">
        <w:t>t</w:t>
      </w:r>
      <w:r w:rsidRPr="00C21A7F">
        <w:t xml:space="preserve">ype I kerogen. This </w:t>
      </w:r>
      <w:r w:rsidR="00705E5E">
        <w:t xml:space="preserve">apparent type I yield </w:t>
      </w:r>
      <w:r w:rsidRPr="00C21A7F">
        <w:t xml:space="preserve">is due to the very low </w:t>
      </w:r>
      <w:r w:rsidR="005A5645">
        <w:t>o</w:t>
      </w:r>
      <w:r w:rsidRPr="00C21A7F">
        <w:t xml:space="preserve">xygen </w:t>
      </w:r>
      <w:r w:rsidR="005A5645">
        <w:t>i</w:t>
      </w:r>
      <w:r w:rsidRPr="00C21A7F">
        <w:t xml:space="preserve">ndex content that plots the samples on the </w:t>
      </w:r>
      <w:r w:rsidR="005A5645">
        <w:t>t</w:t>
      </w:r>
      <w:r w:rsidRPr="00C21A7F">
        <w:t xml:space="preserve">ype I yield. </w:t>
      </w:r>
      <w:r w:rsidR="00D23DE7">
        <w:t>S</w:t>
      </w:r>
      <w:r w:rsidRPr="00C21A7F">
        <w:t xml:space="preserve">pecial consideration must be </w:t>
      </w:r>
      <w:r w:rsidR="00F03FE3" w:rsidRPr="00C21A7F">
        <w:t>considered</w:t>
      </w:r>
      <w:r w:rsidRPr="00C21A7F">
        <w:t xml:space="preserve"> to see if these samples are </w:t>
      </w:r>
      <w:r w:rsidR="00163B32">
        <w:t>correct</w:t>
      </w:r>
      <w:r w:rsidRPr="00C21A7F">
        <w:t xml:space="preserve"> </w:t>
      </w:r>
      <w:r w:rsidR="00D23DE7">
        <w:t xml:space="preserve">to </w:t>
      </w:r>
      <w:r w:rsidR="005A5645">
        <w:t>t</w:t>
      </w:r>
      <w:r w:rsidRPr="00C21A7F">
        <w:t>ype I kerogen</w:t>
      </w:r>
      <w:r w:rsidR="00D46CE7">
        <w:t>,</w:t>
      </w:r>
      <w:r w:rsidRPr="00C21A7F">
        <w:t xml:space="preserve"> or there is a possibility of high molecular sulfur within the organic matter which sequestrates the atomic oxygen, therefore, obtaining low OI values from the Rock</w:t>
      </w:r>
      <w:r w:rsidR="00D23DE7">
        <w:t>-</w:t>
      </w:r>
      <w:r w:rsidRPr="00C21A7F">
        <w:t xml:space="preserve">Eval </w:t>
      </w:r>
      <w:r w:rsidR="005A5645">
        <w:t>p</w:t>
      </w:r>
      <w:r w:rsidRPr="00C21A7F">
        <w:t>yrolysis analyses.</w:t>
      </w:r>
      <w:bookmarkEnd w:id="505"/>
    </w:p>
    <w:p w14:paraId="76D2A641" w14:textId="78F8525E" w:rsidR="0038797D" w:rsidRPr="00C21A7F" w:rsidRDefault="00987AD1" w:rsidP="00776248">
      <w:pPr>
        <w:spacing w:line="240" w:lineRule="auto"/>
        <w:jc w:val="center"/>
        <w:rPr>
          <w:b/>
        </w:rPr>
      </w:pPr>
      <w:r w:rsidRPr="001E7D67">
        <w:rPr>
          <w:noProof/>
        </w:rPr>
        <w:lastRenderedPageBreak/>
        <w:drawing>
          <wp:inline distT="0" distB="0" distL="0" distR="0" wp14:anchorId="048CD738" wp14:editId="748DA4CD">
            <wp:extent cx="5588000" cy="7124700"/>
            <wp:effectExtent l="0" t="0" r="0" b="0"/>
            <wp:docPr id="68"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588000" cy="7124700"/>
                    </a:xfrm>
                    <a:prstGeom prst="rect">
                      <a:avLst/>
                    </a:prstGeom>
                    <a:noFill/>
                    <a:ln>
                      <a:noFill/>
                    </a:ln>
                  </pic:spPr>
                </pic:pic>
              </a:graphicData>
            </a:graphic>
          </wp:inline>
        </w:drawing>
      </w:r>
    </w:p>
    <w:p w14:paraId="0A410659" w14:textId="2C104E76" w:rsidR="0038797D" w:rsidRPr="00C21A7F" w:rsidRDefault="0038797D" w:rsidP="00776248">
      <w:pPr>
        <w:pStyle w:val="Caption"/>
      </w:pPr>
      <w:bookmarkStart w:id="506" w:name="_Toc35861288"/>
      <w:r w:rsidRPr="00C21A7F">
        <w:rPr>
          <w:b/>
        </w:rPr>
        <w:t xml:space="preserve">Figure </w:t>
      </w:r>
      <w:r w:rsidR="008054AB">
        <w:rPr>
          <w:b/>
        </w:rPr>
        <w:t>B</w:t>
      </w:r>
      <w:r w:rsidR="007F4268" w:rsidRPr="00C21A7F">
        <w:rPr>
          <w:b/>
        </w:rPr>
        <w:t>.2</w:t>
      </w:r>
      <w:r w:rsidR="001D64C0">
        <w:rPr>
          <w:b/>
        </w:rPr>
        <w:t>3</w:t>
      </w:r>
      <w:r w:rsidRPr="00C21A7F">
        <w:rPr>
          <w:b/>
        </w:rPr>
        <w:t>.</w:t>
      </w:r>
      <w:r w:rsidRPr="00C21A7F">
        <w:tab/>
        <w:t xml:space="preserve">HI vs. Tmax plot showing maturity and kerogen type for all the 24 Woodford </w:t>
      </w:r>
      <w:r w:rsidR="00F74D1F">
        <w:t>S</w:t>
      </w:r>
      <w:r w:rsidRPr="00C21A7F">
        <w:t xml:space="preserve">hale core samples of the West Star Ray 1-13 well. Most of the samples plot on the </w:t>
      </w:r>
      <w:r w:rsidR="005A5645">
        <w:t>t</w:t>
      </w:r>
      <w:r w:rsidRPr="00C21A7F">
        <w:t xml:space="preserve">ype II kerogen yield, some in the </w:t>
      </w:r>
      <w:r w:rsidR="005A5645">
        <w:t>t</w:t>
      </w:r>
      <w:r w:rsidRPr="00C21A7F">
        <w:t xml:space="preserve">ype I kerogen, most of which are from the </w:t>
      </w:r>
      <w:r w:rsidR="00310AC9">
        <w:t>L</w:t>
      </w:r>
      <w:r w:rsidRPr="00C21A7F">
        <w:t>ower Woodford member. All samples are of low thermal maturity</w:t>
      </w:r>
      <w:r w:rsidR="00D23DE7">
        <w:t>;</w:t>
      </w:r>
      <w:r w:rsidRPr="00C21A7F">
        <w:t xml:space="preserve"> therefore, the kerogen type yields might illustrate depositional organic facies conditions.</w:t>
      </w:r>
      <w:bookmarkEnd w:id="506"/>
    </w:p>
    <w:p w14:paraId="5C80AEB1" w14:textId="268C33BE" w:rsidR="0038797D" w:rsidRPr="00C21A7F" w:rsidRDefault="00987AD1" w:rsidP="00776248">
      <w:pPr>
        <w:spacing w:line="240" w:lineRule="auto"/>
        <w:jc w:val="center"/>
        <w:rPr>
          <w:b/>
        </w:rPr>
      </w:pPr>
      <w:r w:rsidRPr="001E7D67">
        <w:rPr>
          <w:noProof/>
        </w:rPr>
        <w:lastRenderedPageBreak/>
        <w:drawing>
          <wp:inline distT="0" distB="0" distL="0" distR="0" wp14:anchorId="5B3CBC46" wp14:editId="37B7F058">
            <wp:extent cx="5422900" cy="4102100"/>
            <wp:effectExtent l="0" t="0" r="0" b="0"/>
            <wp:docPr id="6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422900" cy="4102100"/>
                    </a:xfrm>
                    <a:prstGeom prst="rect">
                      <a:avLst/>
                    </a:prstGeom>
                    <a:noFill/>
                    <a:ln>
                      <a:noFill/>
                    </a:ln>
                  </pic:spPr>
                </pic:pic>
              </a:graphicData>
            </a:graphic>
          </wp:inline>
        </w:drawing>
      </w:r>
    </w:p>
    <w:p w14:paraId="4FBAB3D0" w14:textId="4F93B14A" w:rsidR="0038797D" w:rsidRPr="00C21A7F" w:rsidRDefault="0038797D" w:rsidP="00776248">
      <w:pPr>
        <w:pStyle w:val="Caption"/>
      </w:pPr>
      <w:bookmarkStart w:id="507" w:name="_Toc35861289"/>
      <w:r w:rsidRPr="00C21A7F">
        <w:rPr>
          <w:b/>
        </w:rPr>
        <w:t xml:space="preserve">Figure </w:t>
      </w:r>
      <w:r w:rsidR="008054AB">
        <w:rPr>
          <w:b/>
        </w:rPr>
        <w:t>B</w:t>
      </w:r>
      <w:r w:rsidR="007F4268" w:rsidRPr="00C21A7F">
        <w:rPr>
          <w:b/>
        </w:rPr>
        <w:t>.2</w:t>
      </w:r>
      <w:r w:rsidR="001D64C0">
        <w:rPr>
          <w:b/>
        </w:rPr>
        <w:t>4</w:t>
      </w:r>
      <w:r w:rsidRPr="00C21A7F">
        <w:rPr>
          <w:b/>
        </w:rPr>
        <w:t xml:space="preserve">. </w:t>
      </w:r>
      <w:r w:rsidRPr="00C21A7F">
        <w:t>Rock</w:t>
      </w:r>
      <w:r w:rsidR="00D23DE7">
        <w:t>-</w:t>
      </w:r>
      <w:r w:rsidRPr="00C21A7F">
        <w:t xml:space="preserve">Eval </w:t>
      </w:r>
      <w:r w:rsidR="005A5645">
        <w:t>r</w:t>
      </w:r>
      <w:r w:rsidRPr="00C21A7F">
        <w:t xml:space="preserve">emaining </w:t>
      </w:r>
      <w:r w:rsidR="005A5645">
        <w:t>h</w:t>
      </w:r>
      <w:r w:rsidRPr="00C21A7F">
        <w:t xml:space="preserve">ydrocarbon </w:t>
      </w:r>
      <w:r w:rsidR="005A5645">
        <w:t>p</w:t>
      </w:r>
      <w:r w:rsidRPr="00C21A7F">
        <w:t xml:space="preserve">otential (S2) vs. TOC plot for determination of kerogen type and maturity for all the 47 West Star Ray 1-13 Woodford </w:t>
      </w:r>
      <w:r w:rsidR="00F74D1F">
        <w:t>S</w:t>
      </w:r>
      <w:r w:rsidRPr="00C21A7F">
        <w:t xml:space="preserve">hale outcrop samples. Note that most of the samples plot in the type II </w:t>
      </w:r>
      <w:r w:rsidR="005A5645">
        <w:t>k</w:t>
      </w:r>
      <w:r w:rsidRPr="00C21A7F">
        <w:t xml:space="preserve">erogen yield for the </w:t>
      </w:r>
      <w:r w:rsidR="001F1BFF">
        <w:t>L</w:t>
      </w:r>
      <w:r w:rsidRPr="00C21A7F">
        <w:t xml:space="preserve">ower and </w:t>
      </w:r>
      <w:r w:rsidR="001F1BFF">
        <w:t>M</w:t>
      </w:r>
      <w:r w:rsidRPr="00C21A7F">
        <w:t xml:space="preserve">iddle Woodford members, and some </w:t>
      </w:r>
      <w:r w:rsidR="005A5645">
        <w:t>t</w:t>
      </w:r>
      <w:r w:rsidRPr="00C21A7F">
        <w:t xml:space="preserve">ype I kerogen yield mainly for the </w:t>
      </w:r>
      <w:r w:rsidR="001F1BFF">
        <w:t>M</w:t>
      </w:r>
      <w:r w:rsidRPr="00C21A7F">
        <w:t xml:space="preserve">iddle Woodford and </w:t>
      </w:r>
      <w:r w:rsidR="001F1BFF">
        <w:t>U</w:t>
      </w:r>
      <w:r w:rsidRPr="00C21A7F">
        <w:t>pper member. There are not many apparent type III kerogen samples because of the lack of depletion of S2 by thermal cracking and the low maturity of the samples. Also</w:t>
      </w:r>
      <w:r w:rsidR="000260D7">
        <w:t>,</w:t>
      </w:r>
      <w:r w:rsidRPr="00C21A7F">
        <w:t xml:space="preserve"> there are a few samples that plot in the </w:t>
      </w:r>
      <w:r w:rsidR="000260D7">
        <w:t>lean organic</w:t>
      </w:r>
      <w:r w:rsidRPr="00C21A7F">
        <w:t xml:space="preserve"> area of the </w:t>
      </w:r>
      <w:r w:rsidR="001F1BFF">
        <w:t>U</w:t>
      </w:r>
      <w:r w:rsidRPr="00C21A7F">
        <w:t>pper Woodford member.</w:t>
      </w:r>
      <w:bookmarkEnd w:id="507"/>
    </w:p>
    <w:p w14:paraId="7DF4CFD7" w14:textId="4D1B38AF" w:rsidR="0038797D" w:rsidRPr="00C21A7F" w:rsidRDefault="0038797D" w:rsidP="00776248">
      <w:pPr>
        <w:spacing w:before="240"/>
        <w:rPr>
          <w:b/>
        </w:rPr>
      </w:pPr>
      <w:r w:rsidRPr="00C21A7F">
        <w:rPr>
          <w:b/>
        </w:rPr>
        <w:t xml:space="preserve">I-35 </w:t>
      </w:r>
      <w:r w:rsidR="001F1BFF">
        <w:rPr>
          <w:b/>
        </w:rPr>
        <w:t>U</w:t>
      </w:r>
      <w:r w:rsidRPr="00C21A7F">
        <w:rPr>
          <w:b/>
        </w:rPr>
        <w:t xml:space="preserve">pper Woodford </w:t>
      </w:r>
      <w:r w:rsidR="005A5645">
        <w:rPr>
          <w:b/>
        </w:rPr>
        <w:t>o</w:t>
      </w:r>
      <w:r w:rsidRPr="00C21A7F">
        <w:rPr>
          <w:b/>
        </w:rPr>
        <w:t>utcrop, Carter Co</w:t>
      </w:r>
      <w:r w:rsidR="00990009">
        <w:rPr>
          <w:b/>
        </w:rPr>
        <w:t>unty</w:t>
      </w:r>
      <w:r w:rsidRPr="00C21A7F">
        <w:rPr>
          <w:b/>
        </w:rPr>
        <w:t>.</w:t>
      </w:r>
    </w:p>
    <w:p w14:paraId="044D6A65" w14:textId="16D55496" w:rsidR="00B5481D" w:rsidRDefault="0038797D" w:rsidP="00776248">
      <w:pPr>
        <w:ind w:firstLine="720"/>
      </w:pPr>
      <w:r w:rsidRPr="00C21A7F">
        <w:t>The outcrop is 3 miles north of Ardmore. TOC varies from 0.45% to 15.7%. Data points</w:t>
      </w:r>
      <w:r w:rsidR="00453850">
        <w:t xml:space="preserve"> are</w:t>
      </w:r>
      <w:r w:rsidRPr="00C21A7F">
        <w:t xml:space="preserve"> from Becerra</w:t>
      </w:r>
      <w:r w:rsidR="00453850">
        <w:t>-Rondon (2017)</w:t>
      </w:r>
      <w:r w:rsidRPr="00C21A7F">
        <w:t xml:space="preserve"> and Galvis (</w:t>
      </w:r>
      <w:r w:rsidR="00453850">
        <w:t>2017</w:t>
      </w:r>
      <w:r w:rsidRPr="00C21A7F">
        <w:t>). The average Tmax of 431.15 °C is close to the oil generation</w:t>
      </w:r>
      <w:r w:rsidR="008A7F89">
        <w:t xml:space="preserve"> </w:t>
      </w:r>
      <w:r w:rsidR="008A7F89" w:rsidRPr="00C21A7F">
        <w:t>window</w:t>
      </w:r>
      <w:r w:rsidRPr="00C21A7F">
        <w:t>.</w:t>
      </w:r>
      <w:r w:rsidR="00776248">
        <w:t xml:space="preserve"> </w:t>
      </w:r>
      <w:r w:rsidRPr="00C21A7F">
        <w:t xml:space="preserve">Figure </w:t>
      </w:r>
      <w:r w:rsidR="008054AB">
        <w:t>B</w:t>
      </w:r>
      <w:r w:rsidR="00AB44FF">
        <w:t>.2</w:t>
      </w:r>
      <w:r w:rsidR="001D64C0">
        <w:t>5</w:t>
      </w:r>
      <w:r w:rsidR="00AB44FF">
        <w:t xml:space="preserve"> </w:t>
      </w:r>
      <w:r w:rsidR="000260D7">
        <w:t>i</w:t>
      </w:r>
      <w:r w:rsidRPr="00C21A7F">
        <w:t xml:space="preserve">llustrates the variation of TOC, which is high at the base of the </w:t>
      </w:r>
      <w:r w:rsidR="001F1BFF">
        <w:t>U</w:t>
      </w:r>
      <w:r w:rsidRPr="00C21A7F">
        <w:t xml:space="preserve">pper Woodford member and starts to decrease towards the middle portion of the </w:t>
      </w:r>
      <w:r w:rsidR="001F1BFF">
        <w:t>U</w:t>
      </w:r>
      <w:r w:rsidRPr="00C21A7F">
        <w:t xml:space="preserve">pper member, then increases again in the middle portion and finally decreases towards the Woodford shale top. </w:t>
      </w:r>
    </w:p>
    <w:p w14:paraId="23D62EEE" w14:textId="481EC948" w:rsidR="0038797D" w:rsidRPr="00C21A7F" w:rsidRDefault="00B5481D" w:rsidP="00776248">
      <w:pPr>
        <w:ind w:firstLine="720"/>
      </w:pPr>
      <w:r>
        <w:lastRenderedPageBreak/>
        <w:t xml:space="preserve">The </w:t>
      </w:r>
      <w:r w:rsidR="00584B42">
        <w:t>r</w:t>
      </w:r>
      <w:r w:rsidR="0038797D" w:rsidRPr="00C21A7F">
        <w:t xml:space="preserve">elative hydrocarbon potential (Figure </w:t>
      </w:r>
      <w:r w:rsidR="008054AB">
        <w:t>B</w:t>
      </w:r>
      <w:r w:rsidR="00AB44FF">
        <w:t>.</w:t>
      </w:r>
      <w:r w:rsidR="007F4268" w:rsidRPr="00C21A7F">
        <w:t>2</w:t>
      </w:r>
      <w:r w:rsidR="001D64C0">
        <w:t>5</w:t>
      </w:r>
      <w:r w:rsidR="0038797D" w:rsidRPr="00C21A7F">
        <w:t>) varies along</w:t>
      </w:r>
      <w:r w:rsidR="000260D7">
        <w:t xml:space="preserve"> with</w:t>
      </w:r>
      <w:r w:rsidR="0038797D" w:rsidRPr="00C21A7F">
        <w:t xml:space="preserve"> the Woodford shale </w:t>
      </w:r>
      <w:r w:rsidR="001F1BFF">
        <w:t>U</w:t>
      </w:r>
      <w:r w:rsidR="0038797D" w:rsidRPr="00C21A7F">
        <w:t xml:space="preserve">pper member but drastically increases towards the </w:t>
      </w:r>
      <w:r w:rsidR="001F1BFF">
        <w:t>U</w:t>
      </w:r>
      <w:r w:rsidR="0038797D" w:rsidRPr="00C21A7F">
        <w:t xml:space="preserve">pper Woodford top with a final gentle drop, indicating oxic to anoxic depositional conditions in this area. </w:t>
      </w:r>
    </w:p>
    <w:p w14:paraId="3F490901" w14:textId="1071683A" w:rsidR="0038797D" w:rsidRPr="00C21A7F" w:rsidRDefault="00987AD1" w:rsidP="00776248">
      <w:pPr>
        <w:spacing w:line="240" w:lineRule="auto"/>
        <w:jc w:val="center"/>
      </w:pPr>
      <w:r w:rsidRPr="001E7D67">
        <w:rPr>
          <w:noProof/>
        </w:rPr>
        <w:drawing>
          <wp:inline distT="0" distB="0" distL="0" distR="0" wp14:anchorId="3E647C13" wp14:editId="679CEEA8">
            <wp:extent cx="5562116" cy="6221607"/>
            <wp:effectExtent l="0" t="0" r="635" b="8255"/>
            <wp:docPr id="6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569211" cy="6229544"/>
                    </a:xfrm>
                    <a:prstGeom prst="rect">
                      <a:avLst/>
                    </a:prstGeom>
                    <a:noFill/>
                    <a:ln>
                      <a:noFill/>
                    </a:ln>
                  </pic:spPr>
                </pic:pic>
              </a:graphicData>
            </a:graphic>
          </wp:inline>
        </w:drawing>
      </w:r>
    </w:p>
    <w:p w14:paraId="317F99E8" w14:textId="48F334A2" w:rsidR="0038797D" w:rsidRPr="00C21A7F" w:rsidRDefault="0038797D" w:rsidP="00776248">
      <w:pPr>
        <w:pStyle w:val="Caption"/>
      </w:pPr>
      <w:bookmarkStart w:id="508" w:name="_Toc35861290"/>
      <w:r w:rsidRPr="00C21A7F">
        <w:rPr>
          <w:b/>
        </w:rPr>
        <w:t xml:space="preserve">Figure </w:t>
      </w:r>
      <w:r w:rsidR="008054AB">
        <w:rPr>
          <w:b/>
        </w:rPr>
        <w:t>B</w:t>
      </w:r>
      <w:r w:rsidR="007F4268" w:rsidRPr="00C21A7F">
        <w:rPr>
          <w:b/>
        </w:rPr>
        <w:t>.2</w:t>
      </w:r>
      <w:r w:rsidR="001D64C0">
        <w:rPr>
          <w:b/>
        </w:rPr>
        <w:t>5</w:t>
      </w:r>
      <w:r w:rsidRPr="00C21A7F">
        <w:rPr>
          <w:b/>
        </w:rPr>
        <w:t xml:space="preserve">. </w:t>
      </w:r>
      <w:r w:rsidRPr="00C21A7F">
        <w:t xml:space="preserve">TOC, </w:t>
      </w:r>
      <w:r w:rsidR="005A5645">
        <w:t>r</w:t>
      </w:r>
      <w:r w:rsidRPr="00C21A7F">
        <w:t xml:space="preserve">elative </w:t>
      </w:r>
      <w:r w:rsidR="005A5645">
        <w:t>h</w:t>
      </w:r>
      <w:r w:rsidRPr="00C21A7F">
        <w:t xml:space="preserve">ydrocarbon </w:t>
      </w:r>
      <w:r w:rsidR="005A5645">
        <w:t>p</w:t>
      </w:r>
      <w:r w:rsidRPr="00C21A7F">
        <w:t>otential (RHP)</w:t>
      </w:r>
      <w:r w:rsidR="000260D7">
        <w:t>,</w:t>
      </w:r>
      <w:r w:rsidRPr="00C21A7F">
        <w:t xml:space="preserve"> and Tmax maturity variations along the I-35 </w:t>
      </w:r>
      <w:r w:rsidR="001F1BFF">
        <w:t>U</w:t>
      </w:r>
      <w:r w:rsidRPr="00C21A7F">
        <w:t xml:space="preserve">pper Woodford </w:t>
      </w:r>
      <w:r w:rsidR="005A5645">
        <w:t>m</w:t>
      </w:r>
      <w:r w:rsidRPr="00C21A7F">
        <w:t>ember outcrop. Most of the samples are immature (Tmax &lt;435 °C)</w:t>
      </w:r>
      <w:r w:rsidR="000260D7">
        <w:t>,</w:t>
      </w:r>
      <w:r w:rsidRPr="00C21A7F">
        <w:t xml:space="preserve"> with an average of 431°C of Tmax. Some samples show early oil generation thermal maturity, </w:t>
      </w:r>
      <w:r w:rsidR="000260D7">
        <w:t>e</w:t>
      </w:r>
      <w:r w:rsidRPr="00C21A7F">
        <w:t>specially towards the top.</w:t>
      </w:r>
      <w:bookmarkEnd w:id="508"/>
    </w:p>
    <w:p w14:paraId="4307942E" w14:textId="7B586DFE" w:rsidR="0038797D" w:rsidRPr="00C21A7F" w:rsidRDefault="00987AD1" w:rsidP="00BE56B2">
      <w:pPr>
        <w:spacing w:line="240" w:lineRule="auto"/>
        <w:rPr>
          <w:b/>
        </w:rPr>
      </w:pPr>
      <w:r w:rsidRPr="001E7D67">
        <w:rPr>
          <w:noProof/>
        </w:rPr>
        <w:lastRenderedPageBreak/>
        <w:drawing>
          <wp:inline distT="0" distB="0" distL="0" distR="0" wp14:anchorId="4E6D766B" wp14:editId="11F4E741">
            <wp:extent cx="5562600" cy="7188200"/>
            <wp:effectExtent l="0" t="0" r="0" b="0"/>
            <wp:docPr id="6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562600" cy="7188200"/>
                    </a:xfrm>
                    <a:prstGeom prst="rect">
                      <a:avLst/>
                    </a:prstGeom>
                    <a:noFill/>
                    <a:ln>
                      <a:noFill/>
                    </a:ln>
                  </pic:spPr>
                </pic:pic>
              </a:graphicData>
            </a:graphic>
          </wp:inline>
        </w:drawing>
      </w:r>
    </w:p>
    <w:p w14:paraId="14CC6E06" w14:textId="1ABBCBFA" w:rsidR="0038797D" w:rsidRPr="00C21A7F" w:rsidRDefault="0038797D" w:rsidP="00BE56B2">
      <w:pPr>
        <w:pStyle w:val="Caption"/>
      </w:pPr>
      <w:bookmarkStart w:id="509" w:name="_Toc35861291"/>
      <w:r w:rsidRPr="00C21A7F">
        <w:rPr>
          <w:b/>
        </w:rPr>
        <w:t xml:space="preserve">Figure </w:t>
      </w:r>
      <w:r w:rsidR="008054AB">
        <w:rPr>
          <w:b/>
        </w:rPr>
        <w:t>B</w:t>
      </w:r>
      <w:r w:rsidR="007F4268" w:rsidRPr="00C21A7F">
        <w:rPr>
          <w:b/>
        </w:rPr>
        <w:t>.2</w:t>
      </w:r>
      <w:r w:rsidR="001D64C0">
        <w:rPr>
          <w:b/>
        </w:rPr>
        <w:t>6</w:t>
      </w:r>
      <w:r w:rsidRPr="00C21A7F">
        <w:rPr>
          <w:b/>
        </w:rPr>
        <w:t>.</w:t>
      </w:r>
      <w:r w:rsidRPr="00C21A7F">
        <w:tab/>
        <w:t xml:space="preserve">HI vs. Tmax plot showing maturity and kerogen type for all 20 Woodford </w:t>
      </w:r>
      <w:r w:rsidR="005A5645">
        <w:t>s</w:t>
      </w:r>
      <w:r w:rsidRPr="00C21A7F">
        <w:t xml:space="preserve">hale outcrop samples of the I-35 section. Most of the samples plot on the </w:t>
      </w:r>
      <w:r w:rsidR="005A5645">
        <w:t>t</w:t>
      </w:r>
      <w:r w:rsidRPr="00C21A7F">
        <w:t xml:space="preserve">ype II kerogen yield, and two in the </w:t>
      </w:r>
      <w:r w:rsidR="005A5645">
        <w:t>t</w:t>
      </w:r>
      <w:r w:rsidRPr="00C21A7F">
        <w:t>ype I kerogen. All samples are of low thermal maturity</w:t>
      </w:r>
      <w:r w:rsidR="000260D7">
        <w:t>;</w:t>
      </w:r>
      <w:r w:rsidRPr="00C21A7F">
        <w:t xml:space="preserve"> therefore, the kerogen type yields might illustrate depositional organic facies conditions.</w:t>
      </w:r>
      <w:bookmarkEnd w:id="509"/>
    </w:p>
    <w:p w14:paraId="479ED08A" w14:textId="1B7F8F3A" w:rsidR="0038797D" w:rsidRPr="00C21A7F" w:rsidRDefault="00987AD1" w:rsidP="00BE56B2">
      <w:pPr>
        <w:spacing w:line="240" w:lineRule="auto"/>
        <w:rPr>
          <w:b/>
        </w:rPr>
      </w:pPr>
      <w:r w:rsidRPr="001E7D67">
        <w:rPr>
          <w:noProof/>
        </w:rPr>
        <w:lastRenderedPageBreak/>
        <w:drawing>
          <wp:inline distT="0" distB="0" distL="0" distR="0" wp14:anchorId="2EE0780A" wp14:editId="49ECC648">
            <wp:extent cx="5638800" cy="3937000"/>
            <wp:effectExtent l="0" t="0" r="0" b="0"/>
            <wp:docPr id="6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638800" cy="3937000"/>
                    </a:xfrm>
                    <a:prstGeom prst="rect">
                      <a:avLst/>
                    </a:prstGeom>
                    <a:noFill/>
                    <a:ln>
                      <a:noFill/>
                    </a:ln>
                  </pic:spPr>
                </pic:pic>
              </a:graphicData>
            </a:graphic>
          </wp:inline>
        </w:drawing>
      </w:r>
    </w:p>
    <w:p w14:paraId="32B318CC" w14:textId="05CD9B10" w:rsidR="0038797D" w:rsidRPr="00C21A7F" w:rsidRDefault="0038797D" w:rsidP="00BE56B2">
      <w:pPr>
        <w:pStyle w:val="Caption"/>
      </w:pPr>
      <w:bookmarkStart w:id="510" w:name="_Toc35861292"/>
      <w:r w:rsidRPr="00C21A7F">
        <w:rPr>
          <w:b/>
        </w:rPr>
        <w:t xml:space="preserve">Figure </w:t>
      </w:r>
      <w:r w:rsidR="008054AB">
        <w:rPr>
          <w:b/>
        </w:rPr>
        <w:t>B</w:t>
      </w:r>
      <w:r w:rsidR="007F4268" w:rsidRPr="00C21A7F">
        <w:rPr>
          <w:b/>
        </w:rPr>
        <w:t>.2</w:t>
      </w:r>
      <w:r w:rsidR="001D64C0">
        <w:rPr>
          <w:b/>
        </w:rPr>
        <w:t>7</w:t>
      </w:r>
      <w:r w:rsidRPr="00C21A7F">
        <w:rPr>
          <w:b/>
        </w:rPr>
        <w:t xml:space="preserve">. </w:t>
      </w:r>
      <w:r w:rsidRPr="00C21A7F">
        <w:t>Rock</w:t>
      </w:r>
      <w:r w:rsidR="000260D7">
        <w:t>-</w:t>
      </w:r>
      <w:r w:rsidRPr="00C21A7F">
        <w:t xml:space="preserve">Eval </w:t>
      </w:r>
      <w:r w:rsidR="005A5645">
        <w:t>r</w:t>
      </w:r>
      <w:r w:rsidRPr="00C21A7F">
        <w:t xml:space="preserve">emaining </w:t>
      </w:r>
      <w:r w:rsidR="005A5645">
        <w:t>h</w:t>
      </w:r>
      <w:r w:rsidRPr="00C21A7F">
        <w:t xml:space="preserve">ydrocarbon </w:t>
      </w:r>
      <w:r w:rsidR="005A5645">
        <w:t>p</w:t>
      </w:r>
      <w:r w:rsidRPr="00C21A7F">
        <w:t xml:space="preserve">otential (S2) vs. TOC plot for determination of kerogen type and maturity for all the 20 I-35 Woodford </w:t>
      </w:r>
      <w:r w:rsidR="00387229">
        <w:t>S</w:t>
      </w:r>
      <w:r w:rsidRPr="00C21A7F">
        <w:t xml:space="preserve">hale outcrop samples. Note that most of the samples plot in the type II </w:t>
      </w:r>
      <w:r w:rsidR="005A5645">
        <w:t>k</w:t>
      </w:r>
      <w:r w:rsidRPr="00C21A7F">
        <w:t>erogen yield</w:t>
      </w:r>
      <w:r w:rsidR="000260D7">
        <w:t>,</w:t>
      </w:r>
      <w:r w:rsidRPr="00C21A7F">
        <w:t xml:space="preserve"> and some are close to the </w:t>
      </w:r>
      <w:r w:rsidR="005A5645">
        <w:t>t</w:t>
      </w:r>
      <w:r w:rsidRPr="00C21A7F">
        <w:t>ype I kerogen yield. There are some type III kerogen samples attributed to be</w:t>
      </w:r>
      <w:r w:rsidR="000260D7">
        <w:t>ing</w:t>
      </w:r>
      <w:r w:rsidRPr="00C21A7F">
        <w:t xml:space="preserve"> part of mixed organic matter, because of the lack of depletion of S2 by the thermal cracking and the low maturity of the samples. Also</w:t>
      </w:r>
      <w:r w:rsidR="000260D7">
        <w:t>,</w:t>
      </w:r>
      <w:r w:rsidRPr="00C21A7F">
        <w:t xml:space="preserve"> </w:t>
      </w:r>
      <w:r w:rsidR="000260D7">
        <w:t>some samples</w:t>
      </w:r>
      <w:r w:rsidRPr="00C21A7F">
        <w:t xml:space="preserve"> plot in the </w:t>
      </w:r>
      <w:r w:rsidR="000260D7">
        <w:t>lean organic</w:t>
      </w:r>
      <w:r w:rsidRPr="00C21A7F">
        <w:t xml:space="preserve"> area of the </w:t>
      </w:r>
      <w:r w:rsidR="001F1BFF">
        <w:t>U</w:t>
      </w:r>
      <w:r w:rsidRPr="00C21A7F">
        <w:t>pper Woodford member.</w:t>
      </w:r>
      <w:bookmarkEnd w:id="510"/>
    </w:p>
    <w:p w14:paraId="791A0EEC" w14:textId="77777777" w:rsidR="00BE56B2" w:rsidRDefault="00BE56B2" w:rsidP="00BE56B2">
      <w:pPr>
        <w:spacing w:after="0"/>
        <w:rPr>
          <w:b/>
        </w:rPr>
      </w:pPr>
    </w:p>
    <w:p w14:paraId="5BAA8D63" w14:textId="17B0EA52" w:rsidR="0038797D" w:rsidRPr="00C21A7F" w:rsidRDefault="0038797D" w:rsidP="009349D2">
      <w:pPr>
        <w:rPr>
          <w:b/>
        </w:rPr>
      </w:pPr>
      <w:r w:rsidRPr="00C21A7F">
        <w:rPr>
          <w:b/>
        </w:rPr>
        <w:t>I-35 Hladik 23 H, Kingfisher Co.</w:t>
      </w:r>
      <w:r w:rsidR="000C2E72">
        <w:rPr>
          <w:b/>
        </w:rPr>
        <w:t xml:space="preserve"> Zhang (2016). </w:t>
      </w:r>
    </w:p>
    <w:p w14:paraId="1229EDF3" w14:textId="63662EEC" w:rsidR="0038797D" w:rsidRPr="00C21A7F" w:rsidRDefault="0038797D" w:rsidP="00BE56B2">
      <w:pPr>
        <w:ind w:firstLine="720"/>
      </w:pPr>
      <w:r w:rsidRPr="00C21A7F">
        <w:t xml:space="preserve">These samples are from a 1,300 ft horizontal well of the Woodford </w:t>
      </w:r>
      <w:r w:rsidR="00387229">
        <w:t>S</w:t>
      </w:r>
      <w:r w:rsidRPr="00C21A7F">
        <w:t xml:space="preserve">hale, located in </w:t>
      </w:r>
      <w:r w:rsidR="0040621C">
        <w:t>s</w:t>
      </w:r>
      <w:r w:rsidRPr="00C21A7F">
        <w:t>outh Kingfisher County in Oklahoma. TOC varies from 2.55% to 10.9%. Data points are from Zhang (2016). The average Tmax of 443.5 °C, indicates oil</w:t>
      </w:r>
      <w:r w:rsidR="001623C6">
        <w:t xml:space="preserve"> and wet gas window generation. </w:t>
      </w:r>
      <w:r w:rsidRPr="00C21A7F">
        <w:t xml:space="preserve">Figure </w:t>
      </w:r>
      <w:r w:rsidR="008054AB">
        <w:t>B</w:t>
      </w:r>
      <w:r w:rsidR="00AB44FF">
        <w:t>.</w:t>
      </w:r>
      <w:r w:rsidR="001623C6">
        <w:t>2</w:t>
      </w:r>
      <w:r w:rsidR="001D64C0">
        <w:t>8</w:t>
      </w:r>
      <w:r w:rsidRPr="00C21A7F">
        <w:t xml:space="preserve"> </w:t>
      </w:r>
      <w:r w:rsidR="000260D7">
        <w:t>i</w:t>
      </w:r>
      <w:r w:rsidRPr="00C21A7F">
        <w:t xml:space="preserve">llustrates the variation of TOC, which is lower at the toe of the well and increases towards the heel of the horizontal well. Relative hydrocarbon potential (Figure </w:t>
      </w:r>
      <w:r w:rsidR="008054AB">
        <w:t>B</w:t>
      </w:r>
      <w:r w:rsidR="00AB44FF">
        <w:t>.</w:t>
      </w:r>
      <w:r w:rsidR="007E4118">
        <w:t>2</w:t>
      </w:r>
      <w:r w:rsidR="001D64C0">
        <w:t>8</w:t>
      </w:r>
      <w:r w:rsidRPr="00C21A7F">
        <w:t xml:space="preserve">) varies along the </w:t>
      </w:r>
      <w:r w:rsidRPr="00C21A7F">
        <w:lastRenderedPageBreak/>
        <w:t xml:space="preserve">Woodford </w:t>
      </w:r>
      <w:r w:rsidR="00387229">
        <w:t>S</w:t>
      </w:r>
      <w:r w:rsidRPr="00C21A7F">
        <w:t xml:space="preserve">hale and increases close to the toe of the well, where the horizontal well was landed in the </w:t>
      </w:r>
      <w:r w:rsidR="00310AC9">
        <w:t>L</w:t>
      </w:r>
      <w:r w:rsidRPr="00C21A7F">
        <w:t xml:space="preserve">ower Woodford member (Zhang, 2016). </w:t>
      </w:r>
    </w:p>
    <w:p w14:paraId="51D42908" w14:textId="6A0EFDFC" w:rsidR="0038797D" w:rsidRDefault="00987AD1" w:rsidP="00BE56B2">
      <w:pPr>
        <w:jc w:val="center"/>
        <w:rPr>
          <w:b/>
        </w:rPr>
      </w:pPr>
      <w:r w:rsidRPr="001E7D67">
        <w:rPr>
          <w:noProof/>
        </w:rPr>
        <w:drawing>
          <wp:inline distT="0" distB="0" distL="0" distR="0" wp14:anchorId="57BCEE1C" wp14:editId="176A74C9">
            <wp:extent cx="5626100" cy="5499100"/>
            <wp:effectExtent l="0" t="0" r="0" b="0"/>
            <wp:docPr id="63"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626100" cy="5499100"/>
                    </a:xfrm>
                    <a:prstGeom prst="rect">
                      <a:avLst/>
                    </a:prstGeom>
                    <a:noFill/>
                    <a:ln>
                      <a:noFill/>
                    </a:ln>
                  </pic:spPr>
                </pic:pic>
              </a:graphicData>
            </a:graphic>
          </wp:inline>
        </w:drawing>
      </w:r>
    </w:p>
    <w:p w14:paraId="533701A1" w14:textId="761FB719" w:rsidR="0038797D" w:rsidRPr="00C21A7F" w:rsidRDefault="0038797D" w:rsidP="00BE56B2">
      <w:pPr>
        <w:pStyle w:val="Caption"/>
      </w:pPr>
      <w:bookmarkStart w:id="511" w:name="_Toc35861293"/>
      <w:r w:rsidRPr="00C21A7F">
        <w:rPr>
          <w:b/>
        </w:rPr>
        <w:t xml:space="preserve">Figure </w:t>
      </w:r>
      <w:r w:rsidR="008054AB">
        <w:rPr>
          <w:b/>
        </w:rPr>
        <w:t>B</w:t>
      </w:r>
      <w:r w:rsidR="007F4268" w:rsidRPr="00C21A7F">
        <w:rPr>
          <w:b/>
        </w:rPr>
        <w:t>.2</w:t>
      </w:r>
      <w:r w:rsidR="001D64C0">
        <w:rPr>
          <w:b/>
        </w:rPr>
        <w:t>8</w:t>
      </w:r>
      <w:r w:rsidRPr="00C21A7F">
        <w:rPr>
          <w:b/>
        </w:rPr>
        <w:t xml:space="preserve">. </w:t>
      </w:r>
      <w:r w:rsidRPr="00C21A7F">
        <w:t xml:space="preserve">TOC, </w:t>
      </w:r>
      <w:r w:rsidR="005A5645">
        <w:t>r</w:t>
      </w:r>
      <w:r w:rsidRPr="00C21A7F">
        <w:t xml:space="preserve">elative </w:t>
      </w:r>
      <w:r w:rsidR="005A5645">
        <w:t>h</w:t>
      </w:r>
      <w:r w:rsidRPr="00C21A7F">
        <w:t xml:space="preserve">ydrocarbon </w:t>
      </w:r>
      <w:r w:rsidR="005A5645">
        <w:t>p</w:t>
      </w:r>
      <w:r w:rsidRPr="00C21A7F">
        <w:t>otential (RHP)</w:t>
      </w:r>
      <w:r w:rsidR="000260D7">
        <w:t>,</w:t>
      </w:r>
      <w:r w:rsidRPr="00C21A7F">
        <w:t xml:space="preserve"> and Tmax maturity variations along the Hladik 23 </w:t>
      </w:r>
      <w:r w:rsidR="005A5645">
        <w:t>h</w:t>
      </w:r>
      <w:r w:rsidRPr="00C21A7F">
        <w:t>orizontal well.</w:t>
      </w:r>
      <w:r w:rsidR="00C4404F">
        <w:t xml:space="preserve"> Horizontal well geosteering profile was not available</w:t>
      </w:r>
      <w:r w:rsidR="004C5A81">
        <w:t>;</w:t>
      </w:r>
      <w:r w:rsidR="00C4404F">
        <w:t xml:space="preserve"> it was difficult to understand if the horizontal trajectory kept the wellbore most of the time inside the target zone and therefore, </w:t>
      </w:r>
      <w:r w:rsidR="004C5A81">
        <w:t>the variations in TOC, RHP, and Tmax can be attributed to lateral facies change</w:t>
      </w:r>
      <w:r w:rsidR="00536D37">
        <w:t>,</w:t>
      </w:r>
      <w:r w:rsidR="004C5A81">
        <w:t xml:space="preserve"> or </w:t>
      </w:r>
      <w:r w:rsidR="00536D37">
        <w:t xml:space="preserve">if this observed changes when increasing the measured depth (MD) correspond to </w:t>
      </w:r>
      <w:r w:rsidR="004C5A81">
        <w:t xml:space="preserve">a vertical </w:t>
      </w:r>
      <w:r w:rsidR="00536D37">
        <w:t>disparity</w:t>
      </w:r>
      <w:r w:rsidR="004C5A81">
        <w:t xml:space="preserve"> of the</w:t>
      </w:r>
      <w:r w:rsidR="00536D37">
        <w:t xml:space="preserve"> wellbore</w:t>
      </w:r>
      <w:r w:rsidR="004C5A81">
        <w:t xml:space="preserve"> horizontal section that crosses the Woodford </w:t>
      </w:r>
      <w:r w:rsidR="00387229">
        <w:t>S</w:t>
      </w:r>
      <w:r w:rsidR="004C5A81">
        <w:t xml:space="preserve">hale vertical stratigraphic variations. </w:t>
      </w:r>
      <w:r w:rsidRPr="00C21A7F">
        <w:t>Most of the samples are mature (Tmax &gt;435 °C)</w:t>
      </w:r>
      <w:r w:rsidR="000260D7">
        <w:t>,</w:t>
      </w:r>
      <w:r w:rsidRPr="00C21A7F">
        <w:t xml:space="preserve"> with an average of 443.5°C of Tmax. All the samples show early oil generation thermal maturity to peak oil maturity, especially towards the end of the horizontal wellbore.</w:t>
      </w:r>
      <w:bookmarkEnd w:id="511"/>
    </w:p>
    <w:p w14:paraId="52BC9751" w14:textId="66CB7A2D" w:rsidR="0038797D" w:rsidRDefault="00987AD1" w:rsidP="00BE56B2">
      <w:pPr>
        <w:jc w:val="center"/>
        <w:rPr>
          <w:b/>
        </w:rPr>
      </w:pPr>
      <w:r w:rsidRPr="001E7D67">
        <w:rPr>
          <w:noProof/>
        </w:rPr>
        <w:lastRenderedPageBreak/>
        <w:drawing>
          <wp:inline distT="0" distB="0" distL="0" distR="0" wp14:anchorId="6345EE1F" wp14:editId="340139BA">
            <wp:extent cx="5231423" cy="6831623"/>
            <wp:effectExtent l="0" t="0" r="0" b="7620"/>
            <wp:docPr id="62" name="Chart 71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14:paraId="066B562B" w14:textId="1E8E9403" w:rsidR="0038797D" w:rsidRPr="00C21A7F" w:rsidRDefault="0038797D" w:rsidP="00BE56B2">
      <w:pPr>
        <w:pStyle w:val="Caption"/>
      </w:pPr>
      <w:bookmarkStart w:id="512" w:name="_Toc35861294"/>
      <w:r w:rsidRPr="00C21A7F">
        <w:rPr>
          <w:b/>
        </w:rPr>
        <w:t xml:space="preserve">Figure </w:t>
      </w:r>
      <w:r w:rsidR="008054AB">
        <w:rPr>
          <w:b/>
        </w:rPr>
        <w:t>B</w:t>
      </w:r>
      <w:r w:rsidR="007F4268" w:rsidRPr="00C21A7F">
        <w:rPr>
          <w:b/>
        </w:rPr>
        <w:t>.2</w:t>
      </w:r>
      <w:r w:rsidR="001D64C0">
        <w:rPr>
          <w:b/>
        </w:rPr>
        <w:t>9</w:t>
      </w:r>
      <w:r w:rsidRPr="00C21A7F">
        <w:rPr>
          <w:b/>
        </w:rPr>
        <w:t xml:space="preserve">.  </w:t>
      </w:r>
      <w:r w:rsidRPr="00C21A7F">
        <w:t xml:space="preserve">Modified pseudo </w:t>
      </w:r>
      <w:r w:rsidR="005A5645">
        <w:t>v</w:t>
      </w:r>
      <w:r w:rsidRPr="00C21A7F">
        <w:t xml:space="preserve">an Krevelen diagram for the cutting samples of the </w:t>
      </w:r>
      <w:r w:rsidR="005A5645">
        <w:t>h</w:t>
      </w:r>
      <w:r w:rsidRPr="00C21A7F">
        <w:t xml:space="preserve">orizontal well Hladik 23. The diagram shows the source rock intervals are dominated by apparent </w:t>
      </w:r>
      <w:r w:rsidR="005A5645">
        <w:t>t</w:t>
      </w:r>
      <w:r w:rsidRPr="00C21A7F">
        <w:t>ype II kerogen</w:t>
      </w:r>
      <w:r w:rsidR="008918C0">
        <w:t xml:space="preserve"> — s</w:t>
      </w:r>
      <w:r w:rsidRPr="00C21A7F">
        <w:t>ome samples plot in the type III area.</w:t>
      </w:r>
      <w:bookmarkEnd w:id="512"/>
    </w:p>
    <w:p w14:paraId="3AC34DB4" w14:textId="5D6EC515" w:rsidR="0038797D" w:rsidRDefault="0038797D" w:rsidP="009349D2"/>
    <w:p w14:paraId="7D8BA299" w14:textId="5CB1B948" w:rsidR="009154A5" w:rsidRDefault="009154A5" w:rsidP="00F77267">
      <w:pPr>
        <w:spacing w:after="0" w:line="276" w:lineRule="auto"/>
        <w:jc w:val="center"/>
      </w:pPr>
      <w:r>
        <w:rPr>
          <w:noProof/>
        </w:rPr>
        <w:lastRenderedPageBreak/>
        <w:drawing>
          <wp:inline distT="0" distB="0" distL="0" distR="0" wp14:anchorId="5F17998B" wp14:editId="7412DB7A">
            <wp:extent cx="4823818" cy="758952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823818" cy="7589520"/>
                    </a:xfrm>
                    <a:prstGeom prst="rect">
                      <a:avLst/>
                    </a:prstGeom>
                    <a:noFill/>
                  </pic:spPr>
                </pic:pic>
              </a:graphicData>
            </a:graphic>
          </wp:inline>
        </w:drawing>
      </w:r>
    </w:p>
    <w:p w14:paraId="291DDED7" w14:textId="0F817153" w:rsidR="009154A5" w:rsidRPr="00F77267" w:rsidRDefault="00F77267" w:rsidP="00F77267">
      <w:pPr>
        <w:pStyle w:val="Caption"/>
        <w:jc w:val="center"/>
      </w:pPr>
      <w:bookmarkStart w:id="513" w:name="_Toc35861295"/>
      <w:r w:rsidRPr="00F77267">
        <w:rPr>
          <w:b/>
        </w:rPr>
        <w:t xml:space="preserve">Figure </w:t>
      </w:r>
      <w:r w:rsidR="008054AB">
        <w:rPr>
          <w:b/>
        </w:rPr>
        <w:t>B</w:t>
      </w:r>
      <w:r w:rsidRPr="00F77267">
        <w:rPr>
          <w:b/>
        </w:rPr>
        <w:t>.30.</w:t>
      </w:r>
      <w:r>
        <w:rPr>
          <w:b/>
        </w:rPr>
        <w:t xml:space="preserve"> </w:t>
      </w:r>
      <w:r>
        <w:t>Regional Woodford Shale structure map [TVDSS ft]. Magenta lines correspond to Mississippian reservoir horizontal wells. Brown lines correspond to Woodford Shale horizontal wells.</w:t>
      </w:r>
      <w:bookmarkEnd w:id="513"/>
      <w:r>
        <w:t xml:space="preserve"> </w:t>
      </w:r>
    </w:p>
    <w:p w14:paraId="1319E9AD" w14:textId="7CC7E7B5" w:rsidR="009154A5" w:rsidRDefault="009154A5" w:rsidP="00F77267">
      <w:pPr>
        <w:spacing w:after="0" w:line="276" w:lineRule="auto"/>
        <w:jc w:val="center"/>
      </w:pPr>
      <w:r>
        <w:rPr>
          <w:noProof/>
        </w:rPr>
        <w:lastRenderedPageBreak/>
        <w:drawing>
          <wp:inline distT="0" distB="0" distL="0" distR="0" wp14:anchorId="2E0A8596" wp14:editId="0234E77D">
            <wp:extent cx="4816794" cy="7589520"/>
            <wp:effectExtent l="0" t="0" r="317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816794" cy="7589520"/>
                    </a:xfrm>
                    <a:prstGeom prst="rect">
                      <a:avLst/>
                    </a:prstGeom>
                    <a:noFill/>
                  </pic:spPr>
                </pic:pic>
              </a:graphicData>
            </a:graphic>
          </wp:inline>
        </w:drawing>
      </w:r>
    </w:p>
    <w:p w14:paraId="4942B875" w14:textId="3D2AE3C5" w:rsidR="00F77267" w:rsidRPr="00F77267" w:rsidRDefault="00F77267" w:rsidP="00F77267">
      <w:pPr>
        <w:pStyle w:val="Caption"/>
        <w:jc w:val="center"/>
      </w:pPr>
      <w:bookmarkStart w:id="514" w:name="_Toc35861296"/>
      <w:r>
        <w:rPr>
          <w:b/>
        </w:rPr>
        <w:t xml:space="preserve">Figure </w:t>
      </w:r>
      <w:r w:rsidR="008054AB">
        <w:rPr>
          <w:b/>
        </w:rPr>
        <w:t>B</w:t>
      </w:r>
      <w:r>
        <w:rPr>
          <w:b/>
        </w:rPr>
        <w:t xml:space="preserve">.31. </w:t>
      </w:r>
      <w:r>
        <w:t>Regional Woodford Shale gross thickness map [ft]. Magenta lines correspond to Mississippian reservoir horizontal wells. Brown lines correspond to Woodford Shale horizontal wells.</w:t>
      </w:r>
      <w:bookmarkEnd w:id="514"/>
      <w:r>
        <w:t xml:space="preserve"> </w:t>
      </w:r>
    </w:p>
    <w:p w14:paraId="4A3270E0" w14:textId="16D5BA95" w:rsidR="009154A5" w:rsidRDefault="009154A5" w:rsidP="00F77267">
      <w:pPr>
        <w:spacing w:after="0" w:line="276" w:lineRule="auto"/>
        <w:jc w:val="center"/>
      </w:pPr>
      <w:r>
        <w:rPr>
          <w:noProof/>
        </w:rPr>
        <w:lastRenderedPageBreak/>
        <w:drawing>
          <wp:inline distT="0" distB="0" distL="0" distR="0" wp14:anchorId="6C350920" wp14:editId="001F3CA2">
            <wp:extent cx="4816794" cy="7589520"/>
            <wp:effectExtent l="0" t="0" r="317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816794" cy="7589520"/>
                    </a:xfrm>
                    <a:prstGeom prst="rect">
                      <a:avLst/>
                    </a:prstGeom>
                    <a:noFill/>
                  </pic:spPr>
                </pic:pic>
              </a:graphicData>
            </a:graphic>
          </wp:inline>
        </w:drawing>
      </w:r>
    </w:p>
    <w:p w14:paraId="6C7E8DF7" w14:textId="5F0E9930" w:rsidR="00F77267" w:rsidRPr="00F77267" w:rsidRDefault="00F77267" w:rsidP="00F77267">
      <w:pPr>
        <w:pStyle w:val="Caption"/>
        <w:jc w:val="center"/>
      </w:pPr>
      <w:bookmarkStart w:id="515" w:name="_Toc35861297"/>
      <w:r w:rsidRPr="00F77267">
        <w:rPr>
          <w:b/>
        </w:rPr>
        <w:t xml:space="preserve">Figure </w:t>
      </w:r>
      <w:r w:rsidR="008054AB">
        <w:rPr>
          <w:b/>
        </w:rPr>
        <w:t>B.3</w:t>
      </w:r>
      <w:r w:rsidRPr="00F77267">
        <w:rPr>
          <w:b/>
        </w:rPr>
        <w:t>2.</w:t>
      </w:r>
      <w:r>
        <w:t xml:space="preserve"> Regional Hunton group (pre-Woodford Shale) gross thickness map [ft]. Magenta lines correspond to Mississippian reservoir horizontal wells. Brown lines correspond to Woodford Shale horizontal wells.</w:t>
      </w:r>
      <w:bookmarkEnd w:id="515"/>
      <w:r>
        <w:t xml:space="preserve"> </w:t>
      </w:r>
    </w:p>
    <w:p w14:paraId="7E229248" w14:textId="6132E8C3" w:rsidR="0038797D" w:rsidRPr="00C21A7F" w:rsidRDefault="00E047CB" w:rsidP="009349D2">
      <w:pPr>
        <w:rPr>
          <w:rFonts w:ascii="Times New Roman Bold" w:hAnsi="Times New Roman Bold"/>
          <w:b/>
          <w:caps/>
        </w:rPr>
      </w:pPr>
      <w:r w:rsidRPr="00C21A7F">
        <w:lastRenderedPageBreak/>
        <w:t xml:space="preserve"> </w:t>
      </w:r>
      <w:r w:rsidR="0038797D" w:rsidRPr="00C21A7F">
        <w:rPr>
          <w:rFonts w:ascii="Times New Roman Bold" w:hAnsi="Times New Roman Bold"/>
          <w:b/>
          <w:caps/>
        </w:rPr>
        <w:t>C</w:t>
      </w:r>
      <w:r w:rsidR="00BE56B2">
        <w:rPr>
          <w:rFonts w:ascii="Times New Roman Bold" w:hAnsi="Times New Roman Bold"/>
          <w:b/>
        </w:rPr>
        <w:t>onclusions</w:t>
      </w:r>
    </w:p>
    <w:p w14:paraId="75FD5283" w14:textId="5DDF97EC" w:rsidR="0038797D" w:rsidRPr="00C21A7F" w:rsidRDefault="0038797D" w:rsidP="00BE56B2">
      <w:pPr>
        <w:ind w:firstLine="720"/>
      </w:pPr>
      <w:r w:rsidRPr="00C21A7F">
        <w:t xml:space="preserve">There are some samples that on the plots seem to </w:t>
      </w:r>
      <w:r w:rsidR="00AF5384">
        <w:t xml:space="preserve">contain apparent </w:t>
      </w:r>
      <w:r w:rsidRPr="00C21A7F">
        <w:t xml:space="preserve">type I kerogen, indicating a possible lacustrine depositional origin, especially for the </w:t>
      </w:r>
      <w:r w:rsidR="00310AC9">
        <w:t>L</w:t>
      </w:r>
      <w:r w:rsidRPr="00C21A7F">
        <w:t xml:space="preserve">ower and </w:t>
      </w:r>
      <w:r w:rsidR="001F1BFF">
        <w:t>U</w:t>
      </w:r>
      <w:r w:rsidRPr="00C21A7F">
        <w:t xml:space="preserve">pper Woodford </w:t>
      </w:r>
      <w:r w:rsidR="00387229">
        <w:t>S</w:t>
      </w:r>
      <w:r w:rsidRPr="00C21A7F">
        <w:t>hale members in the I-35 outcrop,</w:t>
      </w:r>
      <w:r w:rsidR="00AF5384">
        <w:t xml:space="preserve"> for the</w:t>
      </w:r>
      <w:r w:rsidRPr="00C21A7F">
        <w:t xml:space="preserve"> Ray 1-13 core, McAlister Quarry and </w:t>
      </w:r>
      <w:r w:rsidR="00AF5384">
        <w:t xml:space="preserve">the </w:t>
      </w:r>
      <w:r w:rsidRPr="00C21A7F">
        <w:t>Wyche</w:t>
      </w:r>
      <w:r w:rsidR="00387229">
        <w:t>-</w:t>
      </w:r>
      <w:r w:rsidRPr="00C21A7F">
        <w:t xml:space="preserve">1 core locations. These samples co-vary with the </w:t>
      </w:r>
      <w:r w:rsidR="00387229">
        <w:t>r</w:t>
      </w:r>
      <w:r w:rsidRPr="00C21A7F">
        <w:t xml:space="preserve">elative </w:t>
      </w:r>
      <w:r w:rsidR="00387229">
        <w:t>h</w:t>
      </w:r>
      <w:r w:rsidRPr="00C21A7F">
        <w:t xml:space="preserve">ydrocarbon </w:t>
      </w:r>
      <w:r w:rsidR="00387229">
        <w:t>p</w:t>
      </w:r>
      <w:r w:rsidRPr="00C21A7F">
        <w:t>otential (RHP) as high anoxic intervals. For the other locations</w:t>
      </w:r>
      <w:r w:rsidR="000260D7">
        <w:t>,</w:t>
      </w:r>
      <w:r w:rsidRPr="00C21A7F">
        <w:t xml:space="preserve"> the Woodford </w:t>
      </w:r>
      <w:r w:rsidR="00387229">
        <w:t>S</w:t>
      </w:r>
      <w:r w:rsidRPr="00C21A7F">
        <w:t xml:space="preserve">hale organic facies seem to correspond to only </w:t>
      </w:r>
      <w:r w:rsidR="00387229">
        <w:t>t</w:t>
      </w:r>
      <w:r w:rsidRPr="00C21A7F">
        <w:t xml:space="preserve">ype II and </w:t>
      </w:r>
      <w:r w:rsidR="00387229">
        <w:t>t</w:t>
      </w:r>
      <w:r w:rsidRPr="00C21A7F">
        <w:t>ype III.</w:t>
      </w:r>
      <w:r w:rsidR="007F4268" w:rsidRPr="00C21A7F">
        <w:t xml:space="preserve"> These can </w:t>
      </w:r>
      <w:r w:rsidR="000260D7">
        <w:t>also be</w:t>
      </w:r>
      <w:r w:rsidR="007F4268" w:rsidRPr="00C21A7F">
        <w:t xml:space="preserve"> related to the low oxygen conten</w:t>
      </w:r>
      <w:r w:rsidR="000260D7">
        <w:t>t</w:t>
      </w:r>
      <w:r w:rsidR="007F4268" w:rsidRPr="00C21A7F">
        <w:t xml:space="preserve"> and higher free sulfur that replaces oxygen molecules, therefore indicating an area of a</w:t>
      </w:r>
      <w:r w:rsidR="000260D7">
        <w:t>p</w:t>
      </w:r>
      <w:r w:rsidR="007F4268" w:rsidRPr="00C21A7F">
        <w:t>parent lacustrine type organic matter</w:t>
      </w:r>
      <w:r w:rsidR="00804F72">
        <w:t xml:space="preserve"> inside the marine Woodford Shale</w:t>
      </w:r>
      <w:r w:rsidR="007F4268" w:rsidRPr="00C21A7F">
        <w:t xml:space="preserve">. </w:t>
      </w:r>
    </w:p>
    <w:p w14:paraId="59CFAFA3" w14:textId="02CDC3EF" w:rsidR="0038797D" w:rsidRPr="00C21A7F" w:rsidRDefault="00BE56B2" w:rsidP="009349D2">
      <w:pPr>
        <w:rPr>
          <w:rFonts w:ascii="Times New Roman Bold" w:hAnsi="Times New Roman Bold"/>
          <w:b/>
          <w:caps/>
        </w:rPr>
      </w:pPr>
      <w:r w:rsidRPr="00C21A7F">
        <w:rPr>
          <w:rFonts w:ascii="Times New Roman Bold" w:hAnsi="Times New Roman Bold"/>
          <w:b/>
        </w:rPr>
        <w:t xml:space="preserve">Cited </w:t>
      </w:r>
      <w:r>
        <w:rPr>
          <w:rFonts w:ascii="Times New Roman Bold" w:hAnsi="Times New Roman Bold"/>
          <w:b/>
        </w:rPr>
        <w:t>R</w:t>
      </w:r>
      <w:r w:rsidRPr="00C21A7F">
        <w:rPr>
          <w:rFonts w:ascii="Times New Roman Bold" w:hAnsi="Times New Roman Bold"/>
          <w:b/>
        </w:rPr>
        <w:t>eferences</w:t>
      </w:r>
    </w:p>
    <w:p w14:paraId="68926653" w14:textId="7381548C" w:rsidR="0038797D" w:rsidRPr="00BE56B2" w:rsidRDefault="0038797D" w:rsidP="00BE56B2">
      <w:pPr>
        <w:pStyle w:val="ListParagraph"/>
        <w:numPr>
          <w:ilvl w:val="0"/>
          <w:numId w:val="21"/>
        </w:numPr>
        <w:rPr>
          <w:bCs/>
        </w:rPr>
      </w:pPr>
      <w:r w:rsidRPr="00BE56B2">
        <w:rPr>
          <w:bCs/>
        </w:rPr>
        <w:t xml:space="preserve">Albaghdady, A., 2013.Organic geochemical characterization of source rocks (Sirt Shale) and crude oils from </w:t>
      </w:r>
      <w:r w:rsidR="000260D7" w:rsidRPr="00BE56B2">
        <w:rPr>
          <w:bCs/>
        </w:rPr>
        <w:t xml:space="preserve">the </w:t>
      </w:r>
      <w:r w:rsidR="00475E63">
        <w:rPr>
          <w:bCs/>
        </w:rPr>
        <w:t>C</w:t>
      </w:r>
      <w:r w:rsidRPr="00BE56B2">
        <w:rPr>
          <w:bCs/>
        </w:rPr>
        <w:t xml:space="preserve">entral Sirt basin, Lybia. </w:t>
      </w:r>
      <w:r w:rsidR="00475E63">
        <w:rPr>
          <w:bCs/>
        </w:rPr>
        <w:t>Doctoral dissertation manuscript</w:t>
      </w:r>
      <w:r w:rsidRPr="00BE56B2">
        <w:rPr>
          <w:bCs/>
        </w:rPr>
        <w:t>, The University of Oklahoma, p. 259.</w:t>
      </w:r>
    </w:p>
    <w:p w14:paraId="03DC3EDF" w14:textId="249311E7" w:rsidR="0038797D" w:rsidRPr="00BE56B2" w:rsidRDefault="0038797D" w:rsidP="00BE56B2">
      <w:pPr>
        <w:pStyle w:val="ListParagraph"/>
        <w:numPr>
          <w:ilvl w:val="0"/>
          <w:numId w:val="21"/>
        </w:numPr>
        <w:rPr>
          <w:bCs/>
        </w:rPr>
      </w:pPr>
      <w:r w:rsidRPr="00BE56B2">
        <w:rPr>
          <w:bCs/>
        </w:rPr>
        <w:t>Chain, A.R., 2012. Stratigraphy and composition of the Woodford Shale in depositionally updip and downdip wells, Anadarko Basin, Oklahoma. M.S</w:t>
      </w:r>
      <w:r w:rsidR="00E5690F">
        <w:rPr>
          <w:bCs/>
        </w:rPr>
        <w:t>c</w:t>
      </w:r>
      <w:r w:rsidRPr="00BE56B2">
        <w:rPr>
          <w:bCs/>
        </w:rPr>
        <w:t xml:space="preserve">. </w:t>
      </w:r>
      <w:r w:rsidR="00E5690F">
        <w:rPr>
          <w:bCs/>
        </w:rPr>
        <w:t>t</w:t>
      </w:r>
      <w:r w:rsidRPr="00BE56B2">
        <w:rPr>
          <w:bCs/>
        </w:rPr>
        <w:t>hesis</w:t>
      </w:r>
      <w:r w:rsidR="00E5690F">
        <w:rPr>
          <w:bCs/>
        </w:rPr>
        <w:t xml:space="preserve"> manuscript</w:t>
      </w:r>
      <w:r w:rsidRPr="00BE56B2">
        <w:rPr>
          <w:bCs/>
        </w:rPr>
        <w:t>, The University of Oklahoma, p. 138.</w:t>
      </w:r>
    </w:p>
    <w:p w14:paraId="547F1D2C" w14:textId="77777777" w:rsidR="00F40512" w:rsidRPr="00183F0C" w:rsidRDefault="00F40512" w:rsidP="00F40512">
      <w:pPr>
        <w:pStyle w:val="ListParagraph"/>
        <w:numPr>
          <w:ilvl w:val="0"/>
          <w:numId w:val="21"/>
        </w:numPr>
        <w:rPr>
          <w:rFonts w:eastAsia="Times New Roman"/>
          <w:color w:val="000000"/>
        </w:rPr>
      </w:pPr>
      <w:r w:rsidRPr="00183F0C">
        <w:rPr>
          <w:rFonts w:eastAsia="Times New Roman"/>
          <w:color w:val="000000"/>
        </w:rPr>
        <w:t xml:space="preserve">Connock, G.T., 2015. Paleoenvironmental Interpretation of the Woodford Shale, Wyche Farm </w:t>
      </w:r>
      <w:r>
        <w:rPr>
          <w:rFonts w:eastAsia="Times New Roman"/>
          <w:color w:val="000000"/>
        </w:rPr>
        <w:t>s</w:t>
      </w:r>
      <w:r w:rsidRPr="00183F0C">
        <w:rPr>
          <w:rFonts w:eastAsia="Times New Roman"/>
          <w:color w:val="000000"/>
        </w:rPr>
        <w:t xml:space="preserve">hale </w:t>
      </w:r>
      <w:r>
        <w:rPr>
          <w:rFonts w:eastAsia="Times New Roman"/>
          <w:color w:val="000000"/>
        </w:rPr>
        <w:t>p</w:t>
      </w:r>
      <w:r w:rsidRPr="00183F0C">
        <w:rPr>
          <w:rFonts w:eastAsia="Times New Roman"/>
          <w:color w:val="000000"/>
        </w:rPr>
        <w:t xml:space="preserve">it, Pontotoc </w:t>
      </w:r>
      <w:r>
        <w:rPr>
          <w:rFonts w:eastAsia="Times New Roman"/>
          <w:color w:val="000000"/>
        </w:rPr>
        <w:t>C</w:t>
      </w:r>
      <w:r w:rsidRPr="00183F0C">
        <w:rPr>
          <w:rFonts w:eastAsia="Times New Roman"/>
          <w:color w:val="000000"/>
        </w:rPr>
        <w:t xml:space="preserve">ounty, Arkoma Basin, Oklahoma With Primary Focus on Water Column Structure. M.Sc. </w:t>
      </w:r>
      <w:r>
        <w:rPr>
          <w:rFonts w:eastAsia="Times New Roman"/>
          <w:color w:val="000000"/>
        </w:rPr>
        <w:t>t</w:t>
      </w:r>
      <w:r w:rsidRPr="00183F0C">
        <w:rPr>
          <w:rFonts w:eastAsia="Times New Roman"/>
          <w:color w:val="000000"/>
        </w:rPr>
        <w:t>hesis manuscript, The University of Oklahoma, p. 266.</w:t>
      </w:r>
    </w:p>
    <w:p w14:paraId="2B8EFFD8" w14:textId="6E885045" w:rsidR="00F40512" w:rsidRDefault="00F40512" w:rsidP="00F40512">
      <w:pPr>
        <w:pStyle w:val="ListParagraph"/>
        <w:numPr>
          <w:ilvl w:val="0"/>
          <w:numId w:val="21"/>
        </w:numPr>
        <w:rPr>
          <w:rFonts w:eastAsia="Times New Roman"/>
          <w:color w:val="000000"/>
        </w:rPr>
      </w:pPr>
      <w:r w:rsidRPr="00183F0C">
        <w:rPr>
          <w:rFonts w:eastAsia="Times New Roman"/>
          <w:color w:val="000000"/>
        </w:rPr>
        <w:t>Connock, G</w:t>
      </w:r>
      <w:r>
        <w:rPr>
          <w:rFonts w:eastAsia="Times New Roman"/>
          <w:color w:val="000000"/>
        </w:rPr>
        <w:t>.</w:t>
      </w:r>
      <w:r w:rsidRPr="00183F0C">
        <w:rPr>
          <w:rFonts w:eastAsia="Times New Roman"/>
          <w:color w:val="000000"/>
        </w:rPr>
        <w:t>T., Nguyen</w:t>
      </w:r>
      <w:r>
        <w:rPr>
          <w:rFonts w:eastAsia="Times New Roman"/>
          <w:color w:val="000000"/>
        </w:rPr>
        <w:t xml:space="preserve">, </w:t>
      </w:r>
      <w:r w:rsidRPr="00183F0C">
        <w:rPr>
          <w:rFonts w:eastAsia="Times New Roman"/>
          <w:color w:val="000000"/>
        </w:rPr>
        <w:t>T.X.</w:t>
      </w:r>
      <w:r>
        <w:rPr>
          <w:rFonts w:eastAsia="Times New Roman"/>
          <w:color w:val="000000"/>
        </w:rPr>
        <w:t>,</w:t>
      </w:r>
      <w:r w:rsidRPr="00183F0C">
        <w:rPr>
          <w:rFonts w:eastAsia="Times New Roman"/>
          <w:color w:val="000000"/>
        </w:rPr>
        <w:t xml:space="preserve"> and R.P. Philp, 2018. The development and extent of photic-zone euxinia concomitant with Woodford Shale deposition. AAPG Bulletin 102</w:t>
      </w:r>
      <w:r>
        <w:rPr>
          <w:rFonts w:eastAsia="Times New Roman"/>
          <w:color w:val="000000"/>
        </w:rPr>
        <w:t xml:space="preserve">, </w:t>
      </w:r>
      <w:r w:rsidR="003935A9" w:rsidRPr="00183F0C">
        <w:rPr>
          <w:rFonts w:eastAsia="Times New Roman"/>
          <w:color w:val="000000"/>
        </w:rPr>
        <w:t>6</w:t>
      </w:r>
      <w:r w:rsidR="003935A9">
        <w:rPr>
          <w:rFonts w:eastAsia="Times New Roman"/>
          <w:color w:val="000000"/>
        </w:rPr>
        <w:t xml:space="preserve">, </w:t>
      </w:r>
      <w:r w:rsidR="003935A9" w:rsidRPr="00183F0C">
        <w:rPr>
          <w:rFonts w:eastAsia="Times New Roman"/>
          <w:color w:val="000000"/>
        </w:rPr>
        <w:t>959</w:t>
      </w:r>
      <w:r w:rsidRPr="00183F0C">
        <w:rPr>
          <w:rFonts w:eastAsia="Times New Roman"/>
          <w:color w:val="000000"/>
        </w:rPr>
        <w:t>-986</w:t>
      </w:r>
      <w:r>
        <w:rPr>
          <w:rFonts w:eastAsia="Times New Roman"/>
          <w:color w:val="000000"/>
        </w:rPr>
        <w:t>.</w:t>
      </w:r>
    </w:p>
    <w:p w14:paraId="697863A9" w14:textId="77777777" w:rsidR="00973E1F" w:rsidRPr="00183F0C" w:rsidRDefault="00973E1F" w:rsidP="00973E1F">
      <w:pPr>
        <w:pStyle w:val="ListParagraph"/>
        <w:numPr>
          <w:ilvl w:val="0"/>
          <w:numId w:val="21"/>
        </w:numPr>
        <w:rPr>
          <w:rFonts w:eastAsia="Times New Roman"/>
          <w:color w:val="000000"/>
        </w:rPr>
      </w:pPr>
      <w:r w:rsidRPr="00183F0C">
        <w:rPr>
          <w:rFonts w:eastAsia="Times New Roman"/>
          <w:color w:val="000000"/>
        </w:rPr>
        <w:t>DeGarmo, D., 2015. Geochemical characterization of the Woodford Shale</w:t>
      </w:r>
      <w:r>
        <w:rPr>
          <w:rFonts w:eastAsia="Times New Roman"/>
          <w:color w:val="000000"/>
        </w:rPr>
        <w:t xml:space="preserve"> </w:t>
      </w:r>
      <w:r w:rsidRPr="00183F0C">
        <w:rPr>
          <w:rFonts w:eastAsia="Times New Roman"/>
          <w:color w:val="000000"/>
        </w:rPr>
        <w:t xml:space="preserve">(Devonian-Mississippian), McAlister </w:t>
      </w:r>
      <w:r>
        <w:rPr>
          <w:rFonts w:eastAsia="Times New Roman"/>
          <w:color w:val="000000"/>
        </w:rPr>
        <w:t>c</w:t>
      </w:r>
      <w:r w:rsidRPr="00183F0C">
        <w:rPr>
          <w:rFonts w:eastAsia="Times New Roman"/>
          <w:color w:val="000000"/>
        </w:rPr>
        <w:t xml:space="preserve">emetery </w:t>
      </w:r>
      <w:r>
        <w:rPr>
          <w:rFonts w:eastAsia="Times New Roman"/>
          <w:color w:val="000000"/>
        </w:rPr>
        <w:t>q</w:t>
      </w:r>
      <w:r w:rsidRPr="00183F0C">
        <w:rPr>
          <w:rFonts w:eastAsia="Times New Roman"/>
          <w:color w:val="000000"/>
        </w:rPr>
        <w:t xml:space="preserve">uarry, Criner Hills </w:t>
      </w:r>
      <w:r>
        <w:rPr>
          <w:rFonts w:eastAsia="Times New Roman"/>
          <w:color w:val="000000"/>
        </w:rPr>
        <w:t>u</w:t>
      </w:r>
      <w:r w:rsidRPr="00183F0C">
        <w:rPr>
          <w:rFonts w:eastAsia="Times New Roman"/>
          <w:color w:val="000000"/>
        </w:rPr>
        <w:t xml:space="preserve">plift, Ardmore </w:t>
      </w:r>
      <w:r>
        <w:rPr>
          <w:rFonts w:eastAsia="Times New Roman"/>
          <w:color w:val="000000"/>
        </w:rPr>
        <w:t>b</w:t>
      </w:r>
      <w:r w:rsidRPr="00183F0C">
        <w:rPr>
          <w:rFonts w:eastAsia="Times New Roman"/>
          <w:color w:val="000000"/>
        </w:rPr>
        <w:t xml:space="preserve">asin, Oklahoma. M.Sc. </w:t>
      </w:r>
      <w:r>
        <w:rPr>
          <w:rFonts w:eastAsia="Times New Roman"/>
          <w:color w:val="000000"/>
        </w:rPr>
        <w:t>t</w:t>
      </w:r>
      <w:r w:rsidRPr="00183F0C">
        <w:rPr>
          <w:rFonts w:eastAsia="Times New Roman"/>
          <w:color w:val="000000"/>
        </w:rPr>
        <w:t>hesis manuscript, The University of Oklahoma</w:t>
      </w:r>
      <w:r>
        <w:rPr>
          <w:rFonts w:eastAsia="Times New Roman"/>
          <w:color w:val="000000"/>
        </w:rPr>
        <w:t>, p. 223.</w:t>
      </w:r>
    </w:p>
    <w:p w14:paraId="0B5F0256" w14:textId="218833CE" w:rsidR="0038797D" w:rsidRPr="00BE56B2" w:rsidRDefault="0038797D" w:rsidP="00BE56B2">
      <w:pPr>
        <w:pStyle w:val="ListParagraph"/>
        <w:numPr>
          <w:ilvl w:val="0"/>
          <w:numId w:val="21"/>
        </w:numPr>
        <w:rPr>
          <w:bCs/>
        </w:rPr>
      </w:pPr>
      <w:r w:rsidRPr="00BE56B2">
        <w:rPr>
          <w:bCs/>
        </w:rPr>
        <w:t>Demaison G.J., and Moore G.T., 1980. Anoxic environments and oil source bed genesis. American Association of Petroleum Geologists</w:t>
      </w:r>
      <w:r w:rsidR="00973E1F">
        <w:rPr>
          <w:bCs/>
        </w:rPr>
        <w:t xml:space="preserve"> </w:t>
      </w:r>
      <w:r w:rsidR="003935A9">
        <w:rPr>
          <w:bCs/>
        </w:rPr>
        <w:t xml:space="preserve">Bulletin </w:t>
      </w:r>
      <w:r w:rsidR="003935A9" w:rsidRPr="00BE56B2">
        <w:rPr>
          <w:bCs/>
        </w:rPr>
        <w:t>64</w:t>
      </w:r>
      <w:r w:rsidRPr="00BE56B2">
        <w:rPr>
          <w:bCs/>
        </w:rPr>
        <w:t>, 8, 1179-1209.</w:t>
      </w:r>
    </w:p>
    <w:p w14:paraId="4ECD7FE5" w14:textId="43A5F2D3" w:rsidR="0038797D" w:rsidRPr="00BE56B2" w:rsidRDefault="0038797D" w:rsidP="00BE56B2">
      <w:pPr>
        <w:pStyle w:val="ListParagraph"/>
        <w:numPr>
          <w:ilvl w:val="0"/>
          <w:numId w:val="21"/>
        </w:numPr>
        <w:rPr>
          <w:rStyle w:val="update"/>
          <w:bCs/>
          <w:szCs w:val="24"/>
        </w:rPr>
      </w:pPr>
      <w:r w:rsidRPr="00BE56B2">
        <w:rPr>
          <w:rStyle w:val="update"/>
          <w:bCs/>
          <w:szCs w:val="24"/>
        </w:rPr>
        <w:lastRenderedPageBreak/>
        <w:t>Fang</w:t>
      </w:r>
      <w:r w:rsidR="00BE6AAA">
        <w:rPr>
          <w:rStyle w:val="update"/>
          <w:bCs/>
          <w:szCs w:val="24"/>
        </w:rPr>
        <w:t>,</w:t>
      </w:r>
      <w:r w:rsidRPr="00BE56B2">
        <w:rPr>
          <w:rStyle w:val="update"/>
          <w:bCs/>
          <w:szCs w:val="24"/>
        </w:rPr>
        <w:t xml:space="preserve"> H., Jianyu</w:t>
      </w:r>
      <w:r w:rsidR="00BE6AAA">
        <w:rPr>
          <w:rStyle w:val="update"/>
          <w:bCs/>
          <w:szCs w:val="24"/>
        </w:rPr>
        <w:t>,</w:t>
      </w:r>
      <w:r w:rsidRPr="00BE56B2">
        <w:rPr>
          <w:rStyle w:val="update"/>
          <w:bCs/>
          <w:szCs w:val="24"/>
        </w:rPr>
        <w:t xml:space="preserve"> C., Yongchuan</w:t>
      </w:r>
      <w:r w:rsidR="00BE6AAA">
        <w:rPr>
          <w:rStyle w:val="update"/>
          <w:bCs/>
          <w:szCs w:val="24"/>
        </w:rPr>
        <w:t>,</w:t>
      </w:r>
      <w:r w:rsidRPr="00BE56B2">
        <w:rPr>
          <w:rStyle w:val="update"/>
          <w:bCs/>
          <w:szCs w:val="24"/>
        </w:rPr>
        <w:t xml:space="preserve"> S.</w:t>
      </w:r>
      <w:r w:rsidR="000260D7" w:rsidRPr="00BE56B2">
        <w:rPr>
          <w:rStyle w:val="update"/>
          <w:bCs/>
          <w:szCs w:val="24"/>
        </w:rPr>
        <w:t>,</w:t>
      </w:r>
      <w:r w:rsidRPr="00BE56B2">
        <w:rPr>
          <w:rStyle w:val="update"/>
          <w:bCs/>
          <w:szCs w:val="24"/>
        </w:rPr>
        <w:t xml:space="preserve"> and Yaozong</w:t>
      </w:r>
      <w:r w:rsidR="000260D7" w:rsidRPr="00BE56B2">
        <w:rPr>
          <w:rStyle w:val="update"/>
          <w:bCs/>
          <w:szCs w:val="24"/>
        </w:rPr>
        <w:t>,</w:t>
      </w:r>
      <w:r w:rsidRPr="00BE56B2">
        <w:rPr>
          <w:rStyle w:val="update"/>
          <w:bCs/>
          <w:szCs w:val="24"/>
        </w:rPr>
        <w:t xml:space="preserve"> L., 1993. Application of organic facies studies to sedimentary basin analysis: a case study from the Yitong Graben, China. Organic Geochemistry 20</w:t>
      </w:r>
      <w:r w:rsidR="00BE6AAA">
        <w:rPr>
          <w:rStyle w:val="update"/>
          <w:bCs/>
          <w:szCs w:val="24"/>
        </w:rPr>
        <w:t xml:space="preserve">, </w:t>
      </w:r>
      <w:r w:rsidRPr="00BE56B2">
        <w:rPr>
          <w:rStyle w:val="update"/>
          <w:bCs/>
          <w:szCs w:val="24"/>
        </w:rPr>
        <w:t>1, 27-42.</w:t>
      </w:r>
    </w:p>
    <w:p w14:paraId="5537FD59" w14:textId="77777777" w:rsidR="0038797D" w:rsidRPr="00BE56B2" w:rsidRDefault="0038797D" w:rsidP="00BE56B2">
      <w:pPr>
        <w:pStyle w:val="ListParagraph"/>
        <w:numPr>
          <w:ilvl w:val="0"/>
          <w:numId w:val="21"/>
        </w:numPr>
        <w:rPr>
          <w:bCs/>
        </w:rPr>
      </w:pPr>
      <w:r w:rsidRPr="00BE56B2">
        <w:rPr>
          <w:bCs/>
        </w:rPr>
        <w:t>Hunt J. M.,1996. Petroleum Geochemistry and Geology, 2nd ed. Freeman, New York.</w:t>
      </w:r>
    </w:p>
    <w:p w14:paraId="5C8BCF95" w14:textId="1C7C7B8D" w:rsidR="0038797D" w:rsidRPr="00BE56B2" w:rsidRDefault="0038797D" w:rsidP="00BE56B2">
      <w:pPr>
        <w:pStyle w:val="ListParagraph"/>
        <w:numPr>
          <w:ilvl w:val="0"/>
          <w:numId w:val="21"/>
        </w:numPr>
        <w:rPr>
          <w:bCs/>
        </w:rPr>
      </w:pPr>
      <w:r w:rsidRPr="00BE56B2">
        <w:rPr>
          <w:bCs/>
        </w:rPr>
        <w:t>Hunt, J.M., Philp, R.P.,</w:t>
      </w:r>
      <w:r w:rsidR="0003218C">
        <w:rPr>
          <w:bCs/>
        </w:rPr>
        <w:t xml:space="preserve"> and</w:t>
      </w:r>
      <w:r w:rsidRPr="00BE56B2">
        <w:rPr>
          <w:bCs/>
        </w:rPr>
        <w:t xml:space="preserve"> Kvenvolden, K.A.</w:t>
      </w:r>
      <w:r w:rsidR="000260D7" w:rsidRPr="00BE56B2">
        <w:rPr>
          <w:bCs/>
        </w:rPr>
        <w:t>,</w:t>
      </w:r>
      <w:r w:rsidRPr="00BE56B2">
        <w:rPr>
          <w:bCs/>
        </w:rPr>
        <w:t xml:space="preserve"> 2002. Early developments in petroleum geochemistry.  Organic Geochemistry 33, 1025–1052.</w:t>
      </w:r>
    </w:p>
    <w:p w14:paraId="01992345" w14:textId="4BEADD21" w:rsidR="0038797D" w:rsidRPr="00BE56B2" w:rsidRDefault="0038797D" w:rsidP="00BE56B2">
      <w:pPr>
        <w:pStyle w:val="ListParagraph"/>
        <w:numPr>
          <w:ilvl w:val="0"/>
          <w:numId w:val="21"/>
        </w:numPr>
        <w:rPr>
          <w:bCs/>
        </w:rPr>
      </w:pPr>
      <w:r w:rsidRPr="00BE56B2">
        <w:rPr>
          <w:bCs/>
        </w:rPr>
        <w:t xml:space="preserve">Jones, R.W. 1984.  Comparison of carbonate and shale source rocks in </w:t>
      </w:r>
      <w:r w:rsidR="00947470">
        <w:rPr>
          <w:bCs/>
        </w:rPr>
        <w:t>p</w:t>
      </w:r>
      <w:r w:rsidRPr="00BE56B2">
        <w:rPr>
          <w:bCs/>
        </w:rPr>
        <w:t xml:space="preserve">etroleum </w:t>
      </w:r>
      <w:r w:rsidR="00947470">
        <w:rPr>
          <w:bCs/>
        </w:rPr>
        <w:t>g</w:t>
      </w:r>
      <w:r w:rsidRPr="00BE56B2">
        <w:rPr>
          <w:bCs/>
        </w:rPr>
        <w:t>eochemistry and source rock potential of carbonate rocks</w:t>
      </w:r>
      <w:r w:rsidR="00947470">
        <w:rPr>
          <w:bCs/>
        </w:rPr>
        <w:t xml:space="preserve">. In: </w:t>
      </w:r>
      <w:r w:rsidRPr="00BE56B2">
        <w:rPr>
          <w:bCs/>
        </w:rPr>
        <w:t>Palacas,</w:t>
      </w:r>
      <w:r w:rsidR="00947470">
        <w:rPr>
          <w:bCs/>
        </w:rPr>
        <w:t xml:space="preserve"> J.G., </w:t>
      </w:r>
      <w:r w:rsidRPr="00BE56B2">
        <w:rPr>
          <w:bCs/>
        </w:rPr>
        <w:t>ed</w:t>
      </w:r>
      <w:r w:rsidR="00947470">
        <w:rPr>
          <w:bCs/>
        </w:rPr>
        <w:t>s,</w:t>
      </w:r>
      <w:r w:rsidRPr="00BE56B2">
        <w:rPr>
          <w:bCs/>
        </w:rPr>
        <w:t xml:space="preserve"> AAPG Studies in Geology 18, 163-180.</w:t>
      </w:r>
    </w:p>
    <w:p w14:paraId="4C51B4AF" w14:textId="0758D899" w:rsidR="0038797D" w:rsidRPr="00BE56B2" w:rsidRDefault="0038797D" w:rsidP="00BE56B2">
      <w:pPr>
        <w:pStyle w:val="ListParagraph"/>
        <w:numPr>
          <w:ilvl w:val="0"/>
          <w:numId w:val="21"/>
        </w:numPr>
        <w:rPr>
          <w:bCs/>
        </w:rPr>
      </w:pPr>
      <w:r w:rsidRPr="00BE56B2">
        <w:rPr>
          <w:bCs/>
        </w:rPr>
        <w:t xml:space="preserve">Lo Monaco, G.A., 2012. Characterization of the Mississippian Barnett Shale </w:t>
      </w:r>
      <w:r w:rsidR="009F0BDD">
        <w:rPr>
          <w:bCs/>
        </w:rPr>
        <w:t>f</w:t>
      </w:r>
      <w:r w:rsidRPr="00BE56B2">
        <w:rPr>
          <w:bCs/>
        </w:rPr>
        <w:t xml:space="preserve">ormation well, using organic geochemistry parameters and their relationship with different lithofacies, Fort Worth </w:t>
      </w:r>
      <w:r w:rsidR="009F0BDD">
        <w:rPr>
          <w:bCs/>
        </w:rPr>
        <w:t>b</w:t>
      </w:r>
      <w:r w:rsidRPr="00BE56B2">
        <w:rPr>
          <w:bCs/>
        </w:rPr>
        <w:t xml:space="preserve">asin, Texas.  M.Sc. </w:t>
      </w:r>
      <w:r w:rsidR="009F0BDD">
        <w:rPr>
          <w:bCs/>
        </w:rPr>
        <w:t>t</w:t>
      </w:r>
      <w:r w:rsidRPr="00BE56B2">
        <w:rPr>
          <w:bCs/>
        </w:rPr>
        <w:t>hesis manuscript, The University of Oklahoma, p. 106.</w:t>
      </w:r>
    </w:p>
    <w:p w14:paraId="50A65E1C" w14:textId="77777777" w:rsidR="0038797D" w:rsidRPr="00BE56B2" w:rsidRDefault="0038797D" w:rsidP="00BE56B2">
      <w:pPr>
        <w:pStyle w:val="ListParagraph"/>
        <w:numPr>
          <w:ilvl w:val="0"/>
          <w:numId w:val="21"/>
        </w:numPr>
        <w:rPr>
          <w:bCs/>
        </w:rPr>
      </w:pPr>
      <w:r w:rsidRPr="00BE56B2">
        <w:rPr>
          <w:bCs/>
        </w:rPr>
        <w:t>Magoon L. B. and W. G. Dow, 1994. The petroleum system, in L. B. Magoon and W. G. Dow, eds., The petroleum system - from source to trap: AAPG Memoir 60, p. 3-24</w:t>
      </w:r>
    </w:p>
    <w:p w14:paraId="3EF87B2D" w14:textId="1032538D" w:rsidR="0038797D" w:rsidRPr="00BE56B2" w:rsidRDefault="0038797D" w:rsidP="00BE56B2">
      <w:pPr>
        <w:pStyle w:val="ListParagraph"/>
        <w:numPr>
          <w:ilvl w:val="0"/>
          <w:numId w:val="21"/>
        </w:numPr>
        <w:rPr>
          <w:bCs/>
        </w:rPr>
      </w:pPr>
      <w:r w:rsidRPr="00BE56B2">
        <w:rPr>
          <w:bCs/>
        </w:rPr>
        <w:t>Magoon, L. B., and G. E. Claypool, 1983.  Petroleum geochemistry of the North Slope of Alaska - Time and degree of thermal maturity</w:t>
      </w:r>
      <w:r w:rsidR="00CA5B67">
        <w:rPr>
          <w:bCs/>
        </w:rPr>
        <w:t xml:space="preserve">. In: </w:t>
      </w:r>
      <w:r w:rsidR="00CA5B67" w:rsidRPr="00BE56B2">
        <w:rPr>
          <w:bCs/>
        </w:rPr>
        <w:t>Bjorøy</w:t>
      </w:r>
      <w:r w:rsidR="00CA5B67">
        <w:rPr>
          <w:bCs/>
        </w:rPr>
        <w:t>, M.</w:t>
      </w:r>
      <w:r w:rsidR="00CA5B67" w:rsidRPr="00BE56B2">
        <w:rPr>
          <w:bCs/>
        </w:rPr>
        <w:t>, eds.</w:t>
      </w:r>
      <w:r w:rsidR="00CA5B67">
        <w:rPr>
          <w:bCs/>
        </w:rPr>
        <w:t xml:space="preserve">, </w:t>
      </w:r>
      <w:r w:rsidRPr="00BE56B2">
        <w:rPr>
          <w:bCs/>
        </w:rPr>
        <w:t xml:space="preserve">Advances in </w:t>
      </w:r>
      <w:r w:rsidR="00CA5B67">
        <w:rPr>
          <w:bCs/>
        </w:rPr>
        <w:t>o</w:t>
      </w:r>
      <w:r w:rsidRPr="00BE56B2">
        <w:rPr>
          <w:bCs/>
        </w:rPr>
        <w:t xml:space="preserve">rganic </w:t>
      </w:r>
      <w:r w:rsidR="00CA5B67">
        <w:rPr>
          <w:bCs/>
        </w:rPr>
        <w:t>g</w:t>
      </w:r>
      <w:r w:rsidRPr="00BE56B2">
        <w:rPr>
          <w:bCs/>
        </w:rPr>
        <w:t xml:space="preserve">eochemistry, Chichester, U.K., Wiley </w:t>
      </w:r>
      <w:r w:rsidR="003935A9" w:rsidRPr="00BE56B2">
        <w:rPr>
          <w:bCs/>
        </w:rPr>
        <w:t xml:space="preserve">Heyden, </w:t>
      </w:r>
      <w:r w:rsidR="003935A9">
        <w:rPr>
          <w:bCs/>
        </w:rPr>
        <w:t>28</w:t>
      </w:r>
      <w:r w:rsidRPr="00BE56B2">
        <w:rPr>
          <w:bCs/>
        </w:rPr>
        <w:t>-38.</w:t>
      </w:r>
    </w:p>
    <w:p w14:paraId="16FBB256" w14:textId="77777777" w:rsidR="00EF4A6F" w:rsidRPr="00183F0C" w:rsidRDefault="00EF4A6F" w:rsidP="00EF4A6F">
      <w:pPr>
        <w:pStyle w:val="ListParagraph"/>
        <w:numPr>
          <w:ilvl w:val="0"/>
          <w:numId w:val="21"/>
        </w:numPr>
        <w:rPr>
          <w:rFonts w:eastAsia="Times New Roman"/>
          <w:color w:val="000000"/>
        </w:rPr>
      </w:pPr>
      <w:r w:rsidRPr="00183F0C">
        <w:rPr>
          <w:rFonts w:eastAsia="Times New Roman"/>
          <w:color w:val="000000"/>
        </w:rPr>
        <w:t xml:space="preserve">Miceli-Romero, A.A, 2010. Geochemical characterization of the Woodford Shale, central and southeastern Oklahoma. M.Sc. </w:t>
      </w:r>
      <w:r>
        <w:rPr>
          <w:rFonts w:eastAsia="Times New Roman"/>
          <w:color w:val="000000"/>
        </w:rPr>
        <w:t>t</w:t>
      </w:r>
      <w:r w:rsidRPr="00183F0C">
        <w:rPr>
          <w:rFonts w:eastAsia="Times New Roman"/>
          <w:color w:val="000000"/>
        </w:rPr>
        <w:t xml:space="preserve">hesis manuscript, The University of Oklahoma, p. 149. </w:t>
      </w:r>
    </w:p>
    <w:p w14:paraId="50F53926" w14:textId="7A852ED0" w:rsidR="00EF4A6F" w:rsidRDefault="00EF4A6F" w:rsidP="00EF4A6F">
      <w:pPr>
        <w:pStyle w:val="ListParagraph"/>
        <w:numPr>
          <w:ilvl w:val="0"/>
          <w:numId w:val="21"/>
        </w:numPr>
        <w:rPr>
          <w:rFonts w:eastAsia="Times New Roman"/>
          <w:color w:val="000000"/>
        </w:rPr>
      </w:pPr>
      <w:r w:rsidRPr="00183F0C">
        <w:rPr>
          <w:rFonts w:eastAsia="Times New Roman"/>
          <w:color w:val="000000"/>
        </w:rPr>
        <w:t>Miceli-Romero, A.A., and Philp,</w:t>
      </w:r>
      <w:r>
        <w:rPr>
          <w:rFonts w:eastAsia="Times New Roman"/>
          <w:color w:val="000000"/>
        </w:rPr>
        <w:t xml:space="preserve"> </w:t>
      </w:r>
      <w:r w:rsidRPr="00183F0C">
        <w:rPr>
          <w:rFonts w:eastAsia="Times New Roman"/>
          <w:color w:val="000000"/>
        </w:rPr>
        <w:t>R.P.</w:t>
      </w:r>
      <w:r>
        <w:rPr>
          <w:rFonts w:eastAsia="Times New Roman"/>
          <w:color w:val="000000"/>
        </w:rPr>
        <w:t>,</w:t>
      </w:r>
      <w:r w:rsidRPr="00183F0C">
        <w:rPr>
          <w:rFonts w:eastAsia="Times New Roman"/>
          <w:color w:val="000000"/>
        </w:rPr>
        <w:t xml:space="preserve"> 2012</w:t>
      </w:r>
      <w:r>
        <w:rPr>
          <w:rFonts w:eastAsia="Times New Roman"/>
          <w:color w:val="000000"/>
        </w:rPr>
        <w:t>.</w:t>
      </w:r>
      <w:r w:rsidRPr="00183F0C">
        <w:rPr>
          <w:rFonts w:eastAsia="Times New Roman"/>
          <w:color w:val="000000"/>
        </w:rPr>
        <w:t xml:space="preserve"> Organic geochemistry of the Woodford Shale, </w:t>
      </w:r>
      <w:r w:rsidR="0040621C">
        <w:rPr>
          <w:rFonts w:eastAsia="Times New Roman"/>
          <w:color w:val="000000"/>
        </w:rPr>
        <w:t>s</w:t>
      </w:r>
      <w:r w:rsidRPr="00183F0C">
        <w:rPr>
          <w:rFonts w:eastAsia="Times New Roman"/>
          <w:color w:val="000000"/>
        </w:rPr>
        <w:t>outheastern Oklahoma: How variable can shales be? AAPG Bulletin, 96</w:t>
      </w:r>
      <w:r>
        <w:rPr>
          <w:rFonts w:eastAsia="Times New Roman"/>
          <w:color w:val="000000"/>
        </w:rPr>
        <w:t xml:space="preserve">, </w:t>
      </w:r>
      <w:r w:rsidRPr="00183F0C">
        <w:rPr>
          <w:rFonts w:eastAsia="Times New Roman"/>
          <w:color w:val="000000"/>
        </w:rPr>
        <w:t>3, 493-517.</w:t>
      </w:r>
    </w:p>
    <w:p w14:paraId="1A465EC4" w14:textId="72E8BDA1" w:rsidR="0038797D" w:rsidRPr="00BE56B2" w:rsidRDefault="0038797D" w:rsidP="00BE56B2">
      <w:pPr>
        <w:pStyle w:val="ListParagraph"/>
        <w:numPr>
          <w:ilvl w:val="0"/>
          <w:numId w:val="21"/>
        </w:numPr>
        <w:rPr>
          <w:bCs/>
        </w:rPr>
      </w:pPr>
      <w:r w:rsidRPr="00BE56B2">
        <w:rPr>
          <w:bCs/>
        </w:rPr>
        <w:t>O'Brien, N. R.</w:t>
      </w:r>
      <w:r w:rsidR="000260D7" w:rsidRPr="00BE56B2">
        <w:rPr>
          <w:bCs/>
        </w:rPr>
        <w:t>,</w:t>
      </w:r>
      <w:r w:rsidRPr="00BE56B2">
        <w:rPr>
          <w:bCs/>
        </w:rPr>
        <w:t xml:space="preserve"> and Slatt, R. M.,1990</w:t>
      </w:r>
      <w:r w:rsidR="00BF4E07">
        <w:rPr>
          <w:bCs/>
        </w:rPr>
        <w:t>.</w:t>
      </w:r>
      <w:r w:rsidRPr="00BE56B2">
        <w:rPr>
          <w:bCs/>
        </w:rPr>
        <w:t xml:space="preserve">  Argillaceous Rock Atlas, Springer-Verlag, N.Y.</w:t>
      </w:r>
      <w:r w:rsidR="00EF4A6F">
        <w:rPr>
          <w:bCs/>
        </w:rPr>
        <w:t xml:space="preserve">, </w:t>
      </w:r>
      <w:r w:rsidR="00BF4E07">
        <w:rPr>
          <w:bCs/>
        </w:rPr>
        <w:t>p</w:t>
      </w:r>
      <w:r w:rsidR="00EF4A6F">
        <w:rPr>
          <w:bCs/>
        </w:rPr>
        <w:t>.</w:t>
      </w:r>
      <w:r w:rsidR="00BF4E07">
        <w:rPr>
          <w:bCs/>
        </w:rPr>
        <w:t xml:space="preserve"> </w:t>
      </w:r>
      <w:r w:rsidRPr="00BE56B2">
        <w:rPr>
          <w:bCs/>
        </w:rPr>
        <w:t>14</w:t>
      </w:r>
      <w:r w:rsidR="00BF4E07">
        <w:rPr>
          <w:bCs/>
        </w:rPr>
        <w:t>1.</w:t>
      </w:r>
    </w:p>
    <w:p w14:paraId="219CA113" w14:textId="77777777" w:rsidR="000F026C" w:rsidRPr="008027F8" w:rsidRDefault="000F026C" w:rsidP="000F026C">
      <w:pPr>
        <w:pStyle w:val="ListParagraph"/>
        <w:numPr>
          <w:ilvl w:val="0"/>
          <w:numId w:val="21"/>
        </w:numPr>
        <w:rPr>
          <w:rFonts w:eastAsia="Times New Roman"/>
          <w:color w:val="000000"/>
        </w:rPr>
      </w:pPr>
      <w:r w:rsidRPr="00B60E9D">
        <w:t>Peters, K.E., and Cassa, M.R., 1994. Applied source rock geochemistry.</w:t>
      </w:r>
      <w:r>
        <w:t xml:space="preserve"> In: </w:t>
      </w:r>
      <w:r w:rsidRPr="00B60E9D">
        <w:t>Magoon</w:t>
      </w:r>
      <w:r>
        <w:t>, L.B.,</w:t>
      </w:r>
      <w:r w:rsidRPr="00B60E9D">
        <w:t xml:space="preserve"> and Dow</w:t>
      </w:r>
      <w:r>
        <w:t xml:space="preserve">, </w:t>
      </w:r>
      <w:r w:rsidRPr="00B60E9D">
        <w:t>W.G.</w:t>
      </w:r>
      <w:r>
        <w:t>, e</w:t>
      </w:r>
      <w:r w:rsidRPr="00B60E9D">
        <w:t xml:space="preserve">ds., </w:t>
      </w:r>
      <w:r>
        <w:t>T</w:t>
      </w:r>
      <w:r w:rsidRPr="00B60E9D">
        <w:t xml:space="preserve">he </w:t>
      </w:r>
      <w:r>
        <w:t>p</w:t>
      </w:r>
      <w:r w:rsidRPr="00B60E9D">
        <w:t xml:space="preserve">etroleum </w:t>
      </w:r>
      <w:r>
        <w:t>s</w:t>
      </w:r>
      <w:r w:rsidRPr="00B60E9D">
        <w:t xml:space="preserve">ystem – </w:t>
      </w:r>
      <w:r>
        <w:t>f</w:t>
      </w:r>
      <w:r w:rsidRPr="00B60E9D">
        <w:t xml:space="preserve">rom </w:t>
      </w:r>
      <w:r>
        <w:t>s</w:t>
      </w:r>
      <w:r w:rsidRPr="00B60E9D">
        <w:t xml:space="preserve">ource to </w:t>
      </w:r>
      <w:r>
        <w:t>t</w:t>
      </w:r>
      <w:r w:rsidRPr="00B60E9D">
        <w:t>rap, American Association of Petroleum Geologists</w:t>
      </w:r>
      <w:r>
        <w:t xml:space="preserve"> Memoir 60</w:t>
      </w:r>
      <w:r w:rsidRPr="00B60E9D">
        <w:t>, 93-117.</w:t>
      </w:r>
    </w:p>
    <w:p w14:paraId="5C62E082" w14:textId="6CCC7BE9" w:rsidR="00AD682D" w:rsidRPr="008027F8" w:rsidRDefault="00AD682D" w:rsidP="00AD682D">
      <w:pPr>
        <w:pStyle w:val="ListParagraph"/>
        <w:numPr>
          <w:ilvl w:val="0"/>
          <w:numId w:val="21"/>
        </w:numPr>
        <w:rPr>
          <w:rFonts w:eastAsia="Times New Roman"/>
          <w:color w:val="000000"/>
        </w:rPr>
      </w:pPr>
      <w:r w:rsidRPr="00B60E9D">
        <w:t xml:space="preserve">Peters, K.E., Walters, C.C., </w:t>
      </w:r>
      <w:r>
        <w:t xml:space="preserve">and </w:t>
      </w:r>
      <w:r w:rsidRPr="00B60E9D">
        <w:t xml:space="preserve">Moldowan, J.W., 2005a. The </w:t>
      </w:r>
      <w:r>
        <w:t>b</w:t>
      </w:r>
      <w:r w:rsidRPr="00B60E9D">
        <w:t xml:space="preserve">iomarker </w:t>
      </w:r>
      <w:r w:rsidR="003935A9">
        <w:t>g</w:t>
      </w:r>
      <w:r w:rsidR="003935A9" w:rsidRPr="00B60E9D">
        <w:t>uide</w:t>
      </w:r>
      <w:r w:rsidR="003935A9">
        <w:t>,</w:t>
      </w:r>
      <w:r w:rsidR="003935A9" w:rsidRPr="00B60E9D">
        <w:t xml:space="preserve"> Volume</w:t>
      </w:r>
      <w:r w:rsidRPr="00B60E9D">
        <w:t xml:space="preserve"> 1</w:t>
      </w:r>
      <w:r>
        <w:t>,</w:t>
      </w:r>
      <w:r w:rsidRPr="00B60E9D">
        <w:t xml:space="preserve"> Biomarkers</w:t>
      </w:r>
      <w:r w:rsidR="00BC64F6">
        <w:t>,</w:t>
      </w:r>
      <w:r w:rsidRPr="00B60E9D">
        <w:t xml:space="preserve"> and </w:t>
      </w:r>
      <w:r>
        <w:t>i</w:t>
      </w:r>
      <w:r w:rsidRPr="00B60E9D">
        <w:t xml:space="preserve">sotopes in the </w:t>
      </w:r>
      <w:r>
        <w:t>e</w:t>
      </w:r>
      <w:r w:rsidRPr="00B60E9D">
        <w:t xml:space="preserve">nvironment and </w:t>
      </w:r>
      <w:r>
        <w:t>h</w:t>
      </w:r>
      <w:r w:rsidRPr="00B60E9D">
        <w:t xml:space="preserve">uman </w:t>
      </w:r>
      <w:r>
        <w:t>h</w:t>
      </w:r>
      <w:r w:rsidRPr="00B60E9D">
        <w:t>istory</w:t>
      </w:r>
      <w:r>
        <w:t xml:space="preserve">. </w:t>
      </w:r>
      <w:r w:rsidRPr="00B60E9D">
        <w:t>Cambridge University Press, New York</w:t>
      </w:r>
      <w:r>
        <w:t xml:space="preserve">, second edition, </w:t>
      </w:r>
      <w:r w:rsidRPr="00B60E9D">
        <w:t>p. 1155.</w:t>
      </w:r>
    </w:p>
    <w:p w14:paraId="584BB3CA" w14:textId="41ACA2AC" w:rsidR="00AD682D" w:rsidRPr="008027F8" w:rsidRDefault="00AD682D" w:rsidP="00AD682D">
      <w:pPr>
        <w:pStyle w:val="ListParagraph"/>
        <w:numPr>
          <w:ilvl w:val="0"/>
          <w:numId w:val="21"/>
        </w:numPr>
        <w:rPr>
          <w:rFonts w:eastAsia="Times New Roman"/>
          <w:color w:val="000000"/>
        </w:rPr>
      </w:pPr>
      <w:r w:rsidRPr="00B60E9D">
        <w:t xml:space="preserve">Peters, K.E., Walters, C.C., </w:t>
      </w:r>
      <w:r>
        <w:t xml:space="preserve">and </w:t>
      </w:r>
      <w:r w:rsidRPr="00B60E9D">
        <w:t xml:space="preserve">Moldowan, J.W., 2005b. The </w:t>
      </w:r>
      <w:r>
        <w:t>b</w:t>
      </w:r>
      <w:r w:rsidRPr="00B60E9D">
        <w:t xml:space="preserve">iomarker </w:t>
      </w:r>
      <w:r>
        <w:t>g</w:t>
      </w:r>
      <w:r w:rsidRPr="00B60E9D">
        <w:t>uide</w:t>
      </w:r>
      <w:r>
        <w:t>,</w:t>
      </w:r>
      <w:r w:rsidRPr="00B60E9D">
        <w:t xml:space="preserve"> Volume 2</w:t>
      </w:r>
      <w:r>
        <w:t>,</w:t>
      </w:r>
      <w:r w:rsidRPr="00B60E9D">
        <w:t xml:space="preserve"> Biomarkers</w:t>
      </w:r>
      <w:r w:rsidR="00BC64F6">
        <w:t>,</w:t>
      </w:r>
      <w:r w:rsidRPr="00B60E9D">
        <w:t xml:space="preserve"> and </w:t>
      </w:r>
      <w:r>
        <w:t>i</w:t>
      </w:r>
      <w:r w:rsidRPr="00B60E9D">
        <w:t xml:space="preserve">sotopes in </w:t>
      </w:r>
      <w:r>
        <w:t>p</w:t>
      </w:r>
      <w:r w:rsidRPr="00B60E9D">
        <w:t xml:space="preserve">etroleum </w:t>
      </w:r>
      <w:r>
        <w:t>e</w:t>
      </w:r>
      <w:r w:rsidRPr="00B60E9D">
        <w:t xml:space="preserve">xploration and </w:t>
      </w:r>
      <w:r>
        <w:t>e</w:t>
      </w:r>
      <w:r w:rsidRPr="00B60E9D">
        <w:t xml:space="preserve">arth </w:t>
      </w:r>
      <w:r>
        <w:t>h</w:t>
      </w:r>
      <w:r w:rsidRPr="00B60E9D">
        <w:t>istory</w:t>
      </w:r>
      <w:r>
        <w:t xml:space="preserve">. </w:t>
      </w:r>
      <w:r w:rsidRPr="00B60E9D">
        <w:t>Cambridge University Press, New York</w:t>
      </w:r>
      <w:r>
        <w:t>, second edition, p. 471.</w:t>
      </w:r>
    </w:p>
    <w:p w14:paraId="2049E217" w14:textId="01C220D7" w:rsidR="0038797D" w:rsidRPr="00BE56B2" w:rsidRDefault="0038797D" w:rsidP="00BE56B2">
      <w:pPr>
        <w:pStyle w:val="ListParagraph"/>
        <w:numPr>
          <w:ilvl w:val="0"/>
          <w:numId w:val="21"/>
        </w:numPr>
        <w:rPr>
          <w:bCs/>
        </w:rPr>
      </w:pPr>
      <w:r w:rsidRPr="00BE56B2">
        <w:rPr>
          <w:bCs/>
        </w:rPr>
        <w:lastRenderedPageBreak/>
        <w:t xml:space="preserve">Peters, K. E., Magoon, </w:t>
      </w:r>
      <w:r w:rsidR="00636290" w:rsidRPr="00BE56B2">
        <w:rPr>
          <w:bCs/>
        </w:rPr>
        <w:t>L. B.</w:t>
      </w:r>
      <w:r w:rsidR="00636290">
        <w:rPr>
          <w:bCs/>
        </w:rPr>
        <w:t xml:space="preserve">, </w:t>
      </w:r>
      <w:r w:rsidRPr="00BE56B2">
        <w:rPr>
          <w:bCs/>
        </w:rPr>
        <w:t>Valin</w:t>
      </w:r>
      <w:r w:rsidR="00636290">
        <w:rPr>
          <w:bCs/>
        </w:rPr>
        <w:t xml:space="preserve">, </w:t>
      </w:r>
      <w:r w:rsidR="00636290" w:rsidRPr="00BE56B2">
        <w:rPr>
          <w:bCs/>
        </w:rPr>
        <w:t>Z. C.</w:t>
      </w:r>
      <w:r w:rsidR="00636290">
        <w:rPr>
          <w:bCs/>
        </w:rPr>
        <w:t>,</w:t>
      </w:r>
      <w:r w:rsidRPr="00BE56B2">
        <w:rPr>
          <w:bCs/>
        </w:rPr>
        <w:t xml:space="preserve"> and Lillis</w:t>
      </w:r>
      <w:r w:rsidR="00636290">
        <w:rPr>
          <w:bCs/>
        </w:rPr>
        <w:t>, P.G.,</w:t>
      </w:r>
      <w:r w:rsidRPr="00BE56B2">
        <w:rPr>
          <w:bCs/>
        </w:rPr>
        <w:t xml:space="preserve"> 2007, Source-rock geochemistry of the San Joaquin </w:t>
      </w:r>
      <w:r w:rsidR="00636290">
        <w:rPr>
          <w:bCs/>
        </w:rPr>
        <w:t>b</w:t>
      </w:r>
      <w:r w:rsidRPr="00BE56B2">
        <w:rPr>
          <w:bCs/>
        </w:rPr>
        <w:t xml:space="preserve">asin </w:t>
      </w:r>
      <w:r w:rsidR="00636290">
        <w:rPr>
          <w:bCs/>
        </w:rPr>
        <w:t>p</w:t>
      </w:r>
      <w:r w:rsidRPr="00BE56B2">
        <w:rPr>
          <w:bCs/>
        </w:rPr>
        <w:t>rovince, California</w:t>
      </w:r>
      <w:r w:rsidR="00636290">
        <w:rPr>
          <w:bCs/>
        </w:rPr>
        <w:t>. In:</w:t>
      </w:r>
      <w:r w:rsidRPr="00BE56B2">
        <w:rPr>
          <w:bCs/>
        </w:rPr>
        <w:t xml:space="preserve"> Hosford</w:t>
      </w:r>
      <w:r w:rsidR="00B72D24">
        <w:rPr>
          <w:bCs/>
        </w:rPr>
        <w:t>-</w:t>
      </w:r>
      <w:r w:rsidRPr="00BE56B2">
        <w:rPr>
          <w:bCs/>
        </w:rPr>
        <w:t>Scheirer,</w:t>
      </w:r>
      <w:r w:rsidR="00B72D24">
        <w:rPr>
          <w:bCs/>
        </w:rPr>
        <w:t xml:space="preserve"> A.,</w:t>
      </w:r>
      <w:r w:rsidRPr="00BE56B2">
        <w:rPr>
          <w:bCs/>
        </w:rPr>
        <w:t xml:space="preserve"> ed</w:t>
      </w:r>
      <w:r w:rsidR="00B72D24">
        <w:rPr>
          <w:bCs/>
        </w:rPr>
        <w:t>s</w:t>
      </w:r>
      <w:r w:rsidRPr="00BE56B2">
        <w:rPr>
          <w:bCs/>
        </w:rPr>
        <w:t xml:space="preserve">., Petroleum systems and geologic assessment of oil and gas in the San Joaquin </w:t>
      </w:r>
      <w:r w:rsidR="00926F71">
        <w:rPr>
          <w:bCs/>
        </w:rPr>
        <w:t>b</w:t>
      </w:r>
      <w:r w:rsidRPr="00BE56B2">
        <w:rPr>
          <w:bCs/>
        </w:rPr>
        <w:t>asin, California</w:t>
      </w:r>
      <w:r w:rsidR="00926F71">
        <w:rPr>
          <w:bCs/>
        </w:rPr>
        <w:t>.</w:t>
      </w:r>
      <w:r w:rsidRPr="00BE56B2">
        <w:rPr>
          <w:bCs/>
        </w:rPr>
        <w:t xml:space="preserve"> U.S. Geological Survey Professional Paper 1713, 11, 1-102</w:t>
      </w:r>
      <w:r w:rsidR="00926F71">
        <w:rPr>
          <w:bCs/>
        </w:rPr>
        <w:t>.</w:t>
      </w:r>
    </w:p>
    <w:p w14:paraId="5C333FB8" w14:textId="074E80D1" w:rsidR="0038797D" w:rsidRPr="00BE56B2" w:rsidRDefault="0038797D" w:rsidP="00BE56B2">
      <w:pPr>
        <w:pStyle w:val="ListParagraph"/>
        <w:numPr>
          <w:ilvl w:val="0"/>
          <w:numId w:val="21"/>
        </w:numPr>
        <w:rPr>
          <w:rFonts w:eastAsia="Times New Roman"/>
          <w:bCs/>
          <w:i/>
          <w:iCs/>
          <w:color w:val="000000"/>
        </w:rPr>
      </w:pPr>
      <w:r w:rsidRPr="00BE56B2">
        <w:rPr>
          <w:bCs/>
        </w:rPr>
        <w:t xml:space="preserve">Philp, R.P., 2003. </w:t>
      </w:r>
      <w:hyperlink r:id="rId248" w:history="1">
        <w:r w:rsidRPr="00BE56B2">
          <w:rPr>
            <w:bCs/>
          </w:rPr>
          <w:t xml:space="preserve">Formation and </w:t>
        </w:r>
        <w:r w:rsidR="00A13EE6">
          <w:rPr>
            <w:bCs/>
          </w:rPr>
          <w:t>g</w:t>
        </w:r>
        <w:r w:rsidRPr="00BE56B2">
          <w:rPr>
            <w:bCs/>
          </w:rPr>
          <w:t xml:space="preserve">eochemistry of </w:t>
        </w:r>
        <w:r w:rsidR="00A13EE6">
          <w:rPr>
            <w:bCs/>
          </w:rPr>
          <w:t>o</w:t>
        </w:r>
        <w:r w:rsidRPr="00BE56B2">
          <w:rPr>
            <w:bCs/>
          </w:rPr>
          <w:t xml:space="preserve">il and </w:t>
        </w:r>
        <w:r w:rsidR="00A13EE6">
          <w:rPr>
            <w:bCs/>
          </w:rPr>
          <w:t>g</w:t>
        </w:r>
        <w:r w:rsidRPr="00BE56B2">
          <w:rPr>
            <w:bCs/>
          </w:rPr>
          <w:t>as</w:t>
        </w:r>
      </w:hyperlink>
      <w:r w:rsidRPr="00BE56B2">
        <w:rPr>
          <w:bCs/>
        </w:rPr>
        <w:t>. Treatise on Geochemistry</w:t>
      </w:r>
      <w:r w:rsidR="00A13EE6">
        <w:rPr>
          <w:bCs/>
        </w:rPr>
        <w:t xml:space="preserve"> </w:t>
      </w:r>
      <w:r w:rsidRPr="00BE56B2">
        <w:rPr>
          <w:bCs/>
        </w:rPr>
        <w:t>7, p</w:t>
      </w:r>
      <w:r w:rsidR="00A13EE6">
        <w:rPr>
          <w:bCs/>
        </w:rPr>
        <w:t>.</w:t>
      </w:r>
      <w:r w:rsidRPr="00BE56B2">
        <w:rPr>
          <w:bCs/>
        </w:rPr>
        <w:t xml:space="preserve"> 223-256.</w:t>
      </w:r>
      <w:r w:rsidRPr="00BE56B2">
        <w:rPr>
          <w:rFonts w:eastAsia="Times New Roman"/>
          <w:bCs/>
          <w:i/>
          <w:iCs/>
          <w:color w:val="000000"/>
        </w:rPr>
        <w:t xml:space="preserve"> </w:t>
      </w:r>
    </w:p>
    <w:p w14:paraId="71AA1CAF" w14:textId="77777777" w:rsidR="0075438B" w:rsidRPr="008027F8" w:rsidRDefault="0075438B" w:rsidP="0075438B">
      <w:pPr>
        <w:pStyle w:val="ListParagraph"/>
        <w:numPr>
          <w:ilvl w:val="0"/>
          <w:numId w:val="21"/>
        </w:numPr>
        <w:rPr>
          <w:rFonts w:eastAsia="Times New Roman"/>
          <w:color w:val="000000"/>
        </w:rPr>
      </w:pPr>
      <w:r w:rsidRPr="00B60E9D">
        <w:t xml:space="preserve">Serna-Bernal, A., 2013. Geological </w:t>
      </w:r>
      <w:r>
        <w:t>c</w:t>
      </w:r>
      <w:r w:rsidRPr="00B60E9D">
        <w:t>haracterization of the Woodford Shale, McAlister Cemet</w:t>
      </w:r>
      <w:r>
        <w:t>e</w:t>
      </w:r>
      <w:r w:rsidRPr="00B60E9D">
        <w:t xml:space="preserve">ry </w:t>
      </w:r>
      <w:r>
        <w:t>q</w:t>
      </w:r>
      <w:r w:rsidRPr="00B60E9D">
        <w:t xml:space="preserve">uarry, Criner Hills, Ardmore </w:t>
      </w:r>
      <w:r>
        <w:t>b</w:t>
      </w:r>
      <w:r w:rsidRPr="00B60E9D">
        <w:t>asin, Oklahoma. M.S. Thesis</w:t>
      </w:r>
      <w:r>
        <w:t xml:space="preserve"> manuscript,</w:t>
      </w:r>
      <w:r w:rsidRPr="00B60E9D">
        <w:t xml:space="preserve"> The University of Oklahoma</w:t>
      </w:r>
      <w:r>
        <w:t>, p.</w:t>
      </w:r>
      <w:r w:rsidRPr="00B60E9D">
        <w:t xml:space="preserve"> 14</w:t>
      </w:r>
      <w:r>
        <w:t>1.</w:t>
      </w:r>
    </w:p>
    <w:p w14:paraId="395DF320" w14:textId="345DE9AA" w:rsidR="00C529A9" w:rsidRPr="008027F8" w:rsidRDefault="00C529A9" w:rsidP="00C529A9">
      <w:pPr>
        <w:pStyle w:val="ListParagraph"/>
        <w:numPr>
          <w:ilvl w:val="0"/>
          <w:numId w:val="21"/>
        </w:numPr>
        <w:rPr>
          <w:rFonts w:eastAsia="Times New Roman"/>
          <w:color w:val="000000"/>
        </w:rPr>
      </w:pPr>
      <w:r w:rsidRPr="00B60E9D">
        <w:t>Slatt</w:t>
      </w:r>
      <w:r>
        <w:t>,</w:t>
      </w:r>
      <w:r w:rsidRPr="00B60E9D">
        <w:t xml:space="preserve"> R. M., and Rodriguez</w:t>
      </w:r>
      <w:r>
        <w:t>,</w:t>
      </w:r>
      <w:r w:rsidRPr="00B60E9D">
        <w:t xml:space="preserve"> N. D., 2012. Comparative sequence stratigraphy and organic geochemistry of gas shales: Commonality or coincidence? Journal of Natural Gas Science and Engineering 8, 68-84.</w:t>
      </w:r>
    </w:p>
    <w:p w14:paraId="7CDD6645" w14:textId="6DF6B1E4" w:rsidR="0038797D" w:rsidRDefault="0038797D" w:rsidP="00BE56B2">
      <w:pPr>
        <w:pStyle w:val="ListParagraph"/>
        <w:numPr>
          <w:ilvl w:val="0"/>
          <w:numId w:val="21"/>
        </w:numPr>
        <w:rPr>
          <w:bCs/>
        </w:rPr>
      </w:pPr>
      <w:r w:rsidRPr="00BE56B2">
        <w:rPr>
          <w:bCs/>
        </w:rPr>
        <w:t xml:space="preserve">Tissot, B. P., 1984. Recent </w:t>
      </w:r>
      <w:r w:rsidR="00A80F99">
        <w:rPr>
          <w:bCs/>
        </w:rPr>
        <w:t>a</w:t>
      </w:r>
      <w:r w:rsidRPr="00BE56B2">
        <w:rPr>
          <w:bCs/>
        </w:rPr>
        <w:t xml:space="preserve">dvances in </w:t>
      </w:r>
      <w:r w:rsidR="00A80F99">
        <w:rPr>
          <w:bCs/>
        </w:rPr>
        <w:t>p</w:t>
      </w:r>
      <w:r w:rsidRPr="00BE56B2">
        <w:rPr>
          <w:bCs/>
        </w:rPr>
        <w:t xml:space="preserve">etroleum </w:t>
      </w:r>
      <w:r w:rsidR="00A80F99">
        <w:rPr>
          <w:bCs/>
        </w:rPr>
        <w:t>g</w:t>
      </w:r>
      <w:r w:rsidRPr="00BE56B2">
        <w:rPr>
          <w:bCs/>
        </w:rPr>
        <w:t xml:space="preserve">eochemistry </w:t>
      </w:r>
      <w:r w:rsidR="00A80F99">
        <w:rPr>
          <w:bCs/>
        </w:rPr>
        <w:t>a</w:t>
      </w:r>
      <w:r w:rsidRPr="00BE56B2">
        <w:rPr>
          <w:bCs/>
        </w:rPr>
        <w:t xml:space="preserve">pplied to hydrocarbon </w:t>
      </w:r>
      <w:r w:rsidR="00A80F99">
        <w:rPr>
          <w:bCs/>
        </w:rPr>
        <w:t>e</w:t>
      </w:r>
      <w:r w:rsidRPr="00BE56B2">
        <w:rPr>
          <w:bCs/>
        </w:rPr>
        <w:t>xploration.</w:t>
      </w:r>
      <w:r w:rsidR="00E71DE7">
        <w:rPr>
          <w:bCs/>
        </w:rPr>
        <w:t xml:space="preserve"> </w:t>
      </w:r>
      <w:r w:rsidRPr="00BE56B2">
        <w:rPr>
          <w:bCs/>
        </w:rPr>
        <w:t xml:space="preserve">American Association of Petroleum Geologists </w:t>
      </w:r>
      <w:r w:rsidR="00463ED6">
        <w:rPr>
          <w:bCs/>
        </w:rPr>
        <w:t>B</w:t>
      </w:r>
      <w:r w:rsidRPr="00BE56B2">
        <w:rPr>
          <w:bCs/>
        </w:rPr>
        <w:t>ulleti</w:t>
      </w:r>
      <w:r w:rsidR="00463ED6">
        <w:rPr>
          <w:bCs/>
        </w:rPr>
        <w:t xml:space="preserve">n </w:t>
      </w:r>
      <w:r w:rsidRPr="00BE56B2">
        <w:rPr>
          <w:bCs/>
        </w:rPr>
        <w:t>70,</w:t>
      </w:r>
      <w:r w:rsidR="00463ED6">
        <w:rPr>
          <w:bCs/>
        </w:rPr>
        <w:t xml:space="preserve"> </w:t>
      </w:r>
      <w:r w:rsidRPr="00BE56B2">
        <w:rPr>
          <w:bCs/>
        </w:rPr>
        <w:t>5, 545 – 563.</w:t>
      </w:r>
    </w:p>
    <w:p w14:paraId="289512B5" w14:textId="77777777" w:rsidR="007F0BA3" w:rsidRPr="0048037E" w:rsidRDefault="007F0BA3" w:rsidP="007F0BA3">
      <w:pPr>
        <w:pStyle w:val="ListParagraph"/>
        <w:numPr>
          <w:ilvl w:val="0"/>
          <w:numId w:val="21"/>
        </w:numPr>
        <w:rPr>
          <w:rFonts w:eastAsia="Times New Roman"/>
          <w:color w:val="000000"/>
        </w:rPr>
      </w:pPr>
      <w:r w:rsidRPr="00B60E9D">
        <w:t xml:space="preserve">Tissot, B.P., and Welte, D.H., 1984. Petroleum formation and occurrence. Berlin Springer-Verlag, </w:t>
      </w:r>
      <w:r>
        <w:t xml:space="preserve">p. </w:t>
      </w:r>
      <w:r w:rsidRPr="00B60E9D">
        <w:t>699.</w:t>
      </w:r>
    </w:p>
    <w:p w14:paraId="01F515F0" w14:textId="0E8EBD51" w:rsidR="0038797D" w:rsidRPr="00BE56B2" w:rsidRDefault="0038797D" w:rsidP="00BE56B2">
      <w:pPr>
        <w:pStyle w:val="ListParagraph"/>
        <w:numPr>
          <w:ilvl w:val="0"/>
          <w:numId w:val="21"/>
        </w:numPr>
        <w:rPr>
          <w:bCs/>
        </w:rPr>
      </w:pPr>
      <w:r w:rsidRPr="00BE56B2">
        <w:rPr>
          <w:bCs/>
        </w:rPr>
        <w:t>Tyson</w:t>
      </w:r>
      <w:r w:rsidR="008A5BB3">
        <w:rPr>
          <w:bCs/>
        </w:rPr>
        <w:t>,</w:t>
      </w:r>
      <w:r w:rsidRPr="00BE56B2">
        <w:rPr>
          <w:bCs/>
        </w:rPr>
        <w:t xml:space="preserve"> R.V., and Pearson</w:t>
      </w:r>
      <w:r w:rsidR="008A5BB3">
        <w:rPr>
          <w:bCs/>
        </w:rPr>
        <w:t>,</w:t>
      </w:r>
      <w:r w:rsidRPr="00BE56B2">
        <w:rPr>
          <w:bCs/>
        </w:rPr>
        <w:t xml:space="preserve"> T.H, 1991. Modern and ancient continental shelf anoxia: an overview. Geological Society</w:t>
      </w:r>
      <w:r w:rsidR="008A5BB3">
        <w:rPr>
          <w:bCs/>
        </w:rPr>
        <w:t xml:space="preserve"> of</w:t>
      </w:r>
      <w:r w:rsidRPr="00BE56B2">
        <w:rPr>
          <w:bCs/>
        </w:rPr>
        <w:t xml:space="preserve"> London, Special Publications 58, 1-24</w:t>
      </w:r>
      <w:r w:rsidR="008A5BB3">
        <w:rPr>
          <w:bCs/>
        </w:rPr>
        <w:t>.</w:t>
      </w:r>
    </w:p>
    <w:p w14:paraId="324548E8" w14:textId="77777777" w:rsidR="00F41B1D" w:rsidRPr="007752DF" w:rsidRDefault="00F41B1D" w:rsidP="00F41B1D">
      <w:pPr>
        <w:pStyle w:val="ListParagraph"/>
        <w:numPr>
          <w:ilvl w:val="0"/>
          <w:numId w:val="21"/>
        </w:numPr>
        <w:rPr>
          <w:rFonts w:eastAsia="Times New Roman"/>
          <w:color w:val="000000"/>
        </w:rPr>
      </w:pPr>
      <w:r w:rsidRPr="00B60E9D">
        <w:t xml:space="preserve">Villalba, D.M., 2016. Organic geochemistry of the Woodford Shale, Cherokee </w:t>
      </w:r>
      <w:r>
        <w:t>p</w:t>
      </w:r>
      <w:r w:rsidRPr="00B60E9D">
        <w:t>latform, O</w:t>
      </w:r>
      <w:r>
        <w:t>klahoma</w:t>
      </w:r>
      <w:r w:rsidRPr="00B60E9D">
        <w:t>, and its role in a complex petroleum system. M.S</w:t>
      </w:r>
      <w:r>
        <w:t>c</w:t>
      </w:r>
      <w:r w:rsidRPr="00B60E9D">
        <w:t>. thesis</w:t>
      </w:r>
      <w:r>
        <w:t xml:space="preserve"> manuscript</w:t>
      </w:r>
      <w:r w:rsidRPr="00B60E9D">
        <w:t>, The University of Oklahoma</w:t>
      </w:r>
      <w:r>
        <w:t>, p</w:t>
      </w:r>
      <w:r w:rsidRPr="00B60E9D">
        <w:t>. 126</w:t>
      </w:r>
      <w:r>
        <w:t>.</w:t>
      </w:r>
    </w:p>
    <w:p w14:paraId="048288BF" w14:textId="548FF017" w:rsidR="0038797D" w:rsidRDefault="0038797D" w:rsidP="00BE56B2">
      <w:pPr>
        <w:pStyle w:val="ListParagraph"/>
        <w:numPr>
          <w:ilvl w:val="0"/>
          <w:numId w:val="21"/>
        </w:numPr>
        <w:rPr>
          <w:bCs/>
        </w:rPr>
      </w:pPr>
      <w:r w:rsidRPr="00BE56B2">
        <w:rPr>
          <w:bCs/>
        </w:rPr>
        <w:t>Welte, D. H., 1972</w:t>
      </w:r>
      <w:r w:rsidR="00A66985">
        <w:rPr>
          <w:bCs/>
        </w:rPr>
        <w:t>.</w:t>
      </w:r>
      <w:r w:rsidRPr="00BE56B2">
        <w:rPr>
          <w:bCs/>
        </w:rPr>
        <w:t xml:space="preserve"> Petroleum exploration and organic geochemistry: Journal of Geochem</w:t>
      </w:r>
      <w:r w:rsidR="006E4A84">
        <w:rPr>
          <w:bCs/>
        </w:rPr>
        <w:t>ical</w:t>
      </w:r>
      <w:r w:rsidRPr="00BE56B2">
        <w:rPr>
          <w:bCs/>
        </w:rPr>
        <w:t xml:space="preserve"> Explor</w:t>
      </w:r>
      <w:r w:rsidR="006E4A84">
        <w:rPr>
          <w:bCs/>
        </w:rPr>
        <w:t xml:space="preserve">ation </w:t>
      </w:r>
      <w:r w:rsidRPr="00BE56B2">
        <w:rPr>
          <w:bCs/>
        </w:rPr>
        <w:t>1,</w:t>
      </w:r>
      <w:r w:rsidR="00A66985">
        <w:rPr>
          <w:bCs/>
        </w:rPr>
        <w:t xml:space="preserve"> </w:t>
      </w:r>
      <w:r w:rsidRPr="00BE56B2">
        <w:rPr>
          <w:bCs/>
        </w:rPr>
        <w:t>117-136.</w:t>
      </w:r>
    </w:p>
    <w:p w14:paraId="4C516B38" w14:textId="3B9CB7BD" w:rsidR="003220FC" w:rsidRPr="00BE56B2" w:rsidRDefault="003220FC" w:rsidP="003220FC">
      <w:pPr>
        <w:pStyle w:val="ListParagraph"/>
        <w:numPr>
          <w:ilvl w:val="0"/>
          <w:numId w:val="21"/>
        </w:numPr>
        <w:rPr>
          <w:bCs/>
        </w:rPr>
      </w:pPr>
      <w:r>
        <w:rPr>
          <w:bCs/>
        </w:rPr>
        <w:t xml:space="preserve">Zhang, J., 2016. </w:t>
      </w:r>
      <w:r w:rsidRPr="003220FC">
        <w:rPr>
          <w:bCs/>
        </w:rPr>
        <w:t>Comprehensive reservoir characterization of the Woodford Shale in parts of Garfield and Kingfisher Counties, Oklahom</w:t>
      </w:r>
      <w:r w:rsidR="00503AF6">
        <w:rPr>
          <w:bCs/>
        </w:rPr>
        <w:t>a</w:t>
      </w:r>
      <w:r w:rsidRPr="003220FC">
        <w:rPr>
          <w:bCs/>
        </w:rPr>
        <w:t>.</w:t>
      </w:r>
      <w:r>
        <w:rPr>
          <w:bCs/>
        </w:rPr>
        <w:t xml:space="preserve"> </w:t>
      </w:r>
      <w:r w:rsidRPr="00BE56B2">
        <w:rPr>
          <w:bCs/>
        </w:rPr>
        <w:t xml:space="preserve">M.S. </w:t>
      </w:r>
      <w:r>
        <w:rPr>
          <w:bCs/>
        </w:rPr>
        <w:t>t</w:t>
      </w:r>
      <w:r w:rsidRPr="00BE56B2">
        <w:rPr>
          <w:bCs/>
        </w:rPr>
        <w:t>hesis</w:t>
      </w:r>
      <w:r>
        <w:rPr>
          <w:bCs/>
        </w:rPr>
        <w:t xml:space="preserve"> manuscript, </w:t>
      </w:r>
      <w:r w:rsidRPr="00BE56B2">
        <w:rPr>
          <w:bCs/>
        </w:rPr>
        <w:t>The University of Oklahoma, p. 1</w:t>
      </w:r>
      <w:r>
        <w:rPr>
          <w:bCs/>
        </w:rPr>
        <w:t>4</w:t>
      </w:r>
      <w:r w:rsidRPr="00BE56B2">
        <w:rPr>
          <w:bCs/>
        </w:rPr>
        <w:t>4.</w:t>
      </w:r>
    </w:p>
    <w:p w14:paraId="043D3FE6" w14:textId="6AE1728D" w:rsidR="003220FC" w:rsidRPr="00BE56B2" w:rsidRDefault="003220FC" w:rsidP="003220FC">
      <w:pPr>
        <w:pStyle w:val="ListParagraph"/>
        <w:ind w:left="360"/>
        <w:rPr>
          <w:bCs/>
        </w:rPr>
      </w:pPr>
    </w:p>
    <w:p w14:paraId="1EC4BFF6" w14:textId="77777777" w:rsidR="0038797D" w:rsidRPr="00F90D18" w:rsidRDefault="0038797D" w:rsidP="009349D2">
      <w:pPr>
        <w:rPr>
          <w:bCs/>
        </w:rPr>
      </w:pPr>
    </w:p>
    <w:p w14:paraId="3F9D1389" w14:textId="77777777" w:rsidR="0038797D" w:rsidRPr="00F90D18" w:rsidRDefault="0038797D" w:rsidP="009349D2"/>
    <w:p w14:paraId="525C02C9" w14:textId="7D65EFE2" w:rsidR="008271C8" w:rsidRPr="0008427C" w:rsidRDefault="00BC7F7D" w:rsidP="008271C8">
      <w:pPr>
        <w:pStyle w:val="Heading2"/>
        <w:spacing w:line="240" w:lineRule="auto"/>
      </w:pPr>
      <w:bookmarkStart w:id="516" w:name="_Toc25833609"/>
      <w:bookmarkStart w:id="517" w:name="_Toc35861153"/>
      <w:r>
        <w:lastRenderedPageBreak/>
        <w:t xml:space="preserve">Appendix </w:t>
      </w:r>
      <w:r w:rsidR="00DA7951">
        <w:t>D</w:t>
      </w:r>
      <w:r>
        <w:t xml:space="preserve">: </w:t>
      </w:r>
      <w:bookmarkStart w:id="518" w:name="_Toc26052872"/>
      <w:r w:rsidR="008271C8">
        <w:t>O</w:t>
      </w:r>
      <w:r w:rsidR="008271C8" w:rsidRPr="0008427C">
        <w:t>rganic compound structures</w:t>
      </w:r>
      <w:r w:rsidR="008271C8">
        <w:t xml:space="preserve"> in literature and in Chapter </w:t>
      </w:r>
      <w:r w:rsidR="00597CFC">
        <w:t>III</w:t>
      </w:r>
      <w:r w:rsidR="008271C8">
        <w:t xml:space="preserve"> biomarker analysis.</w:t>
      </w:r>
      <w:bookmarkEnd w:id="517"/>
      <w:bookmarkEnd w:id="518"/>
    </w:p>
    <w:p w14:paraId="2EE3CD4F" w14:textId="77777777" w:rsidR="008271C8" w:rsidRDefault="008271C8" w:rsidP="008271C8">
      <w:pPr>
        <w:spacing w:line="240" w:lineRule="auto"/>
        <w:rPr>
          <w:noProof/>
        </w:rPr>
      </w:pPr>
      <w:r>
        <w:rPr>
          <w:noProof/>
        </w:rPr>
        <mc:AlternateContent>
          <mc:Choice Requires="wps">
            <w:drawing>
              <wp:anchor distT="0" distB="0" distL="114300" distR="114300" simplePos="0" relativeHeight="251830784" behindDoc="0" locked="0" layoutInCell="1" allowOverlap="1" wp14:anchorId="5FE812AB" wp14:editId="6521162A">
                <wp:simplePos x="0" y="0"/>
                <wp:positionH relativeFrom="column">
                  <wp:posOffset>3290521</wp:posOffset>
                </wp:positionH>
                <wp:positionV relativeFrom="paragraph">
                  <wp:posOffset>216535</wp:posOffset>
                </wp:positionV>
                <wp:extent cx="2266315" cy="6986905"/>
                <wp:effectExtent l="0" t="0" r="0" b="0"/>
                <wp:wrapNone/>
                <wp:docPr id="4118" name="Text Box 4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69869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118D8F" w14:textId="77777777" w:rsidR="00EA43A0" w:rsidRPr="006C0808" w:rsidRDefault="00EA43A0" w:rsidP="008271C8">
                            <w:pPr>
                              <w:spacing w:line="276" w:lineRule="auto"/>
                              <w:rPr>
                                <w:b/>
                              </w:rPr>
                            </w:pPr>
                            <w:r w:rsidRPr="006C0808">
                              <w:rPr>
                                <w:b/>
                              </w:rPr>
                              <w:t>I: C</w:t>
                            </w:r>
                            <w:r w:rsidRPr="006C0808">
                              <w:rPr>
                                <w:b/>
                                <w:vertAlign w:val="subscript"/>
                              </w:rPr>
                              <w:t>17</w:t>
                            </w:r>
                            <w:r w:rsidRPr="006C0808">
                              <w:rPr>
                                <w:b/>
                              </w:rPr>
                              <w:t xml:space="preserve"> n-Alkane</w:t>
                            </w:r>
                          </w:p>
                          <w:p w14:paraId="28709C97" w14:textId="77777777" w:rsidR="00EA43A0" w:rsidRPr="006C0808" w:rsidRDefault="00EA43A0" w:rsidP="008271C8">
                            <w:pPr>
                              <w:spacing w:line="276" w:lineRule="auto"/>
                              <w:rPr>
                                <w:b/>
                              </w:rPr>
                            </w:pPr>
                          </w:p>
                          <w:p w14:paraId="03340714" w14:textId="77777777" w:rsidR="00EA43A0" w:rsidRPr="006C0808" w:rsidRDefault="00EA43A0" w:rsidP="008271C8">
                            <w:pPr>
                              <w:spacing w:line="276" w:lineRule="auto"/>
                              <w:rPr>
                                <w:b/>
                              </w:rPr>
                            </w:pPr>
                            <w:r w:rsidRPr="006C0808">
                              <w:rPr>
                                <w:b/>
                              </w:rPr>
                              <w:t>II: Squalene (tail-to-tail example)</w:t>
                            </w:r>
                          </w:p>
                          <w:p w14:paraId="7E0042E8" w14:textId="77777777" w:rsidR="00EA43A0" w:rsidRPr="006C0808" w:rsidRDefault="00EA43A0" w:rsidP="008271C8">
                            <w:pPr>
                              <w:spacing w:line="276" w:lineRule="auto"/>
                              <w:rPr>
                                <w:b/>
                              </w:rPr>
                            </w:pPr>
                          </w:p>
                          <w:p w14:paraId="6B13CAC6" w14:textId="77777777" w:rsidR="00EA43A0" w:rsidRPr="006C0808" w:rsidRDefault="00EA43A0" w:rsidP="008271C8">
                            <w:pPr>
                              <w:spacing w:line="276" w:lineRule="auto"/>
                              <w:rPr>
                                <w:b/>
                              </w:rPr>
                            </w:pPr>
                            <w:r w:rsidRPr="006C0808">
                              <w:rPr>
                                <w:b/>
                              </w:rPr>
                              <w:t>III: Bisphytane (head-to-head)</w:t>
                            </w:r>
                          </w:p>
                          <w:p w14:paraId="7156EE82" w14:textId="77777777" w:rsidR="00EA43A0" w:rsidRPr="006C0808" w:rsidRDefault="00EA43A0" w:rsidP="008271C8">
                            <w:pPr>
                              <w:spacing w:line="276" w:lineRule="auto"/>
                              <w:rPr>
                                <w:b/>
                              </w:rPr>
                            </w:pPr>
                          </w:p>
                          <w:p w14:paraId="2F08F6AD" w14:textId="77777777" w:rsidR="00EA43A0" w:rsidRPr="006C0808" w:rsidRDefault="00EA43A0" w:rsidP="008271C8">
                            <w:pPr>
                              <w:spacing w:line="276" w:lineRule="auto"/>
                              <w:rPr>
                                <w:b/>
                              </w:rPr>
                            </w:pPr>
                          </w:p>
                          <w:p w14:paraId="05EC11A9" w14:textId="77777777" w:rsidR="00EA43A0" w:rsidRPr="006C0808" w:rsidRDefault="00EA43A0" w:rsidP="008271C8">
                            <w:pPr>
                              <w:spacing w:line="276" w:lineRule="auto"/>
                              <w:rPr>
                                <w:b/>
                              </w:rPr>
                            </w:pPr>
                            <w:r w:rsidRPr="006C0808">
                              <w:rPr>
                                <w:b/>
                              </w:rPr>
                              <w:t xml:space="preserve">IV: Pristane </w:t>
                            </w:r>
                          </w:p>
                          <w:p w14:paraId="4C6E2675" w14:textId="77777777" w:rsidR="00EA43A0" w:rsidRPr="006C0808" w:rsidRDefault="00EA43A0" w:rsidP="008271C8">
                            <w:pPr>
                              <w:spacing w:line="276" w:lineRule="auto"/>
                              <w:rPr>
                                <w:b/>
                              </w:rPr>
                            </w:pPr>
                          </w:p>
                          <w:p w14:paraId="38C63AD5" w14:textId="77777777" w:rsidR="00EA43A0" w:rsidRPr="006C0808" w:rsidRDefault="00EA43A0" w:rsidP="008271C8">
                            <w:pPr>
                              <w:spacing w:line="276" w:lineRule="auto"/>
                              <w:rPr>
                                <w:b/>
                              </w:rPr>
                            </w:pPr>
                          </w:p>
                          <w:p w14:paraId="27CBDF89" w14:textId="77777777" w:rsidR="00EA43A0" w:rsidRDefault="00EA43A0" w:rsidP="008271C8">
                            <w:pPr>
                              <w:spacing w:line="276" w:lineRule="auto"/>
                              <w:rPr>
                                <w:b/>
                              </w:rPr>
                            </w:pPr>
                          </w:p>
                          <w:p w14:paraId="534B62A9" w14:textId="77777777" w:rsidR="00EA43A0" w:rsidRPr="006C0808" w:rsidRDefault="00EA43A0" w:rsidP="008271C8">
                            <w:pPr>
                              <w:spacing w:line="276" w:lineRule="auto"/>
                              <w:rPr>
                                <w:b/>
                              </w:rPr>
                            </w:pPr>
                            <w:r w:rsidRPr="006C0808">
                              <w:rPr>
                                <w:b/>
                              </w:rPr>
                              <w:t>V: Phytane</w:t>
                            </w:r>
                          </w:p>
                          <w:p w14:paraId="0E14C9B6" w14:textId="77777777" w:rsidR="00EA43A0" w:rsidRPr="006C0808" w:rsidRDefault="00EA43A0" w:rsidP="008271C8">
                            <w:pPr>
                              <w:spacing w:line="276" w:lineRule="auto"/>
                              <w:rPr>
                                <w:b/>
                              </w:rPr>
                            </w:pPr>
                          </w:p>
                          <w:p w14:paraId="4E8AF633" w14:textId="77777777" w:rsidR="00EA43A0" w:rsidRPr="006C0808" w:rsidRDefault="00EA43A0" w:rsidP="008271C8">
                            <w:pPr>
                              <w:spacing w:line="276" w:lineRule="auto"/>
                              <w:rPr>
                                <w:b/>
                              </w:rPr>
                            </w:pPr>
                          </w:p>
                          <w:p w14:paraId="4413ED60" w14:textId="77777777" w:rsidR="00EA43A0" w:rsidRPr="006C0808" w:rsidRDefault="00EA43A0" w:rsidP="008271C8">
                            <w:pPr>
                              <w:spacing w:line="276" w:lineRule="auto"/>
                              <w:rPr>
                                <w:b/>
                              </w:rPr>
                            </w:pPr>
                          </w:p>
                          <w:p w14:paraId="4B865677" w14:textId="77777777" w:rsidR="00EA43A0" w:rsidRPr="006C0808" w:rsidRDefault="00EA43A0" w:rsidP="008271C8">
                            <w:pPr>
                              <w:spacing w:line="276" w:lineRule="auto"/>
                              <w:rPr>
                                <w:b/>
                              </w:rPr>
                            </w:pPr>
                            <w:r w:rsidRPr="006C0808">
                              <w:rPr>
                                <w:b/>
                              </w:rPr>
                              <w:t>VI: MTTC</w:t>
                            </w:r>
                          </w:p>
                          <w:p w14:paraId="7BAFDDDB" w14:textId="77777777" w:rsidR="00EA43A0" w:rsidRPr="006C0808" w:rsidRDefault="00EA43A0" w:rsidP="008271C8">
                            <w:pPr>
                              <w:spacing w:line="276" w:lineRule="auto"/>
                              <w:rPr>
                                <w:b/>
                              </w:rPr>
                            </w:pPr>
                          </w:p>
                          <w:p w14:paraId="24DF1777" w14:textId="77777777" w:rsidR="00EA43A0" w:rsidRDefault="00EA43A0" w:rsidP="008271C8">
                            <w:pPr>
                              <w:spacing w:line="276" w:lineRule="auto"/>
                              <w:rPr>
                                <w:b/>
                              </w:rPr>
                            </w:pPr>
                          </w:p>
                          <w:p w14:paraId="1D940248" w14:textId="77777777" w:rsidR="00EA43A0" w:rsidRPr="006C0808" w:rsidRDefault="00EA43A0" w:rsidP="008271C8">
                            <w:pPr>
                              <w:spacing w:line="276" w:lineRule="auto"/>
                              <w:rPr>
                                <w:b/>
                              </w:rPr>
                            </w:pPr>
                          </w:p>
                          <w:p w14:paraId="522833A9" w14:textId="77777777" w:rsidR="00EA43A0" w:rsidRPr="006C0808" w:rsidRDefault="00EA43A0" w:rsidP="008271C8">
                            <w:pPr>
                              <w:spacing w:line="276" w:lineRule="auto"/>
                              <w:rPr>
                                <w:b/>
                              </w:rPr>
                            </w:pPr>
                            <w:r w:rsidRPr="006C0808">
                              <w:rPr>
                                <w:b/>
                              </w:rPr>
                              <w:t>VII: diMe-MTTC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812AB" id="Text Box 4118" o:spid="_x0000_s1062" type="#_x0000_t202" style="position:absolute;left:0;text-align:left;margin-left:259.1pt;margin-top:17.05pt;width:178.45pt;height:550.1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" filled="f" stroked="f">
                <v:textbox>
                  <w:txbxContent>
                    <w:p w14:paraId="5C118D8F" w14:textId="77777777" w:rsidR="00EA43A0" w:rsidRPr="006C0808" w:rsidRDefault="00EA43A0" w:rsidP="008271C8">
                      <w:pPr>
                        <w:spacing w:line="276" w:lineRule="auto"/>
                        <w:rPr>
                          <w:b/>
                        </w:rPr>
                      </w:pPr>
                      <w:r w:rsidRPr="006C0808">
                        <w:rPr>
                          <w:b/>
                        </w:rPr>
                        <w:t>I: C</w:t>
                      </w:r>
                      <w:r w:rsidRPr="006C0808">
                        <w:rPr>
                          <w:b/>
                          <w:vertAlign w:val="subscript"/>
                        </w:rPr>
                        <w:t>17</w:t>
                      </w:r>
                      <w:r w:rsidRPr="006C0808">
                        <w:rPr>
                          <w:b/>
                        </w:rPr>
                        <w:t xml:space="preserve"> n-Alkane</w:t>
                      </w:r>
                    </w:p>
                    <w:p w14:paraId="28709C97" w14:textId="77777777" w:rsidR="00EA43A0" w:rsidRPr="006C0808" w:rsidRDefault="00EA43A0" w:rsidP="008271C8">
                      <w:pPr>
                        <w:spacing w:line="276" w:lineRule="auto"/>
                        <w:rPr>
                          <w:b/>
                        </w:rPr>
                      </w:pPr>
                    </w:p>
                    <w:p w14:paraId="03340714" w14:textId="77777777" w:rsidR="00EA43A0" w:rsidRPr="006C0808" w:rsidRDefault="00EA43A0" w:rsidP="008271C8">
                      <w:pPr>
                        <w:spacing w:line="276" w:lineRule="auto"/>
                        <w:rPr>
                          <w:b/>
                        </w:rPr>
                      </w:pPr>
                      <w:r w:rsidRPr="006C0808">
                        <w:rPr>
                          <w:b/>
                        </w:rPr>
                        <w:t>II: Squalene (tail-to-tail example)</w:t>
                      </w:r>
                    </w:p>
                    <w:p w14:paraId="7E0042E8" w14:textId="77777777" w:rsidR="00EA43A0" w:rsidRPr="006C0808" w:rsidRDefault="00EA43A0" w:rsidP="008271C8">
                      <w:pPr>
                        <w:spacing w:line="276" w:lineRule="auto"/>
                        <w:rPr>
                          <w:b/>
                        </w:rPr>
                      </w:pPr>
                    </w:p>
                    <w:p w14:paraId="6B13CAC6" w14:textId="77777777" w:rsidR="00EA43A0" w:rsidRPr="006C0808" w:rsidRDefault="00EA43A0" w:rsidP="008271C8">
                      <w:pPr>
                        <w:spacing w:line="276" w:lineRule="auto"/>
                        <w:rPr>
                          <w:b/>
                        </w:rPr>
                      </w:pPr>
                      <w:r w:rsidRPr="006C0808">
                        <w:rPr>
                          <w:b/>
                        </w:rPr>
                        <w:t>III: Bisphytane (head-to-head)</w:t>
                      </w:r>
                    </w:p>
                    <w:p w14:paraId="7156EE82" w14:textId="77777777" w:rsidR="00EA43A0" w:rsidRPr="006C0808" w:rsidRDefault="00EA43A0" w:rsidP="008271C8">
                      <w:pPr>
                        <w:spacing w:line="276" w:lineRule="auto"/>
                        <w:rPr>
                          <w:b/>
                        </w:rPr>
                      </w:pPr>
                    </w:p>
                    <w:p w14:paraId="2F08F6AD" w14:textId="77777777" w:rsidR="00EA43A0" w:rsidRPr="006C0808" w:rsidRDefault="00EA43A0" w:rsidP="008271C8">
                      <w:pPr>
                        <w:spacing w:line="276" w:lineRule="auto"/>
                        <w:rPr>
                          <w:b/>
                        </w:rPr>
                      </w:pPr>
                    </w:p>
                    <w:p w14:paraId="05EC11A9" w14:textId="77777777" w:rsidR="00EA43A0" w:rsidRPr="006C0808" w:rsidRDefault="00EA43A0" w:rsidP="008271C8">
                      <w:pPr>
                        <w:spacing w:line="276" w:lineRule="auto"/>
                        <w:rPr>
                          <w:b/>
                        </w:rPr>
                      </w:pPr>
                      <w:r w:rsidRPr="006C0808">
                        <w:rPr>
                          <w:b/>
                        </w:rPr>
                        <w:t xml:space="preserve">IV: Pristane </w:t>
                      </w:r>
                    </w:p>
                    <w:p w14:paraId="4C6E2675" w14:textId="77777777" w:rsidR="00EA43A0" w:rsidRPr="006C0808" w:rsidRDefault="00EA43A0" w:rsidP="008271C8">
                      <w:pPr>
                        <w:spacing w:line="276" w:lineRule="auto"/>
                        <w:rPr>
                          <w:b/>
                        </w:rPr>
                      </w:pPr>
                    </w:p>
                    <w:p w14:paraId="38C63AD5" w14:textId="77777777" w:rsidR="00EA43A0" w:rsidRPr="006C0808" w:rsidRDefault="00EA43A0" w:rsidP="008271C8">
                      <w:pPr>
                        <w:spacing w:line="276" w:lineRule="auto"/>
                        <w:rPr>
                          <w:b/>
                        </w:rPr>
                      </w:pPr>
                    </w:p>
                    <w:p w14:paraId="27CBDF89" w14:textId="77777777" w:rsidR="00EA43A0" w:rsidRDefault="00EA43A0" w:rsidP="008271C8">
                      <w:pPr>
                        <w:spacing w:line="276" w:lineRule="auto"/>
                        <w:rPr>
                          <w:b/>
                        </w:rPr>
                      </w:pPr>
                    </w:p>
                    <w:p w14:paraId="534B62A9" w14:textId="77777777" w:rsidR="00EA43A0" w:rsidRPr="006C0808" w:rsidRDefault="00EA43A0" w:rsidP="008271C8">
                      <w:pPr>
                        <w:spacing w:line="276" w:lineRule="auto"/>
                        <w:rPr>
                          <w:b/>
                        </w:rPr>
                      </w:pPr>
                      <w:r w:rsidRPr="006C0808">
                        <w:rPr>
                          <w:b/>
                        </w:rPr>
                        <w:t>V: Phytane</w:t>
                      </w:r>
                    </w:p>
                    <w:p w14:paraId="0E14C9B6" w14:textId="77777777" w:rsidR="00EA43A0" w:rsidRPr="006C0808" w:rsidRDefault="00EA43A0" w:rsidP="008271C8">
                      <w:pPr>
                        <w:spacing w:line="276" w:lineRule="auto"/>
                        <w:rPr>
                          <w:b/>
                        </w:rPr>
                      </w:pPr>
                    </w:p>
                    <w:p w14:paraId="4E8AF633" w14:textId="77777777" w:rsidR="00EA43A0" w:rsidRPr="006C0808" w:rsidRDefault="00EA43A0" w:rsidP="008271C8">
                      <w:pPr>
                        <w:spacing w:line="276" w:lineRule="auto"/>
                        <w:rPr>
                          <w:b/>
                        </w:rPr>
                      </w:pPr>
                    </w:p>
                    <w:p w14:paraId="4413ED60" w14:textId="77777777" w:rsidR="00EA43A0" w:rsidRPr="006C0808" w:rsidRDefault="00EA43A0" w:rsidP="008271C8">
                      <w:pPr>
                        <w:spacing w:line="276" w:lineRule="auto"/>
                        <w:rPr>
                          <w:b/>
                        </w:rPr>
                      </w:pPr>
                    </w:p>
                    <w:p w14:paraId="4B865677" w14:textId="77777777" w:rsidR="00EA43A0" w:rsidRPr="006C0808" w:rsidRDefault="00EA43A0" w:rsidP="008271C8">
                      <w:pPr>
                        <w:spacing w:line="276" w:lineRule="auto"/>
                        <w:rPr>
                          <w:b/>
                        </w:rPr>
                      </w:pPr>
                      <w:r w:rsidRPr="006C0808">
                        <w:rPr>
                          <w:b/>
                        </w:rPr>
                        <w:t>VI: MTTC</w:t>
                      </w:r>
                    </w:p>
                    <w:p w14:paraId="7BAFDDDB" w14:textId="77777777" w:rsidR="00EA43A0" w:rsidRPr="006C0808" w:rsidRDefault="00EA43A0" w:rsidP="008271C8">
                      <w:pPr>
                        <w:spacing w:line="276" w:lineRule="auto"/>
                        <w:rPr>
                          <w:b/>
                        </w:rPr>
                      </w:pPr>
                    </w:p>
                    <w:p w14:paraId="24DF1777" w14:textId="77777777" w:rsidR="00EA43A0" w:rsidRDefault="00EA43A0" w:rsidP="008271C8">
                      <w:pPr>
                        <w:spacing w:line="276" w:lineRule="auto"/>
                        <w:rPr>
                          <w:b/>
                        </w:rPr>
                      </w:pPr>
                    </w:p>
                    <w:p w14:paraId="1D940248" w14:textId="77777777" w:rsidR="00EA43A0" w:rsidRPr="006C0808" w:rsidRDefault="00EA43A0" w:rsidP="008271C8">
                      <w:pPr>
                        <w:spacing w:line="276" w:lineRule="auto"/>
                        <w:rPr>
                          <w:b/>
                        </w:rPr>
                      </w:pPr>
                    </w:p>
                    <w:p w14:paraId="522833A9" w14:textId="77777777" w:rsidR="00EA43A0" w:rsidRPr="006C0808" w:rsidRDefault="00EA43A0" w:rsidP="008271C8">
                      <w:pPr>
                        <w:spacing w:line="276" w:lineRule="auto"/>
                        <w:rPr>
                          <w:b/>
                        </w:rPr>
                      </w:pPr>
                      <w:r w:rsidRPr="006C0808">
                        <w:rPr>
                          <w:b/>
                        </w:rPr>
                        <w:t>VII: diMe-MTTC</w:t>
                      </w:r>
                    </w:p>
                  </w:txbxContent>
                </v:textbox>
              </v:shape>
            </w:pict>
          </mc:Fallback>
        </mc:AlternateContent>
      </w:r>
      <w:r w:rsidRPr="00027614">
        <w:rPr>
          <w:noProof/>
        </w:rPr>
        <w:drawing>
          <wp:inline distT="0" distB="0" distL="0" distR="0" wp14:anchorId="415C469D" wp14:editId="0C0DCA75">
            <wp:extent cx="3429000" cy="838200"/>
            <wp:effectExtent l="0" t="0" r="0" b="0"/>
            <wp:docPr id="61"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9"/>
                    <pic:cNvPicPr>
                      <a:picLocks noChangeAspect="1" noChangeArrowheads="1"/>
                    </pic:cNvPicPr>
                  </pic:nvPicPr>
                  <pic:blipFill>
                    <a:blip r:embed="rId249">
                      <a:extLst>
                        <a:ext uri="{28A0092B-C50C-407E-A947-70E740481C1C}">
                          <a14:useLocalDpi xmlns:a14="http://schemas.microsoft.com/office/drawing/2010/main" val="0"/>
                        </a:ext>
                      </a:extLst>
                    </a:blip>
                    <a:srcRect b="66667"/>
                    <a:stretch>
                      <a:fillRect/>
                    </a:stretch>
                  </pic:blipFill>
                  <pic:spPr bwMode="auto">
                    <a:xfrm>
                      <a:off x="0" y="0"/>
                      <a:ext cx="3429000" cy="838200"/>
                    </a:xfrm>
                    <a:prstGeom prst="rect">
                      <a:avLst/>
                    </a:prstGeom>
                    <a:noFill/>
                    <a:ln>
                      <a:noFill/>
                    </a:ln>
                  </pic:spPr>
                </pic:pic>
              </a:graphicData>
            </a:graphic>
          </wp:inline>
        </w:drawing>
      </w:r>
    </w:p>
    <w:p w14:paraId="744825F0" w14:textId="77777777" w:rsidR="008271C8" w:rsidRDefault="008271C8" w:rsidP="008271C8">
      <w:pPr>
        <w:spacing w:line="240" w:lineRule="auto"/>
        <w:rPr>
          <w:noProof/>
        </w:rPr>
      </w:pPr>
      <w:r w:rsidRPr="00027614">
        <w:rPr>
          <w:noProof/>
        </w:rPr>
        <w:drawing>
          <wp:inline distT="0" distB="0" distL="0" distR="0" wp14:anchorId="081CA0AE" wp14:editId="4D4CF333">
            <wp:extent cx="3111500" cy="685800"/>
            <wp:effectExtent l="0" t="0" r="0" b="0"/>
            <wp:docPr id="60"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111500" cy="685800"/>
                    </a:xfrm>
                    <a:prstGeom prst="rect">
                      <a:avLst/>
                    </a:prstGeom>
                    <a:noFill/>
                    <a:ln>
                      <a:noFill/>
                    </a:ln>
                  </pic:spPr>
                </pic:pic>
              </a:graphicData>
            </a:graphic>
          </wp:inline>
        </w:drawing>
      </w:r>
    </w:p>
    <w:p w14:paraId="0EE46B04" w14:textId="77777777" w:rsidR="008271C8" w:rsidRDefault="008271C8" w:rsidP="008271C8">
      <w:pPr>
        <w:spacing w:line="240" w:lineRule="auto"/>
        <w:rPr>
          <w:noProof/>
        </w:rPr>
      </w:pPr>
      <w:r w:rsidRPr="00027614">
        <w:rPr>
          <w:noProof/>
        </w:rPr>
        <w:drawing>
          <wp:inline distT="0" distB="0" distL="0" distR="0" wp14:anchorId="1C1ACA04" wp14:editId="4AC4B0CD">
            <wp:extent cx="4038600" cy="546100"/>
            <wp:effectExtent l="0" t="0" r="0" b="0"/>
            <wp:docPr id="59"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7"/>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038600" cy="546100"/>
                    </a:xfrm>
                    <a:prstGeom prst="rect">
                      <a:avLst/>
                    </a:prstGeom>
                    <a:noFill/>
                    <a:ln>
                      <a:noFill/>
                    </a:ln>
                  </pic:spPr>
                </pic:pic>
              </a:graphicData>
            </a:graphic>
          </wp:inline>
        </w:drawing>
      </w:r>
      <w:r w:rsidRPr="00027614">
        <w:rPr>
          <w:noProof/>
        </w:rPr>
        <w:drawing>
          <wp:inline distT="0" distB="0" distL="0" distR="0" wp14:anchorId="76BF8EE6" wp14:editId="2DD9F302">
            <wp:extent cx="2844800" cy="889000"/>
            <wp:effectExtent l="0" t="0" r="0" b="0"/>
            <wp:docPr id="58" name="Picture 410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106"/>
                    <pic:cNvPicPr>
                      <a:picLocks noGrp="1" noChangeAspect="1" noChangeArrowheads="1"/>
                    </pic:cNvPicPr>
                  </pic:nvPicPr>
                  <pic:blipFill>
                    <a:blip r:embed="rId252">
                      <a:extLst>
                        <a:ext uri="{28A0092B-C50C-407E-A947-70E740481C1C}">
                          <a14:useLocalDpi xmlns:a14="http://schemas.microsoft.com/office/drawing/2010/main" val="0"/>
                        </a:ext>
                      </a:extLst>
                    </a:blip>
                    <a:srcRect l="8032" t="4849" b="55428"/>
                    <a:stretch>
                      <a:fillRect/>
                    </a:stretch>
                  </pic:blipFill>
                  <pic:spPr bwMode="auto">
                    <a:xfrm>
                      <a:off x="0" y="0"/>
                      <a:ext cx="2844800" cy="889000"/>
                    </a:xfrm>
                    <a:prstGeom prst="rect">
                      <a:avLst/>
                    </a:prstGeom>
                    <a:noFill/>
                    <a:ln>
                      <a:noFill/>
                    </a:ln>
                  </pic:spPr>
                </pic:pic>
              </a:graphicData>
            </a:graphic>
          </wp:inline>
        </w:drawing>
      </w:r>
    </w:p>
    <w:p w14:paraId="6BEA319F" w14:textId="77777777" w:rsidR="008271C8" w:rsidRDefault="008271C8" w:rsidP="008271C8">
      <w:pPr>
        <w:spacing w:line="240" w:lineRule="auto"/>
        <w:rPr>
          <w:noProof/>
        </w:rPr>
      </w:pPr>
      <w:r w:rsidRPr="00027614">
        <w:rPr>
          <w:noProof/>
        </w:rPr>
        <w:drawing>
          <wp:inline distT="0" distB="0" distL="0" distR="0" wp14:anchorId="1D4C6B78" wp14:editId="17C3A8F9">
            <wp:extent cx="3098800" cy="1143000"/>
            <wp:effectExtent l="0" t="0" r="0" b="0"/>
            <wp:docPr id="57" name="Pictur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5"/>
                    <pic:cNvPicPr>
                      <a:picLocks noChangeAspect="1" noChangeArrowheads="1"/>
                    </pic:cNvPicPr>
                  </pic:nvPicPr>
                  <pic:blipFill>
                    <a:blip r:embed="rId253">
                      <a:extLst>
                        <a:ext uri="{28A0092B-C50C-407E-A947-70E740481C1C}">
                          <a14:useLocalDpi xmlns:a14="http://schemas.microsoft.com/office/drawing/2010/main" val="0"/>
                        </a:ext>
                      </a:extLst>
                    </a:blip>
                    <a:srcRect l="1863" t="10703" b="40184"/>
                    <a:stretch>
                      <a:fillRect/>
                    </a:stretch>
                  </pic:blipFill>
                  <pic:spPr bwMode="auto">
                    <a:xfrm>
                      <a:off x="0" y="0"/>
                      <a:ext cx="3098800" cy="1143000"/>
                    </a:xfrm>
                    <a:prstGeom prst="rect">
                      <a:avLst/>
                    </a:prstGeom>
                    <a:noFill/>
                    <a:ln>
                      <a:noFill/>
                    </a:ln>
                  </pic:spPr>
                </pic:pic>
              </a:graphicData>
            </a:graphic>
          </wp:inline>
        </w:drawing>
      </w:r>
    </w:p>
    <w:p w14:paraId="127E914F" w14:textId="77777777" w:rsidR="008271C8" w:rsidRDefault="008271C8" w:rsidP="008271C8">
      <w:pPr>
        <w:spacing w:line="240" w:lineRule="auto"/>
        <w:rPr>
          <w:noProof/>
        </w:rPr>
      </w:pPr>
      <w:r w:rsidRPr="00027614">
        <w:rPr>
          <w:noProof/>
        </w:rPr>
        <w:drawing>
          <wp:inline distT="0" distB="0" distL="0" distR="0" wp14:anchorId="48360BC8" wp14:editId="5C6EE1C1">
            <wp:extent cx="3035300" cy="1092200"/>
            <wp:effectExtent l="0" t="0" r="0" b="0"/>
            <wp:docPr id="56"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4"/>
                    <pic:cNvPicPr>
                      <a:picLocks noChangeAspect="1" noChangeArrowheads="1"/>
                    </pic:cNvPicPr>
                  </pic:nvPicPr>
                  <pic:blipFill>
                    <a:blip r:embed="rId254">
                      <a:extLst>
                        <a:ext uri="{28A0092B-C50C-407E-A947-70E740481C1C}">
                          <a14:useLocalDpi xmlns:a14="http://schemas.microsoft.com/office/drawing/2010/main" val="0"/>
                        </a:ext>
                      </a:extLst>
                    </a:blip>
                    <a:srcRect l="12851" t="9438" b="47223"/>
                    <a:stretch>
                      <a:fillRect/>
                    </a:stretch>
                  </pic:blipFill>
                  <pic:spPr bwMode="auto">
                    <a:xfrm>
                      <a:off x="0" y="0"/>
                      <a:ext cx="3035300" cy="1092200"/>
                    </a:xfrm>
                    <a:prstGeom prst="rect">
                      <a:avLst/>
                    </a:prstGeom>
                    <a:noFill/>
                    <a:ln>
                      <a:noFill/>
                    </a:ln>
                  </pic:spPr>
                </pic:pic>
              </a:graphicData>
            </a:graphic>
          </wp:inline>
        </w:drawing>
      </w:r>
    </w:p>
    <w:p w14:paraId="1C993095" w14:textId="77777777" w:rsidR="008271C8" w:rsidRDefault="008271C8" w:rsidP="008271C8">
      <w:pPr>
        <w:spacing w:line="240" w:lineRule="auto"/>
        <w:rPr>
          <w:noProof/>
        </w:rPr>
      </w:pPr>
      <w:r w:rsidRPr="00027614">
        <w:rPr>
          <w:noProof/>
        </w:rPr>
        <w:drawing>
          <wp:inline distT="0" distB="0" distL="0" distR="0" wp14:anchorId="24D78ABF" wp14:editId="7BF28EDC">
            <wp:extent cx="3073400" cy="1130300"/>
            <wp:effectExtent l="0" t="0" r="0" b="0"/>
            <wp:docPr id="55"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3"/>
                    <pic:cNvPicPr>
                      <a:picLocks noChangeAspect="1" noChangeArrowheads="1"/>
                    </pic:cNvPicPr>
                  </pic:nvPicPr>
                  <pic:blipFill>
                    <a:blip r:embed="rId255">
                      <a:extLst>
                        <a:ext uri="{28A0092B-C50C-407E-A947-70E740481C1C}">
                          <a14:useLocalDpi xmlns:a14="http://schemas.microsoft.com/office/drawing/2010/main" val="0"/>
                        </a:ext>
                      </a:extLst>
                    </a:blip>
                    <a:srcRect l="8383" t="14478" r="-1894" b="38231"/>
                    <a:stretch>
                      <a:fillRect/>
                    </a:stretch>
                  </pic:blipFill>
                  <pic:spPr bwMode="auto">
                    <a:xfrm>
                      <a:off x="0" y="0"/>
                      <a:ext cx="3073400" cy="1130300"/>
                    </a:xfrm>
                    <a:prstGeom prst="rect">
                      <a:avLst/>
                    </a:prstGeom>
                    <a:noFill/>
                    <a:ln>
                      <a:noFill/>
                    </a:ln>
                  </pic:spPr>
                </pic:pic>
              </a:graphicData>
            </a:graphic>
          </wp:inline>
        </w:drawing>
      </w:r>
    </w:p>
    <w:p w14:paraId="55CD6C4B" w14:textId="77777777" w:rsidR="008271C8" w:rsidRDefault="008271C8" w:rsidP="008271C8">
      <w:pPr>
        <w:spacing w:line="240" w:lineRule="auto"/>
        <w:rPr>
          <w:noProof/>
        </w:rPr>
      </w:pPr>
    </w:p>
    <w:p w14:paraId="3BE99667" w14:textId="1C67D119"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31808" behindDoc="0" locked="0" layoutInCell="1" allowOverlap="1" wp14:anchorId="235F8715" wp14:editId="22CDFF88">
                <wp:simplePos x="0" y="0"/>
                <wp:positionH relativeFrom="column">
                  <wp:posOffset>3831590</wp:posOffset>
                </wp:positionH>
                <wp:positionV relativeFrom="paragraph">
                  <wp:posOffset>-616927</wp:posOffset>
                </wp:positionV>
                <wp:extent cx="2027555" cy="7712710"/>
                <wp:effectExtent l="0" t="0" r="0" b="0"/>
                <wp:wrapNone/>
                <wp:docPr id="4117" name="Text Box 4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77127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52BA60" w14:textId="77777777" w:rsidR="00EA43A0" w:rsidRPr="006C0808" w:rsidRDefault="00EA43A0" w:rsidP="008271C8">
                            <w:pPr>
                              <w:rPr>
                                <w:b/>
                              </w:rPr>
                            </w:pPr>
                          </w:p>
                          <w:p w14:paraId="5FC4E8DD" w14:textId="77777777" w:rsidR="00EA43A0" w:rsidRDefault="00EA43A0" w:rsidP="008271C8">
                            <w:pPr>
                              <w:rPr>
                                <w:b/>
                              </w:rPr>
                            </w:pPr>
                          </w:p>
                          <w:p w14:paraId="20264705" w14:textId="77777777" w:rsidR="00EA43A0" w:rsidRPr="006C0808" w:rsidRDefault="00EA43A0" w:rsidP="008271C8">
                            <w:pPr>
                              <w:rPr>
                                <w:b/>
                              </w:rPr>
                            </w:pPr>
                            <w:r w:rsidRPr="006C0808">
                              <w:rPr>
                                <w:b/>
                              </w:rPr>
                              <w:t>VIII: triMe-MTTC</w:t>
                            </w:r>
                          </w:p>
                          <w:p w14:paraId="777F5165" w14:textId="77777777" w:rsidR="00EA43A0" w:rsidRPr="006C0808" w:rsidRDefault="00EA43A0" w:rsidP="008271C8">
                            <w:pPr>
                              <w:rPr>
                                <w:b/>
                              </w:rPr>
                            </w:pPr>
                          </w:p>
                          <w:p w14:paraId="6A6293F0" w14:textId="77777777" w:rsidR="00EA43A0" w:rsidRPr="006C0808" w:rsidRDefault="00EA43A0" w:rsidP="008271C8">
                            <w:pPr>
                              <w:rPr>
                                <w:b/>
                              </w:rPr>
                            </w:pPr>
                            <w:r w:rsidRPr="006C0808">
                              <w:rPr>
                                <w:b/>
                              </w:rPr>
                              <w:t>IX: C</w:t>
                            </w:r>
                            <w:r w:rsidRPr="006C0808">
                              <w:rPr>
                                <w:b/>
                                <w:vertAlign w:val="subscript"/>
                              </w:rPr>
                              <w:t>27</w:t>
                            </w:r>
                            <w:r w:rsidRPr="006C0808">
                              <w:rPr>
                                <w:b/>
                              </w:rPr>
                              <w:t xml:space="preserve"> Sterane</w:t>
                            </w:r>
                          </w:p>
                          <w:p w14:paraId="62D24EF4" w14:textId="77777777" w:rsidR="00EA43A0" w:rsidRPr="006C0808" w:rsidRDefault="00EA43A0" w:rsidP="008271C8">
                            <w:pPr>
                              <w:rPr>
                                <w:b/>
                              </w:rPr>
                            </w:pPr>
                          </w:p>
                          <w:p w14:paraId="392BCEA4" w14:textId="77777777" w:rsidR="00EA43A0" w:rsidRDefault="00EA43A0" w:rsidP="008271C8">
                            <w:pPr>
                              <w:rPr>
                                <w:b/>
                              </w:rPr>
                            </w:pPr>
                          </w:p>
                          <w:p w14:paraId="60A347E9" w14:textId="77777777" w:rsidR="00EA43A0" w:rsidRPr="006C0808" w:rsidRDefault="00EA43A0" w:rsidP="008271C8">
                            <w:pPr>
                              <w:rPr>
                                <w:b/>
                              </w:rPr>
                            </w:pPr>
                          </w:p>
                          <w:p w14:paraId="730AA9C8" w14:textId="77777777" w:rsidR="00EA43A0" w:rsidRPr="006C0808" w:rsidRDefault="00EA43A0" w:rsidP="008271C8">
                            <w:pPr>
                              <w:rPr>
                                <w:b/>
                              </w:rPr>
                            </w:pPr>
                            <w:r w:rsidRPr="006C0808">
                              <w:rPr>
                                <w:b/>
                              </w:rPr>
                              <w:t>X: C</w:t>
                            </w:r>
                            <w:r w:rsidRPr="006C0808">
                              <w:rPr>
                                <w:b/>
                                <w:vertAlign w:val="subscript"/>
                              </w:rPr>
                              <w:t>28</w:t>
                            </w:r>
                            <w:r w:rsidRPr="006C0808">
                              <w:rPr>
                                <w:b/>
                              </w:rPr>
                              <w:t xml:space="preserve"> Sterane</w:t>
                            </w:r>
                          </w:p>
                          <w:p w14:paraId="7B204C52" w14:textId="77777777" w:rsidR="00EA43A0" w:rsidRPr="006C0808" w:rsidRDefault="00EA43A0" w:rsidP="008271C8">
                            <w:pPr>
                              <w:rPr>
                                <w:b/>
                              </w:rPr>
                            </w:pPr>
                          </w:p>
                          <w:p w14:paraId="211CF0EF" w14:textId="77777777" w:rsidR="00EA43A0" w:rsidRPr="006C0808" w:rsidRDefault="00EA43A0" w:rsidP="008271C8">
                            <w:pPr>
                              <w:rPr>
                                <w:b/>
                              </w:rPr>
                            </w:pPr>
                          </w:p>
                          <w:p w14:paraId="6E53C023" w14:textId="77777777" w:rsidR="00EA43A0" w:rsidRDefault="00EA43A0" w:rsidP="008271C8">
                            <w:pPr>
                              <w:rPr>
                                <w:b/>
                              </w:rPr>
                            </w:pPr>
                          </w:p>
                          <w:p w14:paraId="1DFEEB37" w14:textId="77777777" w:rsidR="00EA43A0" w:rsidRPr="006C0808" w:rsidRDefault="00EA43A0" w:rsidP="008271C8">
                            <w:pPr>
                              <w:rPr>
                                <w:b/>
                              </w:rPr>
                            </w:pPr>
                          </w:p>
                          <w:p w14:paraId="5792510E" w14:textId="77777777" w:rsidR="00EA43A0" w:rsidRPr="006C0808" w:rsidRDefault="00EA43A0" w:rsidP="008271C8">
                            <w:pPr>
                              <w:rPr>
                                <w:b/>
                              </w:rPr>
                            </w:pPr>
                            <w:r w:rsidRPr="006C0808">
                              <w:rPr>
                                <w:b/>
                              </w:rPr>
                              <w:t>XI: C</w:t>
                            </w:r>
                            <w:r w:rsidRPr="006C0808">
                              <w:rPr>
                                <w:b/>
                                <w:vertAlign w:val="subscript"/>
                              </w:rPr>
                              <w:t>29</w:t>
                            </w:r>
                            <w:r w:rsidRPr="006C0808">
                              <w:rPr>
                                <w:b/>
                              </w:rPr>
                              <w:t xml:space="preserve"> Sterane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F8715" id="Text Box 4117" o:spid="_x0000_s1063" type="#_x0000_t202" style="position:absolute;left:0;text-align:left;margin-left:301.7pt;margin-top:-48.6pt;width:159.65pt;height:607.3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" filled="f" stroked="f">
                <v:textbox>
                  <w:txbxContent>
                    <w:p w14:paraId="6B52BA60" w14:textId="77777777" w:rsidR="00EA43A0" w:rsidRPr="006C0808" w:rsidRDefault="00EA43A0" w:rsidP="008271C8">
                      <w:pPr>
                        <w:rPr>
                          <w:b/>
                        </w:rPr>
                      </w:pPr>
                    </w:p>
                    <w:p w14:paraId="5FC4E8DD" w14:textId="77777777" w:rsidR="00EA43A0" w:rsidRDefault="00EA43A0" w:rsidP="008271C8">
                      <w:pPr>
                        <w:rPr>
                          <w:b/>
                        </w:rPr>
                      </w:pPr>
                    </w:p>
                    <w:p w14:paraId="20264705" w14:textId="77777777" w:rsidR="00EA43A0" w:rsidRPr="006C0808" w:rsidRDefault="00EA43A0" w:rsidP="008271C8">
                      <w:pPr>
                        <w:rPr>
                          <w:b/>
                        </w:rPr>
                      </w:pPr>
                      <w:r w:rsidRPr="006C0808">
                        <w:rPr>
                          <w:b/>
                        </w:rPr>
                        <w:t>VIII: triMe-MTTC</w:t>
                      </w:r>
                    </w:p>
                    <w:p w14:paraId="777F5165" w14:textId="77777777" w:rsidR="00EA43A0" w:rsidRPr="006C0808" w:rsidRDefault="00EA43A0" w:rsidP="008271C8">
                      <w:pPr>
                        <w:rPr>
                          <w:b/>
                        </w:rPr>
                      </w:pPr>
                    </w:p>
                    <w:p w14:paraId="6A6293F0" w14:textId="77777777" w:rsidR="00EA43A0" w:rsidRPr="006C0808" w:rsidRDefault="00EA43A0" w:rsidP="008271C8">
                      <w:pPr>
                        <w:rPr>
                          <w:b/>
                        </w:rPr>
                      </w:pPr>
                      <w:r w:rsidRPr="006C0808">
                        <w:rPr>
                          <w:b/>
                        </w:rPr>
                        <w:t>IX: C</w:t>
                      </w:r>
                      <w:r w:rsidRPr="006C0808">
                        <w:rPr>
                          <w:b/>
                          <w:vertAlign w:val="subscript"/>
                        </w:rPr>
                        <w:t>27</w:t>
                      </w:r>
                      <w:r w:rsidRPr="006C0808">
                        <w:rPr>
                          <w:b/>
                        </w:rPr>
                        <w:t xml:space="preserve"> Sterane</w:t>
                      </w:r>
                    </w:p>
                    <w:p w14:paraId="62D24EF4" w14:textId="77777777" w:rsidR="00EA43A0" w:rsidRPr="006C0808" w:rsidRDefault="00EA43A0" w:rsidP="008271C8">
                      <w:pPr>
                        <w:rPr>
                          <w:b/>
                        </w:rPr>
                      </w:pPr>
                    </w:p>
                    <w:p w14:paraId="392BCEA4" w14:textId="77777777" w:rsidR="00EA43A0" w:rsidRDefault="00EA43A0" w:rsidP="008271C8">
                      <w:pPr>
                        <w:rPr>
                          <w:b/>
                        </w:rPr>
                      </w:pPr>
                    </w:p>
                    <w:p w14:paraId="60A347E9" w14:textId="77777777" w:rsidR="00EA43A0" w:rsidRPr="006C0808" w:rsidRDefault="00EA43A0" w:rsidP="008271C8">
                      <w:pPr>
                        <w:rPr>
                          <w:b/>
                        </w:rPr>
                      </w:pPr>
                    </w:p>
                    <w:p w14:paraId="730AA9C8" w14:textId="77777777" w:rsidR="00EA43A0" w:rsidRPr="006C0808" w:rsidRDefault="00EA43A0" w:rsidP="008271C8">
                      <w:pPr>
                        <w:rPr>
                          <w:b/>
                        </w:rPr>
                      </w:pPr>
                      <w:r w:rsidRPr="006C0808">
                        <w:rPr>
                          <w:b/>
                        </w:rPr>
                        <w:t>X: C</w:t>
                      </w:r>
                      <w:r w:rsidRPr="006C0808">
                        <w:rPr>
                          <w:b/>
                          <w:vertAlign w:val="subscript"/>
                        </w:rPr>
                        <w:t>28</w:t>
                      </w:r>
                      <w:r w:rsidRPr="006C0808">
                        <w:rPr>
                          <w:b/>
                        </w:rPr>
                        <w:t xml:space="preserve"> Sterane</w:t>
                      </w:r>
                    </w:p>
                    <w:p w14:paraId="7B204C52" w14:textId="77777777" w:rsidR="00EA43A0" w:rsidRPr="006C0808" w:rsidRDefault="00EA43A0" w:rsidP="008271C8">
                      <w:pPr>
                        <w:rPr>
                          <w:b/>
                        </w:rPr>
                      </w:pPr>
                    </w:p>
                    <w:p w14:paraId="211CF0EF" w14:textId="77777777" w:rsidR="00EA43A0" w:rsidRPr="006C0808" w:rsidRDefault="00EA43A0" w:rsidP="008271C8">
                      <w:pPr>
                        <w:rPr>
                          <w:b/>
                        </w:rPr>
                      </w:pPr>
                    </w:p>
                    <w:p w14:paraId="6E53C023" w14:textId="77777777" w:rsidR="00EA43A0" w:rsidRDefault="00EA43A0" w:rsidP="008271C8">
                      <w:pPr>
                        <w:rPr>
                          <w:b/>
                        </w:rPr>
                      </w:pPr>
                    </w:p>
                    <w:p w14:paraId="1DFEEB37" w14:textId="77777777" w:rsidR="00EA43A0" w:rsidRPr="006C0808" w:rsidRDefault="00EA43A0" w:rsidP="008271C8">
                      <w:pPr>
                        <w:rPr>
                          <w:b/>
                        </w:rPr>
                      </w:pPr>
                    </w:p>
                    <w:p w14:paraId="5792510E" w14:textId="77777777" w:rsidR="00EA43A0" w:rsidRPr="006C0808" w:rsidRDefault="00EA43A0" w:rsidP="008271C8">
                      <w:pPr>
                        <w:rPr>
                          <w:b/>
                        </w:rPr>
                      </w:pPr>
                      <w:r w:rsidRPr="006C0808">
                        <w:rPr>
                          <w:b/>
                        </w:rPr>
                        <w:t>XI: C</w:t>
                      </w:r>
                      <w:r w:rsidRPr="006C0808">
                        <w:rPr>
                          <w:b/>
                          <w:vertAlign w:val="subscript"/>
                        </w:rPr>
                        <w:t>29</w:t>
                      </w:r>
                      <w:r w:rsidRPr="006C0808">
                        <w:rPr>
                          <w:b/>
                        </w:rPr>
                        <w:t xml:space="preserve"> Sterane</w:t>
                      </w:r>
                    </w:p>
                  </w:txbxContent>
                </v:textbox>
              </v:shape>
            </w:pict>
          </mc:Fallback>
        </mc:AlternateContent>
      </w:r>
      <w:r w:rsidRPr="00027614">
        <w:rPr>
          <w:noProof/>
        </w:rPr>
        <w:drawing>
          <wp:inline distT="0" distB="0" distL="0" distR="0" wp14:anchorId="53D0C225" wp14:editId="0AB4F90F">
            <wp:extent cx="3111500" cy="901700"/>
            <wp:effectExtent l="0" t="0" r="0" b="0"/>
            <wp:docPr id="54"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2"/>
                    <pic:cNvPicPr>
                      <a:picLocks noChangeAspect="1" noChangeArrowheads="1"/>
                    </pic:cNvPicPr>
                  </pic:nvPicPr>
                  <pic:blipFill>
                    <a:blip r:embed="rId256">
                      <a:extLst>
                        <a:ext uri="{28A0092B-C50C-407E-A947-70E740481C1C}">
                          <a14:useLocalDpi xmlns:a14="http://schemas.microsoft.com/office/drawing/2010/main" val="0"/>
                        </a:ext>
                      </a:extLst>
                    </a:blip>
                    <a:srcRect l="7735" t="16805" b="46101"/>
                    <a:stretch>
                      <a:fillRect/>
                    </a:stretch>
                  </pic:blipFill>
                  <pic:spPr bwMode="auto">
                    <a:xfrm>
                      <a:off x="0" y="0"/>
                      <a:ext cx="3111500" cy="901700"/>
                    </a:xfrm>
                    <a:prstGeom prst="rect">
                      <a:avLst/>
                    </a:prstGeom>
                    <a:noFill/>
                    <a:ln>
                      <a:noFill/>
                    </a:ln>
                  </pic:spPr>
                </pic:pic>
              </a:graphicData>
            </a:graphic>
          </wp:inline>
        </w:drawing>
      </w:r>
    </w:p>
    <w:p w14:paraId="0B3BB1D5" w14:textId="77777777" w:rsidR="008271C8" w:rsidRDefault="008271C8" w:rsidP="008271C8">
      <w:pPr>
        <w:spacing w:line="240" w:lineRule="auto"/>
        <w:rPr>
          <w:noProof/>
        </w:rPr>
      </w:pPr>
    </w:p>
    <w:p w14:paraId="0C21E5A4" w14:textId="77777777" w:rsidR="008271C8" w:rsidRPr="00064C91" w:rsidRDefault="008271C8" w:rsidP="008271C8">
      <w:pPr>
        <w:spacing w:line="240" w:lineRule="auto"/>
        <w:rPr>
          <w:noProof/>
        </w:rPr>
      </w:pPr>
      <w:r w:rsidRPr="00027614">
        <w:rPr>
          <w:noProof/>
        </w:rPr>
        <w:drawing>
          <wp:inline distT="0" distB="0" distL="0" distR="0" wp14:anchorId="5BC37257" wp14:editId="74064ECA">
            <wp:extent cx="2374900" cy="1638300"/>
            <wp:effectExtent l="0" t="0" r="0" b="0"/>
            <wp:docPr id="53"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1"/>
                    <pic:cNvPicPr>
                      <a:picLocks noChangeAspect="1" noChangeArrowheads="1"/>
                    </pic:cNvPicPr>
                  </pic:nvPicPr>
                  <pic:blipFill>
                    <a:blip r:embed="rId257">
                      <a:extLst>
                        <a:ext uri="{28A0092B-C50C-407E-A947-70E740481C1C}">
                          <a14:useLocalDpi xmlns:a14="http://schemas.microsoft.com/office/drawing/2010/main" val="0"/>
                        </a:ext>
                      </a:extLst>
                    </a:blip>
                    <a:srcRect r="35899" b="39316"/>
                    <a:stretch>
                      <a:fillRect/>
                    </a:stretch>
                  </pic:blipFill>
                  <pic:spPr bwMode="auto">
                    <a:xfrm>
                      <a:off x="0" y="0"/>
                      <a:ext cx="2374900" cy="1638300"/>
                    </a:xfrm>
                    <a:prstGeom prst="rect">
                      <a:avLst/>
                    </a:prstGeom>
                    <a:noFill/>
                    <a:ln>
                      <a:noFill/>
                    </a:ln>
                  </pic:spPr>
                </pic:pic>
              </a:graphicData>
            </a:graphic>
          </wp:inline>
        </w:drawing>
      </w:r>
    </w:p>
    <w:p w14:paraId="0B736CF8" w14:textId="77777777" w:rsidR="008271C8" w:rsidRDefault="008271C8" w:rsidP="008271C8">
      <w:pPr>
        <w:spacing w:line="240" w:lineRule="auto"/>
        <w:rPr>
          <w:noProof/>
        </w:rPr>
      </w:pPr>
      <w:r w:rsidRPr="00027614">
        <w:rPr>
          <w:noProof/>
        </w:rPr>
        <w:drawing>
          <wp:inline distT="0" distB="0" distL="0" distR="0" wp14:anchorId="31099DC2" wp14:editId="58F5F76A">
            <wp:extent cx="2324100" cy="1600200"/>
            <wp:effectExtent l="0" t="0" r="0" b="0"/>
            <wp:docPr id="52"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
                    <pic:cNvPicPr>
                      <a:picLocks noChangeAspect="1" noChangeArrowheads="1"/>
                    </pic:cNvPicPr>
                  </pic:nvPicPr>
                  <pic:blipFill>
                    <a:blip r:embed="rId258">
                      <a:extLst>
                        <a:ext uri="{28A0092B-C50C-407E-A947-70E740481C1C}">
                          <a14:useLocalDpi xmlns:a14="http://schemas.microsoft.com/office/drawing/2010/main" val="0"/>
                        </a:ext>
                      </a:extLst>
                    </a:blip>
                    <a:srcRect r="34642" b="38158"/>
                    <a:stretch>
                      <a:fillRect/>
                    </a:stretch>
                  </pic:blipFill>
                  <pic:spPr bwMode="auto">
                    <a:xfrm>
                      <a:off x="0" y="0"/>
                      <a:ext cx="2324100" cy="1600200"/>
                    </a:xfrm>
                    <a:prstGeom prst="rect">
                      <a:avLst/>
                    </a:prstGeom>
                    <a:noFill/>
                    <a:ln>
                      <a:noFill/>
                    </a:ln>
                  </pic:spPr>
                </pic:pic>
              </a:graphicData>
            </a:graphic>
          </wp:inline>
        </w:drawing>
      </w:r>
    </w:p>
    <w:p w14:paraId="662815E5" w14:textId="77777777" w:rsidR="008271C8" w:rsidRDefault="008271C8" w:rsidP="008271C8">
      <w:pPr>
        <w:spacing w:line="240" w:lineRule="auto"/>
        <w:rPr>
          <w:noProof/>
        </w:rPr>
      </w:pPr>
      <w:r w:rsidRPr="00027614">
        <w:rPr>
          <w:noProof/>
        </w:rPr>
        <w:drawing>
          <wp:inline distT="0" distB="0" distL="0" distR="0" wp14:anchorId="6F217279" wp14:editId="71318B68">
            <wp:extent cx="2324100" cy="1892300"/>
            <wp:effectExtent l="0" t="0" r="0" b="0"/>
            <wp:docPr id="51"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9"/>
                    <pic:cNvPicPr>
                      <a:picLocks noChangeAspect="1" noChangeArrowheads="1"/>
                    </pic:cNvPicPr>
                  </pic:nvPicPr>
                  <pic:blipFill>
                    <a:blip r:embed="rId259">
                      <a:extLst>
                        <a:ext uri="{28A0092B-C50C-407E-A947-70E740481C1C}">
                          <a14:useLocalDpi xmlns:a14="http://schemas.microsoft.com/office/drawing/2010/main" val="0"/>
                        </a:ext>
                      </a:extLst>
                    </a:blip>
                    <a:srcRect l="18011" t="22070" r="22800" b="11768"/>
                    <a:stretch>
                      <a:fillRect/>
                    </a:stretch>
                  </pic:blipFill>
                  <pic:spPr bwMode="auto">
                    <a:xfrm>
                      <a:off x="0" y="0"/>
                      <a:ext cx="2324100" cy="1892300"/>
                    </a:xfrm>
                    <a:prstGeom prst="rect">
                      <a:avLst/>
                    </a:prstGeom>
                    <a:noFill/>
                    <a:ln>
                      <a:noFill/>
                    </a:ln>
                  </pic:spPr>
                </pic:pic>
              </a:graphicData>
            </a:graphic>
          </wp:inline>
        </w:drawing>
      </w:r>
    </w:p>
    <w:p w14:paraId="2ADCEE0D" w14:textId="77777777"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32832" behindDoc="0" locked="0" layoutInCell="1" allowOverlap="1" wp14:anchorId="14BE13F0" wp14:editId="5B0F9B1A">
                <wp:simplePos x="0" y="0"/>
                <wp:positionH relativeFrom="column">
                  <wp:posOffset>2980055</wp:posOffset>
                </wp:positionH>
                <wp:positionV relativeFrom="paragraph">
                  <wp:posOffset>-268605</wp:posOffset>
                </wp:positionV>
                <wp:extent cx="2166620" cy="7643495"/>
                <wp:effectExtent l="0" t="0" r="0" b="0"/>
                <wp:wrapNone/>
                <wp:docPr id="4116" name="Text Box 4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6620" cy="764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3C6925" w14:textId="77777777" w:rsidR="00EA43A0" w:rsidRPr="006C0808" w:rsidRDefault="00EA43A0" w:rsidP="008271C8">
                            <w:pPr>
                              <w:rPr>
                                <w:b/>
                              </w:rPr>
                            </w:pPr>
                          </w:p>
                          <w:p w14:paraId="5F9A68DC" w14:textId="77777777" w:rsidR="00EA43A0" w:rsidRPr="006C0808" w:rsidRDefault="00EA43A0" w:rsidP="008271C8">
                            <w:pPr>
                              <w:rPr>
                                <w:b/>
                              </w:rPr>
                            </w:pPr>
                            <w:r w:rsidRPr="006C0808">
                              <w:rPr>
                                <w:b/>
                              </w:rPr>
                              <w:t>XII: C</w:t>
                            </w:r>
                            <w:r w:rsidRPr="006C0808">
                              <w:rPr>
                                <w:b/>
                                <w:vertAlign w:val="subscript"/>
                              </w:rPr>
                              <w:t>30</w:t>
                            </w:r>
                            <w:r w:rsidRPr="006C0808">
                              <w:rPr>
                                <w:b/>
                              </w:rPr>
                              <w:t xml:space="preserve"> Sterane</w:t>
                            </w:r>
                          </w:p>
                          <w:p w14:paraId="41B5B782" w14:textId="77777777" w:rsidR="00EA43A0" w:rsidRPr="006C0808" w:rsidRDefault="00EA43A0" w:rsidP="008271C8">
                            <w:pPr>
                              <w:rPr>
                                <w:b/>
                              </w:rPr>
                            </w:pPr>
                          </w:p>
                          <w:p w14:paraId="734DCC2B" w14:textId="77777777" w:rsidR="00EA43A0" w:rsidRDefault="00EA43A0" w:rsidP="008271C8">
                            <w:pPr>
                              <w:rPr>
                                <w:b/>
                              </w:rPr>
                            </w:pPr>
                          </w:p>
                          <w:p w14:paraId="0A9E7493" w14:textId="77777777" w:rsidR="00EA43A0" w:rsidRDefault="00EA43A0" w:rsidP="008271C8">
                            <w:pPr>
                              <w:rPr>
                                <w:b/>
                              </w:rPr>
                            </w:pPr>
                          </w:p>
                          <w:p w14:paraId="7BEAF50E" w14:textId="77777777" w:rsidR="00EA43A0" w:rsidRPr="006C0808" w:rsidRDefault="00EA43A0" w:rsidP="008271C8">
                            <w:pPr>
                              <w:rPr>
                                <w:b/>
                              </w:rPr>
                            </w:pPr>
                            <w:r w:rsidRPr="006C0808">
                              <w:rPr>
                                <w:b/>
                              </w:rPr>
                              <w:t>XIII: C27 Diasterane</w:t>
                            </w:r>
                          </w:p>
                          <w:p w14:paraId="7FC80920" w14:textId="77777777" w:rsidR="00EA43A0" w:rsidRPr="006C0808" w:rsidRDefault="00EA43A0" w:rsidP="008271C8">
                            <w:pPr>
                              <w:rPr>
                                <w:b/>
                              </w:rPr>
                            </w:pPr>
                          </w:p>
                          <w:p w14:paraId="38131852" w14:textId="77777777" w:rsidR="00EA43A0" w:rsidRPr="006C0808" w:rsidRDefault="00EA43A0" w:rsidP="008271C8">
                            <w:pPr>
                              <w:rPr>
                                <w:b/>
                              </w:rPr>
                            </w:pPr>
                          </w:p>
                          <w:p w14:paraId="4F98D9D4" w14:textId="77777777" w:rsidR="00EA43A0" w:rsidRPr="006C0808" w:rsidRDefault="00EA43A0" w:rsidP="008271C8">
                            <w:pPr>
                              <w:rPr>
                                <w:b/>
                              </w:rPr>
                            </w:pPr>
                          </w:p>
                          <w:p w14:paraId="35E98444" w14:textId="77777777" w:rsidR="00EA43A0" w:rsidRPr="006C0808" w:rsidRDefault="00EA43A0" w:rsidP="008271C8">
                            <w:pPr>
                              <w:rPr>
                                <w:b/>
                              </w:rPr>
                            </w:pPr>
                            <w:r w:rsidRPr="006C0808">
                              <w:rPr>
                                <w:b/>
                              </w:rPr>
                              <w:t>XIV: Hopane</w:t>
                            </w:r>
                          </w:p>
                          <w:p w14:paraId="5A83EDE8" w14:textId="77777777" w:rsidR="00EA43A0" w:rsidRPr="006C0808" w:rsidRDefault="00EA43A0" w:rsidP="008271C8">
                            <w:pPr>
                              <w:rPr>
                                <w:b/>
                              </w:rPr>
                            </w:pPr>
                          </w:p>
                          <w:p w14:paraId="124AC8E2" w14:textId="77777777" w:rsidR="00EA43A0" w:rsidRPr="006C0808" w:rsidRDefault="00EA43A0" w:rsidP="008271C8">
                            <w:pPr>
                              <w:rPr>
                                <w:b/>
                              </w:rPr>
                            </w:pPr>
                          </w:p>
                          <w:p w14:paraId="5A093348" w14:textId="77777777" w:rsidR="00EA43A0" w:rsidRPr="006C0808" w:rsidRDefault="00EA43A0" w:rsidP="008271C8">
                            <w:pPr>
                              <w:rPr>
                                <w:b/>
                              </w:rPr>
                            </w:pPr>
                          </w:p>
                          <w:p w14:paraId="2E013F4D" w14:textId="77777777" w:rsidR="00EA43A0" w:rsidRPr="006C0808" w:rsidRDefault="00EA43A0" w:rsidP="008271C8">
                            <w:pPr>
                              <w:rPr>
                                <w:b/>
                              </w:rPr>
                            </w:pPr>
                            <w:r w:rsidRPr="006C0808">
                              <w:rPr>
                                <w:b/>
                              </w:rPr>
                              <w:t>XV: Gammacerane</w:t>
                            </w:r>
                          </w:p>
                          <w:p w14:paraId="00E64744" w14:textId="77777777" w:rsidR="00EA43A0" w:rsidRPr="006C0808" w:rsidRDefault="00EA43A0" w:rsidP="008271C8">
                            <w:pPr>
                              <w:rPr>
                                <w:b/>
                              </w:rPr>
                            </w:pPr>
                          </w:p>
                          <w:p w14:paraId="1D48AA76" w14:textId="77777777" w:rsidR="00EA43A0" w:rsidRPr="006C0808" w:rsidRDefault="00EA43A0" w:rsidP="008271C8">
                            <w:pPr>
                              <w:rPr>
                                <w:b/>
                              </w:rPr>
                            </w:pPr>
                          </w:p>
                          <w:p w14:paraId="07C03189" w14:textId="77777777" w:rsidR="00EA43A0" w:rsidRPr="006C0808" w:rsidRDefault="00EA43A0" w:rsidP="008271C8">
                            <w:pPr>
                              <w:rPr>
                                <w:b/>
                              </w:rPr>
                            </w:pPr>
                          </w:p>
                          <w:p w14:paraId="73390A61" w14:textId="77777777" w:rsidR="00EA43A0" w:rsidRPr="006C0808" w:rsidRDefault="00EA43A0" w:rsidP="008271C8">
                            <w:pPr>
                              <w:rPr>
                                <w:b/>
                              </w:rPr>
                            </w:pPr>
                          </w:p>
                          <w:p w14:paraId="6E5016DF" w14:textId="77777777" w:rsidR="00EA43A0" w:rsidRPr="006C0808" w:rsidRDefault="00EA43A0" w:rsidP="008271C8">
                            <w:pPr>
                              <w:rPr>
                                <w:b/>
                              </w:rPr>
                            </w:pPr>
                          </w:p>
                          <w:p w14:paraId="118A5357" w14:textId="77777777" w:rsidR="00EA43A0" w:rsidRPr="006C0808" w:rsidRDefault="00EA43A0" w:rsidP="008271C8">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E13F0" id="Text Box 4116" o:spid="_x0000_s1064" type="#_x0000_t202" style="position:absolute;left:0;text-align:left;margin-left:234.65pt;margin-top:-21.15pt;width:170.6pt;height:601.8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" filled="f" stroked="f">
                <v:textbox>
                  <w:txbxContent>
                    <w:p w14:paraId="233C6925" w14:textId="77777777" w:rsidR="00EA43A0" w:rsidRPr="006C0808" w:rsidRDefault="00EA43A0" w:rsidP="008271C8">
                      <w:pPr>
                        <w:rPr>
                          <w:b/>
                        </w:rPr>
                      </w:pPr>
                    </w:p>
                    <w:p w14:paraId="5F9A68DC" w14:textId="77777777" w:rsidR="00EA43A0" w:rsidRPr="006C0808" w:rsidRDefault="00EA43A0" w:rsidP="008271C8">
                      <w:pPr>
                        <w:rPr>
                          <w:b/>
                        </w:rPr>
                      </w:pPr>
                      <w:r w:rsidRPr="006C0808">
                        <w:rPr>
                          <w:b/>
                        </w:rPr>
                        <w:t>XII: C</w:t>
                      </w:r>
                      <w:r w:rsidRPr="006C0808">
                        <w:rPr>
                          <w:b/>
                          <w:vertAlign w:val="subscript"/>
                        </w:rPr>
                        <w:t>30</w:t>
                      </w:r>
                      <w:r w:rsidRPr="006C0808">
                        <w:rPr>
                          <w:b/>
                        </w:rPr>
                        <w:t xml:space="preserve"> Sterane</w:t>
                      </w:r>
                    </w:p>
                    <w:p w14:paraId="41B5B782" w14:textId="77777777" w:rsidR="00EA43A0" w:rsidRPr="006C0808" w:rsidRDefault="00EA43A0" w:rsidP="008271C8">
                      <w:pPr>
                        <w:rPr>
                          <w:b/>
                        </w:rPr>
                      </w:pPr>
                    </w:p>
                    <w:p w14:paraId="734DCC2B" w14:textId="77777777" w:rsidR="00EA43A0" w:rsidRDefault="00EA43A0" w:rsidP="008271C8">
                      <w:pPr>
                        <w:rPr>
                          <w:b/>
                        </w:rPr>
                      </w:pPr>
                    </w:p>
                    <w:p w14:paraId="0A9E7493" w14:textId="77777777" w:rsidR="00EA43A0" w:rsidRDefault="00EA43A0" w:rsidP="008271C8">
                      <w:pPr>
                        <w:rPr>
                          <w:b/>
                        </w:rPr>
                      </w:pPr>
                    </w:p>
                    <w:p w14:paraId="7BEAF50E" w14:textId="77777777" w:rsidR="00EA43A0" w:rsidRPr="006C0808" w:rsidRDefault="00EA43A0" w:rsidP="008271C8">
                      <w:pPr>
                        <w:rPr>
                          <w:b/>
                        </w:rPr>
                      </w:pPr>
                      <w:r w:rsidRPr="006C0808">
                        <w:rPr>
                          <w:b/>
                        </w:rPr>
                        <w:t>XIII: C27 Diasterane</w:t>
                      </w:r>
                    </w:p>
                    <w:p w14:paraId="7FC80920" w14:textId="77777777" w:rsidR="00EA43A0" w:rsidRPr="006C0808" w:rsidRDefault="00EA43A0" w:rsidP="008271C8">
                      <w:pPr>
                        <w:rPr>
                          <w:b/>
                        </w:rPr>
                      </w:pPr>
                    </w:p>
                    <w:p w14:paraId="38131852" w14:textId="77777777" w:rsidR="00EA43A0" w:rsidRPr="006C0808" w:rsidRDefault="00EA43A0" w:rsidP="008271C8">
                      <w:pPr>
                        <w:rPr>
                          <w:b/>
                        </w:rPr>
                      </w:pPr>
                    </w:p>
                    <w:p w14:paraId="4F98D9D4" w14:textId="77777777" w:rsidR="00EA43A0" w:rsidRPr="006C0808" w:rsidRDefault="00EA43A0" w:rsidP="008271C8">
                      <w:pPr>
                        <w:rPr>
                          <w:b/>
                        </w:rPr>
                      </w:pPr>
                    </w:p>
                    <w:p w14:paraId="35E98444" w14:textId="77777777" w:rsidR="00EA43A0" w:rsidRPr="006C0808" w:rsidRDefault="00EA43A0" w:rsidP="008271C8">
                      <w:pPr>
                        <w:rPr>
                          <w:b/>
                        </w:rPr>
                      </w:pPr>
                      <w:r w:rsidRPr="006C0808">
                        <w:rPr>
                          <w:b/>
                        </w:rPr>
                        <w:t>XIV: Hopane</w:t>
                      </w:r>
                    </w:p>
                    <w:p w14:paraId="5A83EDE8" w14:textId="77777777" w:rsidR="00EA43A0" w:rsidRPr="006C0808" w:rsidRDefault="00EA43A0" w:rsidP="008271C8">
                      <w:pPr>
                        <w:rPr>
                          <w:b/>
                        </w:rPr>
                      </w:pPr>
                    </w:p>
                    <w:p w14:paraId="124AC8E2" w14:textId="77777777" w:rsidR="00EA43A0" w:rsidRPr="006C0808" w:rsidRDefault="00EA43A0" w:rsidP="008271C8">
                      <w:pPr>
                        <w:rPr>
                          <w:b/>
                        </w:rPr>
                      </w:pPr>
                    </w:p>
                    <w:p w14:paraId="5A093348" w14:textId="77777777" w:rsidR="00EA43A0" w:rsidRPr="006C0808" w:rsidRDefault="00EA43A0" w:rsidP="008271C8">
                      <w:pPr>
                        <w:rPr>
                          <w:b/>
                        </w:rPr>
                      </w:pPr>
                    </w:p>
                    <w:p w14:paraId="2E013F4D" w14:textId="77777777" w:rsidR="00EA43A0" w:rsidRPr="006C0808" w:rsidRDefault="00EA43A0" w:rsidP="008271C8">
                      <w:pPr>
                        <w:rPr>
                          <w:b/>
                        </w:rPr>
                      </w:pPr>
                      <w:r w:rsidRPr="006C0808">
                        <w:rPr>
                          <w:b/>
                        </w:rPr>
                        <w:t>XV: Gammacerane</w:t>
                      </w:r>
                    </w:p>
                    <w:p w14:paraId="00E64744" w14:textId="77777777" w:rsidR="00EA43A0" w:rsidRPr="006C0808" w:rsidRDefault="00EA43A0" w:rsidP="008271C8">
                      <w:pPr>
                        <w:rPr>
                          <w:b/>
                        </w:rPr>
                      </w:pPr>
                    </w:p>
                    <w:p w14:paraId="1D48AA76" w14:textId="77777777" w:rsidR="00EA43A0" w:rsidRPr="006C0808" w:rsidRDefault="00EA43A0" w:rsidP="008271C8">
                      <w:pPr>
                        <w:rPr>
                          <w:b/>
                        </w:rPr>
                      </w:pPr>
                    </w:p>
                    <w:p w14:paraId="07C03189" w14:textId="77777777" w:rsidR="00EA43A0" w:rsidRPr="006C0808" w:rsidRDefault="00EA43A0" w:rsidP="008271C8">
                      <w:pPr>
                        <w:rPr>
                          <w:b/>
                        </w:rPr>
                      </w:pPr>
                    </w:p>
                    <w:p w14:paraId="73390A61" w14:textId="77777777" w:rsidR="00EA43A0" w:rsidRPr="006C0808" w:rsidRDefault="00EA43A0" w:rsidP="008271C8">
                      <w:pPr>
                        <w:rPr>
                          <w:b/>
                        </w:rPr>
                      </w:pPr>
                    </w:p>
                    <w:p w14:paraId="6E5016DF" w14:textId="77777777" w:rsidR="00EA43A0" w:rsidRPr="006C0808" w:rsidRDefault="00EA43A0" w:rsidP="008271C8">
                      <w:pPr>
                        <w:rPr>
                          <w:b/>
                        </w:rPr>
                      </w:pPr>
                    </w:p>
                    <w:p w14:paraId="118A5357" w14:textId="77777777" w:rsidR="00EA43A0" w:rsidRPr="006C0808" w:rsidRDefault="00EA43A0" w:rsidP="008271C8">
                      <w:pPr>
                        <w:rPr>
                          <w:b/>
                        </w:rPr>
                      </w:pPr>
                    </w:p>
                  </w:txbxContent>
                </v:textbox>
              </v:shape>
            </w:pict>
          </mc:Fallback>
        </mc:AlternateContent>
      </w:r>
      <w:r w:rsidRPr="00027614">
        <w:rPr>
          <w:noProof/>
        </w:rPr>
        <w:drawing>
          <wp:inline distT="0" distB="0" distL="0" distR="0" wp14:anchorId="00BE2824" wp14:editId="1A168B94">
            <wp:extent cx="2311400" cy="1701800"/>
            <wp:effectExtent l="0" t="0" r="0" b="0"/>
            <wp:docPr id="50"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7"/>
                    <pic:cNvPicPr>
                      <a:picLocks noChangeAspect="1" noChangeArrowheads="1"/>
                    </pic:cNvPicPr>
                  </pic:nvPicPr>
                  <pic:blipFill>
                    <a:blip r:embed="rId260">
                      <a:extLst>
                        <a:ext uri="{28A0092B-C50C-407E-A947-70E740481C1C}">
                          <a14:useLocalDpi xmlns:a14="http://schemas.microsoft.com/office/drawing/2010/main" val="0"/>
                        </a:ext>
                      </a:extLst>
                    </a:blip>
                    <a:srcRect l="15961" t="24240" r="19485" b="10464"/>
                    <a:stretch>
                      <a:fillRect/>
                    </a:stretch>
                  </pic:blipFill>
                  <pic:spPr bwMode="auto">
                    <a:xfrm>
                      <a:off x="0" y="0"/>
                      <a:ext cx="2311400" cy="1701800"/>
                    </a:xfrm>
                    <a:prstGeom prst="rect">
                      <a:avLst/>
                    </a:prstGeom>
                    <a:noFill/>
                    <a:ln>
                      <a:noFill/>
                    </a:ln>
                  </pic:spPr>
                </pic:pic>
              </a:graphicData>
            </a:graphic>
          </wp:inline>
        </w:drawing>
      </w:r>
    </w:p>
    <w:p w14:paraId="78A525DC" w14:textId="77777777" w:rsidR="008271C8" w:rsidRDefault="008271C8" w:rsidP="008271C8">
      <w:pPr>
        <w:spacing w:line="240" w:lineRule="auto"/>
      </w:pPr>
      <w:r w:rsidRPr="00027614">
        <w:rPr>
          <w:noProof/>
        </w:rPr>
        <w:drawing>
          <wp:inline distT="0" distB="0" distL="0" distR="0" wp14:anchorId="6DF55D78" wp14:editId="790FAC7B">
            <wp:extent cx="2730500" cy="1689100"/>
            <wp:effectExtent l="0" t="0" r="0" b="0"/>
            <wp:docPr id="49"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730500" cy="1689100"/>
                    </a:xfrm>
                    <a:prstGeom prst="rect">
                      <a:avLst/>
                    </a:prstGeom>
                    <a:noFill/>
                    <a:ln>
                      <a:noFill/>
                    </a:ln>
                  </pic:spPr>
                </pic:pic>
              </a:graphicData>
            </a:graphic>
          </wp:inline>
        </w:drawing>
      </w:r>
    </w:p>
    <w:p w14:paraId="72AA7183" w14:textId="77777777" w:rsidR="008271C8" w:rsidRDefault="008271C8" w:rsidP="008271C8">
      <w:pPr>
        <w:spacing w:line="240" w:lineRule="auto"/>
        <w:rPr>
          <w:noProof/>
        </w:rPr>
      </w:pPr>
      <w:r w:rsidRPr="00027614">
        <w:rPr>
          <w:noProof/>
        </w:rPr>
        <w:drawing>
          <wp:inline distT="0" distB="0" distL="0" distR="0" wp14:anchorId="6958D1DC" wp14:editId="0F77C369">
            <wp:extent cx="1943100" cy="1473200"/>
            <wp:effectExtent l="0" t="0" r="0" b="0"/>
            <wp:docPr id="4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2">
                      <a:extLst>
                        <a:ext uri="{28A0092B-C50C-407E-A947-70E740481C1C}">
                          <a14:useLocalDpi xmlns:a14="http://schemas.microsoft.com/office/drawing/2010/main" val="0"/>
                        </a:ext>
                      </a:extLst>
                    </a:blip>
                    <a:srcRect l="12428"/>
                    <a:stretch>
                      <a:fillRect/>
                    </a:stretch>
                  </pic:blipFill>
                  <pic:spPr bwMode="auto">
                    <a:xfrm>
                      <a:off x="0" y="0"/>
                      <a:ext cx="1943100" cy="1473200"/>
                    </a:xfrm>
                    <a:prstGeom prst="rect">
                      <a:avLst/>
                    </a:prstGeom>
                    <a:noFill/>
                    <a:ln>
                      <a:noFill/>
                    </a:ln>
                  </pic:spPr>
                </pic:pic>
              </a:graphicData>
            </a:graphic>
          </wp:inline>
        </w:drawing>
      </w:r>
    </w:p>
    <w:p w14:paraId="0FD1B3E4" w14:textId="77777777" w:rsidR="008271C8" w:rsidRPr="00901E9E" w:rsidRDefault="008271C8" w:rsidP="008271C8">
      <w:pPr>
        <w:spacing w:line="240" w:lineRule="auto"/>
        <w:rPr>
          <w:noProof/>
        </w:rPr>
      </w:pPr>
      <w:r w:rsidRPr="00027614">
        <w:rPr>
          <w:noProof/>
        </w:rPr>
        <w:drawing>
          <wp:inline distT="0" distB="0" distL="0" distR="0" wp14:anchorId="0090487F" wp14:editId="3A39F033">
            <wp:extent cx="2044700" cy="1739900"/>
            <wp:effectExtent l="0" t="0" r="0" b="0"/>
            <wp:docPr id="4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3">
                      <a:extLst>
                        <a:ext uri="{28A0092B-C50C-407E-A947-70E740481C1C}">
                          <a14:useLocalDpi xmlns:a14="http://schemas.microsoft.com/office/drawing/2010/main" val="0"/>
                        </a:ext>
                      </a:extLst>
                    </a:blip>
                    <a:srcRect l="16565"/>
                    <a:stretch>
                      <a:fillRect/>
                    </a:stretch>
                  </pic:blipFill>
                  <pic:spPr bwMode="auto">
                    <a:xfrm>
                      <a:off x="0" y="0"/>
                      <a:ext cx="2044700" cy="1739900"/>
                    </a:xfrm>
                    <a:prstGeom prst="rect">
                      <a:avLst/>
                    </a:prstGeom>
                    <a:noFill/>
                    <a:ln>
                      <a:noFill/>
                    </a:ln>
                  </pic:spPr>
                </pic:pic>
              </a:graphicData>
            </a:graphic>
          </wp:inline>
        </w:drawing>
      </w:r>
    </w:p>
    <w:p w14:paraId="7AEEEAB2" w14:textId="77777777"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33856" behindDoc="0" locked="0" layoutInCell="1" allowOverlap="1" wp14:anchorId="5BC0B9FB" wp14:editId="0BABB53E">
                <wp:simplePos x="0" y="0"/>
                <wp:positionH relativeFrom="column">
                  <wp:posOffset>2433320</wp:posOffset>
                </wp:positionH>
                <wp:positionV relativeFrom="paragraph">
                  <wp:posOffset>-278130</wp:posOffset>
                </wp:positionV>
                <wp:extent cx="2593975" cy="7702550"/>
                <wp:effectExtent l="0" t="0" r="0" b="0"/>
                <wp:wrapNone/>
                <wp:docPr id="4115" name="Text Box 4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7702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ABDA7F" w14:textId="77777777" w:rsidR="00EA43A0" w:rsidRPr="006C0808" w:rsidRDefault="00EA43A0" w:rsidP="008271C8">
                            <w:pPr>
                              <w:rPr>
                                <w:b/>
                              </w:rPr>
                            </w:pPr>
                          </w:p>
                          <w:p w14:paraId="15E9DBDB" w14:textId="77777777" w:rsidR="00EA43A0" w:rsidRPr="006C0808" w:rsidRDefault="00EA43A0" w:rsidP="008271C8">
                            <w:pPr>
                              <w:rPr>
                                <w:b/>
                              </w:rPr>
                            </w:pPr>
                            <w:r w:rsidRPr="006C0808">
                              <w:rPr>
                                <w:b/>
                              </w:rPr>
                              <w:t>XVI: Tricyclic Terpane</w:t>
                            </w:r>
                          </w:p>
                          <w:p w14:paraId="47A4305C" w14:textId="77777777" w:rsidR="00EA43A0" w:rsidRPr="006C0808" w:rsidRDefault="00EA43A0" w:rsidP="008271C8">
                            <w:pPr>
                              <w:rPr>
                                <w:b/>
                              </w:rPr>
                            </w:pPr>
                          </w:p>
                          <w:p w14:paraId="00E01510" w14:textId="77777777" w:rsidR="00EA43A0" w:rsidRDefault="00EA43A0" w:rsidP="008271C8">
                            <w:pPr>
                              <w:rPr>
                                <w:b/>
                              </w:rPr>
                            </w:pPr>
                          </w:p>
                          <w:p w14:paraId="2F94BFE9" w14:textId="77777777" w:rsidR="00EA43A0" w:rsidRDefault="00EA43A0" w:rsidP="008271C8">
                            <w:pPr>
                              <w:rPr>
                                <w:b/>
                              </w:rPr>
                            </w:pPr>
                          </w:p>
                          <w:p w14:paraId="789310DA" w14:textId="77777777" w:rsidR="00EA43A0" w:rsidRPr="006C0808" w:rsidRDefault="00EA43A0" w:rsidP="008271C8">
                            <w:pPr>
                              <w:rPr>
                                <w:b/>
                              </w:rPr>
                            </w:pPr>
                            <w:r w:rsidRPr="006C0808">
                              <w:rPr>
                                <w:b/>
                              </w:rPr>
                              <w:t>XVII: Tetracyclic Polyprenoid (C</w:t>
                            </w:r>
                            <w:r w:rsidRPr="006C0808">
                              <w:rPr>
                                <w:b/>
                                <w:vertAlign w:val="subscript"/>
                              </w:rPr>
                              <w:t>30</w:t>
                            </w:r>
                            <w:r w:rsidRPr="006C0808">
                              <w:rPr>
                                <w:b/>
                              </w:rPr>
                              <w:t>)</w:t>
                            </w:r>
                          </w:p>
                          <w:p w14:paraId="3CFA8447" w14:textId="77777777" w:rsidR="00EA43A0" w:rsidRPr="006C0808" w:rsidRDefault="00EA43A0" w:rsidP="008271C8">
                            <w:pPr>
                              <w:rPr>
                                <w:b/>
                              </w:rPr>
                            </w:pPr>
                          </w:p>
                          <w:p w14:paraId="71B16A70" w14:textId="77777777" w:rsidR="00EA43A0" w:rsidRPr="006C0808" w:rsidRDefault="00EA43A0" w:rsidP="008271C8">
                            <w:pPr>
                              <w:rPr>
                                <w:b/>
                              </w:rPr>
                            </w:pPr>
                          </w:p>
                          <w:p w14:paraId="3E4D31F0" w14:textId="77777777" w:rsidR="00EA43A0" w:rsidRPr="006C0808" w:rsidRDefault="00EA43A0" w:rsidP="008271C8">
                            <w:pPr>
                              <w:rPr>
                                <w:b/>
                              </w:rPr>
                            </w:pPr>
                            <w:r w:rsidRPr="006C0808">
                              <w:rPr>
                                <w:b/>
                              </w:rPr>
                              <w:t>XVIII: 2,3,6- trimethylbenzene</w:t>
                            </w:r>
                          </w:p>
                          <w:p w14:paraId="3281A9B7" w14:textId="77777777" w:rsidR="00EA43A0" w:rsidRPr="006C0808" w:rsidRDefault="00EA43A0" w:rsidP="008271C8">
                            <w:pPr>
                              <w:rPr>
                                <w:b/>
                              </w:rPr>
                            </w:pPr>
                          </w:p>
                          <w:p w14:paraId="3358B00B" w14:textId="77777777" w:rsidR="00EA43A0" w:rsidRPr="006C0808" w:rsidRDefault="00EA43A0" w:rsidP="008271C8">
                            <w:pPr>
                              <w:rPr>
                                <w:b/>
                              </w:rPr>
                            </w:pPr>
                          </w:p>
                          <w:p w14:paraId="6C665250" w14:textId="77777777" w:rsidR="00EA43A0" w:rsidRPr="006C0808" w:rsidRDefault="00EA43A0" w:rsidP="008271C8">
                            <w:pPr>
                              <w:rPr>
                                <w:b/>
                              </w:rPr>
                            </w:pPr>
                          </w:p>
                          <w:p w14:paraId="2C70A95F" w14:textId="77777777" w:rsidR="00EA43A0" w:rsidRPr="006C0808" w:rsidRDefault="00EA43A0" w:rsidP="008271C8">
                            <w:pPr>
                              <w:rPr>
                                <w:b/>
                              </w:rPr>
                            </w:pPr>
                            <w:r w:rsidRPr="006C0808">
                              <w:rPr>
                                <w:b/>
                              </w:rPr>
                              <w:t>XIX: 3,4,5- trimethybenzene</w:t>
                            </w:r>
                          </w:p>
                          <w:p w14:paraId="791E60F9" w14:textId="77777777" w:rsidR="00EA43A0" w:rsidRPr="006C0808" w:rsidRDefault="00EA43A0" w:rsidP="008271C8">
                            <w:pPr>
                              <w:rPr>
                                <w:b/>
                              </w:rPr>
                            </w:pPr>
                          </w:p>
                          <w:p w14:paraId="1D7B2AE4" w14:textId="77777777" w:rsidR="00EA43A0" w:rsidRPr="006C0808" w:rsidRDefault="00EA43A0" w:rsidP="008271C8">
                            <w:pPr>
                              <w:rPr>
                                <w:b/>
                              </w:rPr>
                            </w:pPr>
                          </w:p>
                          <w:p w14:paraId="19293F2D" w14:textId="77777777" w:rsidR="00EA43A0" w:rsidRPr="006C0808" w:rsidRDefault="00EA43A0" w:rsidP="008271C8">
                            <w:pPr>
                              <w:rPr>
                                <w:b/>
                              </w:rPr>
                            </w:pPr>
                          </w:p>
                          <w:p w14:paraId="5E696CB9" w14:textId="77777777" w:rsidR="00EA43A0" w:rsidRPr="006C0808" w:rsidRDefault="00EA43A0" w:rsidP="008271C8">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0B9FB" id="Text Box 4115" o:spid="_x0000_s1065" type="#_x0000_t202" style="position:absolute;left:0;text-align:left;margin-left:191.6pt;margin-top:-21.9pt;width:204.25pt;height:606.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" filled="f" stroked="f">
                <v:textbox>
                  <w:txbxContent>
                    <w:p w14:paraId="02ABDA7F" w14:textId="77777777" w:rsidR="00EA43A0" w:rsidRPr="006C0808" w:rsidRDefault="00EA43A0" w:rsidP="008271C8">
                      <w:pPr>
                        <w:rPr>
                          <w:b/>
                        </w:rPr>
                      </w:pPr>
                    </w:p>
                    <w:p w14:paraId="15E9DBDB" w14:textId="77777777" w:rsidR="00EA43A0" w:rsidRPr="006C0808" w:rsidRDefault="00EA43A0" w:rsidP="008271C8">
                      <w:pPr>
                        <w:rPr>
                          <w:b/>
                        </w:rPr>
                      </w:pPr>
                      <w:r w:rsidRPr="006C0808">
                        <w:rPr>
                          <w:b/>
                        </w:rPr>
                        <w:t>XVI: Tricyclic Terpane</w:t>
                      </w:r>
                    </w:p>
                    <w:p w14:paraId="47A4305C" w14:textId="77777777" w:rsidR="00EA43A0" w:rsidRPr="006C0808" w:rsidRDefault="00EA43A0" w:rsidP="008271C8">
                      <w:pPr>
                        <w:rPr>
                          <w:b/>
                        </w:rPr>
                      </w:pPr>
                    </w:p>
                    <w:p w14:paraId="00E01510" w14:textId="77777777" w:rsidR="00EA43A0" w:rsidRDefault="00EA43A0" w:rsidP="008271C8">
                      <w:pPr>
                        <w:rPr>
                          <w:b/>
                        </w:rPr>
                      </w:pPr>
                    </w:p>
                    <w:p w14:paraId="2F94BFE9" w14:textId="77777777" w:rsidR="00EA43A0" w:rsidRDefault="00EA43A0" w:rsidP="008271C8">
                      <w:pPr>
                        <w:rPr>
                          <w:b/>
                        </w:rPr>
                      </w:pPr>
                    </w:p>
                    <w:p w14:paraId="789310DA" w14:textId="77777777" w:rsidR="00EA43A0" w:rsidRPr="006C0808" w:rsidRDefault="00EA43A0" w:rsidP="008271C8">
                      <w:pPr>
                        <w:rPr>
                          <w:b/>
                        </w:rPr>
                      </w:pPr>
                      <w:r w:rsidRPr="006C0808">
                        <w:rPr>
                          <w:b/>
                        </w:rPr>
                        <w:t>XVII: Tetracyclic Polyprenoid (C</w:t>
                      </w:r>
                      <w:r w:rsidRPr="006C0808">
                        <w:rPr>
                          <w:b/>
                          <w:vertAlign w:val="subscript"/>
                        </w:rPr>
                        <w:t>30</w:t>
                      </w:r>
                      <w:r w:rsidRPr="006C0808">
                        <w:rPr>
                          <w:b/>
                        </w:rPr>
                        <w:t>)</w:t>
                      </w:r>
                    </w:p>
                    <w:p w14:paraId="3CFA8447" w14:textId="77777777" w:rsidR="00EA43A0" w:rsidRPr="006C0808" w:rsidRDefault="00EA43A0" w:rsidP="008271C8">
                      <w:pPr>
                        <w:rPr>
                          <w:b/>
                        </w:rPr>
                      </w:pPr>
                    </w:p>
                    <w:p w14:paraId="71B16A70" w14:textId="77777777" w:rsidR="00EA43A0" w:rsidRPr="006C0808" w:rsidRDefault="00EA43A0" w:rsidP="008271C8">
                      <w:pPr>
                        <w:rPr>
                          <w:b/>
                        </w:rPr>
                      </w:pPr>
                    </w:p>
                    <w:p w14:paraId="3E4D31F0" w14:textId="77777777" w:rsidR="00EA43A0" w:rsidRPr="006C0808" w:rsidRDefault="00EA43A0" w:rsidP="008271C8">
                      <w:pPr>
                        <w:rPr>
                          <w:b/>
                        </w:rPr>
                      </w:pPr>
                      <w:r w:rsidRPr="006C0808">
                        <w:rPr>
                          <w:b/>
                        </w:rPr>
                        <w:t>XVIII: 2,3,6- trimethylbenzene</w:t>
                      </w:r>
                    </w:p>
                    <w:p w14:paraId="3281A9B7" w14:textId="77777777" w:rsidR="00EA43A0" w:rsidRPr="006C0808" w:rsidRDefault="00EA43A0" w:rsidP="008271C8">
                      <w:pPr>
                        <w:rPr>
                          <w:b/>
                        </w:rPr>
                      </w:pPr>
                    </w:p>
                    <w:p w14:paraId="3358B00B" w14:textId="77777777" w:rsidR="00EA43A0" w:rsidRPr="006C0808" w:rsidRDefault="00EA43A0" w:rsidP="008271C8">
                      <w:pPr>
                        <w:rPr>
                          <w:b/>
                        </w:rPr>
                      </w:pPr>
                    </w:p>
                    <w:p w14:paraId="6C665250" w14:textId="77777777" w:rsidR="00EA43A0" w:rsidRPr="006C0808" w:rsidRDefault="00EA43A0" w:rsidP="008271C8">
                      <w:pPr>
                        <w:rPr>
                          <w:b/>
                        </w:rPr>
                      </w:pPr>
                    </w:p>
                    <w:p w14:paraId="2C70A95F" w14:textId="77777777" w:rsidR="00EA43A0" w:rsidRPr="006C0808" w:rsidRDefault="00EA43A0" w:rsidP="008271C8">
                      <w:pPr>
                        <w:rPr>
                          <w:b/>
                        </w:rPr>
                      </w:pPr>
                      <w:r w:rsidRPr="006C0808">
                        <w:rPr>
                          <w:b/>
                        </w:rPr>
                        <w:t>XIX: 3,4,5- trimethybenzene</w:t>
                      </w:r>
                    </w:p>
                    <w:p w14:paraId="791E60F9" w14:textId="77777777" w:rsidR="00EA43A0" w:rsidRPr="006C0808" w:rsidRDefault="00EA43A0" w:rsidP="008271C8">
                      <w:pPr>
                        <w:rPr>
                          <w:b/>
                        </w:rPr>
                      </w:pPr>
                    </w:p>
                    <w:p w14:paraId="1D7B2AE4" w14:textId="77777777" w:rsidR="00EA43A0" w:rsidRPr="006C0808" w:rsidRDefault="00EA43A0" w:rsidP="008271C8">
                      <w:pPr>
                        <w:rPr>
                          <w:b/>
                        </w:rPr>
                      </w:pPr>
                    </w:p>
                    <w:p w14:paraId="19293F2D" w14:textId="77777777" w:rsidR="00EA43A0" w:rsidRPr="006C0808" w:rsidRDefault="00EA43A0" w:rsidP="008271C8">
                      <w:pPr>
                        <w:rPr>
                          <w:b/>
                        </w:rPr>
                      </w:pPr>
                    </w:p>
                    <w:p w14:paraId="5E696CB9" w14:textId="77777777" w:rsidR="00EA43A0" w:rsidRPr="006C0808" w:rsidRDefault="00EA43A0" w:rsidP="008271C8">
                      <w:pPr>
                        <w:rPr>
                          <w:b/>
                        </w:rPr>
                      </w:pPr>
                    </w:p>
                  </w:txbxContent>
                </v:textbox>
              </v:shape>
            </w:pict>
          </mc:Fallback>
        </mc:AlternateContent>
      </w:r>
      <w:r w:rsidRPr="00027614">
        <w:rPr>
          <w:noProof/>
        </w:rPr>
        <w:drawing>
          <wp:inline distT="0" distB="0" distL="0" distR="0" wp14:anchorId="5554C3F2" wp14:editId="2FEDEC23">
            <wp:extent cx="1625600" cy="1524000"/>
            <wp:effectExtent l="0" t="0" r="0" b="0"/>
            <wp:docPr id="4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64">
                      <a:extLst>
                        <a:ext uri="{28A0092B-C50C-407E-A947-70E740481C1C}">
                          <a14:useLocalDpi xmlns:a14="http://schemas.microsoft.com/office/drawing/2010/main" val="0"/>
                        </a:ext>
                      </a:extLst>
                    </a:blip>
                    <a:srcRect l="19392"/>
                    <a:stretch>
                      <a:fillRect/>
                    </a:stretch>
                  </pic:blipFill>
                  <pic:spPr bwMode="auto">
                    <a:xfrm>
                      <a:off x="0" y="0"/>
                      <a:ext cx="1625600" cy="1524000"/>
                    </a:xfrm>
                    <a:prstGeom prst="rect">
                      <a:avLst/>
                    </a:prstGeom>
                    <a:noFill/>
                    <a:ln>
                      <a:noFill/>
                    </a:ln>
                  </pic:spPr>
                </pic:pic>
              </a:graphicData>
            </a:graphic>
          </wp:inline>
        </w:drawing>
      </w:r>
    </w:p>
    <w:p w14:paraId="3AAEA9B2" w14:textId="77777777" w:rsidR="008271C8" w:rsidRDefault="008271C8" w:rsidP="008271C8">
      <w:pPr>
        <w:spacing w:line="240" w:lineRule="auto"/>
        <w:rPr>
          <w:noProof/>
        </w:rPr>
      </w:pPr>
      <w:r w:rsidRPr="00027614">
        <w:rPr>
          <w:noProof/>
        </w:rPr>
        <w:drawing>
          <wp:inline distT="0" distB="0" distL="0" distR="0" wp14:anchorId="5588D0A8" wp14:editId="7CB9A3FB">
            <wp:extent cx="2209800" cy="1511300"/>
            <wp:effectExtent l="0" t="0" r="0" b="0"/>
            <wp:docPr id="4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209800" cy="1511300"/>
                    </a:xfrm>
                    <a:prstGeom prst="rect">
                      <a:avLst/>
                    </a:prstGeom>
                    <a:noFill/>
                    <a:ln>
                      <a:noFill/>
                    </a:ln>
                  </pic:spPr>
                </pic:pic>
              </a:graphicData>
            </a:graphic>
          </wp:inline>
        </w:drawing>
      </w:r>
    </w:p>
    <w:p w14:paraId="59B0F564" w14:textId="77777777" w:rsidR="008271C8" w:rsidRPr="00901E9E" w:rsidRDefault="008271C8" w:rsidP="008271C8">
      <w:pPr>
        <w:spacing w:line="240" w:lineRule="auto"/>
      </w:pPr>
      <w:r w:rsidRPr="00027614">
        <w:rPr>
          <w:noProof/>
        </w:rPr>
        <w:drawing>
          <wp:inline distT="0" distB="0" distL="0" distR="0" wp14:anchorId="78D4C40C" wp14:editId="157207E8">
            <wp:extent cx="2425700" cy="1663700"/>
            <wp:effectExtent l="0" t="0" r="0" b="0"/>
            <wp:docPr id="4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425700" cy="1663700"/>
                    </a:xfrm>
                    <a:prstGeom prst="rect">
                      <a:avLst/>
                    </a:prstGeom>
                    <a:noFill/>
                    <a:ln>
                      <a:noFill/>
                    </a:ln>
                  </pic:spPr>
                </pic:pic>
              </a:graphicData>
            </a:graphic>
          </wp:inline>
        </w:drawing>
      </w:r>
    </w:p>
    <w:p w14:paraId="74C2F476" w14:textId="77777777" w:rsidR="008271C8" w:rsidRDefault="008271C8" w:rsidP="008271C8">
      <w:pPr>
        <w:spacing w:line="240" w:lineRule="auto"/>
        <w:rPr>
          <w:noProof/>
        </w:rPr>
      </w:pPr>
      <w:r w:rsidRPr="00027614">
        <w:rPr>
          <w:noProof/>
        </w:rPr>
        <w:drawing>
          <wp:inline distT="0" distB="0" distL="0" distR="0" wp14:anchorId="52A61962" wp14:editId="4928B717">
            <wp:extent cx="2489200" cy="1803400"/>
            <wp:effectExtent l="0" t="0" r="0" b="0"/>
            <wp:docPr id="4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489200" cy="1803400"/>
                    </a:xfrm>
                    <a:prstGeom prst="rect">
                      <a:avLst/>
                    </a:prstGeom>
                    <a:noFill/>
                    <a:ln>
                      <a:noFill/>
                    </a:ln>
                  </pic:spPr>
                </pic:pic>
              </a:graphicData>
            </a:graphic>
          </wp:inline>
        </w:drawing>
      </w:r>
    </w:p>
    <w:p w14:paraId="76294BB9" w14:textId="77777777" w:rsidR="008271C8" w:rsidRDefault="008271C8" w:rsidP="008271C8">
      <w:pPr>
        <w:spacing w:line="240" w:lineRule="auto"/>
        <w:rPr>
          <w:noProof/>
        </w:rPr>
      </w:pPr>
    </w:p>
    <w:p w14:paraId="294AF7F6" w14:textId="77777777" w:rsidR="008271C8" w:rsidRDefault="008271C8" w:rsidP="008271C8">
      <w:pPr>
        <w:spacing w:line="240" w:lineRule="auto"/>
        <w:rPr>
          <w:noProof/>
        </w:rPr>
      </w:pPr>
    </w:p>
    <w:p w14:paraId="3C1766AB" w14:textId="77777777"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29760" behindDoc="0" locked="0" layoutInCell="1" allowOverlap="1" wp14:anchorId="3A04DC2D" wp14:editId="677F769F">
                <wp:simplePos x="0" y="0"/>
                <wp:positionH relativeFrom="column">
                  <wp:posOffset>3357245</wp:posOffset>
                </wp:positionH>
                <wp:positionV relativeFrom="paragraph">
                  <wp:posOffset>471805</wp:posOffset>
                </wp:positionV>
                <wp:extent cx="1858645" cy="7305040"/>
                <wp:effectExtent l="0" t="0" r="0" b="0"/>
                <wp:wrapNone/>
                <wp:docPr id="4114" name="Text Box 4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7305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7CEB13" w14:textId="77777777" w:rsidR="00EA43A0" w:rsidRPr="004F68A3" w:rsidRDefault="00EA43A0" w:rsidP="008271C8">
                            <w:pPr>
                              <w:rPr>
                                <w:b/>
                                <w:bCs/>
                                <w:lang w:val="es-CO"/>
                              </w:rPr>
                            </w:pPr>
                            <w:r w:rsidRPr="004F68A3">
                              <w:rPr>
                                <w:b/>
                                <w:bCs/>
                                <w:lang w:val="es-CO"/>
                              </w:rPr>
                              <w:t>XX: B-Carotane</w:t>
                            </w:r>
                          </w:p>
                          <w:p w14:paraId="0C52E0AB" w14:textId="77777777" w:rsidR="00EA43A0" w:rsidRPr="004F68A3" w:rsidRDefault="00EA43A0" w:rsidP="008271C8">
                            <w:pPr>
                              <w:rPr>
                                <w:b/>
                                <w:bCs/>
                                <w:lang w:val="es-CO"/>
                              </w:rPr>
                            </w:pPr>
                          </w:p>
                          <w:p w14:paraId="6281AC67" w14:textId="77777777" w:rsidR="00EA43A0" w:rsidRPr="004F68A3" w:rsidRDefault="00EA43A0" w:rsidP="008271C8">
                            <w:pPr>
                              <w:rPr>
                                <w:b/>
                                <w:bCs/>
                                <w:lang w:val="es-CO"/>
                              </w:rPr>
                            </w:pPr>
                            <w:r w:rsidRPr="004F68A3">
                              <w:rPr>
                                <w:b/>
                                <w:bCs/>
                                <w:lang w:val="es-CO"/>
                              </w:rPr>
                              <w:t>XXI: Isorenieratane</w:t>
                            </w:r>
                          </w:p>
                          <w:p w14:paraId="23BFD2AC" w14:textId="77777777" w:rsidR="00EA43A0" w:rsidRPr="004F68A3" w:rsidRDefault="00EA43A0" w:rsidP="008271C8">
                            <w:pPr>
                              <w:rPr>
                                <w:b/>
                                <w:bCs/>
                                <w:lang w:val="es-CO"/>
                              </w:rPr>
                            </w:pPr>
                          </w:p>
                          <w:p w14:paraId="1101CF81" w14:textId="77777777" w:rsidR="00EA43A0" w:rsidRPr="004F68A3" w:rsidRDefault="00EA43A0" w:rsidP="008271C8">
                            <w:pPr>
                              <w:rPr>
                                <w:b/>
                                <w:bCs/>
                                <w:lang w:val="es-CO"/>
                              </w:rPr>
                            </w:pPr>
                            <w:r w:rsidRPr="004F68A3">
                              <w:rPr>
                                <w:b/>
                                <w:bCs/>
                                <w:lang w:val="es-CO"/>
                              </w:rPr>
                              <w:t>XXII: Paleorenieratane</w:t>
                            </w:r>
                          </w:p>
                          <w:p w14:paraId="0D823220" w14:textId="77777777" w:rsidR="00EA43A0" w:rsidRPr="004F68A3" w:rsidRDefault="00EA43A0" w:rsidP="008271C8">
                            <w:pPr>
                              <w:rPr>
                                <w:b/>
                                <w:bCs/>
                                <w:lang w:val="es-CO"/>
                              </w:rPr>
                            </w:pPr>
                          </w:p>
                          <w:p w14:paraId="56C9BA2F" w14:textId="77777777" w:rsidR="00EA43A0" w:rsidRPr="004F68A3" w:rsidRDefault="00EA43A0" w:rsidP="008271C8">
                            <w:pPr>
                              <w:rPr>
                                <w:b/>
                                <w:bCs/>
                              </w:rPr>
                            </w:pPr>
                            <w:r w:rsidRPr="004F68A3">
                              <w:rPr>
                                <w:b/>
                                <w:bCs/>
                              </w:rPr>
                              <w:t>XXIII: Renieratane</w:t>
                            </w:r>
                          </w:p>
                          <w:p w14:paraId="13F87EA2" w14:textId="77777777" w:rsidR="00EA43A0" w:rsidRPr="004F68A3" w:rsidRDefault="00EA43A0" w:rsidP="008271C8">
                            <w:pPr>
                              <w:rPr>
                                <w:b/>
                                <w:bCs/>
                              </w:rPr>
                            </w:pPr>
                          </w:p>
                          <w:p w14:paraId="3F1ED35C" w14:textId="77777777" w:rsidR="00EA43A0" w:rsidRPr="004F68A3" w:rsidRDefault="00EA43A0" w:rsidP="008271C8">
                            <w:pPr>
                              <w:rPr>
                                <w:b/>
                                <w:bCs/>
                              </w:rPr>
                            </w:pPr>
                          </w:p>
                          <w:p w14:paraId="1C9F4757" w14:textId="6C333D22" w:rsidR="00EA43A0" w:rsidRPr="004F68A3" w:rsidRDefault="00EA43A0" w:rsidP="008271C8">
                            <w:pPr>
                              <w:rPr>
                                <w:b/>
                                <w:bCs/>
                              </w:rPr>
                            </w:pPr>
                            <w:r w:rsidRPr="004F68A3">
                              <w:rPr>
                                <w:b/>
                                <w:bCs/>
                              </w:rPr>
                              <w:t>XXIV: Renierapurpurane</w:t>
                            </w:r>
                          </w:p>
                          <w:p w14:paraId="2580A30F" w14:textId="77777777" w:rsidR="00EA43A0" w:rsidRPr="006C0808" w:rsidRDefault="00EA43A0" w:rsidP="008271C8"/>
                          <w:p w14:paraId="52FC30BE" w14:textId="77777777" w:rsidR="00EA43A0" w:rsidRPr="006C0808" w:rsidRDefault="00EA43A0" w:rsidP="008271C8"/>
                          <w:p w14:paraId="2FE6CF01" w14:textId="77777777" w:rsidR="00EA43A0" w:rsidRPr="006C0808" w:rsidRDefault="00EA43A0" w:rsidP="008271C8"/>
                          <w:p w14:paraId="44A01502" w14:textId="77777777" w:rsidR="00EA43A0" w:rsidRPr="006C0808" w:rsidRDefault="00EA43A0" w:rsidP="008271C8"/>
                          <w:p w14:paraId="4C52B7AE" w14:textId="77777777" w:rsidR="00EA43A0" w:rsidRPr="006C0808" w:rsidRDefault="00EA43A0" w:rsidP="00827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4DC2D" id="Text Box 4114" o:spid="_x0000_s1066" type="#_x0000_t202" style="position:absolute;left:0;text-align:left;margin-left:264.35pt;margin-top:37.15pt;width:146.35pt;height:575.2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" filled="f" stroked="f">
                <v:textbox>
                  <w:txbxContent>
                    <w:p w14:paraId="0D7CEB13" w14:textId="77777777" w:rsidR="00EA43A0" w:rsidRPr="004F68A3" w:rsidRDefault="00EA43A0" w:rsidP="008271C8">
                      <w:pPr>
                        <w:rPr>
                          <w:b/>
                          <w:bCs/>
                          <w:lang w:val="es-CO"/>
                        </w:rPr>
                      </w:pPr>
                      <w:r w:rsidRPr="004F68A3">
                        <w:rPr>
                          <w:b/>
                          <w:bCs/>
                          <w:lang w:val="es-CO"/>
                        </w:rPr>
                        <w:t>XX: B-Carotane</w:t>
                      </w:r>
                    </w:p>
                    <w:p w14:paraId="0C52E0AB" w14:textId="77777777" w:rsidR="00EA43A0" w:rsidRPr="004F68A3" w:rsidRDefault="00EA43A0" w:rsidP="008271C8">
                      <w:pPr>
                        <w:rPr>
                          <w:b/>
                          <w:bCs/>
                          <w:lang w:val="es-CO"/>
                        </w:rPr>
                      </w:pPr>
                    </w:p>
                    <w:p w14:paraId="6281AC67" w14:textId="77777777" w:rsidR="00EA43A0" w:rsidRPr="004F68A3" w:rsidRDefault="00EA43A0" w:rsidP="008271C8">
                      <w:pPr>
                        <w:rPr>
                          <w:b/>
                          <w:bCs/>
                          <w:lang w:val="es-CO"/>
                        </w:rPr>
                      </w:pPr>
                      <w:r w:rsidRPr="004F68A3">
                        <w:rPr>
                          <w:b/>
                          <w:bCs/>
                          <w:lang w:val="es-CO"/>
                        </w:rPr>
                        <w:t>XXI: Isorenieratane</w:t>
                      </w:r>
                    </w:p>
                    <w:p w14:paraId="23BFD2AC" w14:textId="77777777" w:rsidR="00EA43A0" w:rsidRPr="004F68A3" w:rsidRDefault="00EA43A0" w:rsidP="008271C8">
                      <w:pPr>
                        <w:rPr>
                          <w:b/>
                          <w:bCs/>
                          <w:lang w:val="es-CO"/>
                        </w:rPr>
                      </w:pPr>
                    </w:p>
                    <w:p w14:paraId="1101CF81" w14:textId="77777777" w:rsidR="00EA43A0" w:rsidRPr="004F68A3" w:rsidRDefault="00EA43A0" w:rsidP="008271C8">
                      <w:pPr>
                        <w:rPr>
                          <w:b/>
                          <w:bCs/>
                          <w:lang w:val="es-CO"/>
                        </w:rPr>
                      </w:pPr>
                      <w:r w:rsidRPr="004F68A3">
                        <w:rPr>
                          <w:b/>
                          <w:bCs/>
                          <w:lang w:val="es-CO"/>
                        </w:rPr>
                        <w:t>XXII: Paleorenieratane</w:t>
                      </w:r>
                    </w:p>
                    <w:p w14:paraId="0D823220" w14:textId="77777777" w:rsidR="00EA43A0" w:rsidRPr="004F68A3" w:rsidRDefault="00EA43A0" w:rsidP="008271C8">
                      <w:pPr>
                        <w:rPr>
                          <w:b/>
                          <w:bCs/>
                          <w:lang w:val="es-CO"/>
                        </w:rPr>
                      </w:pPr>
                    </w:p>
                    <w:p w14:paraId="56C9BA2F" w14:textId="77777777" w:rsidR="00EA43A0" w:rsidRPr="004F68A3" w:rsidRDefault="00EA43A0" w:rsidP="008271C8">
                      <w:pPr>
                        <w:rPr>
                          <w:b/>
                          <w:bCs/>
                        </w:rPr>
                      </w:pPr>
                      <w:r w:rsidRPr="004F68A3">
                        <w:rPr>
                          <w:b/>
                          <w:bCs/>
                        </w:rPr>
                        <w:t>XXIII: Renieratane</w:t>
                      </w:r>
                    </w:p>
                    <w:p w14:paraId="13F87EA2" w14:textId="77777777" w:rsidR="00EA43A0" w:rsidRPr="004F68A3" w:rsidRDefault="00EA43A0" w:rsidP="008271C8">
                      <w:pPr>
                        <w:rPr>
                          <w:b/>
                          <w:bCs/>
                        </w:rPr>
                      </w:pPr>
                    </w:p>
                    <w:p w14:paraId="3F1ED35C" w14:textId="77777777" w:rsidR="00EA43A0" w:rsidRPr="004F68A3" w:rsidRDefault="00EA43A0" w:rsidP="008271C8">
                      <w:pPr>
                        <w:rPr>
                          <w:b/>
                          <w:bCs/>
                        </w:rPr>
                      </w:pPr>
                    </w:p>
                    <w:p w14:paraId="1C9F4757" w14:textId="6C333D22" w:rsidR="00EA43A0" w:rsidRPr="004F68A3" w:rsidRDefault="00EA43A0" w:rsidP="008271C8">
                      <w:pPr>
                        <w:rPr>
                          <w:b/>
                          <w:bCs/>
                        </w:rPr>
                      </w:pPr>
                      <w:r w:rsidRPr="004F68A3">
                        <w:rPr>
                          <w:b/>
                          <w:bCs/>
                        </w:rPr>
                        <w:t>XXIV: Renierapurpurane</w:t>
                      </w:r>
                    </w:p>
                    <w:p w14:paraId="2580A30F" w14:textId="77777777" w:rsidR="00EA43A0" w:rsidRPr="006C0808" w:rsidRDefault="00EA43A0" w:rsidP="008271C8"/>
                    <w:p w14:paraId="52FC30BE" w14:textId="77777777" w:rsidR="00EA43A0" w:rsidRPr="006C0808" w:rsidRDefault="00EA43A0" w:rsidP="008271C8"/>
                    <w:p w14:paraId="2FE6CF01" w14:textId="77777777" w:rsidR="00EA43A0" w:rsidRPr="006C0808" w:rsidRDefault="00EA43A0" w:rsidP="008271C8"/>
                    <w:p w14:paraId="44A01502" w14:textId="77777777" w:rsidR="00EA43A0" w:rsidRPr="006C0808" w:rsidRDefault="00EA43A0" w:rsidP="008271C8"/>
                    <w:p w14:paraId="4C52B7AE" w14:textId="77777777" w:rsidR="00EA43A0" w:rsidRPr="006C0808" w:rsidRDefault="00EA43A0" w:rsidP="008271C8"/>
                  </w:txbxContent>
                </v:textbox>
              </v:shape>
            </w:pict>
          </mc:Fallback>
        </mc:AlternateContent>
      </w:r>
      <w:r w:rsidRPr="00027614">
        <w:rPr>
          <w:noProof/>
        </w:rPr>
        <w:drawing>
          <wp:inline distT="0" distB="0" distL="0" distR="0" wp14:anchorId="1FF6AE85" wp14:editId="5591E85A">
            <wp:extent cx="3073400" cy="1409700"/>
            <wp:effectExtent l="0" t="0" r="0" b="0"/>
            <wp:docPr id="4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073400" cy="1409700"/>
                    </a:xfrm>
                    <a:prstGeom prst="rect">
                      <a:avLst/>
                    </a:prstGeom>
                    <a:noFill/>
                    <a:ln>
                      <a:noFill/>
                    </a:ln>
                  </pic:spPr>
                </pic:pic>
              </a:graphicData>
            </a:graphic>
          </wp:inline>
        </w:drawing>
      </w:r>
      <w:r w:rsidRPr="00027614">
        <w:rPr>
          <w:noProof/>
        </w:rPr>
        <w:drawing>
          <wp:inline distT="0" distB="0" distL="0" distR="0" wp14:anchorId="598B9BD6" wp14:editId="5BE64419">
            <wp:extent cx="3086100" cy="736600"/>
            <wp:effectExtent l="0" t="0" r="0" b="0"/>
            <wp:docPr id="4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086100" cy="736600"/>
                    </a:xfrm>
                    <a:prstGeom prst="rect">
                      <a:avLst/>
                    </a:prstGeom>
                    <a:noFill/>
                    <a:ln>
                      <a:noFill/>
                    </a:ln>
                  </pic:spPr>
                </pic:pic>
              </a:graphicData>
            </a:graphic>
          </wp:inline>
        </w:drawing>
      </w:r>
      <w:r w:rsidRPr="00027614">
        <w:rPr>
          <w:noProof/>
        </w:rPr>
        <w:drawing>
          <wp:inline distT="0" distB="0" distL="0" distR="0" wp14:anchorId="2BCF4761" wp14:editId="49F214FA">
            <wp:extent cx="3098800" cy="990600"/>
            <wp:effectExtent l="0" t="0" r="0" b="0"/>
            <wp:docPr id="4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098800" cy="990600"/>
                    </a:xfrm>
                    <a:prstGeom prst="rect">
                      <a:avLst/>
                    </a:prstGeom>
                    <a:noFill/>
                    <a:ln>
                      <a:noFill/>
                    </a:ln>
                  </pic:spPr>
                </pic:pic>
              </a:graphicData>
            </a:graphic>
          </wp:inline>
        </w:drawing>
      </w:r>
      <w:r w:rsidRPr="00027614">
        <w:rPr>
          <w:noProof/>
        </w:rPr>
        <w:drawing>
          <wp:inline distT="0" distB="0" distL="0" distR="0" wp14:anchorId="671B9242" wp14:editId="27C6ED35">
            <wp:extent cx="3111500" cy="838200"/>
            <wp:effectExtent l="0" t="0" r="0" b="0"/>
            <wp:docPr id="3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111500" cy="838200"/>
                    </a:xfrm>
                    <a:prstGeom prst="rect">
                      <a:avLst/>
                    </a:prstGeom>
                    <a:noFill/>
                    <a:ln>
                      <a:noFill/>
                    </a:ln>
                  </pic:spPr>
                </pic:pic>
              </a:graphicData>
            </a:graphic>
          </wp:inline>
        </w:drawing>
      </w:r>
    </w:p>
    <w:p w14:paraId="68CA80D7" w14:textId="77777777" w:rsidR="008271C8" w:rsidRDefault="008271C8" w:rsidP="008271C8">
      <w:pPr>
        <w:spacing w:line="240" w:lineRule="auto"/>
        <w:rPr>
          <w:noProof/>
        </w:rPr>
      </w:pPr>
      <w:r w:rsidRPr="00027614">
        <w:rPr>
          <w:noProof/>
        </w:rPr>
        <w:drawing>
          <wp:inline distT="0" distB="0" distL="0" distR="0" wp14:anchorId="1586CE11" wp14:editId="6F9C2469">
            <wp:extent cx="3124200" cy="1143000"/>
            <wp:effectExtent l="0" t="0" r="0" b="0"/>
            <wp:docPr id="3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124200" cy="1143000"/>
                    </a:xfrm>
                    <a:prstGeom prst="rect">
                      <a:avLst/>
                    </a:prstGeom>
                    <a:noFill/>
                    <a:ln>
                      <a:noFill/>
                    </a:ln>
                  </pic:spPr>
                </pic:pic>
              </a:graphicData>
            </a:graphic>
          </wp:inline>
        </w:drawing>
      </w:r>
    </w:p>
    <w:p w14:paraId="3BBDA653" w14:textId="77777777" w:rsidR="008271C8" w:rsidRDefault="008271C8" w:rsidP="008271C8">
      <w:pPr>
        <w:spacing w:line="240" w:lineRule="auto"/>
        <w:rPr>
          <w:noProof/>
        </w:rPr>
      </w:pPr>
    </w:p>
    <w:p w14:paraId="75A29F68" w14:textId="77777777" w:rsidR="008271C8" w:rsidRDefault="008271C8" w:rsidP="008271C8">
      <w:pPr>
        <w:spacing w:line="240" w:lineRule="auto"/>
      </w:pPr>
    </w:p>
    <w:p w14:paraId="7ACA5024" w14:textId="77777777" w:rsidR="008271C8" w:rsidRDefault="008271C8" w:rsidP="008271C8">
      <w:pPr>
        <w:spacing w:line="240" w:lineRule="auto"/>
      </w:pPr>
    </w:p>
    <w:p w14:paraId="3E715C8E" w14:textId="77777777" w:rsidR="008271C8" w:rsidRDefault="008271C8" w:rsidP="008271C8">
      <w:pPr>
        <w:spacing w:line="240" w:lineRule="auto"/>
      </w:pPr>
    </w:p>
    <w:p w14:paraId="1DF88795" w14:textId="77777777" w:rsidR="008271C8" w:rsidRDefault="008271C8" w:rsidP="008271C8">
      <w:pPr>
        <w:spacing w:line="240" w:lineRule="auto"/>
      </w:pPr>
    </w:p>
    <w:p w14:paraId="62762A5B" w14:textId="77777777" w:rsidR="008271C8" w:rsidRDefault="008271C8" w:rsidP="008271C8">
      <w:pPr>
        <w:spacing w:line="240" w:lineRule="auto"/>
      </w:pPr>
    </w:p>
    <w:p w14:paraId="6A43CCFB" w14:textId="77777777" w:rsidR="008271C8" w:rsidRPr="00CC234E" w:rsidRDefault="008271C8" w:rsidP="008271C8">
      <w:pPr>
        <w:spacing w:line="240" w:lineRule="auto"/>
      </w:pPr>
    </w:p>
    <w:p w14:paraId="461BB6EA" w14:textId="77777777"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34880" behindDoc="0" locked="0" layoutInCell="1" allowOverlap="1" wp14:anchorId="542DBFDD" wp14:editId="7A265487">
                <wp:simplePos x="0" y="0"/>
                <wp:positionH relativeFrom="column">
                  <wp:posOffset>2731135</wp:posOffset>
                </wp:positionH>
                <wp:positionV relativeFrom="paragraph">
                  <wp:posOffset>-59690</wp:posOffset>
                </wp:positionV>
                <wp:extent cx="2027555" cy="7722870"/>
                <wp:effectExtent l="0" t="0" r="0" b="0"/>
                <wp:wrapNone/>
                <wp:docPr id="4113" name="Text Box 4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77228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5D72C4" w14:textId="77777777" w:rsidR="00EA43A0" w:rsidRPr="006C0808" w:rsidRDefault="00EA43A0" w:rsidP="008271C8">
                            <w:pPr>
                              <w:rPr>
                                <w:b/>
                              </w:rPr>
                            </w:pPr>
                            <w:r w:rsidRPr="006C0808">
                              <w:rPr>
                                <w:b/>
                              </w:rPr>
                              <w:t>XXV: Phenanthrene</w:t>
                            </w:r>
                          </w:p>
                          <w:p w14:paraId="480899E7" w14:textId="77777777" w:rsidR="00EA43A0" w:rsidRPr="006C0808" w:rsidRDefault="00EA43A0" w:rsidP="008271C8">
                            <w:pPr>
                              <w:rPr>
                                <w:b/>
                              </w:rPr>
                            </w:pPr>
                          </w:p>
                          <w:p w14:paraId="0D04FE73" w14:textId="77777777" w:rsidR="00EA43A0" w:rsidRPr="006C0808" w:rsidRDefault="00EA43A0" w:rsidP="008271C8">
                            <w:pPr>
                              <w:rPr>
                                <w:b/>
                              </w:rPr>
                            </w:pPr>
                          </w:p>
                          <w:p w14:paraId="13A238DA" w14:textId="77777777" w:rsidR="00EA43A0" w:rsidRPr="006C0808" w:rsidRDefault="00EA43A0" w:rsidP="008271C8">
                            <w:pPr>
                              <w:rPr>
                                <w:b/>
                              </w:rPr>
                            </w:pPr>
                            <w:r w:rsidRPr="006C0808">
                              <w:rPr>
                                <w:b/>
                              </w:rPr>
                              <w:t>XXVI: Dibenzothiophene</w:t>
                            </w:r>
                          </w:p>
                          <w:p w14:paraId="516BCA14" w14:textId="77777777" w:rsidR="00EA43A0" w:rsidRPr="006C0808" w:rsidRDefault="00EA43A0" w:rsidP="008271C8">
                            <w:pPr>
                              <w:rPr>
                                <w:b/>
                              </w:rPr>
                            </w:pPr>
                          </w:p>
                          <w:p w14:paraId="2F3434AA" w14:textId="77777777" w:rsidR="00EA43A0" w:rsidRDefault="00EA43A0" w:rsidP="008271C8">
                            <w:pPr>
                              <w:rPr>
                                <w:b/>
                              </w:rPr>
                            </w:pPr>
                          </w:p>
                          <w:p w14:paraId="00D5179B" w14:textId="77777777" w:rsidR="00EA43A0" w:rsidRPr="006C0808" w:rsidRDefault="00EA43A0" w:rsidP="008271C8">
                            <w:pPr>
                              <w:rPr>
                                <w:b/>
                              </w:rPr>
                            </w:pPr>
                            <w:r w:rsidRPr="006C0808">
                              <w:rPr>
                                <w:b/>
                              </w:rPr>
                              <w:t>XXVII: Dibenzofuran</w:t>
                            </w:r>
                          </w:p>
                          <w:p w14:paraId="09F7517B" w14:textId="77777777" w:rsidR="00EA43A0" w:rsidRPr="006C0808" w:rsidRDefault="00EA43A0" w:rsidP="008271C8">
                            <w:pPr>
                              <w:rPr>
                                <w:b/>
                              </w:rPr>
                            </w:pPr>
                          </w:p>
                          <w:p w14:paraId="6FFD89B0" w14:textId="77777777" w:rsidR="00EA43A0" w:rsidRPr="006C0808" w:rsidRDefault="00EA43A0" w:rsidP="008271C8">
                            <w:pPr>
                              <w:rPr>
                                <w:b/>
                              </w:rPr>
                            </w:pPr>
                          </w:p>
                          <w:p w14:paraId="6C981E82" w14:textId="77777777" w:rsidR="00EA43A0" w:rsidRPr="006C0808" w:rsidRDefault="00EA43A0" w:rsidP="008271C8">
                            <w:pPr>
                              <w:rPr>
                                <w:b/>
                              </w:rPr>
                            </w:pPr>
                            <w:r w:rsidRPr="006C0808">
                              <w:rPr>
                                <w:b/>
                              </w:rPr>
                              <w:t>XXVIII: Fluoranthene</w:t>
                            </w:r>
                          </w:p>
                          <w:p w14:paraId="22D7434F" w14:textId="77777777" w:rsidR="00EA43A0" w:rsidRPr="006C0808" w:rsidRDefault="00EA43A0" w:rsidP="008271C8">
                            <w:pPr>
                              <w:rPr>
                                <w:b/>
                              </w:rPr>
                            </w:pPr>
                          </w:p>
                          <w:p w14:paraId="373DFEB3" w14:textId="77777777" w:rsidR="00EA43A0" w:rsidRPr="006C0808" w:rsidRDefault="00EA43A0" w:rsidP="008271C8">
                            <w:pPr>
                              <w:rPr>
                                <w:b/>
                              </w:rPr>
                            </w:pPr>
                            <w:r w:rsidRPr="006C0808">
                              <w:rPr>
                                <w:b/>
                              </w:rPr>
                              <w:t>XXIX: Benzo(k)fluoranthene</w:t>
                            </w:r>
                          </w:p>
                          <w:p w14:paraId="6060DA10" w14:textId="77777777" w:rsidR="00EA43A0" w:rsidRPr="006C0808" w:rsidRDefault="00EA43A0" w:rsidP="008271C8">
                            <w:pPr>
                              <w:rPr>
                                <w:b/>
                              </w:rPr>
                            </w:pPr>
                          </w:p>
                          <w:p w14:paraId="7E9A8B20" w14:textId="77777777" w:rsidR="00EA43A0" w:rsidRPr="006C0808" w:rsidRDefault="00EA43A0" w:rsidP="008271C8">
                            <w:pPr>
                              <w:rPr>
                                <w:b/>
                              </w:rPr>
                            </w:pPr>
                          </w:p>
                          <w:p w14:paraId="09D8395F" w14:textId="77777777" w:rsidR="00EA43A0" w:rsidRPr="006C0808" w:rsidRDefault="00EA43A0" w:rsidP="008271C8">
                            <w:pPr>
                              <w:rPr>
                                <w:b/>
                              </w:rPr>
                            </w:pPr>
                            <w:r w:rsidRPr="006C0808">
                              <w:rPr>
                                <w:b/>
                              </w:rPr>
                              <w:t>Benzo(b)fluoranthene</w:t>
                            </w:r>
                          </w:p>
                          <w:p w14:paraId="471DB6F8" w14:textId="77777777" w:rsidR="00EA43A0" w:rsidRPr="006C0808" w:rsidRDefault="00EA43A0" w:rsidP="008271C8">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DBFDD" id="Text Box 4113" o:spid="_x0000_s1067" type="#_x0000_t202" style="position:absolute;left:0;text-align:left;margin-left:215.05pt;margin-top:-4.7pt;width:159.65pt;height:608.1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" filled="f" stroked="f">
                <v:textbox>
                  <w:txbxContent>
                    <w:p w14:paraId="1C5D72C4" w14:textId="77777777" w:rsidR="00EA43A0" w:rsidRPr="006C0808" w:rsidRDefault="00EA43A0" w:rsidP="008271C8">
                      <w:pPr>
                        <w:rPr>
                          <w:b/>
                        </w:rPr>
                      </w:pPr>
                      <w:r w:rsidRPr="006C0808">
                        <w:rPr>
                          <w:b/>
                        </w:rPr>
                        <w:t>XXV: Phenanthrene</w:t>
                      </w:r>
                    </w:p>
                    <w:p w14:paraId="480899E7" w14:textId="77777777" w:rsidR="00EA43A0" w:rsidRPr="006C0808" w:rsidRDefault="00EA43A0" w:rsidP="008271C8">
                      <w:pPr>
                        <w:rPr>
                          <w:b/>
                        </w:rPr>
                      </w:pPr>
                    </w:p>
                    <w:p w14:paraId="0D04FE73" w14:textId="77777777" w:rsidR="00EA43A0" w:rsidRPr="006C0808" w:rsidRDefault="00EA43A0" w:rsidP="008271C8">
                      <w:pPr>
                        <w:rPr>
                          <w:b/>
                        </w:rPr>
                      </w:pPr>
                    </w:p>
                    <w:p w14:paraId="13A238DA" w14:textId="77777777" w:rsidR="00EA43A0" w:rsidRPr="006C0808" w:rsidRDefault="00EA43A0" w:rsidP="008271C8">
                      <w:pPr>
                        <w:rPr>
                          <w:b/>
                        </w:rPr>
                      </w:pPr>
                      <w:r w:rsidRPr="006C0808">
                        <w:rPr>
                          <w:b/>
                        </w:rPr>
                        <w:t>XXVI: Dibenzothiophene</w:t>
                      </w:r>
                    </w:p>
                    <w:p w14:paraId="516BCA14" w14:textId="77777777" w:rsidR="00EA43A0" w:rsidRPr="006C0808" w:rsidRDefault="00EA43A0" w:rsidP="008271C8">
                      <w:pPr>
                        <w:rPr>
                          <w:b/>
                        </w:rPr>
                      </w:pPr>
                    </w:p>
                    <w:p w14:paraId="2F3434AA" w14:textId="77777777" w:rsidR="00EA43A0" w:rsidRDefault="00EA43A0" w:rsidP="008271C8">
                      <w:pPr>
                        <w:rPr>
                          <w:b/>
                        </w:rPr>
                      </w:pPr>
                    </w:p>
                    <w:p w14:paraId="00D5179B" w14:textId="77777777" w:rsidR="00EA43A0" w:rsidRPr="006C0808" w:rsidRDefault="00EA43A0" w:rsidP="008271C8">
                      <w:pPr>
                        <w:rPr>
                          <w:b/>
                        </w:rPr>
                      </w:pPr>
                      <w:r w:rsidRPr="006C0808">
                        <w:rPr>
                          <w:b/>
                        </w:rPr>
                        <w:t>XXVII: Dibenzofuran</w:t>
                      </w:r>
                    </w:p>
                    <w:p w14:paraId="09F7517B" w14:textId="77777777" w:rsidR="00EA43A0" w:rsidRPr="006C0808" w:rsidRDefault="00EA43A0" w:rsidP="008271C8">
                      <w:pPr>
                        <w:rPr>
                          <w:b/>
                        </w:rPr>
                      </w:pPr>
                    </w:p>
                    <w:p w14:paraId="6FFD89B0" w14:textId="77777777" w:rsidR="00EA43A0" w:rsidRPr="006C0808" w:rsidRDefault="00EA43A0" w:rsidP="008271C8">
                      <w:pPr>
                        <w:rPr>
                          <w:b/>
                        </w:rPr>
                      </w:pPr>
                    </w:p>
                    <w:p w14:paraId="6C981E82" w14:textId="77777777" w:rsidR="00EA43A0" w:rsidRPr="006C0808" w:rsidRDefault="00EA43A0" w:rsidP="008271C8">
                      <w:pPr>
                        <w:rPr>
                          <w:b/>
                        </w:rPr>
                      </w:pPr>
                      <w:r w:rsidRPr="006C0808">
                        <w:rPr>
                          <w:b/>
                        </w:rPr>
                        <w:t>XXVIII: Fluoranthene</w:t>
                      </w:r>
                    </w:p>
                    <w:p w14:paraId="22D7434F" w14:textId="77777777" w:rsidR="00EA43A0" w:rsidRPr="006C0808" w:rsidRDefault="00EA43A0" w:rsidP="008271C8">
                      <w:pPr>
                        <w:rPr>
                          <w:b/>
                        </w:rPr>
                      </w:pPr>
                    </w:p>
                    <w:p w14:paraId="373DFEB3" w14:textId="77777777" w:rsidR="00EA43A0" w:rsidRPr="006C0808" w:rsidRDefault="00EA43A0" w:rsidP="008271C8">
                      <w:pPr>
                        <w:rPr>
                          <w:b/>
                        </w:rPr>
                      </w:pPr>
                      <w:r w:rsidRPr="006C0808">
                        <w:rPr>
                          <w:b/>
                        </w:rPr>
                        <w:t>XXIX: Benzo(k)fluoranthene</w:t>
                      </w:r>
                    </w:p>
                    <w:p w14:paraId="6060DA10" w14:textId="77777777" w:rsidR="00EA43A0" w:rsidRPr="006C0808" w:rsidRDefault="00EA43A0" w:rsidP="008271C8">
                      <w:pPr>
                        <w:rPr>
                          <w:b/>
                        </w:rPr>
                      </w:pPr>
                    </w:p>
                    <w:p w14:paraId="7E9A8B20" w14:textId="77777777" w:rsidR="00EA43A0" w:rsidRPr="006C0808" w:rsidRDefault="00EA43A0" w:rsidP="008271C8">
                      <w:pPr>
                        <w:rPr>
                          <w:b/>
                        </w:rPr>
                      </w:pPr>
                    </w:p>
                    <w:p w14:paraId="09D8395F" w14:textId="77777777" w:rsidR="00EA43A0" w:rsidRPr="006C0808" w:rsidRDefault="00EA43A0" w:rsidP="008271C8">
                      <w:pPr>
                        <w:rPr>
                          <w:b/>
                        </w:rPr>
                      </w:pPr>
                      <w:r w:rsidRPr="006C0808">
                        <w:rPr>
                          <w:b/>
                        </w:rPr>
                        <w:t>Benzo(b)fluoranthene</w:t>
                      </w:r>
                    </w:p>
                    <w:p w14:paraId="471DB6F8" w14:textId="77777777" w:rsidR="00EA43A0" w:rsidRPr="006C0808" w:rsidRDefault="00EA43A0" w:rsidP="008271C8">
                      <w:pPr>
                        <w:rPr>
                          <w:b/>
                        </w:rPr>
                      </w:pPr>
                    </w:p>
                  </w:txbxContent>
                </v:textbox>
              </v:shape>
            </w:pict>
          </mc:Fallback>
        </mc:AlternateContent>
      </w:r>
      <w:r w:rsidRPr="00027614">
        <w:rPr>
          <w:noProof/>
        </w:rPr>
        <w:drawing>
          <wp:inline distT="0" distB="0" distL="0" distR="0" wp14:anchorId="2B85B7AE" wp14:editId="43E452C5">
            <wp:extent cx="1651000" cy="1079500"/>
            <wp:effectExtent l="0" t="0" r="0" b="0"/>
            <wp:docPr id="3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3">
                      <a:extLst>
                        <a:ext uri="{28A0092B-C50C-407E-A947-70E740481C1C}">
                          <a14:useLocalDpi xmlns:a14="http://schemas.microsoft.com/office/drawing/2010/main" val="0"/>
                        </a:ext>
                      </a:extLst>
                    </a:blip>
                    <a:srcRect t="9238" b="6929"/>
                    <a:stretch>
                      <a:fillRect/>
                    </a:stretch>
                  </pic:blipFill>
                  <pic:spPr bwMode="auto">
                    <a:xfrm>
                      <a:off x="0" y="0"/>
                      <a:ext cx="1651000" cy="1079500"/>
                    </a:xfrm>
                    <a:prstGeom prst="rect">
                      <a:avLst/>
                    </a:prstGeom>
                    <a:noFill/>
                    <a:ln>
                      <a:noFill/>
                    </a:ln>
                  </pic:spPr>
                </pic:pic>
              </a:graphicData>
            </a:graphic>
          </wp:inline>
        </w:drawing>
      </w:r>
    </w:p>
    <w:p w14:paraId="304500E8" w14:textId="77777777" w:rsidR="008271C8" w:rsidRDefault="008271C8" w:rsidP="008271C8">
      <w:pPr>
        <w:spacing w:line="240" w:lineRule="auto"/>
        <w:rPr>
          <w:noProof/>
        </w:rPr>
      </w:pPr>
      <w:r w:rsidRPr="00027614">
        <w:rPr>
          <w:noProof/>
        </w:rPr>
        <w:drawing>
          <wp:inline distT="0" distB="0" distL="0" distR="0" wp14:anchorId="29483120" wp14:editId="51915F22">
            <wp:extent cx="1790700" cy="1003300"/>
            <wp:effectExtent l="0" t="0" r="0" b="0"/>
            <wp:docPr id="3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4">
                      <a:extLst>
                        <a:ext uri="{28A0092B-C50C-407E-A947-70E740481C1C}">
                          <a14:useLocalDpi xmlns:a14="http://schemas.microsoft.com/office/drawing/2010/main" val="0"/>
                        </a:ext>
                      </a:extLst>
                    </a:blip>
                    <a:srcRect t="18330" b="16359"/>
                    <a:stretch>
                      <a:fillRect/>
                    </a:stretch>
                  </pic:blipFill>
                  <pic:spPr bwMode="auto">
                    <a:xfrm>
                      <a:off x="0" y="0"/>
                      <a:ext cx="1790700" cy="1003300"/>
                    </a:xfrm>
                    <a:prstGeom prst="rect">
                      <a:avLst/>
                    </a:prstGeom>
                    <a:noFill/>
                    <a:ln>
                      <a:noFill/>
                    </a:ln>
                  </pic:spPr>
                </pic:pic>
              </a:graphicData>
            </a:graphic>
          </wp:inline>
        </w:drawing>
      </w:r>
    </w:p>
    <w:p w14:paraId="62408C36" w14:textId="77777777" w:rsidR="008271C8" w:rsidRDefault="008271C8" w:rsidP="008271C8">
      <w:pPr>
        <w:spacing w:line="240" w:lineRule="auto"/>
        <w:rPr>
          <w:noProof/>
        </w:rPr>
      </w:pPr>
      <w:r w:rsidRPr="00027614">
        <w:rPr>
          <w:noProof/>
        </w:rPr>
        <w:drawing>
          <wp:inline distT="0" distB="0" distL="0" distR="0" wp14:anchorId="50FB7245" wp14:editId="595B8F84">
            <wp:extent cx="1536700" cy="1384300"/>
            <wp:effectExtent l="0" t="0" r="0" b="0"/>
            <wp:docPr id="3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536700" cy="1384300"/>
                    </a:xfrm>
                    <a:prstGeom prst="rect">
                      <a:avLst/>
                    </a:prstGeom>
                    <a:noFill/>
                    <a:ln>
                      <a:noFill/>
                    </a:ln>
                  </pic:spPr>
                </pic:pic>
              </a:graphicData>
            </a:graphic>
          </wp:inline>
        </w:drawing>
      </w:r>
    </w:p>
    <w:p w14:paraId="614FDBD7" w14:textId="77777777" w:rsidR="008271C8" w:rsidRDefault="008271C8" w:rsidP="008271C8">
      <w:pPr>
        <w:spacing w:line="240" w:lineRule="auto"/>
        <w:rPr>
          <w:noProof/>
        </w:rPr>
      </w:pPr>
      <w:r w:rsidRPr="00027614">
        <w:rPr>
          <w:noProof/>
        </w:rPr>
        <w:drawing>
          <wp:inline distT="0" distB="0" distL="0" distR="0" wp14:anchorId="289D9B9D" wp14:editId="416795A6">
            <wp:extent cx="1498600" cy="1079500"/>
            <wp:effectExtent l="0" t="0" r="0" b="0"/>
            <wp:docPr id="34" name="Picture 7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result"/>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498600" cy="1079500"/>
                    </a:xfrm>
                    <a:prstGeom prst="rect">
                      <a:avLst/>
                    </a:prstGeom>
                    <a:noFill/>
                    <a:ln>
                      <a:noFill/>
                    </a:ln>
                  </pic:spPr>
                </pic:pic>
              </a:graphicData>
            </a:graphic>
          </wp:inline>
        </w:drawing>
      </w:r>
    </w:p>
    <w:p w14:paraId="4FB1BA58" w14:textId="77777777" w:rsidR="008271C8" w:rsidRDefault="008271C8" w:rsidP="008271C8">
      <w:pPr>
        <w:spacing w:line="240" w:lineRule="auto"/>
        <w:rPr>
          <w:noProof/>
        </w:rPr>
      </w:pPr>
      <w:r w:rsidRPr="00027614">
        <w:rPr>
          <w:noProof/>
        </w:rPr>
        <w:drawing>
          <wp:inline distT="0" distB="0" distL="0" distR="0" wp14:anchorId="3DE4E350" wp14:editId="10F13E05">
            <wp:extent cx="2044700" cy="1117600"/>
            <wp:effectExtent l="0" t="0" r="0" b="0"/>
            <wp:docPr id="33" name="Picture 76" descr="Image result for benzofluorant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 result for benzofluoranthene"/>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044700" cy="1117600"/>
                    </a:xfrm>
                    <a:prstGeom prst="rect">
                      <a:avLst/>
                    </a:prstGeom>
                    <a:noFill/>
                    <a:ln>
                      <a:noFill/>
                    </a:ln>
                  </pic:spPr>
                </pic:pic>
              </a:graphicData>
            </a:graphic>
          </wp:inline>
        </w:drawing>
      </w:r>
    </w:p>
    <w:p w14:paraId="7046A9BE" w14:textId="77777777" w:rsidR="008271C8" w:rsidRDefault="008271C8" w:rsidP="008271C8">
      <w:pPr>
        <w:spacing w:line="240" w:lineRule="auto"/>
        <w:rPr>
          <w:noProof/>
        </w:rPr>
      </w:pPr>
      <w:r w:rsidRPr="00027614">
        <w:rPr>
          <w:noProof/>
        </w:rPr>
        <w:drawing>
          <wp:inline distT="0" distB="0" distL="0" distR="0" wp14:anchorId="11E50403" wp14:editId="19D7916D">
            <wp:extent cx="2222500" cy="1206500"/>
            <wp:effectExtent l="0" t="0" r="0" b="0"/>
            <wp:docPr id="3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222500" cy="1206500"/>
                    </a:xfrm>
                    <a:prstGeom prst="rect">
                      <a:avLst/>
                    </a:prstGeom>
                    <a:noFill/>
                    <a:ln>
                      <a:noFill/>
                    </a:ln>
                  </pic:spPr>
                </pic:pic>
              </a:graphicData>
            </a:graphic>
          </wp:inline>
        </w:drawing>
      </w:r>
    </w:p>
    <w:p w14:paraId="61EACDD1" w14:textId="77777777" w:rsidR="008271C8" w:rsidRDefault="008271C8" w:rsidP="008271C8">
      <w:pPr>
        <w:spacing w:line="240" w:lineRule="auto"/>
        <w:rPr>
          <w:noProof/>
        </w:rPr>
      </w:pPr>
      <w:r w:rsidRPr="00027614">
        <w:rPr>
          <w:noProof/>
        </w:rPr>
        <w:lastRenderedPageBreak/>
        <w:drawing>
          <wp:inline distT="0" distB="0" distL="0" distR="0" wp14:anchorId="7DF2CE1F" wp14:editId="66DA7F0F">
            <wp:extent cx="1168400" cy="1524000"/>
            <wp:effectExtent l="0" t="0" r="0" b="0"/>
            <wp:docPr id="3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168400" cy="1524000"/>
                    </a:xfrm>
                    <a:prstGeom prst="rect">
                      <a:avLst/>
                    </a:prstGeom>
                    <a:noFill/>
                    <a:ln>
                      <a:noFill/>
                    </a:ln>
                  </pic:spPr>
                </pic:pic>
              </a:graphicData>
            </a:graphic>
          </wp:inline>
        </w:drawing>
      </w:r>
      <w:r>
        <w:rPr>
          <w:noProof/>
        </w:rPr>
        <mc:AlternateContent>
          <mc:Choice Requires="wps">
            <w:drawing>
              <wp:anchor distT="0" distB="0" distL="114300" distR="114300" simplePos="0" relativeHeight="251835904" behindDoc="0" locked="0" layoutInCell="1" allowOverlap="1" wp14:anchorId="67494FC4" wp14:editId="028612EF">
                <wp:simplePos x="0" y="0"/>
                <wp:positionH relativeFrom="column">
                  <wp:posOffset>2890520</wp:posOffset>
                </wp:positionH>
                <wp:positionV relativeFrom="paragraph">
                  <wp:posOffset>-218440</wp:posOffset>
                </wp:positionV>
                <wp:extent cx="2245995" cy="7712710"/>
                <wp:effectExtent l="0" t="0" r="0" b="0"/>
                <wp:wrapNone/>
                <wp:docPr id="4112" name="Text Box 4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77127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1308B" w14:textId="77777777" w:rsidR="00EA43A0" w:rsidRDefault="00EA43A0" w:rsidP="008271C8">
                            <w:pPr>
                              <w:rPr>
                                <w:b/>
                              </w:rPr>
                            </w:pPr>
                          </w:p>
                          <w:p w14:paraId="7AB02646" w14:textId="77777777" w:rsidR="00EA43A0" w:rsidRPr="006C0808" w:rsidRDefault="00EA43A0" w:rsidP="008271C8">
                            <w:pPr>
                              <w:rPr>
                                <w:b/>
                              </w:rPr>
                            </w:pPr>
                            <w:r w:rsidRPr="006C0808">
                              <w:rPr>
                                <w:b/>
                              </w:rPr>
                              <w:t>Benzo(j)fluoranthene</w:t>
                            </w:r>
                          </w:p>
                          <w:p w14:paraId="52B94D34" w14:textId="77777777" w:rsidR="00EA43A0" w:rsidRPr="006C0808" w:rsidRDefault="00EA43A0" w:rsidP="008271C8">
                            <w:pPr>
                              <w:rPr>
                                <w:b/>
                              </w:rPr>
                            </w:pPr>
                          </w:p>
                          <w:p w14:paraId="29D3B4CF" w14:textId="77777777" w:rsidR="00EA43A0" w:rsidRPr="006C0808" w:rsidRDefault="00EA43A0" w:rsidP="008271C8">
                            <w:pPr>
                              <w:rPr>
                                <w:b/>
                              </w:rPr>
                            </w:pPr>
                          </w:p>
                          <w:p w14:paraId="39CC38C6" w14:textId="77777777" w:rsidR="00EA43A0" w:rsidRDefault="00EA43A0" w:rsidP="008271C8">
                            <w:pPr>
                              <w:rPr>
                                <w:b/>
                              </w:rPr>
                            </w:pPr>
                          </w:p>
                          <w:p w14:paraId="6AAADA05" w14:textId="77777777" w:rsidR="00EA43A0" w:rsidRPr="006C0808" w:rsidRDefault="00EA43A0" w:rsidP="008271C8">
                            <w:pPr>
                              <w:rPr>
                                <w:b/>
                              </w:rPr>
                            </w:pPr>
                            <w:r w:rsidRPr="006C0808">
                              <w:rPr>
                                <w:b/>
                              </w:rPr>
                              <w:t>XXX: Perylene</w:t>
                            </w:r>
                          </w:p>
                          <w:p w14:paraId="377AE6B5" w14:textId="77777777" w:rsidR="00EA43A0" w:rsidRPr="006C0808" w:rsidRDefault="00EA43A0" w:rsidP="008271C8">
                            <w:pPr>
                              <w:rPr>
                                <w:b/>
                              </w:rPr>
                            </w:pPr>
                          </w:p>
                          <w:p w14:paraId="00F16F05" w14:textId="77777777" w:rsidR="00EA43A0" w:rsidRPr="006C0808" w:rsidRDefault="00EA43A0" w:rsidP="008271C8">
                            <w:pPr>
                              <w:rPr>
                                <w:b/>
                              </w:rPr>
                            </w:pPr>
                          </w:p>
                          <w:p w14:paraId="493CCE4F" w14:textId="78ECD983" w:rsidR="00EA43A0" w:rsidRPr="006C0808" w:rsidRDefault="00EA43A0" w:rsidP="008271C8">
                            <w:pPr>
                              <w:rPr>
                                <w:b/>
                              </w:rPr>
                            </w:pPr>
                            <w:r w:rsidRPr="006C0808">
                              <w:rPr>
                                <w:b/>
                              </w:rPr>
                              <w:t>XXXI: Benzo(g,h,i)perylene</w:t>
                            </w:r>
                          </w:p>
                          <w:p w14:paraId="3CC38F15" w14:textId="77777777" w:rsidR="00EA43A0" w:rsidRPr="006C0808" w:rsidRDefault="00EA43A0" w:rsidP="008271C8">
                            <w:pPr>
                              <w:rPr>
                                <w:b/>
                              </w:rPr>
                            </w:pPr>
                          </w:p>
                          <w:p w14:paraId="3554EA87" w14:textId="77777777" w:rsidR="00EA43A0" w:rsidRPr="006C0808" w:rsidRDefault="00EA43A0" w:rsidP="008271C8">
                            <w:pPr>
                              <w:rPr>
                                <w:b/>
                              </w:rPr>
                            </w:pPr>
                          </w:p>
                          <w:p w14:paraId="15B604FA" w14:textId="77777777" w:rsidR="00EA43A0" w:rsidRPr="006C0808" w:rsidRDefault="00EA43A0" w:rsidP="008271C8">
                            <w:pPr>
                              <w:rPr>
                                <w:b/>
                              </w:rPr>
                            </w:pPr>
                          </w:p>
                          <w:p w14:paraId="02E9ACB0" w14:textId="77777777" w:rsidR="00EA43A0" w:rsidRPr="006C0808" w:rsidRDefault="00EA43A0" w:rsidP="008271C8">
                            <w:pPr>
                              <w:rPr>
                                <w:b/>
                              </w:rPr>
                            </w:pPr>
                            <w:r w:rsidRPr="006C0808">
                              <w:rPr>
                                <w:b/>
                              </w:rPr>
                              <w:t>XXXII: Pyrene</w:t>
                            </w:r>
                          </w:p>
                          <w:p w14:paraId="59928273" w14:textId="77777777" w:rsidR="00EA43A0" w:rsidRPr="006C0808" w:rsidRDefault="00EA43A0" w:rsidP="008271C8">
                            <w:pPr>
                              <w:rPr>
                                <w:b/>
                              </w:rPr>
                            </w:pPr>
                          </w:p>
                          <w:p w14:paraId="64A35D8E" w14:textId="77777777" w:rsidR="00EA43A0" w:rsidRDefault="00EA43A0" w:rsidP="008271C8">
                            <w:pPr>
                              <w:rPr>
                                <w:b/>
                              </w:rPr>
                            </w:pPr>
                          </w:p>
                          <w:p w14:paraId="6A48F104" w14:textId="77777777" w:rsidR="00EA43A0" w:rsidRPr="006C0808" w:rsidRDefault="00EA43A0" w:rsidP="008271C8">
                            <w:pPr>
                              <w:rPr>
                                <w:b/>
                              </w:rPr>
                            </w:pPr>
                            <w:r w:rsidRPr="006C0808">
                              <w:rPr>
                                <w:b/>
                              </w:rPr>
                              <w:t>XXXIII: Benzo(a)pyrene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94FC4" id="Text Box 4112" o:spid="_x0000_s1068" type="#_x0000_t202" style="position:absolute;left:0;text-align:left;margin-left:227.6pt;margin-top:-17.2pt;width:176.85pt;height:607.3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" filled="f" stroked="f">
                <v:textbox>
                  <w:txbxContent>
                    <w:p w14:paraId="5A01308B" w14:textId="77777777" w:rsidR="00EA43A0" w:rsidRDefault="00EA43A0" w:rsidP="008271C8">
                      <w:pPr>
                        <w:rPr>
                          <w:b/>
                        </w:rPr>
                      </w:pPr>
                    </w:p>
                    <w:p w14:paraId="7AB02646" w14:textId="77777777" w:rsidR="00EA43A0" w:rsidRPr="006C0808" w:rsidRDefault="00EA43A0" w:rsidP="008271C8">
                      <w:pPr>
                        <w:rPr>
                          <w:b/>
                        </w:rPr>
                      </w:pPr>
                      <w:r w:rsidRPr="006C0808">
                        <w:rPr>
                          <w:b/>
                        </w:rPr>
                        <w:t>Benzo(j)fluoranthene</w:t>
                      </w:r>
                    </w:p>
                    <w:p w14:paraId="52B94D34" w14:textId="77777777" w:rsidR="00EA43A0" w:rsidRPr="006C0808" w:rsidRDefault="00EA43A0" w:rsidP="008271C8">
                      <w:pPr>
                        <w:rPr>
                          <w:b/>
                        </w:rPr>
                      </w:pPr>
                    </w:p>
                    <w:p w14:paraId="29D3B4CF" w14:textId="77777777" w:rsidR="00EA43A0" w:rsidRPr="006C0808" w:rsidRDefault="00EA43A0" w:rsidP="008271C8">
                      <w:pPr>
                        <w:rPr>
                          <w:b/>
                        </w:rPr>
                      </w:pPr>
                    </w:p>
                    <w:p w14:paraId="39CC38C6" w14:textId="77777777" w:rsidR="00EA43A0" w:rsidRDefault="00EA43A0" w:rsidP="008271C8">
                      <w:pPr>
                        <w:rPr>
                          <w:b/>
                        </w:rPr>
                      </w:pPr>
                    </w:p>
                    <w:p w14:paraId="6AAADA05" w14:textId="77777777" w:rsidR="00EA43A0" w:rsidRPr="006C0808" w:rsidRDefault="00EA43A0" w:rsidP="008271C8">
                      <w:pPr>
                        <w:rPr>
                          <w:b/>
                        </w:rPr>
                      </w:pPr>
                      <w:r w:rsidRPr="006C0808">
                        <w:rPr>
                          <w:b/>
                        </w:rPr>
                        <w:t>XXX: Perylene</w:t>
                      </w:r>
                    </w:p>
                    <w:p w14:paraId="377AE6B5" w14:textId="77777777" w:rsidR="00EA43A0" w:rsidRPr="006C0808" w:rsidRDefault="00EA43A0" w:rsidP="008271C8">
                      <w:pPr>
                        <w:rPr>
                          <w:b/>
                        </w:rPr>
                      </w:pPr>
                    </w:p>
                    <w:p w14:paraId="00F16F05" w14:textId="77777777" w:rsidR="00EA43A0" w:rsidRPr="006C0808" w:rsidRDefault="00EA43A0" w:rsidP="008271C8">
                      <w:pPr>
                        <w:rPr>
                          <w:b/>
                        </w:rPr>
                      </w:pPr>
                    </w:p>
                    <w:p w14:paraId="493CCE4F" w14:textId="78ECD983" w:rsidR="00EA43A0" w:rsidRPr="006C0808" w:rsidRDefault="00EA43A0" w:rsidP="008271C8">
                      <w:pPr>
                        <w:rPr>
                          <w:b/>
                        </w:rPr>
                      </w:pPr>
                      <w:r w:rsidRPr="006C0808">
                        <w:rPr>
                          <w:b/>
                        </w:rPr>
                        <w:t>XXXI: Benzo(g,h,i)perylene</w:t>
                      </w:r>
                    </w:p>
                    <w:p w14:paraId="3CC38F15" w14:textId="77777777" w:rsidR="00EA43A0" w:rsidRPr="006C0808" w:rsidRDefault="00EA43A0" w:rsidP="008271C8">
                      <w:pPr>
                        <w:rPr>
                          <w:b/>
                        </w:rPr>
                      </w:pPr>
                    </w:p>
                    <w:p w14:paraId="3554EA87" w14:textId="77777777" w:rsidR="00EA43A0" w:rsidRPr="006C0808" w:rsidRDefault="00EA43A0" w:rsidP="008271C8">
                      <w:pPr>
                        <w:rPr>
                          <w:b/>
                        </w:rPr>
                      </w:pPr>
                    </w:p>
                    <w:p w14:paraId="15B604FA" w14:textId="77777777" w:rsidR="00EA43A0" w:rsidRPr="006C0808" w:rsidRDefault="00EA43A0" w:rsidP="008271C8">
                      <w:pPr>
                        <w:rPr>
                          <w:b/>
                        </w:rPr>
                      </w:pPr>
                    </w:p>
                    <w:p w14:paraId="02E9ACB0" w14:textId="77777777" w:rsidR="00EA43A0" w:rsidRPr="006C0808" w:rsidRDefault="00EA43A0" w:rsidP="008271C8">
                      <w:pPr>
                        <w:rPr>
                          <w:b/>
                        </w:rPr>
                      </w:pPr>
                      <w:r w:rsidRPr="006C0808">
                        <w:rPr>
                          <w:b/>
                        </w:rPr>
                        <w:t>XXXII: Pyrene</w:t>
                      </w:r>
                    </w:p>
                    <w:p w14:paraId="59928273" w14:textId="77777777" w:rsidR="00EA43A0" w:rsidRPr="006C0808" w:rsidRDefault="00EA43A0" w:rsidP="008271C8">
                      <w:pPr>
                        <w:rPr>
                          <w:b/>
                        </w:rPr>
                      </w:pPr>
                    </w:p>
                    <w:p w14:paraId="64A35D8E" w14:textId="77777777" w:rsidR="00EA43A0" w:rsidRDefault="00EA43A0" w:rsidP="008271C8">
                      <w:pPr>
                        <w:rPr>
                          <w:b/>
                        </w:rPr>
                      </w:pPr>
                    </w:p>
                    <w:p w14:paraId="6A48F104" w14:textId="77777777" w:rsidR="00EA43A0" w:rsidRPr="006C0808" w:rsidRDefault="00EA43A0" w:rsidP="008271C8">
                      <w:pPr>
                        <w:rPr>
                          <w:b/>
                        </w:rPr>
                      </w:pPr>
                      <w:r w:rsidRPr="006C0808">
                        <w:rPr>
                          <w:b/>
                        </w:rPr>
                        <w:t>XXXIII: Benzo(a)pyrene</w:t>
                      </w:r>
                    </w:p>
                  </w:txbxContent>
                </v:textbox>
              </v:shape>
            </w:pict>
          </mc:Fallback>
        </mc:AlternateContent>
      </w:r>
    </w:p>
    <w:p w14:paraId="07E6A511" w14:textId="77777777" w:rsidR="008271C8" w:rsidRPr="006C0808" w:rsidRDefault="008271C8" w:rsidP="008271C8">
      <w:pPr>
        <w:spacing w:line="240" w:lineRule="auto"/>
        <w:rPr>
          <w:noProof/>
        </w:rPr>
      </w:pPr>
      <w:r w:rsidRPr="001E7D67">
        <w:rPr>
          <w:noProof/>
        </w:rPr>
        <w:drawing>
          <wp:inline distT="0" distB="0" distL="0" distR="0" wp14:anchorId="6C91108C" wp14:editId="1434ADC5">
            <wp:extent cx="1498600" cy="1663700"/>
            <wp:effectExtent l="0" t="0" r="0" b="0"/>
            <wp:docPr id="3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498600" cy="1663700"/>
                    </a:xfrm>
                    <a:prstGeom prst="rect">
                      <a:avLst/>
                    </a:prstGeom>
                    <a:noFill/>
                    <a:ln>
                      <a:noFill/>
                    </a:ln>
                  </pic:spPr>
                </pic:pic>
              </a:graphicData>
            </a:graphic>
          </wp:inline>
        </w:drawing>
      </w:r>
    </w:p>
    <w:p w14:paraId="3657445C" w14:textId="77777777" w:rsidR="008271C8" w:rsidRDefault="008271C8" w:rsidP="008271C8">
      <w:pPr>
        <w:spacing w:line="240" w:lineRule="auto"/>
        <w:rPr>
          <w:noProof/>
        </w:rPr>
      </w:pPr>
      <w:r w:rsidRPr="00027614">
        <w:rPr>
          <w:noProof/>
        </w:rPr>
        <w:drawing>
          <wp:inline distT="0" distB="0" distL="0" distR="0" wp14:anchorId="43FB2021" wp14:editId="140C695C">
            <wp:extent cx="1079500" cy="1219200"/>
            <wp:effectExtent l="0" t="0" r="0" b="0"/>
            <wp:docPr id="2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079500" cy="1219200"/>
                    </a:xfrm>
                    <a:prstGeom prst="rect">
                      <a:avLst/>
                    </a:prstGeom>
                    <a:noFill/>
                    <a:ln>
                      <a:noFill/>
                    </a:ln>
                  </pic:spPr>
                </pic:pic>
              </a:graphicData>
            </a:graphic>
          </wp:inline>
        </w:drawing>
      </w:r>
    </w:p>
    <w:p w14:paraId="4CE64654" w14:textId="77777777" w:rsidR="008271C8" w:rsidRDefault="008271C8" w:rsidP="008271C8">
      <w:pPr>
        <w:spacing w:line="240" w:lineRule="auto"/>
        <w:rPr>
          <w:noProof/>
        </w:rPr>
      </w:pPr>
      <w:r w:rsidRPr="00027614">
        <w:rPr>
          <w:noProof/>
        </w:rPr>
        <w:drawing>
          <wp:inline distT="0" distB="0" distL="0" distR="0" wp14:anchorId="3B3299F5" wp14:editId="1F4913F0">
            <wp:extent cx="2171700" cy="1308100"/>
            <wp:effectExtent l="0" t="0" r="0" b="0"/>
            <wp:docPr id="2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2">
                      <a:extLst>
                        <a:ext uri="{28A0092B-C50C-407E-A947-70E740481C1C}">
                          <a14:useLocalDpi xmlns:a14="http://schemas.microsoft.com/office/drawing/2010/main" val="0"/>
                        </a:ext>
                      </a:extLst>
                    </a:blip>
                    <a:srcRect b="27898"/>
                    <a:stretch>
                      <a:fillRect/>
                    </a:stretch>
                  </pic:blipFill>
                  <pic:spPr bwMode="auto">
                    <a:xfrm>
                      <a:off x="0" y="0"/>
                      <a:ext cx="2171700" cy="1308100"/>
                    </a:xfrm>
                    <a:prstGeom prst="rect">
                      <a:avLst/>
                    </a:prstGeom>
                    <a:noFill/>
                    <a:ln>
                      <a:noFill/>
                    </a:ln>
                  </pic:spPr>
                </pic:pic>
              </a:graphicData>
            </a:graphic>
          </wp:inline>
        </w:drawing>
      </w:r>
    </w:p>
    <w:p w14:paraId="3924D43D" w14:textId="77777777" w:rsidR="008271C8" w:rsidRDefault="008271C8" w:rsidP="008271C8">
      <w:pPr>
        <w:spacing w:line="240" w:lineRule="auto"/>
        <w:rPr>
          <w:noProof/>
        </w:rPr>
      </w:pPr>
      <w:r w:rsidRPr="00552B55">
        <w:rPr>
          <w:noProof/>
        </w:rPr>
        <w:t xml:space="preserve"> </w:t>
      </w:r>
      <w:r w:rsidRPr="00027614">
        <w:rPr>
          <w:noProof/>
        </w:rPr>
        <w:drawing>
          <wp:inline distT="0" distB="0" distL="0" distR="0" wp14:anchorId="518EA00C" wp14:editId="679EDF99">
            <wp:extent cx="1689100" cy="1143000"/>
            <wp:effectExtent l="0" t="0" r="0" b="0"/>
            <wp:docPr id="2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689100" cy="1143000"/>
                    </a:xfrm>
                    <a:prstGeom prst="rect">
                      <a:avLst/>
                    </a:prstGeom>
                    <a:noFill/>
                    <a:ln>
                      <a:noFill/>
                    </a:ln>
                  </pic:spPr>
                </pic:pic>
              </a:graphicData>
            </a:graphic>
          </wp:inline>
        </w:drawing>
      </w:r>
    </w:p>
    <w:p w14:paraId="54EF0C30" w14:textId="77777777"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36928" behindDoc="0" locked="0" layoutInCell="1" allowOverlap="1" wp14:anchorId="54F4D85B" wp14:editId="501D0ADA">
                <wp:simplePos x="0" y="0"/>
                <wp:positionH relativeFrom="column">
                  <wp:posOffset>3069590</wp:posOffset>
                </wp:positionH>
                <wp:positionV relativeFrom="paragraph">
                  <wp:posOffset>1905</wp:posOffset>
                </wp:positionV>
                <wp:extent cx="1888490" cy="7901940"/>
                <wp:effectExtent l="0" t="0" r="0" b="0"/>
                <wp:wrapNone/>
                <wp:docPr id="4111" name="Text Box 4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490" cy="790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531DE4" w14:textId="77777777" w:rsidR="00EA43A0" w:rsidRPr="0078320A" w:rsidRDefault="00EA43A0" w:rsidP="008271C8"/>
                          <w:p w14:paraId="0EAE7BD6" w14:textId="77777777" w:rsidR="00EA43A0" w:rsidRPr="00BB32FF" w:rsidRDefault="00EA43A0" w:rsidP="008271C8">
                            <w:pPr>
                              <w:rPr>
                                <w:b/>
                                <w:lang w:val="es-CO"/>
                              </w:rPr>
                            </w:pPr>
                            <w:r w:rsidRPr="00BB32FF">
                              <w:rPr>
                                <w:b/>
                                <w:lang w:val="es-CO"/>
                              </w:rPr>
                              <w:t>Benzo(e)pyrene</w:t>
                            </w:r>
                          </w:p>
                          <w:p w14:paraId="56D18992" w14:textId="77777777" w:rsidR="00EA43A0" w:rsidRPr="0078320A" w:rsidRDefault="00EA43A0" w:rsidP="008271C8">
                            <w:pPr>
                              <w:rPr>
                                <w:lang w:val="es-CO"/>
                              </w:rPr>
                            </w:pPr>
                          </w:p>
                          <w:p w14:paraId="3F979528" w14:textId="77777777" w:rsidR="00EA43A0" w:rsidRPr="0078320A" w:rsidRDefault="00EA43A0" w:rsidP="008271C8">
                            <w:pPr>
                              <w:rPr>
                                <w:lang w:val="es-CO"/>
                              </w:rPr>
                            </w:pPr>
                          </w:p>
                          <w:p w14:paraId="354207AF" w14:textId="77777777" w:rsidR="00EA43A0" w:rsidRPr="0078320A" w:rsidRDefault="00EA43A0" w:rsidP="008271C8">
                            <w:pPr>
                              <w:rPr>
                                <w:lang w:val="es-CO"/>
                              </w:rPr>
                            </w:pPr>
                          </w:p>
                          <w:p w14:paraId="412D8A7C" w14:textId="77777777" w:rsidR="00EA43A0" w:rsidRPr="004F68A3" w:rsidRDefault="00EA43A0" w:rsidP="008271C8">
                            <w:pPr>
                              <w:rPr>
                                <w:b/>
                                <w:bCs/>
                                <w:lang w:val="es-CO"/>
                              </w:rPr>
                            </w:pPr>
                          </w:p>
                          <w:p w14:paraId="0B267C95" w14:textId="77777777" w:rsidR="00EA43A0" w:rsidRPr="004F68A3" w:rsidRDefault="00EA43A0" w:rsidP="008271C8">
                            <w:pPr>
                              <w:rPr>
                                <w:b/>
                                <w:bCs/>
                                <w:lang w:val="es-CO"/>
                              </w:rPr>
                            </w:pPr>
                            <w:r w:rsidRPr="004F68A3">
                              <w:rPr>
                                <w:b/>
                                <w:bCs/>
                                <w:lang w:val="es-CO"/>
                              </w:rPr>
                              <w:t>XXXIV: Biphenyl</w:t>
                            </w:r>
                          </w:p>
                          <w:p w14:paraId="5E86292F" w14:textId="77777777" w:rsidR="00EA43A0" w:rsidRPr="004F68A3" w:rsidRDefault="00EA43A0" w:rsidP="008271C8">
                            <w:pPr>
                              <w:rPr>
                                <w:b/>
                                <w:bCs/>
                                <w:lang w:val="es-CO"/>
                              </w:rPr>
                            </w:pPr>
                          </w:p>
                          <w:p w14:paraId="5BE6CDBC" w14:textId="77777777" w:rsidR="00EA43A0" w:rsidRPr="004F68A3" w:rsidRDefault="00EA43A0" w:rsidP="008271C8">
                            <w:pPr>
                              <w:rPr>
                                <w:b/>
                                <w:bCs/>
                                <w:lang w:val="es-CO"/>
                              </w:rPr>
                            </w:pPr>
                          </w:p>
                          <w:p w14:paraId="406F8116" w14:textId="77777777" w:rsidR="00EA43A0" w:rsidRPr="004F68A3" w:rsidRDefault="00EA43A0" w:rsidP="008271C8">
                            <w:pPr>
                              <w:rPr>
                                <w:b/>
                                <w:bCs/>
                                <w:lang w:val="es-CO"/>
                              </w:rPr>
                            </w:pPr>
                          </w:p>
                          <w:p w14:paraId="10B7F007" w14:textId="77777777" w:rsidR="00EA43A0" w:rsidRPr="004F68A3" w:rsidRDefault="00EA43A0" w:rsidP="008271C8">
                            <w:pPr>
                              <w:rPr>
                                <w:b/>
                                <w:bCs/>
                                <w:lang w:val="es-CO"/>
                              </w:rPr>
                            </w:pPr>
                            <w:r w:rsidRPr="004F68A3">
                              <w:rPr>
                                <w:b/>
                                <w:bCs/>
                                <w:lang w:val="es-CO"/>
                              </w:rPr>
                              <w:t>XXXV: Cadalene</w:t>
                            </w:r>
                          </w:p>
                          <w:p w14:paraId="7B7FF782" w14:textId="77777777" w:rsidR="00EA43A0" w:rsidRPr="0078320A" w:rsidRDefault="00EA43A0" w:rsidP="008271C8">
                            <w:pPr>
                              <w:rPr>
                                <w:lang w:val="es-CO"/>
                              </w:rPr>
                            </w:pPr>
                          </w:p>
                          <w:p w14:paraId="7747348D" w14:textId="77777777" w:rsidR="00EA43A0" w:rsidRPr="004F68A3" w:rsidRDefault="00EA43A0" w:rsidP="008271C8">
                            <w:pPr>
                              <w:rPr>
                                <w:b/>
                                <w:bCs/>
                                <w:lang w:val="es-CO"/>
                              </w:rPr>
                            </w:pPr>
                          </w:p>
                          <w:p w14:paraId="01B80F05" w14:textId="77777777" w:rsidR="00EA43A0" w:rsidRPr="004F68A3" w:rsidRDefault="00EA43A0" w:rsidP="008271C8">
                            <w:pPr>
                              <w:rPr>
                                <w:b/>
                                <w:bCs/>
                              </w:rPr>
                            </w:pPr>
                            <w:r w:rsidRPr="004F68A3">
                              <w:rPr>
                                <w:b/>
                                <w:bCs/>
                              </w:rPr>
                              <w:t>XXXVI: Chrysene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4D85B" id="Text Box 4111" o:spid="_x0000_s1069" type="#_x0000_t202" style="position:absolute;left:0;text-align:left;margin-left:241.7pt;margin-top:.15pt;width:148.7pt;height:622.2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" filled="f" stroked="f">
                <v:textbox>
                  <w:txbxContent>
                    <w:p w14:paraId="0B531DE4" w14:textId="77777777" w:rsidR="00EA43A0" w:rsidRPr="0078320A" w:rsidRDefault="00EA43A0" w:rsidP="008271C8"/>
                    <w:p w14:paraId="0EAE7BD6" w14:textId="77777777" w:rsidR="00EA43A0" w:rsidRPr="00BB32FF" w:rsidRDefault="00EA43A0" w:rsidP="008271C8">
                      <w:pPr>
                        <w:rPr>
                          <w:b/>
                          <w:lang w:val="es-CO"/>
                        </w:rPr>
                      </w:pPr>
                      <w:r w:rsidRPr="00BB32FF">
                        <w:rPr>
                          <w:b/>
                          <w:lang w:val="es-CO"/>
                        </w:rPr>
                        <w:t>Benzo(e)pyrene</w:t>
                      </w:r>
                    </w:p>
                    <w:p w14:paraId="56D18992" w14:textId="77777777" w:rsidR="00EA43A0" w:rsidRPr="0078320A" w:rsidRDefault="00EA43A0" w:rsidP="008271C8">
                      <w:pPr>
                        <w:rPr>
                          <w:lang w:val="es-CO"/>
                        </w:rPr>
                      </w:pPr>
                    </w:p>
                    <w:p w14:paraId="3F979528" w14:textId="77777777" w:rsidR="00EA43A0" w:rsidRPr="0078320A" w:rsidRDefault="00EA43A0" w:rsidP="008271C8">
                      <w:pPr>
                        <w:rPr>
                          <w:lang w:val="es-CO"/>
                        </w:rPr>
                      </w:pPr>
                    </w:p>
                    <w:p w14:paraId="354207AF" w14:textId="77777777" w:rsidR="00EA43A0" w:rsidRPr="0078320A" w:rsidRDefault="00EA43A0" w:rsidP="008271C8">
                      <w:pPr>
                        <w:rPr>
                          <w:lang w:val="es-CO"/>
                        </w:rPr>
                      </w:pPr>
                    </w:p>
                    <w:p w14:paraId="412D8A7C" w14:textId="77777777" w:rsidR="00EA43A0" w:rsidRPr="004F68A3" w:rsidRDefault="00EA43A0" w:rsidP="008271C8">
                      <w:pPr>
                        <w:rPr>
                          <w:b/>
                          <w:bCs/>
                          <w:lang w:val="es-CO"/>
                        </w:rPr>
                      </w:pPr>
                    </w:p>
                    <w:p w14:paraId="0B267C95" w14:textId="77777777" w:rsidR="00EA43A0" w:rsidRPr="004F68A3" w:rsidRDefault="00EA43A0" w:rsidP="008271C8">
                      <w:pPr>
                        <w:rPr>
                          <w:b/>
                          <w:bCs/>
                          <w:lang w:val="es-CO"/>
                        </w:rPr>
                      </w:pPr>
                      <w:r w:rsidRPr="004F68A3">
                        <w:rPr>
                          <w:b/>
                          <w:bCs/>
                          <w:lang w:val="es-CO"/>
                        </w:rPr>
                        <w:t>XXXIV: Biphenyl</w:t>
                      </w:r>
                    </w:p>
                    <w:p w14:paraId="5E86292F" w14:textId="77777777" w:rsidR="00EA43A0" w:rsidRPr="004F68A3" w:rsidRDefault="00EA43A0" w:rsidP="008271C8">
                      <w:pPr>
                        <w:rPr>
                          <w:b/>
                          <w:bCs/>
                          <w:lang w:val="es-CO"/>
                        </w:rPr>
                      </w:pPr>
                    </w:p>
                    <w:p w14:paraId="5BE6CDBC" w14:textId="77777777" w:rsidR="00EA43A0" w:rsidRPr="004F68A3" w:rsidRDefault="00EA43A0" w:rsidP="008271C8">
                      <w:pPr>
                        <w:rPr>
                          <w:b/>
                          <w:bCs/>
                          <w:lang w:val="es-CO"/>
                        </w:rPr>
                      </w:pPr>
                    </w:p>
                    <w:p w14:paraId="406F8116" w14:textId="77777777" w:rsidR="00EA43A0" w:rsidRPr="004F68A3" w:rsidRDefault="00EA43A0" w:rsidP="008271C8">
                      <w:pPr>
                        <w:rPr>
                          <w:b/>
                          <w:bCs/>
                          <w:lang w:val="es-CO"/>
                        </w:rPr>
                      </w:pPr>
                    </w:p>
                    <w:p w14:paraId="10B7F007" w14:textId="77777777" w:rsidR="00EA43A0" w:rsidRPr="004F68A3" w:rsidRDefault="00EA43A0" w:rsidP="008271C8">
                      <w:pPr>
                        <w:rPr>
                          <w:b/>
                          <w:bCs/>
                          <w:lang w:val="es-CO"/>
                        </w:rPr>
                      </w:pPr>
                      <w:r w:rsidRPr="004F68A3">
                        <w:rPr>
                          <w:b/>
                          <w:bCs/>
                          <w:lang w:val="es-CO"/>
                        </w:rPr>
                        <w:t>XXXV: Cadalene</w:t>
                      </w:r>
                    </w:p>
                    <w:p w14:paraId="7B7FF782" w14:textId="77777777" w:rsidR="00EA43A0" w:rsidRPr="0078320A" w:rsidRDefault="00EA43A0" w:rsidP="008271C8">
                      <w:pPr>
                        <w:rPr>
                          <w:lang w:val="es-CO"/>
                        </w:rPr>
                      </w:pPr>
                    </w:p>
                    <w:p w14:paraId="7747348D" w14:textId="77777777" w:rsidR="00EA43A0" w:rsidRPr="004F68A3" w:rsidRDefault="00EA43A0" w:rsidP="008271C8">
                      <w:pPr>
                        <w:rPr>
                          <w:b/>
                          <w:bCs/>
                          <w:lang w:val="es-CO"/>
                        </w:rPr>
                      </w:pPr>
                    </w:p>
                    <w:p w14:paraId="01B80F05" w14:textId="77777777" w:rsidR="00EA43A0" w:rsidRPr="004F68A3" w:rsidRDefault="00EA43A0" w:rsidP="008271C8">
                      <w:pPr>
                        <w:rPr>
                          <w:b/>
                          <w:bCs/>
                        </w:rPr>
                      </w:pPr>
                      <w:r w:rsidRPr="004F68A3">
                        <w:rPr>
                          <w:b/>
                          <w:bCs/>
                        </w:rPr>
                        <w:t>XXXVI: Chrysene</w:t>
                      </w:r>
                    </w:p>
                  </w:txbxContent>
                </v:textbox>
              </v:shape>
            </w:pict>
          </mc:Fallback>
        </mc:AlternateContent>
      </w:r>
      <w:r w:rsidRPr="00027614">
        <w:rPr>
          <w:noProof/>
        </w:rPr>
        <w:drawing>
          <wp:inline distT="0" distB="0" distL="0" distR="0" wp14:anchorId="05362757" wp14:editId="098FD56D">
            <wp:extent cx="2120900" cy="1676400"/>
            <wp:effectExtent l="0" t="0" r="0" b="0"/>
            <wp:docPr id="2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4">
                      <a:extLst>
                        <a:ext uri="{28A0092B-C50C-407E-A947-70E740481C1C}">
                          <a14:useLocalDpi xmlns:a14="http://schemas.microsoft.com/office/drawing/2010/main" val="0"/>
                        </a:ext>
                      </a:extLst>
                    </a:blip>
                    <a:srcRect b="12447"/>
                    <a:stretch>
                      <a:fillRect/>
                    </a:stretch>
                  </pic:blipFill>
                  <pic:spPr bwMode="auto">
                    <a:xfrm>
                      <a:off x="0" y="0"/>
                      <a:ext cx="2120900" cy="1676400"/>
                    </a:xfrm>
                    <a:prstGeom prst="rect">
                      <a:avLst/>
                    </a:prstGeom>
                    <a:noFill/>
                    <a:ln>
                      <a:noFill/>
                    </a:ln>
                  </pic:spPr>
                </pic:pic>
              </a:graphicData>
            </a:graphic>
          </wp:inline>
        </w:drawing>
      </w:r>
    </w:p>
    <w:p w14:paraId="71B37A15" w14:textId="77777777" w:rsidR="008271C8" w:rsidRDefault="008271C8" w:rsidP="008271C8">
      <w:pPr>
        <w:spacing w:line="240" w:lineRule="auto"/>
        <w:rPr>
          <w:noProof/>
        </w:rPr>
      </w:pPr>
      <w:r w:rsidRPr="00027614">
        <w:rPr>
          <w:noProof/>
        </w:rPr>
        <w:drawing>
          <wp:inline distT="0" distB="0" distL="0" distR="0" wp14:anchorId="6DFB7F80" wp14:editId="64574796">
            <wp:extent cx="1993900" cy="1739900"/>
            <wp:effectExtent l="0" t="0" r="0" b="0"/>
            <wp:docPr id="2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5">
                      <a:extLst>
                        <a:ext uri="{28A0092B-C50C-407E-A947-70E740481C1C}">
                          <a14:useLocalDpi xmlns:a14="http://schemas.microsoft.com/office/drawing/2010/main" val="0"/>
                        </a:ext>
                      </a:extLst>
                    </a:blip>
                    <a:srcRect b="15848"/>
                    <a:stretch>
                      <a:fillRect/>
                    </a:stretch>
                  </pic:blipFill>
                  <pic:spPr bwMode="auto">
                    <a:xfrm>
                      <a:off x="0" y="0"/>
                      <a:ext cx="1993900" cy="1739900"/>
                    </a:xfrm>
                    <a:prstGeom prst="rect">
                      <a:avLst/>
                    </a:prstGeom>
                    <a:noFill/>
                    <a:ln>
                      <a:noFill/>
                    </a:ln>
                  </pic:spPr>
                </pic:pic>
              </a:graphicData>
            </a:graphic>
          </wp:inline>
        </w:drawing>
      </w:r>
    </w:p>
    <w:p w14:paraId="0D5F6002" w14:textId="77777777" w:rsidR="008271C8" w:rsidRDefault="008271C8" w:rsidP="008271C8">
      <w:pPr>
        <w:spacing w:line="240" w:lineRule="auto"/>
        <w:rPr>
          <w:noProof/>
        </w:rPr>
      </w:pPr>
      <w:r w:rsidRPr="00027614">
        <w:rPr>
          <w:noProof/>
        </w:rPr>
        <w:drawing>
          <wp:inline distT="0" distB="0" distL="0" distR="0" wp14:anchorId="03622987" wp14:editId="67DFBFF6">
            <wp:extent cx="2057400" cy="1803400"/>
            <wp:effectExtent l="0" t="0" r="0" b="0"/>
            <wp:docPr id="2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6">
                      <a:extLst>
                        <a:ext uri="{28A0092B-C50C-407E-A947-70E740481C1C}">
                          <a14:useLocalDpi xmlns:a14="http://schemas.microsoft.com/office/drawing/2010/main" val="0"/>
                        </a:ext>
                      </a:extLst>
                    </a:blip>
                    <a:srcRect b="18396"/>
                    <a:stretch>
                      <a:fillRect/>
                    </a:stretch>
                  </pic:blipFill>
                  <pic:spPr bwMode="auto">
                    <a:xfrm>
                      <a:off x="0" y="0"/>
                      <a:ext cx="2057400" cy="1803400"/>
                    </a:xfrm>
                    <a:prstGeom prst="rect">
                      <a:avLst/>
                    </a:prstGeom>
                    <a:noFill/>
                    <a:ln>
                      <a:noFill/>
                    </a:ln>
                  </pic:spPr>
                </pic:pic>
              </a:graphicData>
            </a:graphic>
          </wp:inline>
        </w:drawing>
      </w:r>
      <w:r w:rsidRPr="00552B55">
        <w:rPr>
          <w:noProof/>
        </w:rPr>
        <w:t xml:space="preserve"> </w:t>
      </w:r>
    </w:p>
    <w:p w14:paraId="1EF2E141" w14:textId="77777777" w:rsidR="008271C8" w:rsidRDefault="008271C8" w:rsidP="008271C8">
      <w:pPr>
        <w:spacing w:line="240" w:lineRule="auto"/>
        <w:rPr>
          <w:noProof/>
        </w:rPr>
      </w:pPr>
      <w:r w:rsidRPr="00027614">
        <w:rPr>
          <w:noProof/>
        </w:rPr>
        <w:drawing>
          <wp:inline distT="0" distB="0" distL="0" distR="0" wp14:anchorId="0DD428BF" wp14:editId="1F2BDBD7">
            <wp:extent cx="2324100" cy="1663700"/>
            <wp:effectExtent l="0" t="0" r="0" b="0"/>
            <wp:docPr id="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324100" cy="1663700"/>
                    </a:xfrm>
                    <a:prstGeom prst="rect">
                      <a:avLst/>
                    </a:prstGeom>
                    <a:noFill/>
                    <a:ln>
                      <a:noFill/>
                    </a:ln>
                  </pic:spPr>
                </pic:pic>
              </a:graphicData>
            </a:graphic>
          </wp:inline>
        </w:drawing>
      </w:r>
    </w:p>
    <w:p w14:paraId="66B83AC0" w14:textId="77777777" w:rsidR="008271C8" w:rsidRDefault="008271C8" w:rsidP="008271C8">
      <w:pPr>
        <w:spacing w:line="240" w:lineRule="auto"/>
        <w:rPr>
          <w:noProof/>
        </w:rPr>
      </w:pPr>
    </w:p>
    <w:p w14:paraId="44B2C42C" w14:textId="77777777" w:rsidR="008271C8" w:rsidRDefault="008271C8" w:rsidP="008271C8">
      <w:pPr>
        <w:spacing w:line="240" w:lineRule="auto"/>
        <w:rPr>
          <w:noProof/>
        </w:rPr>
      </w:pPr>
      <w:r>
        <w:rPr>
          <w:noProof/>
        </w:rPr>
        <w:lastRenderedPageBreak/>
        <mc:AlternateContent>
          <mc:Choice Requires="wps">
            <w:drawing>
              <wp:anchor distT="0" distB="0" distL="114300" distR="114300" simplePos="0" relativeHeight="251837952" behindDoc="0" locked="0" layoutInCell="1" allowOverlap="1" wp14:anchorId="709D8046" wp14:editId="654EEDF8">
                <wp:simplePos x="0" y="0"/>
                <wp:positionH relativeFrom="column">
                  <wp:posOffset>2700655</wp:posOffset>
                </wp:positionH>
                <wp:positionV relativeFrom="paragraph">
                  <wp:posOffset>-635</wp:posOffset>
                </wp:positionV>
                <wp:extent cx="2385695" cy="7553960"/>
                <wp:effectExtent l="0" t="0" r="0" b="0"/>
                <wp:wrapNone/>
                <wp:docPr id="4110" name="Text Box 4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7553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24E7CB" w14:textId="77777777" w:rsidR="00EA43A0" w:rsidRPr="004F68A3" w:rsidRDefault="00EA43A0" w:rsidP="008271C8">
                            <w:pPr>
                              <w:rPr>
                                <w:b/>
                              </w:rPr>
                            </w:pPr>
                            <w:r w:rsidRPr="004F68A3">
                              <w:rPr>
                                <w:b/>
                              </w:rPr>
                              <w:t>XXXVII: Triphenylene</w:t>
                            </w:r>
                          </w:p>
                          <w:p w14:paraId="5BDD1A55" w14:textId="77777777" w:rsidR="00EA43A0" w:rsidRPr="004F68A3" w:rsidRDefault="00EA43A0" w:rsidP="008271C8">
                            <w:pPr>
                              <w:rPr>
                                <w:b/>
                              </w:rPr>
                            </w:pPr>
                          </w:p>
                          <w:p w14:paraId="4C481991" w14:textId="77777777" w:rsidR="00EA43A0" w:rsidRPr="004F68A3" w:rsidRDefault="00EA43A0" w:rsidP="008271C8">
                            <w:pPr>
                              <w:rPr>
                                <w:b/>
                              </w:rPr>
                            </w:pPr>
                          </w:p>
                          <w:p w14:paraId="0509B369" w14:textId="77777777" w:rsidR="00EA43A0" w:rsidRPr="004F68A3" w:rsidRDefault="00EA43A0" w:rsidP="008271C8">
                            <w:pPr>
                              <w:rPr>
                                <w:b/>
                              </w:rPr>
                            </w:pPr>
                          </w:p>
                          <w:p w14:paraId="60346D8D" w14:textId="77777777" w:rsidR="00EA43A0" w:rsidRPr="004F68A3" w:rsidRDefault="00EA43A0" w:rsidP="008271C8">
                            <w:pPr>
                              <w:rPr>
                                <w:b/>
                              </w:rPr>
                            </w:pPr>
                          </w:p>
                          <w:p w14:paraId="565BB315" w14:textId="77777777" w:rsidR="00EA43A0" w:rsidRPr="004F68A3" w:rsidRDefault="00EA43A0" w:rsidP="008271C8">
                            <w:pPr>
                              <w:rPr>
                                <w:b/>
                              </w:rPr>
                            </w:pPr>
                            <w:r w:rsidRPr="004F68A3">
                              <w:rPr>
                                <w:b/>
                              </w:rPr>
                              <w:t>XXXVIII: Benzoanthracene</w:t>
                            </w:r>
                          </w:p>
                          <w:p w14:paraId="16F205F2" w14:textId="77777777" w:rsidR="00EA43A0" w:rsidRPr="004F68A3" w:rsidRDefault="00EA43A0" w:rsidP="008271C8">
                            <w:pPr>
                              <w:rPr>
                                <w:b/>
                              </w:rPr>
                            </w:pPr>
                          </w:p>
                          <w:p w14:paraId="5DDADC2B" w14:textId="77777777" w:rsidR="00EA43A0" w:rsidRPr="004F68A3" w:rsidRDefault="00EA43A0" w:rsidP="008271C8">
                            <w:pPr>
                              <w:rPr>
                                <w:b/>
                              </w:rPr>
                            </w:pPr>
                          </w:p>
                          <w:p w14:paraId="303D53DC" w14:textId="77777777" w:rsidR="00EA43A0" w:rsidRPr="004F68A3" w:rsidRDefault="00EA43A0" w:rsidP="008271C8">
                            <w:pPr>
                              <w:rPr>
                                <w:b/>
                              </w:rPr>
                            </w:pPr>
                          </w:p>
                          <w:p w14:paraId="3BC6EA86" w14:textId="77777777" w:rsidR="00EA43A0" w:rsidRPr="004F68A3" w:rsidRDefault="00EA43A0" w:rsidP="008271C8">
                            <w:pPr>
                              <w:rPr>
                                <w:b/>
                              </w:rPr>
                            </w:pPr>
                            <w:r w:rsidRPr="004F68A3">
                              <w:rPr>
                                <w:b/>
                              </w:rPr>
                              <w:t>XXXIX: Naphthalene</w:t>
                            </w:r>
                          </w:p>
                          <w:p w14:paraId="591FFB15" w14:textId="77777777" w:rsidR="00EA43A0" w:rsidRPr="004F68A3" w:rsidRDefault="00EA43A0" w:rsidP="008271C8">
                            <w:pPr>
                              <w:rPr>
                                <w:b/>
                              </w:rPr>
                            </w:pPr>
                          </w:p>
                          <w:p w14:paraId="3AF03DC1" w14:textId="77777777" w:rsidR="00EA43A0" w:rsidRPr="004F68A3" w:rsidRDefault="00EA43A0" w:rsidP="008271C8">
                            <w:pPr>
                              <w:rPr>
                                <w:b/>
                              </w:rPr>
                            </w:pPr>
                          </w:p>
                          <w:p w14:paraId="2D7DE8E2" w14:textId="77777777" w:rsidR="00EA43A0" w:rsidRPr="004F68A3" w:rsidRDefault="00EA43A0" w:rsidP="008271C8">
                            <w:pPr>
                              <w:rPr>
                                <w:b/>
                              </w:rPr>
                            </w:pPr>
                            <w:r w:rsidRPr="004F68A3">
                              <w:rPr>
                                <w:b/>
                              </w:rPr>
                              <w:t>XXXX: Retene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D8046" id="Text Box 4110" o:spid="_x0000_s1070" type="#_x0000_t202" style="position:absolute;left:0;text-align:left;margin-left:212.65pt;margin-top:-.05pt;width:187.85pt;height:594.8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" filled="f" stroked="f">
                <v:textbox>
                  <w:txbxContent>
                    <w:p w14:paraId="0D24E7CB" w14:textId="77777777" w:rsidR="00EA43A0" w:rsidRPr="004F68A3" w:rsidRDefault="00EA43A0" w:rsidP="008271C8">
                      <w:pPr>
                        <w:rPr>
                          <w:b/>
                        </w:rPr>
                      </w:pPr>
                      <w:r w:rsidRPr="004F68A3">
                        <w:rPr>
                          <w:b/>
                        </w:rPr>
                        <w:t>XXXVII: Triphenylene</w:t>
                      </w:r>
                    </w:p>
                    <w:p w14:paraId="5BDD1A55" w14:textId="77777777" w:rsidR="00EA43A0" w:rsidRPr="004F68A3" w:rsidRDefault="00EA43A0" w:rsidP="008271C8">
                      <w:pPr>
                        <w:rPr>
                          <w:b/>
                        </w:rPr>
                      </w:pPr>
                    </w:p>
                    <w:p w14:paraId="4C481991" w14:textId="77777777" w:rsidR="00EA43A0" w:rsidRPr="004F68A3" w:rsidRDefault="00EA43A0" w:rsidP="008271C8">
                      <w:pPr>
                        <w:rPr>
                          <w:b/>
                        </w:rPr>
                      </w:pPr>
                    </w:p>
                    <w:p w14:paraId="0509B369" w14:textId="77777777" w:rsidR="00EA43A0" w:rsidRPr="004F68A3" w:rsidRDefault="00EA43A0" w:rsidP="008271C8">
                      <w:pPr>
                        <w:rPr>
                          <w:b/>
                        </w:rPr>
                      </w:pPr>
                    </w:p>
                    <w:p w14:paraId="60346D8D" w14:textId="77777777" w:rsidR="00EA43A0" w:rsidRPr="004F68A3" w:rsidRDefault="00EA43A0" w:rsidP="008271C8">
                      <w:pPr>
                        <w:rPr>
                          <w:b/>
                        </w:rPr>
                      </w:pPr>
                    </w:p>
                    <w:p w14:paraId="565BB315" w14:textId="77777777" w:rsidR="00EA43A0" w:rsidRPr="004F68A3" w:rsidRDefault="00EA43A0" w:rsidP="008271C8">
                      <w:pPr>
                        <w:rPr>
                          <w:b/>
                        </w:rPr>
                      </w:pPr>
                      <w:r w:rsidRPr="004F68A3">
                        <w:rPr>
                          <w:b/>
                        </w:rPr>
                        <w:t>XXXVIII: Benzoanthracene</w:t>
                      </w:r>
                    </w:p>
                    <w:p w14:paraId="16F205F2" w14:textId="77777777" w:rsidR="00EA43A0" w:rsidRPr="004F68A3" w:rsidRDefault="00EA43A0" w:rsidP="008271C8">
                      <w:pPr>
                        <w:rPr>
                          <w:b/>
                        </w:rPr>
                      </w:pPr>
                    </w:p>
                    <w:p w14:paraId="5DDADC2B" w14:textId="77777777" w:rsidR="00EA43A0" w:rsidRPr="004F68A3" w:rsidRDefault="00EA43A0" w:rsidP="008271C8">
                      <w:pPr>
                        <w:rPr>
                          <w:b/>
                        </w:rPr>
                      </w:pPr>
                    </w:p>
                    <w:p w14:paraId="303D53DC" w14:textId="77777777" w:rsidR="00EA43A0" w:rsidRPr="004F68A3" w:rsidRDefault="00EA43A0" w:rsidP="008271C8">
                      <w:pPr>
                        <w:rPr>
                          <w:b/>
                        </w:rPr>
                      </w:pPr>
                    </w:p>
                    <w:p w14:paraId="3BC6EA86" w14:textId="77777777" w:rsidR="00EA43A0" w:rsidRPr="004F68A3" w:rsidRDefault="00EA43A0" w:rsidP="008271C8">
                      <w:pPr>
                        <w:rPr>
                          <w:b/>
                        </w:rPr>
                      </w:pPr>
                      <w:r w:rsidRPr="004F68A3">
                        <w:rPr>
                          <w:b/>
                        </w:rPr>
                        <w:t>XXXIX: Naphthalene</w:t>
                      </w:r>
                    </w:p>
                    <w:p w14:paraId="591FFB15" w14:textId="77777777" w:rsidR="00EA43A0" w:rsidRPr="004F68A3" w:rsidRDefault="00EA43A0" w:rsidP="008271C8">
                      <w:pPr>
                        <w:rPr>
                          <w:b/>
                        </w:rPr>
                      </w:pPr>
                    </w:p>
                    <w:p w14:paraId="3AF03DC1" w14:textId="77777777" w:rsidR="00EA43A0" w:rsidRPr="004F68A3" w:rsidRDefault="00EA43A0" w:rsidP="008271C8">
                      <w:pPr>
                        <w:rPr>
                          <w:b/>
                        </w:rPr>
                      </w:pPr>
                    </w:p>
                    <w:p w14:paraId="2D7DE8E2" w14:textId="77777777" w:rsidR="00EA43A0" w:rsidRPr="004F68A3" w:rsidRDefault="00EA43A0" w:rsidP="008271C8">
                      <w:pPr>
                        <w:rPr>
                          <w:b/>
                        </w:rPr>
                      </w:pPr>
                      <w:r w:rsidRPr="004F68A3">
                        <w:rPr>
                          <w:b/>
                        </w:rPr>
                        <w:t>XXXX: Retene</w:t>
                      </w:r>
                    </w:p>
                  </w:txbxContent>
                </v:textbox>
              </v:shape>
            </w:pict>
          </mc:Fallback>
        </mc:AlternateContent>
      </w:r>
      <w:r w:rsidRPr="00027614">
        <w:rPr>
          <w:noProof/>
        </w:rPr>
        <w:drawing>
          <wp:inline distT="0" distB="0" distL="0" distR="0" wp14:anchorId="200C3CB4" wp14:editId="108197AA">
            <wp:extent cx="1930400" cy="1816100"/>
            <wp:effectExtent l="0" t="0" r="0" b="0"/>
            <wp:docPr id="22" name="Picture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30400" cy="1816100"/>
                    </a:xfrm>
                    <a:prstGeom prst="rect">
                      <a:avLst/>
                    </a:prstGeom>
                    <a:noFill/>
                    <a:ln>
                      <a:noFill/>
                    </a:ln>
                  </pic:spPr>
                </pic:pic>
              </a:graphicData>
            </a:graphic>
          </wp:inline>
        </w:drawing>
      </w:r>
    </w:p>
    <w:p w14:paraId="191C9F75" w14:textId="77777777" w:rsidR="008271C8" w:rsidRDefault="008271C8" w:rsidP="008271C8">
      <w:pPr>
        <w:spacing w:line="240" w:lineRule="auto"/>
        <w:rPr>
          <w:noProof/>
        </w:rPr>
      </w:pPr>
      <w:r w:rsidRPr="00027614">
        <w:rPr>
          <w:noProof/>
        </w:rPr>
        <w:drawing>
          <wp:inline distT="0" distB="0" distL="0" distR="0" wp14:anchorId="56A4192B" wp14:editId="70665A3D">
            <wp:extent cx="1981200" cy="1320800"/>
            <wp:effectExtent l="0" t="0" r="0" b="0"/>
            <wp:docPr id="21" name="Picture 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0"/>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981200" cy="1320800"/>
                    </a:xfrm>
                    <a:prstGeom prst="rect">
                      <a:avLst/>
                    </a:prstGeom>
                    <a:noFill/>
                    <a:ln>
                      <a:noFill/>
                    </a:ln>
                  </pic:spPr>
                </pic:pic>
              </a:graphicData>
            </a:graphic>
          </wp:inline>
        </w:drawing>
      </w:r>
    </w:p>
    <w:p w14:paraId="7A1E0C50" w14:textId="77777777" w:rsidR="008271C8" w:rsidRDefault="008271C8" w:rsidP="008271C8">
      <w:pPr>
        <w:spacing w:line="240" w:lineRule="auto"/>
        <w:rPr>
          <w:noProof/>
        </w:rPr>
      </w:pPr>
      <w:r w:rsidRPr="00027614">
        <w:rPr>
          <w:noProof/>
        </w:rPr>
        <w:drawing>
          <wp:inline distT="0" distB="0" distL="0" distR="0" wp14:anchorId="21A0CB46" wp14:editId="30A312AC">
            <wp:extent cx="1968500" cy="1536700"/>
            <wp:effectExtent l="0" t="0" r="0" b="0"/>
            <wp:docPr id="20" name="Picture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9"/>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968500" cy="1536700"/>
                    </a:xfrm>
                    <a:prstGeom prst="rect">
                      <a:avLst/>
                    </a:prstGeom>
                    <a:noFill/>
                    <a:ln>
                      <a:noFill/>
                    </a:ln>
                  </pic:spPr>
                </pic:pic>
              </a:graphicData>
            </a:graphic>
          </wp:inline>
        </w:drawing>
      </w:r>
    </w:p>
    <w:p w14:paraId="6DCB5DD5" w14:textId="77777777" w:rsidR="008271C8" w:rsidRDefault="008271C8" w:rsidP="008271C8">
      <w:pPr>
        <w:spacing w:line="240" w:lineRule="auto"/>
        <w:rPr>
          <w:noProof/>
        </w:rPr>
      </w:pPr>
    </w:p>
    <w:p w14:paraId="2DDBAF7D" w14:textId="77777777" w:rsidR="008271C8" w:rsidRPr="0008427C" w:rsidRDefault="008271C8" w:rsidP="008271C8">
      <w:pPr>
        <w:spacing w:line="240" w:lineRule="auto"/>
        <w:rPr>
          <w:bCs/>
        </w:rPr>
      </w:pPr>
      <w:r w:rsidRPr="00027614">
        <w:rPr>
          <w:noProof/>
        </w:rPr>
        <w:drawing>
          <wp:inline distT="0" distB="0" distL="0" distR="0" wp14:anchorId="7B102CF1" wp14:editId="36991F4C">
            <wp:extent cx="2032000" cy="1587500"/>
            <wp:effectExtent l="0" t="0" r="0" b="0"/>
            <wp:docPr id="19" name="Picture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8"/>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032000" cy="1587500"/>
                    </a:xfrm>
                    <a:prstGeom prst="rect">
                      <a:avLst/>
                    </a:prstGeom>
                    <a:noFill/>
                    <a:ln>
                      <a:noFill/>
                    </a:ln>
                  </pic:spPr>
                </pic:pic>
              </a:graphicData>
            </a:graphic>
          </wp:inline>
        </w:drawing>
      </w:r>
    </w:p>
    <w:bookmarkEnd w:id="516"/>
    <w:p w14:paraId="5CC4038E" w14:textId="5174DA2D" w:rsidR="008271C8" w:rsidRDefault="008271C8" w:rsidP="000C6AE6">
      <w:pPr>
        <w:pStyle w:val="Heading2"/>
        <w:spacing w:line="240" w:lineRule="auto"/>
      </w:pPr>
    </w:p>
    <w:sectPr w:rsidR="008271C8" w:rsidSect="009545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0EE14" w14:textId="77777777" w:rsidR="000310DF" w:rsidRDefault="000310DF">
      <w:pPr>
        <w:spacing w:after="0" w:line="240" w:lineRule="auto"/>
      </w:pPr>
      <w:r>
        <w:separator/>
      </w:r>
    </w:p>
  </w:endnote>
  <w:endnote w:type="continuationSeparator" w:id="0">
    <w:p w14:paraId="09AAEAAA" w14:textId="77777777" w:rsidR="000310DF" w:rsidRDefault="000310DF">
      <w:pPr>
        <w:spacing w:after="0" w:line="240" w:lineRule="auto"/>
      </w:pPr>
      <w:r>
        <w:continuationSeparator/>
      </w:r>
    </w:p>
  </w:endnote>
  <w:endnote w:type="continuationNotice" w:id="1">
    <w:p w14:paraId="7F790F3E" w14:textId="77777777" w:rsidR="000310DF" w:rsidRDefault="00031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4E0023" w:usb1="00770065" w:usb2="00520020" w:usb3="006D006F" w:csb0="006E0061" w:csb1="0042002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EDE7A" w14:textId="709F3EE5" w:rsidR="00CB63F8" w:rsidRDefault="00CB63F8">
    <w:pPr>
      <w:pStyle w:val="Footer"/>
      <w:jc w:val="center"/>
    </w:pPr>
  </w:p>
  <w:p w14:paraId="6E1C6507" w14:textId="77777777" w:rsidR="00EA43A0" w:rsidRDefault="00EA43A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E6534" w14:textId="77777777" w:rsidR="00EA43A0" w:rsidRDefault="00EA43A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5584219"/>
      <w:docPartObj>
        <w:docPartGallery w:val="Page Numbers (Bottom of Page)"/>
        <w:docPartUnique/>
      </w:docPartObj>
    </w:sdtPr>
    <w:sdtEndPr>
      <w:rPr>
        <w:noProof/>
        <w:sz w:val="22"/>
        <w:szCs w:val="22"/>
      </w:rPr>
    </w:sdtEndPr>
    <w:sdtContent>
      <w:p w14:paraId="35C43C01" w14:textId="7DFFAC44" w:rsidR="00EA43A0" w:rsidRPr="009D6BA3" w:rsidRDefault="00EA43A0">
        <w:pPr>
          <w:pStyle w:val="Footer"/>
          <w:jc w:val="center"/>
          <w:rPr>
            <w:sz w:val="22"/>
            <w:szCs w:val="22"/>
          </w:rPr>
        </w:pPr>
        <w:r w:rsidRPr="009D6BA3">
          <w:rPr>
            <w:sz w:val="22"/>
            <w:szCs w:val="22"/>
          </w:rPr>
          <w:fldChar w:fldCharType="begin"/>
        </w:r>
        <w:r w:rsidRPr="009D6BA3">
          <w:rPr>
            <w:sz w:val="22"/>
            <w:szCs w:val="22"/>
          </w:rPr>
          <w:instrText xml:space="preserve"> PAGE   \* MERGEFORMAT </w:instrText>
        </w:r>
        <w:r w:rsidRPr="009D6BA3">
          <w:rPr>
            <w:sz w:val="22"/>
            <w:szCs w:val="22"/>
          </w:rPr>
          <w:fldChar w:fldCharType="separate"/>
        </w:r>
        <w:r w:rsidRPr="009D6BA3">
          <w:rPr>
            <w:noProof/>
            <w:sz w:val="22"/>
            <w:szCs w:val="22"/>
          </w:rPr>
          <w:t>355</w:t>
        </w:r>
        <w:r w:rsidRPr="009D6BA3">
          <w:rPr>
            <w:noProof/>
            <w:sz w:val="22"/>
            <w:szCs w:val="22"/>
          </w:rPr>
          <w:fldChar w:fldCharType="end"/>
        </w:r>
      </w:p>
    </w:sdtContent>
  </w:sdt>
  <w:p w14:paraId="443EBB1E" w14:textId="77777777" w:rsidR="00EA43A0" w:rsidRDefault="00EA4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065849"/>
      <w:docPartObj>
        <w:docPartGallery w:val="Page Numbers (Bottom of Page)"/>
        <w:docPartUnique/>
      </w:docPartObj>
    </w:sdtPr>
    <w:sdtEndPr>
      <w:rPr>
        <w:noProof/>
        <w:sz w:val="18"/>
        <w:szCs w:val="14"/>
      </w:rPr>
    </w:sdtEndPr>
    <w:sdtContent>
      <w:p w14:paraId="6BECF4DA" w14:textId="5A976CD2" w:rsidR="00C8695E" w:rsidRPr="00C8695E" w:rsidRDefault="00C8695E">
        <w:pPr>
          <w:pStyle w:val="Footer"/>
          <w:jc w:val="center"/>
          <w:rPr>
            <w:sz w:val="24"/>
            <w:szCs w:val="20"/>
          </w:rPr>
        </w:pPr>
        <w:r>
          <w:rPr>
            <w:sz w:val="24"/>
            <w:szCs w:val="20"/>
          </w:rPr>
          <w:fldChar w:fldCharType="begin"/>
        </w:r>
        <w:r>
          <w:rPr>
            <w:sz w:val="24"/>
            <w:szCs w:val="20"/>
          </w:rPr>
          <w:instrText xml:space="preserve"> PAGE  \* roman  \* MERGEFORMAT </w:instrText>
        </w:r>
        <w:r>
          <w:rPr>
            <w:sz w:val="24"/>
            <w:szCs w:val="20"/>
          </w:rPr>
          <w:fldChar w:fldCharType="separate"/>
        </w:r>
        <w:r>
          <w:rPr>
            <w:noProof/>
            <w:sz w:val="24"/>
            <w:szCs w:val="20"/>
          </w:rPr>
          <w:t>v</w:t>
        </w:r>
        <w:r>
          <w:rPr>
            <w:sz w:val="24"/>
            <w:szCs w:val="20"/>
          </w:rPr>
          <w:fldChar w:fldCharType="end"/>
        </w:r>
      </w:p>
    </w:sdtContent>
  </w:sdt>
  <w:p w14:paraId="43FECB17" w14:textId="77777777" w:rsidR="00200D05" w:rsidRDefault="00200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11556"/>
      <w:docPartObj>
        <w:docPartGallery w:val="Page Numbers (Bottom of Page)"/>
        <w:docPartUnique/>
      </w:docPartObj>
    </w:sdtPr>
    <w:sdtEndPr>
      <w:rPr>
        <w:noProof/>
      </w:rPr>
    </w:sdtEndPr>
    <w:sdtContent>
      <w:p w14:paraId="172C4224" w14:textId="77777777" w:rsidR="00A50EAF" w:rsidRDefault="00A50EAF">
        <w:pPr>
          <w:pStyle w:val="Footer"/>
          <w:jc w:val="center"/>
        </w:pPr>
        <w:r w:rsidRPr="008D2D40">
          <w:rPr>
            <w:sz w:val="22"/>
            <w:szCs w:val="18"/>
          </w:rPr>
          <w:fldChar w:fldCharType="begin"/>
        </w:r>
        <w:r w:rsidRPr="008D2D40">
          <w:rPr>
            <w:sz w:val="22"/>
            <w:szCs w:val="18"/>
          </w:rPr>
          <w:instrText xml:space="preserve"> PAGE  \* roman  \* MERGEFORMAT </w:instrText>
        </w:r>
        <w:r w:rsidRPr="008D2D40">
          <w:rPr>
            <w:sz w:val="22"/>
            <w:szCs w:val="18"/>
          </w:rPr>
          <w:fldChar w:fldCharType="separate"/>
        </w:r>
        <w:r w:rsidRPr="008D2D40">
          <w:rPr>
            <w:noProof/>
            <w:sz w:val="22"/>
            <w:szCs w:val="18"/>
          </w:rPr>
          <w:t>ii</w:t>
        </w:r>
        <w:r w:rsidRPr="008D2D40">
          <w:rPr>
            <w:sz w:val="22"/>
            <w:szCs w:val="18"/>
          </w:rPr>
          <w:fldChar w:fldCharType="end"/>
        </w:r>
      </w:p>
    </w:sdtContent>
  </w:sdt>
  <w:p w14:paraId="17F21195" w14:textId="77777777" w:rsidR="00A50EAF" w:rsidRDefault="00A50E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756015"/>
      <w:docPartObj>
        <w:docPartGallery w:val="Page Numbers (Bottom of Page)"/>
        <w:docPartUnique/>
      </w:docPartObj>
    </w:sdtPr>
    <w:sdtEndPr>
      <w:rPr>
        <w:noProof/>
      </w:rPr>
    </w:sdtEndPr>
    <w:sdtContent>
      <w:p w14:paraId="225E1B96" w14:textId="26F1F91A" w:rsidR="002A504D" w:rsidRDefault="00CB63F8">
        <w:pPr>
          <w:pStyle w:val="Footer"/>
          <w:jc w:val="center"/>
        </w:pPr>
        <w:r w:rsidRPr="00CB63F8">
          <w:rPr>
            <w:sz w:val="24"/>
            <w:szCs w:val="20"/>
          </w:rPr>
          <w:fldChar w:fldCharType="begin"/>
        </w:r>
        <w:r w:rsidRPr="00CB63F8">
          <w:rPr>
            <w:sz w:val="24"/>
            <w:szCs w:val="20"/>
          </w:rPr>
          <w:instrText xml:space="preserve"> PAGE  \* roman  \* MERGEFORMAT </w:instrText>
        </w:r>
        <w:r w:rsidRPr="00CB63F8">
          <w:rPr>
            <w:sz w:val="24"/>
            <w:szCs w:val="20"/>
          </w:rPr>
          <w:fldChar w:fldCharType="separate"/>
        </w:r>
        <w:r w:rsidRPr="00CB63F8">
          <w:rPr>
            <w:noProof/>
            <w:sz w:val="24"/>
            <w:szCs w:val="20"/>
          </w:rPr>
          <w:t>ii</w:t>
        </w:r>
        <w:r w:rsidRPr="00CB63F8">
          <w:rPr>
            <w:sz w:val="24"/>
            <w:szCs w:val="20"/>
          </w:rPr>
          <w:fldChar w:fldCharType="end"/>
        </w:r>
      </w:p>
    </w:sdtContent>
  </w:sdt>
  <w:p w14:paraId="5035E1FB" w14:textId="77777777" w:rsidR="00095330" w:rsidRDefault="000953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316621"/>
      <w:docPartObj>
        <w:docPartGallery w:val="Page Numbers (Bottom of Page)"/>
        <w:docPartUnique/>
      </w:docPartObj>
    </w:sdtPr>
    <w:sdtEndPr>
      <w:rPr>
        <w:noProof/>
        <w:sz w:val="20"/>
        <w:szCs w:val="20"/>
      </w:rPr>
    </w:sdtEndPr>
    <w:sdtContent>
      <w:p w14:paraId="276EF2AB" w14:textId="77777777" w:rsidR="00CB63F8" w:rsidRPr="008D2D40" w:rsidRDefault="00CB63F8">
        <w:pPr>
          <w:pStyle w:val="Footer"/>
          <w:jc w:val="center"/>
          <w:rPr>
            <w:sz w:val="30"/>
            <w:szCs w:val="28"/>
          </w:rPr>
        </w:pPr>
        <w:r w:rsidRPr="008D2D40">
          <w:rPr>
            <w:sz w:val="22"/>
            <w:szCs w:val="18"/>
          </w:rPr>
          <w:fldChar w:fldCharType="begin"/>
        </w:r>
        <w:r w:rsidRPr="008D2D40">
          <w:rPr>
            <w:sz w:val="22"/>
            <w:szCs w:val="18"/>
          </w:rPr>
          <w:instrText xml:space="preserve"> PAGE   \* MERGEFORMAT </w:instrText>
        </w:r>
        <w:r w:rsidRPr="008D2D40">
          <w:rPr>
            <w:sz w:val="22"/>
            <w:szCs w:val="18"/>
          </w:rPr>
          <w:fldChar w:fldCharType="separate"/>
        </w:r>
        <w:r w:rsidRPr="008D2D40">
          <w:rPr>
            <w:noProof/>
            <w:sz w:val="22"/>
            <w:szCs w:val="18"/>
          </w:rPr>
          <w:t>2</w:t>
        </w:r>
        <w:r w:rsidRPr="008D2D40">
          <w:rPr>
            <w:noProof/>
            <w:sz w:val="22"/>
            <w:szCs w:val="18"/>
          </w:rPr>
          <w:fldChar w:fldCharType="end"/>
        </w:r>
      </w:p>
    </w:sdtContent>
  </w:sdt>
  <w:p w14:paraId="66605CEA" w14:textId="77777777" w:rsidR="00CB63F8" w:rsidRDefault="00CB63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683790"/>
      <w:docPartObj>
        <w:docPartGallery w:val="Page Numbers (Bottom of Page)"/>
        <w:docPartUnique/>
      </w:docPartObj>
    </w:sdtPr>
    <w:sdtEndPr>
      <w:rPr>
        <w:noProof/>
        <w:sz w:val="22"/>
        <w:szCs w:val="18"/>
      </w:rPr>
    </w:sdtEndPr>
    <w:sdtContent>
      <w:p w14:paraId="5D60BCEB" w14:textId="21FB2250" w:rsidR="005C0040" w:rsidRPr="006874D7" w:rsidRDefault="005C0040">
        <w:pPr>
          <w:pStyle w:val="Footer"/>
          <w:jc w:val="center"/>
          <w:rPr>
            <w:sz w:val="22"/>
            <w:szCs w:val="18"/>
          </w:rPr>
        </w:pPr>
        <w:r w:rsidRPr="006874D7">
          <w:rPr>
            <w:sz w:val="22"/>
            <w:szCs w:val="18"/>
          </w:rPr>
          <w:fldChar w:fldCharType="begin"/>
        </w:r>
        <w:r w:rsidRPr="006874D7">
          <w:rPr>
            <w:sz w:val="22"/>
            <w:szCs w:val="18"/>
          </w:rPr>
          <w:instrText xml:space="preserve"> PAGE   \* MERGEFORMAT </w:instrText>
        </w:r>
        <w:r w:rsidRPr="006874D7">
          <w:rPr>
            <w:sz w:val="22"/>
            <w:szCs w:val="18"/>
          </w:rPr>
          <w:fldChar w:fldCharType="separate"/>
        </w:r>
        <w:r w:rsidRPr="006874D7">
          <w:rPr>
            <w:noProof/>
            <w:sz w:val="22"/>
            <w:szCs w:val="18"/>
          </w:rPr>
          <w:t>2</w:t>
        </w:r>
        <w:r w:rsidRPr="006874D7">
          <w:rPr>
            <w:noProof/>
            <w:sz w:val="22"/>
            <w:szCs w:val="18"/>
          </w:rPr>
          <w:fldChar w:fldCharType="end"/>
        </w:r>
      </w:p>
    </w:sdtContent>
  </w:sdt>
  <w:p w14:paraId="32361756" w14:textId="77777777" w:rsidR="00095330" w:rsidRDefault="0009533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144731"/>
      <w:docPartObj>
        <w:docPartGallery w:val="Page Numbers (Bottom of Page)"/>
        <w:docPartUnique/>
      </w:docPartObj>
    </w:sdtPr>
    <w:sdtEndPr>
      <w:rPr>
        <w:noProof/>
        <w:sz w:val="22"/>
        <w:szCs w:val="18"/>
      </w:rPr>
    </w:sdtEndPr>
    <w:sdtContent>
      <w:p w14:paraId="4406347C" w14:textId="5DA97366" w:rsidR="00EA43A0" w:rsidRPr="009A23ED" w:rsidRDefault="00EA43A0">
        <w:pPr>
          <w:pStyle w:val="Footer"/>
          <w:jc w:val="center"/>
          <w:rPr>
            <w:sz w:val="22"/>
            <w:szCs w:val="18"/>
          </w:rPr>
        </w:pPr>
        <w:r w:rsidRPr="009A23ED">
          <w:rPr>
            <w:sz w:val="22"/>
            <w:szCs w:val="18"/>
          </w:rPr>
          <w:fldChar w:fldCharType="begin"/>
        </w:r>
        <w:r w:rsidRPr="009A23ED">
          <w:rPr>
            <w:sz w:val="22"/>
            <w:szCs w:val="18"/>
          </w:rPr>
          <w:instrText xml:space="preserve"> PAGE   \* MERGEFORMAT </w:instrText>
        </w:r>
        <w:r w:rsidRPr="009A23ED">
          <w:rPr>
            <w:sz w:val="22"/>
            <w:szCs w:val="18"/>
          </w:rPr>
          <w:fldChar w:fldCharType="separate"/>
        </w:r>
        <w:r>
          <w:rPr>
            <w:noProof/>
            <w:sz w:val="22"/>
            <w:szCs w:val="18"/>
          </w:rPr>
          <w:t>222</w:t>
        </w:r>
        <w:r w:rsidRPr="009A23ED">
          <w:rPr>
            <w:noProof/>
            <w:sz w:val="22"/>
            <w:szCs w:val="18"/>
          </w:rPr>
          <w:fldChar w:fldCharType="end"/>
        </w:r>
      </w:p>
    </w:sdtContent>
  </w:sdt>
  <w:p w14:paraId="3D185D14" w14:textId="77777777" w:rsidR="00EA43A0" w:rsidRDefault="00EA43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3D0BF" w14:textId="77777777" w:rsidR="00EA43A0" w:rsidRDefault="00EA43A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709841"/>
      <w:docPartObj>
        <w:docPartGallery w:val="Page Numbers (Bottom of Page)"/>
        <w:docPartUnique/>
      </w:docPartObj>
    </w:sdtPr>
    <w:sdtEndPr>
      <w:rPr>
        <w:noProof/>
        <w:sz w:val="22"/>
        <w:szCs w:val="22"/>
      </w:rPr>
    </w:sdtEndPr>
    <w:sdtContent>
      <w:p w14:paraId="33E2AAA9" w14:textId="6940C3EF" w:rsidR="00EA43A0" w:rsidRPr="00F36B89" w:rsidRDefault="00EA43A0">
        <w:pPr>
          <w:pStyle w:val="Footer"/>
          <w:jc w:val="center"/>
          <w:rPr>
            <w:sz w:val="24"/>
            <w:szCs w:val="24"/>
          </w:rPr>
        </w:pPr>
        <w:r w:rsidRPr="00ED6141">
          <w:rPr>
            <w:sz w:val="22"/>
            <w:szCs w:val="22"/>
          </w:rPr>
          <w:fldChar w:fldCharType="begin"/>
        </w:r>
        <w:r w:rsidRPr="00ED6141">
          <w:rPr>
            <w:sz w:val="22"/>
            <w:szCs w:val="22"/>
          </w:rPr>
          <w:instrText xml:space="preserve"> PAGE   \* MERGEFORMAT </w:instrText>
        </w:r>
        <w:r w:rsidRPr="00ED6141">
          <w:rPr>
            <w:sz w:val="22"/>
            <w:szCs w:val="22"/>
          </w:rPr>
          <w:fldChar w:fldCharType="separate"/>
        </w:r>
        <w:r w:rsidRPr="00ED6141">
          <w:rPr>
            <w:noProof/>
            <w:sz w:val="22"/>
            <w:szCs w:val="22"/>
          </w:rPr>
          <w:t>280</w:t>
        </w:r>
        <w:r w:rsidRPr="00ED6141">
          <w:rPr>
            <w:noProof/>
            <w:sz w:val="22"/>
            <w:szCs w:val="22"/>
          </w:rPr>
          <w:fldChar w:fldCharType="end"/>
        </w:r>
      </w:p>
    </w:sdtContent>
  </w:sdt>
  <w:p w14:paraId="19B9EEF0" w14:textId="77777777" w:rsidR="00EA43A0" w:rsidRDefault="00EA4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97FA6" w14:textId="77777777" w:rsidR="000310DF" w:rsidRDefault="000310DF">
      <w:pPr>
        <w:spacing w:after="0" w:line="240" w:lineRule="auto"/>
      </w:pPr>
      <w:r>
        <w:separator/>
      </w:r>
    </w:p>
  </w:footnote>
  <w:footnote w:type="continuationSeparator" w:id="0">
    <w:p w14:paraId="150DE94F" w14:textId="77777777" w:rsidR="000310DF" w:rsidRDefault="000310DF">
      <w:pPr>
        <w:spacing w:after="0" w:line="240" w:lineRule="auto"/>
      </w:pPr>
      <w:r>
        <w:continuationSeparator/>
      </w:r>
    </w:p>
  </w:footnote>
  <w:footnote w:type="continuationNotice" w:id="1">
    <w:p w14:paraId="3F5465F3" w14:textId="77777777" w:rsidR="000310DF" w:rsidRDefault="000310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747599"/>
      <w:docPartObj>
        <w:docPartGallery w:val="Page Numbers (Top of Page)"/>
        <w:docPartUnique/>
      </w:docPartObj>
    </w:sdtPr>
    <w:sdtEndPr>
      <w:rPr>
        <w:noProof/>
      </w:rPr>
    </w:sdtEndPr>
    <w:sdtContent>
      <w:p w14:paraId="7210F2CE" w14:textId="2A8A7B2C" w:rsidR="00CB63F8" w:rsidRDefault="000310DF">
        <w:pPr>
          <w:pStyle w:val="Header"/>
          <w:jc w:val="right"/>
        </w:pPr>
      </w:p>
    </w:sdtContent>
  </w:sdt>
  <w:p w14:paraId="2FFE1A65" w14:textId="77777777" w:rsidR="00EA43A0" w:rsidRDefault="00EA43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9FB84" w14:textId="77777777" w:rsidR="00200D05" w:rsidRDefault="00200D05">
    <w:pPr>
      <w:pStyle w:val="Header"/>
      <w:jc w:val="center"/>
    </w:pPr>
  </w:p>
  <w:p w14:paraId="5E52F235" w14:textId="77777777" w:rsidR="00200D05" w:rsidRDefault="00200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6A351" w14:textId="77777777" w:rsidR="00EA43A0" w:rsidRDefault="00EA43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61C4B" w14:textId="77777777" w:rsidR="00EA43A0" w:rsidRDefault="00EA43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B076C" w14:textId="77777777" w:rsidR="00EA43A0" w:rsidRDefault="00EA4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F" style="width:11.25pt;height:10.5pt;visibility:visible" o:bullet="t">
        <v:imagedata r:id="rId1" o:title="F"/>
      </v:shape>
    </w:pict>
  </w:numPicBullet>
  <w:abstractNum w:abstractNumId="0" w15:restartNumberingAfterBreak="0">
    <w:nsid w:val="00D76B2C"/>
    <w:multiLevelType w:val="hybridMultilevel"/>
    <w:tmpl w:val="6B285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AA3608"/>
    <w:multiLevelType w:val="hybridMultilevel"/>
    <w:tmpl w:val="01AC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F25AF"/>
    <w:multiLevelType w:val="hybridMultilevel"/>
    <w:tmpl w:val="0BC4DEE4"/>
    <w:lvl w:ilvl="0" w:tplc="E104D6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63C00"/>
    <w:multiLevelType w:val="multilevel"/>
    <w:tmpl w:val="08980840"/>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7474600"/>
    <w:multiLevelType w:val="multilevel"/>
    <w:tmpl w:val="81D8A98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7704B24"/>
    <w:multiLevelType w:val="hybridMultilevel"/>
    <w:tmpl w:val="CCB4A6A0"/>
    <w:lvl w:ilvl="0" w:tplc="E54E9898">
      <w:start w:val="1"/>
      <w:numFmt w:val="bullet"/>
      <w:lvlText w:val=""/>
      <w:lvlPicBulletId w:val="0"/>
      <w:lvlJc w:val="left"/>
      <w:pPr>
        <w:tabs>
          <w:tab w:val="num" w:pos="720"/>
        </w:tabs>
        <w:ind w:left="720" w:hanging="360"/>
      </w:pPr>
      <w:rPr>
        <w:rFonts w:ascii="Symbol" w:hAnsi="Symbol" w:hint="default"/>
      </w:rPr>
    </w:lvl>
    <w:lvl w:ilvl="1" w:tplc="8F7888D4" w:tentative="1">
      <w:start w:val="1"/>
      <w:numFmt w:val="bullet"/>
      <w:lvlText w:val=""/>
      <w:lvlJc w:val="left"/>
      <w:pPr>
        <w:tabs>
          <w:tab w:val="num" w:pos="1440"/>
        </w:tabs>
        <w:ind w:left="1440" w:hanging="360"/>
      </w:pPr>
      <w:rPr>
        <w:rFonts w:ascii="Symbol" w:hAnsi="Symbol" w:hint="default"/>
      </w:rPr>
    </w:lvl>
    <w:lvl w:ilvl="2" w:tplc="B7862638" w:tentative="1">
      <w:start w:val="1"/>
      <w:numFmt w:val="bullet"/>
      <w:lvlText w:val=""/>
      <w:lvlJc w:val="left"/>
      <w:pPr>
        <w:tabs>
          <w:tab w:val="num" w:pos="2160"/>
        </w:tabs>
        <w:ind w:left="2160" w:hanging="360"/>
      </w:pPr>
      <w:rPr>
        <w:rFonts w:ascii="Symbol" w:hAnsi="Symbol" w:hint="default"/>
      </w:rPr>
    </w:lvl>
    <w:lvl w:ilvl="3" w:tplc="91DE90D4" w:tentative="1">
      <w:start w:val="1"/>
      <w:numFmt w:val="bullet"/>
      <w:lvlText w:val=""/>
      <w:lvlJc w:val="left"/>
      <w:pPr>
        <w:tabs>
          <w:tab w:val="num" w:pos="2880"/>
        </w:tabs>
        <w:ind w:left="2880" w:hanging="360"/>
      </w:pPr>
      <w:rPr>
        <w:rFonts w:ascii="Symbol" w:hAnsi="Symbol" w:hint="default"/>
      </w:rPr>
    </w:lvl>
    <w:lvl w:ilvl="4" w:tplc="BFDC0226" w:tentative="1">
      <w:start w:val="1"/>
      <w:numFmt w:val="bullet"/>
      <w:lvlText w:val=""/>
      <w:lvlJc w:val="left"/>
      <w:pPr>
        <w:tabs>
          <w:tab w:val="num" w:pos="3600"/>
        </w:tabs>
        <w:ind w:left="3600" w:hanging="360"/>
      </w:pPr>
      <w:rPr>
        <w:rFonts w:ascii="Symbol" w:hAnsi="Symbol" w:hint="default"/>
      </w:rPr>
    </w:lvl>
    <w:lvl w:ilvl="5" w:tplc="DCF8D236" w:tentative="1">
      <w:start w:val="1"/>
      <w:numFmt w:val="bullet"/>
      <w:lvlText w:val=""/>
      <w:lvlJc w:val="left"/>
      <w:pPr>
        <w:tabs>
          <w:tab w:val="num" w:pos="4320"/>
        </w:tabs>
        <w:ind w:left="4320" w:hanging="360"/>
      </w:pPr>
      <w:rPr>
        <w:rFonts w:ascii="Symbol" w:hAnsi="Symbol" w:hint="default"/>
      </w:rPr>
    </w:lvl>
    <w:lvl w:ilvl="6" w:tplc="EA1020DC" w:tentative="1">
      <w:start w:val="1"/>
      <w:numFmt w:val="bullet"/>
      <w:lvlText w:val=""/>
      <w:lvlJc w:val="left"/>
      <w:pPr>
        <w:tabs>
          <w:tab w:val="num" w:pos="5040"/>
        </w:tabs>
        <w:ind w:left="5040" w:hanging="360"/>
      </w:pPr>
      <w:rPr>
        <w:rFonts w:ascii="Symbol" w:hAnsi="Symbol" w:hint="default"/>
      </w:rPr>
    </w:lvl>
    <w:lvl w:ilvl="7" w:tplc="DB90A826" w:tentative="1">
      <w:start w:val="1"/>
      <w:numFmt w:val="bullet"/>
      <w:lvlText w:val=""/>
      <w:lvlJc w:val="left"/>
      <w:pPr>
        <w:tabs>
          <w:tab w:val="num" w:pos="5760"/>
        </w:tabs>
        <w:ind w:left="5760" w:hanging="360"/>
      </w:pPr>
      <w:rPr>
        <w:rFonts w:ascii="Symbol" w:hAnsi="Symbol" w:hint="default"/>
      </w:rPr>
    </w:lvl>
    <w:lvl w:ilvl="8" w:tplc="24FAE47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7B37A8"/>
    <w:multiLevelType w:val="hybridMultilevel"/>
    <w:tmpl w:val="D7AEE51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956C2"/>
    <w:multiLevelType w:val="hybridMultilevel"/>
    <w:tmpl w:val="44E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6A2"/>
    <w:multiLevelType w:val="hybridMultilevel"/>
    <w:tmpl w:val="17546E9E"/>
    <w:lvl w:ilvl="0" w:tplc="BB009ADA">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34DB4"/>
    <w:multiLevelType w:val="hybridMultilevel"/>
    <w:tmpl w:val="7D18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46205"/>
    <w:multiLevelType w:val="hybridMultilevel"/>
    <w:tmpl w:val="5A9C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718E9"/>
    <w:multiLevelType w:val="hybridMultilevel"/>
    <w:tmpl w:val="A6605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FF7C84"/>
    <w:multiLevelType w:val="multilevel"/>
    <w:tmpl w:val="3998C95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B400D3"/>
    <w:multiLevelType w:val="hybridMultilevel"/>
    <w:tmpl w:val="818C7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4912D4"/>
    <w:multiLevelType w:val="multilevel"/>
    <w:tmpl w:val="ADA2C6F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625FA7"/>
    <w:multiLevelType w:val="hybridMultilevel"/>
    <w:tmpl w:val="C5CCC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FF009F"/>
    <w:multiLevelType w:val="multilevel"/>
    <w:tmpl w:val="6EF2C3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B71302C"/>
    <w:multiLevelType w:val="hybridMultilevel"/>
    <w:tmpl w:val="6358B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3832B6"/>
    <w:multiLevelType w:val="hybridMultilevel"/>
    <w:tmpl w:val="37E8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D37ED"/>
    <w:multiLevelType w:val="hybridMultilevel"/>
    <w:tmpl w:val="8D10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25F88"/>
    <w:multiLevelType w:val="hybridMultilevel"/>
    <w:tmpl w:val="5610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2A4179"/>
    <w:multiLevelType w:val="hybridMultilevel"/>
    <w:tmpl w:val="DB642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247AE"/>
    <w:multiLevelType w:val="multilevel"/>
    <w:tmpl w:val="4F5E50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BC6ED6"/>
    <w:multiLevelType w:val="multilevel"/>
    <w:tmpl w:val="4F5E50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B16550"/>
    <w:multiLevelType w:val="multilevel"/>
    <w:tmpl w:val="3B9C3FA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2F84B59"/>
    <w:multiLevelType w:val="hybridMultilevel"/>
    <w:tmpl w:val="A4ACC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F96161"/>
    <w:multiLevelType w:val="multilevel"/>
    <w:tmpl w:val="4F5E50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981C23"/>
    <w:multiLevelType w:val="hybridMultilevel"/>
    <w:tmpl w:val="61CE7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D20F8A"/>
    <w:multiLevelType w:val="hybridMultilevel"/>
    <w:tmpl w:val="DA9E57B6"/>
    <w:lvl w:ilvl="0" w:tplc="2542E00C">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732559"/>
    <w:multiLevelType w:val="multilevel"/>
    <w:tmpl w:val="E31437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3C2D07"/>
    <w:multiLevelType w:val="hybridMultilevel"/>
    <w:tmpl w:val="58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A7FB4"/>
    <w:multiLevelType w:val="multilevel"/>
    <w:tmpl w:val="038EA7C4"/>
    <w:lvl w:ilvl="0">
      <w:start w:val="3"/>
      <w:numFmt w:val="decimal"/>
      <w:lvlText w:val="%1"/>
      <w:lvlJc w:val="left"/>
      <w:pPr>
        <w:ind w:left="660" w:hanging="660"/>
      </w:pPr>
      <w:rPr>
        <w:rFonts w:hint="default"/>
      </w:rPr>
    </w:lvl>
    <w:lvl w:ilvl="1">
      <w:start w:val="5"/>
      <w:numFmt w:val="decimal"/>
      <w:lvlText w:val="%1.%2"/>
      <w:lvlJc w:val="left"/>
      <w:pPr>
        <w:ind w:left="1140" w:hanging="6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623B337D"/>
    <w:multiLevelType w:val="hybridMultilevel"/>
    <w:tmpl w:val="1FB0F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893E05"/>
    <w:multiLevelType w:val="multilevel"/>
    <w:tmpl w:val="6EF2C3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8AB303D"/>
    <w:multiLevelType w:val="hybridMultilevel"/>
    <w:tmpl w:val="90022E12"/>
    <w:lvl w:ilvl="0" w:tplc="24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992C14"/>
    <w:multiLevelType w:val="hybridMultilevel"/>
    <w:tmpl w:val="5960160C"/>
    <w:lvl w:ilvl="0" w:tplc="7D968394">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9"/>
  </w:num>
  <w:num w:numId="3">
    <w:abstractNumId w:val="1"/>
  </w:num>
  <w:num w:numId="4">
    <w:abstractNumId w:val="8"/>
  </w:num>
  <w:num w:numId="5">
    <w:abstractNumId w:val="12"/>
  </w:num>
  <w:num w:numId="6">
    <w:abstractNumId w:val="10"/>
  </w:num>
  <w:num w:numId="7">
    <w:abstractNumId w:val="18"/>
  </w:num>
  <w:num w:numId="8">
    <w:abstractNumId w:val="9"/>
  </w:num>
  <w:num w:numId="9">
    <w:abstractNumId w:val="28"/>
  </w:num>
  <w:num w:numId="10">
    <w:abstractNumId w:val="14"/>
  </w:num>
  <w:num w:numId="11">
    <w:abstractNumId w:val="21"/>
  </w:num>
  <w:num w:numId="12">
    <w:abstractNumId w:val="22"/>
  </w:num>
  <w:num w:numId="13">
    <w:abstractNumId w:val="11"/>
  </w:num>
  <w:num w:numId="14">
    <w:abstractNumId w:val="26"/>
  </w:num>
  <w:num w:numId="15">
    <w:abstractNumId w:val="30"/>
  </w:num>
  <w:num w:numId="16">
    <w:abstractNumId w:val="25"/>
  </w:num>
  <w:num w:numId="17">
    <w:abstractNumId w:val="15"/>
  </w:num>
  <w:num w:numId="18">
    <w:abstractNumId w:val="19"/>
  </w:num>
  <w:num w:numId="19">
    <w:abstractNumId w:val="17"/>
  </w:num>
  <w:num w:numId="20">
    <w:abstractNumId w:val="0"/>
  </w:num>
  <w:num w:numId="21">
    <w:abstractNumId w:val="13"/>
  </w:num>
  <w:num w:numId="22">
    <w:abstractNumId w:val="32"/>
  </w:num>
  <w:num w:numId="23">
    <w:abstractNumId w:val="5"/>
  </w:num>
  <w:num w:numId="24">
    <w:abstractNumId w:val="4"/>
  </w:num>
  <w:num w:numId="25">
    <w:abstractNumId w:val="2"/>
  </w:num>
  <w:num w:numId="26">
    <w:abstractNumId w:val="27"/>
  </w:num>
  <w:num w:numId="27">
    <w:abstractNumId w:val="23"/>
  </w:num>
  <w:num w:numId="28">
    <w:abstractNumId w:val="24"/>
  </w:num>
  <w:num w:numId="29">
    <w:abstractNumId w:val="31"/>
  </w:num>
  <w:num w:numId="30">
    <w:abstractNumId w:val="7"/>
  </w:num>
  <w:num w:numId="31">
    <w:abstractNumId w:val="35"/>
  </w:num>
  <w:num w:numId="32">
    <w:abstractNumId w:val="34"/>
  </w:num>
  <w:num w:numId="33">
    <w:abstractNumId w:val="6"/>
  </w:num>
  <w:num w:numId="34">
    <w:abstractNumId w:val="33"/>
  </w:num>
  <w:num w:numId="35">
    <w:abstractNumId w:val="20"/>
  </w:num>
  <w:num w:numId="3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s-CO" w:vendorID="64" w:dllVersion="0" w:nlCheck="1" w:checkStyle="0"/>
  <w:activeWritingStyle w:appName="MSWord" w:lang="es-CO" w:vendorID="64" w:dllVersion="6" w:nlCheck="1" w:checkStyle="0"/>
  <w:activeWritingStyle w:appName="MSWord" w:lang="en-GB" w:vendorID="64" w:dllVersion="6" w:nlCheck="1" w:checkStyle="0"/>
  <w:activeWritingStyle w:appName="MSWord" w:lang="en-GB" w:vendorID="64" w:dllVersion="0"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S1NDUzNTC2NDI2MTVV0lEKTi0uzszPAykwNDCvBQBKPPvBLgAAAA=="/>
  </w:docVars>
  <w:rsids>
    <w:rsidRoot w:val="003E4375"/>
    <w:rsid w:val="0000019B"/>
    <w:rsid w:val="00001523"/>
    <w:rsid w:val="00001547"/>
    <w:rsid w:val="00002268"/>
    <w:rsid w:val="0000236D"/>
    <w:rsid w:val="00003EA1"/>
    <w:rsid w:val="0000489F"/>
    <w:rsid w:val="000049B8"/>
    <w:rsid w:val="00005B5F"/>
    <w:rsid w:val="000060DE"/>
    <w:rsid w:val="000061C1"/>
    <w:rsid w:val="00006843"/>
    <w:rsid w:val="00006E8B"/>
    <w:rsid w:val="00007730"/>
    <w:rsid w:val="00007B37"/>
    <w:rsid w:val="00011652"/>
    <w:rsid w:val="000116E0"/>
    <w:rsid w:val="00012B66"/>
    <w:rsid w:val="00013046"/>
    <w:rsid w:val="0001405A"/>
    <w:rsid w:val="00014928"/>
    <w:rsid w:val="00014ADE"/>
    <w:rsid w:val="000151F6"/>
    <w:rsid w:val="00015413"/>
    <w:rsid w:val="000156A9"/>
    <w:rsid w:val="00015DA9"/>
    <w:rsid w:val="00015DDB"/>
    <w:rsid w:val="00016744"/>
    <w:rsid w:val="00017F73"/>
    <w:rsid w:val="00020077"/>
    <w:rsid w:val="00020123"/>
    <w:rsid w:val="00020408"/>
    <w:rsid w:val="00020762"/>
    <w:rsid w:val="00021166"/>
    <w:rsid w:val="0002153B"/>
    <w:rsid w:val="000225CC"/>
    <w:rsid w:val="0002274F"/>
    <w:rsid w:val="000228E6"/>
    <w:rsid w:val="000231B6"/>
    <w:rsid w:val="000239E6"/>
    <w:rsid w:val="00023EDE"/>
    <w:rsid w:val="00024187"/>
    <w:rsid w:val="000247BA"/>
    <w:rsid w:val="00024ECE"/>
    <w:rsid w:val="000257FE"/>
    <w:rsid w:val="00025FD3"/>
    <w:rsid w:val="00026024"/>
    <w:rsid w:val="0002602B"/>
    <w:rsid w:val="000260D7"/>
    <w:rsid w:val="0002657F"/>
    <w:rsid w:val="00026E24"/>
    <w:rsid w:val="00026E72"/>
    <w:rsid w:val="00027039"/>
    <w:rsid w:val="00027044"/>
    <w:rsid w:val="0002710B"/>
    <w:rsid w:val="00027397"/>
    <w:rsid w:val="0002766D"/>
    <w:rsid w:val="0003080F"/>
    <w:rsid w:val="00030B85"/>
    <w:rsid w:val="000310DF"/>
    <w:rsid w:val="000316FD"/>
    <w:rsid w:val="000319C2"/>
    <w:rsid w:val="00031BDD"/>
    <w:rsid w:val="0003218C"/>
    <w:rsid w:val="0003222A"/>
    <w:rsid w:val="000326AF"/>
    <w:rsid w:val="00032901"/>
    <w:rsid w:val="000331F8"/>
    <w:rsid w:val="00033D03"/>
    <w:rsid w:val="00033E21"/>
    <w:rsid w:val="00034260"/>
    <w:rsid w:val="00034309"/>
    <w:rsid w:val="000344AA"/>
    <w:rsid w:val="000346BE"/>
    <w:rsid w:val="00035619"/>
    <w:rsid w:val="00035D7D"/>
    <w:rsid w:val="00035E40"/>
    <w:rsid w:val="00037708"/>
    <w:rsid w:val="00040236"/>
    <w:rsid w:val="000404D9"/>
    <w:rsid w:val="000405B3"/>
    <w:rsid w:val="000408B0"/>
    <w:rsid w:val="00041AAA"/>
    <w:rsid w:val="00042A2F"/>
    <w:rsid w:val="00042A9A"/>
    <w:rsid w:val="00043A07"/>
    <w:rsid w:val="00043E26"/>
    <w:rsid w:val="0004459E"/>
    <w:rsid w:val="00044BED"/>
    <w:rsid w:val="00044D23"/>
    <w:rsid w:val="00045641"/>
    <w:rsid w:val="00045B7D"/>
    <w:rsid w:val="00045E12"/>
    <w:rsid w:val="0005010E"/>
    <w:rsid w:val="0005095C"/>
    <w:rsid w:val="000509F0"/>
    <w:rsid w:val="00050CD7"/>
    <w:rsid w:val="00050E14"/>
    <w:rsid w:val="00051767"/>
    <w:rsid w:val="000523E9"/>
    <w:rsid w:val="0005314F"/>
    <w:rsid w:val="00053B55"/>
    <w:rsid w:val="00054962"/>
    <w:rsid w:val="00054B8B"/>
    <w:rsid w:val="00054BB7"/>
    <w:rsid w:val="00055097"/>
    <w:rsid w:val="00055110"/>
    <w:rsid w:val="000556D6"/>
    <w:rsid w:val="00055795"/>
    <w:rsid w:val="00055B7A"/>
    <w:rsid w:val="00055E58"/>
    <w:rsid w:val="00056589"/>
    <w:rsid w:val="0005662D"/>
    <w:rsid w:val="000567DA"/>
    <w:rsid w:val="00056BB2"/>
    <w:rsid w:val="00056F3E"/>
    <w:rsid w:val="000579F5"/>
    <w:rsid w:val="00057B22"/>
    <w:rsid w:val="000602A2"/>
    <w:rsid w:val="00060AF5"/>
    <w:rsid w:val="00061539"/>
    <w:rsid w:val="00061C49"/>
    <w:rsid w:val="000630FC"/>
    <w:rsid w:val="00063421"/>
    <w:rsid w:val="0006429B"/>
    <w:rsid w:val="00064BD1"/>
    <w:rsid w:val="00064D86"/>
    <w:rsid w:val="00065D06"/>
    <w:rsid w:val="00065DAB"/>
    <w:rsid w:val="0006611A"/>
    <w:rsid w:val="00067743"/>
    <w:rsid w:val="000677D7"/>
    <w:rsid w:val="0006799E"/>
    <w:rsid w:val="000701EA"/>
    <w:rsid w:val="000706D7"/>
    <w:rsid w:val="0007122A"/>
    <w:rsid w:val="00071328"/>
    <w:rsid w:val="0007151A"/>
    <w:rsid w:val="00071C7F"/>
    <w:rsid w:val="00072134"/>
    <w:rsid w:val="0007213B"/>
    <w:rsid w:val="0007241E"/>
    <w:rsid w:val="00072D02"/>
    <w:rsid w:val="000732DA"/>
    <w:rsid w:val="0007346A"/>
    <w:rsid w:val="000738E9"/>
    <w:rsid w:val="000759B9"/>
    <w:rsid w:val="0007756B"/>
    <w:rsid w:val="00077583"/>
    <w:rsid w:val="000804E3"/>
    <w:rsid w:val="00080827"/>
    <w:rsid w:val="00080C69"/>
    <w:rsid w:val="00081170"/>
    <w:rsid w:val="00081857"/>
    <w:rsid w:val="000818A6"/>
    <w:rsid w:val="00081C89"/>
    <w:rsid w:val="000826C9"/>
    <w:rsid w:val="00082747"/>
    <w:rsid w:val="000835C0"/>
    <w:rsid w:val="00083825"/>
    <w:rsid w:val="00083A80"/>
    <w:rsid w:val="00083B0D"/>
    <w:rsid w:val="00083B15"/>
    <w:rsid w:val="000841AB"/>
    <w:rsid w:val="0008427C"/>
    <w:rsid w:val="000847D7"/>
    <w:rsid w:val="00084D3B"/>
    <w:rsid w:val="00085942"/>
    <w:rsid w:val="00085BDB"/>
    <w:rsid w:val="00085C40"/>
    <w:rsid w:val="00086799"/>
    <w:rsid w:val="00086DBD"/>
    <w:rsid w:val="00086EE1"/>
    <w:rsid w:val="000872C2"/>
    <w:rsid w:val="000872D2"/>
    <w:rsid w:val="000878A7"/>
    <w:rsid w:val="00087FE9"/>
    <w:rsid w:val="00090255"/>
    <w:rsid w:val="000908B8"/>
    <w:rsid w:val="00091100"/>
    <w:rsid w:val="00091381"/>
    <w:rsid w:val="00091B2C"/>
    <w:rsid w:val="00091CC0"/>
    <w:rsid w:val="00091F0C"/>
    <w:rsid w:val="000922BC"/>
    <w:rsid w:val="000926BB"/>
    <w:rsid w:val="00092866"/>
    <w:rsid w:val="00093366"/>
    <w:rsid w:val="00093378"/>
    <w:rsid w:val="0009369C"/>
    <w:rsid w:val="0009385B"/>
    <w:rsid w:val="0009452B"/>
    <w:rsid w:val="000945C4"/>
    <w:rsid w:val="00094AC6"/>
    <w:rsid w:val="00095330"/>
    <w:rsid w:val="00095FFE"/>
    <w:rsid w:val="00096004"/>
    <w:rsid w:val="00096E05"/>
    <w:rsid w:val="00097058"/>
    <w:rsid w:val="000970F3"/>
    <w:rsid w:val="00097798"/>
    <w:rsid w:val="000A05CE"/>
    <w:rsid w:val="000A06EE"/>
    <w:rsid w:val="000A0843"/>
    <w:rsid w:val="000A0D7F"/>
    <w:rsid w:val="000A104A"/>
    <w:rsid w:val="000A159E"/>
    <w:rsid w:val="000A16C0"/>
    <w:rsid w:val="000A1A21"/>
    <w:rsid w:val="000A1B39"/>
    <w:rsid w:val="000A1F20"/>
    <w:rsid w:val="000A2D73"/>
    <w:rsid w:val="000A3384"/>
    <w:rsid w:val="000A38D5"/>
    <w:rsid w:val="000A3AB2"/>
    <w:rsid w:val="000A3B14"/>
    <w:rsid w:val="000A3B57"/>
    <w:rsid w:val="000A44DF"/>
    <w:rsid w:val="000A48C6"/>
    <w:rsid w:val="000A4A3D"/>
    <w:rsid w:val="000A4DA2"/>
    <w:rsid w:val="000A4F8F"/>
    <w:rsid w:val="000A5512"/>
    <w:rsid w:val="000A5841"/>
    <w:rsid w:val="000A5BC0"/>
    <w:rsid w:val="000A615C"/>
    <w:rsid w:val="000A6E35"/>
    <w:rsid w:val="000A7DC8"/>
    <w:rsid w:val="000A7FA5"/>
    <w:rsid w:val="000B0943"/>
    <w:rsid w:val="000B0A93"/>
    <w:rsid w:val="000B0ADA"/>
    <w:rsid w:val="000B0B24"/>
    <w:rsid w:val="000B11B5"/>
    <w:rsid w:val="000B1CA6"/>
    <w:rsid w:val="000B21D3"/>
    <w:rsid w:val="000B3071"/>
    <w:rsid w:val="000B3C3C"/>
    <w:rsid w:val="000B47A3"/>
    <w:rsid w:val="000B5357"/>
    <w:rsid w:val="000B5446"/>
    <w:rsid w:val="000B581B"/>
    <w:rsid w:val="000B5DC9"/>
    <w:rsid w:val="000B5F0C"/>
    <w:rsid w:val="000B69F9"/>
    <w:rsid w:val="000B6CFA"/>
    <w:rsid w:val="000B71BF"/>
    <w:rsid w:val="000B760C"/>
    <w:rsid w:val="000B7A17"/>
    <w:rsid w:val="000C0651"/>
    <w:rsid w:val="000C06D7"/>
    <w:rsid w:val="000C0A7B"/>
    <w:rsid w:val="000C236F"/>
    <w:rsid w:val="000C2E72"/>
    <w:rsid w:val="000C2F16"/>
    <w:rsid w:val="000C3275"/>
    <w:rsid w:val="000C3AC0"/>
    <w:rsid w:val="000C3B97"/>
    <w:rsid w:val="000C432C"/>
    <w:rsid w:val="000C43D6"/>
    <w:rsid w:val="000C490D"/>
    <w:rsid w:val="000C4B5F"/>
    <w:rsid w:val="000C4F35"/>
    <w:rsid w:val="000C53A4"/>
    <w:rsid w:val="000C634B"/>
    <w:rsid w:val="000C63B0"/>
    <w:rsid w:val="000C695A"/>
    <w:rsid w:val="000C6AE6"/>
    <w:rsid w:val="000C6EED"/>
    <w:rsid w:val="000C73AD"/>
    <w:rsid w:val="000C7494"/>
    <w:rsid w:val="000C7C5A"/>
    <w:rsid w:val="000D0044"/>
    <w:rsid w:val="000D1373"/>
    <w:rsid w:val="000D2B82"/>
    <w:rsid w:val="000D31B7"/>
    <w:rsid w:val="000D3277"/>
    <w:rsid w:val="000D3C4B"/>
    <w:rsid w:val="000D3F7D"/>
    <w:rsid w:val="000D56BF"/>
    <w:rsid w:val="000D5EE4"/>
    <w:rsid w:val="000D6047"/>
    <w:rsid w:val="000D6242"/>
    <w:rsid w:val="000D6B8E"/>
    <w:rsid w:val="000D6DCA"/>
    <w:rsid w:val="000D703B"/>
    <w:rsid w:val="000D7154"/>
    <w:rsid w:val="000D754E"/>
    <w:rsid w:val="000D7D22"/>
    <w:rsid w:val="000E0157"/>
    <w:rsid w:val="000E0CF9"/>
    <w:rsid w:val="000E0D2F"/>
    <w:rsid w:val="000E197C"/>
    <w:rsid w:val="000E1B3A"/>
    <w:rsid w:val="000E27BC"/>
    <w:rsid w:val="000E2BF9"/>
    <w:rsid w:val="000E2F7F"/>
    <w:rsid w:val="000E34E3"/>
    <w:rsid w:val="000E456A"/>
    <w:rsid w:val="000E4859"/>
    <w:rsid w:val="000E4ED5"/>
    <w:rsid w:val="000E57A3"/>
    <w:rsid w:val="000E6862"/>
    <w:rsid w:val="000E72A4"/>
    <w:rsid w:val="000E73A0"/>
    <w:rsid w:val="000E7B1D"/>
    <w:rsid w:val="000F026C"/>
    <w:rsid w:val="000F04B1"/>
    <w:rsid w:val="000F1B37"/>
    <w:rsid w:val="000F1FE2"/>
    <w:rsid w:val="000F2337"/>
    <w:rsid w:val="000F28C9"/>
    <w:rsid w:val="000F29C6"/>
    <w:rsid w:val="000F2FC3"/>
    <w:rsid w:val="000F325A"/>
    <w:rsid w:val="000F33DE"/>
    <w:rsid w:val="000F3559"/>
    <w:rsid w:val="000F3B0E"/>
    <w:rsid w:val="000F3B47"/>
    <w:rsid w:val="000F491A"/>
    <w:rsid w:val="000F5D41"/>
    <w:rsid w:val="000F6767"/>
    <w:rsid w:val="000F68E6"/>
    <w:rsid w:val="000F7808"/>
    <w:rsid w:val="0010069A"/>
    <w:rsid w:val="00100C02"/>
    <w:rsid w:val="00100C46"/>
    <w:rsid w:val="00100C8C"/>
    <w:rsid w:val="00100E4C"/>
    <w:rsid w:val="00100F33"/>
    <w:rsid w:val="001016A5"/>
    <w:rsid w:val="00101ABD"/>
    <w:rsid w:val="0010239A"/>
    <w:rsid w:val="00102470"/>
    <w:rsid w:val="0010263E"/>
    <w:rsid w:val="001029EE"/>
    <w:rsid w:val="001032B5"/>
    <w:rsid w:val="001033BB"/>
    <w:rsid w:val="0010385D"/>
    <w:rsid w:val="00104471"/>
    <w:rsid w:val="00104703"/>
    <w:rsid w:val="00104A5C"/>
    <w:rsid w:val="00104C1D"/>
    <w:rsid w:val="00104C96"/>
    <w:rsid w:val="001058B6"/>
    <w:rsid w:val="00106312"/>
    <w:rsid w:val="00106A7B"/>
    <w:rsid w:val="00106FA2"/>
    <w:rsid w:val="001107B3"/>
    <w:rsid w:val="00110A3F"/>
    <w:rsid w:val="00112147"/>
    <w:rsid w:val="00112FB9"/>
    <w:rsid w:val="001137A6"/>
    <w:rsid w:val="00113AC5"/>
    <w:rsid w:val="00113F2F"/>
    <w:rsid w:val="0011408F"/>
    <w:rsid w:val="001148D8"/>
    <w:rsid w:val="00114A94"/>
    <w:rsid w:val="00114FD4"/>
    <w:rsid w:val="00115651"/>
    <w:rsid w:val="00115876"/>
    <w:rsid w:val="00115B26"/>
    <w:rsid w:val="00115FE1"/>
    <w:rsid w:val="00116422"/>
    <w:rsid w:val="0011676E"/>
    <w:rsid w:val="001168CD"/>
    <w:rsid w:val="0011743C"/>
    <w:rsid w:val="00117958"/>
    <w:rsid w:val="001204B8"/>
    <w:rsid w:val="0012054C"/>
    <w:rsid w:val="001211E1"/>
    <w:rsid w:val="001216E6"/>
    <w:rsid w:val="001229D0"/>
    <w:rsid w:val="00122F50"/>
    <w:rsid w:val="00123D3F"/>
    <w:rsid w:val="00124007"/>
    <w:rsid w:val="00124113"/>
    <w:rsid w:val="0012411B"/>
    <w:rsid w:val="001245F2"/>
    <w:rsid w:val="0012476E"/>
    <w:rsid w:val="0012493D"/>
    <w:rsid w:val="001249CC"/>
    <w:rsid w:val="00124C63"/>
    <w:rsid w:val="00124EC4"/>
    <w:rsid w:val="00125948"/>
    <w:rsid w:val="00125B02"/>
    <w:rsid w:val="00126331"/>
    <w:rsid w:val="00126D5D"/>
    <w:rsid w:val="00126E2E"/>
    <w:rsid w:val="00126FEF"/>
    <w:rsid w:val="001270E1"/>
    <w:rsid w:val="00127FA5"/>
    <w:rsid w:val="001301AD"/>
    <w:rsid w:val="00130392"/>
    <w:rsid w:val="00130AF5"/>
    <w:rsid w:val="00130B96"/>
    <w:rsid w:val="001327D1"/>
    <w:rsid w:val="0013280C"/>
    <w:rsid w:val="0013301A"/>
    <w:rsid w:val="00133129"/>
    <w:rsid w:val="00133164"/>
    <w:rsid w:val="00134074"/>
    <w:rsid w:val="001355AB"/>
    <w:rsid w:val="001355B8"/>
    <w:rsid w:val="001357DC"/>
    <w:rsid w:val="00135966"/>
    <w:rsid w:val="00135A4F"/>
    <w:rsid w:val="0013692B"/>
    <w:rsid w:val="001369F1"/>
    <w:rsid w:val="00136C75"/>
    <w:rsid w:val="00137597"/>
    <w:rsid w:val="00140C1D"/>
    <w:rsid w:val="0014156F"/>
    <w:rsid w:val="001417E0"/>
    <w:rsid w:val="00141B43"/>
    <w:rsid w:val="00141B92"/>
    <w:rsid w:val="00141B97"/>
    <w:rsid w:val="0014208D"/>
    <w:rsid w:val="0014256F"/>
    <w:rsid w:val="00142CEF"/>
    <w:rsid w:val="00142F85"/>
    <w:rsid w:val="00143144"/>
    <w:rsid w:val="001441E7"/>
    <w:rsid w:val="001444CB"/>
    <w:rsid w:val="00144F0A"/>
    <w:rsid w:val="0014518F"/>
    <w:rsid w:val="001454C1"/>
    <w:rsid w:val="001457E9"/>
    <w:rsid w:val="00145982"/>
    <w:rsid w:val="00145B54"/>
    <w:rsid w:val="001500A5"/>
    <w:rsid w:val="0015100A"/>
    <w:rsid w:val="00151697"/>
    <w:rsid w:val="00151916"/>
    <w:rsid w:val="001523FA"/>
    <w:rsid w:val="00152469"/>
    <w:rsid w:val="00152BAA"/>
    <w:rsid w:val="0015304F"/>
    <w:rsid w:val="00153532"/>
    <w:rsid w:val="00154597"/>
    <w:rsid w:val="00154B76"/>
    <w:rsid w:val="00154E12"/>
    <w:rsid w:val="0015507D"/>
    <w:rsid w:val="001556DA"/>
    <w:rsid w:val="00155804"/>
    <w:rsid w:val="0015583A"/>
    <w:rsid w:val="00155854"/>
    <w:rsid w:val="00155908"/>
    <w:rsid w:val="00155B10"/>
    <w:rsid w:val="00155CE7"/>
    <w:rsid w:val="00155E67"/>
    <w:rsid w:val="0015602F"/>
    <w:rsid w:val="00156FEC"/>
    <w:rsid w:val="0015754F"/>
    <w:rsid w:val="001576C0"/>
    <w:rsid w:val="00157C24"/>
    <w:rsid w:val="00157FC1"/>
    <w:rsid w:val="00161AB3"/>
    <w:rsid w:val="00161C76"/>
    <w:rsid w:val="00161D5C"/>
    <w:rsid w:val="00161F4E"/>
    <w:rsid w:val="001623C6"/>
    <w:rsid w:val="00162BA4"/>
    <w:rsid w:val="00162C93"/>
    <w:rsid w:val="00163021"/>
    <w:rsid w:val="0016310C"/>
    <w:rsid w:val="0016364E"/>
    <w:rsid w:val="001638A2"/>
    <w:rsid w:val="00163B32"/>
    <w:rsid w:val="001646A9"/>
    <w:rsid w:val="001647D0"/>
    <w:rsid w:val="00164F78"/>
    <w:rsid w:val="00165039"/>
    <w:rsid w:val="00165209"/>
    <w:rsid w:val="00165305"/>
    <w:rsid w:val="00165A5D"/>
    <w:rsid w:val="00166686"/>
    <w:rsid w:val="00166790"/>
    <w:rsid w:val="00167A29"/>
    <w:rsid w:val="0017072E"/>
    <w:rsid w:val="001707EB"/>
    <w:rsid w:val="00170CCA"/>
    <w:rsid w:val="00170EC9"/>
    <w:rsid w:val="00171E0C"/>
    <w:rsid w:val="00171EFF"/>
    <w:rsid w:val="00172C02"/>
    <w:rsid w:val="00172F9D"/>
    <w:rsid w:val="001733F7"/>
    <w:rsid w:val="001736C0"/>
    <w:rsid w:val="0017439E"/>
    <w:rsid w:val="00174695"/>
    <w:rsid w:val="001756A6"/>
    <w:rsid w:val="00175E11"/>
    <w:rsid w:val="00176039"/>
    <w:rsid w:val="0017604C"/>
    <w:rsid w:val="001760B8"/>
    <w:rsid w:val="00176AEA"/>
    <w:rsid w:val="00176C06"/>
    <w:rsid w:val="00176CA6"/>
    <w:rsid w:val="00177321"/>
    <w:rsid w:val="001777F8"/>
    <w:rsid w:val="00180215"/>
    <w:rsid w:val="0018083D"/>
    <w:rsid w:val="0018112C"/>
    <w:rsid w:val="001818E6"/>
    <w:rsid w:val="00182756"/>
    <w:rsid w:val="001832EA"/>
    <w:rsid w:val="00183F0C"/>
    <w:rsid w:val="001843CF"/>
    <w:rsid w:val="00184779"/>
    <w:rsid w:val="00184E5A"/>
    <w:rsid w:val="00185460"/>
    <w:rsid w:val="00185802"/>
    <w:rsid w:val="00185B9C"/>
    <w:rsid w:val="00186026"/>
    <w:rsid w:val="0018618C"/>
    <w:rsid w:val="001861B5"/>
    <w:rsid w:val="001865AC"/>
    <w:rsid w:val="00186864"/>
    <w:rsid w:val="00187C9F"/>
    <w:rsid w:val="00187D4A"/>
    <w:rsid w:val="00190BEC"/>
    <w:rsid w:val="0019152A"/>
    <w:rsid w:val="001917E3"/>
    <w:rsid w:val="0019212F"/>
    <w:rsid w:val="00192162"/>
    <w:rsid w:val="001923FC"/>
    <w:rsid w:val="001937F7"/>
    <w:rsid w:val="001944D7"/>
    <w:rsid w:val="00194A29"/>
    <w:rsid w:val="0019503B"/>
    <w:rsid w:val="00195658"/>
    <w:rsid w:val="00196163"/>
    <w:rsid w:val="0019675C"/>
    <w:rsid w:val="00196865"/>
    <w:rsid w:val="001969BC"/>
    <w:rsid w:val="00196D12"/>
    <w:rsid w:val="00196D22"/>
    <w:rsid w:val="0019707E"/>
    <w:rsid w:val="00197513"/>
    <w:rsid w:val="001976C9"/>
    <w:rsid w:val="001A0018"/>
    <w:rsid w:val="001A02D0"/>
    <w:rsid w:val="001A0A10"/>
    <w:rsid w:val="001A0D79"/>
    <w:rsid w:val="001A1122"/>
    <w:rsid w:val="001A1636"/>
    <w:rsid w:val="001A1FA9"/>
    <w:rsid w:val="001A24C5"/>
    <w:rsid w:val="001A25FF"/>
    <w:rsid w:val="001A2C03"/>
    <w:rsid w:val="001A37C6"/>
    <w:rsid w:val="001A4A69"/>
    <w:rsid w:val="001A4DDE"/>
    <w:rsid w:val="001A5078"/>
    <w:rsid w:val="001A52EC"/>
    <w:rsid w:val="001A6729"/>
    <w:rsid w:val="001A6A95"/>
    <w:rsid w:val="001A6D90"/>
    <w:rsid w:val="001A7249"/>
    <w:rsid w:val="001A740B"/>
    <w:rsid w:val="001B0449"/>
    <w:rsid w:val="001B07EB"/>
    <w:rsid w:val="001B10C5"/>
    <w:rsid w:val="001B144B"/>
    <w:rsid w:val="001B161E"/>
    <w:rsid w:val="001B1776"/>
    <w:rsid w:val="001B2012"/>
    <w:rsid w:val="001B3175"/>
    <w:rsid w:val="001B333D"/>
    <w:rsid w:val="001B3706"/>
    <w:rsid w:val="001B487E"/>
    <w:rsid w:val="001B4A39"/>
    <w:rsid w:val="001B4C11"/>
    <w:rsid w:val="001B4D8D"/>
    <w:rsid w:val="001B53A2"/>
    <w:rsid w:val="001B542F"/>
    <w:rsid w:val="001B55D5"/>
    <w:rsid w:val="001B5DFF"/>
    <w:rsid w:val="001B654C"/>
    <w:rsid w:val="001B664A"/>
    <w:rsid w:val="001B67CF"/>
    <w:rsid w:val="001B68F8"/>
    <w:rsid w:val="001B703D"/>
    <w:rsid w:val="001B71AE"/>
    <w:rsid w:val="001B734B"/>
    <w:rsid w:val="001B771D"/>
    <w:rsid w:val="001B79A3"/>
    <w:rsid w:val="001B7C22"/>
    <w:rsid w:val="001B7D15"/>
    <w:rsid w:val="001C0513"/>
    <w:rsid w:val="001C0727"/>
    <w:rsid w:val="001C0810"/>
    <w:rsid w:val="001C0BAE"/>
    <w:rsid w:val="001C147B"/>
    <w:rsid w:val="001C1997"/>
    <w:rsid w:val="001C1BEF"/>
    <w:rsid w:val="001C28F8"/>
    <w:rsid w:val="001C2A47"/>
    <w:rsid w:val="001C2BCC"/>
    <w:rsid w:val="001C30F8"/>
    <w:rsid w:val="001C33E8"/>
    <w:rsid w:val="001C38D5"/>
    <w:rsid w:val="001C3E07"/>
    <w:rsid w:val="001C4392"/>
    <w:rsid w:val="001C4A3B"/>
    <w:rsid w:val="001C4C8E"/>
    <w:rsid w:val="001C4FF8"/>
    <w:rsid w:val="001C5317"/>
    <w:rsid w:val="001C5594"/>
    <w:rsid w:val="001C5BD3"/>
    <w:rsid w:val="001C6D12"/>
    <w:rsid w:val="001C6D96"/>
    <w:rsid w:val="001C716F"/>
    <w:rsid w:val="001C7B85"/>
    <w:rsid w:val="001D0467"/>
    <w:rsid w:val="001D0952"/>
    <w:rsid w:val="001D0C6E"/>
    <w:rsid w:val="001D0EBB"/>
    <w:rsid w:val="001D20C4"/>
    <w:rsid w:val="001D2244"/>
    <w:rsid w:val="001D2DD6"/>
    <w:rsid w:val="001D31A0"/>
    <w:rsid w:val="001D3810"/>
    <w:rsid w:val="001D3BF6"/>
    <w:rsid w:val="001D41C8"/>
    <w:rsid w:val="001D4249"/>
    <w:rsid w:val="001D436C"/>
    <w:rsid w:val="001D5865"/>
    <w:rsid w:val="001D5981"/>
    <w:rsid w:val="001D64C0"/>
    <w:rsid w:val="001D6DDC"/>
    <w:rsid w:val="001D6F0A"/>
    <w:rsid w:val="001D7E22"/>
    <w:rsid w:val="001E03DB"/>
    <w:rsid w:val="001E0B69"/>
    <w:rsid w:val="001E0F46"/>
    <w:rsid w:val="001E126A"/>
    <w:rsid w:val="001E1F3A"/>
    <w:rsid w:val="001E28B0"/>
    <w:rsid w:val="001E2E01"/>
    <w:rsid w:val="001E3001"/>
    <w:rsid w:val="001E30FA"/>
    <w:rsid w:val="001E32EA"/>
    <w:rsid w:val="001E4003"/>
    <w:rsid w:val="001E4355"/>
    <w:rsid w:val="001E4966"/>
    <w:rsid w:val="001E515C"/>
    <w:rsid w:val="001E62FE"/>
    <w:rsid w:val="001E6378"/>
    <w:rsid w:val="001E6584"/>
    <w:rsid w:val="001E6638"/>
    <w:rsid w:val="001E7D67"/>
    <w:rsid w:val="001F0D18"/>
    <w:rsid w:val="001F0D4C"/>
    <w:rsid w:val="001F0E80"/>
    <w:rsid w:val="001F11DD"/>
    <w:rsid w:val="001F1256"/>
    <w:rsid w:val="001F1644"/>
    <w:rsid w:val="001F1777"/>
    <w:rsid w:val="001F18BD"/>
    <w:rsid w:val="001F19BF"/>
    <w:rsid w:val="001F19C7"/>
    <w:rsid w:val="001F1BFF"/>
    <w:rsid w:val="001F1D91"/>
    <w:rsid w:val="001F1F57"/>
    <w:rsid w:val="001F2405"/>
    <w:rsid w:val="001F2FCA"/>
    <w:rsid w:val="001F36F4"/>
    <w:rsid w:val="001F3C03"/>
    <w:rsid w:val="001F3F37"/>
    <w:rsid w:val="001F4068"/>
    <w:rsid w:val="001F56AB"/>
    <w:rsid w:val="001F5B8E"/>
    <w:rsid w:val="001F6D5E"/>
    <w:rsid w:val="001F72F1"/>
    <w:rsid w:val="00200462"/>
    <w:rsid w:val="00200D05"/>
    <w:rsid w:val="00200F18"/>
    <w:rsid w:val="002020EB"/>
    <w:rsid w:val="002021EC"/>
    <w:rsid w:val="00202373"/>
    <w:rsid w:val="00202F21"/>
    <w:rsid w:val="002037B7"/>
    <w:rsid w:val="00203D19"/>
    <w:rsid w:val="002040A8"/>
    <w:rsid w:val="002040CF"/>
    <w:rsid w:val="0020485A"/>
    <w:rsid w:val="00205157"/>
    <w:rsid w:val="002052C2"/>
    <w:rsid w:val="0020554C"/>
    <w:rsid w:val="00205C3E"/>
    <w:rsid w:val="002068E5"/>
    <w:rsid w:val="00206FC4"/>
    <w:rsid w:val="002072B2"/>
    <w:rsid w:val="00207399"/>
    <w:rsid w:val="002077C8"/>
    <w:rsid w:val="002104C8"/>
    <w:rsid w:val="00210573"/>
    <w:rsid w:val="00210A97"/>
    <w:rsid w:val="00211414"/>
    <w:rsid w:val="002118F0"/>
    <w:rsid w:val="00211E1C"/>
    <w:rsid w:val="00212CF5"/>
    <w:rsid w:val="0021311E"/>
    <w:rsid w:val="002135C8"/>
    <w:rsid w:val="002140C3"/>
    <w:rsid w:val="002140E7"/>
    <w:rsid w:val="00214E8E"/>
    <w:rsid w:val="00214E92"/>
    <w:rsid w:val="00215111"/>
    <w:rsid w:val="00215D9C"/>
    <w:rsid w:val="00216051"/>
    <w:rsid w:val="002164B1"/>
    <w:rsid w:val="00216727"/>
    <w:rsid w:val="00216AA8"/>
    <w:rsid w:val="002171D8"/>
    <w:rsid w:val="0021793F"/>
    <w:rsid w:val="00217C1E"/>
    <w:rsid w:val="00220386"/>
    <w:rsid w:val="002204E4"/>
    <w:rsid w:val="00220756"/>
    <w:rsid w:val="0022163D"/>
    <w:rsid w:val="0022185A"/>
    <w:rsid w:val="00221B91"/>
    <w:rsid w:val="00221C67"/>
    <w:rsid w:val="00222285"/>
    <w:rsid w:val="0022291F"/>
    <w:rsid w:val="0022299F"/>
    <w:rsid w:val="00222B0C"/>
    <w:rsid w:val="00223E2F"/>
    <w:rsid w:val="00224083"/>
    <w:rsid w:val="00224A71"/>
    <w:rsid w:val="00224DC6"/>
    <w:rsid w:val="00225858"/>
    <w:rsid w:val="00225B9B"/>
    <w:rsid w:val="002303D4"/>
    <w:rsid w:val="0023117E"/>
    <w:rsid w:val="002313FD"/>
    <w:rsid w:val="00231688"/>
    <w:rsid w:val="002321B1"/>
    <w:rsid w:val="0023233B"/>
    <w:rsid w:val="002328DE"/>
    <w:rsid w:val="00233517"/>
    <w:rsid w:val="0023351F"/>
    <w:rsid w:val="00233E11"/>
    <w:rsid w:val="002349B9"/>
    <w:rsid w:val="00234CF1"/>
    <w:rsid w:val="0023580B"/>
    <w:rsid w:val="00235D6E"/>
    <w:rsid w:val="00235FDB"/>
    <w:rsid w:val="002362A9"/>
    <w:rsid w:val="00236EE6"/>
    <w:rsid w:val="00236F3A"/>
    <w:rsid w:val="002374EC"/>
    <w:rsid w:val="0023782B"/>
    <w:rsid w:val="00237F9F"/>
    <w:rsid w:val="00240338"/>
    <w:rsid w:val="00240B05"/>
    <w:rsid w:val="00241074"/>
    <w:rsid w:val="00241747"/>
    <w:rsid w:val="002419EE"/>
    <w:rsid w:val="00241CED"/>
    <w:rsid w:val="0024235E"/>
    <w:rsid w:val="002426B0"/>
    <w:rsid w:val="00242CA4"/>
    <w:rsid w:val="00242CAC"/>
    <w:rsid w:val="00243025"/>
    <w:rsid w:val="00243415"/>
    <w:rsid w:val="00243742"/>
    <w:rsid w:val="0024385C"/>
    <w:rsid w:val="002444F3"/>
    <w:rsid w:val="00244D9B"/>
    <w:rsid w:val="00245024"/>
    <w:rsid w:val="0024657C"/>
    <w:rsid w:val="00246C0C"/>
    <w:rsid w:val="00247BA3"/>
    <w:rsid w:val="00247F1E"/>
    <w:rsid w:val="0025100C"/>
    <w:rsid w:val="00251370"/>
    <w:rsid w:val="00251828"/>
    <w:rsid w:val="00251DD8"/>
    <w:rsid w:val="002530DB"/>
    <w:rsid w:val="002532E9"/>
    <w:rsid w:val="0025489C"/>
    <w:rsid w:val="002558AF"/>
    <w:rsid w:val="00255F09"/>
    <w:rsid w:val="002563F4"/>
    <w:rsid w:val="00256E45"/>
    <w:rsid w:val="00257E3A"/>
    <w:rsid w:val="00260349"/>
    <w:rsid w:val="00260819"/>
    <w:rsid w:val="002608F0"/>
    <w:rsid w:val="00260A53"/>
    <w:rsid w:val="002612A3"/>
    <w:rsid w:val="00261444"/>
    <w:rsid w:val="0026185E"/>
    <w:rsid w:val="00261DBB"/>
    <w:rsid w:val="00262371"/>
    <w:rsid w:val="002626EA"/>
    <w:rsid w:val="0026394C"/>
    <w:rsid w:val="00263BA2"/>
    <w:rsid w:val="00264327"/>
    <w:rsid w:val="00264396"/>
    <w:rsid w:val="00264CE2"/>
    <w:rsid w:val="00264E98"/>
    <w:rsid w:val="00265C0D"/>
    <w:rsid w:val="00265D10"/>
    <w:rsid w:val="00265F15"/>
    <w:rsid w:val="002660E4"/>
    <w:rsid w:val="00266746"/>
    <w:rsid w:val="00266C3F"/>
    <w:rsid w:val="00270889"/>
    <w:rsid w:val="00271578"/>
    <w:rsid w:val="00271D6C"/>
    <w:rsid w:val="00272012"/>
    <w:rsid w:val="0027284F"/>
    <w:rsid w:val="00273509"/>
    <w:rsid w:val="0027375D"/>
    <w:rsid w:val="00273CB1"/>
    <w:rsid w:val="0027449F"/>
    <w:rsid w:val="00274D98"/>
    <w:rsid w:val="00274E0E"/>
    <w:rsid w:val="00275885"/>
    <w:rsid w:val="00276CDB"/>
    <w:rsid w:val="00276EE0"/>
    <w:rsid w:val="0027716F"/>
    <w:rsid w:val="002778B2"/>
    <w:rsid w:val="00277E1B"/>
    <w:rsid w:val="00280EE9"/>
    <w:rsid w:val="00281A51"/>
    <w:rsid w:val="00281D80"/>
    <w:rsid w:val="00281E6B"/>
    <w:rsid w:val="00282D60"/>
    <w:rsid w:val="00282DF8"/>
    <w:rsid w:val="00283264"/>
    <w:rsid w:val="002833E2"/>
    <w:rsid w:val="00283504"/>
    <w:rsid w:val="00284B9C"/>
    <w:rsid w:val="00286D6E"/>
    <w:rsid w:val="00286E5A"/>
    <w:rsid w:val="00287FEC"/>
    <w:rsid w:val="002900E3"/>
    <w:rsid w:val="00290427"/>
    <w:rsid w:val="002907EB"/>
    <w:rsid w:val="00290887"/>
    <w:rsid w:val="00290AF7"/>
    <w:rsid w:val="00290CB9"/>
    <w:rsid w:val="00290DB9"/>
    <w:rsid w:val="0029123F"/>
    <w:rsid w:val="00291968"/>
    <w:rsid w:val="00291BCC"/>
    <w:rsid w:val="002925D9"/>
    <w:rsid w:val="00292735"/>
    <w:rsid w:val="00292D94"/>
    <w:rsid w:val="00292EA0"/>
    <w:rsid w:val="0029369C"/>
    <w:rsid w:val="00293D92"/>
    <w:rsid w:val="00294194"/>
    <w:rsid w:val="00294625"/>
    <w:rsid w:val="0029483B"/>
    <w:rsid w:val="00294BF4"/>
    <w:rsid w:val="00294C4A"/>
    <w:rsid w:val="00295446"/>
    <w:rsid w:val="00295AE5"/>
    <w:rsid w:val="00295E80"/>
    <w:rsid w:val="002964A2"/>
    <w:rsid w:val="00296C93"/>
    <w:rsid w:val="00296F3D"/>
    <w:rsid w:val="00297B9E"/>
    <w:rsid w:val="002A04B4"/>
    <w:rsid w:val="002A0F20"/>
    <w:rsid w:val="002A1330"/>
    <w:rsid w:val="002A1569"/>
    <w:rsid w:val="002A1B7B"/>
    <w:rsid w:val="002A1FA9"/>
    <w:rsid w:val="002A28A3"/>
    <w:rsid w:val="002A2C47"/>
    <w:rsid w:val="002A3B6D"/>
    <w:rsid w:val="002A4248"/>
    <w:rsid w:val="002A4A7D"/>
    <w:rsid w:val="002A4C1C"/>
    <w:rsid w:val="002A4D0E"/>
    <w:rsid w:val="002A4E34"/>
    <w:rsid w:val="002A504D"/>
    <w:rsid w:val="002A5639"/>
    <w:rsid w:val="002A6B43"/>
    <w:rsid w:val="002B007C"/>
    <w:rsid w:val="002B047D"/>
    <w:rsid w:val="002B0879"/>
    <w:rsid w:val="002B0969"/>
    <w:rsid w:val="002B147D"/>
    <w:rsid w:val="002B1B8D"/>
    <w:rsid w:val="002B1E0E"/>
    <w:rsid w:val="002B21ED"/>
    <w:rsid w:val="002B3BBE"/>
    <w:rsid w:val="002B5810"/>
    <w:rsid w:val="002B59C8"/>
    <w:rsid w:val="002B5F8B"/>
    <w:rsid w:val="002B6697"/>
    <w:rsid w:val="002B66B1"/>
    <w:rsid w:val="002B680A"/>
    <w:rsid w:val="002B6DB2"/>
    <w:rsid w:val="002B6DD2"/>
    <w:rsid w:val="002B74A8"/>
    <w:rsid w:val="002B7D06"/>
    <w:rsid w:val="002B7D98"/>
    <w:rsid w:val="002C02FF"/>
    <w:rsid w:val="002C0A63"/>
    <w:rsid w:val="002C0C5E"/>
    <w:rsid w:val="002C19F6"/>
    <w:rsid w:val="002C1D5B"/>
    <w:rsid w:val="002C1E3E"/>
    <w:rsid w:val="002C224B"/>
    <w:rsid w:val="002C2306"/>
    <w:rsid w:val="002C2B88"/>
    <w:rsid w:val="002C2E19"/>
    <w:rsid w:val="002C4084"/>
    <w:rsid w:val="002C427E"/>
    <w:rsid w:val="002C4411"/>
    <w:rsid w:val="002C4CEA"/>
    <w:rsid w:val="002C5006"/>
    <w:rsid w:val="002C616B"/>
    <w:rsid w:val="002C7336"/>
    <w:rsid w:val="002C7CC4"/>
    <w:rsid w:val="002C7F0E"/>
    <w:rsid w:val="002D00D0"/>
    <w:rsid w:val="002D0605"/>
    <w:rsid w:val="002D0F34"/>
    <w:rsid w:val="002D0F8A"/>
    <w:rsid w:val="002D1493"/>
    <w:rsid w:val="002D21E8"/>
    <w:rsid w:val="002D2A68"/>
    <w:rsid w:val="002D2A6E"/>
    <w:rsid w:val="002D340A"/>
    <w:rsid w:val="002D3AEA"/>
    <w:rsid w:val="002D461F"/>
    <w:rsid w:val="002D4B40"/>
    <w:rsid w:val="002D4D13"/>
    <w:rsid w:val="002D4D36"/>
    <w:rsid w:val="002D597D"/>
    <w:rsid w:val="002D6EC3"/>
    <w:rsid w:val="002E17DB"/>
    <w:rsid w:val="002E2B9C"/>
    <w:rsid w:val="002E35AC"/>
    <w:rsid w:val="002E4331"/>
    <w:rsid w:val="002E43BE"/>
    <w:rsid w:val="002E5C7B"/>
    <w:rsid w:val="002E60C6"/>
    <w:rsid w:val="002E613E"/>
    <w:rsid w:val="002E6986"/>
    <w:rsid w:val="002E6AB6"/>
    <w:rsid w:val="002E7B83"/>
    <w:rsid w:val="002E7C22"/>
    <w:rsid w:val="002E7CEE"/>
    <w:rsid w:val="002F1140"/>
    <w:rsid w:val="002F125A"/>
    <w:rsid w:val="002F23CA"/>
    <w:rsid w:val="002F2D23"/>
    <w:rsid w:val="002F3700"/>
    <w:rsid w:val="002F4359"/>
    <w:rsid w:val="002F4E33"/>
    <w:rsid w:val="002F4E72"/>
    <w:rsid w:val="002F55DB"/>
    <w:rsid w:val="002F59E6"/>
    <w:rsid w:val="002F628E"/>
    <w:rsid w:val="002F7138"/>
    <w:rsid w:val="002F7197"/>
    <w:rsid w:val="002F71F2"/>
    <w:rsid w:val="002F7520"/>
    <w:rsid w:val="002F793A"/>
    <w:rsid w:val="0030218D"/>
    <w:rsid w:val="003025A8"/>
    <w:rsid w:val="00302A7B"/>
    <w:rsid w:val="00302CC6"/>
    <w:rsid w:val="0030389D"/>
    <w:rsid w:val="003038B7"/>
    <w:rsid w:val="00305821"/>
    <w:rsid w:val="00305F88"/>
    <w:rsid w:val="003064A5"/>
    <w:rsid w:val="003070A4"/>
    <w:rsid w:val="00307DD0"/>
    <w:rsid w:val="00310AC9"/>
    <w:rsid w:val="00310CC7"/>
    <w:rsid w:val="003113C8"/>
    <w:rsid w:val="00312661"/>
    <w:rsid w:val="00313135"/>
    <w:rsid w:val="003144EC"/>
    <w:rsid w:val="00314791"/>
    <w:rsid w:val="00314A54"/>
    <w:rsid w:val="00314EE9"/>
    <w:rsid w:val="00314FDF"/>
    <w:rsid w:val="0031553E"/>
    <w:rsid w:val="00315A1A"/>
    <w:rsid w:val="00315AC6"/>
    <w:rsid w:val="00315E8E"/>
    <w:rsid w:val="00315EF3"/>
    <w:rsid w:val="00316106"/>
    <w:rsid w:val="0031618A"/>
    <w:rsid w:val="00316D20"/>
    <w:rsid w:val="0031718C"/>
    <w:rsid w:val="003172DD"/>
    <w:rsid w:val="00317C33"/>
    <w:rsid w:val="003210C3"/>
    <w:rsid w:val="003214AE"/>
    <w:rsid w:val="003220FC"/>
    <w:rsid w:val="003233BB"/>
    <w:rsid w:val="00324C0C"/>
    <w:rsid w:val="00324F46"/>
    <w:rsid w:val="00325515"/>
    <w:rsid w:val="003255C6"/>
    <w:rsid w:val="003260E3"/>
    <w:rsid w:val="0032665B"/>
    <w:rsid w:val="00327191"/>
    <w:rsid w:val="00327283"/>
    <w:rsid w:val="003273B9"/>
    <w:rsid w:val="00327462"/>
    <w:rsid w:val="00330A1E"/>
    <w:rsid w:val="003310DE"/>
    <w:rsid w:val="0033144C"/>
    <w:rsid w:val="00332214"/>
    <w:rsid w:val="00332E7F"/>
    <w:rsid w:val="003345CD"/>
    <w:rsid w:val="00334C5F"/>
    <w:rsid w:val="00336F55"/>
    <w:rsid w:val="00336F5F"/>
    <w:rsid w:val="003370C4"/>
    <w:rsid w:val="003375EE"/>
    <w:rsid w:val="00337F1E"/>
    <w:rsid w:val="00340067"/>
    <w:rsid w:val="00340150"/>
    <w:rsid w:val="00340496"/>
    <w:rsid w:val="003404ED"/>
    <w:rsid w:val="003407CE"/>
    <w:rsid w:val="00340CD2"/>
    <w:rsid w:val="00341023"/>
    <w:rsid w:val="003419F0"/>
    <w:rsid w:val="00341C31"/>
    <w:rsid w:val="0034322F"/>
    <w:rsid w:val="003434A3"/>
    <w:rsid w:val="0034392C"/>
    <w:rsid w:val="00343C6E"/>
    <w:rsid w:val="00343EF5"/>
    <w:rsid w:val="0034466D"/>
    <w:rsid w:val="00344970"/>
    <w:rsid w:val="00344CE5"/>
    <w:rsid w:val="00347F8B"/>
    <w:rsid w:val="0035004C"/>
    <w:rsid w:val="0035036A"/>
    <w:rsid w:val="00350F7B"/>
    <w:rsid w:val="00351660"/>
    <w:rsid w:val="00352B7A"/>
    <w:rsid w:val="00352CA2"/>
    <w:rsid w:val="00353259"/>
    <w:rsid w:val="00353452"/>
    <w:rsid w:val="00353D60"/>
    <w:rsid w:val="003547A4"/>
    <w:rsid w:val="003549EC"/>
    <w:rsid w:val="003553AB"/>
    <w:rsid w:val="00356143"/>
    <w:rsid w:val="00356590"/>
    <w:rsid w:val="0035659E"/>
    <w:rsid w:val="00356BE3"/>
    <w:rsid w:val="00357105"/>
    <w:rsid w:val="00357F72"/>
    <w:rsid w:val="00360680"/>
    <w:rsid w:val="003615B1"/>
    <w:rsid w:val="003617B4"/>
    <w:rsid w:val="0036180A"/>
    <w:rsid w:val="00361925"/>
    <w:rsid w:val="00361D64"/>
    <w:rsid w:val="00361D6F"/>
    <w:rsid w:val="003621F0"/>
    <w:rsid w:val="0036271A"/>
    <w:rsid w:val="00363D48"/>
    <w:rsid w:val="00364227"/>
    <w:rsid w:val="003643B4"/>
    <w:rsid w:val="0036441D"/>
    <w:rsid w:val="00364449"/>
    <w:rsid w:val="00364648"/>
    <w:rsid w:val="00364663"/>
    <w:rsid w:val="00364DF7"/>
    <w:rsid w:val="00365742"/>
    <w:rsid w:val="00366957"/>
    <w:rsid w:val="00366E43"/>
    <w:rsid w:val="003673C5"/>
    <w:rsid w:val="00367A83"/>
    <w:rsid w:val="00367AAD"/>
    <w:rsid w:val="00370210"/>
    <w:rsid w:val="0037030F"/>
    <w:rsid w:val="0037148A"/>
    <w:rsid w:val="003725AC"/>
    <w:rsid w:val="003725D1"/>
    <w:rsid w:val="0037321D"/>
    <w:rsid w:val="003742B5"/>
    <w:rsid w:val="00374356"/>
    <w:rsid w:val="00374499"/>
    <w:rsid w:val="00374E76"/>
    <w:rsid w:val="00376D61"/>
    <w:rsid w:val="003772F6"/>
    <w:rsid w:val="00377414"/>
    <w:rsid w:val="00377447"/>
    <w:rsid w:val="003817A2"/>
    <w:rsid w:val="003817F3"/>
    <w:rsid w:val="00382331"/>
    <w:rsid w:val="003823C0"/>
    <w:rsid w:val="003827BA"/>
    <w:rsid w:val="003829F8"/>
    <w:rsid w:val="00382B4D"/>
    <w:rsid w:val="0038467F"/>
    <w:rsid w:val="003847A7"/>
    <w:rsid w:val="003848A2"/>
    <w:rsid w:val="0038546D"/>
    <w:rsid w:val="003855ED"/>
    <w:rsid w:val="003856B3"/>
    <w:rsid w:val="003861CC"/>
    <w:rsid w:val="0038714A"/>
    <w:rsid w:val="00387229"/>
    <w:rsid w:val="0038797D"/>
    <w:rsid w:val="0039053B"/>
    <w:rsid w:val="003908BF"/>
    <w:rsid w:val="003909C3"/>
    <w:rsid w:val="00390A57"/>
    <w:rsid w:val="00391779"/>
    <w:rsid w:val="003917EA"/>
    <w:rsid w:val="00391958"/>
    <w:rsid w:val="00391A96"/>
    <w:rsid w:val="00391FF7"/>
    <w:rsid w:val="00393295"/>
    <w:rsid w:val="00393361"/>
    <w:rsid w:val="00393459"/>
    <w:rsid w:val="003935A9"/>
    <w:rsid w:val="00393B58"/>
    <w:rsid w:val="00393C58"/>
    <w:rsid w:val="00393D52"/>
    <w:rsid w:val="003940B1"/>
    <w:rsid w:val="003945A8"/>
    <w:rsid w:val="00394949"/>
    <w:rsid w:val="00394C61"/>
    <w:rsid w:val="00395349"/>
    <w:rsid w:val="00395917"/>
    <w:rsid w:val="00396CBC"/>
    <w:rsid w:val="0039759B"/>
    <w:rsid w:val="00397F6D"/>
    <w:rsid w:val="003A0148"/>
    <w:rsid w:val="003A03C0"/>
    <w:rsid w:val="003A0F22"/>
    <w:rsid w:val="003A11AA"/>
    <w:rsid w:val="003A13E8"/>
    <w:rsid w:val="003A1489"/>
    <w:rsid w:val="003A19AD"/>
    <w:rsid w:val="003A1A8D"/>
    <w:rsid w:val="003A1ABC"/>
    <w:rsid w:val="003A23B1"/>
    <w:rsid w:val="003A2926"/>
    <w:rsid w:val="003A2C3A"/>
    <w:rsid w:val="003A2E76"/>
    <w:rsid w:val="003A39E4"/>
    <w:rsid w:val="003A39E9"/>
    <w:rsid w:val="003A3D11"/>
    <w:rsid w:val="003A5499"/>
    <w:rsid w:val="003A5E5B"/>
    <w:rsid w:val="003A5EC2"/>
    <w:rsid w:val="003A60AD"/>
    <w:rsid w:val="003A62E9"/>
    <w:rsid w:val="003A62F5"/>
    <w:rsid w:val="003A6578"/>
    <w:rsid w:val="003A7955"/>
    <w:rsid w:val="003A7990"/>
    <w:rsid w:val="003B029E"/>
    <w:rsid w:val="003B057F"/>
    <w:rsid w:val="003B0AC3"/>
    <w:rsid w:val="003B0C6B"/>
    <w:rsid w:val="003B1AAA"/>
    <w:rsid w:val="003B1FC3"/>
    <w:rsid w:val="003B208C"/>
    <w:rsid w:val="003B2B43"/>
    <w:rsid w:val="003B2D8C"/>
    <w:rsid w:val="003B31C8"/>
    <w:rsid w:val="003B344E"/>
    <w:rsid w:val="003B354D"/>
    <w:rsid w:val="003B4402"/>
    <w:rsid w:val="003B448C"/>
    <w:rsid w:val="003B4534"/>
    <w:rsid w:val="003B4A0B"/>
    <w:rsid w:val="003B4ECF"/>
    <w:rsid w:val="003B5454"/>
    <w:rsid w:val="003B54B2"/>
    <w:rsid w:val="003B55CD"/>
    <w:rsid w:val="003B579C"/>
    <w:rsid w:val="003B587E"/>
    <w:rsid w:val="003B6584"/>
    <w:rsid w:val="003B6945"/>
    <w:rsid w:val="003B6B68"/>
    <w:rsid w:val="003B7517"/>
    <w:rsid w:val="003B78F1"/>
    <w:rsid w:val="003B7B38"/>
    <w:rsid w:val="003B7D82"/>
    <w:rsid w:val="003C0766"/>
    <w:rsid w:val="003C10C9"/>
    <w:rsid w:val="003C111E"/>
    <w:rsid w:val="003C18FD"/>
    <w:rsid w:val="003C1F63"/>
    <w:rsid w:val="003C206D"/>
    <w:rsid w:val="003C220E"/>
    <w:rsid w:val="003C2A21"/>
    <w:rsid w:val="003C2B31"/>
    <w:rsid w:val="003C2B84"/>
    <w:rsid w:val="003C2BF8"/>
    <w:rsid w:val="003C2F05"/>
    <w:rsid w:val="003C2F5D"/>
    <w:rsid w:val="003C3CEE"/>
    <w:rsid w:val="003C3EDF"/>
    <w:rsid w:val="003C47CF"/>
    <w:rsid w:val="003C58C0"/>
    <w:rsid w:val="003C5A87"/>
    <w:rsid w:val="003C60BD"/>
    <w:rsid w:val="003C6257"/>
    <w:rsid w:val="003C724D"/>
    <w:rsid w:val="003C73B1"/>
    <w:rsid w:val="003C7B80"/>
    <w:rsid w:val="003D17FB"/>
    <w:rsid w:val="003D222D"/>
    <w:rsid w:val="003D252B"/>
    <w:rsid w:val="003D3014"/>
    <w:rsid w:val="003D3912"/>
    <w:rsid w:val="003D4878"/>
    <w:rsid w:val="003D5000"/>
    <w:rsid w:val="003D5430"/>
    <w:rsid w:val="003D558C"/>
    <w:rsid w:val="003D6703"/>
    <w:rsid w:val="003D6E7B"/>
    <w:rsid w:val="003D702B"/>
    <w:rsid w:val="003E0562"/>
    <w:rsid w:val="003E0587"/>
    <w:rsid w:val="003E0D4D"/>
    <w:rsid w:val="003E13CE"/>
    <w:rsid w:val="003E1689"/>
    <w:rsid w:val="003E255D"/>
    <w:rsid w:val="003E3165"/>
    <w:rsid w:val="003E3C74"/>
    <w:rsid w:val="003E4067"/>
    <w:rsid w:val="003E4180"/>
    <w:rsid w:val="003E41DB"/>
    <w:rsid w:val="003E4375"/>
    <w:rsid w:val="003E4455"/>
    <w:rsid w:val="003E47EA"/>
    <w:rsid w:val="003E4D46"/>
    <w:rsid w:val="003E517B"/>
    <w:rsid w:val="003E581D"/>
    <w:rsid w:val="003E58E0"/>
    <w:rsid w:val="003E5B5A"/>
    <w:rsid w:val="003E5EDD"/>
    <w:rsid w:val="003E6B71"/>
    <w:rsid w:val="003E6FAE"/>
    <w:rsid w:val="003E7F61"/>
    <w:rsid w:val="003F0AA5"/>
    <w:rsid w:val="003F1518"/>
    <w:rsid w:val="003F154F"/>
    <w:rsid w:val="003F18E4"/>
    <w:rsid w:val="003F1C08"/>
    <w:rsid w:val="003F1C4A"/>
    <w:rsid w:val="003F248E"/>
    <w:rsid w:val="003F38D8"/>
    <w:rsid w:val="003F582F"/>
    <w:rsid w:val="003F5AFD"/>
    <w:rsid w:val="003F6007"/>
    <w:rsid w:val="003F6BDA"/>
    <w:rsid w:val="003F6D89"/>
    <w:rsid w:val="003F6EEB"/>
    <w:rsid w:val="003F6F6A"/>
    <w:rsid w:val="003F7018"/>
    <w:rsid w:val="003F7740"/>
    <w:rsid w:val="003F7962"/>
    <w:rsid w:val="0040048F"/>
    <w:rsid w:val="004008E7"/>
    <w:rsid w:val="00401021"/>
    <w:rsid w:val="004014AB"/>
    <w:rsid w:val="004014E6"/>
    <w:rsid w:val="00401A2A"/>
    <w:rsid w:val="004029ED"/>
    <w:rsid w:val="00402C07"/>
    <w:rsid w:val="00402D7A"/>
    <w:rsid w:val="004042BB"/>
    <w:rsid w:val="0040463D"/>
    <w:rsid w:val="00404C82"/>
    <w:rsid w:val="004051F6"/>
    <w:rsid w:val="004053B8"/>
    <w:rsid w:val="0040621C"/>
    <w:rsid w:val="00406C0F"/>
    <w:rsid w:val="00406DEC"/>
    <w:rsid w:val="0040746A"/>
    <w:rsid w:val="00407753"/>
    <w:rsid w:val="00407D17"/>
    <w:rsid w:val="00407E1E"/>
    <w:rsid w:val="004105A7"/>
    <w:rsid w:val="004107D6"/>
    <w:rsid w:val="00410CA9"/>
    <w:rsid w:val="00411AEB"/>
    <w:rsid w:val="00411DC6"/>
    <w:rsid w:val="00412A77"/>
    <w:rsid w:val="00413090"/>
    <w:rsid w:val="00413196"/>
    <w:rsid w:val="00413370"/>
    <w:rsid w:val="00413629"/>
    <w:rsid w:val="00413E52"/>
    <w:rsid w:val="00414353"/>
    <w:rsid w:val="004145F6"/>
    <w:rsid w:val="00414683"/>
    <w:rsid w:val="00415CA1"/>
    <w:rsid w:val="00415E04"/>
    <w:rsid w:val="00416E94"/>
    <w:rsid w:val="00416F1F"/>
    <w:rsid w:val="004172C2"/>
    <w:rsid w:val="0041763C"/>
    <w:rsid w:val="00417F09"/>
    <w:rsid w:val="004211BE"/>
    <w:rsid w:val="0042175A"/>
    <w:rsid w:val="004220E0"/>
    <w:rsid w:val="004229E0"/>
    <w:rsid w:val="00422C28"/>
    <w:rsid w:val="004230B4"/>
    <w:rsid w:val="004235BF"/>
    <w:rsid w:val="00424532"/>
    <w:rsid w:val="00424C47"/>
    <w:rsid w:val="0042542D"/>
    <w:rsid w:val="004256C6"/>
    <w:rsid w:val="00425996"/>
    <w:rsid w:val="00426AB6"/>
    <w:rsid w:val="00426E21"/>
    <w:rsid w:val="00427759"/>
    <w:rsid w:val="00430252"/>
    <w:rsid w:val="004304C1"/>
    <w:rsid w:val="00430C72"/>
    <w:rsid w:val="00431950"/>
    <w:rsid w:val="00431C19"/>
    <w:rsid w:val="00431EF4"/>
    <w:rsid w:val="0043205E"/>
    <w:rsid w:val="00432549"/>
    <w:rsid w:val="004327F3"/>
    <w:rsid w:val="0043284F"/>
    <w:rsid w:val="00432864"/>
    <w:rsid w:val="004331F3"/>
    <w:rsid w:val="004335DA"/>
    <w:rsid w:val="00433705"/>
    <w:rsid w:val="00433EEB"/>
    <w:rsid w:val="004341DC"/>
    <w:rsid w:val="004341EB"/>
    <w:rsid w:val="004343A8"/>
    <w:rsid w:val="0043446B"/>
    <w:rsid w:val="004344A4"/>
    <w:rsid w:val="00434BA0"/>
    <w:rsid w:val="00434FDF"/>
    <w:rsid w:val="00435776"/>
    <w:rsid w:val="0043795D"/>
    <w:rsid w:val="004400AC"/>
    <w:rsid w:val="0044028B"/>
    <w:rsid w:val="00440F1E"/>
    <w:rsid w:val="004411C8"/>
    <w:rsid w:val="004418CF"/>
    <w:rsid w:val="00442181"/>
    <w:rsid w:val="004425AB"/>
    <w:rsid w:val="00442D3B"/>
    <w:rsid w:val="0044338B"/>
    <w:rsid w:val="00443C6B"/>
    <w:rsid w:val="004441D2"/>
    <w:rsid w:val="004446A5"/>
    <w:rsid w:val="004446C0"/>
    <w:rsid w:val="00444CF3"/>
    <w:rsid w:val="004452C0"/>
    <w:rsid w:val="00445EE1"/>
    <w:rsid w:val="00446375"/>
    <w:rsid w:val="00446874"/>
    <w:rsid w:val="00446A19"/>
    <w:rsid w:val="00446A63"/>
    <w:rsid w:val="00446C04"/>
    <w:rsid w:val="00446F3A"/>
    <w:rsid w:val="0044760A"/>
    <w:rsid w:val="00447AE0"/>
    <w:rsid w:val="00447B76"/>
    <w:rsid w:val="0045014C"/>
    <w:rsid w:val="00450151"/>
    <w:rsid w:val="00450335"/>
    <w:rsid w:val="004503CB"/>
    <w:rsid w:val="0045081F"/>
    <w:rsid w:val="00450A02"/>
    <w:rsid w:val="00450B80"/>
    <w:rsid w:val="00451672"/>
    <w:rsid w:val="00452810"/>
    <w:rsid w:val="00452973"/>
    <w:rsid w:val="00452F92"/>
    <w:rsid w:val="004531A6"/>
    <w:rsid w:val="00453662"/>
    <w:rsid w:val="00453850"/>
    <w:rsid w:val="00453B28"/>
    <w:rsid w:val="00453BA0"/>
    <w:rsid w:val="00454769"/>
    <w:rsid w:val="004551DC"/>
    <w:rsid w:val="00455266"/>
    <w:rsid w:val="00455B34"/>
    <w:rsid w:val="004575AB"/>
    <w:rsid w:val="00457EFD"/>
    <w:rsid w:val="00460281"/>
    <w:rsid w:val="004608DE"/>
    <w:rsid w:val="004611F5"/>
    <w:rsid w:val="00461798"/>
    <w:rsid w:val="00461F54"/>
    <w:rsid w:val="0046227F"/>
    <w:rsid w:val="00462E72"/>
    <w:rsid w:val="00463106"/>
    <w:rsid w:val="00463ED6"/>
    <w:rsid w:val="004640EE"/>
    <w:rsid w:val="004642E2"/>
    <w:rsid w:val="00464596"/>
    <w:rsid w:val="0046459B"/>
    <w:rsid w:val="00464E28"/>
    <w:rsid w:val="00464F63"/>
    <w:rsid w:val="004655C7"/>
    <w:rsid w:val="00465E10"/>
    <w:rsid w:val="00466154"/>
    <w:rsid w:val="00466339"/>
    <w:rsid w:val="0046672E"/>
    <w:rsid w:val="00467251"/>
    <w:rsid w:val="00470100"/>
    <w:rsid w:val="004707FA"/>
    <w:rsid w:val="00470D52"/>
    <w:rsid w:val="00471899"/>
    <w:rsid w:val="00471CFD"/>
    <w:rsid w:val="00471EFD"/>
    <w:rsid w:val="00471F7C"/>
    <w:rsid w:val="00472116"/>
    <w:rsid w:val="004721FB"/>
    <w:rsid w:val="0047235E"/>
    <w:rsid w:val="00472760"/>
    <w:rsid w:val="00472C11"/>
    <w:rsid w:val="00472D4B"/>
    <w:rsid w:val="00473E1E"/>
    <w:rsid w:val="00474040"/>
    <w:rsid w:val="0047498E"/>
    <w:rsid w:val="00474D15"/>
    <w:rsid w:val="00475E63"/>
    <w:rsid w:val="004775E9"/>
    <w:rsid w:val="00480483"/>
    <w:rsid w:val="004807FF"/>
    <w:rsid w:val="00481AAE"/>
    <w:rsid w:val="0048272F"/>
    <w:rsid w:val="00482FB6"/>
    <w:rsid w:val="00483000"/>
    <w:rsid w:val="00483A1E"/>
    <w:rsid w:val="004840F9"/>
    <w:rsid w:val="004844F4"/>
    <w:rsid w:val="0048471B"/>
    <w:rsid w:val="00484F61"/>
    <w:rsid w:val="00485111"/>
    <w:rsid w:val="004854D4"/>
    <w:rsid w:val="00485A57"/>
    <w:rsid w:val="0048642B"/>
    <w:rsid w:val="00486CA3"/>
    <w:rsid w:val="00486E1B"/>
    <w:rsid w:val="00487000"/>
    <w:rsid w:val="004875E4"/>
    <w:rsid w:val="00487D81"/>
    <w:rsid w:val="00490983"/>
    <w:rsid w:val="00491288"/>
    <w:rsid w:val="0049184E"/>
    <w:rsid w:val="00491A24"/>
    <w:rsid w:val="00492480"/>
    <w:rsid w:val="00492F75"/>
    <w:rsid w:val="00493177"/>
    <w:rsid w:val="004935CA"/>
    <w:rsid w:val="00496746"/>
    <w:rsid w:val="004968C3"/>
    <w:rsid w:val="00496C36"/>
    <w:rsid w:val="00496DC3"/>
    <w:rsid w:val="004973F2"/>
    <w:rsid w:val="004975AE"/>
    <w:rsid w:val="00497B2D"/>
    <w:rsid w:val="004A0232"/>
    <w:rsid w:val="004A03D8"/>
    <w:rsid w:val="004A03D9"/>
    <w:rsid w:val="004A0587"/>
    <w:rsid w:val="004A05C1"/>
    <w:rsid w:val="004A14C3"/>
    <w:rsid w:val="004A16FC"/>
    <w:rsid w:val="004A1BCC"/>
    <w:rsid w:val="004A1F82"/>
    <w:rsid w:val="004A1F8F"/>
    <w:rsid w:val="004A3285"/>
    <w:rsid w:val="004A34E1"/>
    <w:rsid w:val="004A4305"/>
    <w:rsid w:val="004A47B2"/>
    <w:rsid w:val="004A4C8E"/>
    <w:rsid w:val="004A4E2E"/>
    <w:rsid w:val="004A50C9"/>
    <w:rsid w:val="004A57EF"/>
    <w:rsid w:val="004A5DFF"/>
    <w:rsid w:val="004A6633"/>
    <w:rsid w:val="004A680C"/>
    <w:rsid w:val="004A6B85"/>
    <w:rsid w:val="004A740A"/>
    <w:rsid w:val="004A7C23"/>
    <w:rsid w:val="004B0575"/>
    <w:rsid w:val="004B0777"/>
    <w:rsid w:val="004B0B25"/>
    <w:rsid w:val="004B0B60"/>
    <w:rsid w:val="004B1264"/>
    <w:rsid w:val="004B173B"/>
    <w:rsid w:val="004B1778"/>
    <w:rsid w:val="004B1A6E"/>
    <w:rsid w:val="004B1B78"/>
    <w:rsid w:val="004B1C61"/>
    <w:rsid w:val="004B1F3E"/>
    <w:rsid w:val="004B2443"/>
    <w:rsid w:val="004B2F9F"/>
    <w:rsid w:val="004B339B"/>
    <w:rsid w:val="004B3546"/>
    <w:rsid w:val="004B424F"/>
    <w:rsid w:val="004B4344"/>
    <w:rsid w:val="004B46A2"/>
    <w:rsid w:val="004B4724"/>
    <w:rsid w:val="004B4D9C"/>
    <w:rsid w:val="004B4E37"/>
    <w:rsid w:val="004B5629"/>
    <w:rsid w:val="004B5C79"/>
    <w:rsid w:val="004B6108"/>
    <w:rsid w:val="004B619F"/>
    <w:rsid w:val="004B62AF"/>
    <w:rsid w:val="004B7183"/>
    <w:rsid w:val="004B7FE7"/>
    <w:rsid w:val="004C08C2"/>
    <w:rsid w:val="004C118F"/>
    <w:rsid w:val="004C2472"/>
    <w:rsid w:val="004C2697"/>
    <w:rsid w:val="004C2767"/>
    <w:rsid w:val="004C376B"/>
    <w:rsid w:val="004C37B1"/>
    <w:rsid w:val="004C3D58"/>
    <w:rsid w:val="004C4593"/>
    <w:rsid w:val="004C4F3D"/>
    <w:rsid w:val="004C5792"/>
    <w:rsid w:val="004C5937"/>
    <w:rsid w:val="004C5A81"/>
    <w:rsid w:val="004C5B0C"/>
    <w:rsid w:val="004C7284"/>
    <w:rsid w:val="004C782E"/>
    <w:rsid w:val="004C7B1C"/>
    <w:rsid w:val="004C7EE3"/>
    <w:rsid w:val="004D00F5"/>
    <w:rsid w:val="004D0218"/>
    <w:rsid w:val="004D0E8F"/>
    <w:rsid w:val="004D12A4"/>
    <w:rsid w:val="004D15BE"/>
    <w:rsid w:val="004D1A91"/>
    <w:rsid w:val="004D22CF"/>
    <w:rsid w:val="004D3128"/>
    <w:rsid w:val="004D31D2"/>
    <w:rsid w:val="004D38AC"/>
    <w:rsid w:val="004D454D"/>
    <w:rsid w:val="004D4FFE"/>
    <w:rsid w:val="004D5C43"/>
    <w:rsid w:val="004D71D0"/>
    <w:rsid w:val="004D71D2"/>
    <w:rsid w:val="004D7217"/>
    <w:rsid w:val="004D72D0"/>
    <w:rsid w:val="004D7719"/>
    <w:rsid w:val="004D772B"/>
    <w:rsid w:val="004D7D79"/>
    <w:rsid w:val="004E0D9D"/>
    <w:rsid w:val="004E0FC7"/>
    <w:rsid w:val="004E1006"/>
    <w:rsid w:val="004E16DC"/>
    <w:rsid w:val="004E1C8C"/>
    <w:rsid w:val="004E1F13"/>
    <w:rsid w:val="004E20C6"/>
    <w:rsid w:val="004E35BA"/>
    <w:rsid w:val="004E3DB0"/>
    <w:rsid w:val="004E3DEA"/>
    <w:rsid w:val="004E3ED8"/>
    <w:rsid w:val="004E489F"/>
    <w:rsid w:val="004E4C92"/>
    <w:rsid w:val="004E4D87"/>
    <w:rsid w:val="004E53D9"/>
    <w:rsid w:val="004E5FF2"/>
    <w:rsid w:val="004E6498"/>
    <w:rsid w:val="004E664F"/>
    <w:rsid w:val="004E6C4F"/>
    <w:rsid w:val="004E703E"/>
    <w:rsid w:val="004E7095"/>
    <w:rsid w:val="004E7275"/>
    <w:rsid w:val="004E72B8"/>
    <w:rsid w:val="004E750B"/>
    <w:rsid w:val="004E7658"/>
    <w:rsid w:val="004E7D3C"/>
    <w:rsid w:val="004F0540"/>
    <w:rsid w:val="004F14FD"/>
    <w:rsid w:val="004F17D0"/>
    <w:rsid w:val="004F2043"/>
    <w:rsid w:val="004F2402"/>
    <w:rsid w:val="004F24B8"/>
    <w:rsid w:val="004F36E4"/>
    <w:rsid w:val="004F3CA1"/>
    <w:rsid w:val="004F45EB"/>
    <w:rsid w:val="004F471F"/>
    <w:rsid w:val="004F4860"/>
    <w:rsid w:val="004F4F02"/>
    <w:rsid w:val="004F5928"/>
    <w:rsid w:val="004F68A3"/>
    <w:rsid w:val="004F69F0"/>
    <w:rsid w:val="004F77D1"/>
    <w:rsid w:val="00500913"/>
    <w:rsid w:val="00500CD3"/>
    <w:rsid w:val="00500DDD"/>
    <w:rsid w:val="005010B8"/>
    <w:rsid w:val="00501790"/>
    <w:rsid w:val="00501C20"/>
    <w:rsid w:val="00502073"/>
    <w:rsid w:val="00502B9F"/>
    <w:rsid w:val="00502D5D"/>
    <w:rsid w:val="005030EA"/>
    <w:rsid w:val="00503304"/>
    <w:rsid w:val="005033D5"/>
    <w:rsid w:val="00503AF6"/>
    <w:rsid w:val="005044C0"/>
    <w:rsid w:val="00504A7C"/>
    <w:rsid w:val="00505A65"/>
    <w:rsid w:val="00505DB8"/>
    <w:rsid w:val="00505F11"/>
    <w:rsid w:val="005063A4"/>
    <w:rsid w:val="005071B5"/>
    <w:rsid w:val="005071D6"/>
    <w:rsid w:val="00507D04"/>
    <w:rsid w:val="00507D95"/>
    <w:rsid w:val="00510CA6"/>
    <w:rsid w:val="00511A63"/>
    <w:rsid w:val="00511BFA"/>
    <w:rsid w:val="00511E68"/>
    <w:rsid w:val="00512077"/>
    <w:rsid w:val="005123CB"/>
    <w:rsid w:val="00512D16"/>
    <w:rsid w:val="005131EC"/>
    <w:rsid w:val="005134B3"/>
    <w:rsid w:val="00514B08"/>
    <w:rsid w:val="005156BF"/>
    <w:rsid w:val="005162B2"/>
    <w:rsid w:val="005166C4"/>
    <w:rsid w:val="00516C7D"/>
    <w:rsid w:val="0051791E"/>
    <w:rsid w:val="005203DA"/>
    <w:rsid w:val="00520FB8"/>
    <w:rsid w:val="00521422"/>
    <w:rsid w:val="005219D6"/>
    <w:rsid w:val="00522001"/>
    <w:rsid w:val="005226E2"/>
    <w:rsid w:val="00523FAD"/>
    <w:rsid w:val="005240A2"/>
    <w:rsid w:val="005245F3"/>
    <w:rsid w:val="00525490"/>
    <w:rsid w:val="005255CF"/>
    <w:rsid w:val="00525720"/>
    <w:rsid w:val="00525AEC"/>
    <w:rsid w:val="00525DA3"/>
    <w:rsid w:val="005271C4"/>
    <w:rsid w:val="0052764C"/>
    <w:rsid w:val="00527A13"/>
    <w:rsid w:val="00530D25"/>
    <w:rsid w:val="00530F54"/>
    <w:rsid w:val="00532155"/>
    <w:rsid w:val="00532248"/>
    <w:rsid w:val="005329F1"/>
    <w:rsid w:val="00532B93"/>
    <w:rsid w:val="00532BB7"/>
    <w:rsid w:val="00533212"/>
    <w:rsid w:val="00533239"/>
    <w:rsid w:val="00533331"/>
    <w:rsid w:val="005337C8"/>
    <w:rsid w:val="00533CE8"/>
    <w:rsid w:val="005350E4"/>
    <w:rsid w:val="005357D0"/>
    <w:rsid w:val="00535B28"/>
    <w:rsid w:val="00535E87"/>
    <w:rsid w:val="00536A12"/>
    <w:rsid w:val="00536D37"/>
    <w:rsid w:val="005373B7"/>
    <w:rsid w:val="00537D19"/>
    <w:rsid w:val="00540156"/>
    <w:rsid w:val="0054027F"/>
    <w:rsid w:val="005402B9"/>
    <w:rsid w:val="00540C8C"/>
    <w:rsid w:val="005415DD"/>
    <w:rsid w:val="005417F6"/>
    <w:rsid w:val="00541AB0"/>
    <w:rsid w:val="00541CFF"/>
    <w:rsid w:val="00541EAA"/>
    <w:rsid w:val="005424B4"/>
    <w:rsid w:val="00542C04"/>
    <w:rsid w:val="0054384A"/>
    <w:rsid w:val="00543D56"/>
    <w:rsid w:val="005446CA"/>
    <w:rsid w:val="005449D5"/>
    <w:rsid w:val="00544B47"/>
    <w:rsid w:val="00545179"/>
    <w:rsid w:val="005451B7"/>
    <w:rsid w:val="00545783"/>
    <w:rsid w:val="005458FE"/>
    <w:rsid w:val="00545CC6"/>
    <w:rsid w:val="0054693A"/>
    <w:rsid w:val="00550F18"/>
    <w:rsid w:val="00550FBF"/>
    <w:rsid w:val="00551E42"/>
    <w:rsid w:val="00551EF7"/>
    <w:rsid w:val="00552253"/>
    <w:rsid w:val="00552798"/>
    <w:rsid w:val="00552F37"/>
    <w:rsid w:val="00553014"/>
    <w:rsid w:val="00553295"/>
    <w:rsid w:val="00553453"/>
    <w:rsid w:val="00553932"/>
    <w:rsid w:val="00553987"/>
    <w:rsid w:val="0055406F"/>
    <w:rsid w:val="005540A3"/>
    <w:rsid w:val="00554ED6"/>
    <w:rsid w:val="00555309"/>
    <w:rsid w:val="0055534F"/>
    <w:rsid w:val="0055551A"/>
    <w:rsid w:val="0055563A"/>
    <w:rsid w:val="0055650D"/>
    <w:rsid w:val="005568B2"/>
    <w:rsid w:val="00556A38"/>
    <w:rsid w:val="00557B26"/>
    <w:rsid w:val="00557DA8"/>
    <w:rsid w:val="00561169"/>
    <w:rsid w:val="00561291"/>
    <w:rsid w:val="00561464"/>
    <w:rsid w:val="005618FA"/>
    <w:rsid w:val="00561F34"/>
    <w:rsid w:val="00561FFF"/>
    <w:rsid w:val="005623F2"/>
    <w:rsid w:val="00562EDD"/>
    <w:rsid w:val="0056387F"/>
    <w:rsid w:val="00563A4B"/>
    <w:rsid w:val="00564423"/>
    <w:rsid w:val="00565489"/>
    <w:rsid w:val="0056554B"/>
    <w:rsid w:val="0056568A"/>
    <w:rsid w:val="0056570F"/>
    <w:rsid w:val="005658A7"/>
    <w:rsid w:val="005659B0"/>
    <w:rsid w:val="005659EA"/>
    <w:rsid w:val="00565BDA"/>
    <w:rsid w:val="00566208"/>
    <w:rsid w:val="005663BB"/>
    <w:rsid w:val="005667A8"/>
    <w:rsid w:val="00566A50"/>
    <w:rsid w:val="00567B75"/>
    <w:rsid w:val="00567CEF"/>
    <w:rsid w:val="005701FA"/>
    <w:rsid w:val="00571A9A"/>
    <w:rsid w:val="00571F4A"/>
    <w:rsid w:val="0057225B"/>
    <w:rsid w:val="005724ED"/>
    <w:rsid w:val="00572663"/>
    <w:rsid w:val="00572820"/>
    <w:rsid w:val="005733D2"/>
    <w:rsid w:val="00574D45"/>
    <w:rsid w:val="005751ED"/>
    <w:rsid w:val="00575C50"/>
    <w:rsid w:val="00576083"/>
    <w:rsid w:val="0057653D"/>
    <w:rsid w:val="005768F4"/>
    <w:rsid w:val="0057694A"/>
    <w:rsid w:val="00576E5E"/>
    <w:rsid w:val="00577059"/>
    <w:rsid w:val="0057718E"/>
    <w:rsid w:val="0057725C"/>
    <w:rsid w:val="00577DC8"/>
    <w:rsid w:val="005803AE"/>
    <w:rsid w:val="005807AB"/>
    <w:rsid w:val="005808E1"/>
    <w:rsid w:val="00580C54"/>
    <w:rsid w:val="00580FC7"/>
    <w:rsid w:val="0058162E"/>
    <w:rsid w:val="00581BE2"/>
    <w:rsid w:val="005825EC"/>
    <w:rsid w:val="0058274F"/>
    <w:rsid w:val="00582868"/>
    <w:rsid w:val="00582D0B"/>
    <w:rsid w:val="00582DF0"/>
    <w:rsid w:val="00583047"/>
    <w:rsid w:val="005830F7"/>
    <w:rsid w:val="005835D6"/>
    <w:rsid w:val="00583D68"/>
    <w:rsid w:val="00583E44"/>
    <w:rsid w:val="00584B42"/>
    <w:rsid w:val="005861E2"/>
    <w:rsid w:val="005861EB"/>
    <w:rsid w:val="00586983"/>
    <w:rsid w:val="00586DE5"/>
    <w:rsid w:val="0058719B"/>
    <w:rsid w:val="00587678"/>
    <w:rsid w:val="005878EE"/>
    <w:rsid w:val="005879A4"/>
    <w:rsid w:val="00587A8C"/>
    <w:rsid w:val="00587AA2"/>
    <w:rsid w:val="00587F8E"/>
    <w:rsid w:val="00590A72"/>
    <w:rsid w:val="00590C03"/>
    <w:rsid w:val="00591510"/>
    <w:rsid w:val="0059177B"/>
    <w:rsid w:val="005918C2"/>
    <w:rsid w:val="00591D31"/>
    <w:rsid w:val="00591D82"/>
    <w:rsid w:val="005929A1"/>
    <w:rsid w:val="00592D14"/>
    <w:rsid w:val="00593819"/>
    <w:rsid w:val="005942C9"/>
    <w:rsid w:val="00594443"/>
    <w:rsid w:val="00594471"/>
    <w:rsid w:val="00594AEC"/>
    <w:rsid w:val="00594BAB"/>
    <w:rsid w:val="00594BF1"/>
    <w:rsid w:val="00595066"/>
    <w:rsid w:val="005951D8"/>
    <w:rsid w:val="00595787"/>
    <w:rsid w:val="00595804"/>
    <w:rsid w:val="00595AA1"/>
    <w:rsid w:val="0059605A"/>
    <w:rsid w:val="00596171"/>
    <w:rsid w:val="0059698A"/>
    <w:rsid w:val="005973EA"/>
    <w:rsid w:val="0059760A"/>
    <w:rsid w:val="00597B83"/>
    <w:rsid w:val="00597C12"/>
    <w:rsid w:val="00597CFC"/>
    <w:rsid w:val="005A0592"/>
    <w:rsid w:val="005A09EC"/>
    <w:rsid w:val="005A1938"/>
    <w:rsid w:val="005A1B05"/>
    <w:rsid w:val="005A1B60"/>
    <w:rsid w:val="005A1C6A"/>
    <w:rsid w:val="005A2891"/>
    <w:rsid w:val="005A2AFF"/>
    <w:rsid w:val="005A4739"/>
    <w:rsid w:val="005A4A57"/>
    <w:rsid w:val="005A5645"/>
    <w:rsid w:val="005A5783"/>
    <w:rsid w:val="005A5791"/>
    <w:rsid w:val="005A5913"/>
    <w:rsid w:val="005A5B52"/>
    <w:rsid w:val="005A5C61"/>
    <w:rsid w:val="005A685A"/>
    <w:rsid w:val="005A6D9B"/>
    <w:rsid w:val="005A6E56"/>
    <w:rsid w:val="005A723F"/>
    <w:rsid w:val="005A751B"/>
    <w:rsid w:val="005B03AD"/>
    <w:rsid w:val="005B063C"/>
    <w:rsid w:val="005B094E"/>
    <w:rsid w:val="005B0C58"/>
    <w:rsid w:val="005B1A3E"/>
    <w:rsid w:val="005B1AD6"/>
    <w:rsid w:val="005B1B02"/>
    <w:rsid w:val="005B1B1C"/>
    <w:rsid w:val="005B2074"/>
    <w:rsid w:val="005B20D9"/>
    <w:rsid w:val="005B2EDB"/>
    <w:rsid w:val="005B33DD"/>
    <w:rsid w:val="005B3528"/>
    <w:rsid w:val="005B3A16"/>
    <w:rsid w:val="005B3CF3"/>
    <w:rsid w:val="005B47A8"/>
    <w:rsid w:val="005B48F4"/>
    <w:rsid w:val="005B51C2"/>
    <w:rsid w:val="005B533E"/>
    <w:rsid w:val="005B602F"/>
    <w:rsid w:val="005B6112"/>
    <w:rsid w:val="005B64E0"/>
    <w:rsid w:val="005B6A44"/>
    <w:rsid w:val="005B6C9F"/>
    <w:rsid w:val="005B719B"/>
    <w:rsid w:val="005B7FDE"/>
    <w:rsid w:val="005C0040"/>
    <w:rsid w:val="005C075C"/>
    <w:rsid w:val="005C08BB"/>
    <w:rsid w:val="005C097E"/>
    <w:rsid w:val="005C0A6C"/>
    <w:rsid w:val="005C0ED0"/>
    <w:rsid w:val="005C14D6"/>
    <w:rsid w:val="005C168E"/>
    <w:rsid w:val="005C16BA"/>
    <w:rsid w:val="005C16C0"/>
    <w:rsid w:val="005C295A"/>
    <w:rsid w:val="005C3154"/>
    <w:rsid w:val="005C35B5"/>
    <w:rsid w:val="005C3612"/>
    <w:rsid w:val="005C3C79"/>
    <w:rsid w:val="005C3DBD"/>
    <w:rsid w:val="005C4323"/>
    <w:rsid w:val="005C4D9B"/>
    <w:rsid w:val="005C524B"/>
    <w:rsid w:val="005C57E1"/>
    <w:rsid w:val="005C5FD9"/>
    <w:rsid w:val="005C5FEA"/>
    <w:rsid w:val="005C63DA"/>
    <w:rsid w:val="005C6639"/>
    <w:rsid w:val="005C698E"/>
    <w:rsid w:val="005C6A4B"/>
    <w:rsid w:val="005C7300"/>
    <w:rsid w:val="005C77EF"/>
    <w:rsid w:val="005D0A0F"/>
    <w:rsid w:val="005D0EE2"/>
    <w:rsid w:val="005D1276"/>
    <w:rsid w:val="005D180A"/>
    <w:rsid w:val="005D1847"/>
    <w:rsid w:val="005D1DB4"/>
    <w:rsid w:val="005D2A71"/>
    <w:rsid w:val="005D2CA2"/>
    <w:rsid w:val="005D3020"/>
    <w:rsid w:val="005D3796"/>
    <w:rsid w:val="005D429A"/>
    <w:rsid w:val="005D5147"/>
    <w:rsid w:val="005D5407"/>
    <w:rsid w:val="005D56BD"/>
    <w:rsid w:val="005D5983"/>
    <w:rsid w:val="005D59A4"/>
    <w:rsid w:val="005D59AF"/>
    <w:rsid w:val="005D5AB0"/>
    <w:rsid w:val="005D5C53"/>
    <w:rsid w:val="005D633B"/>
    <w:rsid w:val="005D73F7"/>
    <w:rsid w:val="005D747F"/>
    <w:rsid w:val="005D770A"/>
    <w:rsid w:val="005D7E2A"/>
    <w:rsid w:val="005E0028"/>
    <w:rsid w:val="005E00EC"/>
    <w:rsid w:val="005E03F2"/>
    <w:rsid w:val="005E0584"/>
    <w:rsid w:val="005E0729"/>
    <w:rsid w:val="005E08FB"/>
    <w:rsid w:val="005E12AE"/>
    <w:rsid w:val="005E14C2"/>
    <w:rsid w:val="005E1933"/>
    <w:rsid w:val="005E19B9"/>
    <w:rsid w:val="005E20D4"/>
    <w:rsid w:val="005E2A98"/>
    <w:rsid w:val="005E2E33"/>
    <w:rsid w:val="005E2F28"/>
    <w:rsid w:val="005E367E"/>
    <w:rsid w:val="005E3D52"/>
    <w:rsid w:val="005E41BB"/>
    <w:rsid w:val="005E49FF"/>
    <w:rsid w:val="005E4D27"/>
    <w:rsid w:val="005E5043"/>
    <w:rsid w:val="005E542F"/>
    <w:rsid w:val="005E5EB5"/>
    <w:rsid w:val="005E704D"/>
    <w:rsid w:val="005E7118"/>
    <w:rsid w:val="005E7414"/>
    <w:rsid w:val="005E742C"/>
    <w:rsid w:val="005E7AFD"/>
    <w:rsid w:val="005F3265"/>
    <w:rsid w:val="005F3931"/>
    <w:rsid w:val="005F42BF"/>
    <w:rsid w:val="005F4F90"/>
    <w:rsid w:val="005F55DC"/>
    <w:rsid w:val="005F574B"/>
    <w:rsid w:val="005F5895"/>
    <w:rsid w:val="005F5909"/>
    <w:rsid w:val="005F59A5"/>
    <w:rsid w:val="005F5BE5"/>
    <w:rsid w:val="005F5D46"/>
    <w:rsid w:val="005F5FB9"/>
    <w:rsid w:val="005F6209"/>
    <w:rsid w:val="005F681B"/>
    <w:rsid w:val="005F7195"/>
    <w:rsid w:val="005F78AC"/>
    <w:rsid w:val="005F7CBC"/>
    <w:rsid w:val="006003E4"/>
    <w:rsid w:val="00600425"/>
    <w:rsid w:val="006004BB"/>
    <w:rsid w:val="00600616"/>
    <w:rsid w:val="0060190F"/>
    <w:rsid w:val="00602012"/>
    <w:rsid w:val="00602D6E"/>
    <w:rsid w:val="00603773"/>
    <w:rsid w:val="00604C97"/>
    <w:rsid w:val="00604FD0"/>
    <w:rsid w:val="0060501E"/>
    <w:rsid w:val="0060552D"/>
    <w:rsid w:val="00605FB1"/>
    <w:rsid w:val="006064DE"/>
    <w:rsid w:val="00606839"/>
    <w:rsid w:val="006069CA"/>
    <w:rsid w:val="00606C7C"/>
    <w:rsid w:val="006077C4"/>
    <w:rsid w:val="00607E06"/>
    <w:rsid w:val="00607F3B"/>
    <w:rsid w:val="00607F8B"/>
    <w:rsid w:val="00611E57"/>
    <w:rsid w:val="006120F4"/>
    <w:rsid w:val="00612577"/>
    <w:rsid w:val="006128D7"/>
    <w:rsid w:val="00612A61"/>
    <w:rsid w:val="00612A9A"/>
    <w:rsid w:val="00612BE2"/>
    <w:rsid w:val="00613693"/>
    <w:rsid w:val="00613DF3"/>
    <w:rsid w:val="006144FC"/>
    <w:rsid w:val="00614C1C"/>
    <w:rsid w:val="00614CF7"/>
    <w:rsid w:val="00615340"/>
    <w:rsid w:val="00616AD2"/>
    <w:rsid w:val="0061701E"/>
    <w:rsid w:val="00617304"/>
    <w:rsid w:val="0061764A"/>
    <w:rsid w:val="00620459"/>
    <w:rsid w:val="006205A9"/>
    <w:rsid w:val="00620700"/>
    <w:rsid w:val="006207C5"/>
    <w:rsid w:val="006213FA"/>
    <w:rsid w:val="006217A2"/>
    <w:rsid w:val="00622019"/>
    <w:rsid w:val="006229EC"/>
    <w:rsid w:val="00622B9D"/>
    <w:rsid w:val="00622CE2"/>
    <w:rsid w:val="0062336D"/>
    <w:rsid w:val="00623E5E"/>
    <w:rsid w:val="00624168"/>
    <w:rsid w:val="00624188"/>
    <w:rsid w:val="00624567"/>
    <w:rsid w:val="006245DD"/>
    <w:rsid w:val="00624A78"/>
    <w:rsid w:val="00624C34"/>
    <w:rsid w:val="00624D88"/>
    <w:rsid w:val="00626343"/>
    <w:rsid w:val="00626474"/>
    <w:rsid w:val="00626807"/>
    <w:rsid w:val="00626831"/>
    <w:rsid w:val="00627EFF"/>
    <w:rsid w:val="006306D1"/>
    <w:rsid w:val="0063146D"/>
    <w:rsid w:val="0063156F"/>
    <w:rsid w:val="00631572"/>
    <w:rsid w:val="00632253"/>
    <w:rsid w:val="00632996"/>
    <w:rsid w:val="00632CCE"/>
    <w:rsid w:val="0063369A"/>
    <w:rsid w:val="00633C35"/>
    <w:rsid w:val="0063461E"/>
    <w:rsid w:val="00634C3B"/>
    <w:rsid w:val="00635B5F"/>
    <w:rsid w:val="00636290"/>
    <w:rsid w:val="00637280"/>
    <w:rsid w:val="00637AB1"/>
    <w:rsid w:val="00637DBF"/>
    <w:rsid w:val="006404ED"/>
    <w:rsid w:val="00640691"/>
    <w:rsid w:val="00640E9A"/>
    <w:rsid w:val="00640FBB"/>
    <w:rsid w:val="0064195D"/>
    <w:rsid w:val="00641AE0"/>
    <w:rsid w:val="006433A7"/>
    <w:rsid w:val="006434C3"/>
    <w:rsid w:val="00644379"/>
    <w:rsid w:val="006445A5"/>
    <w:rsid w:val="00644D04"/>
    <w:rsid w:val="00645CB1"/>
    <w:rsid w:val="00646A36"/>
    <w:rsid w:val="00646B61"/>
    <w:rsid w:val="0064733E"/>
    <w:rsid w:val="00647B2A"/>
    <w:rsid w:val="006509EA"/>
    <w:rsid w:val="00650BC7"/>
    <w:rsid w:val="00650D00"/>
    <w:rsid w:val="00650E6C"/>
    <w:rsid w:val="00650EB6"/>
    <w:rsid w:val="006513CA"/>
    <w:rsid w:val="0065185C"/>
    <w:rsid w:val="00652603"/>
    <w:rsid w:val="00653FB7"/>
    <w:rsid w:val="006540C0"/>
    <w:rsid w:val="00656B59"/>
    <w:rsid w:val="006574E3"/>
    <w:rsid w:val="00657752"/>
    <w:rsid w:val="006578AF"/>
    <w:rsid w:val="00657994"/>
    <w:rsid w:val="006579D6"/>
    <w:rsid w:val="00657F53"/>
    <w:rsid w:val="00660012"/>
    <w:rsid w:val="0066003A"/>
    <w:rsid w:val="00660170"/>
    <w:rsid w:val="00660577"/>
    <w:rsid w:val="00660593"/>
    <w:rsid w:val="00660CB8"/>
    <w:rsid w:val="00660CF2"/>
    <w:rsid w:val="00660E54"/>
    <w:rsid w:val="00661032"/>
    <w:rsid w:val="00661294"/>
    <w:rsid w:val="006621DE"/>
    <w:rsid w:val="00662698"/>
    <w:rsid w:val="0066296A"/>
    <w:rsid w:val="00663435"/>
    <w:rsid w:val="00663A68"/>
    <w:rsid w:val="00665D09"/>
    <w:rsid w:val="00666753"/>
    <w:rsid w:val="0066735F"/>
    <w:rsid w:val="006674DF"/>
    <w:rsid w:val="00670BA5"/>
    <w:rsid w:val="0067191B"/>
    <w:rsid w:val="00671B88"/>
    <w:rsid w:val="00671EB5"/>
    <w:rsid w:val="006720DF"/>
    <w:rsid w:val="0067304D"/>
    <w:rsid w:val="006737CA"/>
    <w:rsid w:val="00673CB5"/>
    <w:rsid w:val="006740C2"/>
    <w:rsid w:val="00674B3F"/>
    <w:rsid w:val="00675784"/>
    <w:rsid w:val="006764F0"/>
    <w:rsid w:val="006769B5"/>
    <w:rsid w:val="00677A0E"/>
    <w:rsid w:val="00680673"/>
    <w:rsid w:val="00680903"/>
    <w:rsid w:val="00681572"/>
    <w:rsid w:val="00681BD1"/>
    <w:rsid w:val="00681DA7"/>
    <w:rsid w:val="00681F6C"/>
    <w:rsid w:val="00682187"/>
    <w:rsid w:val="006821AF"/>
    <w:rsid w:val="006821EC"/>
    <w:rsid w:val="00682638"/>
    <w:rsid w:val="006829B1"/>
    <w:rsid w:val="00682DB5"/>
    <w:rsid w:val="00682F17"/>
    <w:rsid w:val="0068379C"/>
    <w:rsid w:val="0068468F"/>
    <w:rsid w:val="00684B80"/>
    <w:rsid w:val="00684E8B"/>
    <w:rsid w:val="0068521D"/>
    <w:rsid w:val="00686407"/>
    <w:rsid w:val="006868DA"/>
    <w:rsid w:val="006873B0"/>
    <w:rsid w:val="006874D7"/>
    <w:rsid w:val="00687823"/>
    <w:rsid w:val="0068790A"/>
    <w:rsid w:val="00691191"/>
    <w:rsid w:val="00691812"/>
    <w:rsid w:val="00692A28"/>
    <w:rsid w:val="0069398E"/>
    <w:rsid w:val="00694017"/>
    <w:rsid w:val="006943C7"/>
    <w:rsid w:val="00694E33"/>
    <w:rsid w:val="00694EB5"/>
    <w:rsid w:val="00695E23"/>
    <w:rsid w:val="00696EA3"/>
    <w:rsid w:val="006970B6"/>
    <w:rsid w:val="0069722F"/>
    <w:rsid w:val="00697250"/>
    <w:rsid w:val="00697374"/>
    <w:rsid w:val="00697FCF"/>
    <w:rsid w:val="006A0C2F"/>
    <w:rsid w:val="006A0CA2"/>
    <w:rsid w:val="006A1026"/>
    <w:rsid w:val="006A1437"/>
    <w:rsid w:val="006A18E7"/>
    <w:rsid w:val="006A1930"/>
    <w:rsid w:val="006A1C88"/>
    <w:rsid w:val="006A2123"/>
    <w:rsid w:val="006A25B4"/>
    <w:rsid w:val="006A4A28"/>
    <w:rsid w:val="006A4E0C"/>
    <w:rsid w:val="006A4EA7"/>
    <w:rsid w:val="006A5ABD"/>
    <w:rsid w:val="006A6875"/>
    <w:rsid w:val="006A6B24"/>
    <w:rsid w:val="006A7C48"/>
    <w:rsid w:val="006A7EFE"/>
    <w:rsid w:val="006B04FE"/>
    <w:rsid w:val="006B0857"/>
    <w:rsid w:val="006B09FE"/>
    <w:rsid w:val="006B144B"/>
    <w:rsid w:val="006B1673"/>
    <w:rsid w:val="006B2226"/>
    <w:rsid w:val="006B2622"/>
    <w:rsid w:val="006B2FBD"/>
    <w:rsid w:val="006B3081"/>
    <w:rsid w:val="006B34C9"/>
    <w:rsid w:val="006B45DC"/>
    <w:rsid w:val="006B4907"/>
    <w:rsid w:val="006B50CA"/>
    <w:rsid w:val="006B52FD"/>
    <w:rsid w:val="006B5A89"/>
    <w:rsid w:val="006B5CE3"/>
    <w:rsid w:val="006B5E93"/>
    <w:rsid w:val="006B5F20"/>
    <w:rsid w:val="006B6652"/>
    <w:rsid w:val="006B6F7F"/>
    <w:rsid w:val="006B78A0"/>
    <w:rsid w:val="006B78DF"/>
    <w:rsid w:val="006B7E18"/>
    <w:rsid w:val="006C0539"/>
    <w:rsid w:val="006C0808"/>
    <w:rsid w:val="006C0A96"/>
    <w:rsid w:val="006C1E5A"/>
    <w:rsid w:val="006C1EE8"/>
    <w:rsid w:val="006C22DC"/>
    <w:rsid w:val="006C2A38"/>
    <w:rsid w:val="006C2EA9"/>
    <w:rsid w:val="006C3264"/>
    <w:rsid w:val="006C346A"/>
    <w:rsid w:val="006C35A6"/>
    <w:rsid w:val="006C3A58"/>
    <w:rsid w:val="006C40A3"/>
    <w:rsid w:val="006C5BB8"/>
    <w:rsid w:val="006C60A8"/>
    <w:rsid w:val="006C6242"/>
    <w:rsid w:val="006C64AB"/>
    <w:rsid w:val="006C64F6"/>
    <w:rsid w:val="006C65F9"/>
    <w:rsid w:val="006C6AC6"/>
    <w:rsid w:val="006C7516"/>
    <w:rsid w:val="006C765C"/>
    <w:rsid w:val="006C77D3"/>
    <w:rsid w:val="006C783B"/>
    <w:rsid w:val="006C79B3"/>
    <w:rsid w:val="006C7AC6"/>
    <w:rsid w:val="006C7C00"/>
    <w:rsid w:val="006D0064"/>
    <w:rsid w:val="006D0193"/>
    <w:rsid w:val="006D1596"/>
    <w:rsid w:val="006D18D4"/>
    <w:rsid w:val="006D1CDF"/>
    <w:rsid w:val="006D20C4"/>
    <w:rsid w:val="006D2423"/>
    <w:rsid w:val="006D3F5C"/>
    <w:rsid w:val="006D430B"/>
    <w:rsid w:val="006D4A0F"/>
    <w:rsid w:val="006D50FE"/>
    <w:rsid w:val="006D5425"/>
    <w:rsid w:val="006D58DB"/>
    <w:rsid w:val="006D5D84"/>
    <w:rsid w:val="006D665A"/>
    <w:rsid w:val="006D6D90"/>
    <w:rsid w:val="006D6FDD"/>
    <w:rsid w:val="006D7008"/>
    <w:rsid w:val="006D7107"/>
    <w:rsid w:val="006D71B1"/>
    <w:rsid w:val="006E1904"/>
    <w:rsid w:val="006E1E7A"/>
    <w:rsid w:val="006E2372"/>
    <w:rsid w:val="006E25C0"/>
    <w:rsid w:val="006E2692"/>
    <w:rsid w:val="006E2920"/>
    <w:rsid w:val="006E2E57"/>
    <w:rsid w:val="006E3621"/>
    <w:rsid w:val="006E3CE4"/>
    <w:rsid w:val="006E3FB3"/>
    <w:rsid w:val="006E4333"/>
    <w:rsid w:val="006E4911"/>
    <w:rsid w:val="006E4A84"/>
    <w:rsid w:val="006E5C9F"/>
    <w:rsid w:val="006E6370"/>
    <w:rsid w:val="006E6F8D"/>
    <w:rsid w:val="006E76CF"/>
    <w:rsid w:val="006F0CF6"/>
    <w:rsid w:val="006F10BB"/>
    <w:rsid w:val="006F12BE"/>
    <w:rsid w:val="006F1901"/>
    <w:rsid w:val="006F1BA2"/>
    <w:rsid w:val="006F20E7"/>
    <w:rsid w:val="006F234B"/>
    <w:rsid w:val="006F2A40"/>
    <w:rsid w:val="006F300B"/>
    <w:rsid w:val="006F319B"/>
    <w:rsid w:val="006F4199"/>
    <w:rsid w:val="006F4279"/>
    <w:rsid w:val="006F4B7E"/>
    <w:rsid w:val="006F5F2C"/>
    <w:rsid w:val="006F69A2"/>
    <w:rsid w:val="006F7A10"/>
    <w:rsid w:val="007002CF"/>
    <w:rsid w:val="00700675"/>
    <w:rsid w:val="0070069E"/>
    <w:rsid w:val="00701386"/>
    <w:rsid w:val="00701D59"/>
    <w:rsid w:val="00702144"/>
    <w:rsid w:val="00702DE7"/>
    <w:rsid w:val="007036D8"/>
    <w:rsid w:val="0070375D"/>
    <w:rsid w:val="00703F0D"/>
    <w:rsid w:val="007040B5"/>
    <w:rsid w:val="0070444D"/>
    <w:rsid w:val="00704609"/>
    <w:rsid w:val="0070546F"/>
    <w:rsid w:val="00705B1F"/>
    <w:rsid w:val="00705E5E"/>
    <w:rsid w:val="00706370"/>
    <w:rsid w:val="00706AD3"/>
    <w:rsid w:val="00706D20"/>
    <w:rsid w:val="00706F2D"/>
    <w:rsid w:val="00707217"/>
    <w:rsid w:val="00707FE9"/>
    <w:rsid w:val="00710E49"/>
    <w:rsid w:val="00711497"/>
    <w:rsid w:val="0071152E"/>
    <w:rsid w:val="007117E1"/>
    <w:rsid w:val="00711E1E"/>
    <w:rsid w:val="00711EF5"/>
    <w:rsid w:val="00712D23"/>
    <w:rsid w:val="00712D6B"/>
    <w:rsid w:val="00712FA9"/>
    <w:rsid w:val="007131FD"/>
    <w:rsid w:val="007147CB"/>
    <w:rsid w:val="00714B1D"/>
    <w:rsid w:val="00714E27"/>
    <w:rsid w:val="007152AC"/>
    <w:rsid w:val="007153B5"/>
    <w:rsid w:val="007153CF"/>
    <w:rsid w:val="00716625"/>
    <w:rsid w:val="00716A5D"/>
    <w:rsid w:val="00716CE9"/>
    <w:rsid w:val="00716D77"/>
    <w:rsid w:val="00717823"/>
    <w:rsid w:val="00717AA0"/>
    <w:rsid w:val="00717EA1"/>
    <w:rsid w:val="0072000C"/>
    <w:rsid w:val="00720616"/>
    <w:rsid w:val="00720F6C"/>
    <w:rsid w:val="0072233B"/>
    <w:rsid w:val="00722DB1"/>
    <w:rsid w:val="00723BD5"/>
    <w:rsid w:val="00723C17"/>
    <w:rsid w:val="00723FEF"/>
    <w:rsid w:val="007242A9"/>
    <w:rsid w:val="00725E9C"/>
    <w:rsid w:val="007265E9"/>
    <w:rsid w:val="00726B4B"/>
    <w:rsid w:val="00726C74"/>
    <w:rsid w:val="00727BBB"/>
    <w:rsid w:val="00727D55"/>
    <w:rsid w:val="00727E38"/>
    <w:rsid w:val="00730242"/>
    <w:rsid w:val="007314B1"/>
    <w:rsid w:val="00731619"/>
    <w:rsid w:val="007317A6"/>
    <w:rsid w:val="00732020"/>
    <w:rsid w:val="007321C4"/>
    <w:rsid w:val="00732BDE"/>
    <w:rsid w:val="00732C56"/>
    <w:rsid w:val="0073325F"/>
    <w:rsid w:val="00733B16"/>
    <w:rsid w:val="0073449E"/>
    <w:rsid w:val="00734537"/>
    <w:rsid w:val="007345DF"/>
    <w:rsid w:val="00734643"/>
    <w:rsid w:val="0073465C"/>
    <w:rsid w:val="007349A5"/>
    <w:rsid w:val="0073666C"/>
    <w:rsid w:val="007368A3"/>
    <w:rsid w:val="00736C15"/>
    <w:rsid w:val="00737E66"/>
    <w:rsid w:val="00737E89"/>
    <w:rsid w:val="007403A8"/>
    <w:rsid w:val="007404A4"/>
    <w:rsid w:val="00740D30"/>
    <w:rsid w:val="00740DE7"/>
    <w:rsid w:val="00740E87"/>
    <w:rsid w:val="007421A4"/>
    <w:rsid w:val="0074252C"/>
    <w:rsid w:val="00742586"/>
    <w:rsid w:val="007426CC"/>
    <w:rsid w:val="00743040"/>
    <w:rsid w:val="0074364C"/>
    <w:rsid w:val="007438C7"/>
    <w:rsid w:val="00743DF7"/>
    <w:rsid w:val="00744699"/>
    <w:rsid w:val="00744ABA"/>
    <w:rsid w:val="00744CE5"/>
    <w:rsid w:val="007451D8"/>
    <w:rsid w:val="00745452"/>
    <w:rsid w:val="00745A38"/>
    <w:rsid w:val="00746BA6"/>
    <w:rsid w:val="00746C7C"/>
    <w:rsid w:val="00746C89"/>
    <w:rsid w:val="0074747A"/>
    <w:rsid w:val="0074752B"/>
    <w:rsid w:val="007502CB"/>
    <w:rsid w:val="00750AF9"/>
    <w:rsid w:val="00751C8B"/>
    <w:rsid w:val="00751DFF"/>
    <w:rsid w:val="0075283C"/>
    <w:rsid w:val="00752B88"/>
    <w:rsid w:val="007532EF"/>
    <w:rsid w:val="00753718"/>
    <w:rsid w:val="007539FA"/>
    <w:rsid w:val="00753BC8"/>
    <w:rsid w:val="007541B8"/>
    <w:rsid w:val="0075438B"/>
    <w:rsid w:val="00754948"/>
    <w:rsid w:val="00754EE8"/>
    <w:rsid w:val="00755861"/>
    <w:rsid w:val="00756A07"/>
    <w:rsid w:val="00756A0F"/>
    <w:rsid w:val="00756B57"/>
    <w:rsid w:val="00757136"/>
    <w:rsid w:val="00757662"/>
    <w:rsid w:val="007579DD"/>
    <w:rsid w:val="00757EBE"/>
    <w:rsid w:val="00760423"/>
    <w:rsid w:val="00760D33"/>
    <w:rsid w:val="00761A3F"/>
    <w:rsid w:val="00761FF4"/>
    <w:rsid w:val="00762672"/>
    <w:rsid w:val="00762D9B"/>
    <w:rsid w:val="00762F9C"/>
    <w:rsid w:val="007638B4"/>
    <w:rsid w:val="00764312"/>
    <w:rsid w:val="0076510F"/>
    <w:rsid w:val="007651AC"/>
    <w:rsid w:val="00765C92"/>
    <w:rsid w:val="00766AA7"/>
    <w:rsid w:val="00767741"/>
    <w:rsid w:val="0076788D"/>
    <w:rsid w:val="00767DED"/>
    <w:rsid w:val="00770256"/>
    <w:rsid w:val="007702F1"/>
    <w:rsid w:val="007705FF"/>
    <w:rsid w:val="00770DEF"/>
    <w:rsid w:val="00771253"/>
    <w:rsid w:val="00771F21"/>
    <w:rsid w:val="00772A14"/>
    <w:rsid w:val="00772B4C"/>
    <w:rsid w:val="007732A1"/>
    <w:rsid w:val="00773315"/>
    <w:rsid w:val="00773798"/>
    <w:rsid w:val="00773AD2"/>
    <w:rsid w:val="007743B6"/>
    <w:rsid w:val="00774555"/>
    <w:rsid w:val="00774EC3"/>
    <w:rsid w:val="007757A2"/>
    <w:rsid w:val="00776248"/>
    <w:rsid w:val="0077625B"/>
    <w:rsid w:val="00776A80"/>
    <w:rsid w:val="007778B6"/>
    <w:rsid w:val="00777DE1"/>
    <w:rsid w:val="00777F26"/>
    <w:rsid w:val="007801C5"/>
    <w:rsid w:val="00780DDF"/>
    <w:rsid w:val="007811AB"/>
    <w:rsid w:val="0078149D"/>
    <w:rsid w:val="00781BAB"/>
    <w:rsid w:val="00781EB2"/>
    <w:rsid w:val="00781F6F"/>
    <w:rsid w:val="007823C9"/>
    <w:rsid w:val="007825C8"/>
    <w:rsid w:val="007825D0"/>
    <w:rsid w:val="0078320A"/>
    <w:rsid w:val="00783C07"/>
    <w:rsid w:val="007846F9"/>
    <w:rsid w:val="00784B69"/>
    <w:rsid w:val="00785DB9"/>
    <w:rsid w:val="00786050"/>
    <w:rsid w:val="007860B6"/>
    <w:rsid w:val="00786182"/>
    <w:rsid w:val="0078696E"/>
    <w:rsid w:val="00787AE2"/>
    <w:rsid w:val="007900F7"/>
    <w:rsid w:val="00790149"/>
    <w:rsid w:val="00790C0E"/>
    <w:rsid w:val="00790E3C"/>
    <w:rsid w:val="00791370"/>
    <w:rsid w:val="00791C39"/>
    <w:rsid w:val="00791D8C"/>
    <w:rsid w:val="00791DE0"/>
    <w:rsid w:val="00791E66"/>
    <w:rsid w:val="0079266D"/>
    <w:rsid w:val="007926DA"/>
    <w:rsid w:val="00792BCD"/>
    <w:rsid w:val="00792C73"/>
    <w:rsid w:val="00792D29"/>
    <w:rsid w:val="00793FE0"/>
    <w:rsid w:val="0079467E"/>
    <w:rsid w:val="007959B0"/>
    <w:rsid w:val="00795C10"/>
    <w:rsid w:val="0079633A"/>
    <w:rsid w:val="0079684A"/>
    <w:rsid w:val="007969CA"/>
    <w:rsid w:val="00797F97"/>
    <w:rsid w:val="007A095F"/>
    <w:rsid w:val="007A182D"/>
    <w:rsid w:val="007A1845"/>
    <w:rsid w:val="007A2F25"/>
    <w:rsid w:val="007A32A3"/>
    <w:rsid w:val="007A34D5"/>
    <w:rsid w:val="007A36E9"/>
    <w:rsid w:val="007A3D39"/>
    <w:rsid w:val="007A4C98"/>
    <w:rsid w:val="007A5F59"/>
    <w:rsid w:val="007A67A0"/>
    <w:rsid w:val="007A68D4"/>
    <w:rsid w:val="007A7362"/>
    <w:rsid w:val="007A7D5D"/>
    <w:rsid w:val="007B111C"/>
    <w:rsid w:val="007B1177"/>
    <w:rsid w:val="007B19EE"/>
    <w:rsid w:val="007B1B28"/>
    <w:rsid w:val="007B1D03"/>
    <w:rsid w:val="007B2384"/>
    <w:rsid w:val="007B261B"/>
    <w:rsid w:val="007B307B"/>
    <w:rsid w:val="007B3594"/>
    <w:rsid w:val="007B3672"/>
    <w:rsid w:val="007B3A46"/>
    <w:rsid w:val="007B3D03"/>
    <w:rsid w:val="007B4234"/>
    <w:rsid w:val="007B43EF"/>
    <w:rsid w:val="007B48F6"/>
    <w:rsid w:val="007B5597"/>
    <w:rsid w:val="007B5CD8"/>
    <w:rsid w:val="007B6ACD"/>
    <w:rsid w:val="007B70C3"/>
    <w:rsid w:val="007C0462"/>
    <w:rsid w:val="007C0483"/>
    <w:rsid w:val="007C06DD"/>
    <w:rsid w:val="007C0E8C"/>
    <w:rsid w:val="007C2434"/>
    <w:rsid w:val="007C2C91"/>
    <w:rsid w:val="007C3251"/>
    <w:rsid w:val="007C3378"/>
    <w:rsid w:val="007C3563"/>
    <w:rsid w:val="007C35AD"/>
    <w:rsid w:val="007C4571"/>
    <w:rsid w:val="007C4AA5"/>
    <w:rsid w:val="007C59A9"/>
    <w:rsid w:val="007C5D56"/>
    <w:rsid w:val="007C6A73"/>
    <w:rsid w:val="007C6C80"/>
    <w:rsid w:val="007C6DD5"/>
    <w:rsid w:val="007C71EB"/>
    <w:rsid w:val="007C7965"/>
    <w:rsid w:val="007D0118"/>
    <w:rsid w:val="007D02A5"/>
    <w:rsid w:val="007D0478"/>
    <w:rsid w:val="007D0D7B"/>
    <w:rsid w:val="007D0F74"/>
    <w:rsid w:val="007D1295"/>
    <w:rsid w:val="007D1878"/>
    <w:rsid w:val="007D1C34"/>
    <w:rsid w:val="007D1D34"/>
    <w:rsid w:val="007D283E"/>
    <w:rsid w:val="007D39D6"/>
    <w:rsid w:val="007D3A11"/>
    <w:rsid w:val="007D3C5A"/>
    <w:rsid w:val="007D3EDC"/>
    <w:rsid w:val="007D4088"/>
    <w:rsid w:val="007D4846"/>
    <w:rsid w:val="007D5218"/>
    <w:rsid w:val="007D53D0"/>
    <w:rsid w:val="007D5A9C"/>
    <w:rsid w:val="007D5F85"/>
    <w:rsid w:val="007D69BB"/>
    <w:rsid w:val="007D6B37"/>
    <w:rsid w:val="007D6B8D"/>
    <w:rsid w:val="007D6F25"/>
    <w:rsid w:val="007D70FB"/>
    <w:rsid w:val="007D723D"/>
    <w:rsid w:val="007D7F62"/>
    <w:rsid w:val="007E01AC"/>
    <w:rsid w:val="007E0335"/>
    <w:rsid w:val="007E1338"/>
    <w:rsid w:val="007E144E"/>
    <w:rsid w:val="007E17BD"/>
    <w:rsid w:val="007E190D"/>
    <w:rsid w:val="007E1961"/>
    <w:rsid w:val="007E1A3D"/>
    <w:rsid w:val="007E1A40"/>
    <w:rsid w:val="007E2CF0"/>
    <w:rsid w:val="007E320D"/>
    <w:rsid w:val="007E32FD"/>
    <w:rsid w:val="007E366D"/>
    <w:rsid w:val="007E37DF"/>
    <w:rsid w:val="007E37E4"/>
    <w:rsid w:val="007E3F90"/>
    <w:rsid w:val="007E401A"/>
    <w:rsid w:val="007E4118"/>
    <w:rsid w:val="007E4921"/>
    <w:rsid w:val="007E4EBA"/>
    <w:rsid w:val="007E4F33"/>
    <w:rsid w:val="007E5733"/>
    <w:rsid w:val="007E59C0"/>
    <w:rsid w:val="007E60AB"/>
    <w:rsid w:val="007E7115"/>
    <w:rsid w:val="007E7156"/>
    <w:rsid w:val="007E7784"/>
    <w:rsid w:val="007F00CC"/>
    <w:rsid w:val="007F0346"/>
    <w:rsid w:val="007F0B8C"/>
    <w:rsid w:val="007F0BA3"/>
    <w:rsid w:val="007F101B"/>
    <w:rsid w:val="007F125F"/>
    <w:rsid w:val="007F2E84"/>
    <w:rsid w:val="007F2F16"/>
    <w:rsid w:val="007F37B0"/>
    <w:rsid w:val="007F399B"/>
    <w:rsid w:val="007F4268"/>
    <w:rsid w:val="007F4556"/>
    <w:rsid w:val="007F48BE"/>
    <w:rsid w:val="007F4D79"/>
    <w:rsid w:val="007F4E1F"/>
    <w:rsid w:val="007F4FB6"/>
    <w:rsid w:val="007F58A0"/>
    <w:rsid w:val="007F6B71"/>
    <w:rsid w:val="007F6D73"/>
    <w:rsid w:val="007F6FF3"/>
    <w:rsid w:val="008002C4"/>
    <w:rsid w:val="00800460"/>
    <w:rsid w:val="0080113A"/>
    <w:rsid w:val="00801EA1"/>
    <w:rsid w:val="008022A5"/>
    <w:rsid w:val="0080313B"/>
    <w:rsid w:val="008044E0"/>
    <w:rsid w:val="00804F2B"/>
    <w:rsid w:val="00804F72"/>
    <w:rsid w:val="0080533D"/>
    <w:rsid w:val="008054AB"/>
    <w:rsid w:val="00805529"/>
    <w:rsid w:val="00805567"/>
    <w:rsid w:val="00805638"/>
    <w:rsid w:val="008061A9"/>
    <w:rsid w:val="008062C1"/>
    <w:rsid w:val="008063BB"/>
    <w:rsid w:val="008063F2"/>
    <w:rsid w:val="008075C5"/>
    <w:rsid w:val="008102F8"/>
    <w:rsid w:val="00810771"/>
    <w:rsid w:val="00810A60"/>
    <w:rsid w:val="008111B4"/>
    <w:rsid w:val="00813419"/>
    <w:rsid w:val="00813456"/>
    <w:rsid w:val="00813736"/>
    <w:rsid w:val="00814006"/>
    <w:rsid w:val="00814B1A"/>
    <w:rsid w:val="00814C83"/>
    <w:rsid w:val="00814ED2"/>
    <w:rsid w:val="008150E2"/>
    <w:rsid w:val="00815855"/>
    <w:rsid w:val="008159E4"/>
    <w:rsid w:val="00815C0B"/>
    <w:rsid w:val="00815D5F"/>
    <w:rsid w:val="00816F71"/>
    <w:rsid w:val="00820153"/>
    <w:rsid w:val="0082015A"/>
    <w:rsid w:val="008203AC"/>
    <w:rsid w:val="00820F4B"/>
    <w:rsid w:val="008219F3"/>
    <w:rsid w:val="00821C22"/>
    <w:rsid w:val="00822B69"/>
    <w:rsid w:val="00822D13"/>
    <w:rsid w:val="00822FF5"/>
    <w:rsid w:val="008231DA"/>
    <w:rsid w:val="008236A5"/>
    <w:rsid w:val="00824072"/>
    <w:rsid w:val="008240BF"/>
    <w:rsid w:val="008244F0"/>
    <w:rsid w:val="00824A5C"/>
    <w:rsid w:val="00825216"/>
    <w:rsid w:val="0082539D"/>
    <w:rsid w:val="00825441"/>
    <w:rsid w:val="00825A12"/>
    <w:rsid w:val="00825C30"/>
    <w:rsid w:val="00825E80"/>
    <w:rsid w:val="00825FF4"/>
    <w:rsid w:val="00826086"/>
    <w:rsid w:val="00826089"/>
    <w:rsid w:val="008266B7"/>
    <w:rsid w:val="00826912"/>
    <w:rsid w:val="00826CFA"/>
    <w:rsid w:val="008271C8"/>
    <w:rsid w:val="008273C3"/>
    <w:rsid w:val="00827869"/>
    <w:rsid w:val="008304FB"/>
    <w:rsid w:val="00830A21"/>
    <w:rsid w:val="00830D9B"/>
    <w:rsid w:val="00830DC4"/>
    <w:rsid w:val="008315BB"/>
    <w:rsid w:val="008316CD"/>
    <w:rsid w:val="00831D56"/>
    <w:rsid w:val="00831FE6"/>
    <w:rsid w:val="0083292F"/>
    <w:rsid w:val="00832A8E"/>
    <w:rsid w:val="00833ACE"/>
    <w:rsid w:val="00833C73"/>
    <w:rsid w:val="00833CA2"/>
    <w:rsid w:val="00833DD8"/>
    <w:rsid w:val="0083471E"/>
    <w:rsid w:val="008347B1"/>
    <w:rsid w:val="0083493C"/>
    <w:rsid w:val="00834EF8"/>
    <w:rsid w:val="00835221"/>
    <w:rsid w:val="00836D01"/>
    <w:rsid w:val="00836DFE"/>
    <w:rsid w:val="00837BA3"/>
    <w:rsid w:val="00837FA7"/>
    <w:rsid w:val="0084019E"/>
    <w:rsid w:val="00840578"/>
    <w:rsid w:val="00840702"/>
    <w:rsid w:val="00841304"/>
    <w:rsid w:val="0084145F"/>
    <w:rsid w:val="00841DF8"/>
    <w:rsid w:val="0084249E"/>
    <w:rsid w:val="00842879"/>
    <w:rsid w:val="00842A87"/>
    <w:rsid w:val="00842B9C"/>
    <w:rsid w:val="00844907"/>
    <w:rsid w:val="008454C7"/>
    <w:rsid w:val="008454F1"/>
    <w:rsid w:val="00845630"/>
    <w:rsid w:val="00845D4E"/>
    <w:rsid w:val="00845E7D"/>
    <w:rsid w:val="0084634D"/>
    <w:rsid w:val="00846430"/>
    <w:rsid w:val="00846724"/>
    <w:rsid w:val="008467C0"/>
    <w:rsid w:val="00846AB7"/>
    <w:rsid w:val="00846AD6"/>
    <w:rsid w:val="00847012"/>
    <w:rsid w:val="0084763B"/>
    <w:rsid w:val="00847B0A"/>
    <w:rsid w:val="00847B72"/>
    <w:rsid w:val="0085001A"/>
    <w:rsid w:val="0085005B"/>
    <w:rsid w:val="00850192"/>
    <w:rsid w:val="00850C5F"/>
    <w:rsid w:val="00851A01"/>
    <w:rsid w:val="00851B3B"/>
    <w:rsid w:val="00852033"/>
    <w:rsid w:val="008523C1"/>
    <w:rsid w:val="00852CDD"/>
    <w:rsid w:val="00853BB1"/>
    <w:rsid w:val="008547D8"/>
    <w:rsid w:val="008549E9"/>
    <w:rsid w:val="00855021"/>
    <w:rsid w:val="00855194"/>
    <w:rsid w:val="008552F6"/>
    <w:rsid w:val="00856B08"/>
    <w:rsid w:val="00856C6A"/>
    <w:rsid w:val="00856C7D"/>
    <w:rsid w:val="00856FEB"/>
    <w:rsid w:val="00857163"/>
    <w:rsid w:val="0085720D"/>
    <w:rsid w:val="008575F2"/>
    <w:rsid w:val="00857DF8"/>
    <w:rsid w:val="00857FB2"/>
    <w:rsid w:val="0086012A"/>
    <w:rsid w:val="00860405"/>
    <w:rsid w:val="00860C9D"/>
    <w:rsid w:val="00860EFE"/>
    <w:rsid w:val="00861101"/>
    <w:rsid w:val="008618E9"/>
    <w:rsid w:val="00861D38"/>
    <w:rsid w:val="00861E56"/>
    <w:rsid w:val="00861E9A"/>
    <w:rsid w:val="008620C0"/>
    <w:rsid w:val="00862254"/>
    <w:rsid w:val="0086275C"/>
    <w:rsid w:val="008629BD"/>
    <w:rsid w:val="00862B3F"/>
    <w:rsid w:val="00863288"/>
    <w:rsid w:val="00863A55"/>
    <w:rsid w:val="00863BD8"/>
    <w:rsid w:val="00863C83"/>
    <w:rsid w:val="0086434A"/>
    <w:rsid w:val="00864372"/>
    <w:rsid w:val="00864BBD"/>
    <w:rsid w:val="00865789"/>
    <w:rsid w:val="00866507"/>
    <w:rsid w:val="0086680A"/>
    <w:rsid w:val="00867342"/>
    <w:rsid w:val="0086749A"/>
    <w:rsid w:val="0086754A"/>
    <w:rsid w:val="00867784"/>
    <w:rsid w:val="00867892"/>
    <w:rsid w:val="00867E47"/>
    <w:rsid w:val="008706B4"/>
    <w:rsid w:val="008707FC"/>
    <w:rsid w:val="00870A61"/>
    <w:rsid w:val="0087132E"/>
    <w:rsid w:val="00871BAF"/>
    <w:rsid w:val="0087232A"/>
    <w:rsid w:val="0087241C"/>
    <w:rsid w:val="00872F5E"/>
    <w:rsid w:val="008731E0"/>
    <w:rsid w:val="008735BE"/>
    <w:rsid w:val="00873A00"/>
    <w:rsid w:val="00873AB2"/>
    <w:rsid w:val="0087411D"/>
    <w:rsid w:val="00874CD3"/>
    <w:rsid w:val="00875398"/>
    <w:rsid w:val="00875C3D"/>
    <w:rsid w:val="00875EE0"/>
    <w:rsid w:val="008761BF"/>
    <w:rsid w:val="008763B4"/>
    <w:rsid w:val="00876507"/>
    <w:rsid w:val="00877379"/>
    <w:rsid w:val="008806E3"/>
    <w:rsid w:val="00881315"/>
    <w:rsid w:val="008814B1"/>
    <w:rsid w:val="00881807"/>
    <w:rsid w:val="00881D5A"/>
    <w:rsid w:val="00883239"/>
    <w:rsid w:val="008840D0"/>
    <w:rsid w:val="008840F5"/>
    <w:rsid w:val="00884501"/>
    <w:rsid w:val="00885065"/>
    <w:rsid w:val="008852EC"/>
    <w:rsid w:val="00885629"/>
    <w:rsid w:val="00885CC1"/>
    <w:rsid w:val="00886B5F"/>
    <w:rsid w:val="0088706C"/>
    <w:rsid w:val="0088729D"/>
    <w:rsid w:val="00887D0F"/>
    <w:rsid w:val="00887E1B"/>
    <w:rsid w:val="00890414"/>
    <w:rsid w:val="00890465"/>
    <w:rsid w:val="00890957"/>
    <w:rsid w:val="00890E23"/>
    <w:rsid w:val="00891424"/>
    <w:rsid w:val="008918C0"/>
    <w:rsid w:val="00891DEB"/>
    <w:rsid w:val="0089260F"/>
    <w:rsid w:val="00892976"/>
    <w:rsid w:val="00893F99"/>
    <w:rsid w:val="008941A5"/>
    <w:rsid w:val="00894450"/>
    <w:rsid w:val="0089495F"/>
    <w:rsid w:val="0089520B"/>
    <w:rsid w:val="00895412"/>
    <w:rsid w:val="00895CC3"/>
    <w:rsid w:val="008968DB"/>
    <w:rsid w:val="0089699E"/>
    <w:rsid w:val="008969F0"/>
    <w:rsid w:val="0089714E"/>
    <w:rsid w:val="0089719A"/>
    <w:rsid w:val="00897740"/>
    <w:rsid w:val="00897B12"/>
    <w:rsid w:val="00897B23"/>
    <w:rsid w:val="00897C39"/>
    <w:rsid w:val="00897CCC"/>
    <w:rsid w:val="00897EC5"/>
    <w:rsid w:val="00897ED2"/>
    <w:rsid w:val="008A07C0"/>
    <w:rsid w:val="008A07C9"/>
    <w:rsid w:val="008A07F5"/>
    <w:rsid w:val="008A0DA8"/>
    <w:rsid w:val="008A1005"/>
    <w:rsid w:val="008A249D"/>
    <w:rsid w:val="008A2555"/>
    <w:rsid w:val="008A29FD"/>
    <w:rsid w:val="008A2C5A"/>
    <w:rsid w:val="008A376D"/>
    <w:rsid w:val="008A394B"/>
    <w:rsid w:val="008A43A8"/>
    <w:rsid w:val="008A4736"/>
    <w:rsid w:val="008A4982"/>
    <w:rsid w:val="008A4B19"/>
    <w:rsid w:val="008A4F12"/>
    <w:rsid w:val="008A542E"/>
    <w:rsid w:val="008A583B"/>
    <w:rsid w:val="008A5BB3"/>
    <w:rsid w:val="008A5BC9"/>
    <w:rsid w:val="008A5E33"/>
    <w:rsid w:val="008A5EF1"/>
    <w:rsid w:val="008A7724"/>
    <w:rsid w:val="008A7F89"/>
    <w:rsid w:val="008B0299"/>
    <w:rsid w:val="008B060F"/>
    <w:rsid w:val="008B07A3"/>
    <w:rsid w:val="008B11FB"/>
    <w:rsid w:val="008B2125"/>
    <w:rsid w:val="008B31E4"/>
    <w:rsid w:val="008B35C9"/>
    <w:rsid w:val="008B36F6"/>
    <w:rsid w:val="008B3A65"/>
    <w:rsid w:val="008B5442"/>
    <w:rsid w:val="008B5B75"/>
    <w:rsid w:val="008B608C"/>
    <w:rsid w:val="008B7806"/>
    <w:rsid w:val="008B795A"/>
    <w:rsid w:val="008B7E3F"/>
    <w:rsid w:val="008B7FB4"/>
    <w:rsid w:val="008C00AD"/>
    <w:rsid w:val="008C030B"/>
    <w:rsid w:val="008C1980"/>
    <w:rsid w:val="008C2648"/>
    <w:rsid w:val="008C3426"/>
    <w:rsid w:val="008C3BE1"/>
    <w:rsid w:val="008C46A0"/>
    <w:rsid w:val="008C4E26"/>
    <w:rsid w:val="008C55FA"/>
    <w:rsid w:val="008C5A40"/>
    <w:rsid w:val="008C6023"/>
    <w:rsid w:val="008C609A"/>
    <w:rsid w:val="008C65EA"/>
    <w:rsid w:val="008C71DA"/>
    <w:rsid w:val="008C7AF1"/>
    <w:rsid w:val="008C7B3D"/>
    <w:rsid w:val="008C7C6A"/>
    <w:rsid w:val="008D0CBE"/>
    <w:rsid w:val="008D13B3"/>
    <w:rsid w:val="008D2D28"/>
    <w:rsid w:val="008D2D40"/>
    <w:rsid w:val="008D334C"/>
    <w:rsid w:val="008D3CD0"/>
    <w:rsid w:val="008D59EB"/>
    <w:rsid w:val="008D5B1D"/>
    <w:rsid w:val="008D5BFF"/>
    <w:rsid w:val="008D5DAD"/>
    <w:rsid w:val="008D5E8D"/>
    <w:rsid w:val="008D5FCE"/>
    <w:rsid w:val="008D6696"/>
    <w:rsid w:val="008D6700"/>
    <w:rsid w:val="008D7446"/>
    <w:rsid w:val="008D78C6"/>
    <w:rsid w:val="008D7E94"/>
    <w:rsid w:val="008E033C"/>
    <w:rsid w:val="008E11D0"/>
    <w:rsid w:val="008E2207"/>
    <w:rsid w:val="008E2291"/>
    <w:rsid w:val="008E2913"/>
    <w:rsid w:val="008E2F89"/>
    <w:rsid w:val="008E395D"/>
    <w:rsid w:val="008E3C37"/>
    <w:rsid w:val="008E408A"/>
    <w:rsid w:val="008E45B8"/>
    <w:rsid w:val="008E4F91"/>
    <w:rsid w:val="008E559B"/>
    <w:rsid w:val="008E5734"/>
    <w:rsid w:val="008E5CD8"/>
    <w:rsid w:val="008E671A"/>
    <w:rsid w:val="008E6901"/>
    <w:rsid w:val="008E6922"/>
    <w:rsid w:val="008E6C0B"/>
    <w:rsid w:val="008F0120"/>
    <w:rsid w:val="008F02FC"/>
    <w:rsid w:val="008F0421"/>
    <w:rsid w:val="008F07DA"/>
    <w:rsid w:val="008F0B26"/>
    <w:rsid w:val="008F34D9"/>
    <w:rsid w:val="008F34DF"/>
    <w:rsid w:val="008F39F7"/>
    <w:rsid w:val="008F492B"/>
    <w:rsid w:val="008F4D74"/>
    <w:rsid w:val="008F4D7D"/>
    <w:rsid w:val="008F59F8"/>
    <w:rsid w:val="008F5F09"/>
    <w:rsid w:val="008F5FAD"/>
    <w:rsid w:val="008F6F00"/>
    <w:rsid w:val="008F7918"/>
    <w:rsid w:val="008F7A02"/>
    <w:rsid w:val="008F7E0F"/>
    <w:rsid w:val="00900E76"/>
    <w:rsid w:val="00900ED8"/>
    <w:rsid w:val="00901C5C"/>
    <w:rsid w:val="009026A7"/>
    <w:rsid w:val="00902CF5"/>
    <w:rsid w:val="00902EAE"/>
    <w:rsid w:val="00902EC6"/>
    <w:rsid w:val="00902EF4"/>
    <w:rsid w:val="00903962"/>
    <w:rsid w:val="009039C4"/>
    <w:rsid w:val="00904AA1"/>
    <w:rsid w:val="0090522E"/>
    <w:rsid w:val="009055B8"/>
    <w:rsid w:val="00905A4B"/>
    <w:rsid w:val="00905A69"/>
    <w:rsid w:val="00906297"/>
    <w:rsid w:val="00907232"/>
    <w:rsid w:val="009075CD"/>
    <w:rsid w:val="00907BC4"/>
    <w:rsid w:val="00907F0C"/>
    <w:rsid w:val="0091055D"/>
    <w:rsid w:val="009109D6"/>
    <w:rsid w:val="00910C4C"/>
    <w:rsid w:val="00910DB5"/>
    <w:rsid w:val="00910F50"/>
    <w:rsid w:val="00911306"/>
    <w:rsid w:val="00911E14"/>
    <w:rsid w:val="0091270F"/>
    <w:rsid w:val="009128F5"/>
    <w:rsid w:val="00912AD4"/>
    <w:rsid w:val="009139C2"/>
    <w:rsid w:val="00914469"/>
    <w:rsid w:val="00914DE4"/>
    <w:rsid w:val="0091502E"/>
    <w:rsid w:val="0091520D"/>
    <w:rsid w:val="009154A5"/>
    <w:rsid w:val="009162A3"/>
    <w:rsid w:val="00916CCA"/>
    <w:rsid w:val="0091731A"/>
    <w:rsid w:val="009202F4"/>
    <w:rsid w:val="00921040"/>
    <w:rsid w:val="00922045"/>
    <w:rsid w:val="00922205"/>
    <w:rsid w:val="00922655"/>
    <w:rsid w:val="0092299A"/>
    <w:rsid w:val="00922E7B"/>
    <w:rsid w:val="00922EAE"/>
    <w:rsid w:val="00923B0C"/>
    <w:rsid w:val="00923B91"/>
    <w:rsid w:val="00924918"/>
    <w:rsid w:val="00924C1E"/>
    <w:rsid w:val="00925309"/>
    <w:rsid w:val="00925458"/>
    <w:rsid w:val="009258D6"/>
    <w:rsid w:val="00926363"/>
    <w:rsid w:val="0092681F"/>
    <w:rsid w:val="00926863"/>
    <w:rsid w:val="00926A85"/>
    <w:rsid w:val="00926F71"/>
    <w:rsid w:val="0092731D"/>
    <w:rsid w:val="00927814"/>
    <w:rsid w:val="009303EB"/>
    <w:rsid w:val="00930F23"/>
    <w:rsid w:val="009314E6"/>
    <w:rsid w:val="0093188D"/>
    <w:rsid w:val="00931CC5"/>
    <w:rsid w:val="00932E48"/>
    <w:rsid w:val="00933181"/>
    <w:rsid w:val="00933367"/>
    <w:rsid w:val="00933E7E"/>
    <w:rsid w:val="009346D5"/>
    <w:rsid w:val="009349D2"/>
    <w:rsid w:val="00934C42"/>
    <w:rsid w:val="00935EBA"/>
    <w:rsid w:val="009361D7"/>
    <w:rsid w:val="009363D2"/>
    <w:rsid w:val="009365B5"/>
    <w:rsid w:val="0093686B"/>
    <w:rsid w:val="009368F0"/>
    <w:rsid w:val="00937371"/>
    <w:rsid w:val="0093783D"/>
    <w:rsid w:val="00937B36"/>
    <w:rsid w:val="009402B2"/>
    <w:rsid w:val="0094057C"/>
    <w:rsid w:val="00940C3A"/>
    <w:rsid w:val="00941266"/>
    <w:rsid w:val="009415CF"/>
    <w:rsid w:val="00941A0A"/>
    <w:rsid w:val="00941D3C"/>
    <w:rsid w:val="00942132"/>
    <w:rsid w:val="0094236B"/>
    <w:rsid w:val="00942AEA"/>
    <w:rsid w:val="00943663"/>
    <w:rsid w:val="009436E7"/>
    <w:rsid w:val="00943FA8"/>
    <w:rsid w:val="00944E8F"/>
    <w:rsid w:val="009466B6"/>
    <w:rsid w:val="00946A0F"/>
    <w:rsid w:val="00946AE3"/>
    <w:rsid w:val="00946AFB"/>
    <w:rsid w:val="00947470"/>
    <w:rsid w:val="00947A25"/>
    <w:rsid w:val="00947AE3"/>
    <w:rsid w:val="009503CA"/>
    <w:rsid w:val="009506CA"/>
    <w:rsid w:val="009511C3"/>
    <w:rsid w:val="00951298"/>
    <w:rsid w:val="00951351"/>
    <w:rsid w:val="00951FA7"/>
    <w:rsid w:val="00952463"/>
    <w:rsid w:val="00952A7A"/>
    <w:rsid w:val="00952C4E"/>
    <w:rsid w:val="00952FC6"/>
    <w:rsid w:val="009531B3"/>
    <w:rsid w:val="0095367C"/>
    <w:rsid w:val="0095377B"/>
    <w:rsid w:val="00953BD1"/>
    <w:rsid w:val="0095456D"/>
    <w:rsid w:val="00954688"/>
    <w:rsid w:val="00954F40"/>
    <w:rsid w:val="00954F4F"/>
    <w:rsid w:val="00955235"/>
    <w:rsid w:val="0095558F"/>
    <w:rsid w:val="00955869"/>
    <w:rsid w:val="009565EF"/>
    <w:rsid w:val="00956817"/>
    <w:rsid w:val="00956B74"/>
    <w:rsid w:val="009603A4"/>
    <w:rsid w:val="0096089E"/>
    <w:rsid w:val="00960DC4"/>
    <w:rsid w:val="009613CA"/>
    <w:rsid w:val="009617C4"/>
    <w:rsid w:val="0096214F"/>
    <w:rsid w:val="00962AF8"/>
    <w:rsid w:val="0096345C"/>
    <w:rsid w:val="009637B8"/>
    <w:rsid w:val="00963AE4"/>
    <w:rsid w:val="00963BA8"/>
    <w:rsid w:val="009645D2"/>
    <w:rsid w:val="00964709"/>
    <w:rsid w:val="00964C63"/>
    <w:rsid w:val="00964D7A"/>
    <w:rsid w:val="00966222"/>
    <w:rsid w:val="0096719B"/>
    <w:rsid w:val="0096747F"/>
    <w:rsid w:val="00967CCF"/>
    <w:rsid w:val="00970C89"/>
    <w:rsid w:val="00970DC0"/>
    <w:rsid w:val="009715B1"/>
    <w:rsid w:val="009715E9"/>
    <w:rsid w:val="00971D86"/>
    <w:rsid w:val="009731F7"/>
    <w:rsid w:val="009733F1"/>
    <w:rsid w:val="00973E1F"/>
    <w:rsid w:val="0097430C"/>
    <w:rsid w:val="009749DB"/>
    <w:rsid w:val="00974A01"/>
    <w:rsid w:val="00974F33"/>
    <w:rsid w:val="00974F56"/>
    <w:rsid w:val="0097564A"/>
    <w:rsid w:val="009759C4"/>
    <w:rsid w:val="00976562"/>
    <w:rsid w:val="00976BCF"/>
    <w:rsid w:val="0097751C"/>
    <w:rsid w:val="0097774A"/>
    <w:rsid w:val="00977D75"/>
    <w:rsid w:val="009804B1"/>
    <w:rsid w:val="00980518"/>
    <w:rsid w:val="009808BE"/>
    <w:rsid w:val="00981171"/>
    <w:rsid w:val="0098139E"/>
    <w:rsid w:val="0098140D"/>
    <w:rsid w:val="00981594"/>
    <w:rsid w:val="009815C3"/>
    <w:rsid w:val="00981FF8"/>
    <w:rsid w:val="00982218"/>
    <w:rsid w:val="00982745"/>
    <w:rsid w:val="00982979"/>
    <w:rsid w:val="00982C66"/>
    <w:rsid w:val="00982EA1"/>
    <w:rsid w:val="009845FC"/>
    <w:rsid w:val="009846A9"/>
    <w:rsid w:val="00984839"/>
    <w:rsid w:val="00984A26"/>
    <w:rsid w:val="00984AC2"/>
    <w:rsid w:val="00984C02"/>
    <w:rsid w:val="009860BD"/>
    <w:rsid w:val="009864C8"/>
    <w:rsid w:val="00986E34"/>
    <w:rsid w:val="009872BE"/>
    <w:rsid w:val="009875CA"/>
    <w:rsid w:val="00987AD1"/>
    <w:rsid w:val="00987DE4"/>
    <w:rsid w:val="00990009"/>
    <w:rsid w:val="00990B95"/>
    <w:rsid w:val="00990E00"/>
    <w:rsid w:val="009914A0"/>
    <w:rsid w:val="00991C14"/>
    <w:rsid w:val="009920FD"/>
    <w:rsid w:val="00992C01"/>
    <w:rsid w:val="00993038"/>
    <w:rsid w:val="00993094"/>
    <w:rsid w:val="009931FB"/>
    <w:rsid w:val="0099348D"/>
    <w:rsid w:val="00993E81"/>
    <w:rsid w:val="00993F81"/>
    <w:rsid w:val="0099461F"/>
    <w:rsid w:val="009946AE"/>
    <w:rsid w:val="009949C2"/>
    <w:rsid w:val="00995610"/>
    <w:rsid w:val="009956F0"/>
    <w:rsid w:val="00995DF7"/>
    <w:rsid w:val="0099624A"/>
    <w:rsid w:val="00996619"/>
    <w:rsid w:val="0099670C"/>
    <w:rsid w:val="009969E3"/>
    <w:rsid w:val="00996B11"/>
    <w:rsid w:val="00996DBE"/>
    <w:rsid w:val="009973A4"/>
    <w:rsid w:val="00997A07"/>
    <w:rsid w:val="009A0168"/>
    <w:rsid w:val="009A018F"/>
    <w:rsid w:val="009A05DA"/>
    <w:rsid w:val="009A10BB"/>
    <w:rsid w:val="009A160C"/>
    <w:rsid w:val="009A19D5"/>
    <w:rsid w:val="009A1CDE"/>
    <w:rsid w:val="009A1E58"/>
    <w:rsid w:val="009A2569"/>
    <w:rsid w:val="009A2785"/>
    <w:rsid w:val="009A2C2A"/>
    <w:rsid w:val="009A2E80"/>
    <w:rsid w:val="009A31A3"/>
    <w:rsid w:val="009A3226"/>
    <w:rsid w:val="009A3261"/>
    <w:rsid w:val="009A535D"/>
    <w:rsid w:val="009A5367"/>
    <w:rsid w:val="009A5719"/>
    <w:rsid w:val="009A5DE9"/>
    <w:rsid w:val="009A75A6"/>
    <w:rsid w:val="009A7CE0"/>
    <w:rsid w:val="009B006A"/>
    <w:rsid w:val="009B014F"/>
    <w:rsid w:val="009B0729"/>
    <w:rsid w:val="009B0A57"/>
    <w:rsid w:val="009B16C8"/>
    <w:rsid w:val="009B1E8A"/>
    <w:rsid w:val="009B201D"/>
    <w:rsid w:val="009B2094"/>
    <w:rsid w:val="009B30F4"/>
    <w:rsid w:val="009B3641"/>
    <w:rsid w:val="009B3A58"/>
    <w:rsid w:val="009B468B"/>
    <w:rsid w:val="009B4C7E"/>
    <w:rsid w:val="009B51D2"/>
    <w:rsid w:val="009B58D5"/>
    <w:rsid w:val="009B689F"/>
    <w:rsid w:val="009B69D3"/>
    <w:rsid w:val="009B6AF6"/>
    <w:rsid w:val="009B6CA0"/>
    <w:rsid w:val="009B74D6"/>
    <w:rsid w:val="009B778A"/>
    <w:rsid w:val="009B787B"/>
    <w:rsid w:val="009C0852"/>
    <w:rsid w:val="009C0BE6"/>
    <w:rsid w:val="009C0C5F"/>
    <w:rsid w:val="009C1024"/>
    <w:rsid w:val="009C1C1C"/>
    <w:rsid w:val="009C21E3"/>
    <w:rsid w:val="009C26AA"/>
    <w:rsid w:val="009C2769"/>
    <w:rsid w:val="009C27AD"/>
    <w:rsid w:val="009C30D4"/>
    <w:rsid w:val="009C30E2"/>
    <w:rsid w:val="009C3465"/>
    <w:rsid w:val="009C38EC"/>
    <w:rsid w:val="009C3D1C"/>
    <w:rsid w:val="009C51BB"/>
    <w:rsid w:val="009C539A"/>
    <w:rsid w:val="009C561B"/>
    <w:rsid w:val="009C58DE"/>
    <w:rsid w:val="009C5AE5"/>
    <w:rsid w:val="009C60DD"/>
    <w:rsid w:val="009C686C"/>
    <w:rsid w:val="009C7927"/>
    <w:rsid w:val="009C79DA"/>
    <w:rsid w:val="009C7A74"/>
    <w:rsid w:val="009C7BCD"/>
    <w:rsid w:val="009C7DD5"/>
    <w:rsid w:val="009C7EFE"/>
    <w:rsid w:val="009D1497"/>
    <w:rsid w:val="009D187B"/>
    <w:rsid w:val="009D1ADF"/>
    <w:rsid w:val="009D2269"/>
    <w:rsid w:val="009D2391"/>
    <w:rsid w:val="009D2BF9"/>
    <w:rsid w:val="009D30E8"/>
    <w:rsid w:val="009D3A5C"/>
    <w:rsid w:val="009D3B0D"/>
    <w:rsid w:val="009D451D"/>
    <w:rsid w:val="009D478C"/>
    <w:rsid w:val="009D6418"/>
    <w:rsid w:val="009D6BA3"/>
    <w:rsid w:val="009E1131"/>
    <w:rsid w:val="009E15B2"/>
    <w:rsid w:val="009E1D41"/>
    <w:rsid w:val="009E2198"/>
    <w:rsid w:val="009E2C98"/>
    <w:rsid w:val="009E30EE"/>
    <w:rsid w:val="009E34C7"/>
    <w:rsid w:val="009E35A5"/>
    <w:rsid w:val="009E3B4B"/>
    <w:rsid w:val="009E4623"/>
    <w:rsid w:val="009E4909"/>
    <w:rsid w:val="009E5E9B"/>
    <w:rsid w:val="009E6967"/>
    <w:rsid w:val="009E6B88"/>
    <w:rsid w:val="009E71ED"/>
    <w:rsid w:val="009E74A1"/>
    <w:rsid w:val="009E776D"/>
    <w:rsid w:val="009E7BD3"/>
    <w:rsid w:val="009E7C46"/>
    <w:rsid w:val="009F012E"/>
    <w:rsid w:val="009F0357"/>
    <w:rsid w:val="009F0BDD"/>
    <w:rsid w:val="009F0D8F"/>
    <w:rsid w:val="009F185E"/>
    <w:rsid w:val="009F1DD6"/>
    <w:rsid w:val="009F26A1"/>
    <w:rsid w:val="009F2A33"/>
    <w:rsid w:val="009F2BC0"/>
    <w:rsid w:val="009F3385"/>
    <w:rsid w:val="009F3ACC"/>
    <w:rsid w:val="009F3D7A"/>
    <w:rsid w:val="009F4A84"/>
    <w:rsid w:val="009F4CA8"/>
    <w:rsid w:val="009F6C6D"/>
    <w:rsid w:val="009F703A"/>
    <w:rsid w:val="009F731E"/>
    <w:rsid w:val="009F732D"/>
    <w:rsid w:val="009F74BC"/>
    <w:rsid w:val="009F770A"/>
    <w:rsid w:val="009F78F1"/>
    <w:rsid w:val="009F7CBC"/>
    <w:rsid w:val="00A00195"/>
    <w:rsid w:val="00A00D1A"/>
    <w:rsid w:val="00A01930"/>
    <w:rsid w:val="00A01A5C"/>
    <w:rsid w:val="00A01A9E"/>
    <w:rsid w:val="00A01C4A"/>
    <w:rsid w:val="00A02391"/>
    <w:rsid w:val="00A02A0B"/>
    <w:rsid w:val="00A02A5A"/>
    <w:rsid w:val="00A02E24"/>
    <w:rsid w:val="00A042F5"/>
    <w:rsid w:val="00A04DCE"/>
    <w:rsid w:val="00A04E6F"/>
    <w:rsid w:val="00A05408"/>
    <w:rsid w:val="00A05B89"/>
    <w:rsid w:val="00A075D1"/>
    <w:rsid w:val="00A07E6B"/>
    <w:rsid w:val="00A10238"/>
    <w:rsid w:val="00A10302"/>
    <w:rsid w:val="00A10484"/>
    <w:rsid w:val="00A104C8"/>
    <w:rsid w:val="00A10D66"/>
    <w:rsid w:val="00A11142"/>
    <w:rsid w:val="00A11E33"/>
    <w:rsid w:val="00A135BF"/>
    <w:rsid w:val="00A13E09"/>
    <w:rsid w:val="00A13EE6"/>
    <w:rsid w:val="00A13F88"/>
    <w:rsid w:val="00A14525"/>
    <w:rsid w:val="00A1485A"/>
    <w:rsid w:val="00A15247"/>
    <w:rsid w:val="00A1554A"/>
    <w:rsid w:val="00A15B4F"/>
    <w:rsid w:val="00A165F9"/>
    <w:rsid w:val="00A169D7"/>
    <w:rsid w:val="00A2003D"/>
    <w:rsid w:val="00A20DE6"/>
    <w:rsid w:val="00A21F8A"/>
    <w:rsid w:val="00A21FDD"/>
    <w:rsid w:val="00A222FB"/>
    <w:rsid w:val="00A22335"/>
    <w:rsid w:val="00A22990"/>
    <w:rsid w:val="00A22B4A"/>
    <w:rsid w:val="00A22E4E"/>
    <w:rsid w:val="00A22F35"/>
    <w:rsid w:val="00A23210"/>
    <w:rsid w:val="00A23228"/>
    <w:rsid w:val="00A235C7"/>
    <w:rsid w:val="00A236D1"/>
    <w:rsid w:val="00A23760"/>
    <w:rsid w:val="00A238AD"/>
    <w:rsid w:val="00A23A80"/>
    <w:rsid w:val="00A23AD8"/>
    <w:rsid w:val="00A23FD7"/>
    <w:rsid w:val="00A24349"/>
    <w:rsid w:val="00A24459"/>
    <w:rsid w:val="00A2492F"/>
    <w:rsid w:val="00A24D9B"/>
    <w:rsid w:val="00A24EF0"/>
    <w:rsid w:val="00A251B9"/>
    <w:rsid w:val="00A25326"/>
    <w:rsid w:val="00A25443"/>
    <w:rsid w:val="00A25DEB"/>
    <w:rsid w:val="00A26228"/>
    <w:rsid w:val="00A26566"/>
    <w:rsid w:val="00A267A9"/>
    <w:rsid w:val="00A26AB9"/>
    <w:rsid w:val="00A2735C"/>
    <w:rsid w:val="00A2749A"/>
    <w:rsid w:val="00A301B4"/>
    <w:rsid w:val="00A30546"/>
    <w:rsid w:val="00A30748"/>
    <w:rsid w:val="00A308E5"/>
    <w:rsid w:val="00A319C1"/>
    <w:rsid w:val="00A31BAA"/>
    <w:rsid w:val="00A325D0"/>
    <w:rsid w:val="00A32812"/>
    <w:rsid w:val="00A32A20"/>
    <w:rsid w:val="00A337E4"/>
    <w:rsid w:val="00A340C7"/>
    <w:rsid w:val="00A3439B"/>
    <w:rsid w:val="00A34CF8"/>
    <w:rsid w:val="00A34DAC"/>
    <w:rsid w:val="00A3597E"/>
    <w:rsid w:val="00A35A05"/>
    <w:rsid w:val="00A379C6"/>
    <w:rsid w:val="00A40318"/>
    <w:rsid w:val="00A40B49"/>
    <w:rsid w:val="00A41233"/>
    <w:rsid w:val="00A41340"/>
    <w:rsid w:val="00A414A2"/>
    <w:rsid w:val="00A428EF"/>
    <w:rsid w:val="00A42C96"/>
    <w:rsid w:val="00A42D36"/>
    <w:rsid w:val="00A43038"/>
    <w:rsid w:val="00A4362C"/>
    <w:rsid w:val="00A438BE"/>
    <w:rsid w:val="00A44516"/>
    <w:rsid w:val="00A448E3"/>
    <w:rsid w:val="00A4508C"/>
    <w:rsid w:val="00A453D3"/>
    <w:rsid w:val="00A4564B"/>
    <w:rsid w:val="00A4574D"/>
    <w:rsid w:val="00A46060"/>
    <w:rsid w:val="00A46128"/>
    <w:rsid w:val="00A4616F"/>
    <w:rsid w:val="00A46AAE"/>
    <w:rsid w:val="00A4706B"/>
    <w:rsid w:val="00A475C1"/>
    <w:rsid w:val="00A4769B"/>
    <w:rsid w:val="00A47976"/>
    <w:rsid w:val="00A47D76"/>
    <w:rsid w:val="00A50E36"/>
    <w:rsid w:val="00A50EAF"/>
    <w:rsid w:val="00A50ED2"/>
    <w:rsid w:val="00A51215"/>
    <w:rsid w:val="00A51557"/>
    <w:rsid w:val="00A51742"/>
    <w:rsid w:val="00A5199E"/>
    <w:rsid w:val="00A51E00"/>
    <w:rsid w:val="00A52884"/>
    <w:rsid w:val="00A52A25"/>
    <w:rsid w:val="00A54A1E"/>
    <w:rsid w:val="00A54EBC"/>
    <w:rsid w:val="00A551F8"/>
    <w:rsid w:val="00A55CB6"/>
    <w:rsid w:val="00A56450"/>
    <w:rsid w:val="00A564DF"/>
    <w:rsid w:val="00A56647"/>
    <w:rsid w:val="00A56928"/>
    <w:rsid w:val="00A57492"/>
    <w:rsid w:val="00A606DF"/>
    <w:rsid w:val="00A609B5"/>
    <w:rsid w:val="00A6106A"/>
    <w:rsid w:val="00A616E1"/>
    <w:rsid w:val="00A6185D"/>
    <w:rsid w:val="00A61A6E"/>
    <w:rsid w:val="00A61E54"/>
    <w:rsid w:val="00A639CE"/>
    <w:rsid w:val="00A63AF8"/>
    <w:rsid w:val="00A63E7B"/>
    <w:rsid w:val="00A64AC2"/>
    <w:rsid w:val="00A65189"/>
    <w:rsid w:val="00A6532F"/>
    <w:rsid w:val="00A65C54"/>
    <w:rsid w:val="00A65E02"/>
    <w:rsid w:val="00A66221"/>
    <w:rsid w:val="00A66397"/>
    <w:rsid w:val="00A6671D"/>
    <w:rsid w:val="00A66985"/>
    <w:rsid w:val="00A66CAB"/>
    <w:rsid w:val="00A66DF4"/>
    <w:rsid w:val="00A6787B"/>
    <w:rsid w:val="00A67881"/>
    <w:rsid w:val="00A7097A"/>
    <w:rsid w:val="00A70CB7"/>
    <w:rsid w:val="00A70F0F"/>
    <w:rsid w:val="00A72941"/>
    <w:rsid w:val="00A73572"/>
    <w:rsid w:val="00A738B2"/>
    <w:rsid w:val="00A745D9"/>
    <w:rsid w:val="00A74632"/>
    <w:rsid w:val="00A74701"/>
    <w:rsid w:val="00A751BB"/>
    <w:rsid w:val="00A75BAA"/>
    <w:rsid w:val="00A75C1A"/>
    <w:rsid w:val="00A76AB2"/>
    <w:rsid w:val="00A77D68"/>
    <w:rsid w:val="00A80019"/>
    <w:rsid w:val="00A8014B"/>
    <w:rsid w:val="00A809CD"/>
    <w:rsid w:val="00A80F99"/>
    <w:rsid w:val="00A8127E"/>
    <w:rsid w:val="00A8144D"/>
    <w:rsid w:val="00A81536"/>
    <w:rsid w:val="00A826B0"/>
    <w:rsid w:val="00A82C85"/>
    <w:rsid w:val="00A82D75"/>
    <w:rsid w:val="00A83487"/>
    <w:rsid w:val="00A83890"/>
    <w:rsid w:val="00A83E11"/>
    <w:rsid w:val="00A83F2C"/>
    <w:rsid w:val="00A84436"/>
    <w:rsid w:val="00A852F3"/>
    <w:rsid w:val="00A857DC"/>
    <w:rsid w:val="00A85AFD"/>
    <w:rsid w:val="00A85B01"/>
    <w:rsid w:val="00A85F90"/>
    <w:rsid w:val="00A865F5"/>
    <w:rsid w:val="00A86A47"/>
    <w:rsid w:val="00A87FC2"/>
    <w:rsid w:val="00A907D2"/>
    <w:rsid w:val="00A90F7F"/>
    <w:rsid w:val="00A91F87"/>
    <w:rsid w:val="00A921A6"/>
    <w:rsid w:val="00A923B0"/>
    <w:rsid w:val="00A940A6"/>
    <w:rsid w:val="00A941C9"/>
    <w:rsid w:val="00A94511"/>
    <w:rsid w:val="00A94C84"/>
    <w:rsid w:val="00A94D04"/>
    <w:rsid w:val="00A94EE3"/>
    <w:rsid w:val="00A9567E"/>
    <w:rsid w:val="00A958C7"/>
    <w:rsid w:val="00A95CB5"/>
    <w:rsid w:val="00A9740E"/>
    <w:rsid w:val="00A974A0"/>
    <w:rsid w:val="00AA0489"/>
    <w:rsid w:val="00AA0AEC"/>
    <w:rsid w:val="00AA1B11"/>
    <w:rsid w:val="00AA2995"/>
    <w:rsid w:val="00AA2BB1"/>
    <w:rsid w:val="00AA2F0D"/>
    <w:rsid w:val="00AA3223"/>
    <w:rsid w:val="00AA36E4"/>
    <w:rsid w:val="00AA3C20"/>
    <w:rsid w:val="00AA55E3"/>
    <w:rsid w:val="00AA5DC3"/>
    <w:rsid w:val="00AA7337"/>
    <w:rsid w:val="00AA73B9"/>
    <w:rsid w:val="00AA7784"/>
    <w:rsid w:val="00AB01FA"/>
    <w:rsid w:val="00AB05D6"/>
    <w:rsid w:val="00AB0DD5"/>
    <w:rsid w:val="00AB1158"/>
    <w:rsid w:val="00AB19B0"/>
    <w:rsid w:val="00AB1DF3"/>
    <w:rsid w:val="00AB25F3"/>
    <w:rsid w:val="00AB2723"/>
    <w:rsid w:val="00AB2BC1"/>
    <w:rsid w:val="00AB3519"/>
    <w:rsid w:val="00AB3686"/>
    <w:rsid w:val="00AB3D28"/>
    <w:rsid w:val="00AB3E08"/>
    <w:rsid w:val="00AB3E8E"/>
    <w:rsid w:val="00AB44FF"/>
    <w:rsid w:val="00AB4C0A"/>
    <w:rsid w:val="00AB4F65"/>
    <w:rsid w:val="00AB51FD"/>
    <w:rsid w:val="00AB5CCF"/>
    <w:rsid w:val="00AB6676"/>
    <w:rsid w:val="00AB6B13"/>
    <w:rsid w:val="00AB6E5A"/>
    <w:rsid w:val="00AB6F7C"/>
    <w:rsid w:val="00AB7791"/>
    <w:rsid w:val="00AB7910"/>
    <w:rsid w:val="00AC0D3C"/>
    <w:rsid w:val="00AC1082"/>
    <w:rsid w:val="00AC2234"/>
    <w:rsid w:val="00AC24C7"/>
    <w:rsid w:val="00AC296D"/>
    <w:rsid w:val="00AC2FBB"/>
    <w:rsid w:val="00AC3AE1"/>
    <w:rsid w:val="00AC3B4B"/>
    <w:rsid w:val="00AC3B72"/>
    <w:rsid w:val="00AC44DF"/>
    <w:rsid w:val="00AC490D"/>
    <w:rsid w:val="00AC4D50"/>
    <w:rsid w:val="00AC5365"/>
    <w:rsid w:val="00AC584D"/>
    <w:rsid w:val="00AC6921"/>
    <w:rsid w:val="00AC6952"/>
    <w:rsid w:val="00AC6DB5"/>
    <w:rsid w:val="00AC70EA"/>
    <w:rsid w:val="00AD0235"/>
    <w:rsid w:val="00AD0300"/>
    <w:rsid w:val="00AD03C7"/>
    <w:rsid w:val="00AD05DC"/>
    <w:rsid w:val="00AD0798"/>
    <w:rsid w:val="00AD0EF4"/>
    <w:rsid w:val="00AD113A"/>
    <w:rsid w:val="00AD190F"/>
    <w:rsid w:val="00AD193B"/>
    <w:rsid w:val="00AD1ACA"/>
    <w:rsid w:val="00AD247D"/>
    <w:rsid w:val="00AD2FD8"/>
    <w:rsid w:val="00AD3484"/>
    <w:rsid w:val="00AD3CA2"/>
    <w:rsid w:val="00AD406B"/>
    <w:rsid w:val="00AD431C"/>
    <w:rsid w:val="00AD4340"/>
    <w:rsid w:val="00AD441D"/>
    <w:rsid w:val="00AD47AC"/>
    <w:rsid w:val="00AD4A2D"/>
    <w:rsid w:val="00AD5219"/>
    <w:rsid w:val="00AD6581"/>
    <w:rsid w:val="00AD682D"/>
    <w:rsid w:val="00AD7399"/>
    <w:rsid w:val="00AD74E0"/>
    <w:rsid w:val="00AE01B1"/>
    <w:rsid w:val="00AE0884"/>
    <w:rsid w:val="00AE13AB"/>
    <w:rsid w:val="00AE17CE"/>
    <w:rsid w:val="00AE1956"/>
    <w:rsid w:val="00AE22F4"/>
    <w:rsid w:val="00AE2D2B"/>
    <w:rsid w:val="00AE3118"/>
    <w:rsid w:val="00AE3840"/>
    <w:rsid w:val="00AE4664"/>
    <w:rsid w:val="00AE48B1"/>
    <w:rsid w:val="00AE5717"/>
    <w:rsid w:val="00AE6BE8"/>
    <w:rsid w:val="00AE7CCF"/>
    <w:rsid w:val="00AF0C40"/>
    <w:rsid w:val="00AF1FB9"/>
    <w:rsid w:val="00AF2D24"/>
    <w:rsid w:val="00AF384F"/>
    <w:rsid w:val="00AF3CA1"/>
    <w:rsid w:val="00AF3EF1"/>
    <w:rsid w:val="00AF4C45"/>
    <w:rsid w:val="00AF4E4A"/>
    <w:rsid w:val="00AF4F6C"/>
    <w:rsid w:val="00AF5384"/>
    <w:rsid w:val="00AF5CCE"/>
    <w:rsid w:val="00AF63B7"/>
    <w:rsid w:val="00AF6C2F"/>
    <w:rsid w:val="00AF6F2F"/>
    <w:rsid w:val="00AF7429"/>
    <w:rsid w:val="00AF7EF4"/>
    <w:rsid w:val="00B00236"/>
    <w:rsid w:val="00B0076B"/>
    <w:rsid w:val="00B00826"/>
    <w:rsid w:val="00B00AA4"/>
    <w:rsid w:val="00B010D3"/>
    <w:rsid w:val="00B019B0"/>
    <w:rsid w:val="00B01CE1"/>
    <w:rsid w:val="00B021B3"/>
    <w:rsid w:val="00B02618"/>
    <w:rsid w:val="00B02985"/>
    <w:rsid w:val="00B02FB6"/>
    <w:rsid w:val="00B03005"/>
    <w:rsid w:val="00B0356C"/>
    <w:rsid w:val="00B04FE2"/>
    <w:rsid w:val="00B05343"/>
    <w:rsid w:val="00B05A7F"/>
    <w:rsid w:val="00B0721F"/>
    <w:rsid w:val="00B07D44"/>
    <w:rsid w:val="00B07DF4"/>
    <w:rsid w:val="00B100DB"/>
    <w:rsid w:val="00B105E7"/>
    <w:rsid w:val="00B10A31"/>
    <w:rsid w:val="00B111D2"/>
    <w:rsid w:val="00B129E5"/>
    <w:rsid w:val="00B12ED9"/>
    <w:rsid w:val="00B148D8"/>
    <w:rsid w:val="00B14B69"/>
    <w:rsid w:val="00B1621F"/>
    <w:rsid w:val="00B16464"/>
    <w:rsid w:val="00B16572"/>
    <w:rsid w:val="00B169C0"/>
    <w:rsid w:val="00B16CB0"/>
    <w:rsid w:val="00B17022"/>
    <w:rsid w:val="00B17163"/>
    <w:rsid w:val="00B17AB1"/>
    <w:rsid w:val="00B17AEB"/>
    <w:rsid w:val="00B17DE1"/>
    <w:rsid w:val="00B20944"/>
    <w:rsid w:val="00B21194"/>
    <w:rsid w:val="00B21A73"/>
    <w:rsid w:val="00B231FC"/>
    <w:rsid w:val="00B23A18"/>
    <w:rsid w:val="00B2415E"/>
    <w:rsid w:val="00B2425B"/>
    <w:rsid w:val="00B25707"/>
    <w:rsid w:val="00B257F4"/>
    <w:rsid w:val="00B25BE2"/>
    <w:rsid w:val="00B25EE2"/>
    <w:rsid w:val="00B26026"/>
    <w:rsid w:val="00B26566"/>
    <w:rsid w:val="00B27ABA"/>
    <w:rsid w:val="00B27BC9"/>
    <w:rsid w:val="00B30151"/>
    <w:rsid w:val="00B303BA"/>
    <w:rsid w:val="00B3053F"/>
    <w:rsid w:val="00B308DC"/>
    <w:rsid w:val="00B30B63"/>
    <w:rsid w:val="00B30BFA"/>
    <w:rsid w:val="00B30C16"/>
    <w:rsid w:val="00B30E24"/>
    <w:rsid w:val="00B31531"/>
    <w:rsid w:val="00B31BAD"/>
    <w:rsid w:val="00B31C59"/>
    <w:rsid w:val="00B3269C"/>
    <w:rsid w:val="00B3292A"/>
    <w:rsid w:val="00B338DA"/>
    <w:rsid w:val="00B33DC0"/>
    <w:rsid w:val="00B3424C"/>
    <w:rsid w:val="00B34769"/>
    <w:rsid w:val="00B349B0"/>
    <w:rsid w:val="00B35634"/>
    <w:rsid w:val="00B35F28"/>
    <w:rsid w:val="00B365EC"/>
    <w:rsid w:val="00B368B8"/>
    <w:rsid w:val="00B37054"/>
    <w:rsid w:val="00B37A6C"/>
    <w:rsid w:val="00B37FAB"/>
    <w:rsid w:val="00B4028A"/>
    <w:rsid w:val="00B41707"/>
    <w:rsid w:val="00B4188B"/>
    <w:rsid w:val="00B41B1F"/>
    <w:rsid w:val="00B41CCD"/>
    <w:rsid w:val="00B42833"/>
    <w:rsid w:val="00B42F98"/>
    <w:rsid w:val="00B43612"/>
    <w:rsid w:val="00B43964"/>
    <w:rsid w:val="00B43B28"/>
    <w:rsid w:val="00B445EE"/>
    <w:rsid w:val="00B45845"/>
    <w:rsid w:val="00B45F6B"/>
    <w:rsid w:val="00B46E13"/>
    <w:rsid w:val="00B46E1A"/>
    <w:rsid w:val="00B46F17"/>
    <w:rsid w:val="00B47B32"/>
    <w:rsid w:val="00B5005F"/>
    <w:rsid w:val="00B5016F"/>
    <w:rsid w:val="00B511BB"/>
    <w:rsid w:val="00B512AB"/>
    <w:rsid w:val="00B51485"/>
    <w:rsid w:val="00B5195C"/>
    <w:rsid w:val="00B52B78"/>
    <w:rsid w:val="00B532E5"/>
    <w:rsid w:val="00B5378F"/>
    <w:rsid w:val="00B53973"/>
    <w:rsid w:val="00B53A0C"/>
    <w:rsid w:val="00B53BF3"/>
    <w:rsid w:val="00B53FF0"/>
    <w:rsid w:val="00B5481D"/>
    <w:rsid w:val="00B54AE8"/>
    <w:rsid w:val="00B54AFE"/>
    <w:rsid w:val="00B5681E"/>
    <w:rsid w:val="00B569EE"/>
    <w:rsid w:val="00B56ACD"/>
    <w:rsid w:val="00B5719A"/>
    <w:rsid w:val="00B572A7"/>
    <w:rsid w:val="00B573A4"/>
    <w:rsid w:val="00B574BE"/>
    <w:rsid w:val="00B57671"/>
    <w:rsid w:val="00B5784F"/>
    <w:rsid w:val="00B60CA5"/>
    <w:rsid w:val="00B60E63"/>
    <w:rsid w:val="00B60E9D"/>
    <w:rsid w:val="00B610B4"/>
    <w:rsid w:val="00B61E73"/>
    <w:rsid w:val="00B62267"/>
    <w:rsid w:val="00B62382"/>
    <w:rsid w:val="00B62BA8"/>
    <w:rsid w:val="00B631B0"/>
    <w:rsid w:val="00B633F8"/>
    <w:rsid w:val="00B63718"/>
    <w:rsid w:val="00B63914"/>
    <w:rsid w:val="00B641A6"/>
    <w:rsid w:val="00B64870"/>
    <w:rsid w:val="00B651C9"/>
    <w:rsid w:val="00B658F6"/>
    <w:rsid w:val="00B65B03"/>
    <w:rsid w:val="00B67A4B"/>
    <w:rsid w:val="00B703B6"/>
    <w:rsid w:val="00B7069D"/>
    <w:rsid w:val="00B70ADA"/>
    <w:rsid w:val="00B70C69"/>
    <w:rsid w:val="00B70D5B"/>
    <w:rsid w:val="00B719CE"/>
    <w:rsid w:val="00B719ED"/>
    <w:rsid w:val="00B71A84"/>
    <w:rsid w:val="00B71C2B"/>
    <w:rsid w:val="00B71E09"/>
    <w:rsid w:val="00B71FCF"/>
    <w:rsid w:val="00B727A8"/>
    <w:rsid w:val="00B72D24"/>
    <w:rsid w:val="00B7306A"/>
    <w:rsid w:val="00B736EC"/>
    <w:rsid w:val="00B73B29"/>
    <w:rsid w:val="00B73BCA"/>
    <w:rsid w:val="00B74832"/>
    <w:rsid w:val="00B760E6"/>
    <w:rsid w:val="00B7639B"/>
    <w:rsid w:val="00B76497"/>
    <w:rsid w:val="00B77446"/>
    <w:rsid w:val="00B77648"/>
    <w:rsid w:val="00B77C09"/>
    <w:rsid w:val="00B77D55"/>
    <w:rsid w:val="00B77D8A"/>
    <w:rsid w:val="00B803A7"/>
    <w:rsid w:val="00B80D97"/>
    <w:rsid w:val="00B80DC7"/>
    <w:rsid w:val="00B81904"/>
    <w:rsid w:val="00B81A7D"/>
    <w:rsid w:val="00B821EB"/>
    <w:rsid w:val="00B82508"/>
    <w:rsid w:val="00B828A9"/>
    <w:rsid w:val="00B82E02"/>
    <w:rsid w:val="00B82E58"/>
    <w:rsid w:val="00B8431B"/>
    <w:rsid w:val="00B848DB"/>
    <w:rsid w:val="00B84B65"/>
    <w:rsid w:val="00B84BF8"/>
    <w:rsid w:val="00B858D9"/>
    <w:rsid w:val="00B85AF4"/>
    <w:rsid w:val="00B86053"/>
    <w:rsid w:val="00B86463"/>
    <w:rsid w:val="00B8649F"/>
    <w:rsid w:val="00B86AB0"/>
    <w:rsid w:val="00B86CB6"/>
    <w:rsid w:val="00B86CC1"/>
    <w:rsid w:val="00B874F7"/>
    <w:rsid w:val="00B87723"/>
    <w:rsid w:val="00B878CC"/>
    <w:rsid w:val="00B90423"/>
    <w:rsid w:val="00B9053B"/>
    <w:rsid w:val="00B90A58"/>
    <w:rsid w:val="00B90D82"/>
    <w:rsid w:val="00B91AE1"/>
    <w:rsid w:val="00B9208B"/>
    <w:rsid w:val="00B92902"/>
    <w:rsid w:val="00B92AAC"/>
    <w:rsid w:val="00B92B4F"/>
    <w:rsid w:val="00B93E34"/>
    <w:rsid w:val="00B9474B"/>
    <w:rsid w:val="00B9490C"/>
    <w:rsid w:val="00B9491D"/>
    <w:rsid w:val="00B94FA7"/>
    <w:rsid w:val="00B959C3"/>
    <w:rsid w:val="00B95B88"/>
    <w:rsid w:val="00B96322"/>
    <w:rsid w:val="00B9633C"/>
    <w:rsid w:val="00B966C8"/>
    <w:rsid w:val="00B96F62"/>
    <w:rsid w:val="00B971E2"/>
    <w:rsid w:val="00B97C30"/>
    <w:rsid w:val="00BA0705"/>
    <w:rsid w:val="00BA1BCF"/>
    <w:rsid w:val="00BA1E90"/>
    <w:rsid w:val="00BA40FB"/>
    <w:rsid w:val="00BA4C5F"/>
    <w:rsid w:val="00BA4CDC"/>
    <w:rsid w:val="00BA4DCF"/>
    <w:rsid w:val="00BA510F"/>
    <w:rsid w:val="00BA53C6"/>
    <w:rsid w:val="00BA5756"/>
    <w:rsid w:val="00BA5866"/>
    <w:rsid w:val="00BA5E2D"/>
    <w:rsid w:val="00BA613F"/>
    <w:rsid w:val="00BA619D"/>
    <w:rsid w:val="00BA6A25"/>
    <w:rsid w:val="00BA6AC5"/>
    <w:rsid w:val="00BA7191"/>
    <w:rsid w:val="00BA7387"/>
    <w:rsid w:val="00BA78D4"/>
    <w:rsid w:val="00BA7B6B"/>
    <w:rsid w:val="00BB0315"/>
    <w:rsid w:val="00BB1AFC"/>
    <w:rsid w:val="00BB1E48"/>
    <w:rsid w:val="00BB208F"/>
    <w:rsid w:val="00BB20E6"/>
    <w:rsid w:val="00BB2165"/>
    <w:rsid w:val="00BB2879"/>
    <w:rsid w:val="00BB32FF"/>
    <w:rsid w:val="00BB3490"/>
    <w:rsid w:val="00BB3EB9"/>
    <w:rsid w:val="00BB4450"/>
    <w:rsid w:val="00BB4719"/>
    <w:rsid w:val="00BB4C8D"/>
    <w:rsid w:val="00BB4CC5"/>
    <w:rsid w:val="00BB4EC7"/>
    <w:rsid w:val="00BB545E"/>
    <w:rsid w:val="00BB5D09"/>
    <w:rsid w:val="00BB6327"/>
    <w:rsid w:val="00BB6564"/>
    <w:rsid w:val="00BB6F5E"/>
    <w:rsid w:val="00BC0362"/>
    <w:rsid w:val="00BC04B3"/>
    <w:rsid w:val="00BC07B4"/>
    <w:rsid w:val="00BC07DE"/>
    <w:rsid w:val="00BC0E71"/>
    <w:rsid w:val="00BC1DE4"/>
    <w:rsid w:val="00BC20E0"/>
    <w:rsid w:val="00BC222A"/>
    <w:rsid w:val="00BC2CA6"/>
    <w:rsid w:val="00BC2F33"/>
    <w:rsid w:val="00BC3049"/>
    <w:rsid w:val="00BC30CE"/>
    <w:rsid w:val="00BC312E"/>
    <w:rsid w:val="00BC3B8F"/>
    <w:rsid w:val="00BC3F9B"/>
    <w:rsid w:val="00BC4769"/>
    <w:rsid w:val="00BC4DA6"/>
    <w:rsid w:val="00BC4DC0"/>
    <w:rsid w:val="00BC4EB2"/>
    <w:rsid w:val="00BC4F79"/>
    <w:rsid w:val="00BC5681"/>
    <w:rsid w:val="00BC5AEC"/>
    <w:rsid w:val="00BC5C0F"/>
    <w:rsid w:val="00BC62E1"/>
    <w:rsid w:val="00BC64F6"/>
    <w:rsid w:val="00BC71F5"/>
    <w:rsid w:val="00BC7F7D"/>
    <w:rsid w:val="00BD0FE8"/>
    <w:rsid w:val="00BD1C7F"/>
    <w:rsid w:val="00BD1C9D"/>
    <w:rsid w:val="00BD1DCB"/>
    <w:rsid w:val="00BD238B"/>
    <w:rsid w:val="00BD274D"/>
    <w:rsid w:val="00BD2926"/>
    <w:rsid w:val="00BD2D90"/>
    <w:rsid w:val="00BD30C7"/>
    <w:rsid w:val="00BD3DD4"/>
    <w:rsid w:val="00BD3F92"/>
    <w:rsid w:val="00BD4858"/>
    <w:rsid w:val="00BD6B44"/>
    <w:rsid w:val="00BD6D7C"/>
    <w:rsid w:val="00BD7362"/>
    <w:rsid w:val="00BD7456"/>
    <w:rsid w:val="00BD7E1A"/>
    <w:rsid w:val="00BE04BF"/>
    <w:rsid w:val="00BE1B7B"/>
    <w:rsid w:val="00BE21B6"/>
    <w:rsid w:val="00BE3999"/>
    <w:rsid w:val="00BE3D40"/>
    <w:rsid w:val="00BE4523"/>
    <w:rsid w:val="00BE4F67"/>
    <w:rsid w:val="00BE56B2"/>
    <w:rsid w:val="00BE57E5"/>
    <w:rsid w:val="00BE5DCD"/>
    <w:rsid w:val="00BE609E"/>
    <w:rsid w:val="00BE60CA"/>
    <w:rsid w:val="00BE63F5"/>
    <w:rsid w:val="00BE6AAA"/>
    <w:rsid w:val="00BF0503"/>
    <w:rsid w:val="00BF149F"/>
    <w:rsid w:val="00BF17CE"/>
    <w:rsid w:val="00BF1CBE"/>
    <w:rsid w:val="00BF2919"/>
    <w:rsid w:val="00BF2C29"/>
    <w:rsid w:val="00BF2E0E"/>
    <w:rsid w:val="00BF3CFB"/>
    <w:rsid w:val="00BF4326"/>
    <w:rsid w:val="00BF45AA"/>
    <w:rsid w:val="00BF46A4"/>
    <w:rsid w:val="00BF4BBB"/>
    <w:rsid w:val="00BF4CA7"/>
    <w:rsid w:val="00BF4E07"/>
    <w:rsid w:val="00BF55BC"/>
    <w:rsid w:val="00BF5790"/>
    <w:rsid w:val="00BF5EE6"/>
    <w:rsid w:val="00BF6580"/>
    <w:rsid w:val="00BF658A"/>
    <w:rsid w:val="00BF6DCE"/>
    <w:rsid w:val="00BF6E6B"/>
    <w:rsid w:val="00C0059F"/>
    <w:rsid w:val="00C015D3"/>
    <w:rsid w:val="00C017BD"/>
    <w:rsid w:val="00C02007"/>
    <w:rsid w:val="00C024EC"/>
    <w:rsid w:val="00C0292A"/>
    <w:rsid w:val="00C0313D"/>
    <w:rsid w:val="00C03D96"/>
    <w:rsid w:val="00C04F28"/>
    <w:rsid w:val="00C052B2"/>
    <w:rsid w:val="00C05B6D"/>
    <w:rsid w:val="00C06FC5"/>
    <w:rsid w:val="00C073AD"/>
    <w:rsid w:val="00C077C7"/>
    <w:rsid w:val="00C10033"/>
    <w:rsid w:val="00C10283"/>
    <w:rsid w:val="00C103EA"/>
    <w:rsid w:val="00C105D1"/>
    <w:rsid w:val="00C106F3"/>
    <w:rsid w:val="00C10D0F"/>
    <w:rsid w:val="00C10E41"/>
    <w:rsid w:val="00C10F64"/>
    <w:rsid w:val="00C11011"/>
    <w:rsid w:val="00C11057"/>
    <w:rsid w:val="00C111C4"/>
    <w:rsid w:val="00C1152B"/>
    <w:rsid w:val="00C11FCD"/>
    <w:rsid w:val="00C122FE"/>
    <w:rsid w:val="00C12322"/>
    <w:rsid w:val="00C12FED"/>
    <w:rsid w:val="00C13AAF"/>
    <w:rsid w:val="00C14A4E"/>
    <w:rsid w:val="00C14B1C"/>
    <w:rsid w:val="00C14C00"/>
    <w:rsid w:val="00C1519F"/>
    <w:rsid w:val="00C15430"/>
    <w:rsid w:val="00C15907"/>
    <w:rsid w:val="00C165AB"/>
    <w:rsid w:val="00C16A13"/>
    <w:rsid w:val="00C16F53"/>
    <w:rsid w:val="00C20404"/>
    <w:rsid w:val="00C207C4"/>
    <w:rsid w:val="00C20892"/>
    <w:rsid w:val="00C212CE"/>
    <w:rsid w:val="00C21A7F"/>
    <w:rsid w:val="00C21E32"/>
    <w:rsid w:val="00C2218E"/>
    <w:rsid w:val="00C2265B"/>
    <w:rsid w:val="00C22C25"/>
    <w:rsid w:val="00C233E3"/>
    <w:rsid w:val="00C2351C"/>
    <w:rsid w:val="00C23A5B"/>
    <w:rsid w:val="00C24536"/>
    <w:rsid w:val="00C24A08"/>
    <w:rsid w:val="00C24E7D"/>
    <w:rsid w:val="00C24F04"/>
    <w:rsid w:val="00C262DB"/>
    <w:rsid w:val="00C27B57"/>
    <w:rsid w:val="00C30450"/>
    <w:rsid w:val="00C305EC"/>
    <w:rsid w:val="00C30797"/>
    <w:rsid w:val="00C31041"/>
    <w:rsid w:val="00C313CB"/>
    <w:rsid w:val="00C31596"/>
    <w:rsid w:val="00C31DB5"/>
    <w:rsid w:val="00C3216C"/>
    <w:rsid w:val="00C322AE"/>
    <w:rsid w:val="00C32C4C"/>
    <w:rsid w:val="00C32DFF"/>
    <w:rsid w:val="00C32EAE"/>
    <w:rsid w:val="00C34611"/>
    <w:rsid w:val="00C34A91"/>
    <w:rsid w:val="00C350CB"/>
    <w:rsid w:val="00C35840"/>
    <w:rsid w:val="00C35966"/>
    <w:rsid w:val="00C35D24"/>
    <w:rsid w:val="00C36712"/>
    <w:rsid w:val="00C4000A"/>
    <w:rsid w:val="00C40031"/>
    <w:rsid w:val="00C4018A"/>
    <w:rsid w:val="00C403D1"/>
    <w:rsid w:val="00C40410"/>
    <w:rsid w:val="00C41492"/>
    <w:rsid w:val="00C41796"/>
    <w:rsid w:val="00C421AB"/>
    <w:rsid w:val="00C422F9"/>
    <w:rsid w:val="00C425B6"/>
    <w:rsid w:val="00C4404F"/>
    <w:rsid w:val="00C4450E"/>
    <w:rsid w:val="00C44C53"/>
    <w:rsid w:val="00C44E17"/>
    <w:rsid w:val="00C44F9A"/>
    <w:rsid w:val="00C450AB"/>
    <w:rsid w:val="00C45303"/>
    <w:rsid w:val="00C4573C"/>
    <w:rsid w:val="00C45831"/>
    <w:rsid w:val="00C45ECD"/>
    <w:rsid w:val="00C4602F"/>
    <w:rsid w:val="00C4647C"/>
    <w:rsid w:val="00C46EDF"/>
    <w:rsid w:val="00C4764E"/>
    <w:rsid w:val="00C509FA"/>
    <w:rsid w:val="00C51023"/>
    <w:rsid w:val="00C514D2"/>
    <w:rsid w:val="00C515C1"/>
    <w:rsid w:val="00C5163C"/>
    <w:rsid w:val="00C51B2B"/>
    <w:rsid w:val="00C5237D"/>
    <w:rsid w:val="00C529A9"/>
    <w:rsid w:val="00C5404A"/>
    <w:rsid w:val="00C54960"/>
    <w:rsid w:val="00C55194"/>
    <w:rsid w:val="00C55557"/>
    <w:rsid w:val="00C56173"/>
    <w:rsid w:val="00C61D22"/>
    <w:rsid w:val="00C6296D"/>
    <w:rsid w:val="00C62C9B"/>
    <w:rsid w:val="00C62EC6"/>
    <w:rsid w:val="00C63058"/>
    <w:rsid w:val="00C630B2"/>
    <w:rsid w:val="00C63703"/>
    <w:rsid w:val="00C63855"/>
    <w:rsid w:val="00C63934"/>
    <w:rsid w:val="00C63B98"/>
    <w:rsid w:val="00C63DB9"/>
    <w:rsid w:val="00C63E68"/>
    <w:rsid w:val="00C641B0"/>
    <w:rsid w:val="00C641D3"/>
    <w:rsid w:val="00C64826"/>
    <w:rsid w:val="00C64BFB"/>
    <w:rsid w:val="00C66AEB"/>
    <w:rsid w:val="00C671C0"/>
    <w:rsid w:val="00C6776C"/>
    <w:rsid w:val="00C67ADD"/>
    <w:rsid w:val="00C67E72"/>
    <w:rsid w:val="00C7039A"/>
    <w:rsid w:val="00C709DE"/>
    <w:rsid w:val="00C72470"/>
    <w:rsid w:val="00C7269E"/>
    <w:rsid w:val="00C7286E"/>
    <w:rsid w:val="00C72C57"/>
    <w:rsid w:val="00C731D6"/>
    <w:rsid w:val="00C73262"/>
    <w:rsid w:val="00C73631"/>
    <w:rsid w:val="00C73A8F"/>
    <w:rsid w:val="00C73BF5"/>
    <w:rsid w:val="00C7427F"/>
    <w:rsid w:val="00C742E9"/>
    <w:rsid w:val="00C744B8"/>
    <w:rsid w:val="00C74D36"/>
    <w:rsid w:val="00C74E6C"/>
    <w:rsid w:val="00C76592"/>
    <w:rsid w:val="00C77440"/>
    <w:rsid w:val="00C77A11"/>
    <w:rsid w:val="00C77E70"/>
    <w:rsid w:val="00C801B8"/>
    <w:rsid w:val="00C80774"/>
    <w:rsid w:val="00C80AF5"/>
    <w:rsid w:val="00C80F8F"/>
    <w:rsid w:val="00C812CF"/>
    <w:rsid w:val="00C81767"/>
    <w:rsid w:val="00C8187E"/>
    <w:rsid w:val="00C81B1C"/>
    <w:rsid w:val="00C8257A"/>
    <w:rsid w:val="00C82836"/>
    <w:rsid w:val="00C82E15"/>
    <w:rsid w:val="00C831AF"/>
    <w:rsid w:val="00C83521"/>
    <w:rsid w:val="00C8369B"/>
    <w:rsid w:val="00C838EC"/>
    <w:rsid w:val="00C839C8"/>
    <w:rsid w:val="00C839F3"/>
    <w:rsid w:val="00C83E4A"/>
    <w:rsid w:val="00C84250"/>
    <w:rsid w:val="00C84CA1"/>
    <w:rsid w:val="00C86480"/>
    <w:rsid w:val="00C86541"/>
    <w:rsid w:val="00C8695E"/>
    <w:rsid w:val="00C876C4"/>
    <w:rsid w:val="00C87E8E"/>
    <w:rsid w:val="00C90219"/>
    <w:rsid w:val="00C908F8"/>
    <w:rsid w:val="00C9091A"/>
    <w:rsid w:val="00C90B75"/>
    <w:rsid w:val="00C90F7A"/>
    <w:rsid w:val="00C91115"/>
    <w:rsid w:val="00C91A37"/>
    <w:rsid w:val="00C92100"/>
    <w:rsid w:val="00C922BA"/>
    <w:rsid w:val="00C92BA6"/>
    <w:rsid w:val="00C93290"/>
    <w:rsid w:val="00C938CC"/>
    <w:rsid w:val="00C93D3A"/>
    <w:rsid w:val="00C94896"/>
    <w:rsid w:val="00C9546E"/>
    <w:rsid w:val="00C9579D"/>
    <w:rsid w:val="00C9582F"/>
    <w:rsid w:val="00C95FED"/>
    <w:rsid w:val="00C9670F"/>
    <w:rsid w:val="00C96D20"/>
    <w:rsid w:val="00C971A9"/>
    <w:rsid w:val="00C975F5"/>
    <w:rsid w:val="00C97976"/>
    <w:rsid w:val="00C97B4A"/>
    <w:rsid w:val="00CA022C"/>
    <w:rsid w:val="00CA15CF"/>
    <w:rsid w:val="00CA20FA"/>
    <w:rsid w:val="00CA2429"/>
    <w:rsid w:val="00CA2F2A"/>
    <w:rsid w:val="00CA353D"/>
    <w:rsid w:val="00CA3FED"/>
    <w:rsid w:val="00CA4513"/>
    <w:rsid w:val="00CA491B"/>
    <w:rsid w:val="00CA4998"/>
    <w:rsid w:val="00CA49E4"/>
    <w:rsid w:val="00CA5B67"/>
    <w:rsid w:val="00CA6389"/>
    <w:rsid w:val="00CA76A8"/>
    <w:rsid w:val="00CA7B3A"/>
    <w:rsid w:val="00CB1861"/>
    <w:rsid w:val="00CB18BB"/>
    <w:rsid w:val="00CB26B6"/>
    <w:rsid w:val="00CB3028"/>
    <w:rsid w:val="00CB3798"/>
    <w:rsid w:val="00CB3DD2"/>
    <w:rsid w:val="00CB3EF8"/>
    <w:rsid w:val="00CB48A6"/>
    <w:rsid w:val="00CB5D24"/>
    <w:rsid w:val="00CB5DCD"/>
    <w:rsid w:val="00CB61F4"/>
    <w:rsid w:val="00CB63F8"/>
    <w:rsid w:val="00CB6AAA"/>
    <w:rsid w:val="00CB6E00"/>
    <w:rsid w:val="00CB6F77"/>
    <w:rsid w:val="00CB7875"/>
    <w:rsid w:val="00CC066D"/>
    <w:rsid w:val="00CC0AE8"/>
    <w:rsid w:val="00CC0E6E"/>
    <w:rsid w:val="00CC14F9"/>
    <w:rsid w:val="00CC18BD"/>
    <w:rsid w:val="00CC1C4E"/>
    <w:rsid w:val="00CC20FB"/>
    <w:rsid w:val="00CC27AC"/>
    <w:rsid w:val="00CC2ABD"/>
    <w:rsid w:val="00CC2CEF"/>
    <w:rsid w:val="00CC38AC"/>
    <w:rsid w:val="00CC3B93"/>
    <w:rsid w:val="00CC3EE4"/>
    <w:rsid w:val="00CC4684"/>
    <w:rsid w:val="00CC4871"/>
    <w:rsid w:val="00CC519B"/>
    <w:rsid w:val="00CC568F"/>
    <w:rsid w:val="00CC5940"/>
    <w:rsid w:val="00CC617D"/>
    <w:rsid w:val="00CC6A2C"/>
    <w:rsid w:val="00CC6F49"/>
    <w:rsid w:val="00CC7E63"/>
    <w:rsid w:val="00CC7FAC"/>
    <w:rsid w:val="00CD0538"/>
    <w:rsid w:val="00CD0B30"/>
    <w:rsid w:val="00CD0CBB"/>
    <w:rsid w:val="00CD1404"/>
    <w:rsid w:val="00CD1E3A"/>
    <w:rsid w:val="00CD250C"/>
    <w:rsid w:val="00CD3103"/>
    <w:rsid w:val="00CD3124"/>
    <w:rsid w:val="00CD3235"/>
    <w:rsid w:val="00CD34E8"/>
    <w:rsid w:val="00CD4014"/>
    <w:rsid w:val="00CD42B9"/>
    <w:rsid w:val="00CD436C"/>
    <w:rsid w:val="00CD4FF6"/>
    <w:rsid w:val="00CD5016"/>
    <w:rsid w:val="00CD53D5"/>
    <w:rsid w:val="00CD577A"/>
    <w:rsid w:val="00CD5C07"/>
    <w:rsid w:val="00CD5D99"/>
    <w:rsid w:val="00CD5ED5"/>
    <w:rsid w:val="00CD6202"/>
    <w:rsid w:val="00CD65CF"/>
    <w:rsid w:val="00CD79E8"/>
    <w:rsid w:val="00CE07EA"/>
    <w:rsid w:val="00CE08CE"/>
    <w:rsid w:val="00CE1786"/>
    <w:rsid w:val="00CE18F1"/>
    <w:rsid w:val="00CE225D"/>
    <w:rsid w:val="00CE27A4"/>
    <w:rsid w:val="00CE2B0A"/>
    <w:rsid w:val="00CE2B62"/>
    <w:rsid w:val="00CE2F85"/>
    <w:rsid w:val="00CE331F"/>
    <w:rsid w:val="00CE382F"/>
    <w:rsid w:val="00CE3B84"/>
    <w:rsid w:val="00CE3F4E"/>
    <w:rsid w:val="00CE41B5"/>
    <w:rsid w:val="00CE4358"/>
    <w:rsid w:val="00CE43AC"/>
    <w:rsid w:val="00CE4E11"/>
    <w:rsid w:val="00CE4F19"/>
    <w:rsid w:val="00CE53AD"/>
    <w:rsid w:val="00CE5489"/>
    <w:rsid w:val="00CE5A39"/>
    <w:rsid w:val="00CE64D7"/>
    <w:rsid w:val="00CE6A36"/>
    <w:rsid w:val="00CE6D0B"/>
    <w:rsid w:val="00CE6DFC"/>
    <w:rsid w:val="00CE7339"/>
    <w:rsid w:val="00CE7429"/>
    <w:rsid w:val="00CE7C80"/>
    <w:rsid w:val="00CF176A"/>
    <w:rsid w:val="00CF1D55"/>
    <w:rsid w:val="00CF2550"/>
    <w:rsid w:val="00CF3A1E"/>
    <w:rsid w:val="00CF3B63"/>
    <w:rsid w:val="00CF413B"/>
    <w:rsid w:val="00CF484E"/>
    <w:rsid w:val="00CF4F45"/>
    <w:rsid w:val="00CF4FB7"/>
    <w:rsid w:val="00CF554C"/>
    <w:rsid w:val="00CF5F81"/>
    <w:rsid w:val="00CF6033"/>
    <w:rsid w:val="00CF61B2"/>
    <w:rsid w:val="00CF6476"/>
    <w:rsid w:val="00CF687B"/>
    <w:rsid w:val="00CF758F"/>
    <w:rsid w:val="00CF77FC"/>
    <w:rsid w:val="00CF7EF3"/>
    <w:rsid w:val="00D0012F"/>
    <w:rsid w:val="00D00635"/>
    <w:rsid w:val="00D0123A"/>
    <w:rsid w:val="00D01B68"/>
    <w:rsid w:val="00D023A2"/>
    <w:rsid w:val="00D02D8F"/>
    <w:rsid w:val="00D03124"/>
    <w:rsid w:val="00D03564"/>
    <w:rsid w:val="00D038F1"/>
    <w:rsid w:val="00D03E04"/>
    <w:rsid w:val="00D044B8"/>
    <w:rsid w:val="00D04558"/>
    <w:rsid w:val="00D055AB"/>
    <w:rsid w:val="00D0576C"/>
    <w:rsid w:val="00D05A7E"/>
    <w:rsid w:val="00D0614A"/>
    <w:rsid w:val="00D0691F"/>
    <w:rsid w:val="00D06E9B"/>
    <w:rsid w:val="00D073A0"/>
    <w:rsid w:val="00D07805"/>
    <w:rsid w:val="00D07C14"/>
    <w:rsid w:val="00D10893"/>
    <w:rsid w:val="00D11074"/>
    <w:rsid w:val="00D1119E"/>
    <w:rsid w:val="00D112FF"/>
    <w:rsid w:val="00D127E4"/>
    <w:rsid w:val="00D12E5E"/>
    <w:rsid w:val="00D13642"/>
    <w:rsid w:val="00D14472"/>
    <w:rsid w:val="00D1483C"/>
    <w:rsid w:val="00D14C41"/>
    <w:rsid w:val="00D15CBF"/>
    <w:rsid w:val="00D16142"/>
    <w:rsid w:val="00D16173"/>
    <w:rsid w:val="00D16513"/>
    <w:rsid w:val="00D16A06"/>
    <w:rsid w:val="00D17832"/>
    <w:rsid w:val="00D2065A"/>
    <w:rsid w:val="00D216B0"/>
    <w:rsid w:val="00D22098"/>
    <w:rsid w:val="00D22AFF"/>
    <w:rsid w:val="00D23081"/>
    <w:rsid w:val="00D238C5"/>
    <w:rsid w:val="00D23B13"/>
    <w:rsid w:val="00D23DE7"/>
    <w:rsid w:val="00D23F34"/>
    <w:rsid w:val="00D2582D"/>
    <w:rsid w:val="00D25870"/>
    <w:rsid w:val="00D25974"/>
    <w:rsid w:val="00D25C7F"/>
    <w:rsid w:val="00D2613B"/>
    <w:rsid w:val="00D3040C"/>
    <w:rsid w:val="00D30B93"/>
    <w:rsid w:val="00D30BBD"/>
    <w:rsid w:val="00D30DB7"/>
    <w:rsid w:val="00D30F25"/>
    <w:rsid w:val="00D30F35"/>
    <w:rsid w:val="00D31CD0"/>
    <w:rsid w:val="00D31CF8"/>
    <w:rsid w:val="00D31DE2"/>
    <w:rsid w:val="00D31FCE"/>
    <w:rsid w:val="00D323CD"/>
    <w:rsid w:val="00D335F1"/>
    <w:rsid w:val="00D33892"/>
    <w:rsid w:val="00D33E0F"/>
    <w:rsid w:val="00D345BA"/>
    <w:rsid w:val="00D34A38"/>
    <w:rsid w:val="00D3583D"/>
    <w:rsid w:val="00D358FD"/>
    <w:rsid w:val="00D37468"/>
    <w:rsid w:val="00D374E9"/>
    <w:rsid w:val="00D37B86"/>
    <w:rsid w:val="00D4024A"/>
    <w:rsid w:val="00D40A13"/>
    <w:rsid w:val="00D40BEC"/>
    <w:rsid w:val="00D40C79"/>
    <w:rsid w:val="00D40F2B"/>
    <w:rsid w:val="00D418B7"/>
    <w:rsid w:val="00D42056"/>
    <w:rsid w:val="00D4227A"/>
    <w:rsid w:val="00D42F95"/>
    <w:rsid w:val="00D43A42"/>
    <w:rsid w:val="00D44190"/>
    <w:rsid w:val="00D441D1"/>
    <w:rsid w:val="00D44C7F"/>
    <w:rsid w:val="00D45872"/>
    <w:rsid w:val="00D45B63"/>
    <w:rsid w:val="00D46620"/>
    <w:rsid w:val="00D467FA"/>
    <w:rsid w:val="00D469D7"/>
    <w:rsid w:val="00D46CE7"/>
    <w:rsid w:val="00D46DE9"/>
    <w:rsid w:val="00D47069"/>
    <w:rsid w:val="00D47380"/>
    <w:rsid w:val="00D47876"/>
    <w:rsid w:val="00D47F72"/>
    <w:rsid w:val="00D501FE"/>
    <w:rsid w:val="00D50281"/>
    <w:rsid w:val="00D51B33"/>
    <w:rsid w:val="00D5229B"/>
    <w:rsid w:val="00D52CAE"/>
    <w:rsid w:val="00D53715"/>
    <w:rsid w:val="00D543AE"/>
    <w:rsid w:val="00D543D6"/>
    <w:rsid w:val="00D54418"/>
    <w:rsid w:val="00D54C98"/>
    <w:rsid w:val="00D54DCF"/>
    <w:rsid w:val="00D551A4"/>
    <w:rsid w:val="00D5532C"/>
    <w:rsid w:val="00D55C04"/>
    <w:rsid w:val="00D56394"/>
    <w:rsid w:val="00D569DE"/>
    <w:rsid w:val="00D56B7B"/>
    <w:rsid w:val="00D57EAE"/>
    <w:rsid w:val="00D601B3"/>
    <w:rsid w:val="00D6081C"/>
    <w:rsid w:val="00D60951"/>
    <w:rsid w:val="00D60B2B"/>
    <w:rsid w:val="00D61627"/>
    <w:rsid w:val="00D6173F"/>
    <w:rsid w:val="00D61E41"/>
    <w:rsid w:val="00D61F6B"/>
    <w:rsid w:val="00D62392"/>
    <w:rsid w:val="00D62A31"/>
    <w:rsid w:val="00D62D6C"/>
    <w:rsid w:val="00D6391D"/>
    <w:rsid w:val="00D6424B"/>
    <w:rsid w:val="00D642DD"/>
    <w:rsid w:val="00D64BDE"/>
    <w:rsid w:val="00D650BE"/>
    <w:rsid w:val="00D6523E"/>
    <w:rsid w:val="00D65250"/>
    <w:rsid w:val="00D6532D"/>
    <w:rsid w:val="00D655CB"/>
    <w:rsid w:val="00D65938"/>
    <w:rsid w:val="00D66339"/>
    <w:rsid w:val="00D66474"/>
    <w:rsid w:val="00D666E3"/>
    <w:rsid w:val="00D66B6F"/>
    <w:rsid w:val="00D6733D"/>
    <w:rsid w:val="00D676D3"/>
    <w:rsid w:val="00D704F7"/>
    <w:rsid w:val="00D70B2B"/>
    <w:rsid w:val="00D71731"/>
    <w:rsid w:val="00D722D9"/>
    <w:rsid w:val="00D7276F"/>
    <w:rsid w:val="00D73314"/>
    <w:rsid w:val="00D73430"/>
    <w:rsid w:val="00D7382A"/>
    <w:rsid w:val="00D73891"/>
    <w:rsid w:val="00D7401A"/>
    <w:rsid w:val="00D74665"/>
    <w:rsid w:val="00D75648"/>
    <w:rsid w:val="00D765ED"/>
    <w:rsid w:val="00D768DC"/>
    <w:rsid w:val="00D77868"/>
    <w:rsid w:val="00D779A2"/>
    <w:rsid w:val="00D800BE"/>
    <w:rsid w:val="00D80750"/>
    <w:rsid w:val="00D80CB5"/>
    <w:rsid w:val="00D8171F"/>
    <w:rsid w:val="00D82F52"/>
    <w:rsid w:val="00D840A4"/>
    <w:rsid w:val="00D84E08"/>
    <w:rsid w:val="00D84F16"/>
    <w:rsid w:val="00D85058"/>
    <w:rsid w:val="00D8524F"/>
    <w:rsid w:val="00D85807"/>
    <w:rsid w:val="00D86419"/>
    <w:rsid w:val="00D86D41"/>
    <w:rsid w:val="00D87328"/>
    <w:rsid w:val="00D87413"/>
    <w:rsid w:val="00D877F0"/>
    <w:rsid w:val="00D879BE"/>
    <w:rsid w:val="00D87EB6"/>
    <w:rsid w:val="00D90271"/>
    <w:rsid w:val="00D9053F"/>
    <w:rsid w:val="00D905E5"/>
    <w:rsid w:val="00D90657"/>
    <w:rsid w:val="00D910F3"/>
    <w:rsid w:val="00D91193"/>
    <w:rsid w:val="00D91448"/>
    <w:rsid w:val="00D916C3"/>
    <w:rsid w:val="00D917F0"/>
    <w:rsid w:val="00D91F5E"/>
    <w:rsid w:val="00D9223A"/>
    <w:rsid w:val="00D92A9E"/>
    <w:rsid w:val="00D9351B"/>
    <w:rsid w:val="00D93BD1"/>
    <w:rsid w:val="00D94177"/>
    <w:rsid w:val="00D94198"/>
    <w:rsid w:val="00D947DD"/>
    <w:rsid w:val="00D94C3A"/>
    <w:rsid w:val="00D94F4D"/>
    <w:rsid w:val="00D95183"/>
    <w:rsid w:val="00D96094"/>
    <w:rsid w:val="00D9627A"/>
    <w:rsid w:val="00D96415"/>
    <w:rsid w:val="00D96E7A"/>
    <w:rsid w:val="00D9784D"/>
    <w:rsid w:val="00D97E0C"/>
    <w:rsid w:val="00DA00FC"/>
    <w:rsid w:val="00DA0C5E"/>
    <w:rsid w:val="00DA0E81"/>
    <w:rsid w:val="00DA0EBA"/>
    <w:rsid w:val="00DA0FBE"/>
    <w:rsid w:val="00DA125C"/>
    <w:rsid w:val="00DA28F7"/>
    <w:rsid w:val="00DA2A57"/>
    <w:rsid w:val="00DA2DD5"/>
    <w:rsid w:val="00DA2F94"/>
    <w:rsid w:val="00DA3104"/>
    <w:rsid w:val="00DA4159"/>
    <w:rsid w:val="00DA4396"/>
    <w:rsid w:val="00DA4651"/>
    <w:rsid w:val="00DA47B2"/>
    <w:rsid w:val="00DA4F8D"/>
    <w:rsid w:val="00DA54A0"/>
    <w:rsid w:val="00DA5AF4"/>
    <w:rsid w:val="00DA65AF"/>
    <w:rsid w:val="00DA6655"/>
    <w:rsid w:val="00DA668C"/>
    <w:rsid w:val="00DA6A75"/>
    <w:rsid w:val="00DA74E5"/>
    <w:rsid w:val="00DA7951"/>
    <w:rsid w:val="00DA7DB3"/>
    <w:rsid w:val="00DB03C6"/>
    <w:rsid w:val="00DB058B"/>
    <w:rsid w:val="00DB0950"/>
    <w:rsid w:val="00DB198F"/>
    <w:rsid w:val="00DB1A70"/>
    <w:rsid w:val="00DB2151"/>
    <w:rsid w:val="00DB253F"/>
    <w:rsid w:val="00DB2C4A"/>
    <w:rsid w:val="00DB31ED"/>
    <w:rsid w:val="00DB3FF2"/>
    <w:rsid w:val="00DB4292"/>
    <w:rsid w:val="00DB4AE6"/>
    <w:rsid w:val="00DB4BC2"/>
    <w:rsid w:val="00DB4ED9"/>
    <w:rsid w:val="00DB5164"/>
    <w:rsid w:val="00DB683F"/>
    <w:rsid w:val="00DB7421"/>
    <w:rsid w:val="00DB74A6"/>
    <w:rsid w:val="00DB7D89"/>
    <w:rsid w:val="00DB7EFF"/>
    <w:rsid w:val="00DC01B4"/>
    <w:rsid w:val="00DC05F2"/>
    <w:rsid w:val="00DC0B0F"/>
    <w:rsid w:val="00DC1122"/>
    <w:rsid w:val="00DC14F2"/>
    <w:rsid w:val="00DC1C7D"/>
    <w:rsid w:val="00DC1D30"/>
    <w:rsid w:val="00DC2753"/>
    <w:rsid w:val="00DC2BEA"/>
    <w:rsid w:val="00DC2CE2"/>
    <w:rsid w:val="00DC4336"/>
    <w:rsid w:val="00DC4F6A"/>
    <w:rsid w:val="00DC5063"/>
    <w:rsid w:val="00DC5B17"/>
    <w:rsid w:val="00DC5E93"/>
    <w:rsid w:val="00DC63D6"/>
    <w:rsid w:val="00DC6CDB"/>
    <w:rsid w:val="00DC776A"/>
    <w:rsid w:val="00DC7C0B"/>
    <w:rsid w:val="00DD003B"/>
    <w:rsid w:val="00DD0DE7"/>
    <w:rsid w:val="00DD25CB"/>
    <w:rsid w:val="00DD2A48"/>
    <w:rsid w:val="00DD3034"/>
    <w:rsid w:val="00DD4415"/>
    <w:rsid w:val="00DD443C"/>
    <w:rsid w:val="00DD45D7"/>
    <w:rsid w:val="00DD492B"/>
    <w:rsid w:val="00DD4C67"/>
    <w:rsid w:val="00DD4C6D"/>
    <w:rsid w:val="00DD58BF"/>
    <w:rsid w:val="00DD58DF"/>
    <w:rsid w:val="00DD5AC9"/>
    <w:rsid w:val="00DD6009"/>
    <w:rsid w:val="00DD617F"/>
    <w:rsid w:val="00DD6468"/>
    <w:rsid w:val="00DD7D4D"/>
    <w:rsid w:val="00DE040C"/>
    <w:rsid w:val="00DE1222"/>
    <w:rsid w:val="00DE1263"/>
    <w:rsid w:val="00DE1368"/>
    <w:rsid w:val="00DE1467"/>
    <w:rsid w:val="00DE149B"/>
    <w:rsid w:val="00DE22BD"/>
    <w:rsid w:val="00DE2915"/>
    <w:rsid w:val="00DE2FD5"/>
    <w:rsid w:val="00DE308C"/>
    <w:rsid w:val="00DE3318"/>
    <w:rsid w:val="00DE3DB7"/>
    <w:rsid w:val="00DE3DD5"/>
    <w:rsid w:val="00DE4369"/>
    <w:rsid w:val="00DE4424"/>
    <w:rsid w:val="00DE4B4E"/>
    <w:rsid w:val="00DE4F4F"/>
    <w:rsid w:val="00DE589D"/>
    <w:rsid w:val="00DE5F60"/>
    <w:rsid w:val="00DE754D"/>
    <w:rsid w:val="00DE7997"/>
    <w:rsid w:val="00DF0755"/>
    <w:rsid w:val="00DF0DD0"/>
    <w:rsid w:val="00DF1554"/>
    <w:rsid w:val="00DF1D9A"/>
    <w:rsid w:val="00DF2E0F"/>
    <w:rsid w:val="00DF31BC"/>
    <w:rsid w:val="00DF3534"/>
    <w:rsid w:val="00DF3C25"/>
    <w:rsid w:val="00DF4383"/>
    <w:rsid w:val="00DF482C"/>
    <w:rsid w:val="00DF4E18"/>
    <w:rsid w:val="00DF4FD2"/>
    <w:rsid w:val="00DF6234"/>
    <w:rsid w:val="00E0002D"/>
    <w:rsid w:val="00E0012B"/>
    <w:rsid w:val="00E007A2"/>
    <w:rsid w:val="00E00936"/>
    <w:rsid w:val="00E01473"/>
    <w:rsid w:val="00E015DC"/>
    <w:rsid w:val="00E01B45"/>
    <w:rsid w:val="00E01D66"/>
    <w:rsid w:val="00E01D9F"/>
    <w:rsid w:val="00E02CF2"/>
    <w:rsid w:val="00E038C6"/>
    <w:rsid w:val="00E039C2"/>
    <w:rsid w:val="00E03A89"/>
    <w:rsid w:val="00E04500"/>
    <w:rsid w:val="00E047CB"/>
    <w:rsid w:val="00E04AFF"/>
    <w:rsid w:val="00E04DD9"/>
    <w:rsid w:val="00E04F4F"/>
    <w:rsid w:val="00E054E3"/>
    <w:rsid w:val="00E05858"/>
    <w:rsid w:val="00E05A21"/>
    <w:rsid w:val="00E06653"/>
    <w:rsid w:val="00E06A97"/>
    <w:rsid w:val="00E06DCB"/>
    <w:rsid w:val="00E06E68"/>
    <w:rsid w:val="00E10176"/>
    <w:rsid w:val="00E10408"/>
    <w:rsid w:val="00E10826"/>
    <w:rsid w:val="00E11916"/>
    <w:rsid w:val="00E11DFF"/>
    <w:rsid w:val="00E11F05"/>
    <w:rsid w:val="00E125E4"/>
    <w:rsid w:val="00E125EB"/>
    <w:rsid w:val="00E125FA"/>
    <w:rsid w:val="00E12757"/>
    <w:rsid w:val="00E12808"/>
    <w:rsid w:val="00E12F53"/>
    <w:rsid w:val="00E135D9"/>
    <w:rsid w:val="00E138AE"/>
    <w:rsid w:val="00E13FB5"/>
    <w:rsid w:val="00E14DE8"/>
    <w:rsid w:val="00E14ED1"/>
    <w:rsid w:val="00E15680"/>
    <w:rsid w:val="00E20833"/>
    <w:rsid w:val="00E21274"/>
    <w:rsid w:val="00E21398"/>
    <w:rsid w:val="00E2298C"/>
    <w:rsid w:val="00E22BD4"/>
    <w:rsid w:val="00E23397"/>
    <w:rsid w:val="00E23405"/>
    <w:rsid w:val="00E23603"/>
    <w:rsid w:val="00E23705"/>
    <w:rsid w:val="00E25171"/>
    <w:rsid w:val="00E2557F"/>
    <w:rsid w:val="00E25B58"/>
    <w:rsid w:val="00E25C80"/>
    <w:rsid w:val="00E25F05"/>
    <w:rsid w:val="00E25F4D"/>
    <w:rsid w:val="00E26019"/>
    <w:rsid w:val="00E26928"/>
    <w:rsid w:val="00E269A3"/>
    <w:rsid w:val="00E26B30"/>
    <w:rsid w:val="00E26C9E"/>
    <w:rsid w:val="00E26D36"/>
    <w:rsid w:val="00E27E2B"/>
    <w:rsid w:val="00E27F0F"/>
    <w:rsid w:val="00E30070"/>
    <w:rsid w:val="00E30075"/>
    <w:rsid w:val="00E30FD2"/>
    <w:rsid w:val="00E31F4D"/>
    <w:rsid w:val="00E320D6"/>
    <w:rsid w:val="00E3240B"/>
    <w:rsid w:val="00E327B1"/>
    <w:rsid w:val="00E32A45"/>
    <w:rsid w:val="00E32F83"/>
    <w:rsid w:val="00E333C7"/>
    <w:rsid w:val="00E33B57"/>
    <w:rsid w:val="00E33E28"/>
    <w:rsid w:val="00E34D28"/>
    <w:rsid w:val="00E35E2A"/>
    <w:rsid w:val="00E370DB"/>
    <w:rsid w:val="00E3754F"/>
    <w:rsid w:val="00E400F2"/>
    <w:rsid w:val="00E40749"/>
    <w:rsid w:val="00E4146E"/>
    <w:rsid w:val="00E4194A"/>
    <w:rsid w:val="00E42006"/>
    <w:rsid w:val="00E420B0"/>
    <w:rsid w:val="00E429E9"/>
    <w:rsid w:val="00E42C35"/>
    <w:rsid w:val="00E436D1"/>
    <w:rsid w:val="00E4372D"/>
    <w:rsid w:val="00E43C80"/>
    <w:rsid w:val="00E43CE8"/>
    <w:rsid w:val="00E43E82"/>
    <w:rsid w:val="00E4458C"/>
    <w:rsid w:val="00E44CCD"/>
    <w:rsid w:val="00E4556D"/>
    <w:rsid w:val="00E45AF8"/>
    <w:rsid w:val="00E468A9"/>
    <w:rsid w:val="00E46BAE"/>
    <w:rsid w:val="00E47DB0"/>
    <w:rsid w:val="00E47FA9"/>
    <w:rsid w:val="00E50643"/>
    <w:rsid w:val="00E50AD3"/>
    <w:rsid w:val="00E51000"/>
    <w:rsid w:val="00E51666"/>
    <w:rsid w:val="00E51DCB"/>
    <w:rsid w:val="00E522B2"/>
    <w:rsid w:val="00E52566"/>
    <w:rsid w:val="00E53080"/>
    <w:rsid w:val="00E5324C"/>
    <w:rsid w:val="00E53C12"/>
    <w:rsid w:val="00E5418B"/>
    <w:rsid w:val="00E541EE"/>
    <w:rsid w:val="00E546E9"/>
    <w:rsid w:val="00E5534B"/>
    <w:rsid w:val="00E56263"/>
    <w:rsid w:val="00E566F1"/>
    <w:rsid w:val="00E5674C"/>
    <w:rsid w:val="00E5690F"/>
    <w:rsid w:val="00E57206"/>
    <w:rsid w:val="00E57AEE"/>
    <w:rsid w:val="00E604FA"/>
    <w:rsid w:val="00E61641"/>
    <w:rsid w:val="00E617A9"/>
    <w:rsid w:val="00E61F3D"/>
    <w:rsid w:val="00E623BF"/>
    <w:rsid w:val="00E62DB0"/>
    <w:rsid w:val="00E637E5"/>
    <w:rsid w:val="00E63B3F"/>
    <w:rsid w:val="00E63BF0"/>
    <w:rsid w:val="00E6413C"/>
    <w:rsid w:val="00E64397"/>
    <w:rsid w:val="00E64C49"/>
    <w:rsid w:val="00E64D60"/>
    <w:rsid w:val="00E64D62"/>
    <w:rsid w:val="00E6537F"/>
    <w:rsid w:val="00E6562B"/>
    <w:rsid w:val="00E669BF"/>
    <w:rsid w:val="00E701DA"/>
    <w:rsid w:val="00E70563"/>
    <w:rsid w:val="00E71462"/>
    <w:rsid w:val="00E719B8"/>
    <w:rsid w:val="00E719B9"/>
    <w:rsid w:val="00E71DE7"/>
    <w:rsid w:val="00E721F0"/>
    <w:rsid w:val="00E72658"/>
    <w:rsid w:val="00E72860"/>
    <w:rsid w:val="00E72AB0"/>
    <w:rsid w:val="00E73460"/>
    <w:rsid w:val="00E73686"/>
    <w:rsid w:val="00E73A84"/>
    <w:rsid w:val="00E73B13"/>
    <w:rsid w:val="00E73B2E"/>
    <w:rsid w:val="00E748AF"/>
    <w:rsid w:val="00E74BA1"/>
    <w:rsid w:val="00E7502F"/>
    <w:rsid w:val="00E75753"/>
    <w:rsid w:val="00E76CAD"/>
    <w:rsid w:val="00E77EC0"/>
    <w:rsid w:val="00E804A2"/>
    <w:rsid w:val="00E80A6F"/>
    <w:rsid w:val="00E815DC"/>
    <w:rsid w:val="00E81BC7"/>
    <w:rsid w:val="00E81D15"/>
    <w:rsid w:val="00E823AF"/>
    <w:rsid w:val="00E83196"/>
    <w:rsid w:val="00E8426A"/>
    <w:rsid w:val="00E84BE0"/>
    <w:rsid w:val="00E84C74"/>
    <w:rsid w:val="00E85D49"/>
    <w:rsid w:val="00E8751A"/>
    <w:rsid w:val="00E87FA2"/>
    <w:rsid w:val="00E90335"/>
    <w:rsid w:val="00E90771"/>
    <w:rsid w:val="00E90F54"/>
    <w:rsid w:val="00E91736"/>
    <w:rsid w:val="00E91837"/>
    <w:rsid w:val="00E91F19"/>
    <w:rsid w:val="00E929CD"/>
    <w:rsid w:val="00E92F03"/>
    <w:rsid w:val="00E937FD"/>
    <w:rsid w:val="00E93908"/>
    <w:rsid w:val="00E93984"/>
    <w:rsid w:val="00E9492B"/>
    <w:rsid w:val="00E94DCF"/>
    <w:rsid w:val="00E95C6F"/>
    <w:rsid w:val="00E95C95"/>
    <w:rsid w:val="00E9715F"/>
    <w:rsid w:val="00E97DB9"/>
    <w:rsid w:val="00E97E04"/>
    <w:rsid w:val="00EA00CC"/>
    <w:rsid w:val="00EA0C35"/>
    <w:rsid w:val="00EA0D41"/>
    <w:rsid w:val="00EA121B"/>
    <w:rsid w:val="00EA2851"/>
    <w:rsid w:val="00EA30A4"/>
    <w:rsid w:val="00EA3F0B"/>
    <w:rsid w:val="00EA43A0"/>
    <w:rsid w:val="00EA5130"/>
    <w:rsid w:val="00EA5575"/>
    <w:rsid w:val="00EA58CE"/>
    <w:rsid w:val="00EA5B03"/>
    <w:rsid w:val="00EA6318"/>
    <w:rsid w:val="00EA66E4"/>
    <w:rsid w:val="00EA6783"/>
    <w:rsid w:val="00EA6A9E"/>
    <w:rsid w:val="00EA6F56"/>
    <w:rsid w:val="00EA7C03"/>
    <w:rsid w:val="00EB095E"/>
    <w:rsid w:val="00EB0C08"/>
    <w:rsid w:val="00EB1298"/>
    <w:rsid w:val="00EB1E65"/>
    <w:rsid w:val="00EB20BF"/>
    <w:rsid w:val="00EB3454"/>
    <w:rsid w:val="00EB3ED1"/>
    <w:rsid w:val="00EB4953"/>
    <w:rsid w:val="00EB4A96"/>
    <w:rsid w:val="00EB4A97"/>
    <w:rsid w:val="00EB537B"/>
    <w:rsid w:val="00EB5E00"/>
    <w:rsid w:val="00EB5F48"/>
    <w:rsid w:val="00EB6CFC"/>
    <w:rsid w:val="00EB71C2"/>
    <w:rsid w:val="00EB7742"/>
    <w:rsid w:val="00EB785F"/>
    <w:rsid w:val="00EB7ADD"/>
    <w:rsid w:val="00EB7FC3"/>
    <w:rsid w:val="00EC0E50"/>
    <w:rsid w:val="00EC0FED"/>
    <w:rsid w:val="00EC19F2"/>
    <w:rsid w:val="00EC241B"/>
    <w:rsid w:val="00EC2577"/>
    <w:rsid w:val="00EC3103"/>
    <w:rsid w:val="00EC3288"/>
    <w:rsid w:val="00EC39C1"/>
    <w:rsid w:val="00EC3E28"/>
    <w:rsid w:val="00EC4485"/>
    <w:rsid w:val="00EC59AC"/>
    <w:rsid w:val="00EC5E1F"/>
    <w:rsid w:val="00EC5ED9"/>
    <w:rsid w:val="00EC5FBF"/>
    <w:rsid w:val="00EC63EE"/>
    <w:rsid w:val="00EC6900"/>
    <w:rsid w:val="00EC6954"/>
    <w:rsid w:val="00EC741C"/>
    <w:rsid w:val="00EC756D"/>
    <w:rsid w:val="00EC787E"/>
    <w:rsid w:val="00ED0537"/>
    <w:rsid w:val="00ED0653"/>
    <w:rsid w:val="00ED12F0"/>
    <w:rsid w:val="00ED1725"/>
    <w:rsid w:val="00ED1CF9"/>
    <w:rsid w:val="00ED1E8B"/>
    <w:rsid w:val="00ED2032"/>
    <w:rsid w:val="00ED27D6"/>
    <w:rsid w:val="00ED2A26"/>
    <w:rsid w:val="00ED2B7B"/>
    <w:rsid w:val="00ED4B56"/>
    <w:rsid w:val="00ED5611"/>
    <w:rsid w:val="00ED6141"/>
    <w:rsid w:val="00ED63EB"/>
    <w:rsid w:val="00ED752A"/>
    <w:rsid w:val="00ED7CAE"/>
    <w:rsid w:val="00ED7F2D"/>
    <w:rsid w:val="00EE01C6"/>
    <w:rsid w:val="00EE02AB"/>
    <w:rsid w:val="00EE0897"/>
    <w:rsid w:val="00EE0A39"/>
    <w:rsid w:val="00EE11FE"/>
    <w:rsid w:val="00EE1836"/>
    <w:rsid w:val="00EE1F6A"/>
    <w:rsid w:val="00EE29CB"/>
    <w:rsid w:val="00EE388C"/>
    <w:rsid w:val="00EE4454"/>
    <w:rsid w:val="00EE48C5"/>
    <w:rsid w:val="00EE4931"/>
    <w:rsid w:val="00EE504B"/>
    <w:rsid w:val="00EE60F9"/>
    <w:rsid w:val="00EE6489"/>
    <w:rsid w:val="00EE6861"/>
    <w:rsid w:val="00EE6E4F"/>
    <w:rsid w:val="00EE7262"/>
    <w:rsid w:val="00EE779E"/>
    <w:rsid w:val="00EE78B7"/>
    <w:rsid w:val="00EE7C6A"/>
    <w:rsid w:val="00EF01B1"/>
    <w:rsid w:val="00EF04D7"/>
    <w:rsid w:val="00EF0D12"/>
    <w:rsid w:val="00EF1431"/>
    <w:rsid w:val="00EF1AF8"/>
    <w:rsid w:val="00EF24AC"/>
    <w:rsid w:val="00EF3055"/>
    <w:rsid w:val="00EF389C"/>
    <w:rsid w:val="00EF41BB"/>
    <w:rsid w:val="00EF4A6F"/>
    <w:rsid w:val="00EF5126"/>
    <w:rsid w:val="00EF5365"/>
    <w:rsid w:val="00EF6008"/>
    <w:rsid w:val="00EF63B4"/>
    <w:rsid w:val="00EF6C7B"/>
    <w:rsid w:val="00EF79A5"/>
    <w:rsid w:val="00EF7DAA"/>
    <w:rsid w:val="00F001BC"/>
    <w:rsid w:val="00F01006"/>
    <w:rsid w:val="00F011F4"/>
    <w:rsid w:val="00F0158E"/>
    <w:rsid w:val="00F01828"/>
    <w:rsid w:val="00F018CC"/>
    <w:rsid w:val="00F023CE"/>
    <w:rsid w:val="00F02C5C"/>
    <w:rsid w:val="00F02D1F"/>
    <w:rsid w:val="00F02DF2"/>
    <w:rsid w:val="00F0376D"/>
    <w:rsid w:val="00F038F8"/>
    <w:rsid w:val="00F03FE3"/>
    <w:rsid w:val="00F04192"/>
    <w:rsid w:val="00F0588E"/>
    <w:rsid w:val="00F05CBC"/>
    <w:rsid w:val="00F05E5D"/>
    <w:rsid w:val="00F07417"/>
    <w:rsid w:val="00F0750B"/>
    <w:rsid w:val="00F079AC"/>
    <w:rsid w:val="00F07AA6"/>
    <w:rsid w:val="00F07AA7"/>
    <w:rsid w:val="00F10984"/>
    <w:rsid w:val="00F10A0B"/>
    <w:rsid w:val="00F1122B"/>
    <w:rsid w:val="00F1123B"/>
    <w:rsid w:val="00F1123C"/>
    <w:rsid w:val="00F1125E"/>
    <w:rsid w:val="00F1126D"/>
    <w:rsid w:val="00F1128C"/>
    <w:rsid w:val="00F11C75"/>
    <w:rsid w:val="00F11E36"/>
    <w:rsid w:val="00F122BC"/>
    <w:rsid w:val="00F126A3"/>
    <w:rsid w:val="00F1278D"/>
    <w:rsid w:val="00F12C62"/>
    <w:rsid w:val="00F1355C"/>
    <w:rsid w:val="00F13BFB"/>
    <w:rsid w:val="00F13F74"/>
    <w:rsid w:val="00F141F1"/>
    <w:rsid w:val="00F152D7"/>
    <w:rsid w:val="00F156DD"/>
    <w:rsid w:val="00F15F27"/>
    <w:rsid w:val="00F16060"/>
    <w:rsid w:val="00F162AE"/>
    <w:rsid w:val="00F1725B"/>
    <w:rsid w:val="00F17335"/>
    <w:rsid w:val="00F17CCA"/>
    <w:rsid w:val="00F216D5"/>
    <w:rsid w:val="00F21787"/>
    <w:rsid w:val="00F21E9D"/>
    <w:rsid w:val="00F22073"/>
    <w:rsid w:val="00F22133"/>
    <w:rsid w:val="00F22330"/>
    <w:rsid w:val="00F230AD"/>
    <w:rsid w:val="00F23165"/>
    <w:rsid w:val="00F23254"/>
    <w:rsid w:val="00F24FF9"/>
    <w:rsid w:val="00F2584D"/>
    <w:rsid w:val="00F25F29"/>
    <w:rsid w:val="00F270B9"/>
    <w:rsid w:val="00F27CC3"/>
    <w:rsid w:val="00F3025C"/>
    <w:rsid w:val="00F30348"/>
    <w:rsid w:val="00F304B8"/>
    <w:rsid w:val="00F3132D"/>
    <w:rsid w:val="00F3152B"/>
    <w:rsid w:val="00F32194"/>
    <w:rsid w:val="00F32958"/>
    <w:rsid w:val="00F333B4"/>
    <w:rsid w:val="00F33D99"/>
    <w:rsid w:val="00F33EED"/>
    <w:rsid w:val="00F34397"/>
    <w:rsid w:val="00F345B5"/>
    <w:rsid w:val="00F345E0"/>
    <w:rsid w:val="00F34A5A"/>
    <w:rsid w:val="00F34CF5"/>
    <w:rsid w:val="00F35341"/>
    <w:rsid w:val="00F3555F"/>
    <w:rsid w:val="00F36F44"/>
    <w:rsid w:val="00F36FFF"/>
    <w:rsid w:val="00F373DC"/>
    <w:rsid w:val="00F402AC"/>
    <w:rsid w:val="00F40512"/>
    <w:rsid w:val="00F40F79"/>
    <w:rsid w:val="00F40FEF"/>
    <w:rsid w:val="00F41466"/>
    <w:rsid w:val="00F41B1D"/>
    <w:rsid w:val="00F41F48"/>
    <w:rsid w:val="00F4273E"/>
    <w:rsid w:val="00F42B85"/>
    <w:rsid w:val="00F4347F"/>
    <w:rsid w:val="00F43FE6"/>
    <w:rsid w:val="00F443CD"/>
    <w:rsid w:val="00F45321"/>
    <w:rsid w:val="00F45548"/>
    <w:rsid w:val="00F46BF5"/>
    <w:rsid w:val="00F479DD"/>
    <w:rsid w:val="00F5066D"/>
    <w:rsid w:val="00F50A8D"/>
    <w:rsid w:val="00F51B33"/>
    <w:rsid w:val="00F51B4C"/>
    <w:rsid w:val="00F520B1"/>
    <w:rsid w:val="00F529CE"/>
    <w:rsid w:val="00F52B17"/>
    <w:rsid w:val="00F532CB"/>
    <w:rsid w:val="00F544D4"/>
    <w:rsid w:val="00F546EC"/>
    <w:rsid w:val="00F54D2A"/>
    <w:rsid w:val="00F55148"/>
    <w:rsid w:val="00F55F42"/>
    <w:rsid w:val="00F560F8"/>
    <w:rsid w:val="00F56F58"/>
    <w:rsid w:val="00F5746A"/>
    <w:rsid w:val="00F6003B"/>
    <w:rsid w:val="00F6011D"/>
    <w:rsid w:val="00F6056E"/>
    <w:rsid w:val="00F6092C"/>
    <w:rsid w:val="00F609F2"/>
    <w:rsid w:val="00F60E20"/>
    <w:rsid w:val="00F615A4"/>
    <w:rsid w:val="00F61790"/>
    <w:rsid w:val="00F61C01"/>
    <w:rsid w:val="00F62765"/>
    <w:rsid w:val="00F63206"/>
    <w:rsid w:val="00F6344F"/>
    <w:rsid w:val="00F63A78"/>
    <w:rsid w:val="00F640AA"/>
    <w:rsid w:val="00F64149"/>
    <w:rsid w:val="00F651B3"/>
    <w:rsid w:val="00F66715"/>
    <w:rsid w:val="00F66A44"/>
    <w:rsid w:val="00F6728C"/>
    <w:rsid w:val="00F67339"/>
    <w:rsid w:val="00F67370"/>
    <w:rsid w:val="00F67390"/>
    <w:rsid w:val="00F67597"/>
    <w:rsid w:val="00F70675"/>
    <w:rsid w:val="00F70C22"/>
    <w:rsid w:val="00F71D9D"/>
    <w:rsid w:val="00F71E2B"/>
    <w:rsid w:val="00F723CF"/>
    <w:rsid w:val="00F72CFC"/>
    <w:rsid w:val="00F737A4"/>
    <w:rsid w:val="00F73DE9"/>
    <w:rsid w:val="00F745E8"/>
    <w:rsid w:val="00F749C8"/>
    <w:rsid w:val="00F74D1F"/>
    <w:rsid w:val="00F74F87"/>
    <w:rsid w:val="00F75664"/>
    <w:rsid w:val="00F75BC7"/>
    <w:rsid w:val="00F75D29"/>
    <w:rsid w:val="00F76393"/>
    <w:rsid w:val="00F768A3"/>
    <w:rsid w:val="00F768E7"/>
    <w:rsid w:val="00F76FB4"/>
    <w:rsid w:val="00F77267"/>
    <w:rsid w:val="00F7782D"/>
    <w:rsid w:val="00F80475"/>
    <w:rsid w:val="00F80530"/>
    <w:rsid w:val="00F80A0B"/>
    <w:rsid w:val="00F80F2A"/>
    <w:rsid w:val="00F8112F"/>
    <w:rsid w:val="00F815DA"/>
    <w:rsid w:val="00F818E9"/>
    <w:rsid w:val="00F81D18"/>
    <w:rsid w:val="00F81F1F"/>
    <w:rsid w:val="00F82020"/>
    <w:rsid w:val="00F82442"/>
    <w:rsid w:val="00F82900"/>
    <w:rsid w:val="00F83A1F"/>
    <w:rsid w:val="00F84255"/>
    <w:rsid w:val="00F84777"/>
    <w:rsid w:val="00F84796"/>
    <w:rsid w:val="00F84B3A"/>
    <w:rsid w:val="00F859C2"/>
    <w:rsid w:val="00F86D14"/>
    <w:rsid w:val="00F870B3"/>
    <w:rsid w:val="00F87AB3"/>
    <w:rsid w:val="00F90481"/>
    <w:rsid w:val="00F907A2"/>
    <w:rsid w:val="00F90D18"/>
    <w:rsid w:val="00F90DF7"/>
    <w:rsid w:val="00F9122D"/>
    <w:rsid w:val="00F92E7E"/>
    <w:rsid w:val="00F933CD"/>
    <w:rsid w:val="00F9360E"/>
    <w:rsid w:val="00F94B57"/>
    <w:rsid w:val="00F94ECE"/>
    <w:rsid w:val="00F961AD"/>
    <w:rsid w:val="00F96410"/>
    <w:rsid w:val="00F9748E"/>
    <w:rsid w:val="00F977C2"/>
    <w:rsid w:val="00F977C3"/>
    <w:rsid w:val="00F97AC2"/>
    <w:rsid w:val="00F97C30"/>
    <w:rsid w:val="00F97F02"/>
    <w:rsid w:val="00FA0932"/>
    <w:rsid w:val="00FA09F2"/>
    <w:rsid w:val="00FA1488"/>
    <w:rsid w:val="00FA25FA"/>
    <w:rsid w:val="00FA41F8"/>
    <w:rsid w:val="00FA4475"/>
    <w:rsid w:val="00FA44E6"/>
    <w:rsid w:val="00FA47B5"/>
    <w:rsid w:val="00FA5047"/>
    <w:rsid w:val="00FA53BC"/>
    <w:rsid w:val="00FA574F"/>
    <w:rsid w:val="00FA577C"/>
    <w:rsid w:val="00FA597A"/>
    <w:rsid w:val="00FA60D7"/>
    <w:rsid w:val="00FA7ED7"/>
    <w:rsid w:val="00FB0529"/>
    <w:rsid w:val="00FB0895"/>
    <w:rsid w:val="00FB0AC9"/>
    <w:rsid w:val="00FB0DEE"/>
    <w:rsid w:val="00FB0EF6"/>
    <w:rsid w:val="00FB115E"/>
    <w:rsid w:val="00FB12E5"/>
    <w:rsid w:val="00FB2771"/>
    <w:rsid w:val="00FB2A5D"/>
    <w:rsid w:val="00FB2AF5"/>
    <w:rsid w:val="00FB2C7A"/>
    <w:rsid w:val="00FB2D3D"/>
    <w:rsid w:val="00FB32DD"/>
    <w:rsid w:val="00FB3A1E"/>
    <w:rsid w:val="00FB437E"/>
    <w:rsid w:val="00FB43E0"/>
    <w:rsid w:val="00FB449E"/>
    <w:rsid w:val="00FB45E0"/>
    <w:rsid w:val="00FB52B2"/>
    <w:rsid w:val="00FB553A"/>
    <w:rsid w:val="00FB6193"/>
    <w:rsid w:val="00FB7B54"/>
    <w:rsid w:val="00FB7C7E"/>
    <w:rsid w:val="00FB7D00"/>
    <w:rsid w:val="00FB7F8D"/>
    <w:rsid w:val="00FC03F7"/>
    <w:rsid w:val="00FC0516"/>
    <w:rsid w:val="00FC1178"/>
    <w:rsid w:val="00FC1A49"/>
    <w:rsid w:val="00FC2D9D"/>
    <w:rsid w:val="00FC349D"/>
    <w:rsid w:val="00FC3500"/>
    <w:rsid w:val="00FC3F3E"/>
    <w:rsid w:val="00FC40F2"/>
    <w:rsid w:val="00FC4841"/>
    <w:rsid w:val="00FC4AB6"/>
    <w:rsid w:val="00FC4F6A"/>
    <w:rsid w:val="00FC51C6"/>
    <w:rsid w:val="00FC59AD"/>
    <w:rsid w:val="00FC5A99"/>
    <w:rsid w:val="00FC5ED6"/>
    <w:rsid w:val="00FC6A88"/>
    <w:rsid w:val="00FC6CDF"/>
    <w:rsid w:val="00FC6D05"/>
    <w:rsid w:val="00FD04B8"/>
    <w:rsid w:val="00FD065A"/>
    <w:rsid w:val="00FD1A28"/>
    <w:rsid w:val="00FD1A42"/>
    <w:rsid w:val="00FD1B46"/>
    <w:rsid w:val="00FD200F"/>
    <w:rsid w:val="00FD35BD"/>
    <w:rsid w:val="00FD3AD0"/>
    <w:rsid w:val="00FD3DCC"/>
    <w:rsid w:val="00FD4E0D"/>
    <w:rsid w:val="00FD52F3"/>
    <w:rsid w:val="00FD543F"/>
    <w:rsid w:val="00FD603E"/>
    <w:rsid w:val="00FD60FD"/>
    <w:rsid w:val="00FD671A"/>
    <w:rsid w:val="00FD6C6A"/>
    <w:rsid w:val="00FD70A5"/>
    <w:rsid w:val="00FD72E4"/>
    <w:rsid w:val="00FD7ECE"/>
    <w:rsid w:val="00FD7FB9"/>
    <w:rsid w:val="00FE0504"/>
    <w:rsid w:val="00FE0762"/>
    <w:rsid w:val="00FE0C78"/>
    <w:rsid w:val="00FE0D19"/>
    <w:rsid w:val="00FE0DE5"/>
    <w:rsid w:val="00FE1DC5"/>
    <w:rsid w:val="00FE1E59"/>
    <w:rsid w:val="00FE2778"/>
    <w:rsid w:val="00FE3B9D"/>
    <w:rsid w:val="00FE3FFD"/>
    <w:rsid w:val="00FE40FD"/>
    <w:rsid w:val="00FE4415"/>
    <w:rsid w:val="00FE44CC"/>
    <w:rsid w:val="00FE4505"/>
    <w:rsid w:val="00FE5A3D"/>
    <w:rsid w:val="00FE6817"/>
    <w:rsid w:val="00FE77EF"/>
    <w:rsid w:val="00FE7B1F"/>
    <w:rsid w:val="00FF0562"/>
    <w:rsid w:val="00FF086D"/>
    <w:rsid w:val="00FF0AF9"/>
    <w:rsid w:val="00FF0FD8"/>
    <w:rsid w:val="00FF121B"/>
    <w:rsid w:val="00FF155A"/>
    <w:rsid w:val="00FF16F9"/>
    <w:rsid w:val="00FF1ABC"/>
    <w:rsid w:val="00FF23DE"/>
    <w:rsid w:val="00FF3602"/>
    <w:rsid w:val="00FF3C64"/>
    <w:rsid w:val="00FF43B1"/>
    <w:rsid w:val="00FF460E"/>
    <w:rsid w:val="00FF4AFC"/>
    <w:rsid w:val="00FF4FBD"/>
    <w:rsid w:val="00FF5469"/>
    <w:rsid w:val="00FF5707"/>
    <w:rsid w:val="00FF5A60"/>
    <w:rsid w:val="00FF5B90"/>
    <w:rsid w:val="00FF62EC"/>
    <w:rsid w:val="00FF6969"/>
    <w:rsid w:val="00FF69CB"/>
    <w:rsid w:val="00FF702E"/>
    <w:rsid w:val="00FF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C995AC"/>
  <w15:chartTrackingRefBased/>
  <w15:docId w15:val="{8C582B21-F7C3-49C9-9276-D5C3AC4B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9D2"/>
    <w:pPr>
      <w:spacing w:after="160" w:line="480" w:lineRule="auto"/>
      <w:jc w:val="both"/>
    </w:pPr>
    <w:rPr>
      <w:rFonts w:ascii="Times New Roman" w:hAnsi="Times New Roman"/>
      <w:sz w:val="24"/>
      <w:szCs w:val="22"/>
    </w:rPr>
  </w:style>
  <w:style w:type="paragraph" w:styleId="Heading1">
    <w:name w:val="heading 1"/>
    <w:basedOn w:val="Normal"/>
    <w:next w:val="Normal"/>
    <w:link w:val="Heading1Char"/>
    <w:qFormat/>
    <w:rsid w:val="0002602B"/>
    <w:pPr>
      <w:keepNext/>
      <w:spacing w:before="240" w:after="60" w:line="360" w:lineRule="auto"/>
      <w:outlineLvl w:val="0"/>
    </w:pPr>
    <w:rPr>
      <w:rFonts w:ascii="Times New Roman Bold" w:eastAsia="MS Mincho" w:hAnsi="Times New Roman Bold" w:cs="Arial"/>
      <w:b/>
      <w:bCs/>
      <w:kern w:val="32"/>
      <w:szCs w:val="32"/>
      <w:lang w:eastAsia="ja-JP"/>
    </w:rPr>
  </w:style>
  <w:style w:type="paragraph" w:styleId="Heading2">
    <w:name w:val="heading 2"/>
    <w:basedOn w:val="Normal"/>
    <w:next w:val="Normal"/>
    <w:link w:val="Heading2Char"/>
    <w:uiPriority w:val="9"/>
    <w:qFormat/>
    <w:rsid w:val="003D3912"/>
    <w:pPr>
      <w:keepNext/>
      <w:spacing w:before="60" w:after="60"/>
      <w:outlineLvl w:val="1"/>
    </w:pPr>
    <w:rPr>
      <w:rFonts w:eastAsia="MS Mincho" w:cs="Arial"/>
      <w:b/>
      <w:bCs/>
      <w:iCs/>
      <w:szCs w:val="28"/>
      <w:lang w:eastAsia="ja-JP"/>
    </w:rPr>
  </w:style>
  <w:style w:type="paragraph" w:styleId="Heading3">
    <w:name w:val="heading 3"/>
    <w:basedOn w:val="Normal"/>
    <w:next w:val="Normal"/>
    <w:link w:val="Heading3Char"/>
    <w:qFormat/>
    <w:rsid w:val="00D8171F"/>
    <w:pPr>
      <w:keepNext/>
      <w:spacing w:after="60" w:line="360" w:lineRule="auto"/>
      <w:outlineLvl w:val="2"/>
    </w:pPr>
    <w:rPr>
      <w:rFonts w:eastAsia="MS Mincho" w:cs="Arial"/>
      <w:b/>
      <w:bCs/>
      <w:szCs w:val="26"/>
      <w:lang w:eastAsia="ja-JP"/>
    </w:rPr>
  </w:style>
  <w:style w:type="paragraph" w:styleId="Heading4">
    <w:name w:val="heading 4"/>
    <w:basedOn w:val="Normal"/>
    <w:next w:val="Normal"/>
    <w:link w:val="Heading4Char"/>
    <w:qFormat/>
    <w:rsid w:val="00A267A9"/>
    <w:pPr>
      <w:keepNext/>
      <w:spacing w:before="240" w:after="60" w:line="360" w:lineRule="auto"/>
      <w:outlineLvl w:val="3"/>
    </w:pPr>
    <w:rPr>
      <w:rFonts w:eastAsia="MS Mincho"/>
      <w:bCs/>
      <w:i/>
      <w:szCs w:val="28"/>
      <w:lang w:eastAsia="ja-JP"/>
    </w:rPr>
  </w:style>
  <w:style w:type="paragraph" w:styleId="Heading5">
    <w:name w:val="heading 5"/>
    <w:basedOn w:val="Normal"/>
    <w:next w:val="Normal"/>
    <w:link w:val="Heading5Char"/>
    <w:qFormat/>
    <w:rsid w:val="00184E5A"/>
    <w:pPr>
      <w:spacing w:before="240" w:after="60" w:line="360" w:lineRule="auto"/>
      <w:outlineLvl w:val="4"/>
    </w:pPr>
    <w:rPr>
      <w:rFonts w:eastAsia="MS Mincho"/>
      <w:b/>
      <w:bCs/>
      <w:i/>
      <w:iCs/>
      <w:sz w:val="26"/>
      <w:szCs w:val="26"/>
      <w:lang w:eastAsia="ja-JP"/>
    </w:rPr>
  </w:style>
  <w:style w:type="paragraph" w:styleId="Heading6">
    <w:name w:val="heading 6"/>
    <w:basedOn w:val="Normal"/>
    <w:next w:val="Normal"/>
    <w:link w:val="Heading6Char"/>
    <w:qFormat/>
    <w:rsid w:val="00184E5A"/>
    <w:pPr>
      <w:spacing w:before="240" w:after="60" w:line="360" w:lineRule="auto"/>
      <w:outlineLvl w:val="5"/>
    </w:pPr>
    <w:rPr>
      <w:rFonts w:eastAsia="MS Mincho"/>
      <w:b/>
      <w:bCs/>
      <w:lang w:eastAsia="ja-JP"/>
    </w:rPr>
  </w:style>
  <w:style w:type="paragraph" w:styleId="Heading7">
    <w:name w:val="heading 7"/>
    <w:basedOn w:val="Normal"/>
    <w:next w:val="Normal"/>
    <w:link w:val="Heading7Char"/>
    <w:qFormat/>
    <w:rsid w:val="00184E5A"/>
    <w:pPr>
      <w:spacing w:before="240" w:after="60" w:line="360" w:lineRule="auto"/>
      <w:outlineLvl w:val="6"/>
    </w:pPr>
    <w:rPr>
      <w:rFonts w:eastAsia="MS Mincho"/>
      <w:szCs w:val="24"/>
      <w:lang w:eastAsia="ja-JP"/>
    </w:rPr>
  </w:style>
  <w:style w:type="paragraph" w:styleId="Heading8">
    <w:name w:val="heading 8"/>
    <w:basedOn w:val="Normal"/>
    <w:next w:val="Normal"/>
    <w:link w:val="Heading8Char"/>
    <w:qFormat/>
    <w:rsid w:val="00184E5A"/>
    <w:pPr>
      <w:spacing w:before="240" w:after="60" w:line="360" w:lineRule="auto"/>
      <w:outlineLvl w:val="7"/>
    </w:pPr>
    <w:rPr>
      <w:rFonts w:eastAsia="MS Mincho"/>
      <w:i/>
      <w:iCs/>
      <w:szCs w:val="24"/>
      <w:lang w:eastAsia="ja-JP"/>
    </w:rPr>
  </w:style>
  <w:style w:type="paragraph" w:styleId="Heading9">
    <w:name w:val="heading 9"/>
    <w:basedOn w:val="Normal"/>
    <w:next w:val="Normal"/>
    <w:link w:val="Heading9Char"/>
    <w:qFormat/>
    <w:rsid w:val="00184E5A"/>
    <w:pPr>
      <w:spacing w:before="240" w:after="60" w:line="360" w:lineRule="auto"/>
      <w:outlineLvl w:val="8"/>
    </w:pPr>
    <w:rPr>
      <w:rFonts w:ascii="Arial" w:eastAsia="MS Mincho" w:hAnsi="Arial" w:cs="Arial"/>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29D0"/>
    <w:rPr>
      <w:rFonts w:ascii="Times New Roman Bold" w:eastAsia="MS Mincho" w:hAnsi="Times New Roman Bold" w:cs="Arial"/>
      <w:b/>
      <w:bCs/>
      <w:kern w:val="32"/>
      <w:sz w:val="24"/>
      <w:szCs w:val="32"/>
      <w:lang w:eastAsia="ja-JP"/>
    </w:rPr>
  </w:style>
  <w:style w:type="character" w:customStyle="1" w:styleId="Heading2Char">
    <w:name w:val="Heading 2 Char"/>
    <w:link w:val="Heading2"/>
    <w:uiPriority w:val="9"/>
    <w:rsid w:val="00967CCF"/>
    <w:rPr>
      <w:rFonts w:ascii="Times New Roman" w:eastAsia="MS Mincho" w:hAnsi="Times New Roman" w:cs="Arial"/>
      <w:b/>
      <w:bCs/>
      <w:iCs/>
      <w:sz w:val="24"/>
      <w:szCs w:val="28"/>
      <w:lang w:eastAsia="ja-JP"/>
    </w:rPr>
  </w:style>
  <w:style w:type="character" w:customStyle="1" w:styleId="Heading3Char">
    <w:name w:val="Heading 3 Char"/>
    <w:link w:val="Heading3"/>
    <w:rsid w:val="00D8171F"/>
    <w:rPr>
      <w:rFonts w:ascii="Times New Roman" w:eastAsia="MS Mincho" w:hAnsi="Times New Roman" w:cs="Arial"/>
      <w:b/>
      <w:bCs/>
      <w:sz w:val="24"/>
      <w:szCs w:val="26"/>
      <w:lang w:eastAsia="ja-JP"/>
    </w:rPr>
  </w:style>
  <w:style w:type="character" w:customStyle="1" w:styleId="Heading4Char">
    <w:name w:val="Heading 4 Char"/>
    <w:link w:val="Heading4"/>
    <w:rsid w:val="00A267A9"/>
    <w:rPr>
      <w:rFonts w:ascii="Times New Roman" w:eastAsia="MS Mincho" w:hAnsi="Times New Roman"/>
      <w:bCs/>
      <w:i/>
      <w:sz w:val="24"/>
      <w:szCs w:val="28"/>
      <w:lang w:eastAsia="ja-JP"/>
    </w:rPr>
  </w:style>
  <w:style w:type="character" w:customStyle="1" w:styleId="Heading5Char">
    <w:name w:val="Heading 5 Char"/>
    <w:link w:val="Heading5"/>
    <w:rsid w:val="00184E5A"/>
    <w:rPr>
      <w:rFonts w:ascii="Times New Roman" w:eastAsia="MS Mincho" w:hAnsi="Times New Roman" w:cs="Times New Roman"/>
      <w:b/>
      <w:bCs/>
      <w:i/>
      <w:iCs/>
      <w:sz w:val="26"/>
      <w:szCs w:val="26"/>
      <w:lang w:eastAsia="ja-JP"/>
    </w:rPr>
  </w:style>
  <w:style w:type="character" w:customStyle="1" w:styleId="Heading6Char">
    <w:name w:val="Heading 6 Char"/>
    <w:link w:val="Heading6"/>
    <w:rsid w:val="00184E5A"/>
    <w:rPr>
      <w:rFonts w:ascii="Times New Roman" w:eastAsia="MS Mincho" w:hAnsi="Times New Roman" w:cs="Times New Roman"/>
      <w:b/>
      <w:bCs/>
      <w:lang w:eastAsia="ja-JP"/>
    </w:rPr>
  </w:style>
  <w:style w:type="character" w:customStyle="1" w:styleId="Heading7Char">
    <w:name w:val="Heading 7 Char"/>
    <w:link w:val="Heading7"/>
    <w:rsid w:val="00184E5A"/>
    <w:rPr>
      <w:rFonts w:ascii="Times New Roman" w:eastAsia="MS Mincho" w:hAnsi="Times New Roman" w:cs="Times New Roman"/>
      <w:sz w:val="24"/>
      <w:szCs w:val="24"/>
      <w:lang w:eastAsia="ja-JP"/>
    </w:rPr>
  </w:style>
  <w:style w:type="character" w:customStyle="1" w:styleId="Heading8Char">
    <w:name w:val="Heading 8 Char"/>
    <w:link w:val="Heading8"/>
    <w:rsid w:val="00184E5A"/>
    <w:rPr>
      <w:rFonts w:ascii="Times New Roman" w:eastAsia="MS Mincho" w:hAnsi="Times New Roman" w:cs="Times New Roman"/>
      <w:i/>
      <w:iCs/>
      <w:sz w:val="24"/>
      <w:szCs w:val="24"/>
      <w:lang w:eastAsia="ja-JP"/>
    </w:rPr>
  </w:style>
  <w:style w:type="character" w:customStyle="1" w:styleId="Heading9Char">
    <w:name w:val="Heading 9 Char"/>
    <w:link w:val="Heading9"/>
    <w:rsid w:val="00184E5A"/>
    <w:rPr>
      <w:rFonts w:ascii="Arial" w:eastAsia="MS Mincho" w:hAnsi="Arial" w:cs="Arial"/>
      <w:lang w:eastAsia="ja-JP"/>
    </w:rPr>
  </w:style>
  <w:style w:type="paragraph" w:styleId="NoSpacing">
    <w:name w:val="No Spacing"/>
    <w:aliases w:val="Normal Thesis"/>
    <w:basedOn w:val="Normal"/>
    <w:link w:val="NoSpacingChar"/>
    <w:uiPriority w:val="1"/>
    <w:qFormat/>
    <w:rsid w:val="00E27E2B"/>
    <w:pPr>
      <w:spacing w:after="0" w:line="240" w:lineRule="auto"/>
    </w:pPr>
    <w:rPr>
      <w:rFonts w:eastAsia="Times New Roman"/>
      <w:szCs w:val="32"/>
      <w:lang w:bidi="en-US"/>
    </w:rPr>
  </w:style>
  <w:style w:type="character" w:customStyle="1" w:styleId="NoSpacingChar">
    <w:name w:val="No Spacing Char"/>
    <w:aliases w:val="Normal Thesis Char"/>
    <w:link w:val="NoSpacing"/>
    <w:uiPriority w:val="1"/>
    <w:rsid w:val="00E27E2B"/>
    <w:rPr>
      <w:rFonts w:ascii="Times New Roman" w:eastAsia="Times New Roman" w:hAnsi="Times New Roman"/>
      <w:sz w:val="24"/>
      <w:szCs w:val="32"/>
      <w:lang w:bidi="en-US"/>
    </w:rPr>
  </w:style>
  <w:style w:type="paragraph" w:styleId="ListParagraph">
    <w:name w:val="List Paragraph"/>
    <w:basedOn w:val="Normal"/>
    <w:uiPriority w:val="34"/>
    <w:qFormat/>
    <w:rsid w:val="008063BB"/>
    <w:pPr>
      <w:spacing w:line="360" w:lineRule="auto"/>
      <w:ind w:left="720"/>
      <w:contextualSpacing/>
    </w:pPr>
  </w:style>
  <w:style w:type="character" w:styleId="Hyperlink">
    <w:name w:val="Hyperlink"/>
    <w:uiPriority w:val="99"/>
    <w:unhideWhenUsed/>
    <w:rsid w:val="00184E5A"/>
    <w:rPr>
      <w:color w:val="0563C1"/>
      <w:u w:val="single"/>
    </w:rPr>
  </w:style>
  <w:style w:type="paragraph" w:customStyle="1" w:styleId="Style1">
    <w:name w:val="Style1"/>
    <w:basedOn w:val="Normal"/>
    <w:link w:val="Style1Char"/>
    <w:qFormat/>
    <w:rsid w:val="00130392"/>
    <w:pPr>
      <w:spacing w:after="0" w:line="360" w:lineRule="auto"/>
    </w:pPr>
    <w:rPr>
      <w:rFonts w:eastAsia="Times New Roman"/>
      <w:color w:val="000000"/>
      <w:szCs w:val="24"/>
    </w:rPr>
  </w:style>
  <w:style w:type="character" w:customStyle="1" w:styleId="Style1Char">
    <w:name w:val="Style1 Char"/>
    <w:link w:val="Style1"/>
    <w:rsid w:val="00130392"/>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130392"/>
    <w:pPr>
      <w:spacing w:before="100" w:beforeAutospacing="1" w:after="100" w:afterAutospacing="1" w:line="240" w:lineRule="auto"/>
    </w:pPr>
    <w:rPr>
      <w:rFonts w:eastAsia="Times New Roman"/>
      <w:szCs w:val="24"/>
    </w:rPr>
  </w:style>
  <w:style w:type="table" w:styleId="TableGrid">
    <w:name w:val="Table Grid"/>
    <w:basedOn w:val="TableNormal"/>
    <w:uiPriority w:val="39"/>
    <w:rsid w:val="00330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C4E26"/>
    <w:rPr>
      <w:color w:val="605E5C"/>
      <w:shd w:val="clear" w:color="auto" w:fill="E1DFDD"/>
    </w:rPr>
  </w:style>
  <w:style w:type="paragraph" w:styleId="BalloonText">
    <w:name w:val="Balloon Text"/>
    <w:basedOn w:val="Normal"/>
    <w:link w:val="BalloonTextChar"/>
    <w:uiPriority w:val="99"/>
    <w:semiHidden/>
    <w:unhideWhenUsed/>
    <w:rsid w:val="00D045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04558"/>
    <w:rPr>
      <w:rFonts w:ascii="Segoe UI" w:hAnsi="Segoe UI" w:cs="Segoe UI"/>
      <w:sz w:val="18"/>
      <w:szCs w:val="18"/>
    </w:rPr>
  </w:style>
  <w:style w:type="paragraph" w:customStyle="1" w:styleId="Figure">
    <w:name w:val="Figure"/>
    <w:basedOn w:val="Normal"/>
    <w:autoRedefine/>
    <w:qFormat/>
    <w:rsid w:val="00DA2DD5"/>
    <w:pPr>
      <w:tabs>
        <w:tab w:val="left" w:pos="450"/>
      </w:tabs>
      <w:spacing w:after="0" w:line="276" w:lineRule="auto"/>
      <w:ind w:left="440"/>
      <w:jc w:val="center"/>
    </w:pPr>
  </w:style>
  <w:style w:type="paragraph" w:customStyle="1" w:styleId="Parrafo">
    <w:name w:val="Parrafo"/>
    <w:rsid w:val="00925458"/>
    <w:pPr>
      <w:spacing w:line="480" w:lineRule="auto"/>
      <w:ind w:firstLine="864"/>
      <w:jc w:val="both"/>
    </w:pPr>
    <w:rPr>
      <w:rFonts w:ascii="Times New Roman" w:eastAsia="Times New Roman" w:hAnsi="Times New Roman"/>
      <w:bCs/>
      <w:sz w:val="24"/>
      <w:szCs w:val="26"/>
      <w:lang w:bidi="en-US"/>
    </w:rPr>
  </w:style>
  <w:style w:type="paragraph" w:styleId="Caption">
    <w:name w:val="caption"/>
    <w:basedOn w:val="Normal"/>
    <w:next w:val="Normal"/>
    <w:uiPriority w:val="35"/>
    <w:unhideWhenUsed/>
    <w:qFormat/>
    <w:rsid w:val="009349D2"/>
    <w:pPr>
      <w:spacing w:after="200" w:line="240" w:lineRule="auto"/>
    </w:pPr>
    <w:rPr>
      <w:rFonts w:eastAsia="Times New Roman"/>
      <w:bCs/>
      <w:szCs w:val="18"/>
      <w:lang w:bidi="en-US"/>
    </w:rPr>
  </w:style>
  <w:style w:type="paragraph" w:customStyle="1" w:styleId="paragraph">
    <w:name w:val="paragraph"/>
    <w:basedOn w:val="Normal"/>
    <w:rsid w:val="00925458"/>
    <w:pPr>
      <w:spacing w:after="0" w:line="240" w:lineRule="auto"/>
    </w:pPr>
    <w:rPr>
      <w:rFonts w:eastAsia="Times New Roman"/>
      <w:szCs w:val="24"/>
      <w:lang w:val="es-CO" w:eastAsia="es-CO"/>
    </w:rPr>
  </w:style>
  <w:style w:type="character" w:customStyle="1" w:styleId="normaltextrun">
    <w:name w:val="normaltextrun"/>
    <w:basedOn w:val="DefaultParagraphFont"/>
    <w:rsid w:val="00925458"/>
  </w:style>
  <w:style w:type="character" w:customStyle="1" w:styleId="eop">
    <w:name w:val="eop"/>
    <w:basedOn w:val="DefaultParagraphFont"/>
    <w:rsid w:val="00925458"/>
  </w:style>
  <w:style w:type="character" w:customStyle="1" w:styleId="update">
    <w:name w:val="update"/>
    <w:basedOn w:val="DefaultParagraphFont"/>
    <w:rsid w:val="00925458"/>
  </w:style>
  <w:style w:type="character" w:customStyle="1" w:styleId="apple-converted-space">
    <w:name w:val="apple-converted-space"/>
    <w:basedOn w:val="DefaultParagraphFont"/>
    <w:rsid w:val="00925458"/>
  </w:style>
  <w:style w:type="paragraph" w:styleId="Header">
    <w:name w:val="header"/>
    <w:basedOn w:val="Normal"/>
    <w:link w:val="HeaderChar"/>
    <w:uiPriority w:val="99"/>
    <w:unhideWhenUsed/>
    <w:rsid w:val="00925458"/>
    <w:pPr>
      <w:tabs>
        <w:tab w:val="center" w:pos="4680"/>
        <w:tab w:val="right" w:pos="9360"/>
      </w:tabs>
      <w:spacing w:after="0" w:line="240" w:lineRule="auto"/>
    </w:pPr>
    <w:rPr>
      <w:rFonts w:ascii="Times New Roman Bold" w:eastAsia="Times New Roman" w:hAnsi="Times New Roman Bold" w:cs="Arial"/>
      <w:sz w:val="32"/>
      <w:szCs w:val="32"/>
    </w:rPr>
  </w:style>
  <w:style w:type="character" w:customStyle="1" w:styleId="HeaderChar">
    <w:name w:val="Header Char"/>
    <w:link w:val="Header"/>
    <w:uiPriority w:val="99"/>
    <w:rsid w:val="00925458"/>
    <w:rPr>
      <w:rFonts w:ascii="Times New Roman Bold" w:eastAsia="Times New Roman" w:hAnsi="Times New Roman Bold" w:cs="Arial"/>
      <w:sz w:val="32"/>
      <w:szCs w:val="32"/>
    </w:rPr>
  </w:style>
  <w:style w:type="paragraph" w:styleId="Footer">
    <w:name w:val="footer"/>
    <w:basedOn w:val="Normal"/>
    <w:link w:val="FooterChar"/>
    <w:uiPriority w:val="99"/>
    <w:unhideWhenUsed/>
    <w:rsid w:val="00925458"/>
    <w:pPr>
      <w:tabs>
        <w:tab w:val="center" w:pos="4680"/>
        <w:tab w:val="right" w:pos="9360"/>
      </w:tabs>
      <w:spacing w:after="0" w:line="240" w:lineRule="auto"/>
    </w:pPr>
    <w:rPr>
      <w:rFonts w:ascii="Times New Roman Bold" w:eastAsia="Times New Roman" w:hAnsi="Times New Roman Bold" w:cs="Arial"/>
      <w:sz w:val="32"/>
      <w:szCs w:val="32"/>
    </w:rPr>
  </w:style>
  <w:style w:type="character" w:customStyle="1" w:styleId="FooterChar">
    <w:name w:val="Footer Char"/>
    <w:link w:val="Footer"/>
    <w:uiPriority w:val="99"/>
    <w:rsid w:val="00925458"/>
    <w:rPr>
      <w:rFonts w:ascii="Times New Roman Bold" w:eastAsia="Times New Roman" w:hAnsi="Times New Roman Bold" w:cs="Arial"/>
      <w:sz w:val="32"/>
      <w:szCs w:val="32"/>
    </w:rPr>
  </w:style>
  <w:style w:type="paragraph" w:styleId="TableofAuthorities">
    <w:name w:val="table of authorities"/>
    <w:basedOn w:val="Normal"/>
    <w:next w:val="TableofFigures"/>
    <w:autoRedefine/>
    <w:rsid w:val="00EA30A4"/>
    <w:pPr>
      <w:spacing w:after="240" w:line="276" w:lineRule="auto"/>
      <w:outlineLvl w:val="0"/>
    </w:pPr>
    <w:rPr>
      <w:rFonts w:eastAsia="Times New Roman"/>
    </w:rPr>
  </w:style>
  <w:style w:type="paragraph" w:styleId="TableofFigures">
    <w:name w:val="table of figures"/>
    <w:basedOn w:val="Caption"/>
    <w:next w:val="TOCHeading"/>
    <w:uiPriority w:val="99"/>
    <w:unhideWhenUsed/>
    <w:rsid w:val="005E704D"/>
    <w:rPr>
      <w:noProof/>
      <w:lang w:eastAsia="ja-JP"/>
    </w:rPr>
  </w:style>
  <w:style w:type="paragraph" w:styleId="TOCHeading">
    <w:name w:val="TOC Heading"/>
    <w:basedOn w:val="Heading1"/>
    <w:next w:val="Normal"/>
    <w:uiPriority w:val="39"/>
    <w:unhideWhenUsed/>
    <w:qFormat/>
    <w:rsid w:val="00CD42B9"/>
    <w:pPr>
      <w:keepLines/>
      <w:spacing w:after="0" w:line="240" w:lineRule="auto"/>
      <w:jc w:val="left"/>
      <w:outlineLvl w:val="9"/>
    </w:pPr>
    <w:rPr>
      <w:rFonts w:ascii="Times New Roman" w:eastAsia="Times New Roman" w:hAnsi="Times New Roman" w:cs="Times New Roman"/>
      <w:b w:val="0"/>
      <w:bCs w:val="0"/>
      <w:color w:val="000000" w:themeColor="text1"/>
      <w:kern w:val="0"/>
      <w:lang w:eastAsia="en-US"/>
    </w:rPr>
  </w:style>
  <w:style w:type="paragraph" w:styleId="TOC2">
    <w:name w:val="toc 2"/>
    <w:basedOn w:val="Normal"/>
    <w:next w:val="Normal"/>
    <w:autoRedefine/>
    <w:uiPriority w:val="39"/>
    <w:unhideWhenUsed/>
    <w:rsid w:val="00A72941"/>
    <w:pPr>
      <w:tabs>
        <w:tab w:val="right" w:leader="dot" w:pos="9350"/>
      </w:tabs>
      <w:spacing w:after="100"/>
      <w:ind w:left="220"/>
    </w:pPr>
  </w:style>
  <w:style w:type="paragraph" w:styleId="TOC1">
    <w:name w:val="toc 1"/>
    <w:basedOn w:val="Normal"/>
    <w:autoRedefine/>
    <w:uiPriority w:val="39"/>
    <w:unhideWhenUsed/>
    <w:rsid w:val="006144FC"/>
    <w:pPr>
      <w:spacing w:after="100" w:line="240" w:lineRule="auto"/>
    </w:pPr>
  </w:style>
  <w:style w:type="paragraph" w:styleId="TOC3">
    <w:name w:val="toc 3"/>
    <w:basedOn w:val="Normal"/>
    <w:next w:val="Normal"/>
    <w:autoRedefine/>
    <w:uiPriority w:val="39"/>
    <w:unhideWhenUsed/>
    <w:rsid w:val="00A72941"/>
    <w:pPr>
      <w:spacing w:after="100"/>
      <w:ind w:left="440"/>
    </w:pPr>
    <w:rPr>
      <w:rFonts w:eastAsia="Times New Roman"/>
    </w:rPr>
  </w:style>
  <w:style w:type="paragraph" w:customStyle="1" w:styleId="Figures">
    <w:name w:val="Figures"/>
    <w:basedOn w:val="Normal"/>
    <w:link w:val="FiguresChar"/>
    <w:qFormat/>
    <w:rsid w:val="00F62765"/>
    <w:pPr>
      <w:spacing w:after="0" w:line="240" w:lineRule="auto"/>
    </w:pPr>
    <w:rPr>
      <w:rFonts w:eastAsia="Times New Roman"/>
      <w:b/>
      <w:szCs w:val="24"/>
      <w:lang w:bidi="en-US"/>
    </w:rPr>
  </w:style>
  <w:style w:type="character" w:customStyle="1" w:styleId="FiguresChar">
    <w:name w:val="Figures Char"/>
    <w:link w:val="Figures"/>
    <w:rsid w:val="00F62765"/>
    <w:rPr>
      <w:rFonts w:eastAsia="Times New Roman" w:cs="Times New Roman"/>
      <w:b/>
      <w:sz w:val="24"/>
      <w:szCs w:val="24"/>
      <w:lang w:bidi="en-US"/>
    </w:rPr>
  </w:style>
  <w:style w:type="paragraph" w:customStyle="1" w:styleId="Default">
    <w:name w:val="Default"/>
    <w:rsid w:val="000804E3"/>
    <w:pPr>
      <w:autoSpaceDE w:val="0"/>
      <w:autoSpaceDN w:val="0"/>
      <w:adjustRightInd w:val="0"/>
    </w:pPr>
    <w:rPr>
      <w:rFonts w:ascii="Times New Roman" w:hAnsi="Times New Roman"/>
      <w:color w:val="000000"/>
      <w:sz w:val="24"/>
      <w:szCs w:val="24"/>
    </w:rPr>
  </w:style>
  <w:style w:type="table" w:styleId="PlainTable1">
    <w:name w:val="Plain Table 1"/>
    <w:basedOn w:val="TableNormal"/>
    <w:uiPriority w:val="41"/>
    <w:rsid w:val="002C616B"/>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BookTitle">
    <w:name w:val="Book Title"/>
    <w:uiPriority w:val="33"/>
    <w:qFormat/>
    <w:rsid w:val="009349D2"/>
    <w:rPr>
      <w:b/>
      <w:bCs/>
      <w:i/>
      <w:iCs/>
      <w:spacing w:val="5"/>
    </w:rPr>
  </w:style>
  <w:style w:type="paragraph" w:styleId="Quote">
    <w:name w:val="Quote"/>
    <w:next w:val="Salutation"/>
    <w:link w:val="QuoteChar"/>
    <w:autoRedefine/>
    <w:uiPriority w:val="29"/>
    <w:qFormat/>
    <w:rsid w:val="00791DE0"/>
    <w:pPr>
      <w:spacing w:before="200"/>
      <w:ind w:left="864" w:right="864"/>
      <w:jc w:val="right"/>
    </w:pPr>
    <w:rPr>
      <w:rFonts w:ascii="Times New Roman" w:hAnsi="Times New Roman"/>
      <w:i/>
      <w:iCs/>
      <w:color w:val="0000FF"/>
      <w:sz w:val="24"/>
      <w:szCs w:val="22"/>
      <w:lang w:val="es-CO"/>
    </w:rPr>
  </w:style>
  <w:style w:type="paragraph" w:styleId="Salutation">
    <w:name w:val="Salutation"/>
    <w:basedOn w:val="Normal"/>
    <w:next w:val="Normal"/>
    <w:link w:val="SalutationChar"/>
    <w:uiPriority w:val="99"/>
    <w:unhideWhenUsed/>
    <w:rsid w:val="009349D2"/>
  </w:style>
  <w:style w:type="character" w:customStyle="1" w:styleId="SalutationChar">
    <w:name w:val="Salutation Char"/>
    <w:link w:val="Salutation"/>
    <w:uiPriority w:val="99"/>
    <w:rsid w:val="009349D2"/>
    <w:rPr>
      <w:sz w:val="22"/>
      <w:szCs w:val="22"/>
    </w:rPr>
  </w:style>
  <w:style w:type="character" w:customStyle="1" w:styleId="QuoteChar">
    <w:name w:val="Quote Char"/>
    <w:link w:val="Quote"/>
    <w:uiPriority w:val="29"/>
    <w:rsid w:val="00791DE0"/>
    <w:rPr>
      <w:rFonts w:ascii="Times New Roman" w:hAnsi="Times New Roman"/>
      <w:i/>
      <w:iCs/>
      <w:color w:val="0000FF"/>
      <w:sz w:val="24"/>
      <w:szCs w:val="22"/>
      <w:lang w:val="es-CO"/>
    </w:rPr>
  </w:style>
  <w:style w:type="character" w:customStyle="1" w:styleId="UnresolvedMention2">
    <w:name w:val="Unresolved Mention2"/>
    <w:basedOn w:val="DefaultParagraphFont"/>
    <w:uiPriority w:val="99"/>
    <w:semiHidden/>
    <w:unhideWhenUsed/>
    <w:rsid w:val="00AD7399"/>
    <w:rPr>
      <w:color w:val="605E5C"/>
      <w:shd w:val="clear" w:color="auto" w:fill="E1DFDD"/>
    </w:rPr>
  </w:style>
  <w:style w:type="paragraph" w:styleId="TOC4">
    <w:name w:val="toc 4"/>
    <w:basedOn w:val="Normal"/>
    <w:next w:val="Normal"/>
    <w:autoRedefine/>
    <w:uiPriority w:val="39"/>
    <w:unhideWhenUsed/>
    <w:rsid w:val="003E3165"/>
    <w:pPr>
      <w:spacing w:after="100" w:line="259" w:lineRule="auto"/>
      <w:ind w:left="660"/>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3E3165"/>
    <w:pPr>
      <w:spacing w:after="100" w:line="259"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3E3165"/>
    <w:pPr>
      <w:spacing w:after="100" w:line="259"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3E3165"/>
    <w:pPr>
      <w:spacing w:after="100" w:line="259"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3E3165"/>
    <w:pPr>
      <w:spacing w:after="100" w:line="259"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3E3165"/>
    <w:pPr>
      <w:spacing w:after="100" w:line="259" w:lineRule="auto"/>
      <w:ind w:left="1760"/>
      <w:jc w:val="left"/>
    </w:pPr>
    <w:rPr>
      <w:rFonts w:asciiTheme="minorHAnsi" w:eastAsiaTheme="minorEastAsia" w:hAnsiTheme="minorHAnsi" w:cstheme="minorBidi"/>
      <w:sz w:val="22"/>
    </w:rPr>
  </w:style>
  <w:style w:type="paragraph" w:styleId="TOAHeading">
    <w:name w:val="toa heading"/>
    <w:basedOn w:val="Normal"/>
    <w:next w:val="Normal"/>
    <w:uiPriority w:val="99"/>
    <w:semiHidden/>
    <w:unhideWhenUsed/>
    <w:rsid w:val="006144FC"/>
    <w:pPr>
      <w:spacing w:before="120"/>
    </w:pPr>
    <w:rPr>
      <w:rFonts w:asciiTheme="majorHAnsi" w:eastAsiaTheme="majorEastAsia" w:hAnsiTheme="majorHAnsi" w:cstheme="majorBidi"/>
      <w:b/>
      <w:bCs/>
      <w:szCs w:val="24"/>
    </w:rPr>
  </w:style>
  <w:style w:type="paragraph" w:styleId="Index1">
    <w:name w:val="index 1"/>
    <w:aliases w:val="List of Tables"/>
    <w:basedOn w:val="Normal"/>
    <w:next w:val="TableofFigures"/>
    <w:autoRedefine/>
    <w:uiPriority w:val="99"/>
    <w:semiHidden/>
    <w:unhideWhenUsed/>
    <w:rsid w:val="006144FC"/>
    <w:pPr>
      <w:spacing w:after="0" w:line="240" w:lineRule="auto"/>
      <w:ind w:left="240" w:hanging="240"/>
    </w:pPr>
  </w:style>
  <w:style w:type="character" w:customStyle="1" w:styleId="UnresolvedMention3">
    <w:name w:val="Unresolved Mention3"/>
    <w:basedOn w:val="DefaultParagraphFont"/>
    <w:uiPriority w:val="99"/>
    <w:semiHidden/>
    <w:unhideWhenUsed/>
    <w:rsid w:val="00816F71"/>
    <w:rPr>
      <w:color w:val="605E5C"/>
      <w:shd w:val="clear" w:color="auto" w:fill="E1DFDD"/>
    </w:rPr>
  </w:style>
  <w:style w:type="character" w:customStyle="1" w:styleId="UnresolvedMention4">
    <w:name w:val="Unresolved Mention4"/>
    <w:basedOn w:val="DefaultParagraphFont"/>
    <w:uiPriority w:val="99"/>
    <w:semiHidden/>
    <w:unhideWhenUsed/>
    <w:rsid w:val="0086434A"/>
    <w:rPr>
      <w:color w:val="605E5C"/>
      <w:shd w:val="clear" w:color="auto" w:fill="E1DFDD"/>
    </w:rPr>
  </w:style>
  <w:style w:type="character" w:customStyle="1" w:styleId="UnresolvedMention5">
    <w:name w:val="Unresolved Mention5"/>
    <w:basedOn w:val="DefaultParagraphFont"/>
    <w:uiPriority w:val="99"/>
    <w:semiHidden/>
    <w:unhideWhenUsed/>
    <w:rsid w:val="00FA47B5"/>
    <w:rPr>
      <w:color w:val="605E5C"/>
      <w:shd w:val="clear" w:color="auto" w:fill="E1DFDD"/>
    </w:rPr>
  </w:style>
  <w:style w:type="character" w:styleId="CommentReference">
    <w:name w:val="annotation reference"/>
    <w:basedOn w:val="DefaultParagraphFont"/>
    <w:uiPriority w:val="99"/>
    <w:semiHidden/>
    <w:unhideWhenUsed/>
    <w:rsid w:val="003255C6"/>
    <w:rPr>
      <w:sz w:val="16"/>
      <w:szCs w:val="16"/>
    </w:rPr>
  </w:style>
  <w:style w:type="paragraph" w:styleId="CommentText">
    <w:name w:val="annotation text"/>
    <w:basedOn w:val="Normal"/>
    <w:link w:val="CommentTextChar"/>
    <w:uiPriority w:val="99"/>
    <w:semiHidden/>
    <w:unhideWhenUsed/>
    <w:rsid w:val="003255C6"/>
    <w:pPr>
      <w:spacing w:line="240" w:lineRule="auto"/>
    </w:pPr>
    <w:rPr>
      <w:sz w:val="20"/>
      <w:szCs w:val="20"/>
    </w:rPr>
  </w:style>
  <w:style w:type="character" w:customStyle="1" w:styleId="CommentTextChar">
    <w:name w:val="Comment Text Char"/>
    <w:basedOn w:val="DefaultParagraphFont"/>
    <w:link w:val="CommentText"/>
    <w:uiPriority w:val="99"/>
    <w:semiHidden/>
    <w:rsid w:val="003255C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255C6"/>
    <w:rPr>
      <w:b/>
      <w:bCs/>
    </w:rPr>
  </w:style>
  <w:style w:type="character" w:customStyle="1" w:styleId="CommentSubjectChar">
    <w:name w:val="Comment Subject Char"/>
    <w:basedOn w:val="CommentTextChar"/>
    <w:link w:val="CommentSubject"/>
    <w:uiPriority w:val="99"/>
    <w:semiHidden/>
    <w:rsid w:val="003255C6"/>
    <w:rPr>
      <w:rFonts w:ascii="Times New Roman" w:hAnsi="Times New Roman"/>
      <w:b/>
      <w:bCs/>
    </w:rPr>
  </w:style>
  <w:style w:type="paragraph" w:styleId="Revision">
    <w:name w:val="Revision"/>
    <w:hidden/>
    <w:uiPriority w:val="99"/>
    <w:semiHidden/>
    <w:rsid w:val="003255C6"/>
    <w:rPr>
      <w:rFonts w:ascii="Times New Roman" w:hAnsi="Times New Roman"/>
      <w:sz w:val="24"/>
      <w:szCs w:val="22"/>
    </w:rPr>
  </w:style>
  <w:style w:type="character" w:customStyle="1" w:styleId="UnresolvedMention6">
    <w:name w:val="Unresolved Mention6"/>
    <w:basedOn w:val="DefaultParagraphFont"/>
    <w:uiPriority w:val="99"/>
    <w:semiHidden/>
    <w:unhideWhenUsed/>
    <w:rsid w:val="0066296A"/>
    <w:rPr>
      <w:color w:val="605E5C"/>
      <w:shd w:val="clear" w:color="auto" w:fill="E1DFDD"/>
    </w:rPr>
  </w:style>
  <w:style w:type="character" w:customStyle="1" w:styleId="UnresolvedMention7">
    <w:name w:val="Unresolved Mention7"/>
    <w:basedOn w:val="DefaultParagraphFont"/>
    <w:uiPriority w:val="99"/>
    <w:semiHidden/>
    <w:unhideWhenUsed/>
    <w:rsid w:val="00D073A0"/>
    <w:rPr>
      <w:color w:val="605E5C"/>
      <w:shd w:val="clear" w:color="auto" w:fill="E1DFDD"/>
    </w:rPr>
  </w:style>
  <w:style w:type="character" w:styleId="UnresolvedMention">
    <w:name w:val="Unresolved Mention"/>
    <w:basedOn w:val="DefaultParagraphFont"/>
    <w:uiPriority w:val="99"/>
    <w:semiHidden/>
    <w:unhideWhenUsed/>
    <w:rsid w:val="00411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61515">
      <w:bodyDiv w:val="1"/>
      <w:marLeft w:val="0"/>
      <w:marRight w:val="0"/>
      <w:marTop w:val="0"/>
      <w:marBottom w:val="0"/>
      <w:divBdr>
        <w:top w:val="none" w:sz="0" w:space="0" w:color="auto"/>
        <w:left w:val="none" w:sz="0" w:space="0" w:color="auto"/>
        <w:bottom w:val="none" w:sz="0" w:space="0" w:color="auto"/>
        <w:right w:val="none" w:sz="0" w:space="0" w:color="auto"/>
      </w:divBdr>
    </w:div>
    <w:div w:id="324015083">
      <w:bodyDiv w:val="1"/>
      <w:marLeft w:val="0"/>
      <w:marRight w:val="0"/>
      <w:marTop w:val="0"/>
      <w:marBottom w:val="0"/>
      <w:divBdr>
        <w:top w:val="none" w:sz="0" w:space="0" w:color="auto"/>
        <w:left w:val="none" w:sz="0" w:space="0" w:color="auto"/>
        <w:bottom w:val="none" w:sz="0" w:space="0" w:color="auto"/>
        <w:right w:val="none" w:sz="0" w:space="0" w:color="auto"/>
      </w:divBdr>
    </w:div>
    <w:div w:id="597838262">
      <w:bodyDiv w:val="1"/>
      <w:marLeft w:val="0"/>
      <w:marRight w:val="0"/>
      <w:marTop w:val="0"/>
      <w:marBottom w:val="0"/>
      <w:divBdr>
        <w:top w:val="none" w:sz="0" w:space="0" w:color="auto"/>
        <w:left w:val="none" w:sz="0" w:space="0" w:color="auto"/>
        <w:bottom w:val="none" w:sz="0" w:space="0" w:color="auto"/>
        <w:right w:val="none" w:sz="0" w:space="0" w:color="auto"/>
      </w:divBdr>
    </w:div>
    <w:div w:id="783312153">
      <w:bodyDiv w:val="1"/>
      <w:marLeft w:val="0"/>
      <w:marRight w:val="0"/>
      <w:marTop w:val="0"/>
      <w:marBottom w:val="0"/>
      <w:divBdr>
        <w:top w:val="none" w:sz="0" w:space="0" w:color="auto"/>
        <w:left w:val="none" w:sz="0" w:space="0" w:color="auto"/>
        <w:bottom w:val="none" w:sz="0" w:space="0" w:color="auto"/>
        <w:right w:val="none" w:sz="0" w:space="0" w:color="auto"/>
      </w:divBdr>
    </w:div>
    <w:div w:id="784152830">
      <w:bodyDiv w:val="1"/>
      <w:marLeft w:val="0"/>
      <w:marRight w:val="0"/>
      <w:marTop w:val="0"/>
      <w:marBottom w:val="0"/>
      <w:divBdr>
        <w:top w:val="none" w:sz="0" w:space="0" w:color="auto"/>
        <w:left w:val="none" w:sz="0" w:space="0" w:color="auto"/>
        <w:bottom w:val="none" w:sz="0" w:space="0" w:color="auto"/>
        <w:right w:val="none" w:sz="0" w:space="0" w:color="auto"/>
      </w:divBdr>
    </w:div>
    <w:div w:id="792985957">
      <w:bodyDiv w:val="1"/>
      <w:marLeft w:val="0"/>
      <w:marRight w:val="0"/>
      <w:marTop w:val="0"/>
      <w:marBottom w:val="0"/>
      <w:divBdr>
        <w:top w:val="none" w:sz="0" w:space="0" w:color="auto"/>
        <w:left w:val="none" w:sz="0" w:space="0" w:color="auto"/>
        <w:bottom w:val="none" w:sz="0" w:space="0" w:color="auto"/>
        <w:right w:val="none" w:sz="0" w:space="0" w:color="auto"/>
      </w:divBdr>
    </w:div>
    <w:div w:id="1901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4.png"/><Relationship Id="rId63" Type="http://schemas.openxmlformats.org/officeDocument/2006/relationships/image" Target="media/image45.png"/><Relationship Id="rId159" Type="http://schemas.openxmlformats.org/officeDocument/2006/relationships/image" Target="media/image135.png"/><Relationship Id="rId170" Type="http://schemas.openxmlformats.org/officeDocument/2006/relationships/hyperlink" Target="http://en.wikipedia.org/wiki/Solid_mechanics" TargetMode="External"/><Relationship Id="rId226" Type="http://schemas.openxmlformats.org/officeDocument/2006/relationships/image" Target="media/image167.emf"/><Relationship Id="rId268" Type="http://schemas.openxmlformats.org/officeDocument/2006/relationships/image" Target="media/image207.png"/><Relationship Id="rId32" Type="http://schemas.openxmlformats.org/officeDocument/2006/relationships/image" Target="media/image15.emf"/><Relationship Id="rId74" Type="http://schemas.openxmlformats.org/officeDocument/2006/relationships/image" Target="media/image56.png"/><Relationship Id="rId128" Type="http://schemas.openxmlformats.org/officeDocument/2006/relationships/image" Target="media/image110.png"/><Relationship Id="rId5" Type="http://schemas.openxmlformats.org/officeDocument/2006/relationships/numbering" Target="numbering.xml"/><Relationship Id="rId181" Type="http://schemas.openxmlformats.org/officeDocument/2006/relationships/hyperlink" Target="http://en.wikipedia.org/wiki/Infinitesimal" TargetMode="External"/><Relationship Id="rId237" Type="http://schemas.openxmlformats.org/officeDocument/2006/relationships/image" Target="media/image178.emf"/><Relationship Id="rId279" Type="http://schemas.openxmlformats.org/officeDocument/2006/relationships/image" Target="media/image218.png"/><Relationship Id="rId43" Type="http://schemas.openxmlformats.org/officeDocument/2006/relationships/image" Target="media/image26.png"/><Relationship Id="rId139" Type="http://schemas.openxmlformats.org/officeDocument/2006/relationships/image" Target="media/image115.wmf"/><Relationship Id="rId290" Type="http://schemas.openxmlformats.org/officeDocument/2006/relationships/image" Target="media/image229.png"/><Relationship Id="rId85" Type="http://schemas.openxmlformats.org/officeDocument/2006/relationships/image" Target="media/image67.png"/><Relationship Id="rId150" Type="http://schemas.openxmlformats.org/officeDocument/2006/relationships/image" Target="media/image126.png"/><Relationship Id="rId192" Type="http://schemas.openxmlformats.org/officeDocument/2006/relationships/hyperlink" Target="http://en.wikipedia.org/wiki/Young%27s_modulus" TargetMode="External"/><Relationship Id="rId206" Type="http://schemas.openxmlformats.org/officeDocument/2006/relationships/image" Target="media/image155.wmf"/><Relationship Id="rId248" Type="http://schemas.openxmlformats.org/officeDocument/2006/relationships/hyperlink" Target="http://www.sciencedirect.com/science/article/pii/B0080437516071358?_alid=1830454959&amp;_rdoc=1&amp;_fmt=high&amp;_origin=search&amp;_docanchor=&amp;_ct=87&amp;_zone=rslt_list_item&amp;md5=26e6aad0af8393f4494ff625f64e24d9" TargetMode="External"/><Relationship Id="rId12" Type="http://schemas.openxmlformats.org/officeDocument/2006/relationships/footer" Target="footer1.xml"/><Relationship Id="rId33" Type="http://schemas.openxmlformats.org/officeDocument/2006/relationships/image" Target="media/image16.emf"/><Relationship Id="rId108" Type="http://schemas.openxmlformats.org/officeDocument/2006/relationships/image" Target="media/image90.png"/><Relationship Id="rId129" Type="http://schemas.openxmlformats.org/officeDocument/2006/relationships/image" Target="media/image111.png"/><Relationship Id="rId280" Type="http://schemas.openxmlformats.org/officeDocument/2006/relationships/image" Target="media/image219.png"/><Relationship Id="rId54" Type="http://schemas.openxmlformats.org/officeDocument/2006/relationships/footer" Target="footer7.xml"/><Relationship Id="rId75" Type="http://schemas.openxmlformats.org/officeDocument/2006/relationships/image" Target="media/image57.png"/><Relationship Id="rId96" Type="http://schemas.openxmlformats.org/officeDocument/2006/relationships/image" Target="media/image78.emf"/><Relationship Id="rId140" Type="http://schemas.openxmlformats.org/officeDocument/2006/relationships/image" Target="media/image116.wmf"/><Relationship Id="rId161" Type="http://schemas.openxmlformats.org/officeDocument/2006/relationships/image" Target="media/image137.png"/><Relationship Id="rId182" Type="http://schemas.openxmlformats.org/officeDocument/2006/relationships/hyperlink" Target="http://en.wikipedia.org/wiki/Pressure" TargetMode="External"/><Relationship Id="rId217" Type="http://schemas.openxmlformats.org/officeDocument/2006/relationships/footer" Target="footer11.xml"/><Relationship Id="rId6" Type="http://schemas.openxmlformats.org/officeDocument/2006/relationships/styles" Target="styles.xml"/><Relationship Id="rId238" Type="http://schemas.openxmlformats.org/officeDocument/2006/relationships/image" Target="media/image179.emf"/><Relationship Id="rId259" Type="http://schemas.openxmlformats.org/officeDocument/2006/relationships/image" Target="media/image198.png"/><Relationship Id="rId23" Type="http://schemas.openxmlformats.org/officeDocument/2006/relationships/image" Target="media/image6.png"/><Relationship Id="rId119" Type="http://schemas.openxmlformats.org/officeDocument/2006/relationships/image" Target="media/image101.png"/><Relationship Id="rId270" Type="http://schemas.openxmlformats.org/officeDocument/2006/relationships/image" Target="media/image209.png"/><Relationship Id="rId291" Type="http://schemas.openxmlformats.org/officeDocument/2006/relationships/image" Target="media/image230.png"/><Relationship Id="rId44" Type="http://schemas.openxmlformats.org/officeDocument/2006/relationships/image" Target="media/image27.png"/><Relationship Id="rId65" Type="http://schemas.openxmlformats.org/officeDocument/2006/relationships/image" Target="media/image47.png"/><Relationship Id="rId86" Type="http://schemas.openxmlformats.org/officeDocument/2006/relationships/image" Target="media/image68.emf"/><Relationship Id="rId130" Type="http://schemas.openxmlformats.org/officeDocument/2006/relationships/image" Target="media/image112.png"/><Relationship Id="rId151" Type="http://schemas.openxmlformats.org/officeDocument/2006/relationships/image" Target="media/image127.png"/><Relationship Id="rId172" Type="http://schemas.openxmlformats.org/officeDocument/2006/relationships/hyperlink" Target="http://en.wikipedia.org/wiki/Tangent_modulus" TargetMode="External"/><Relationship Id="rId193" Type="http://schemas.openxmlformats.org/officeDocument/2006/relationships/image" Target="media/image143.png"/><Relationship Id="rId207" Type="http://schemas.openxmlformats.org/officeDocument/2006/relationships/hyperlink" Target="http://www.glossary.oilfield.slb.com/Display.cfm?Term=formation" TargetMode="External"/><Relationship Id="rId228" Type="http://schemas.openxmlformats.org/officeDocument/2006/relationships/image" Target="media/image169.emf"/><Relationship Id="rId249" Type="http://schemas.openxmlformats.org/officeDocument/2006/relationships/image" Target="media/image188.png"/><Relationship Id="rId13" Type="http://schemas.openxmlformats.org/officeDocument/2006/relationships/footer" Target="footer2.xml"/><Relationship Id="rId109" Type="http://schemas.openxmlformats.org/officeDocument/2006/relationships/image" Target="media/image91.png"/><Relationship Id="rId260" Type="http://schemas.openxmlformats.org/officeDocument/2006/relationships/image" Target="media/image199.png"/><Relationship Id="rId281" Type="http://schemas.openxmlformats.org/officeDocument/2006/relationships/image" Target="media/image220.png"/><Relationship Id="rId34" Type="http://schemas.openxmlformats.org/officeDocument/2006/relationships/image" Target="media/image17.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emf"/><Relationship Id="rId120" Type="http://schemas.openxmlformats.org/officeDocument/2006/relationships/image" Target="media/image102.png"/><Relationship Id="rId141" Type="http://schemas.openxmlformats.org/officeDocument/2006/relationships/image" Target="media/image117.wmf"/><Relationship Id="rId7" Type="http://schemas.openxmlformats.org/officeDocument/2006/relationships/settings" Target="settings.xml"/><Relationship Id="rId162" Type="http://schemas.openxmlformats.org/officeDocument/2006/relationships/image" Target="media/image138.wmf"/><Relationship Id="rId183" Type="http://schemas.openxmlformats.org/officeDocument/2006/relationships/hyperlink" Target="http://en.wikipedia.org/wiki/Volume" TargetMode="External"/><Relationship Id="rId218" Type="http://schemas.openxmlformats.org/officeDocument/2006/relationships/image" Target="media/image159.emf"/><Relationship Id="rId239" Type="http://schemas.openxmlformats.org/officeDocument/2006/relationships/image" Target="media/image180.emf"/><Relationship Id="rId250" Type="http://schemas.openxmlformats.org/officeDocument/2006/relationships/image" Target="media/image189.png"/><Relationship Id="rId271" Type="http://schemas.openxmlformats.org/officeDocument/2006/relationships/image" Target="media/image210.png"/><Relationship Id="rId292" Type="http://schemas.openxmlformats.org/officeDocument/2006/relationships/fontTable" Target="fontTable.xml"/><Relationship Id="rId24" Type="http://schemas.openxmlformats.org/officeDocument/2006/relationships/image" Target="media/image7.png"/><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92.png"/><Relationship Id="rId131" Type="http://schemas.openxmlformats.org/officeDocument/2006/relationships/image" Target="media/image113.png"/><Relationship Id="rId152" Type="http://schemas.openxmlformats.org/officeDocument/2006/relationships/image" Target="media/image128.png"/><Relationship Id="rId173" Type="http://schemas.openxmlformats.org/officeDocument/2006/relationships/hyperlink" Target="http://en.wikipedia.org/wiki/Slope" TargetMode="External"/><Relationship Id="rId194" Type="http://schemas.openxmlformats.org/officeDocument/2006/relationships/image" Target="media/image144.png"/><Relationship Id="rId208" Type="http://schemas.openxmlformats.org/officeDocument/2006/relationships/hyperlink" Target="http://www.glossary.oilfield.slb.com/Display.cfm?Term=pressure" TargetMode="External"/><Relationship Id="rId229" Type="http://schemas.openxmlformats.org/officeDocument/2006/relationships/image" Target="media/image170.emf"/><Relationship Id="rId240" Type="http://schemas.openxmlformats.org/officeDocument/2006/relationships/image" Target="media/image181.emf"/><Relationship Id="rId261" Type="http://schemas.openxmlformats.org/officeDocument/2006/relationships/image" Target="media/image200.png"/><Relationship Id="rId14" Type="http://schemas.openxmlformats.org/officeDocument/2006/relationships/header" Target="header2.xml"/><Relationship Id="rId35" Type="http://schemas.openxmlformats.org/officeDocument/2006/relationships/image" Target="media/image18.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2.png"/><Relationship Id="rId282" Type="http://schemas.openxmlformats.org/officeDocument/2006/relationships/image" Target="media/image221.png"/><Relationship Id="rId8" Type="http://schemas.openxmlformats.org/officeDocument/2006/relationships/webSettings" Target="webSettings.xml"/><Relationship Id="rId98" Type="http://schemas.openxmlformats.org/officeDocument/2006/relationships/image" Target="media/image80.emf"/><Relationship Id="rId121" Type="http://schemas.openxmlformats.org/officeDocument/2006/relationships/image" Target="media/image103.png"/><Relationship Id="rId142" Type="http://schemas.openxmlformats.org/officeDocument/2006/relationships/image" Target="media/image118.wmf"/><Relationship Id="rId163" Type="http://schemas.openxmlformats.org/officeDocument/2006/relationships/image" Target="media/image139.wmf"/><Relationship Id="rId184" Type="http://schemas.openxmlformats.org/officeDocument/2006/relationships/image" Target="media/image141.png"/><Relationship Id="rId219" Type="http://schemas.openxmlformats.org/officeDocument/2006/relationships/image" Target="media/image160.emf"/><Relationship Id="rId230" Type="http://schemas.openxmlformats.org/officeDocument/2006/relationships/image" Target="media/image171.emf"/><Relationship Id="rId251" Type="http://schemas.openxmlformats.org/officeDocument/2006/relationships/image" Target="media/image190.png"/><Relationship Id="rId25" Type="http://schemas.openxmlformats.org/officeDocument/2006/relationships/image" Target="media/image8.emf"/><Relationship Id="rId46" Type="http://schemas.openxmlformats.org/officeDocument/2006/relationships/image" Target="media/image29.png"/><Relationship Id="rId67" Type="http://schemas.openxmlformats.org/officeDocument/2006/relationships/image" Target="media/image49.png"/><Relationship Id="rId272" Type="http://schemas.openxmlformats.org/officeDocument/2006/relationships/image" Target="media/image211.png"/><Relationship Id="rId293" Type="http://schemas.openxmlformats.org/officeDocument/2006/relationships/theme" Target="theme/theme1.xml"/><Relationship Id="rId88" Type="http://schemas.openxmlformats.org/officeDocument/2006/relationships/image" Target="media/image70.png"/><Relationship Id="rId111" Type="http://schemas.openxmlformats.org/officeDocument/2006/relationships/image" Target="media/image93.emf"/><Relationship Id="rId132" Type="http://schemas.openxmlformats.org/officeDocument/2006/relationships/header" Target="header3.xml"/><Relationship Id="rId153" Type="http://schemas.openxmlformats.org/officeDocument/2006/relationships/image" Target="media/image129.png"/><Relationship Id="rId174" Type="http://schemas.openxmlformats.org/officeDocument/2006/relationships/hyperlink" Target="http://en.wikipedia.org/wiki/Stress-strain_curve" TargetMode="External"/><Relationship Id="rId195" Type="http://schemas.openxmlformats.org/officeDocument/2006/relationships/image" Target="media/image145.png"/><Relationship Id="rId209" Type="http://schemas.openxmlformats.org/officeDocument/2006/relationships/hyperlink" Target="http://www.glossary.oilfield.slb.com/Display.cfm?Term=fracture" TargetMode="External"/><Relationship Id="rId220" Type="http://schemas.openxmlformats.org/officeDocument/2006/relationships/image" Target="media/image161.emf"/><Relationship Id="rId241" Type="http://schemas.openxmlformats.org/officeDocument/2006/relationships/image" Target="media/image182.emf"/><Relationship Id="rId15" Type="http://schemas.openxmlformats.org/officeDocument/2006/relationships/footer" Target="footer3.xml"/><Relationship Id="rId36" Type="http://schemas.openxmlformats.org/officeDocument/2006/relationships/image" Target="media/image19.png"/><Relationship Id="rId57" Type="http://schemas.openxmlformats.org/officeDocument/2006/relationships/image" Target="media/image39.png"/><Relationship Id="rId262" Type="http://schemas.openxmlformats.org/officeDocument/2006/relationships/image" Target="media/image201.png"/><Relationship Id="rId283" Type="http://schemas.openxmlformats.org/officeDocument/2006/relationships/image" Target="media/image222.png"/><Relationship Id="rId78" Type="http://schemas.openxmlformats.org/officeDocument/2006/relationships/image" Target="media/image60.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43" Type="http://schemas.openxmlformats.org/officeDocument/2006/relationships/image" Target="media/image119.wmf"/><Relationship Id="rId164" Type="http://schemas.openxmlformats.org/officeDocument/2006/relationships/image" Target="media/image140.png"/><Relationship Id="rId185" Type="http://schemas.openxmlformats.org/officeDocument/2006/relationships/hyperlink" Target="http://en.wikipedia.org/wiki/Derivative" TargetMode="External"/><Relationship Id="rId9" Type="http://schemas.openxmlformats.org/officeDocument/2006/relationships/footnotes" Target="footnotes.xml"/><Relationship Id="rId210" Type="http://schemas.openxmlformats.org/officeDocument/2006/relationships/hyperlink" Target="http://www.glossary.oilfield.slb.com/Display.cfm?Term=true%20vertical%20depth" TargetMode="External"/><Relationship Id="rId26" Type="http://schemas.openxmlformats.org/officeDocument/2006/relationships/image" Target="media/image9.emf"/><Relationship Id="rId231" Type="http://schemas.openxmlformats.org/officeDocument/2006/relationships/image" Target="media/image172.emf"/><Relationship Id="rId252" Type="http://schemas.openxmlformats.org/officeDocument/2006/relationships/image" Target="media/image191.png"/><Relationship Id="rId273" Type="http://schemas.openxmlformats.org/officeDocument/2006/relationships/image" Target="media/image212.png"/><Relationship Id="rId47" Type="http://schemas.openxmlformats.org/officeDocument/2006/relationships/image" Target="media/image30.emf"/><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header" Target="header4.xml"/><Relationship Id="rId154" Type="http://schemas.openxmlformats.org/officeDocument/2006/relationships/image" Target="media/image130.png"/><Relationship Id="rId175" Type="http://schemas.openxmlformats.org/officeDocument/2006/relationships/hyperlink" Target="http://en.wikipedia.org/wiki/Tensile_test" TargetMode="External"/><Relationship Id="rId196" Type="http://schemas.openxmlformats.org/officeDocument/2006/relationships/image" Target="media/image146.png"/><Relationship Id="rId200" Type="http://schemas.openxmlformats.org/officeDocument/2006/relationships/image" Target="media/image149.wmf"/><Relationship Id="rId16" Type="http://schemas.openxmlformats.org/officeDocument/2006/relationships/footer" Target="footer4.xml"/><Relationship Id="rId221" Type="http://schemas.openxmlformats.org/officeDocument/2006/relationships/image" Target="media/image162.emf"/><Relationship Id="rId242" Type="http://schemas.openxmlformats.org/officeDocument/2006/relationships/image" Target="media/image183.emf"/><Relationship Id="rId263" Type="http://schemas.openxmlformats.org/officeDocument/2006/relationships/image" Target="media/image202.png"/><Relationship Id="rId284" Type="http://schemas.openxmlformats.org/officeDocument/2006/relationships/image" Target="media/image223.png"/><Relationship Id="rId37" Type="http://schemas.openxmlformats.org/officeDocument/2006/relationships/image" Target="media/image20.png"/><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4.emf"/><Relationship Id="rId123" Type="http://schemas.openxmlformats.org/officeDocument/2006/relationships/image" Target="media/image105.png"/><Relationship Id="rId144" Type="http://schemas.openxmlformats.org/officeDocument/2006/relationships/image" Target="media/image120.png"/><Relationship Id="rId90" Type="http://schemas.openxmlformats.org/officeDocument/2006/relationships/image" Target="media/image72.png"/><Relationship Id="rId165" Type="http://schemas.openxmlformats.org/officeDocument/2006/relationships/hyperlink" Target="http://en.wikipedia.org/wiki/Stiffness" TargetMode="External"/><Relationship Id="rId186" Type="http://schemas.openxmlformats.org/officeDocument/2006/relationships/image" Target="media/image142.png"/><Relationship Id="rId211" Type="http://schemas.openxmlformats.org/officeDocument/2006/relationships/hyperlink" Target="http://www.glossary.oilfield.slb.com/Display.cfm?Term=fracturing%20pressure" TargetMode="External"/><Relationship Id="rId232" Type="http://schemas.openxmlformats.org/officeDocument/2006/relationships/image" Target="media/image173.emf"/><Relationship Id="rId253" Type="http://schemas.openxmlformats.org/officeDocument/2006/relationships/image" Target="media/image192.png"/><Relationship Id="rId274" Type="http://schemas.openxmlformats.org/officeDocument/2006/relationships/image" Target="media/image213.png"/><Relationship Id="rId27" Type="http://schemas.openxmlformats.org/officeDocument/2006/relationships/image" Target="media/image10.png"/><Relationship Id="rId48" Type="http://schemas.openxmlformats.org/officeDocument/2006/relationships/image" Target="media/image31.emf"/><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footer" Target="footer8.xml"/><Relationship Id="rId80" Type="http://schemas.openxmlformats.org/officeDocument/2006/relationships/image" Target="media/image62.png"/><Relationship Id="rId155" Type="http://schemas.openxmlformats.org/officeDocument/2006/relationships/image" Target="media/image131.png"/><Relationship Id="rId176" Type="http://schemas.openxmlformats.org/officeDocument/2006/relationships/hyperlink" Target="http://en.wikipedia.org/wiki/Anisotropic" TargetMode="External"/><Relationship Id="rId197" Type="http://schemas.openxmlformats.org/officeDocument/2006/relationships/image" Target="media/image147.png"/><Relationship Id="rId201" Type="http://schemas.openxmlformats.org/officeDocument/2006/relationships/image" Target="media/image150.wmf"/><Relationship Id="rId222" Type="http://schemas.openxmlformats.org/officeDocument/2006/relationships/image" Target="media/image163.emf"/><Relationship Id="rId243" Type="http://schemas.openxmlformats.org/officeDocument/2006/relationships/image" Target="media/image184.emf"/><Relationship Id="rId264" Type="http://schemas.openxmlformats.org/officeDocument/2006/relationships/image" Target="media/image203.png"/><Relationship Id="rId285" Type="http://schemas.openxmlformats.org/officeDocument/2006/relationships/image" Target="media/image224.png"/><Relationship Id="rId17" Type="http://schemas.openxmlformats.org/officeDocument/2006/relationships/footer" Target="footer5.xml"/><Relationship Id="rId38" Type="http://schemas.openxmlformats.org/officeDocument/2006/relationships/image" Target="media/image21.png"/><Relationship Id="rId59" Type="http://schemas.openxmlformats.org/officeDocument/2006/relationships/image" Target="media/image41.png"/><Relationship Id="rId103" Type="http://schemas.openxmlformats.org/officeDocument/2006/relationships/image" Target="media/image85.emf"/><Relationship Id="rId124" Type="http://schemas.openxmlformats.org/officeDocument/2006/relationships/image" Target="media/image106.png"/><Relationship Id="rId70" Type="http://schemas.openxmlformats.org/officeDocument/2006/relationships/image" Target="media/image52.png"/><Relationship Id="rId91" Type="http://schemas.openxmlformats.org/officeDocument/2006/relationships/image" Target="media/image73.png"/><Relationship Id="rId145" Type="http://schemas.openxmlformats.org/officeDocument/2006/relationships/image" Target="media/image121.png"/><Relationship Id="rId166" Type="http://schemas.openxmlformats.org/officeDocument/2006/relationships/hyperlink" Target="http://en.wikipedia.org/wiki/Elasticity_(physics)" TargetMode="External"/><Relationship Id="rId187" Type="http://schemas.openxmlformats.org/officeDocument/2006/relationships/hyperlink" Target="http://en.wikipedia.org/wiki/Density" TargetMode="External"/><Relationship Id="rId1" Type="http://schemas.openxmlformats.org/officeDocument/2006/relationships/customXml" Target="../customXml/item1.xml"/><Relationship Id="rId212" Type="http://schemas.openxmlformats.org/officeDocument/2006/relationships/image" Target="media/image156.jpeg"/><Relationship Id="rId233" Type="http://schemas.openxmlformats.org/officeDocument/2006/relationships/image" Target="media/image174.emf"/><Relationship Id="rId254" Type="http://schemas.openxmlformats.org/officeDocument/2006/relationships/image" Target="media/image193.png"/><Relationship Id="rId28" Type="http://schemas.openxmlformats.org/officeDocument/2006/relationships/image" Target="media/image11.png"/><Relationship Id="rId49" Type="http://schemas.openxmlformats.org/officeDocument/2006/relationships/image" Target="media/image32.emf"/><Relationship Id="rId114" Type="http://schemas.openxmlformats.org/officeDocument/2006/relationships/image" Target="media/image96.png"/><Relationship Id="rId275" Type="http://schemas.openxmlformats.org/officeDocument/2006/relationships/image" Target="media/image214.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footer" Target="footer9.xml"/><Relationship Id="rId156" Type="http://schemas.openxmlformats.org/officeDocument/2006/relationships/image" Target="media/image132.png"/><Relationship Id="rId177" Type="http://schemas.openxmlformats.org/officeDocument/2006/relationships/hyperlink" Target="http://en.wikipedia.org/wiki/Elastic_modulus" TargetMode="External"/><Relationship Id="rId198" Type="http://schemas.openxmlformats.org/officeDocument/2006/relationships/image" Target="media/image148.png"/><Relationship Id="rId202" Type="http://schemas.openxmlformats.org/officeDocument/2006/relationships/image" Target="media/image151.wmf"/><Relationship Id="rId223" Type="http://schemas.openxmlformats.org/officeDocument/2006/relationships/image" Target="media/image164.emf"/><Relationship Id="rId244" Type="http://schemas.openxmlformats.org/officeDocument/2006/relationships/chart" Target="charts/chart1.xml"/><Relationship Id="rId18" Type="http://schemas.openxmlformats.org/officeDocument/2006/relationships/footer" Target="footer6.xml"/><Relationship Id="rId39" Type="http://schemas.openxmlformats.org/officeDocument/2006/relationships/image" Target="media/image22.png"/><Relationship Id="rId265" Type="http://schemas.openxmlformats.org/officeDocument/2006/relationships/image" Target="media/image204.png"/><Relationship Id="rId286" Type="http://schemas.openxmlformats.org/officeDocument/2006/relationships/image" Target="media/image225.png"/><Relationship Id="rId50" Type="http://schemas.openxmlformats.org/officeDocument/2006/relationships/image" Target="media/image33.emf"/><Relationship Id="rId104" Type="http://schemas.openxmlformats.org/officeDocument/2006/relationships/image" Target="media/image86.emf"/><Relationship Id="rId125" Type="http://schemas.openxmlformats.org/officeDocument/2006/relationships/image" Target="media/image107.png"/><Relationship Id="rId146" Type="http://schemas.openxmlformats.org/officeDocument/2006/relationships/image" Target="media/image122.png"/><Relationship Id="rId167" Type="http://schemas.openxmlformats.org/officeDocument/2006/relationships/hyperlink" Target="http://en.wikipedia.org/wiki/Stress_(physics)" TargetMode="External"/><Relationship Id="rId188" Type="http://schemas.openxmlformats.org/officeDocument/2006/relationships/hyperlink" Target="http://en.wikipedia.org/wiki/Compressibility" TargetMode="External"/><Relationship Id="rId71" Type="http://schemas.openxmlformats.org/officeDocument/2006/relationships/image" Target="media/image53.png"/><Relationship Id="rId92" Type="http://schemas.openxmlformats.org/officeDocument/2006/relationships/image" Target="media/image74.emf"/><Relationship Id="rId213" Type="http://schemas.openxmlformats.org/officeDocument/2006/relationships/image" Target="media/image157.png"/><Relationship Id="rId234" Type="http://schemas.openxmlformats.org/officeDocument/2006/relationships/image" Target="media/image175.emf"/><Relationship Id="rId2" Type="http://schemas.openxmlformats.org/officeDocument/2006/relationships/customXml" Target="../customXml/item2.xml"/><Relationship Id="rId29" Type="http://schemas.openxmlformats.org/officeDocument/2006/relationships/image" Target="media/image12.png"/><Relationship Id="rId255" Type="http://schemas.openxmlformats.org/officeDocument/2006/relationships/image" Target="media/image194.png"/><Relationship Id="rId276" Type="http://schemas.openxmlformats.org/officeDocument/2006/relationships/image" Target="media/image215.png"/><Relationship Id="rId40" Type="http://schemas.openxmlformats.org/officeDocument/2006/relationships/image" Target="media/image23.png"/><Relationship Id="rId115" Type="http://schemas.openxmlformats.org/officeDocument/2006/relationships/image" Target="media/image97.emf"/><Relationship Id="rId136" Type="http://schemas.openxmlformats.org/officeDocument/2006/relationships/header" Target="header5.xml"/><Relationship Id="rId157" Type="http://schemas.openxmlformats.org/officeDocument/2006/relationships/image" Target="media/image133.png"/><Relationship Id="rId178" Type="http://schemas.openxmlformats.org/officeDocument/2006/relationships/hyperlink" Target="http://en.wikipedia.org/wiki/Bulk_modulus" TargetMode="External"/><Relationship Id="rId61" Type="http://schemas.openxmlformats.org/officeDocument/2006/relationships/image" Target="media/image43.png"/><Relationship Id="rId82" Type="http://schemas.openxmlformats.org/officeDocument/2006/relationships/image" Target="media/image64.png"/><Relationship Id="rId199" Type="http://schemas.openxmlformats.org/officeDocument/2006/relationships/hyperlink" Target="http://en.wikipedia.org/wiki/Pascal_(unit)" TargetMode="External"/><Relationship Id="rId203" Type="http://schemas.openxmlformats.org/officeDocument/2006/relationships/image" Target="media/image152.wmf"/><Relationship Id="rId19" Type="http://schemas.openxmlformats.org/officeDocument/2006/relationships/image" Target="media/image2.jpeg"/><Relationship Id="rId224" Type="http://schemas.openxmlformats.org/officeDocument/2006/relationships/image" Target="media/image165.emf"/><Relationship Id="rId245" Type="http://schemas.openxmlformats.org/officeDocument/2006/relationships/image" Target="media/image185.png"/><Relationship Id="rId266" Type="http://schemas.openxmlformats.org/officeDocument/2006/relationships/image" Target="media/image205.png"/><Relationship Id="rId287" Type="http://schemas.openxmlformats.org/officeDocument/2006/relationships/image" Target="media/image226.png"/><Relationship Id="rId30" Type="http://schemas.openxmlformats.org/officeDocument/2006/relationships/image" Target="media/image13.png"/><Relationship Id="rId105" Type="http://schemas.openxmlformats.org/officeDocument/2006/relationships/image" Target="media/image87.emf"/><Relationship Id="rId126" Type="http://schemas.openxmlformats.org/officeDocument/2006/relationships/image" Target="media/image108.png"/><Relationship Id="rId147" Type="http://schemas.openxmlformats.org/officeDocument/2006/relationships/image" Target="media/image123.png"/><Relationship Id="rId168" Type="http://schemas.openxmlformats.org/officeDocument/2006/relationships/hyperlink" Target="http://en.wikipedia.org/wiki/Strain_(materials_science)" TargetMode="External"/><Relationship Id="rId51" Type="http://schemas.openxmlformats.org/officeDocument/2006/relationships/image" Target="media/image34.png"/><Relationship Id="rId72" Type="http://schemas.openxmlformats.org/officeDocument/2006/relationships/image" Target="media/image54.png"/><Relationship Id="rId93" Type="http://schemas.openxmlformats.org/officeDocument/2006/relationships/image" Target="media/image75.emf"/><Relationship Id="rId189" Type="http://schemas.openxmlformats.org/officeDocument/2006/relationships/hyperlink" Target="http://en.wikipedia.org/wiki/Strain_(materials_science)" TargetMode="External"/><Relationship Id="rId3" Type="http://schemas.openxmlformats.org/officeDocument/2006/relationships/customXml" Target="../customXml/item3.xml"/><Relationship Id="rId214" Type="http://schemas.openxmlformats.org/officeDocument/2006/relationships/hyperlink" Target="mailto:rslatt@ou.edu" TargetMode="External"/><Relationship Id="rId235" Type="http://schemas.openxmlformats.org/officeDocument/2006/relationships/image" Target="media/image176.emf"/><Relationship Id="rId256" Type="http://schemas.openxmlformats.org/officeDocument/2006/relationships/image" Target="media/image195.png"/><Relationship Id="rId277" Type="http://schemas.openxmlformats.org/officeDocument/2006/relationships/image" Target="media/image216.png"/><Relationship Id="rId116" Type="http://schemas.openxmlformats.org/officeDocument/2006/relationships/image" Target="media/image98.png"/><Relationship Id="rId137" Type="http://schemas.openxmlformats.org/officeDocument/2006/relationships/footer" Target="footer10.xml"/><Relationship Id="rId158" Type="http://schemas.openxmlformats.org/officeDocument/2006/relationships/image" Target="media/image134.png"/><Relationship Id="rId20" Type="http://schemas.openxmlformats.org/officeDocument/2006/relationships/image" Target="media/image3.emf"/><Relationship Id="rId41" Type="http://schemas.openxmlformats.org/officeDocument/2006/relationships/image" Target="media/image24.emf"/><Relationship Id="rId62" Type="http://schemas.openxmlformats.org/officeDocument/2006/relationships/image" Target="media/image44.png"/><Relationship Id="rId83" Type="http://schemas.openxmlformats.org/officeDocument/2006/relationships/image" Target="media/image65.png"/><Relationship Id="rId179" Type="http://schemas.openxmlformats.org/officeDocument/2006/relationships/hyperlink" Target="http://en.wikipedia.org/wiki/Shear_modulus" TargetMode="External"/><Relationship Id="rId190" Type="http://schemas.openxmlformats.org/officeDocument/2006/relationships/hyperlink" Target="http://en.wikipedia.org/wiki/Stress_(physics)" TargetMode="External"/><Relationship Id="rId204" Type="http://schemas.openxmlformats.org/officeDocument/2006/relationships/image" Target="media/image153.wmf"/><Relationship Id="rId225" Type="http://schemas.openxmlformats.org/officeDocument/2006/relationships/image" Target="media/image166.emf"/><Relationship Id="rId246" Type="http://schemas.openxmlformats.org/officeDocument/2006/relationships/image" Target="media/image186.png"/><Relationship Id="rId267" Type="http://schemas.openxmlformats.org/officeDocument/2006/relationships/image" Target="media/image206.png"/><Relationship Id="rId288" Type="http://schemas.openxmlformats.org/officeDocument/2006/relationships/image" Target="media/image227.png"/><Relationship Id="rId106" Type="http://schemas.openxmlformats.org/officeDocument/2006/relationships/image" Target="media/image88.emf"/><Relationship Id="rId127" Type="http://schemas.openxmlformats.org/officeDocument/2006/relationships/image" Target="media/image109.png"/><Relationship Id="rId10" Type="http://schemas.openxmlformats.org/officeDocument/2006/relationships/endnotes" Target="endnotes.xml"/><Relationship Id="rId31" Type="http://schemas.openxmlformats.org/officeDocument/2006/relationships/image" Target="media/image14.emf"/><Relationship Id="rId52" Type="http://schemas.openxmlformats.org/officeDocument/2006/relationships/image" Target="media/image35.png"/><Relationship Id="rId73" Type="http://schemas.openxmlformats.org/officeDocument/2006/relationships/image" Target="media/image55.png"/><Relationship Id="rId94" Type="http://schemas.openxmlformats.org/officeDocument/2006/relationships/image" Target="media/image76.png"/><Relationship Id="rId148" Type="http://schemas.openxmlformats.org/officeDocument/2006/relationships/image" Target="media/image124.png"/><Relationship Id="rId169" Type="http://schemas.openxmlformats.org/officeDocument/2006/relationships/hyperlink" Target="http://en.wikipedia.org/wiki/Hooke%27s_Law" TargetMode="External"/><Relationship Id="rId4" Type="http://schemas.openxmlformats.org/officeDocument/2006/relationships/customXml" Target="../customXml/item4.xml"/><Relationship Id="rId180" Type="http://schemas.openxmlformats.org/officeDocument/2006/relationships/hyperlink" Target="http://en.wikipedia.org/wiki/Thomas_Young_(scientist)" TargetMode="External"/><Relationship Id="rId215" Type="http://schemas.openxmlformats.org/officeDocument/2006/relationships/hyperlink" Target="mailto:emilianitto@gmail.com" TargetMode="External"/><Relationship Id="rId236" Type="http://schemas.openxmlformats.org/officeDocument/2006/relationships/image" Target="media/image177.emf"/><Relationship Id="rId257" Type="http://schemas.openxmlformats.org/officeDocument/2006/relationships/image" Target="media/image196.png"/><Relationship Id="rId278" Type="http://schemas.openxmlformats.org/officeDocument/2006/relationships/image" Target="media/image217.png"/><Relationship Id="rId42" Type="http://schemas.openxmlformats.org/officeDocument/2006/relationships/image" Target="media/image25.emf"/><Relationship Id="rId84" Type="http://schemas.openxmlformats.org/officeDocument/2006/relationships/image" Target="media/image66.emf"/><Relationship Id="rId138" Type="http://schemas.openxmlformats.org/officeDocument/2006/relationships/image" Target="media/image114.wmf"/><Relationship Id="rId191" Type="http://schemas.openxmlformats.org/officeDocument/2006/relationships/hyperlink" Target="http://en.wikipedia.org/wiki/Shear_modulus" TargetMode="External"/><Relationship Id="rId205" Type="http://schemas.openxmlformats.org/officeDocument/2006/relationships/image" Target="media/image154.wmf"/><Relationship Id="rId247" Type="http://schemas.openxmlformats.org/officeDocument/2006/relationships/image" Target="media/image187.png"/><Relationship Id="rId107" Type="http://schemas.openxmlformats.org/officeDocument/2006/relationships/image" Target="media/image89.png"/><Relationship Id="rId289" Type="http://schemas.openxmlformats.org/officeDocument/2006/relationships/image" Target="media/image228.png"/><Relationship Id="rId11" Type="http://schemas.openxmlformats.org/officeDocument/2006/relationships/header" Target="header1.xml"/><Relationship Id="rId53" Type="http://schemas.openxmlformats.org/officeDocument/2006/relationships/image" Target="media/image36.png"/><Relationship Id="rId149" Type="http://schemas.openxmlformats.org/officeDocument/2006/relationships/image" Target="media/image125.png"/><Relationship Id="rId95" Type="http://schemas.openxmlformats.org/officeDocument/2006/relationships/image" Target="media/image77.emf"/><Relationship Id="rId160" Type="http://schemas.openxmlformats.org/officeDocument/2006/relationships/image" Target="media/image136.png"/><Relationship Id="rId216" Type="http://schemas.openxmlformats.org/officeDocument/2006/relationships/image" Target="media/image158.emf"/><Relationship Id="rId258" Type="http://schemas.openxmlformats.org/officeDocument/2006/relationships/image" Target="media/image197.png"/><Relationship Id="rId22" Type="http://schemas.openxmlformats.org/officeDocument/2006/relationships/image" Target="media/image5.emf"/><Relationship Id="rId64" Type="http://schemas.openxmlformats.org/officeDocument/2006/relationships/image" Target="media/image46.png"/><Relationship Id="rId118" Type="http://schemas.openxmlformats.org/officeDocument/2006/relationships/image" Target="media/image100.png"/><Relationship Id="rId171" Type="http://schemas.openxmlformats.org/officeDocument/2006/relationships/hyperlink" Target="http://en.wikipedia.org/wiki/Stress-strain_curve" TargetMode="External"/><Relationship Id="rId227" Type="http://schemas.openxmlformats.org/officeDocument/2006/relationships/image" Target="media/image168.emf"/><Relationship Id="rId269" Type="http://schemas.openxmlformats.org/officeDocument/2006/relationships/image" Target="media/image20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Demo\Documents\OU%20PhD\FALL%202016%20-%20OU%20PhD\Slatt%20Research%20Fall%202016\Rock%20Eval%20-%20Woodford%20theses%20-%20Hladik%2023%20HH.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11822524275924912"/>
          <c:y val="1.2245056986355283E-2"/>
          <c:w val="0.83254550774045"/>
          <c:h val="0.90152403282532201"/>
        </c:manualLayout>
      </c:layout>
      <c:scatterChart>
        <c:scatterStyle val="lineMarker"/>
        <c:varyColors val="0"/>
        <c:ser>
          <c:idx val="1"/>
          <c:order val="0"/>
          <c:tx>
            <c:strRef>
              <c:f>'TOC-R.E.'!$B$517</c:f>
              <c:strCache>
                <c:ptCount val="1"/>
                <c:pt idx="0">
                  <c:v>Hladik 23 HH</c:v>
                </c:pt>
              </c:strCache>
            </c:strRef>
          </c:tx>
          <c:spPr>
            <a:ln w="28575">
              <a:noFill/>
            </a:ln>
          </c:spPr>
          <c:marker>
            <c:symbol val="diamond"/>
            <c:size val="5"/>
          </c:marker>
          <c:xVal>
            <c:numRef>
              <c:f>'TOC-R.E.'!$L$517:$L$540</c:f>
              <c:numCache>
                <c:formatCode>0.00</c:formatCode>
                <c:ptCount val="24"/>
                <c:pt idx="0">
                  <c:v>24.31</c:v>
                </c:pt>
                <c:pt idx="1">
                  <c:v>26.91</c:v>
                </c:pt>
                <c:pt idx="2">
                  <c:v>9.7100000000000009</c:v>
                </c:pt>
                <c:pt idx="3">
                  <c:v>18.62</c:v>
                </c:pt>
                <c:pt idx="4">
                  <c:v>18.21</c:v>
                </c:pt>
                <c:pt idx="5">
                  <c:v>5.0999999999999996</c:v>
                </c:pt>
                <c:pt idx="6">
                  <c:v>4.82</c:v>
                </c:pt>
                <c:pt idx="7">
                  <c:v>13.6</c:v>
                </c:pt>
                <c:pt idx="8">
                  <c:v>4.75</c:v>
                </c:pt>
                <c:pt idx="9">
                  <c:v>5.71</c:v>
                </c:pt>
                <c:pt idx="10">
                  <c:v>6.58</c:v>
                </c:pt>
                <c:pt idx="11">
                  <c:v>11.61</c:v>
                </c:pt>
                <c:pt idx="12">
                  <c:v>11.26</c:v>
                </c:pt>
                <c:pt idx="13">
                  <c:v>6.43</c:v>
                </c:pt>
                <c:pt idx="14">
                  <c:v>21.35</c:v>
                </c:pt>
                <c:pt idx="15">
                  <c:v>20.059999999999999</c:v>
                </c:pt>
                <c:pt idx="16">
                  <c:v>3.52</c:v>
                </c:pt>
                <c:pt idx="17">
                  <c:v>5.16</c:v>
                </c:pt>
                <c:pt idx="18">
                  <c:v>20.93</c:v>
                </c:pt>
                <c:pt idx="19">
                  <c:v>13.5</c:v>
                </c:pt>
                <c:pt idx="20">
                  <c:v>10.42</c:v>
                </c:pt>
                <c:pt idx="21">
                  <c:v>9.25</c:v>
                </c:pt>
                <c:pt idx="22">
                  <c:v>10</c:v>
                </c:pt>
                <c:pt idx="23">
                  <c:v>10.19</c:v>
                </c:pt>
              </c:numCache>
            </c:numRef>
          </c:xVal>
          <c:yVal>
            <c:numRef>
              <c:f>'TOC-R.E.'!$K$517:$K$540</c:f>
              <c:numCache>
                <c:formatCode>0.00</c:formatCode>
                <c:ptCount val="24"/>
                <c:pt idx="0">
                  <c:v>271.37</c:v>
                </c:pt>
                <c:pt idx="1">
                  <c:v>109.63</c:v>
                </c:pt>
                <c:pt idx="2">
                  <c:v>316.57</c:v>
                </c:pt>
                <c:pt idx="3">
                  <c:v>130.32</c:v>
                </c:pt>
                <c:pt idx="4">
                  <c:v>132.19</c:v>
                </c:pt>
                <c:pt idx="5">
                  <c:v>331.42</c:v>
                </c:pt>
                <c:pt idx="6">
                  <c:v>344.85</c:v>
                </c:pt>
                <c:pt idx="7">
                  <c:v>269.12</c:v>
                </c:pt>
                <c:pt idx="8">
                  <c:v>337.21</c:v>
                </c:pt>
                <c:pt idx="9">
                  <c:v>332.81</c:v>
                </c:pt>
                <c:pt idx="10">
                  <c:v>324.2</c:v>
                </c:pt>
                <c:pt idx="11">
                  <c:v>255.06</c:v>
                </c:pt>
                <c:pt idx="12">
                  <c:v>254.77</c:v>
                </c:pt>
                <c:pt idx="13">
                  <c:v>323.86</c:v>
                </c:pt>
                <c:pt idx="14">
                  <c:v>58.78</c:v>
                </c:pt>
                <c:pt idx="15">
                  <c:v>89.89</c:v>
                </c:pt>
                <c:pt idx="16">
                  <c:v>328.5</c:v>
                </c:pt>
                <c:pt idx="17">
                  <c:v>330.32</c:v>
                </c:pt>
                <c:pt idx="18">
                  <c:v>290.05</c:v>
                </c:pt>
                <c:pt idx="19">
                  <c:v>311.08999999999997</c:v>
                </c:pt>
                <c:pt idx="20">
                  <c:v>316.12</c:v>
                </c:pt>
                <c:pt idx="21">
                  <c:v>271.7</c:v>
                </c:pt>
                <c:pt idx="22">
                  <c:v>323.39</c:v>
                </c:pt>
                <c:pt idx="23">
                  <c:v>314.38</c:v>
                </c:pt>
              </c:numCache>
            </c:numRef>
          </c:yVal>
          <c:smooth val="0"/>
          <c:extLst>
            <c:ext xmlns:c16="http://schemas.microsoft.com/office/drawing/2014/chart" uri="{C3380CC4-5D6E-409C-BE32-E72D297353CC}">
              <c16:uniqueId val="{00000000-4719-481C-9781-78F87DB336C6}"/>
            </c:ext>
          </c:extLst>
        </c:ser>
        <c:dLbls>
          <c:showLegendKey val="0"/>
          <c:showVal val="0"/>
          <c:showCatName val="0"/>
          <c:showSerName val="0"/>
          <c:showPercent val="0"/>
          <c:showBubbleSize val="0"/>
        </c:dLbls>
        <c:axId val="-672713936"/>
        <c:axId val="-672709904"/>
      </c:scatterChart>
      <c:valAx>
        <c:axId val="-672713936"/>
        <c:scaling>
          <c:orientation val="minMax"/>
          <c:max val="400"/>
        </c:scaling>
        <c:delete val="0"/>
        <c:axPos val="b"/>
        <c:title>
          <c:tx>
            <c:rich>
              <a:bodyPr/>
              <a:lstStyle/>
              <a:p>
                <a:pPr>
                  <a:defRPr sz="1800" b="1" i="0" u="none" strike="noStrike" baseline="0">
                    <a:solidFill>
                      <a:srgbClr val="000000"/>
                    </a:solidFill>
                    <a:latin typeface="Arial"/>
                    <a:ea typeface="Arial"/>
                    <a:cs typeface="Arial"/>
                  </a:defRPr>
                </a:pPr>
                <a:r>
                  <a:rPr lang="en-US" sz="1800"/>
                  <a:t>Oxygen Index (mg CO</a:t>
                </a:r>
                <a:r>
                  <a:rPr lang="en-US" sz="1800" baseline="-25000"/>
                  <a:t>2</a:t>
                </a:r>
                <a:r>
                  <a:rPr lang="en-US" sz="1800"/>
                  <a:t>/g TOC)</a:t>
                </a:r>
              </a:p>
            </c:rich>
          </c:tx>
          <c:layout>
            <c:manualLayout>
              <c:xMode val="edge"/>
              <c:yMode val="edge"/>
              <c:x val="0.24899428211618899"/>
              <c:y val="0.96248534092812899"/>
            </c:manualLayout>
          </c:layout>
          <c:overlay val="0"/>
          <c:spPr>
            <a:noFill/>
            <a:ln w="25400">
              <a:noFill/>
            </a:ln>
          </c:spPr>
        </c:title>
        <c:numFmt formatCode="0" sourceLinked="0"/>
        <c:majorTickMark val="out"/>
        <c:minorTickMark val="cross"/>
        <c:tickLblPos val="nextTo"/>
        <c:spPr>
          <a:ln w="3175">
            <a:solidFill>
              <a:srgbClr val="000000"/>
            </a:solidFill>
            <a:prstDash val="solid"/>
          </a:ln>
        </c:spPr>
        <c:txPr>
          <a:bodyPr rot="0" vert="horz"/>
          <a:lstStyle/>
          <a:p>
            <a:pPr>
              <a:defRPr sz="1400" b="1" i="0" u="none" strike="noStrike" baseline="0">
                <a:solidFill>
                  <a:srgbClr val="000000"/>
                </a:solidFill>
                <a:latin typeface="Arial"/>
                <a:ea typeface="Arial"/>
                <a:cs typeface="Arial"/>
              </a:defRPr>
            </a:pPr>
            <a:endParaRPr lang="en-US"/>
          </a:p>
        </c:txPr>
        <c:crossAx val="-672709904"/>
        <c:crosses val="autoZero"/>
        <c:crossBetween val="midCat"/>
        <c:majorUnit val="50"/>
        <c:minorUnit val="10"/>
      </c:valAx>
      <c:valAx>
        <c:axId val="-672709904"/>
        <c:scaling>
          <c:orientation val="minMax"/>
          <c:max val="1000"/>
        </c:scaling>
        <c:delete val="0"/>
        <c:axPos val="l"/>
        <c:title>
          <c:tx>
            <c:rich>
              <a:bodyPr/>
              <a:lstStyle/>
              <a:p>
                <a:pPr>
                  <a:defRPr sz="1600" b="1" i="0" u="none" strike="noStrike" baseline="0">
                    <a:solidFill>
                      <a:srgbClr val="000000"/>
                    </a:solidFill>
                    <a:latin typeface="Arial"/>
                    <a:ea typeface="Arial"/>
                    <a:cs typeface="Arial"/>
                  </a:defRPr>
                </a:pPr>
                <a:r>
                  <a:rPr lang="en-US" sz="1600"/>
                  <a:t>Hydrogen Index </a:t>
                </a:r>
                <a:r>
                  <a:rPr lang="en-US" sz="1200"/>
                  <a:t>(mg HC/g TOC)</a:t>
                </a:r>
                <a:endParaRPr lang="en-US" sz="1600"/>
              </a:p>
            </c:rich>
          </c:tx>
          <c:layout>
            <c:manualLayout>
              <c:xMode val="edge"/>
              <c:yMode val="edge"/>
              <c:x val="1.0038119380225334E-3"/>
              <c:y val="0.28837376540671439"/>
            </c:manualLayout>
          </c:layout>
          <c:overlay val="0"/>
          <c:spPr>
            <a:noFill/>
            <a:ln w="25400">
              <a:noFill/>
            </a:ln>
          </c:spPr>
        </c:title>
        <c:numFmt formatCode="0" sourceLinked="0"/>
        <c:majorTickMark val="out"/>
        <c:minorTickMark val="out"/>
        <c:tickLblPos val="nextTo"/>
        <c:spPr>
          <a:ln w="3175">
            <a:solidFill>
              <a:srgbClr val="000000"/>
            </a:solidFill>
            <a:prstDash val="solid"/>
          </a:ln>
        </c:spPr>
        <c:txPr>
          <a:bodyPr rot="0" vert="horz"/>
          <a:lstStyle/>
          <a:p>
            <a:pPr>
              <a:defRPr sz="1400" b="1" i="0" u="none" strike="noStrike" baseline="0">
                <a:solidFill>
                  <a:srgbClr val="000000"/>
                </a:solidFill>
                <a:latin typeface="Arial"/>
                <a:ea typeface="Arial"/>
                <a:cs typeface="Arial"/>
              </a:defRPr>
            </a:pPr>
            <a:endParaRPr lang="en-US"/>
          </a:p>
        </c:txPr>
        <c:crossAx val="-672713936"/>
        <c:crosses val="autoZero"/>
        <c:crossBetween val="midCat"/>
      </c:valAx>
      <c:spPr>
        <a:solidFill>
          <a:sysClr val="window" lastClr="FFFFFF"/>
        </a:solidFill>
        <a:ln w="12700">
          <a:solidFill>
            <a:srgbClr val="808080"/>
          </a:solidFill>
          <a:prstDash val="solid"/>
        </a:ln>
      </c:spPr>
    </c:plotArea>
    <c:legend>
      <c:legendPos val="r"/>
      <c:layout>
        <c:manualLayout>
          <c:xMode val="edge"/>
          <c:yMode val="edge"/>
          <c:x val="0.62281776367759867"/>
          <c:y val="0.24860477966569969"/>
          <c:w val="0.16332387304742246"/>
          <c:h val="2.7588780020918437E-2"/>
        </c:manualLayout>
      </c:layout>
      <c:overlay val="0"/>
      <c:spPr>
        <a:noFill/>
      </c:spPr>
      <c:txPr>
        <a:bodyPr/>
        <a:lstStyle/>
        <a:p>
          <a:pPr>
            <a:defRPr sz="1050" b="1"/>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0.14998</cdr:x>
      <cdr:y>0.7917</cdr:y>
    </cdr:from>
    <cdr:to>
      <cdr:x>0.42461</cdr:x>
      <cdr:y>0.82416</cdr:y>
    </cdr:to>
    <cdr:sp macro="" textlink="">
      <cdr:nvSpPr>
        <cdr:cNvPr id="9217" name="Freeform 1"/>
        <cdr:cNvSpPr>
          <a:spLocks xmlns:a="http://schemas.openxmlformats.org/drawingml/2006/main"/>
        </cdr:cNvSpPr>
      </cdr:nvSpPr>
      <cdr:spPr bwMode="auto">
        <a:xfrm xmlns:a="http://schemas.openxmlformats.org/drawingml/2006/main">
          <a:off x="942012" y="6420574"/>
          <a:ext cx="1724987" cy="263255"/>
        </a:xfrm>
        <a:custGeom xmlns:a="http://schemas.openxmlformats.org/drawingml/2006/main">
          <a:avLst/>
          <a:gdLst/>
          <a:ahLst/>
          <a:cxnLst>
            <a:cxn ang="0">
              <a:pos x="0" y="280598"/>
            </a:cxn>
            <a:cxn ang="0">
              <a:pos x="621681" y="40085"/>
            </a:cxn>
            <a:cxn ang="0">
              <a:pos x="1022766" y="40085"/>
            </a:cxn>
            <a:cxn ang="0">
              <a:pos x="1534149" y="200427"/>
            </a:cxn>
          </a:cxnLst>
          <a:rect l="0" t="0" r="r" b="b"/>
          <a:pathLst>
            <a:path w="1534149" h="280598">
              <a:moveTo>
                <a:pt x="0" y="280598"/>
              </a:moveTo>
              <a:cubicBezTo>
                <a:pt x="225610" y="180384"/>
                <a:pt x="451220" y="80170"/>
                <a:pt x="621681" y="40085"/>
              </a:cubicBezTo>
              <a:cubicBezTo>
                <a:pt x="792142" y="0"/>
                <a:pt x="870688" y="13361"/>
                <a:pt x="1022766" y="40085"/>
              </a:cubicBezTo>
              <a:cubicBezTo>
                <a:pt x="1174844" y="66809"/>
                <a:pt x="1354496" y="133618"/>
                <a:pt x="1534149" y="200427"/>
              </a:cubicBezTo>
            </a:path>
          </a:pathLst>
        </a:custGeom>
        <a:noFill xmlns:a="http://schemas.openxmlformats.org/drawingml/2006/main"/>
        <a:ln xmlns:a="http://schemas.openxmlformats.org/drawingml/2006/main" w="44450" cap="flat" cmpd="sng">
          <a:solidFill>
            <a:srgbClr val="FF0000"/>
          </a:solidFill>
          <a:prstDash val="dash"/>
          <a:round/>
          <a:headEnd/>
          <a:tailEnd/>
        </a:ln>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0.1454</cdr:x>
      <cdr:y>0.1575</cdr:y>
    </cdr:from>
    <cdr:to>
      <cdr:x>0.22456</cdr:x>
      <cdr:y>0.8373</cdr:y>
    </cdr:to>
    <cdr:sp macro="" textlink="">
      <cdr:nvSpPr>
        <cdr:cNvPr id="9218" name="Freeform 2"/>
        <cdr:cNvSpPr>
          <a:spLocks xmlns:a="http://schemas.openxmlformats.org/drawingml/2006/main"/>
        </cdr:cNvSpPr>
      </cdr:nvSpPr>
      <cdr:spPr bwMode="auto">
        <a:xfrm xmlns:a="http://schemas.openxmlformats.org/drawingml/2006/main">
          <a:off x="914426" y="1278560"/>
          <a:ext cx="497841" cy="5518507"/>
        </a:xfrm>
        <a:custGeom xmlns:a="http://schemas.openxmlformats.org/drawingml/2006/main">
          <a:avLst/>
          <a:gdLst/>
          <a:ahLst/>
          <a:cxnLst>
            <a:cxn ang="0">
              <a:pos x="412783" y="0"/>
            </a:cxn>
            <a:cxn ang="0">
              <a:pos x="71861" y="420896"/>
            </a:cxn>
            <a:cxn ang="0">
              <a:pos x="11698" y="791686"/>
            </a:cxn>
            <a:cxn ang="0">
              <a:pos x="1671" y="1142433"/>
            </a:cxn>
            <a:cxn ang="0">
              <a:pos x="1671" y="3096594"/>
            </a:cxn>
            <a:cxn ang="0">
              <a:pos x="11698" y="5662057"/>
            </a:cxn>
          </a:cxnLst>
          <a:rect l="0" t="0" r="r" b="b"/>
          <a:pathLst>
            <a:path w="412783" h="5662057">
              <a:moveTo>
                <a:pt x="412783" y="0"/>
              </a:moveTo>
              <a:cubicBezTo>
                <a:pt x="275745" y="144474"/>
                <a:pt x="138708" y="288948"/>
                <a:pt x="71861" y="420896"/>
              </a:cubicBezTo>
              <a:cubicBezTo>
                <a:pt x="5014" y="552844"/>
                <a:pt x="23396" y="671430"/>
                <a:pt x="11698" y="791686"/>
              </a:cubicBezTo>
              <a:cubicBezTo>
                <a:pt x="0" y="911942"/>
                <a:pt x="3342" y="758282"/>
                <a:pt x="1671" y="1142433"/>
              </a:cubicBezTo>
              <a:cubicBezTo>
                <a:pt x="0" y="1526584"/>
                <a:pt x="0" y="2343323"/>
                <a:pt x="1671" y="3096594"/>
              </a:cubicBezTo>
              <a:cubicBezTo>
                <a:pt x="3342" y="3849865"/>
                <a:pt x="7520" y="4755961"/>
                <a:pt x="11698" y="5662057"/>
              </a:cubicBezTo>
            </a:path>
          </a:pathLst>
        </a:custGeom>
        <a:noFill xmlns:a="http://schemas.openxmlformats.org/drawingml/2006/main"/>
        <a:ln xmlns:a="http://schemas.openxmlformats.org/drawingml/2006/main" w="28575" cap="flat" cmpd="sng">
          <a:solidFill>
            <a:srgbClr val="FF0000"/>
          </a:solidFill>
          <a:prstDash val="dash"/>
          <a:round/>
          <a:headEnd type="none" w="med" len="med"/>
          <a:tailEnd type="none" w="med" len="me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0.15702</cdr:x>
      <cdr:y>0.37315</cdr:y>
    </cdr:from>
    <cdr:to>
      <cdr:x>0.2669</cdr:x>
      <cdr:y>0.60951</cdr:y>
    </cdr:to>
    <cdr:sp macro="" textlink="">
      <cdr:nvSpPr>
        <cdr:cNvPr id="9219" name="Freeform 3"/>
        <cdr:cNvSpPr>
          <a:spLocks xmlns:a="http://schemas.openxmlformats.org/drawingml/2006/main"/>
        </cdr:cNvSpPr>
      </cdr:nvSpPr>
      <cdr:spPr bwMode="auto">
        <a:xfrm xmlns:a="http://schemas.openxmlformats.org/drawingml/2006/main">
          <a:off x="986252" y="3026230"/>
          <a:ext cx="690148" cy="1916810"/>
        </a:xfrm>
        <a:custGeom xmlns:a="http://schemas.openxmlformats.org/drawingml/2006/main">
          <a:avLst/>
          <a:gdLst/>
          <a:ahLst/>
          <a:cxnLst>
            <a:cxn ang="0">
              <a:pos x="521410" y="0"/>
            </a:cxn>
            <a:cxn ang="0">
              <a:pos x="290786" y="410875"/>
            </a:cxn>
            <a:cxn ang="0">
              <a:pos x="110297" y="1212583"/>
            </a:cxn>
            <a:cxn ang="0">
              <a:pos x="0" y="1573351"/>
            </a:cxn>
          </a:cxnLst>
          <a:rect l="0" t="0" r="r" b="b"/>
          <a:pathLst>
            <a:path w="521410" h="1573351">
              <a:moveTo>
                <a:pt x="521410" y="0"/>
              </a:moveTo>
              <a:cubicBezTo>
                <a:pt x="440357" y="104389"/>
                <a:pt x="359305" y="208778"/>
                <a:pt x="290786" y="410875"/>
              </a:cubicBezTo>
              <a:cubicBezTo>
                <a:pt x="222267" y="612972"/>
                <a:pt x="158761" y="1018837"/>
                <a:pt x="110297" y="1212583"/>
              </a:cubicBezTo>
              <a:cubicBezTo>
                <a:pt x="61833" y="1406329"/>
                <a:pt x="22979" y="1498191"/>
                <a:pt x="0" y="1573351"/>
              </a:cubicBezTo>
            </a:path>
          </a:pathLst>
        </a:custGeom>
        <a:noFill xmlns:a="http://schemas.openxmlformats.org/drawingml/2006/main"/>
        <a:ln xmlns:a="http://schemas.openxmlformats.org/drawingml/2006/main" w="44450" cap="flat" cmpd="sng">
          <a:solidFill>
            <a:srgbClr val="FF0000"/>
          </a:solidFill>
          <a:prstDash val="dash"/>
          <a:round/>
          <a:headEnd type="none" w="med" len="med"/>
          <a:tailEnd type="none" w="med" len="me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0.2285</cdr:x>
      <cdr:y>0.141</cdr:y>
    </cdr:from>
    <cdr:to>
      <cdr:x>0.44901</cdr:x>
      <cdr:y>0.16988</cdr:y>
    </cdr:to>
    <cdr:sp macro="" textlink="">
      <cdr:nvSpPr>
        <cdr:cNvPr id="9220" name="Text Box 4"/>
        <cdr:cNvSpPr txBox="1">
          <a:spLocks xmlns:a="http://schemas.openxmlformats.org/drawingml/2006/main" noChangeArrowheads="1"/>
        </cdr:cNvSpPr>
      </cdr:nvSpPr>
      <cdr:spPr bwMode="auto">
        <a:xfrm xmlns:a="http://schemas.openxmlformats.org/drawingml/2006/main">
          <a:off x="1434724" y="1143183"/>
          <a:ext cx="1384546" cy="234167"/>
        </a:xfrm>
        <a:prstGeom xmlns:a="http://schemas.openxmlformats.org/drawingml/2006/main" prst="rect">
          <a:avLst/>
        </a:prstGeom>
        <a:solidFill xmlns:a="http://schemas.openxmlformats.org/drawingml/2006/main">
          <a:srgbClr val="000000">
            <a:alpha val="17999"/>
          </a:srgbClr>
        </a:solidFill>
        <a:ln xmlns:a="http://schemas.openxmlformats.org/drawingml/2006/main" w="9525">
          <a:noFill/>
          <a:miter lim="800000"/>
          <a:headEnd/>
          <a:tailEnd/>
        </a:l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1400" b="0" i="0" strike="noStrike">
              <a:solidFill>
                <a:srgbClr val="000000"/>
              </a:solidFill>
              <a:latin typeface="Arial"/>
              <a:cs typeface="Arial"/>
            </a:rPr>
            <a:t>Type I - oil-prone</a:t>
          </a:r>
        </a:p>
      </cdr:txBody>
    </cdr:sp>
  </cdr:relSizeAnchor>
  <cdr:relSizeAnchor xmlns:cdr="http://schemas.openxmlformats.org/drawingml/2006/chartDrawing">
    <cdr:from>
      <cdr:x>0.26575</cdr:x>
      <cdr:y>0.34997</cdr:y>
    </cdr:from>
    <cdr:to>
      <cdr:x>0.5525</cdr:x>
      <cdr:y>0.37985</cdr:y>
    </cdr:to>
    <cdr:sp macro="" textlink="">
      <cdr:nvSpPr>
        <cdr:cNvPr id="9221" name="Text Box 5"/>
        <cdr:cNvSpPr txBox="1">
          <a:spLocks xmlns:a="http://schemas.openxmlformats.org/drawingml/2006/main" noChangeArrowheads="1"/>
        </cdr:cNvSpPr>
      </cdr:nvSpPr>
      <cdr:spPr bwMode="auto">
        <a:xfrm xmlns:a="http://schemas.openxmlformats.org/drawingml/2006/main">
          <a:off x="1671323" y="2841041"/>
          <a:ext cx="1803382" cy="242561"/>
        </a:xfrm>
        <a:prstGeom xmlns:a="http://schemas.openxmlformats.org/drawingml/2006/main" prst="rect">
          <a:avLst/>
        </a:prstGeom>
        <a:solidFill xmlns:a="http://schemas.openxmlformats.org/drawingml/2006/main">
          <a:srgbClr val="000000">
            <a:alpha val="17999"/>
          </a:srgbClr>
        </a:solidFill>
        <a:ln xmlns:a="http://schemas.openxmlformats.org/drawingml/2006/main" w="9525">
          <a:noFill/>
          <a:miter lim="800000"/>
          <a:headEnd/>
          <a:tailEnd/>
        </a:l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1400" b="0" i="0" strike="noStrike">
              <a:solidFill>
                <a:srgbClr val="000000"/>
              </a:solidFill>
              <a:latin typeface="Arial"/>
              <a:cs typeface="Arial"/>
            </a:rPr>
            <a:t>Type II - oil/gas-prone</a:t>
          </a:r>
        </a:p>
      </cdr:txBody>
    </cdr:sp>
  </cdr:relSizeAnchor>
  <cdr:relSizeAnchor xmlns:cdr="http://schemas.openxmlformats.org/drawingml/2006/chartDrawing">
    <cdr:from>
      <cdr:x>0.34518</cdr:x>
      <cdr:y>0.83974</cdr:y>
    </cdr:from>
    <cdr:to>
      <cdr:x>0.59907</cdr:x>
      <cdr:y>0.86862</cdr:y>
    </cdr:to>
    <cdr:sp macro="" textlink="">
      <cdr:nvSpPr>
        <cdr:cNvPr id="9222" name="Text Box 6"/>
        <cdr:cNvSpPr txBox="1">
          <a:spLocks xmlns:a="http://schemas.openxmlformats.org/drawingml/2006/main" noChangeArrowheads="1"/>
        </cdr:cNvSpPr>
      </cdr:nvSpPr>
      <cdr:spPr bwMode="auto">
        <a:xfrm xmlns:a="http://schemas.openxmlformats.org/drawingml/2006/main">
          <a:off x="2168086" y="6810169"/>
          <a:ext cx="1594697" cy="234213"/>
        </a:xfrm>
        <a:prstGeom xmlns:a="http://schemas.openxmlformats.org/drawingml/2006/main" prst="rect">
          <a:avLst/>
        </a:prstGeom>
        <a:solidFill xmlns:a="http://schemas.openxmlformats.org/drawingml/2006/main">
          <a:srgbClr val="000000">
            <a:alpha val="17999"/>
          </a:srgbClr>
        </a:solidFill>
        <a:ln xmlns:a="http://schemas.openxmlformats.org/drawingml/2006/main" w="9525">
          <a:noFill/>
          <a:miter lim="800000"/>
          <a:headEnd/>
          <a:tailEnd/>
        </a:l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r>
            <a:rPr lang="en-US" sz="1400" b="0" i="0" strike="noStrike">
              <a:solidFill>
                <a:srgbClr val="000000"/>
              </a:solidFill>
              <a:latin typeface="Arial"/>
              <a:cs typeface="Arial"/>
            </a:rPr>
            <a:t>Type III - gas-prone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5C5C6A05DFC48B8DA1F181B2C2A5F" ma:contentTypeVersion="8" ma:contentTypeDescription="Create a new document." ma:contentTypeScope="" ma:versionID="e78a56167ff2d281bf87129418326f41">
  <xsd:schema xmlns:xsd="http://www.w3.org/2001/XMLSchema" xmlns:xs="http://www.w3.org/2001/XMLSchema" xmlns:p="http://schemas.microsoft.com/office/2006/metadata/properties" xmlns:ns3="e4110561-0494-471b-8869-f30171b7fc36" xmlns:ns4="adad2716-7fff-46ae-ae70-98697548e08c" targetNamespace="http://schemas.microsoft.com/office/2006/metadata/properties" ma:root="true" ma:fieldsID="f8d9dafddca0e5bcd1c67e13244495e1" ns3:_="" ns4:_="">
    <xsd:import namespace="e4110561-0494-471b-8869-f30171b7fc36"/>
    <xsd:import namespace="adad2716-7fff-46ae-ae70-98697548e0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10561-0494-471b-8869-f30171b7fc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d2716-7fff-46ae-ae70-98697548e0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39B45-EE62-4CCC-AF58-2153DC7C3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10561-0494-471b-8869-f30171b7fc36"/>
    <ds:schemaRef ds:uri="adad2716-7fff-46ae-ae70-98697548e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83C24F-2D1D-4C19-894B-7CBD3A9B6731}">
  <ds:schemaRefs>
    <ds:schemaRef ds:uri="http://schemas.microsoft.com/sharepoint/v3/contenttype/forms"/>
  </ds:schemaRefs>
</ds:datastoreItem>
</file>

<file path=customXml/itemProps3.xml><?xml version="1.0" encoding="utf-8"?>
<ds:datastoreItem xmlns:ds="http://schemas.openxmlformats.org/officeDocument/2006/customXml" ds:itemID="{61E88D60-2BED-46C1-A30F-A751B132AA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41D936-D621-440A-8955-B248A09DE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361</Pages>
  <Words>72266</Words>
  <Characters>411920</Characters>
  <Application>Microsoft Office Word</Application>
  <DocSecurity>0</DocSecurity>
  <Lines>3432</Lines>
  <Paragraphs>966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483220</CharactersWithSpaces>
  <SharedDoc>false</SharedDoc>
  <HLinks>
    <vt:vector size="1794" baseType="variant">
      <vt:variant>
        <vt:i4>1114153</vt:i4>
      </vt:variant>
      <vt:variant>
        <vt:i4>1698</vt:i4>
      </vt:variant>
      <vt:variant>
        <vt:i4>0</vt:i4>
      </vt:variant>
      <vt:variant>
        <vt:i4>5</vt:i4>
      </vt:variant>
      <vt:variant>
        <vt:lpwstr>http://www.sciencedirect.com/science/article/pii/B0080437516071358?_alid=1830454959&amp;_rdoc=1&amp;_fmt=high&amp;_origin=search&amp;_docanchor=&amp;_ct=87&amp;_zone=rslt_list_item&amp;md5=26e6aad0af8393f4494ff625f64e24d9</vt:lpwstr>
      </vt:variant>
      <vt:variant>
        <vt:lpwstr/>
      </vt:variant>
      <vt:variant>
        <vt:i4>2949129</vt:i4>
      </vt:variant>
      <vt:variant>
        <vt:i4>1695</vt:i4>
      </vt:variant>
      <vt:variant>
        <vt:i4>0</vt:i4>
      </vt:variant>
      <vt:variant>
        <vt:i4>5</vt:i4>
      </vt:variant>
      <vt:variant>
        <vt:lpwstr>mailto:rslatt@ou.edu</vt:lpwstr>
      </vt:variant>
      <vt:variant>
        <vt:lpwstr/>
      </vt:variant>
      <vt:variant>
        <vt:i4>6684788</vt:i4>
      </vt:variant>
      <vt:variant>
        <vt:i4>1692</vt:i4>
      </vt:variant>
      <vt:variant>
        <vt:i4>0</vt:i4>
      </vt:variant>
      <vt:variant>
        <vt:i4>5</vt:i4>
      </vt:variant>
      <vt:variant>
        <vt:lpwstr>http://www.glossary.oilfield.slb.com/Display.cfm?Term=fracturing%20pressure</vt:lpwstr>
      </vt:variant>
      <vt:variant>
        <vt:lpwstr/>
      </vt:variant>
      <vt:variant>
        <vt:i4>458838</vt:i4>
      </vt:variant>
      <vt:variant>
        <vt:i4>1689</vt:i4>
      </vt:variant>
      <vt:variant>
        <vt:i4>0</vt:i4>
      </vt:variant>
      <vt:variant>
        <vt:i4>5</vt:i4>
      </vt:variant>
      <vt:variant>
        <vt:lpwstr>http://www.glossary.oilfield.slb.com/Display.cfm?Term=true%20vertical%20depth</vt:lpwstr>
      </vt:variant>
      <vt:variant>
        <vt:lpwstr/>
      </vt:variant>
      <vt:variant>
        <vt:i4>2818171</vt:i4>
      </vt:variant>
      <vt:variant>
        <vt:i4>1686</vt:i4>
      </vt:variant>
      <vt:variant>
        <vt:i4>0</vt:i4>
      </vt:variant>
      <vt:variant>
        <vt:i4>5</vt:i4>
      </vt:variant>
      <vt:variant>
        <vt:lpwstr>http://www.glossary.oilfield.slb.com/Display.cfm?Term=fracture</vt:lpwstr>
      </vt:variant>
      <vt:variant>
        <vt:lpwstr/>
      </vt:variant>
      <vt:variant>
        <vt:i4>3866734</vt:i4>
      </vt:variant>
      <vt:variant>
        <vt:i4>1683</vt:i4>
      </vt:variant>
      <vt:variant>
        <vt:i4>0</vt:i4>
      </vt:variant>
      <vt:variant>
        <vt:i4>5</vt:i4>
      </vt:variant>
      <vt:variant>
        <vt:lpwstr>http://www.glossary.oilfield.slb.com/Display.cfm?Term=pressure</vt:lpwstr>
      </vt:variant>
      <vt:variant>
        <vt:lpwstr/>
      </vt:variant>
      <vt:variant>
        <vt:i4>3342438</vt:i4>
      </vt:variant>
      <vt:variant>
        <vt:i4>1680</vt:i4>
      </vt:variant>
      <vt:variant>
        <vt:i4>0</vt:i4>
      </vt:variant>
      <vt:variant>
        <vt:i4>5</vt:i4>
      </vt:variant>
      <vt:variant>
        <vt:lpwstr>http://www.glossary.oilfield.slb.com/Display.cfm?Term=formation</vt:lpwstr>
      </vt:variant>
      <vt:variant>
        <vt:lpwstr/>
      </vt:variant>
      <vt:variant>
        <vt:i4>1507433</vt:i4>
      </vt:variant>
      <vt:variant>
        <vt:i4>1677</vt:i4>
      </vt:variant>
      <vt:variant>
        <vt:i4>0</vt:i4>
      </vt:variant>
      <vt:variant>
        <vt:i4>5</vt:i4>
      </vt:variant>
      <vt:variant>
        <vt:lpwstr>http://en.wikipedia.org/wiki/Pascal_(unit)</vt:lpwstr>
      </vt:variant>
      <vt:variant>
        <vt:lpwstr/>
      </vt:variant>
      <vt:variant>
        <vt:i4>1507433</vt:i4>
      </vt:variant>
      <vt:variant>
        <vt:i4>1674</vt:i4>
      </vt:variant>
      <vt:variant>
        <vt:i4>0</vt:i4>
      </vt:variant>
      <vt:variant>
        <vt:i4>5</vt:i4>
      </vt:variant>
      <vt:variant>
        <vt:lpwstr>http://en.wikipedia.org/wiki/Pascal_(unit)</vt:lpwstr>
      </vt:variant>
      <vt:variant>
        <vt:lpwstr/>
      </vt:variant>
      <vt:variant>
        <vt:i4>2293782</vt:i4>
      </vt:variant>
      <vt:variant>
        <vt:i4>1671</vt:i4>
      </vt:variant>
      <vt:variant>
        <vt:i4>0</vt:i4>
      </vt:variant>
      <vt:variant>
        <vt:i4>5</vt:i4>
      </vt:variant>
      <vt:variant>
        <vt:lpwstr>http://en.wikipedia.org/wiki/Young%27s_modulus</vt:lpwstr>
      </vt:variant>
      <vt:variant>
        <vt:lpwstr/>
      </vt:variant>
      <vt:variant>
        <vt:i4>7143436</vt:i4>
      </vt:variant>
      <vt:variant>
        <vt:i4>1668</vt:i4>
      </vt:variant>
      <vt:variant>
        <vt:i4>0</vt:i4>
      </vt:variant>
      <vt:variant>
        <vt:i4>5</vt:i4>
      </vt:variant>
      <vt:variant>
        <vt:lpwstr>http://en.wikipedia.org/wiki/Shear_modulus</vt:lpwstr>
      </vt:variant>
      <vt:variant>
        <vt:lpwstr/>
      </vt:variant>
      <vt:variant>
        <vt:i4>2162695</vt:i4>
      </vt:variant>
      <vt:variant>
        <vt:i4>1665</vt:i4>
      </vt:variant>
      <vt:variant>
        <vt:i4>0</vt:i4>
      </vt:variant>
      <vt:variant>
        <vt:i4>5</vt:i4>
      </vt:variant>
      <vt:variant>
        <vt:lpwstr>http://en.wikipedia.org/wiki/Stress_(physics)</vt:lpwstr>
      </vt:variant>
      <vt:variant>
        <vt:lpwstr/>
      </vt:variant>
      <vt:variant>
        <vt:i4>4194397</vt:i4>
      </vt:variant>
      <vt:variant>
        <vt:i4>1662</vt:i4>
      </vt:variant>
      <vt:variant>
        <vt:i4>0</vt:i4>
      </vt:variant>
      <vt:variant>
        <vt:i4>5</vt:i4>
      </vt:variant>
      <vt:variant>
        <vt:lpwstr>http://en.wikipedia.org/wiki/Strain_(materials_science)</vt:lpwstr>
      </vt:variant>
      <vt:variant>
        <vt:lpwstr/>
      </vt:variant>
      <vt:variant>
        <vt:i4>70</vt:i4>
      </vt:variant>
      <vt:variant>
        <vt:i4>1659</vt:i4>
      </vt:variant>
      <vt:variant>
        <vt:i4>0</vt:i4>
      </vt:variant>
      <vt:variant>
        <vt:i4>5</vt:i4>
      </vt:variant>
      <vt:variant>
        <vt:lpwstr>http://en.wikipedia.org/wiki/Compressibility</vt:lpwstr>
      </vt:variant>
      <vt:variant>
        <vt:lpwstr/>
      </vt:variant>
      <vt:variant>
        <vt:i4>327767</vt:i4>
      </vt:variant>
      <vt:variant>
        <vt:i4>1656</vt:i4>
      </vt:variant>
      <vt:variant>
        <vt:i4>0</vt:i4>
      </vt:variant>
      <vt:variant>
        <vt:i4>5</vt:i4>
      </vt:variant>
      <vt:variant>
        <vt:lpwstr>http://en.wikipedia.org/wiki/Density</vt:lpwstr>
      </vt:variant>
      <vt:variant>
        <vt:lpwstr/>
      </vt:variant>
      <vt:variant>
        <vt:i4>8192049</vt:i4>
      </vt:variant>
      <vt:variant>
        <vt:i4>1653</vt:i4>
      </vt:variant>
      <vt:variant>
        <vt:i4>0</vt:i4>
      </vt:variant>
      <vt:variant>
        <vt:i4>5</vt:i4>
      </vt:variant>
      <vt:variant>
        <vt:lpwstr>http://en.wikipedia.org/wiki/Derivative</vt:lpwstr>
      </vt:variant>
      <vt:variant>
        <vt:lpwstr/>
      </vt:variant>
      <vt:variant>
        <vt:i4>6815791</vt:i4>
      </vt:variant>
      <vt:variant>
        <vt:i4>1650</vt:i4>
      </vt:variant>
      <vt:variant>
        <vt:i4>0</vt:i4>
      </vt:variant>
      <vt:variant>
        <vt:i4>5</vt:i4>
      </vt:variant>
      <vt:variant>
        <vt:lpwstr>http://en.wikipedia.org/wiki/Volume</vt:lpwstr>
      </vt:variant>
      <vt:variant>
        <vt:lpwstr/>
      </vt:variant>
      <vt:variant>
        <vt:i4>720961</vt:i4>
      </vt:variant>
      <vt:variant>
        <vt:i4>1647</vt:i4>
      </vt:variant>
      <vt:variant>
        <vt:i4>0</vt:i4>
      </vt:variant>
      <vt:variant>
        <vt:i4>5</vt:i4>
      </vt:variant>
      <vt:variant>
        <vt:lpwstr>http://en.wikipedia.org/wiki/Pressure</vt:lpwstr>
      </vt:variant>
      <vt:variant>
        <vt:lpwstr/>
      </vt:variant>
      <vt:variant>
        <vt:i4>7864374</vt:i4>
      </vt:variant>
      <vt:variant>
        <vt:i4>1644</vt:i4>
      </vt:variant>
      <vt:variant>
        <vt:i4>0</vt:i4>
      </vt:variant>
      <vt:variant>
        <vt:i4>5</vt:i4>
      </vt:variant>
      <vt:variant>
        <vt:lpwstr>http://en.wikipedia.org/wiki/Infinitesimal</vt:lpwstr>
      </vt:variant>
      <vt:variant>
        <vt:lpwstr/>
      </vt:variant>
      <vt:variant>
        <vt:i4>851969</vt:i4>
      </vt:variant>
      <vt:variant>
        <vt:i4>1641</vt:i4>
      </vt:variant>
      <vt:variant>
        <vt:i4>0</vt:i4>
      </vt:variant>
      <vt:variant>
        <vt:i4>5</vt:i4>
      </vt:variant>
      <vt:variant>
        <vt:lpwstr>http://en.wikipedia.org/wiki/Thomas_Young_(scientist)</vt:lpwstr>
      </vt:variant>
      <vt:variant>
        <vt:lpwstr/>
      </vt:variant>
      <vt:variant>
        <vt:i4>7143436</vt:i4>
      </vt:variant>
      <vt:variant>
        <vt:i4>1638</vt:i4>
      </vt:variant>
      <vt:variant>
        <vt:i4>0</vt:i4>
      </vt:variant>
      <vt:variant>
        <vt:i4>5</vt:i4>
      </vt:variant>
      <vt:variant>
        <vt:lpwstr>http://en.wikipedia.org/wiki/Shear_modulus</vt:lpwstr>
      </vt:variant>
      <vt:variant>
        <vt:lpwstr/>
      </vt:variant>
      <vt:variant>
        <vt:i4>2162766</vt:i4>
      </vt:variant>
      <vt:variant>
        <vt:i4>1635</vt:i4>
      </vt:variant>
      <vt:variant>
        <vt:i4>0</vt:i4>
      </vt:variant>
      <vt:variant>
        <vt:i4>5</vt:i4>
      </vt:variant>
      <vt:variant>
        <vt:lpwstr>http://en.wikipedia.org/wiki/Bulk_modulus</vt:lpwstr>
      </vt:variant>
      <vt:variant>
        <vt:lpwstr/>
      </vt:variant>
      <vt:variant>
        <vt:i4>1704051</vt:i4>
      </vt:variant>
      <vt:variant>
        <vt:i4>1632</vt:i4>
      </vt:variant>
      <vt:variant>
        <vt:i4>0</vt:i4>
      </vt:variant>
      <vt:variant>
        <vt:i4>5</vt:i4>
      </vt:variant>
      <vt:variant>
        <vt:lpwstr>http://en.wikipedia.org/wiki/Elastic_modulus</vt:lpwstr>
      </vt:variant>
      <vt:variant>
        <vt:lpwstr/>
      </vt:variant>
      <vt:variant>
        <vt:i4>1638490</vt:i4>
      </vt:variant>
      <vt:variant>
        <vt:i4>1629</vt:i4>
      </vt:variant>
      <vt:variant>
        <vt:i4>0</vt:i4>
      </vt:variant>
      <vt:variant>
        <vt:i4>5</vt:i4>
      </vt:variant>
      <vt:variant>
        <vt:lpwstr>http://en.wikipedia.org/wiki/Anisotropic</vt:lpwstr>
      </vt:variant>
      <vt:variant>
        <vt:lpwstr/>
      </vt:variant>
      <vt:variant>
        <vt:i4>917621</vt:i4>
      </vt:variant>
      <vt:variant>
        <vt:i4>1626</vt:i4>
      </vt:variant>
      <vt:variant>
        <vt:i4>0</vt:i4>
      </vt:variant>
      <vt:variant>
        <vt:i4>5</vt:i4>
      </vt:variant>
      <vt:variant>
        <vt:lpwstr>http://en.wikipedia.org/wiki/Tensile_test</vt:lpwstr>
      </vt:variant>
      <vt:variant>
        <vt:lpwstr/>
      </vt:variant>
      <vt:variant>
        <vt:i4>5177443</vt:i4>
      </vt:variant>
      <vt:variant>
        <vt:i4>1623</vt:i4>
      </vt:variant>
      <vt:variant>
        <vt:i4>0</vt:i4>
      </vt:variant>
      <vt:variant>
        <vt:i4>5</vt:i4>
      </vt:variant>
      <vt:variant>
        <vt:lpwstr>http://en.wikipedia.org/wiki/Stress-strain_curve</vt:lpwstr>
      </vt:variant>
      <vt:variant>
        <vt:lpwstr/>
      </vt:variant>
      <vt:variant>
        <vt:i4>6684713</vt:i4>
      </vt:variant>
      <vt:variant>
        <vt:i4>1620</vt:i4>
      </vt:variant>
      <vt:variant>
        <vt:i4>0</vt:i4>
      </vt:variant>
      <vt:variant>
        <vt:i4>5</vt:i4>
      </vt:variant>
      <vt:variant>
        <vt:lpwstr>http://en.wikipedia.org/wiki/Slope</vt:lpwstr>
      </vt:variant>
      <vt:variant>
        <vt:lpwstr/>
      </vt:variant>
      <vt:variant>
        <vt:i4>131181</vt:i4>
      </vt:variant>
      <vt:variant>
        <vt:i4>1617</vt:i4>
      </vt:variant>
      <vt:variant>
        <vt:i4>0</vt:i4>
      </vt:variant>
      <vt:variant>
        <vt:i4>5</vt:i4>
      </vt:variant>
      <vt:variant>
        <vt:lpwstr>http://en.wikipedia.org/wiki/Tangent_modulus</vt:lpwstr>
      </vt:variant>
      <vt:variant>
        <vt:lpwstr/>
      </vt:variant>
      <vt:variant>
        <vt:i4>5177443</vt:i4>
      </vt:variant>
      <vt:variant>
        <vt:i4>1614</vt:i4>
      </vt:variant>
      <vt:variant>
        <vt:i4>0</vt:i4>
      </vt:variant>
      <vt:variant>
        <vt:i4>5</vt:i4>
      </vt:variant>
      <vt:variant>
        <vt:lpwstr>http://en.wikipedia.org/wiki/Stress-strain_curve</vt:lpwstr>
      </vt:variant>
      <vt:variant>
        <vt:lpwstr/>
      </vt:variant>
      <vt:variant>
        <vt:i4>1114220</vt:i4>
      </vt:variant>
      <vt:variant>
        <vt:i4>1611</vt:i4>
      </vt:variant>
      <vt:variant>
        <vt:i4>0</vt:i4>
      </vt:variant>
      <vt:variant>
        <vt:i4>5</vt:i4>
      </vt:variant>
      <vt:variant>
        <vt:lpwstr>http://en.wikipedia.org/wiki/Solid_mechanics</vt:lpwstr>
      </vt:variant>
      <vt:variant>
        <vt:lpwstr/>
      </vt:variant>
      <vt:variant>
        <vt:i4>2555933</vt:i4>
      </vt:variant>
      <vt:variant>
        <vt:i4>1608</vt:i4>
      </vt:variant>
      <vt:variant>
        <vt:i4>0</vt:i4>
      </vt:variant>
      <vt:variant>
        <vt:i4>5</vt:i4>
      </vt:variant>
      <vt:variant>
        <vt:lpwstr>http://en.wikipedia.org/wiki/Hooke%27s_Law</vt:lpwstr>
      </vt:variant>
      <vt:variant>
        <vt:lpwstr/>
      </vt:variant>
      <vt:variant>
        <vt:i4>4194397</vt:i4>
      </vt:variant>
      <vt:variant>
        <vt:i4>1605</vt:i4>
      </vt:variant>
      <vt:variant>
        <vt:i4>0</vt:i4>
      </vt:variant>
      <vt:variant>
        <vt:i4>5</vt:i4>
      </vt:variant>
      <vt:variant>
        <vt:lpwstr>http://en.wikipedia.org/wiki/Strain_(materials_science)</vt:lpwstr>
      </vt:variant>
      <vt:variant>
        <vt:lpwstr/>
      </vt:variant>
      <vt:variant>
        <vt:i4>2162695</vt:i4>
      </vt:variant>
      <vt:variant>
        <vt:i4>1602</vt:i4>
      </vt:variant>
      <vt:variant>
        <vt:i4>0</vt:i4>
      </vt:variant>
      <vt:variant>
        <vt:i4>5</vt:i4>
      </vt:variant>
      <vt:variant>
        <vt:lpwstr>http://en.wikipedia.org/wiki/Stress_(physics)</vt:lpwstr>
      </vt:variant>
      <vt:variant>
        <vt:lpwstr/>
      </vt:variant>
      <vt:variant>
        <vt:i4>3407875</vt:i4>
      </vt:variant>
      <vt:variant>
        <vt:i4>1599</vt:i4>
      </vt:variant>
      <vt:variant>
        <vt:i4>0</vt:i4>
      </vt:variant>
      <vt:variant>
        <vt:i4>5</vt:i4>
      </vt:variant>
      <vt:variant>
        <vt:lpwstr>http://en.wikipedia.org/wiki/Elasticity_(physics)</vt:lpwstr>
      </vt:variant>
      <vt:variant>
        <vt:lpwstr/>
      </vt:variant>
      <vt:variant>
        <vt:i4>7667770</vt:i4>
      </vt:variant>
      <vt:variant>
        <vt:i4>1596</vt:i4>
      </vt:variant>
      <vt:variant>
        <vt:i4>0</vt:i4>
      </vt:variant>
      <vt:variant>
        <vt:i4>5</vt:i4>
      </vt:variant>
      <vt:variant>
        <vt:lpwstr>http://en.wikipedia.org/wiki/Stiffness</vt:lpwstr>
      </vt:variant>
      <vt:variant>
        <vt:lpwstr/>
      </vt:variant>
      <vt:variant>
        <vt:i4>1703991</vt:i4>
      </vt:variant>
      <vt:variant>
        <vt:i4>1583</vt:i4>
      </vt:variant>
      <vt:variant>
        <vt:i4>0</vt:i4>
      </vt:variant>
      <vt:variant>
        <vt:i4>5</vt:i4>
      </vt:variant>
      <vt:variant>
        <vt:lpwstr/>
      </vt:variant>
      <vt:variant>
        <vt:lpwstr>_Toc26690032</vt:lpwstr>
      </vt:variant>
      <vt:variant>
        <vt:i4>1638455</vt:i4>
      </vt:variant>
      <vt:variant>
        <vt:i4>1577</vt:i4>
      </vt:variant>
      <vt:variant>
        <vt:i4>0</vt:i4>
      </vt:variant>
      <vt:variant>
        <vt:i4>5</vt:i4>
      </vt:variant>
      <vt:variant>
        <vt:lpwstr/>
      </vt:variant>
      <vt:variant>
        <vt:lpwstr>_Toc26690031</vt:lpwstr>
      </vt:variant>
      <vt:variant>
        <vt:i4>1572919</vt:i4>
      </vt:variant>
      <vt:variant>
        <vt:i4>1571</vt:i4>
      </vt:variant>
      <vt:variant>
        <vt:i4>0</vt:i4>
      </vt:variant>
      <vt:variant>
        <vt:i4>5</vt:i4>
      </vt:variant>
      <vt:variant>
        <vt:lpwstr/>
      </vt:variant>
      <vt:variant>
        <vt:lpwstr>_Toc26690030</vt:lpwstr>
      </vt:variant>
      <vt:variant>
        <vt:i4>1114166</vt:i4>
      </vt:variant>
      <vt:variant>
        <vt:i4>1565</vt:i4>
      </vt:variant>
      <vt:variant>
        <vt:i4>0</vt:i4>
      </vt:variant>
      <vt:variant>
        <vt:i4>5</vt:i4>
      </vt:variant>
      <vt:variant>
        <vt:lpwstr/>
      </vt:variant>
      <vt:variant>
        <vt:lpwstr>_Toc26690029</vt:lpwstr>
      </vt:variant>
      <vt:variant>
        <vt:i4>1048630</vt:i4>
      </vt:variant>
      <vt:variant>
        <vt:i4>1559</vt:i4>
      </vt:variant>
      <vt:variant>
        <vt:i4>0</vt:i4>
      </vt:variant>
      <vt:variant>
        <vt:i4>5</vt:i4>
      </vt:variant>
      <vt:variant>
        <vt:lpwstr/>
      </vt:variant>
      <vt:variant>
        <vt:lpwstr>_Toc26690028</vt:lpwstr>
      </vt:variant>
      <vt:variant>
        <vt:i4>2031670</vt:i4>
      </vt:variant>
      <vt:variant>
        <vt:i4>1553</vt:i4>
      </vt:variant>
      <vt:variant>
        <vt:i4>0</vt:i4>
      </vt:variant>
      <vt:variant>
        <vt:i4>5</vt:i4>
      </vt:variant>
      <vt:variant>
        <vt:lpwstr/>
      </vt:variant>
      <vt:variant>
        <vt:lpwstr>_Toc26690027</vt:lpwstr>
      </vt:variant>
      <vt:variant>
        <vt:i4>1966134</vt:i4>
      </vt:variant>
      <vt:variant>
        <vt:i4>1547</vt:i4>
      </vt:variant>
      <vt:variant>
        <vt:i4>0</vt:i4>
      </vt:variant>
      <vt:variant>
        <vt:i4>5</vt:i4>
      </vt:variant>
      <vt:variant>
        <vt:lpwstr/>
      </vt:variant>
      <vt:variant>
        <vt:lpwstr>_Toc26690026</vt:lpwstr>
      </vt:variant>
      <vt:variant>
        <vt:i4>1900598</vt:i4>
      </vt:variant>
      <vt:variant>
        <vt:i4>1541</vt:i4>
      </vt:variant>
      <vt:variant>
        <vt:i4>0</vt:i4>
      </vt:variant>
      <vt:variant>
        <vt:i4>5</vt:i4>
      </vt:variant>
      <vt:variant>
        <vt:lpwstr/>
      </vt:variant>
      <vt:variant>
        <vt:lpwstr>_Toc26690025</vt:lpwstr>
      </vt:variant>
      <vt:variant>
        <vt:i4>1835062</vt:i4>
      </vt:variant>
      <vt:variant>
        <vt:i4>1535</vt:i4>
      </vt:variant>
      <vt:variant>
        <vt:i4>0</vt:i4>
      </vt:variant>
      <vt:variant>
        <vt:i4>5</vt:i4>
      </vt:variant>
      <vt:variant>
        <vt:lpwstr/>
      </vt:variant>
      <vt:variant>
        <vt:lpwstr>_Toc26690024</vt:lpwstr>
      </vt:variant>
      <vt:variant>
        <vt:i4>1769526</vt:i4>
      </vt:variant>
      <vt:variant>
        <vt:i4>1529</vt:i4>
      </vt:variant>
      <vt:variant>
        <vt:i4>0</vt:i4>
      </vt:variant>
      <vt:variant>
        <vt:i4>5</vt:i4>
      </vt:variant>
      <vt:variant>
        <vt:lpwstr/>
      </vt:variant>
      <vt:variant>
        <vt:lpwstr>_Toc26690023</vt:lpwstr>
      </vt:variant>
      <vt:variant>
        <vt:i4>1703990</vt:i4>
      </vt:variant>
      <vt:variant>
        <vt:i4>1523</vt:i4>
      </vt:variant>
      <vt:variant>
        <vt:i4>0</vt:i4>
      </vt:variant>
      <vt:variant>
        <vt:i4>5</vt:i4>
      </vt:variant>
      <vt:variant>
        <vt:lpwstr/>
      </vt:variant>
      <vt:variant>
        <vt:lpwstr>_Toc26690022</vt:lpwstr>
      </vt:variant>
      <vt:variant>
        <vt:i4>1638454</vt:i4>
      </vt:variant>
      <vt:variant>
        <vt:i4>1517</vt:i4>
      </vt:variant>
      <vt:variant>
        <vt:i4>0</vt:i4>
      </vt:variant>
      <vt:variant>
        <vt:i4>5</vt:i4>
      </vt:variant>
      <vt:variant>
        <vt:lpwstr/>
      </vt:variant>
      <vt:variant>
        <vt:lpwstr>_Toc26690021</vt:lpwstr>
      </vt:variant>
      <vt:variant>
        <vt:i4>1572918</vt:i4>
      </vt:variant>
      <vt:variant>
        <vt:i4>1511</vt:i4>
      </vt:variant>
      <vt:variant>
        <vt:i4>0</vt:i4>
      </vt:variant>
      <vt:variant>
        <vt:i4>5</vt:i4>
      </vt:variant>
      <vt:variant>
        <vt:lpwstr/>
      </vt:variant>
      <vt:variant>
        <vt:lpwstr>_Toc26690020</vt:lpwstr>
      </vt:variant>
      <vt:variant>
        <vt:i4>1114165</vt:i4>
      </vt:variant>
      <vt:variant>
        <vt:i4>1505</vt:i4>
      </vt:variant>
      <vt:variant>
        <vt:i4>0</vt:i4>
      </vt:variant>
      <vt:variant>
        <vt:i4>5</vt:i4>
      </vt:variant>
      <vt:variant>
        <vt:lpwstr/>
      </vt:variant>
      <vt:variant>
        <vt:lpwstr>_Toc26690019</vt:lpwstr>
      </vt:variant>
      <vt:variant>
        <vt:i4>1048629</vt:i4>
      </vt:variant>
      <vt:variant>
        <vt:i4>1499</vt:i4>
      </vt:variant>
      <vt:variant>
        <vt:i4>0</vt:i4>
      </vt:variant>
      <vt:variant>
        <vt:i4>5</vt:i4>
      </vt:variant>
      <vt:variant>
        <vt:lpwstr/>
      </vt:variant>
      <vt:variant>
        <vt:lpwstr>_Toc26690018</vt:lpwstr>
      </vt:variant>
      <vt:variant>
        <vt:i4>2031669</vt:i4>
      </vt:variant>
      <vt:variant>
        <vt:i4>1493</vt:i4>
      </vt:variant>
      <vt:variant>
        <vt:i4>0</vt:i4>
      </vt:variant>
      <vt:variant>
        <vt:i4>5</vt:i4>
      </vt:variant>
      <vt:variant>
        <vt:lpwstr/>
      </vt:variant>
      <vt:variant>
        <vt:lpwstr>_Toc26690017</vt:lpwstr>
      </vt:variant>
      <vt:variant>
        <vt:i4>1966133</vt:i4>
      </vt:variant>
      <vt:variant>
        <vt:i4>1487</vt:i4>
      </vt:variant>
      <vt:variant>
        <vt:i4>0</vt:i4>
      </vt:variant>
      <vt:variant>
        <vt:i4>5</vt:i4>
      </vt:variant>
      <vt:variant>
        <vt:lpwstr/>
      </vt:variant>
      <vt:variant>
        <vt:lpwstr>_Toc26690016</vt:lpwstr>
      </vt:variant>
      <vt:variant>
        <vt:i4>1900597</vt:i4>
      </vt:variant>
      <vt:variant>
        <vt:i4>1481</vt:i4>
      </vt:variant>
      <vt:variant>
        <vt:i4>0</vt:i4>
      </vt:variant>
      <vt:variant>
        <vt:i4>5</vt:i4>
      </vt:variant>
      <vt:variant>
        <vt:lpwstr/>
      </vt:variant>
      <vt:variant>
        <vt:lpwstr>_Toc26690015</vt:lpwstr>
      </vt:variant>
      <vt:variant>
        <vt:i4>1835061</vt:i4>
      </vt:variant>
      <vt:variant>
        <vt:i4>1475</vt:i4>
      </vt:variant>
      <vt:variant>
        <vt:i4>0</vt:i4>
      </vt:variant>
      <vt:variant>
        <vt:i4>5</vt:i4>
      </vt:variant>
      <vt:variant>
        <vt:lpwstr/>
      </vt:variant>
      <vt:variant>
        <vt:lpwstr>_Toc26690014</vt:lpwstr>
      </vt:variant>
      <vt:variant>
        <vt:i4>1769525</vt:i4>
      </vt:variant>
      <vt:variant>
        <vt:i4>1469</vt:i4>
      </vt:variant>
      <vt:variant>
        <vt:i4>0</vt:i4>
      </vt:variant>
      <vt:variant>
        <vt:i4>5</vt:i4>
      </vt:variant>
      <vt:variant>
        <vt:lpwstr/>
      </vt:variant>
      <vt:variant>
        <vt:lpwstr>_Toc26690013</vt:lpwstr>
      </vt:variant>
      <vt:variant>
        <vt:i4>1703989</vt:i4>
      </vt:variant>
      <vt:variant>
        <vt:i4>1463</vt:i4>
      </vt:variant>
      <vt:variant>
        <vt:i4>0</vt:i4>
      </vt:variant>
      <vt:variant>
        <vt:i4>5</vt:i4>
      </vt:variant>
      <vt:variant>
        <vt:lpwstr/>
      </vt:variant>
      <vt:variant>
        <vt:lpwstr>_Toc26690012</vt:lpwstr>
      </vt:variant>
      <vt:variant>
        <vt:i4>1638453</vt:i4>
      </vt:variant>
      <vt:variant>
        <vt:i4>1457</vt:i4>
      </vt:variant>
      <vt:variant>
        <vt:i4>0</vt:i4>
      </vt:variant>
      <vt:variant>
        <vt:i4>5</vt:i4>
      </vt:variant>
      <vt:variant>
        <vt:lpwstr/>
      </vt:variant>
      <vt:variant>
        <vt:lpwstr>_Toc26690011</vt:lpwstr>
      </vt:variant>
      <vt:variant>
        <vt:i4>1572917</vt:i4>
      </vt:variant>
      <vt:variant>
        <vt:i4>1451</vt:i4>
      </vt:variant>
      <vt:variant>
        <vt:i4>0</vt:i4>
      </vt:variant>
      <vt:variant>
        <vt:i4>5</vt:i4>
      </vt:variant>
      <vt:variant>
        <vt:lpwstr/>
      </vt:variant>
      <vt:variant>
        <vt:lpwstr>_Toc26690010</vt:lpwstr>
      </vt:variant>
      <vt:variant>
        <vt:i4>1114164</vt:i4>
      </vt:variant>
      <vt:variant>
        <vt:i4>1445</vt:i4>
      </vt:variant>
      <vt:variant>
        <vt:i4>0</vt:i4>
      </vt:variant>
      <vt:variant>
        <vt:i4>5</vt:i4>
      </vt:variant>
      <vt:variant>
        <vt:lpwstr/>
      </vt:variant>
      <vt:variant>
        <vt:lpwstr>_Toc26690009</vt:lpwstr>
      </vt:variant>
      <vt:variant>
        <vt:i4>1048628</vt:i4>
      </vt:variant>
      <vt:variant>
        <vt:i4>1439</vt:i4>
      </vt:variant>
      <vt:variant>
        <vt:i4>0</vt:i4>
      </vt:variant>
      <vt:variant>
        <vt:i4>5</vt:i4>
      </vt:variant>
      <vt:variant>
        <vt:lpwstr/>
      </vt:variant>
      <vt:variant>
        <vt:lpwstr>_Toc26690008</vt:lpwstr>
      </vt:variant>
      <vt:variant>
        <vt:i4>2031668</vt:i4>
      </vt:variant>
      <vt:variant>
        <vt:i4>1433</vt:i4>
      </vt:variant>
      <vt:variant>
        <vt:i4>0</vt:i4>
      </vt:variant>
      <vt:variant>
        <vt:i4>5</vt:i4>
      </vt:variant>
      <vt:variant>
        <vt:lpwstr/>
      </vt:variant>
      <vt:variant>
        <vt:lpwstr>_Toc26690007</vt:lpwstr>
      </vt:variant>
      <vt:variant>
        <vt:i4>1966132</vt:i4>
      </vt:variant>
      <vt:variant>
        <vt:i4>1427</vt:i4>
      </vt:variant>
      <vt:variant>
        <vt:i4>0</vt:i4>
      </vt:variant>
      <vt:variant>
        <vt:i4>5</vt:i4>
      </vt:variant>
      <vt:variant>
        <vt:lpwstr/>
      </vt:variant>
      <vt:variant>
        <vt:lpwstr>_Toc26690006</vt:lpwstr>
      </vt:variant>
      <vt:variant>
        <vt:i4>1900596</vt:i4>
      </vt:variant>
      <vt:variant>
        <vt:i4>1421</vt:i4>
      </vt:variant>
      <vt:variant>
        <vt:i4>0</vt:i4>
      </vt:variant>
      <vt:variant>
        <vt:i4>5</vt:i4>
      </vt:variant>
      <vt:variant>
        <vt:lpwstr/>
      </vt:variant>
      <vt:variant>
        <vt:lpwstr>_Toc26690005</vt:lpwstr>
      </vt:variant>
      <vt:variant>
        <vt:i4>1835060</vt:i4>
      </vt:variant>
      <vt:variant>
        <vt:i4>1415</vt:i4>
      </vt:variant>
      <vt:variant>
        <vt:i4>0</vt:i4>
      </vt:variant>
      <vt:variant>
        <vt:i4>5</vt:i4>
      </vt:variant>
      <vt:variant>
        <vt:lpwstr/>
      </vt:variant>
      <vt:variant>
        <vt:lpwstr>_Toc26690004</vt:lpwstr>
      </vt:variant>
      <vt:variant>
        <vt:i4>1769524</vt:i4>
      </vt:variant>
      <vt:variant>
        <vt:i4>1409</vt:i4>
      </vt:variant>
      <vt:variant>
        <vt:i4>0</vt:i4>
      </vt:variant>
      <vt:variant>
        <vt:i4>5</vt:i4>
      </vt:variant>
      <vt:variant>
        <vt:lpwstr/>
      </vt:variant>
      <vt:variant>
        <vt:lpwstr>_Toc26690003</vt:lpwstr>
      </vt:variant>
      <vt:variant>
        <vt:i4>1703988</vt:i4>
      </vt:variant>
      <vt:variant>
        <vt:i4>1403</vt:i4>
      </vt:variant>
      <vt:variant>
        <vt:i4>0</vt:i4>
      </vt:variant>
      <vt:variant>
        <vt:i4>5</vt:i4>
      </vt:variant>
      <vt:variant>
        <vt:lpwstr/>
      </vt:variant>
      <vt:variant>
        <vt:lpwstr>_Toc26690002</vt:lpwstr>
      </vt:variant>
      <vt:variant>
        <vt:i4>1638452</vt:i4>
      </vt:variant>
      <vt:variant>
        <vt:i4>1397</vt:i4>
      </vt:variant>
      <vt:variant>
        <vt:i4>0</vt:i4>
      </vt:variant>
      <vt:variant>
        <vt:i4>5</vt:i4>
      </vt:variant>
      <vt:variant>
        <vt:lpwstr/>
      </vt:variant>
      <vt:variant>
        <vt:lpwstr>_Toc26690001</vt:lpwstr>
      </vt:variant>
      <vt:variant>
        <vt:i4>1572916</vt:i4>
      </vt:variant>
      <vt:variant>
        <vt:i4>1391</vt:i4>
      </vt:variant>
      <vt:variant>
        <vt:i4>0</vt:i4>
      </vt:variant>
      <vt:variant>
        <vt:i4>5</vt:i4>
      </vt:variant>
      <vt:variant>
        <vt:lpwstr/>
      </vt:variant>
      <vt:variant>
        <vt:lpwstr>_Toc26690000</vt:lpwstr>
      </vt:variant>
      <vt:variant>
        <vt:i4>1638452</vt:i4>
      </vt:variant>
      <vt:variant>
        <vt:i4>1385</vt:i4>
      </vt:variant>
      <vt:variant>
        <vt:i4>0</vt:i4>
      </vt:variant>
      <vt:variant>
        <vt:i4>5</vt:i4>
      </vt:variant>
      <vt:variant>
        <vt:lpwstr/>
      </vt:variant>
      <vt:variant>
        <vt:lpwstr>_Toc26689999</vt:lpwstr>
      </vt:variant>
      <vt:variant>
        <vt:i4>1572916</vt:i4>
      </vt:variant>
      <vt:variant>
        <vt:i4>1379</vt:i4>
      </vt:variant>
      <vt:variant>
        <vt:i4>0</vt:i4>
      </vt:variant>
      <vt:variant>
        <vt:i4>5</vt:i4>
      </vt:variant>
      <vt:variant>
        <vt:lpwstr/>
      </vt:variant>
      <vt:variant>
        <vt:lpwstr>_Toc26689998</vt:lpwstr>
      </vt:variant>
      <vt:variant>
        <vt:i4>1507380</vt:i4>
      </vt:variant>
      <vt:variant>
        <vt:i4>1373</vt:i4>
      </vt:variant>
      <vt:variant>
        <vt:i4>0</vt:i4>
      </vt:variant>
      <vt:variant>
        <vt:i4>5</vt:i4>
      </vt:variant>
      <vt:variant>
        <vt:lpwstr/>
      </vt:variant>
      <vt:variant>
        <vt:lpwstr>_Toc26689997</vt:lpwstr>
      </vt:variant>
      <vt:variant>
        <vt:i4>1441844</vt:i4>
      </vt:variant>
      <vt:variant>
        <vt:i4>1367</vt:i4>
      </vt:variant>
      <vt:variant>
        <vt:i4>0</vt:i4>
      </vt:variant>
      <vt:variant>
        <vt:i4>5</vt:i4>
      </vt:variant>
      <vt:variant>
        <vt:lpwstr/>
      </vt:variant>
      <vt:variant>
        <vt:lpwstr>_Toc26689996</vt:lpwstr>
      </vt:variant>
      <vt:variant>
        <vt:i4>1376308</vt:i4>
      </vt:variant>
      <vt:variant>
        <vt:i4>1361</vt:i4>
      </vt:variant>
      <vt:variant>
        <vt:i4>0</vt:i4>
      </vt:variant>
      <vt:variant>
        <vt:i4>5</vt:i4>
      </vt:variant>
      <vt:variant>
        <vt:lpwstr/>
      </vt:variant>
      <vt:variant>
        <vt:lpwstr>_Toc26689995</vt:lpwstr>
      </vt:variant>
      <vt:variant>
        <vt:i4>1310772</vt:i4>
      </vt:variant>
      <vt:variant>
        <vt:i4>1355</vt:i4>
      </vt:variant>
      <vt:variant>
        <vt:i4>0</vt:i4>
      </vt:variant>
      <vt:variant>
        <vt:i4>5</vt:i4>
      </vt:variant>
      <vt:variant>
        <vt:lpwstr/>
      </vt:variant>
      <vt:variant>
        <vt:lpwstr>_Toc26689994</vt:lpwstr>
      </vt:variant>
      <vt:variant>
        <vt:i4>1245236</vt:i4>
      </vt:variant>
      <vt:variant>
        <vt:i4>1349</vt:i4>
      </vt:variant>
      <vt:variant>
        <vt:i4>0</vt:i4>
      </vt:variant>
      <vt:variant>
        <vt:i4>5</vt:i4>
      </vt:variant>
      <vt:variant>
        <vt:lpwstr/>
      </vt:variant>
      <vt:variant>
        <vt:lpwstr>_Toc26689993</vt:lpwstr>
      </vt:variant>
      <vt:variant>
        <vt:i4>1179700</vt:i4>
      </vt:variant>
      <vt:variant>
        <vt:i4>1343</vt:i4>
      </vt:variant>
      <vt:variant>
        <vt:i4>0</vt:i4>
      </vt:variant>
      <vt:variant>
        <vt:i4>5</vt:i4>
      </vt:variant>
      <vt:variant>
        <vt:lpwstr/>
      </vt:variant>
      <vt:variant>
        <vt:lpwstr>_Toc26689992</vt:lpwstr>
      </vt:variant>
      <vt:variant>
        <vt:i4>1114164</vt:i4>
      </vt:variant>
      <vt:variant>
        <vt:i4>1337</vt:i4>
      </vt:variant>
      <vt:variant>
        <vt:i4>0</vt:i4>
      </vt:variant>
      <vt:variant>
        <vt:i4>5</vt:i4>
      </vt:variant>
      <vt:variant>
        <vt:lpwstr/>
      </vt:variant>
      <vt:variant>
        <vt:lpwstr>_Toc26689991</vt:lpwstr>
      </vt:variant>
      <vt:variant>
        <vt:i4>1048628</vt:i4>
      </vt:variant>
      <vt:variant>
        <vt:i4>1331</vt:i4>
      </vt:variant>
      <vt:variant>
        <vt:i4>0</vt:i4>
      </vt:variant>
      <vt:variant>
        <vt:i4>5</vt:i4>
      </vt:variant>
      <vt:variant>
        <vt:lpwstr/>
      </vt:variant>
      <vt:variant>
        <vt:lpwstr>_Toc26689990</vt:lpwstr>
      </vt:variant>
      <vt:variant>
        <vt:i4>1638453</vt:i4>
      </vt:variant>
      <vt:variant>
        <vt:i4>1325</vt:i4>
      </vt:variant>
      <vt:variant>
        <vt:i4>0</vt:i4>
      </vt:variant>
      <vt:variant>
        <vt:i4>5</vt:i4>
      </vt:variant>
      <vt:variant>
        <vt:lpwstr/>
      </vt:variant>
      <vt:variant>
        <vt:lpwstr>_Toc26689989</vt:lpwstr>
      </vt:variant>
      <vt:variant>
        <vt:i4>1572917</vt:i4>
      </vt:variant>
      <vt:variant>
        <vt:i4>1319</vt:i4>
      </vt:variant>
      <vt:variant>
        <vt:i4>0</vt:i4>
      </vt:variant>
      <vt:variant>
        <vt:i4>5</vt:i4>
      </vt:variant>
      <vt:variant>
        <vt:lpwstr/>
      </vt:variant>
      <vt:variant>
        <vt:lpwstr>_Toc26689988</vt:lpwstr>
      </vt:variant>
      <vt:variant>
        <vt:i4>1507381</vt:i4>
      </vt:variant>
      <vt:variant>
        <vt:i4>1313</vt:i4>
      </vt:variant>
      <vt:variant>
        <vt:i4>0</vt:i4>
      </vt:variant>
      <vt:variant>
        <vt:i4>5</vt:i4>
      </vt:variant>
      <vt:variant>
        <vt:lpwstr/>
      </vt:variant>
      <vt:variant>
        <vt:lpwstr>_Toc26689987</vt:lpwstr>
      </vt:variant>
      <vt:variant>
        <vt:i4>1441845</vt:i4>
      </vt:variant>
      <vt:variant>
        <vt:i4>1307</vt:i4>
      </vt:variant>
      <vt:variant>
        <vt:i4>0</vt:i4>
      </vt:variant>
      <vt:variant>
        <vt:i4>5</vt:i4>
      </vt:variant>
      <vt:variant>
        <vt:lpwstr/>
      </vt:variant>
      <vt:variant>
        <vt:lpwstr>_Toc26689986</vt:lpwstr>
      </vt:variant>
      <vt:variant>
        <vt:i4>1376309</vt:i4>
      </vt:variant>
      <vt:variant>
        <vt:i4>1301</vt:i4>
      </vt:variant>
      <vt:variant>
        <vt:i4>0</vt:i4>
      </vt:variant>
      <vt:variant>
        <vt:i4>5</vt:i4>
      </vt:variant>
      <vt:variant>
        <vt:lpwstr/>
      </vt:variant>
      <vt:variant>
        <vt:lpwstr>_Toc26689985</vt:lpwstr>
      </vt:variant>
      <vt:variant>
        <vt:i4>1310773</vt:i4>
      </vt:variant>
      <vt:variant>
        <vt:i4>1295</vt:i4>
      </vt:variant>
      <vt:variant>
        <vt:i4>0</vt:i4>
      </vt:variant>
      <vt:variant>
        <vt:i4>5</vt:i4>
      </vt:variant>
      <vt:variant>
        <vt:lpwstr/>
      </vt:variant>
      <vt:variant>
        <vt:lpwstr>_Toc26689984</vt:lpwstr>
      </vt:variant>
      <vt:variant>
        <vt:i4>1245237</vt:i4>
      </vt:variant>
      <vt:variant>
        <vt:i4>1289</vt:i4>
      </vt:variant>
      <vt:variant>
        <vt:i4>0</vt:i4>
      </vt:variant>
      <vt:variant>
        <vt:i4>5</vt:i4>
      </vt:variant>
      <vt:variant>
        <vt:lpwstr/>
      </vt:variant>
      <vt:variant>
        <vt:lpwstr>_Toc26689983</vt:lpwstr>
      </vt:variant>
      <vt:variant>
        <vt:i4>1179701</vt:i4>
      </vt:variant>
      <vt:variant>
        <vt:i4>1283</vt:i4>
      </vt:variant>
      <vt:variant>
        <vt:i4>0</vt:i4>
      </vt:variant>
      <vt:variant>
        <vt:i4>5</vt:i4>
      </vt:variant>
      <vt:variant>
        <vt:lpwstr/>
      </vt:variant>
      <vt:variant>
        <vt:lpwstr>_Toc26689982</vt:lpwstr>
      </vt:variant>
      <vt:variant>
        <vt:i4>1114165</vt:i4>
      </vt:variant>
      <vt:variant>
        <vt:i4>1277</vt:i4>
      </vt:variant>
      <vt:variant>
        <vt:i4>0</vt:i4>
      </vt:variant>
      <vt:variant>
        <vt:i4>5</vt:i4>
      </vt:variant>
      <vt:variant>
        <vt:lpwstr/>
      </vt:variant>
      <vt:variant>
        <vt:lpwstr>_Toc26689981</vt:lpwstr>
      </vt:variant>
      <vt:variant>
        <vt:i4>1048629</vt:i4>
      </vt:variant>
      <vt:variant>
        <vt:i4>1271</vt:i4>
      </vt:variant>
      <vt:variant>
        <vt:i4>0</vt:i4>
      </vt:variant>
      <vt:variant>
        <vt:i4>5</vt:i4>
      </vt:variant>
      <vt:variant>
        <vt:lpwstr/>
      </vt:variant>
      <vt:variant>
        <vt:lpwstr>_Toc26689980</vt:lpwstr>
      </vt:variant>
      <vt:variant>
        <vt:i4>1638458</vt:i4>
      </vt:variant>
      <vt:variant>
        <vt:i4>1265</vt:i4>
      </vt:variant>
      <vt:variant>
        <vt:i4>0</vt:i4>
      </vt:variant>
      <vt:variant>
        <vt:i4>5</vt:i4>
      </vt:variant>
      <vt:variant>
        <vt:lpwstr/>
      </vt:variant>
      <vt:variant>
        <vt:lpwstr>_Toc26689979</vt:lpwstr>
      </vt:variant>
      <vt:variant>
        <vt:i4>1572922</vt:i4>
      </vt:variant>
      <vt:variant>
        <vt:i4>1259</vt:i4>
      </vt:variant>
      <vt:variant>
        <vt:i4>0</vt:i4>
      </vt:variant>
      <vt:variant>
        <vt:i4>5</vt:i4>
      </vt:variant>
      <vt:variant>
        <vt:lpwstr/>
      </vt:variant>
      <vt:variant>
        <vt:lpwstr>_Toc26689978</vt:lpwstr>
      </vt:variant>
      <vt:variant>
        <vt:i4>1507386</vt:i4>
      </vt:variant>
      <vt:variant>
        <vt:i4>1253</vt:i4>
      </vt:variant>
      <vt:variant>
        <vt:i4>0</vt:i4>
      </vt:variant>
      <vt:variant>
        <vt:i4>5</vt:i4>
      </vt:variant>
      <vt:variant>
        <vt:lpwstr/>
      </vt:variant>
      <vt:variant>
        <vt:lpwstr>_Toc26689977</vt:lpwstr>
      </vt:variant>
      <vt:variant>
        <vt:i4>1441850</vt:i4>
      </vt:variant>
      <vt:variant>
        <vt:i4>1247</vt:i4>
      </vt:variant>
      <vt:variant>
        <vt:i4>0</vt:i4>
      </vt:variant>
      <vt:variant>
        <vt:i4>5</vt:i4>
      </vt:variant>
      <vt:variant>
        <vt:lpwstr/>
      </vt:variant>
      <vt:variant>
        <vt:lpwstr>_Toc26689976</vt:lpwstr>
      </vt:variant>
      <vt:variant>
        <vt:i4>1376314</vt:i4>
      </vt:variant>
      <vt:variant>
        <vt:i4>1241</vt:i4>
      </vt:variant>
      <vt:variant>
        <vt:i4>0</vt:i4>
      </vt:variant>
      <vt:variant>
        <vt:i4>5</vt:i4>
      </vt:variant>
      <vt:variant>
        <vt:lpwstr/>
      </vt:variant>
      <vt:variant>
        <vt:lpwstr>_Toc26689975</vt:lpwstr>
      </vt:variant>
      <vt:variant>
        <vt:i4>1310778</vt:i4>
      </vt:variant>
      <vt:variant>
        <vt:i4>1235</vt:i4>
      </vt:variant>
      <vt:variant>
        <vt:i4>0</vt:i4>
      </vt:variant>
      <vt:variant>
        <vt:i4>5</vt:i4>
      </vt:variant>
      <vt:variant>
        <vt:lpwstr/>
      </vt:variant>
      <vt:variant>
        <vt:lpwstr>_Toc26689974</vt:lpwstr>
      </vt:variant>
      <vt:variant>
        <vt:i4>1245242</vt:i4>
      </vt:variant>
      <vt:variant>
        <vt:i4>1229</vt:i4>
      </vt:variant>
      <vt:variant>
        <vt:i4>0</vt:i4>
      </vt:variant>
      <vt:variant>
        <vt:i4>5</vt:i4>
      </vt:variant>
      <vt:variant>
        <vt:lpwstr/>
      </vt:variant>
      <vt:variant>
        <vt:lpwstr>_Toc26689973</vt:lpwstr>
      </vt:variant>
      <vt:variant>
        <vt:i4>1179706</vt:i4>
      </vt:variant>
      <vt:variant>
        <vt:i4>1223</vt:i4>
      </vt:variant>
      <vt:variant>
        <vt:i4>0</vt:i4>
      </vt:variant>
      <vt:variant>
        <vt:i4>5</vt:i4>
      </vt:variant>
      <vt:variant>
        <vt:lpwstr/>
      </vt:variant>
      <vt:variant>
        <vt:lpwstr>_Toc26689972</vt:lpwstr>
      </vt:variant>
      <vt:variant>
        <vt:i4>1114170</vt:i4>
      </vt:variant>
      <vt:variant>
        <vt:i4>1217</vt:i4>
      </vt:variant>
      <vt:variant>
        <vt:i4>0</vt:i4>
      </vt:variant>
      <vt:variant>
        <vt:i4>5</vt:i4>
      </vt:variant>
      <vt:variant>
        <vt:lpwstr/>
      </vt:variant>
      <vt:variant>
        <vt:lpwstr>_Toc26689971</vt:lpwstr>
      </vt:variant>
      <vt:variant>
        <vt:i4>1048634</vt:i4>
      </vt:variant>
      <vt:variant>
        <vt:i4>1211</vt:i4>
      </vt:variant>
      <vt:variant>
        <vt:i4>0</vt:i4>
      </vt:variant>
      <vt:variant>
        <vt:i4>5</vt:i4>
      </vt:variant>
      <vt:variant>
        <vt:lpwstr/>
      </vt:variant>
      <vt:variant>
        <vt:lpwstr>_Toc26689970</vt:lpwstr>
      </vt:variant>
      <vt:variant>
        <vt:i4>1638459</vt:i4>
      </vt:variant>
      <vt:variant>
        <vt:i4>1205</vt:i4>
      </vt:variant>
      <vt:variant>
        <vt:i4>0</vt:i4>
      </vt:variant>
      <vt:variant>
        <vt:i4>5</vt:i4>
      </vt:variant>
      <vt:variant>
        <vt:lpwstr/>
      </vt:variant>
      <vt:variant>
        <vt:lpwstr>_Toc26689969</vt:lpwstr>
      </vt:variant>
      <vt:variant>
        <vt:i4>1572923</vt:i4>
      </vt:variant>
      <vt:variant>
        <vt:i4>1199</vt:i4>
      </vt:variant>
      <vt:variant>
        <vt:i4>0</vt:i4>
      </vt:variant>
      <vt:variant>
        <vt:i4>5</vt:i4>
      </vt:variant>
      <vt:variant>
        <vt:lpwstr/>
      </vt:variant>
      <vt:variant>
        <vt:lpwstr>_Toc26689968</vt:lpwstr>
      </vt:variant>
      <vt:variant>
        <vt:i4>1507387</vt:i4>
      </vt:variant>
      <vt:variant>
        <vt:i4>1193</vt:i4>
      </vt:variant>
      <vt:variant>
        <vt:i4>0</vt:i4>
      </vt:variant>
      <vt:variant>
        <vt:i4>5</vt:i4>
      </vt:variant>
      <vt:variant>
        <vt:lpwstr/>
      </vt:variant>
      <vt:variant>
        <vt:lpwstr>_Toc26689967</vt:lpwstr>
      </vt:variant>
      <vt:variant>
        <vt:i4>1441851</vt:i4>
      </vt:variant>
      <vt:variant>
        <vt:i4>1187</vt:i4>
      </vt:variant>
      <vt:variant>
        <vt:i4>0</vt:i4>
      </vt:variant>
      <vt:variant>
        <vt:i4>5</vt:i4>
      </vt:variant>
      <vt:variant>
        <vt:lpwstr/>
      </vt:variant>
      <vt:variant>
        <vt:lpwstr>_Toc26689966</vt:lpwstr>
      </vt:variant>
      <vt:variant>
        <vt:i4>1376315</vt:i4>
      </vt:variant>
      <vt:variant>
        <vt:i4>1181</vt:i4>
      </vt:variant>
      <vt:variant>
        <vt:i4>0</vt:i4>
      </vt:variant>
      <vt:variant>
        <vt:i4>5</vt:i4>
      </vt:variant>
      <vt:variant>
        <vt:lpwstr/>
      </vt:variant>
      <vt:variant>
        <vt:lpwstr>_Toc26689965</vt:lpwstr>
      </vt:variant>
      <vt:variant>
        <vt:i4>1310779</vt:i4>
      </vt:variant>
      <vt:variant>
        <vt:i4>1175</vt:i4>
      </vt:variant>
      <vt:variant>
        <vt:i4>0</vt:i4>
      </vt:variant>
      <vt:variant>
        <vt:i4>5</vt:i4>
      </vt:variant>
      <vt:variant>
        <vt:lpwstr/>
      </vt:variant>
      <vt:variant>
        <vt:lpwstr>_Toc26689964</vt:lpwstr>
      </vt:variant>
      <vt:variant>
        <vt:i4>1245243</vt:i4>
      </vt:variant>
      <vt:variant>
        <vt:i4>1169</vt:i4>
      </vt:variant>
      <vt:variant>
        <vt:i4>0</vt:i4>
      </vt:variant>
      <vt:variant>
        <vt:i4>5</vt:i4>
      </vt:variant>
      <vt:variant>
        <vt:lpwstr/>
      </vt:variant>
      <vt:variant>
        <vt:lpwstr>_Toc26689963</vt:lpwstr>
      </vt:variant>
      <vt:variant>
        <vt:i4>1179707</vt:i4>
      </vt:variant>
      <vt:variant>
        <vt:i4>1163</vt:i4>
      </vt:variant>
      <vt:variant>
        <vt:i4>0</vt:i4>
      </vt:variant>
      <vt:variant>
        <vt:i4>5</vt:i4>
      </vt:variant>
      <vt:variant>
        <vt:lpwstr/>
      </vt:variant>
      <vt:variant>
        <vt:lpwstr>_Toc26689962</vt:lpwstr>
      </vt:variant>
      <vt:variant>
        <vt:i4>1114171</vt:i4>
      </vt:variant>
      <vt:variant>
        <vt:i4>1157</vt:i4>
      </vt:variant>
      <vt:variant>
        <vt:i4>0</vt:i4>
      </vt:variant>
      <vt:variant>
        <vt:i4>5</vt:i4>
      </vt:variant>
      <vt:variant>
        <vt:lpwstr/>
      </vt:variant>
      <vt:variant>
        <vt:lpwstr>_Toc26689961</vt:lpwstr>
      </vt:variant>
      <vt:variant>
        <vt:i4>1048635</vt:i4>
      </vt:variant>
      <vt:variant>
        <vt:i4>1151</vt:i4>
      </vt:variant>
      <vt:variant>
        <vt:i4>0</vt:i4>
      </vt:variant>
      <vt:variant>
        <vt:i4>5</vt:i4>
      </vt:variant>
      <vt:variant>
        <vt:lpwstr/>
      </vt:variant>
      <vt:variant>
        <vt:lpwstr>_Toc26689960</vt:lpwstr>
      </vt:variant>
      <vt:variant>
        <vt:i4>1638456</vt:i4>
      </vt:variant>
      <vt:variant>
        <vt:i4>1145</vt:i4>
      </vt:variant>
      <vt:variant>
        <vt:i4>0</vt:i4>
      </vt:variant>
      <vt:variant>
        <vt:i4>5</vt:i4>
      </vt:variant>
      <vt:variant>
        <vt:lpwstr/>
      </vt:variant>
      <vt:variant>
        <vt:lpwstr>_Toc26689959</vt:lpwstr>
      </vt:variant>
      <vt:variant>
        <vt:i4>1572920</vt:i4>
      </vt:variant>
      <vt:variant>
        <vt:i4>1139</vt:i4>
      </vt:variant>
      <vt:variant>
        <vt:i4>0</vt:i4>
      </vt:variant>
      <vt:variant>
        <vt:i4>5</vt:i4>
      </vt:variant>
      <vt:variant>
        <vt:lpwstr/>
      </vt:variant>
      <vt:variant>
        <vt:lpwstr>_Toc26689958</vt:lpwstr>
      </vt:variant>
      <vt:variant>
        <vt:i4>1507384</vt:i4>
      </vt:variant>
      <vt:variant>
        <vt:i4>1133</vt:i4>
      </vt:variant>
      <vt:variant>
        <vt:i4>0</vt:i4>
      </vt:variant>
      <vt:variant>
        <vt:i4>5</vt:i4>
      </vt:variant>
      <vt:variant>
        <vt:lpwstr/>
      </vt:variant>
      <vt:variant>
        <vt:lpwstr>_Toc26689957</vt:lpwstr>
      </vt:variant>
      <vt:variant>
        <vt:i4>1441848</vt:i4>
      </vt:variant>
      <vt:variant>
        <vt:i4>1127</vt:i4>
      </vt:variant>
      <vt:variant>
        <vt:i4>0</vt:i4>
      </vt:variant>
      <vt:variant>
        <vt:i4>5</vt:i4>
      </vt:variant>
      <vt:variant>
        <vt:lpwstr/>
      </vt:variant>
      <vt:variant>
        <vt:lpwstr>_Toc26689956</vt:lpwstr>
      </vt:variant>
      <vt:variant>
        <vt:i4>1376312</vt:i4>
      </vt:variant>
      <vt:variant>
        <vt:i4>1121</vt:i4>
      </vt:variant>
      <vt:variant>
        <vt:i4>0</vt:i4>
      </vt:variant>
      <vt:variant>
        <vt:i4>5</vt:i4>
      </vt:variant>
      <vt:variant>
        <vt:lpwstr/>
      </vt:variant>
      <vt:variant>
        <vt:lpwstr>_Toc26689955</vt:lpwstr>
      </vt:variant>
      <vt:variant>
        <vt:i4>1310776</vt:i4>
      </vt:variant>
      <vt:variant>
        <vt:i4>1115</vt:i4>
      </vt:variant>
      <vt:variant>
        <vt:i4>0</vt:i4>
      </vt:variant>
      <vt:variant>
        <vt:i4>5</vt:i4>
      </vt:variant>
      <vt:variant>
        <vt:lpwstr/>
      </vt:variant>
      <vt:variant>
        <vt:lpwstr>_Toc26689954</vt:lpwstr>
      </vt:variant>
      <vt:variant>
        <vt:i4>1245240</vt:i4>
      </vt:variant>
      <vt:variant>
        <vt:i4>1109</vt:i4>
      </vt:variant>
      <vt:variant>
        <vt:i4>0</vt:i4>
      </vt:variant>
      <vt:variant>
        <vt:i4>5</vt:i4>
      </vt:variant>
      <vt:variant>
        <vt:lpwstr/>
      </vt:variant>
      <vt:variant>
        <vt:lpwstr>_Toc26689953</vt:lpwstr>
      </vt:variant>
      <vt:variant>
        <vt:i4>1179704</vt:i4>
      </vt:variant>
      <vt:variant>
        <vt:i4>1103</vt:i4>
      </vt:variant>
      <vt:variant>
        <vt:i4>0</vt:i4>
      </vt:variant>
      <vt:variant>
        <vt:i4>5</vt:i4>
      </vt:variant>
      <vt:variant>
        <vt:lpwstr/>
      </vt:variant>
      <vt:variant>
        <vt:lpwstr>_Toc26689952</vt:lpwstr>
      </vt:variant>
      <vt:variant>
        <vt:i4>1114168</vt:i4>
      </vt:variant>
      <vt:variant>
        <vt:i4>1097</vt:i4>
      </vt:variant>
      <vt:variant>
        <vt:i4>0</vt:i4>
      </vt:variant>
      <vt:variant>
        <vt:i4>5</vt:i4>
      </vt:variant>
      <vt:variant>
        <vt:lpwstr/>
      </vt:variant>
      <vt:variant>
        <vt:lpwstr>_Toc26689951</vt:lpwstr>
      </vt:variant>
      <vt:variant>
        <vt:i4>1048632</vt:i4>
      </vt:variant>
      <vt:variant>
        <vt:i4>1091</vt:i4>
      </vt:variant>
      <vt:variant>
        <vt:i4>0</vt:i4>
      </vt:variant>
      <vt:variant>
        <vt:i4>5</vt:i4>
      </vt:variant>
      <vt:variant>
        <vt:lpwstr/>
      </vt:variant>
      <vt:variant>
        <vt:lpwstr>_Toc26689950</vt:lpwstr>
      </vt:variant>
      <vt:variant>
        <vt:i4>1638457</vt:i4>
      </vt:variant>
      <vt:variant>
        <vt:i4>1085</vt:i4>
      </vt:variant>
      <vt:variant>
        <vt:i4>0</vt:i4>
      </vt:variant>
      <vt:variant>
        <vt:i4>5</vt:i4>
      </vt:variant>
      <vt:variant>
        <vt:lpwstr/>
      </vt:variant>
      <vt:variant>
        <vt:lpwstr>_Toc26689949</vt:lpwstr>
      </vt:variant>
      <vt:variant>
        <vt:i4>1572921</vt:i4>
      </vt:variant>
      <vt:variant>
        <vt:i4>1079</vt:i4>
      </vt:variant>
      <vt:variant>
        <vt:i4>0</vt:i4>
      </vt:variant>
      <vt:variant>
        <vt:i4>5</vt:i4>
      </vt:variant>
      <vt:variant>
        <vt:lpwstr/>
      </vt:variant>
      <vt:variant>
        <vt:lpwstr>_Toc26689948</vt:lpwstr>
      </vt:variant>
      <vt:variant>
        <vt:i4>1507385</vt:i4>
      </vt:variant>
      <vt:variant>
        <vt:i4>1073</vt:i4>
      </vt:variant>
      <vt:variant>
        <vt:i4>0</vt:i4>
      </vt:variant>
      <vt:variant>
        <vt:i4>5</vt:i4>
      </vt:variant>
      <vt:variant>
        <vt:lpwstr/>
      </vt:variant>
      <vt:variant>
        <vt:lpwstr>_Toc26689947</vt:lpwstr>
      </vt:variant>
      <vt:variant>
        <vt:i4>1441849</vt:i4>
      </vt:variant>
      <vt:variant>
        <vt:i4>1067</vt:i4>
      </vt:variant>
      <vt:variant>
        <vt:i4>0</vt:i4>
      </vt:variant>
      <vt:variant>
        <vt:i4>5</vt:i4>
      </vt:variant>
      <vt:variant>
        <vt:lpwstr/>
      </vt:variant>
      <vt:variant>
        <vt:lpwstr>_Toc26689946</vt:lpwstr>
      </vt:variant>
      <vt:variant>
        <vt:i4>1376313</vt:i4>
      </vt:variant>
      <vt:variant>
        <vt:i4>1061</vt:i4>
      </vt:variant>
      <vt:variant>
        <vt:i4>0</vt:i4>
      </vt:variant>
      <vt:variant>
        <vt:i4>5</vt:i4>
      </vt:variant>
      <vt:variant>
        <vt:lpwstr/>
      </vt:variant>
      <vt:variant>
        <vt:lpwstr>_Toc26689945</vt:lpwstr>
      </vt:variant>
      <vt:variant>
        <vt:i4>1310777</vt:i4>
      </vt:variant>
      <vt:variant>
        <vt:i4>1055</vt:i4>
      </vt:variant>
      <vt:variant>
        <vt:i4>0</vt:i4>
      </vt:variant>
      <vt:variant>
        <vt:i4>5</vt:i4>
      </vt:variant>
      <vt:variant>
        <vt:lpwstr/>
      </vt:variant>
      <vt:variant>
        <vt:lpwstr>_Toc26689944</vt:lpwstr>
      </vt:variant>
      <vt:variant>
        <vt:i4>1245241</vt:i4>
      </vt:variant>
      <vt:variant>
        <vt:i4>1049</vt:i4>
      </vt:variant>
      <vt:variant>
        <vt:i4>0</vt:i4>
      </vt:variant>
      <vt:variant>
        <vt:i4>5</vt:i4>
      </vt:variant>
      <vt:variant>
        <vt:lpwstr/>
      </vt:variant>
      <vt:variant>
        <vt:lpwstr>_Toc26689943</vt:lpwstr>
      </vt:variant>
      <vt:variant>
        <vt:i4>1179705</vt:i4>
      </vt:variant>
      <vt:variant>
        <vt:i4>1043</vt:i4>
      </vt:variant>
      <vt:variant>
        <vt:i4>0</vt:i4>
      </vt:variant>
      <vt:variant>
        <vt:i4>5</vt:i4>
      </vt:variant>
      <vt:variant>
        <vt:lpwstr/>
      </vt:variant>
      <vt:variant>
        <vt:lpwstr>_Toc26689942</vt:lpwstr>
      </vt:variant>
      <vt:variant>
        <vt:i4>1114169</vt:i4>
      </vt:variant>
      <vt:variant>
        <vt:i4>1037</vt:i4>
      </vt:variant>
      <vt:variant>
        <vt:i4>0</vt:i4>
      </vt:variant>
      <vt:variant>
        <vt:i4>5</vt:i4>
      </vt:variant>
      <vt:variant>
        <vt:lpwstr/>
      </vt:variant>
      <vt:variant>
        <vt:lpwstr>_Toc26689941</vt:lpwstr>
      </vt:variant>
      <vt:variant>
        <vt:i4>1048633</vt:i4>
      </vt:variant>
      <vt:variant>
        <vt:i4>1031</vt:i4>
      </vt:variant>
      <vt:variant>
        <vt:i4>0</vt:i4>
      </vt:variant>
      <vt:variant>
        <vt:i4>5</vt:i4>
      </vt:variant>
      <vt:variant>
        <vt:lpwstr/>
      </vt:variant>
      <vt:variant>
        <vt:lpwstr>_Toc26689940</vt:lpwstr>
      </vt:variant>
      <vt:variant>
        <vt:i4>1638462</vt:i4>
      </vt:variant>
      <vt:variant>
        <vt:i4>1025</vt:i4>
      </vt:variant>
      <vt:variant>
        <vt:i4>0</vt:i4>
      </vt:variant>
      <vt:variant>
        <vt:i4>5</vt:i4>
      </vt:variant>
      <vt:variant>
        <vt:lpwstr/>
      </vt:variant>
      <vt:variant>
        <vt:lpwstr>_Toc26689939</vt:lpwstr>
      </vt:variant>
      <vt:variant>
        <vt:i4>1572926</vt:i4>
      </vt:variant>
      <vt:variant>
        <vt:i4>1019</vt:i4>
      </vt:variant>
      <vt:variant>
        <vt:i4>0</vt:i4>
      </vt:variant>
      <vt:variant>
        <vt:i4>5</vt:i4>
      </vt:variant>
      <vt:variant>
        <vt:lpwstr/>
      </vt:variant>
      <vt:variant>
        <vt:lpwstr>_Toc26689938</vt:lpwstr>
      </vt:variant>
      <vt:variant>
        <vt:i4>1507390</vt:i4>
      </vt:variant>
      <vt:variant>
        <vt:i4>1013</vt:i4>
      </vt:variant>
      <vt:variant>
        <vt:i4>0</vt:i4>
      </vt:variant>
      <vt:variant>
        <vt:i4>5</vt:i4>
      </vt:variant>
      <vt:variant>
        <vt:lpwstr/>
      </vt:variant>
      <vt:variant>
        <vt:lpwstr>_Toc26689937</vt:lpwstr>
      </vt:variant>
      <vt:variant>
        <vt:i4>1441854</vt:i4>
      </vt:variant>
      <vt:variant>
        <vt:i4>1007</vt:i4>
      </vt:variant>
      <vt:variant>
        <vt:i4>0</vt:i4>
      </vt:variant>
      <vt:variant>
        <vt:i4>5</vt:i4>
      </vt:variant>
      <vt:variant>
        <vt:lpwstr/>
      </vt:variant>
      <vt:variant>
        <vt:lpwstr>_Toc26689936</vt:lpwstr>
      </vt:variant>
      <vt:variant>
        <vt:i4>1376318</vt:i4>
      </vt:variant>
      <vt:variant>
        <vt:i4>1001</vt:i4>
      </vt:variant>
      <vt:variant>
        <vt:i4>0</vt:i4>
      </vt:variant>
      <vt:variant>
        <vt:i4>5</vt:i4>
      </vt:variant>
      <vt:variant>
        <vt:lpwstr/>
      </vt:variant>
      <vt:variant>
        <vt:lpwstr>_Toc26689935</vt:lpwstr>
      </vt:variant>
      <vt:variant>
        <vt:i4>1310782</vt:i4>
      </vt:variant>
      <vt:variant>
        <vt:i4>995</vt:i4>
      </vt:variant>
      <vt:variant>
        <vt:i4>0</vt:i4>
      </vt:variant>
      <vt:variant>
        <vt:i4>5</vt:i4>
      </vt:variant>
      <vt:variant>
        <vt:lpwstr/>
      </vt:variant>
      <vt:variant>
        <vt:lpwstr>_Toc26689934</vt:lpwstr>
      </vt:variant>
      <vt:variant>
        <vt:i4>1245246</vt:i4>
      </vt:variant>
      <vt:variant>
        <vt:i4>989</vt:i4>
      </vt:variant>
      <vt:variant>
        <vt:i4>0</vt:i4>
      </vt:variant>
      <vt:variant>
        <vt:i4>5</vt:i4>
      </vt:variant>
      <vt:variant>
        <vt:lpwstr/>
      </vt:variant>
      <vt:variant>
        <vt:lpwstr>_Toc26689933</vt:lpwstr>
      </vt:variant>
      <vt:variant>
        <vt:i4>1179710</vt:i4>
      </vt:variant>
      <vt:variant>
        <vt:i4>983</vt:i4>
      </vt:variant>
      <vt:variant>
        <vt:i4>0</vt:i4>
      </vt:variant>
      <vt:variant>
        <vt:i4>5</vt:i4>
      </vt:variant>
      <vt:variant>
        <vt:lpwstr/>
      </vt:variant>
      <vt:variant>
        <vt:lpwstr>_Toc26689932</vt:lpwstr>
      </vt:variant>
      <vt:variant>
        <vt:i4>1114174</vt:i4>
      </vt:variant>
      <vt:variant>
        <vt:i4>977</vt:i4>
      </vt:variant>
      <vt:variant>
        <vt:i4>0</vt:i4>
      </vt:variant>
      <vt:variant>
        <vt:i4>5</vt:i4>
      </vt:variant>
      <vt:variant>
        <vt:lpwstr/>
      </vt:variant>
      <vt:variant>
        <vt:lpwstr>_Toc26689931</vt:lpwstr>
      </vt:variant>
      <vt:variant>
        <vt:i4>1048638</vt:i4>
      </vt:variant>
      <vt:variant>
        <vt:i4>971</vt:i4>
      </vt:variant>
      <vt:variant>
        <vt:i4>0</vt:i4>
      </vt:variant>
      <vt:variant>
        <vt:i4>5</vt:i4>
      </vt:variant>
      <vt:variant>
        <vt:lpwstr/>
      </vt:variant>
      <vt:variant>
        <vt:lpwstr>_Toc26689930</vt:lpwstr>
      </vt:variant>
      <vt:variant>
        <vt:i4>1638463</vt:i4>
      </vt:variant>
      <vt:variant>
        <vt:i4>965</vt:i4>
      </vt:variant>
      <vt:variant>
        <vt:i4>0</vt:i4>
      </vt:variant>
      <vt:variant>
        <vt:i4>5</vt:i4>
      </vt:variant>
      <vt:variant>
        <vt:lpwstr/>
      </vt:variant>
      <vt:variant>
        <vt:lpwstr>_Toc26689929</vt:lpwstr>
      </vt:variant>
      <vt:variant>
        <vt:i4>1572927</vt:i4>
      </vt:variant>
      <vt:variant>
        <vt:i4>959</vt:i4>
      </vt:variant>
      <vt:variant>
        <vt:i4>0</vt:i4>
      </vt:variant>
      <vt:variant>
        <vt:i4>5</vt:i4>
      </vt:variant>
      <vt:variant>
        <vt:lpwstr/>
      </vt:variant>
      <vt:variant>
        <vt:lpwstr>_Toc26689928</vt:lpwstr>
      </vt:variant>
      <vt:variant>
        <vt:i4>1507391</vt:i4>
      </vt:variant>
      <vt:variant>
        <vt:i4>953</vt:i4>
      </vt:variant>
      <vt:variant>
        <vt:i4>0</vt:i4>
      </vt:variant>
      <vt:variant>
        <vt:i4>5</vt:i4>
      </vt:variant>
      <vt:variant>
        <vt:lpwstr/>
      </vt:variant>
      <vt:variant>
        <vt:lpwstr>_Toc26689927</vt:lpwstr>
      </vt:variant>
      <vt:variant>
        <vt:i4>1441855</vt:i4>
      </vt:variant>
      <vt:variant>
        <vt:i4>947</vt:i4>
      </vt:variant>
      <vt:variant>
        <vt:i4>0</vt:i4>
      </vt:variant>
      <vt:variant>
        <vt:i4>5</vt:i4>
      </vt:variant>
      <vt:variant>
        <vt:lpwstr/>
      </vt:variant>
      <vt:variant>
        <vt:lpwstr>_Toc26689926</vt:lpwstr>
      </vt:variant>
      <vt:variant>
        <vt:i4>1376319</vt:i4>
      </vt:variant>
      <vt:variant>
        <vt:i4>941</vt:i4>
      </vt:variant>
      <vt:variant>
        <vt:i4>0</vt:i4>
      </vt:variant>
      <vt:variant>
        <vt:i4>5</vt:i4>
      </vt:variant>
      <vt:variant>
        <vt:lpwstr/>
      </vt:variant>
      <vt:variant>
        <vt:lpwstr>_Toc26689925</vt:lpwstr>
      </vt:variant>
      <vt:variant>
        <vt:i4>1310783</vt:i4>
      </vt:variant>
      <vt:variant>
        <vt:i4>935</vt:i4>
      </vt:variant>
      <vt:variant>
        <vt:i4>0</vt:i4>
      </vt:variant>
      <vt:variant>
        <vt:i4>5</vt:i4>
      </vt:variant>
      <vt:variant>
        <vt:lpwstr/>
      </vt:variant>
      <vt:variant>
        <vt:lpwstr>_Toc26689924</vt:lpwstr>
      </vt:variant>
      <vt:variant>
        <vt:i4>1245247</vt:i4>
      </vt:variant>
      <vt:variant>
        <vt:i4>929</vt:i4>
      </vt:variant>
      <vt:variant>
        <vt:i4>0</vt:i4>
      </vt:variant>
      <vt:variant>
        <vt:i4>5</vt:i4>
      </vt:variant>
      <vt:variant>
        <vt:lpwstr/>
      </vt:variant>
      <vt:variant>
        <vt:lpwstr>_Toc26689923</vt:lpwstr>
      </vt:variant>
      <vt:variant>
        <vt:i4>1179711</vt:i4>
      </vt:variant>
      <vt:variant>
        <vt:i4>923</vt:i4>
      </vt:variant>
      <vt:variant>
        <vt:i4>0</vt:i4>
      </vt:variant>
      <vt:variant>
        <vt:i4>5</vt:i4>
      </vt:variant>
      <vt:variant>
        <vt:lpwstr/>
      </vt:variant>
      <vt:variant>
        <vt:lpwstr>_Toc26689922</vt:lpwstr>
      </vt:variant>
      <vt:variant>
        <vt:i4>1114175</vt:i4>
      </vt:variant>
      <vt:variant>
        <vt:i4>917</vt:i4>
      </vt:variant>
      <vt:variant>
        <vt:i4>0</vt:i4>
      </vt:variant>
      <vt:variant>
        <vt:i4>5</vt:i4>
      </vt:variant>
      <vt:variant>
        <vt:lpwstr/>
      </vt:variant>
      <vt:variant>
        <vt:lpwstr>_Toc26689921</vt:lpwstr>
      </vt:variant>
      <vt:variant>
        <vt:i4>1048639</vt:i4>
      </vt:variant>
      <vt:variant>
        <vt:i4>911</vt:i4>
      </vt:variant>
      <vt:variant>
        <vt:i4>0</vt:i4>
      </vt:variant>
      <vt:variant>
        <vt:i4>5</vt:i4>
      </vt:variant>
      <vt:variant>
        <vt:lpwstr/>
      </vt:variant>
      <vt:variant>
        <vt:lpwstr>_Toc26689920</vt:lpwstr>
      </vt:variant>
      <vt:variant>
        <vt:i4>1638460</vt:i4>
      </vt:variant>
      <vt:variant>
        <vt:i4>905</vt:i4>
      </vt:variant>
      <vt:variant>
        <vt:i4>0</vt:i4>
      </vt:variant>
      <vt:variant>
        <vt:i4>5</vt:i4>
      </vt:variant>
      <vt:variant>
        <vt:lpwstr/>
      </vt:variant>
      <vt:variant>
        <vt:lpwstr>_Toc26689919</vt:lpwstr>
      </vt:variant>
      <vt:variant>
        <vt:i4>1572924</vt:i4>
      </vt:variant>
      <vt:variant>
        <vt:i4>899</vt:i4>
      </vt:variant>
      <vt:variant>
        <vt:i4>0</vt:i4>
      </vt:variant>
      <vt:variant>
        <vt:i4>5</vt:i4>
      </vt:variant>
      <vt:variant>
        <vt:lpwstr/>
      </vt:variant>
      <vt:variant>
        <vt:lpwstr>_Toc26689918</vt:lpwstr>
      </vt:variant>
      <vt:variant>
        <vt:i4>1507388</vt:i4>
      </vt:variant>
      <vt:variant>
        <vt:i4>893</vt:i4>
      </vt:variant>
      <vt:variant>
        <vt:i4>0</vt:i4>
      </vt:variant>
      <vt:variant>
        <vt:i4>5</vt:i4>
      </vt:variant>
      <vt:variant>
        <vt:lpwstr/>
      </vt:variant>
      <vt:variant>
        <vt:lpwstr>_Toc26689917</vt:lpwstr>
      </vt:variant>
      <vt:variant>
        <vt:i4>1441852</vt:i4>
      </vt:variant>
      <vt:variant>
        <vt:i4>887</vt:i4>
      </vt:variant>
      <vt:variant>
        <vt:i4>0</vt:i4>
      </vt:variant>
      <vt:variant>
        <vt:i4>5</vt:i4>
      </vt:variant>
      <vt:variant>
        <vt:lpwstr/>
      </vt:variant>
      <vt:variant>
        <vt:lpwstr>_Toc26689916</vt:lpwstr>
      </vt:variant>
      <vt:variant>
        <vt:i4>1376316</vt:i4>
      </vt:variant>
      <vt:variant>
        <vt:i4>881</vt:i4>
      </vt:variant>
      <vt:variant>
        <vt:i4>0</vt:i4>
      </vt:variant>
      <vt:variant>
        <vt:i4>5</vt:i4>
      </vt:variant>
      <vt:variant>
        <vt:lpwstr/>
      </vt:variant>
      <vt:variant>
        <vt:lpwstr>_Toc26689915</vt:lpwstr>
      </vt:variant>
      <vt:variant>
        <vt:i4>1310780</vt:i4>
      </vt:variant>
      <vt:variant>
        <vt:i4>875</vt:i4>
      </vt:variant>
      <vt:variant>
        <vt:i4>0</vt:i4>
      </vt:variant>
      <vt:variant>
        <vt:i4>5</vt:i4>
      </vt:variant>
      <vt:variant>
        <vt:lpwstr/>
      </vt:variant>
      <vt:variant>
        <vt:lpwstr>_Toc26689914</vt:lpwstr>
      </vt:variant>
      <vt:variant>
        <vt:i4>1245244</vt:i4>
      </vt:variant>
      <vt:variant>
        <vt:i4>869</vt:i4>
      </vt:variant>
      <vt:variant>
        <vt:i4>0</vt:i4>
      </vt:variant>
      <vt:variant>
        <vt:i4>5</vt:i4>
      </vt:variant>
      <vt:variant>
        <vt:lpwstr/>
      </vt:variant>
      <vt:variant>
        <vt:lpwstr>_Toc26689913</vt:lpwstr>
      </vt:variant>
      <vt:variant>
        <vt:i4>1179708</vt:i4>
      </vt:variant>
      <vt:variant>
        <vt:i4>863</vt:i4>
      </vt:variant>
      <vt:variant>
        <vt:i4>0</vt:i4>
      </vt:variant>
      <vt:variant>
        <vt:i4>5</vt:i4>
      </vt:variant>
      <vt:variant>
        <vt:lpwstr/>
      </vt:variant>
      <vt:variant>
        <vt:lpwstr>_Toc26689912</vt:lpwstr>
      </vt:variant>
      <vt:variant>
        <vt:i4>1114172</vt:i4>
      </vt:variant>
      <vt:variant>
        <vt:i4>857</vt:i4>
      </vt:variant>
      <vt:variant>
        <vt:i4>0</vt:i4>
      </vt:variant>
      <vt:variant>
        <vt:i4>5</vt:i4>
      </vt:variant>
      <vt:variant>
        <vt:lpwstr/>
      </vt:variant>
      <vt:variant>
        <vt:lpwstr>_Toc26689911</vt:lpwstr>
      </vt:variant>
      <vt:variant>
        <vt:i4>1048636</vt:i4>
      </vt:variant>
      <vt:variant>
        <vt:i4>851</vt:i4>
      </vt:variant>
      <vt:variant>
        <vt:i4>0</vt:i4>
      </vt:variant>
      <vt:variant>
        <vt:i4>5</vt:i4>
      </vt:variant>
      <vt:variant>
        <vt:lpwstr/>
      </vt:variant>
      <vt:variant>
        <vt:lpwstr>_Toc26689910</vt:lpwstr>
      </vt:variant>
      <vt:variant>
        <vt:i4>1638461</vt:i4>
      </vt:variant>
      <vt:variant>
        <vt:i4>845</vt:i4>
      </vt:variant>
      <vt:variant>
        <vt:i4>0</vt:i4>
      </vt:variant>
      <vt:variant>
        <vt:i4>5</vt:i4>
      </vt:variant>
      <vt:variant>
        <vt:lpwstr/>
      </vt:variant>
      <vt:variant>
        <vt:lpwstr>_Toc26689909</vt:lpwstr>
      </vt:variant>
      <vt:variant>
        <vt:i4>1572925</vt:i4>
      </vt:variant>
      <vt:variant>
        <vt:i4>839</vt:i4>
      </vt:variant>
      <vt:variant>
        <vt:i4>0</vt:i4>
      </vt:variant>
      <vt:variant>
        <vt:i4>5</vt:i4>
      </vt:variant>
      <vt:variant>
        <vt:lpwstr/>
      </vt:variant>
      <vt:variant>
        <vt:lpwstr>_Toc26689908</vt:lpwstr>
      </vt:variant>
      <vt:variant>
        <vt:i4>1507389</vt:i4>
      </vt:variant>
      <vt:variant>
        <vt:i4>833</vt:i4>
      </vt:variant>
      <vt:variant>
        <vt:i4>0</vt:i4>
      </vt:variant>
      <vt:variant>
        <vt:i4>5</vt:i4>
      </vt:variant>
      <vt:variant>
        <vt:lpwstr/>
      </vt:variant>
      <vt:variant>
        <vt:lpwstr>_Toc26689907</vt:lpwstr>
      </vt:variant>
      <vt:variant>
        <vt:i4>1441853</vt:i4>
      </vt:variant>
      <vt:variant>
        <vt:i4>827</vt:i4>
      </vt:variant>
      <vt:variant>
        <vt:i4>0</vt:i4>
      </vt:variant>
      <vt:variant>
        <vt:i4>5</vt:i4>
      </vt:variant>
      <vt:variant>
        <vt:lpwstr/>
      </vt:variant>
      <vt:variant>
        <vt:lpwstr>_Toc26689906</vt:lpwstr>
      </vt:variant>
      <vt:variant>
        <vt:i4>1376317</vt:i4>
      </vt:variant>
      <vt:variant>
        <vt:i4>821</vt:i4>
      </vt:variant>
      <vt:variant>
        <vt:i4>0</vt:i4>
      </vt:variant>
      <vt:variant>
        <vt:i4>5</vt:i4>
      </vt:variant>
      <vt:variant>
        <vt:lpwstr/>
      </vt:variant>
      <vt:variant>
        <vt:lpwstr>_Toc26689905</vt:lpwstr>
      </vt:variant>
      <vt:variant>
        <vt:i4>1310781</vt:i4>
      </vt:variant>
      <vt:variant>
        <vt:i4>815</vt:i4>
      </vt:variant>
      <vt:variant>
        <vt:i4>0</vt:i4>
      </vt:variant>
      <vt:variant>
        <vt:i4>5</vt:i4>
      </vt:variant>
      <vt:variant>
        <vt:lpwstr/>
      </vt:variant>
      <vt:variant>
        <vt:lpwstr>_Toc26689904</vt:lpwstr>
      </vt:variant>
      <vt:variant>
        <vt:i4>1245245</vt:i4>
      </vt:variant>
      <vt:variant>
        <vt:i4>809</vt:i4>
      </vt:variant>
      <vt:variant>
        <vt:i4>0</vt:i4>
      </vt:variant>
      <vt:variant>
        <vt:i4>5</vt:i4>
      </vt:variant>
      <vt:variant>
        <vt:lpwstr/>
      </vt:variant>
      <vt:variant>
        <vt:lpwstr>_Toc26689903</vt:lpwstr>
      </vt:variant>
      <vt:variant>
        <vt:i4>1179709</vt:i4>
      </vt:variant>
      <vt:variant>
        <vt:i4>803</vt:i4>
      </vt:variant>
      <vt:variant>
        <vt:i4>0</vt:i4>
      </vt:variant>
      <vt:variant>
        <vt:i4>5</vt:i4>
      </vt:variant>
      <vt:variant>
        <vt:lpwstr/>
      </vt:variant>
      <vt:variant>
        <vt:lpwstr>_Toc26689902</vt:lpwstr>
      </vt:variant>
      <vt:variant>
        <vt:i4>1114173</vt:i4>
      </vt:variant>
      <vt:variant>
        <vt:i4>797</vt:i4>
      </vt:variant>
      <vt:variant>
        <vt:i4>0</vt:i4>
      </vt:variant>
      <vt:variant>
        <vt:i4>5</vt:i4>
      </vt:variant>
      <vt:variant>
        <vt:lpwstr/>
      </vt:variant>
      <vt:variant>
        <vt:lpwstr>_Toc26689901</vt:lpwstr>
      </vt:variant>
      <vt:variant>
        <vt:i4>1048637</vt:i4>
      </vt:variant>
      <vt:variant>
        <vt:i4>791</vt:i4>
      </vt:variant>
      <vt:variant>
        <vt:i4>0</vt:i4>
      </vt:variant>
      <vt:variant>
        <vt:i4>5</vt:i4>
      </vt:variant>
      <vt:variant>
        <vt:lpwstr/>
      </vt:variant>
      <vt:variant>
        <vt:lpwstr>_Toc26689900</vt:lpwstr>
      </vt:variant>
      <vt:variant>
        <vt:i4>1572916</vt:i4>
      </vt:variant>
      <vt:variant>
        <vt:i4>785</vt:i4>
      </vt:variant>
      <vt:variant>
        <vt:i4>0</vt:i4>
      </vt:variant>
      <vt:variant>
        <vt:i4>5</vt:i4>
      </vt:variant>
      <vt:variant>
        <vt:lpwstr/>
      </vt:variant>
      <vt:variant>
        <vt:lpwstr>_Toc26689899</vt:lpwstr>
      </vt:variant>
      <vt:variant>
        <vt:i4>1638452</vt:i4>
      </vt:variant>
      <vt:variant>
        <vt:i4>779</vt:i4>
      </vt:variant>
      <vt:variant>
        <vt:i4>0</vt:i4>
      </vt:variant>
      <vt:variant>
        <vt:i4>5</vt:i4>
      </vt:variant>
      <vt:variant>
        <vt:lpwstr/>
      </vt:variant>
      <vt:variant>
        <vt:lpwstr>_Toc26689898</vt:lpwstr>
      </vt:variant>
      <vt:variant>
        <vt:i4>1441844</vt:i4>
      </vt:variant>
      <vt:variant>
        <vt:i4>773</vt:i4>
      </vt:variant>
      <vt:variant>
        <vt:i4>0</vt:i4>
      </vt:variant>
      <vt:variant>
        <vt:i4>5</vt:i4>
      </vt:variant>
      <vt:variant>
        <vt:lpwstr/>
      </vt:variant>
      <vt:variant>
        <vt:lpwstr>_Toc26689897</vt:lpwstr>
      </vt:variant>
      <vt:variant>
        <vt:i4>1507380</vt:i4>
      </vt:variant>
      <vt:variant>
        <vt:i4>767</vt:i4>
      </vt:variant>
      <vt:variant>
        <vt:i4>0</vt:i4>
      </vt:variant>
      <vt:variant>
        <vt:i4>5</vt:i4>
      </vt:variant>
      <vt:variant>
        <vt:lpwstr/>
      </vt:variant>
      <vt:variant>
        <vt:lpwstr>_Toc26689896</vt:lpwstr>
      </vt:variant>
      <vt:variant>
        <vt:i4>1310772</vt:i4>
      </vt:variant>
      <vt:variant>
        <vt:i4>761</vt:i4>
      </vt:variant>
      <vt:variant>
        <vt:i4>0</vt:i4>
      </vt:variant>
      <vt:variant>
        <vt:i4>5</vt:i4>
      </vt:variant>
      <vt:variant>
        <vt:lpwstr/>
      </vt:variant>
      <vt:variant>
        <vt:lpwstr>_Toc26689895</vt:lpwstr>
      </vt:variant>
      <vt:variant>
        <vt:i4>1376308</vt:i4>
      </vt:variant>
      <vt:variant>
        <vt:i4>755</vt:i4>
      </vt:variant>
      <vt:variant>
        <vt:i4>0</vt:i4>
      </vt:variant>
      <vt:variant>
        <vt:i4>5</vt:i4>
      </vt:variant>
      <vt:variant>
        <vt:lpwstr/>
      </vt:variant>
      <vt:variant>
        <vt:lpwstr>_Toc26689894</vt:lpwstr>
      </vt:variant>
      <vt:variant>
        <vt:i4>1179700</vt:i4>
      </vt:variant>
      <vt:variant>
        <vt:i4>749</vt:i4>
      </vt:variant>
      <vt:variant>
        <vt:i4>0</vt:i4>
      </vt:variant>
      <vt:variant>
        <vt:i4>5</vt:i4>
      </vt:variant>
      <vt:variant>
        <vt:lpwstr/>
      </vt:variant>
      <vt:variant>
        <vt:lpwstr>_Toc26689893</vt:lpwstr>
      </vt:variant>
      <vt:variant>
        <vt:i4>1245236</vt:i4>
      </vt:variant>
      <vt:variant>
        <vt:i4>743</vt:i4>
      </vt:variant>
      <vt:variant>
        <vt:i4>0</vt:i4>
      </vt:variant>
      <vt:variant>
        <vt:i4>5</vt:i4>
      </vt:variant>
      <vt:variant>
        <vt:lpwstr/>
      </vt:variant>
      <vt:variant>
        <vt:lpwstr>_Toc26689892</vt:lpwstr>
      </vt:variant>
      <vt:variant>
        <vt:i4>1048628</vt:i4>
      </vt:variant>
      <vt:variant>
        <vt:i4>737</vt:i4>
      </vt:variant>
      <vt:variant>
        <vt:i4>0</vt:i4>
      </vt:variant>
      <vt:variant>
        <vt:i4>5</vt:i4>
      </vt:variant>
      <vt:variant>
        <vt:lpwstr/>
      </vt:variant>
      <vt:variant>
        <vt:lpwstr>_Toc26689891</vt:lpwstr>
      </vt:variant>
      <vt:variant>
        <vt:i4>1114164</vt:i4>
      </vt:variant>
      <vt:variant>
        <vt:i4>731</vt:i4>
      </vt:variant>
      <vt:variant>
        <vt:i4>0</vt:i4>
      </vt:variant>
      <vt:variant>
        <vt:i4>5</vt:i4>
      </vt:variant>
      <vt:variant>
        <vt:lpwstr/>
      </vt:variant>
      <vt:variant>
        <vt:lpwstr>_Toc26689890</vt:lpwstr>
      </vt:variant>
      <vt:variant>
        <vt:i4>1572917</vt:i4>
      </vt:variant>
      <vt:variant>
        <vt:i4>725</vt:i4>
      </vt:variant>
      <vt:variant>
        <vt:i4>0</vt:i4>
      </vt:variant>
      <vt:variant>
        <vt:i4>5</vt:i4>
      </vt:variant>
      <vt:variant>
        <vt:lpwstr/>
      </vt:variant>
      <vt:variant>
        <vt:lpwstr>_Toc26689889</vt:lpwstr>
      </vt:variant>
      <vt:variant>
        <vt:i4>1638453</vt:i4>
      </vt:variant>
      <vt:variant>
        <vt:i4>719</vt:i4>
      </vt:variant>
      <vt:variant>
        <vt:i4>0</vt:i4>
      </vt:variant>
      <vt:variant>
        <vt:i4>5</vt:i4>
      </vt:variant>
      <vt:variant>
        <vt:lpwstr/>
      </vt:variant>
      <vt:variant>
        <vt:lpwstr>_Toc26689888</vt:lpwstr>
      </vt:variant>
      <vt:variant>
        <vt:i4>1441845</vt:i4>
      </vt:variant>
      <vt:variant>
        <vt:i4>713</vt:i4>
      </vt:variant>
      <vt:variant>
        <vt:i4>0</vt:i4>
      </vt:variant>
      <vt:variant>
        <vt:i4>5</vt:i4>
      </vt:variant>
      <vt:variant>
        <vt:lpwstr/>
      </vt:variant>
      <vt:variant>
        <vt:lpwstr>_Toc26689887</vt:lpwstr>
      </vt:variant>
      <vt:variant>
        <vt:i4>1507381</vt:i4>
      </vt:variant>
      <vt:variant>
        <vt:i4>707</vt:i4>
      </vt:variant>
      <vt:variant>
        <vt:i4>0</vt:i4>
      </vt:variant>
      <vt:variant>
        <vt:i4>5</vt:i4>
      </vt:variant>
      <vt:variant>
        <vt:lpwstr/>
      </vt:variant>
      <vt:variant>
        <vt:lpwstr>_Toc26689886</vt:lpwstr>
      </vt:variant>
      <vt:variant>
        <vt:i4>1310773</vt:i4>
      </vt:variant>
      <vt:variant>
        <vt:i4>701</vt:i4>
      </vt:variant>
      <vt:variant>
        <vt:i4>0</vt:i4>
      </vt:variant>
      <vt:variant>
        <vt:i4>5</vt:i4>
      </vt:variant>
      <vt:variant>
        <vt:lpwstr/>
      </vt:variant>
      <vt:variant>
        <vt:lpwstr>_Toc26689885</vt:lpwstr>
      </vt:variant>
      <vt:variant>
        <vt:i4>1376309</vt:i4>
      </vt:variant>
      <vt:variant>
        <vt:i4>695</vt:i4>
      </vt:variant>
      <vt:variant>
        <vt:i4>0</vt:i4>
      </vt:variant>
      <vt:variant>
        <vt:i4>5</vt:i4>
      </vt:variant>
      <vt:variant>
        <vt:lpwstr/>
      </vt:variant>
      <vt:variant>
        <vt:lpwstr>_Toc26689884</vt:lpwstr>
      </vt:variant>
      <vt:variant>
        <vt:i4>1179701</vt:i4>
      </vt:variant>
      <vt:variant>
        <vt:i4>689</vt:i4>
      </vt:variant>
      <vt:variant>
        <vt:i4>0</vt:i4>
      </vt:variant>
      <vt:variant>
        <vt:i4>5</vt:i4>
      </vt:variant>
      <vt:variant>
        <vt:lpwstr/>
      </vt:variant>
      <vt:variant>
        <vt:lpwstr>_Toc26689883</vt:lpwstr>
      </vt:variant>
      <vt:variant>
        <vt:i4>1245237</vt:i4>
      </vt:variant>
      <vt:variant>
        <vt:i4>683</vt:i4>
      </vt:variant>
      <vt:variant>
        <vt:i4>0</vt:i4>
      </vt:variant>
      <vt:variant>
        <vt:i4>5</vt:i4>
      </vt:variant>
      <vt:variant>
        <vt:lpwstr/>
      </vt:variant>
      <vt:variant>
        <vt:lpwstr>_Toc26689882</vt:lpwstr>
      </vt:variant>
      <vt:variant>
        <vt:i4>1048629</vt:i4>
      </vt:variant>
      <vt:variant>
        <vt:i4>677</vt:i4>
      </vt:variant>
      <vt:variant>
        <vt:i4>0</vt:i4>
      </vt:variant>
      <vt:variant>
        <vt:i4>5</vt:i4>
      </vt:variant>
      <vt:variant>
        <vt:lpwstr/>
      </vt:variant>
      <vt:variant>
        <vt:lpwstr>_Toc26689881</vt:lpwstr>
      </vt:variant>
      <vt:variant>
        <vt:i4>1114165</vt:i4>
      </vt:variant>
      <vt:variant>
        <vt:i4>671</vt:i4>
      </vt:variant>
      <vt:variant>
        <vt:i4>0</vt:i4>
      </vt:variant>
      <vt:variant>
        <vt:i4>5</vt:i4>
      </vt:variant>
      <vt:variant>
        <vt:lpwstr/>
      </vt:variant>
      <vt:variant>
        <vt:lpwstr>_Toc26689880</vt:lpwstr>
      </vt:variant>
      <vt:variant>
        <vt:i4>1572922</vt:i4>
      </vt:variant>
      <vt:variant>
        <vt:i4>665</vt:i4>
      </vt:variant>
      <vt:variant>
        <vt:i4>0</vt:i4>
      </vt:variant>
      <vt:variant>
        <vt:i4>5</vt:i4>
      </vt:variant>
      <vt:variant>
        <vt:lpwstr/>
      </vt:variant>
      <vt:variant>
        <vt:lpwstr>_Toc26689879</vt:lpwstr>
      </vt:variant>
      <vt:variant>
        <vt:i4>1638458</vt:i4>
      </vt:variant>
      <vt:variant>
        <vt:i4>659</vt:i4>
      </vt:variant>
      <vt:variant>
        <vt:i4>0</vt:i4>
      </vt:variant>
      <vt:variant>
        <vt:i4>5</vt:i4>
      </vt:variant>
      <vt:variant>
        <vt:lpwstr/>
      </vt:variant>
      <vt:variant>
        <vt:lpwstr>_Toc26689878</vt:lpwstr>
      </vt:variant>
      <vt:variant>
        <vt:i4>1441850</vt:i4>
      </vt:variant>
      <vt:variant>
        <vt:i4>653</vt:i4>
      </vt:variant>
      <vt:variant>
        <vt:i4>0</vt:i4>
      </vt:variant>
      <vt:variant>
        <vt:i4>5</vt:i4>
      </vt:variant>
      <vt:variant>
        <vt:lpwstr/>
      </vt:variant>
      <vt:variant>
        <vt:lpwstr>_Toc26689877</vt:lpwstr>
      </vt:variant>
      <vt:variant>
        <vt:i4>1507386</vt:i4>
      </vt:variant>
      <vt:variant>
        <vt:i4>647</vt:i4>
      </vt:variant>
      <vt:variant>
        <vt:i4>0</vt:i4>
      </vt:variant>
      <vt:variant>
        <vt:i4>5</vt:i4>
      </vt:variant>
      <vt:variant>
        <vt:lpwstr/>
      </vt:variant>
      <vt:variant>
        <vt:lpwstr>_Toc26689876</vt:lpwstr>
      </vt:variant>
      <vt:variant>
        <vt:i4>1310778</vt:i4>
      </vt:variant>
      <vt:variant>
        <vt:i4>641</vt:i4>
      </vt:variant>
      <vt:variant>
        <vt:i4>0</vt:i4>
      </vt:variant>
      <vt:variant>
        <vt:i4>5</vt:i4>
      </vt:variant>
      <vt:variant>
        <vt:lpwstr/>
      </vt:variant>
      <vt:variant>
        <vt:lpwstr>_Toc26689875</vt:lpwstr>
      </vt:variant>
      <vt:variant>
        <vt:i4>1376314</vt:i4>
      </vt:variant>
      <vt:variant>
        <vt:i4>635</vt:i4>
      </vt:variant>
      <vt:variant>
        <vt:i4>0</vt:i4>
      </vt:variant>
      <vt:variant>
        <vt:i4>5</vt:i4>
      </vt:variant>
      <vt:variant>
        <vt:lpwstr/>
      </vt:variant>
      <vt:variant>
        <vt:lpwstr>_Toc26689874</vt:lpwstr>
      </vt:variant>
      <vt:variant>
        <vt:i4>1179706</vt:i4>
      </vt:variant>
      <vt:variant>
        <vt:i4>629</vt:i4>
      </vt:variant>
      <vt:variant>
        <vt:i4>0</vt:i4>
      </vt:variant>
      <vt:variant>
        <vt:i4>5</vt:i4>
      </vt:variant>
      <vt:variant>
        <vt:lpwstr/>
      </vt:variant>
      <vt:variant>
        <vt:lpwstr>_Toc26689873</vt:lpwstr>
      </vt:variant>
      <vt:variant>
        <vt:i4>1245242</vt:i4>
      </vt:variant>
      <vt:variant>
        <vt:i4>623</vt:i4>
      </vt:variant>
      <vt:variant>
        <vt:i4>0</vt:i4>
      </vt:variant>
      <vt:variant>
        <vt:i4>5</vt:i4>
      </vt:variant>
      <vt:variant>
        <vt:lpwstr/>
      </vt:variant>
      <vt:variant>
        <vt:lpwstr>_Toc26689872</vt:lpwstr>
      </vt:variant>
      <vt:variant>
        <vt:i4>1048634</vt:i4>
      </vt:variant>
      <vt:variant>
        <vt:i4>617</vt:i4>
      </vt:variant>
      <vt:variant>
        <vt:i4>0</vt:i4>
      </vt:variant>
      <vt:variant>
        <vt:i4>5</vt:i4>
      </vt:variant>
      <vt:variant>
        <vt:lpwstr/>
      </vt:variant>
      <vt:variant>
        <vt:lpwstr>_Toc26689871</vt:lpwstr>
      </vt:variant>
      <vt:variant>
        <vt:i4>1114170</vt:i4>
      </vt:variant>
      <vt:variant>
        <vt:i4>611</vt:i4>
      </vt:variant>
      <vt:variant>
        <vt:i4>0</vt:i4>
      </vt:variant>
      <vt:variant>
        <vt:i4>5</vt:i4>
      </vt:variant>
      <vt:variant>
        <vt:lpwstr/>
      </vt:variant>
      <vt:variant>
        <vt:lpwstr>_Toc26689870</vt:lpwstr>
      </vt:variant>
      <vt:variant>
        <vt:i4>1572923</vt:i4>
      </vt:variant>
      <vt:variant>
        <vt:i4>605</vt:i4>
      </vt:variant>
      <vt:variant>
        <vt:i4>0</vt:i4>
      </vt:variant>
      <vt:variant>
        <vt:i4>5</vt:i4>
      </vt:variant>
      <vt:variant>
        <vt:lpwstr/>
      </vt:variant>
      <vt:variant>
        <vt:lpwstr>_Toc26689869</vt:lpwstr>
      </vt:variant>
      <vt:variant>
        <vt:i4>1638459</vt:i4>
      </vt:variant>
      <vt:variant>
        <vt:i4>599</vt:i4>
      </vt:variant>
      <vt:variant>
        <vt:i4>0</vt:i4>
      </vt:variant>
      <vt:variant>
        <vt:i4>5</vt:i4>
      </vt:variant>
      <vt:variant>
        <vt:lpwstr/>
      </vt:variant>
      <vt:variant>
        <vt:lpwstr>_Toc26689868</vt:lpwstr>
      </vt:variant>
      <vt:variant>
        <vt:i4>1441851</vt:i4>
      </vt:variant>
      <vt:variant>
        <vt:i4>593</vt:i4>
      </vt:variant>
      <vt:variant>
        <vt:i4>0</vt:i4>
      </vt:variant>
      <vt:variant>
        <vt:i4>5</vt:i4>
      </vt:variant>
      <vt:variant>
        <vt:lpwstr/>
      </vt:variant>
      <vt:variant>
        <vt:lpwstr>_Toc26689867</vt:lpwstr>
      </vt:variant>
      <vt:variant>
        <vt:i4>1507387</vt:i4>
      </vt:variant>
      <vt:variant>
        <vt:i4>587</vt:i4>
      </vt:variant>
      <vt:variant>
        <vt:i4>0</vt:i4>
      </vt:variant>
      <vt:variant>
        <vt:i4>5</vt:i4>
      </vt:variant>
      <vt:variant>
        <vt:lpwstr/>
      </vt:variant>
      <vt:variant>
        <vt:lpwstr>_Toc26689866</vt:lpwstr>
      </vt:variant>
      <vt:variant>
        <vt:i4>1310779</vt:i4>
      </vt:variant>
      <vt:variant>
        <vt:i4>581</vt:i4>
      </vt:variant>
      <vt:variant>
        <vt:i4>0</vt:i4>
      </vt:variant>
      <vt:variant>
        <vt:i4>5</vt:i4>
      </vt:variant>
      <vt:variant>
        <vt:lpwstr/>
      </vt:variant>
      <vt:variant>
        <vt:lpwstr>_Toc26689865</vt:lpwstr>
      </vt:variant>
      <vt:variant>
        <vt:i4>1376315</vt:i4>
      </vt:variant>
      <vt:variant>
        <vt:i4>575</vt:i4>
      </vt:variant>
      <vt:variant>
        <vt:i4>0</vt:i4>
      </vt:variant>
      <vt:variant>
        <vt:i4>5</vt:i4>
      </vt:variant>
      <vt:variant>
        <vt:lpwstr/>
      </vt:variant>
      <vt:variant>
        <vt:lpwstr>_Toc26689864</vt:lpwstr>
      </vt:variant>
      <vt:variant>
        <vt:i4>1179707</vt:i4>
      </vt:variant>
      <vt:variant>
        <vt:i4>569</vt:i4>
      </vt:variant>
      <vt:variant>
        <vt:i4>0</vt:i4>
      </vt:variant>
      <vt:variant>
        <vt:i4>5</vt:i4>
      </vt:variant>
      <vt:variant>
        <vt:lpwstr/>
      </vt:variant>
      <vt:variant>
        <vt:lpwstr>_Toc26689863</vt:lpwstr>
      </vt:variant>
      <vt:variant>
        <vt:i4>1245243</vt:i4>
      </vt:variant>
      <vt:variant>
        <vt:i4>563</vt:i4>
      </vt:variant>
      <vt:variant>
        <vt:i4>0</vt:i4>
      </vt:variant>
      <vt:variant>
        <vt:i4>5</vt:i4>
      </vt:variant>
      <vt:variant>
        <vt:lpwstr/>
      </vt:variant>
      <vt:variant>
        <vt:lpwstr>_Toc26689862</vt:lpwstr>
      </vt:variant>
      <vt:variant>
        <vt:i4>1048635</vt:i4>
      </vt:variant>
      <vt:variant>
        <vt:i4>557</vt:i4>
      </vt:variant>
      <vt:variant>
        <vt:i4>0</vt:i4>
      </vt:variant>
      <vt:variant>
        <vt:i4>5</vt:i4>
      </vt:variant>
      <vt:variant>
        <vt:lpwstr/>
      </vt:variant>
      <vt:variant>
        <vt:lpwstr>_Toc26689861</vt:lpwstr>
      </vt:variant>
      <vt:variant>
        <vt:i4>1114171</vt:i4>
      </vt:variant>
      <vt:variant>
        <vt:i4>551</vt:i4>
      </vt:variant>
      <vt:variant>
        <vt:i4>0</vt:i4>
      </vt:variant>
      <vt:variant>
        <vt:i4>5</vt:i4>
      </vt:variant>
      <vt:variant>
        <vt:lpwstr/>
      </vt:variant>
      <vt:variant>
        <vt:lpwstr>_Toc26689860</vt:lpwstr>
      </vt:variant>
      <vt:variant>
        <vt:i4>1572920</vt:i4>
      </vt:variant>
      <vt:variant>
        <vt:i4>542</vt:i4>
      </vt:variant>
      <vt:variant>
        <vt:i4>0</vt:i4>
      </vt:variant>
      <vt:variant>
        <vt:i4>5</vt:i4>
      </vt:variant>
      <vt:variant>
        <vt:lpwstr/>
      </vt:variant>
      <vt:variant>
        <vt:lpwstr>_Toc26689859</vt:lpwstr>
      </vt:variant>
      <vt:variant>
        <vt:i4>1638456</vt:i4>
      </vt:variant>
      <vt:variant>
        <vt:i4>536</vt:i4>
      </vt:variant>
      <vt:variant>
        <vt:i4>0</vt:i4>
      </vt:variant>
      <vt:variant>
        <vt:i4>5</vt:i4>
      </vt:variant>
      <vt:variant>
        <vt:lpwstr/>
      </vt:variant>
      <vt:variant>
        <vt:lpwstr>_Toc26689858</vt:lpwstr>
      </vt:variant>
      <vt:variant>
        <vt:i4>1441848</vt:i4>
      </vt:variant>
      <vt:variant>
        <vt:i4>530</vt:i4>
      </vt:variant>
      <vt:variant>
        <vt:i4>0</vt:i4>
      </vt:variant>
      <vt:variant>
        <vt:i4>5</vt:i4>
      </vt:variant>
      <vt:variant>
        <vt:lpwstr/>
      </vt:variant>
      <vt:variant>
        <vt:lpwstr>_Toc26689857</vt:lpwstr>
      </vt:variant>
      <vt:variant>
        <vt:i4>1507384</vt:i4>
      </vt:variant>
      <vt:variant>
        <vt:i4>524</vt:i4>
      </vt:variant>
      <vt:variant>
        <vt:i4>0</vt:i4>
      </vt:variant>
      <vt:variant>
        <vt:i4>5</vt:i4>
      </vt:variant>
      <vt:variant>
        <vt:lpwstr/>
      </vt:variant>
      <vt:variant>
        <vt:lpwstr>_Toc26689856</vt:lpwstr>
      </vt:variant>
      <vt:variant>
        <vt:i4>1310776</vt:i4>
      </vt:variant>
      <vt:variant>
        <vt:i4>518</vt:i4>
      </vt:variant>
      <vt:variant>
        <vt:i4>0</vt:i4>
      </vt:variant>
      <vt:variant>
        <vt:i4>5</vt:i4>
      </vt:variant>
      <vt:variant>
        <vt:lpwstr/>
      </vt:variant>
      <vt:variant>
        <vt:lpwstr>_Toc26689855</vt:lpwstr>
      </vt:variant>
      <vt:variant>
        <vt:i4>1376312</vt:i4>
      </vt:variant>
      <vt:variant>
        <vt:i4>512</vt:i4>
      </vt:variant>
      <vt:variant>
        <vt:i4>0</vt:i4>
      </vt:variant>
      <vt:variant>
        <vt:i4>5</vt:i4>
      </vt:variant>
      <vt:variant>
        <vt:lpwstr/>
      </vt:variant>
      <vt:variant>
        <vt:lpwstr>_Toc26689854</vt:lpwstr>
      </vt:variant>
      <vt:variant>
        <vt:i4>1179704</vt:i4>
      </vt:variant>
      <vt:variant>
        <vt:i4>506</vt:i4>
      </vt:variant>
      <vt:variant>
        <vt:i4>0</vt:i4>
      </vt:variant>
      <vt:variant>
        <vt:i4>5</vt:i4>
      </vt:variant>
      <vt:variant>
        <vt:lpwstr/>
      </vt:variant>
      <vt:variant>
        <vt:lpwstr>_Toc26689853</vt:lpwstr>
      </vt:variant>
      <vt:variant>
        <vt:i4>1245240</vt:i4>
      </vt:variant>
      <vt:variant>
        <vt:i4>500</vt:i4>
      </vt:variant>
      <vt:variant>
        <vt:i4>0</vt:i4>
      </vt:variant>
      <vt:variant>
        <vt:i4>5</vt:i4>
      </vt:variant>
      <vt:variant>
        <vt:lpwstr/>
      </vt:variant>
      <vt:variant>
        <vt:lpwstr>_Toc26689852</vt:lpwstr>
      </vt:variant>
      <vt:variant>
        <vt:i4>1048632</vt:i4>
      </vt:variant>
      <vt:variant>
        <vt:i4>494</vt:i4>
      </vt:variant>
      <vt:variant>
        <vt:i4>0</vt:i4>
      </vt:variant>
      <vt:variant>
        <vt:i4>5</vt:i4>
      </vt:variant>
      <vt:variant>
        <vt:lpwstr/>
      </vt:variant>
      <vt:variant>
        <vt:lpwstr>_Toc26689851</vt:lpwstr>
      </vt:variant>
      <vt:variant>
        <vt:i4>1114168</vt:i4>
      </vt:variant>
      <vt:variant>
        <vt:i4>488</vt:i4>
      </vt:variant>
      <vt:variant>
        <vt:i4>0</vt:i4>
      </vt:variant>
      <vt:variant>
        <vt:i4>5</vt:i4>
      </vt:variant>
      <vt:variant>
        <vt:lpwstr/>
      </vt:variant>
      <vt:variant>
        <vt:lpwstr>_Toc26689850</vt:lpwstr>
      </vt:variant>
      <vt:variant>
        <vt:i4>1572921</vt:i4>
      </vt:variant>
      <vt:variant>
        <vt:i4>482</vt:i4>
      </vt:variant>
      <vt:variant>
        <vt:i4>0</vt:i4>
      </vt:variant>
      <vt:variant>
        <vt:i4>5</vt:i4>
      </vt:variant>
      <vt:variant>
        <vt:lpwstr/>
      </vt:variant>
      <vt:variant>
        <vt:lpwstr>_Toc26689849</vt:lpwstr>
      </vt:variant>
      <vt:variant>
        <vt:i4>1638457</vt:i4>
      </vt:variant>
      <vt:variant>
        <vt:i4>476</vt:i4>
      </vt:variant>
      <vt:variant>
        <vt:i4>0</vt:i4>
      </vt:variant>
      <vt:variant>
        <vt:i4>5</vt:i4>
      </vt:variant>
      <vt:variant>
        <vt:lpwstr/>
      </vt:variant>
      <vt:variant>
        <vt:lpwstr>_Toc26689848</vt:lpwstr>
      </vt:variant>
      <vt:variant>
        <vt:i4>1441849</vt:i4>
      </vt:variant>
      <vt:variant>
        <vt:i4>470</vt:i4>
      </vt:variant>
      <vt:variant>
        <vt:i4>0</vt:i4>
      </vt:variant>
      <vt:variant>
        <vt:i4>5</vt:i4>
      </vt:variant>
      <vt:variant>
        <vt:lpwstr/>
      </vt:variant>
      <vt:variant>
        <vt:lpwstr>_Toc26689847</vt:lpwstr>
      </vt:variant>
      <vt:variant>
        <vt:i4>1507385</vt:i4>
      </vt:variant>
      <vt:variant>
        <vt:i4>464</vt:i4>
      </vt:variant>
      <vt:variant>
        <vt:i4>0</vt:i4>
      </vt:variant>
      <vt:variant>
        <vt:i4>5</vt:i4>
      </vt:variant>
      <vt:variant>
        <vt:lpwstr/>
      </vt:variant>
      <vt:variant>
        <vt:lpwstr>_Toc26689846</vt:lpwstr>
      </vt:variant>
      <vt:variant>
        <vt:i4>1310777</vt:i4>
      </vt:variant>
      <vt:variant>
        <vt:i4>458</vt:i4>
      </vt:variant>
      <vt:variant>
        <vt:i4>0</vt:i4>
      </vt:variant>
      <vt:variant>
        <vt:i4>5</vt:i4>
      </vt:variant>
      <vt:variant>
        <vt:lpwstr/>
      </vt:variant>
      <vt:variant>
        <vt:lpwstr>_Toc26689845</vt:lpwstr>
      </vt:variant>
      <vt:variant>
        <vt:i4>1376313</vt:i4>
      </vt:variant>
      <vt:variant>
        <vt:i4>452</vt:i4>
      </vt:variant>
      <vt:variant>
        <vt:i4>0</vt:i4>
      </vt:variant>
      <vt:variant>
        <vt:i4>5</vt:i4>
      </vt:variant>
      <vt:variant>
        <vt:lpwstr/>
      </vt:variant>
      <vt:variant>
        <vt:lpwstr>_Toc26689844</vt:lpwstr>
      </vt:variant>
      <vt:variant>
        <vt:i4>1179705</vt:i4>
      </vt:variant>
      <vt:variant>
        <vt:i4>446</vt:i4>
      </vt:variant>
      <vt:variant>
        <vt:i4>0</vt:i4>
      </vt:variant>
      <vt:variant>
        <vt:i4>5</vt:i4>
      </vt:variant>
      <vt:variant>
        <vt:lpwstr/>
      </vt:variant>
      <vt:variant>
        <vt:lpwstr>_Toc26689843</vt:lpwstr>
      </vt:variant>
      <vt:variant>
        <vt:i4>1245241</vt:i4>
      </vt:variant>
      <vt:variant>
        <vt:i4>440</vt:i4>
      </vt:variant>
      <vt:variant>
        <vt:i4>0</vt:i4>
      </vt:variant>
      <vt:variant>
        <vt:i4>5</vt:i4>
      </vt:variant>
      <vt:variant>
        <vt:lpwstr/>
      </vt:variant>
      <vt:variant>
        <vt:lpwstr>_Toc26689842</vt:lpwstr>
      </vt:variant>
      <vt:variant>
        <vt:i4>1048633</vt:i4>
      </vt:variant>
      <vt:variant>
        <vt:i4>434</vt:i4>
      </vt:variant>
      <vt:variant>
        <vt:i4>0</vt:i4>
      </vt:variant>
      <vt:variant>
        <vt:i4>5</vt:i4>
      </vt:variant>
      <vt:variant>
        <vt:lpwstr/>
      </vt:variant>
      <vt:variant>
        <vt:lpwstr>_Toc26689841</vt:lpwstr>
      </vt:variant>
      <vt:variant>
        <vt:i4>1114169</vt:i4>
      </vt:variant>
      <vt:variant>
        <vt:i4>428</vt:i4>
      </vt:variant>
      <vt:variant>
        <vt:i4>0</vt:i4>
      </vt:variant>
      <vt:variant>
        <vt:i4>5</vt:i4>
      </vt:variant>
      <vt:variant>
        <vt:lpwstr/>
      </vt:variant>
      <vt:variant>
        <vt:lpwstr>_Toc26689840</vt:lpwstr>
      </vt:variant>
      <vt:variant>
        <vt:i4>1572926</vt:i4>
      </vt:variant>
      <vt:variant>
        <vt:i4>422</vt:i4>
      </vt:variant>
      <vt:variant>
        <vt:i4>0</vt:i4>
      </vt:variant>
      <vt:variant>
        <vt:i4>5</vt:i4>
      </vt:variant>
      <vt:variant>
        <vt:lpwstr/>
      </vt:variant>
      <vt:variant>
        <vt:lpwstr>_Toc26689839</vt:lpwstr>
      </vt:variant>
      <vt:variant>
        <vt:i4>1638462</vt:i4>
      </vt:variant>
      <vt:variant>
        <vt:i4>416</vt:i4>
      </vt:variant>
      <vt:variant>
        <vt:i4>0</vt:i4>
      </vt:variant>
      <vt:variant>
        <vt:i4>5</vt:i4>
      </vt:variant>
      <vt:variant>
        <vt:lpwstr/>
      </vt:variant>
      <vt:variant>
        <vt:lpwstr>_Toc26689838</vt:lpwstr>
      </vt:variant>
      <vt:variant>
        <vt:i4>1441854</vt:i4>
      </vt:variant>
      <vt:variant>
        <vt:i4>410</vt:i4>
      </vt:variant>
      <vt:variant>
        <vt:i4>0</vt:i4>
      </vt:variant>
      <vt:variant>
        <vt:i4>5</vt:i4>
      </vt:variant>
      <vt:variant>
        <vt:lpwstr/>
      </vt:variant>
      <vt:variant>
        <vt:lpwstr>_Toc26689837</vt:lpwstr>
      </vt:variant>
      <vt:variant>
        <vt:i4>1507390</vt:i4>
      </vt:variant>
      <vt:variant>
        <vt:i4>404</vt:i4>
      </vt:variant>
      <vt:variant>
        <vt:i4>0</vt:i4>
      </vt:variant>
      <vt:variant>
        <vt:i4>5</vt:i4>
      </vt:variant>
      <vt:variant>
        <vt:lpwstr/>
      </vt:variant>
      <vt:variant>
        <vt:lpwstr>_Toc26689836</vt:lpwstr>
      </vt:variant>
      <vt:variant>
        <vt:i4>1310782</vt:i4>
      </vt:variant>
      <vt:variant>
        <vt:i4>398</vt:i4>
      </vt:variant>
      <vt:variant>
        <vt:i4>0</vt:i4>
      </vt:variant>
      <vt:variant>
        <vt:i4>5</vt:i4>
      </vt:variant>
      <vt:variant>
        <vt:lpwstr/>
      </vt:variant>
      <vt:variant>
        <vt:lpwstr>_Toc26689835</vt:lpwstr>
      </vt:variant>
      <vt:variant>
        <vt:i4>1376318</vt:i4>
      </vt:variant>
      <vt:variant>
        <vt:i4>392</vt:i4>
      </vt:variant>
      <vt:variant>
        <vt:i4>0</vt:i4>
      </vt:variant>
      <vt:variant>
        <vt:i4>5</vt:i4>
      </vt:variant>
      <vt:variant>
        <vt:lpwstr/>
      </vt:variant>
      <vt:variant>
        <vt:lpwstr>_Toc26689834</vt:lpwstr>
      </vt:variant>
      <vt:variant>
        <vt:i4>1179710</vt:i4>
      </vt:variant>
      <vt:variant>
        <vt:i4>386</vt:i4>
      </vt:variant>
      <vt:variant>
        <vt:i4>0</vt:i4>
      </vt:variant>
      <vt:variant>
        <vt:i4>5</vt:i4>
      </vt:variant>
      <vt:variant>
        <vt:lpwstr/>
      </vt:variant>
      <vt:variant>
        <vt:lpwstr>_Toc26689833</vt:lpwstr>
      </vt:variant>
      <vt:variant>
        <vt:i4>1245246</vt:i4>
      </vt:variant>
      <vt:variant>
        <vt:i4>380</vt:i4>
      </vt:variant>
      <vt:variant>
        <vt:i4>0</vt:i4>
      </vt:variant>
      <vt:variant>
        <vt:i4>5</vt:i4>
      </vt:variant>
      <vt:variant>
        <vt:lpwstr/>
      </vt:variant>
      <vt:variant>
        <vt:lpwstr>_Toc26689832</vt:lpwstr>
      </vt:variant>
      <vt:variant>
        <vt:i4>1048638</vt:i4>
      </vt:variant>
      <vt:variant>
        <vt:i4>374</vt:i4>
      </vt:variant>
      <vt:variant>
        <vt:i4>0</vt:i4>
      </vt:variant>
      <vt:variant>
        <vt:i4>5</vt:i4>
      </vt:variant>
      <vt:variant>
        <vt:lpwstr/>
      </vt:variant>
      <vt:variant>
        <vt:lpwstr>_Toc26689831</vt:lpwstr>
      </vt:variant>
      <vt:variant>
        <vt:i4>1114174</vt:i4>
      </vt:variant>
      <vt:variant>
        <vt:i4>368</vt:i4>
      </vt:variant>
      <vt:variant>
        <vt:i4>0</vt:i4>
      </vt:variant>
      <vt:variant>
        <vt:i4>5</vt:i4>
      </vt:variant>
      <vt:variant>
        <vt:lpwstr/>
      </vt:variant>
      <vt:variant>
        <vt:lpwstr>_Toc26689830</vt:lpwstr>
      </vt:variant>
      <vt:variant>
        <vt:i4>1572927</vt:i4>
      </vt:variant>
      <vt:variant>
        <vt:i4>362</vt:i4>
      </vt:variant>
      <vt:variant>
        <vt:i4>0</vt:i4>
      </vt:variant>
      <vt:variant>
        <vt:i4>5</vt:i4>
      </vt:variant>
      <vt:variant>
        <vt:lpwstr/>
      </vt:variant>
      <vt:variant>
        <vt:lpwstr>_Toc26689829</vt:lpwstr>
      </vt:variant>
      <vt:variant>
        <vt:i4>1638463</vt:i4>
      </vt:variant>
      <vt:variant>
        <vt:i4>356</vt:i4>
      </vt:variant>
      <vt:variant>
        <vt:i4>0</vt:i4>
      </vt:variant>
      <vt:variant>
        <vt:i4>5</vt:i4>
      </vt:variant>
      <vt:variant>
        <vt:lpwstr/>
      </vt:variant>
      <vt:variant>
        <vt:lpwstr>_Toc26689828</vt:lpwstr>
      </vt:variant>
      <vt:variant>
        <vt:i4>1441855</vt:i4>
      </vt:variant>
      <vt:variant>
        <vt:i4>350</vt:i4>
      </vt:variant>
      <vt:variant>
        <vt:i4>0</vt:i4>
      </vt:variant>
      <vt:variant>
        <vt:i4>5</vt:i4>
      </vt:variant>
      <vt:variant>
        <vt:lpwstr/>
      </vt:variant>
      <vt:variant>
        <vt:lpwstr>_Toc26689827</vt:lpwstr>
      </vt:variant>
      <vt:variant>
        <vt:i4>1507391</vt:i4>
      </vt:variant>
      <vt:variant>
        <vt:i4>344</vt:i4>
      </vt:variant>
      <vt:variant>
        <vt:i4>0</vt:i4>
      </vt:variant>
      <vt:variant>
        <vt:i4>5</vt:i4>
      </vt:variant>
      <vt:variant>
        <vt:lpwstr/>
      </vt:variant>
      <vt:variant>
        <vt:lpwstr>_Toc26689826</vt:lpwstr>
      </vt:variant>
      <vt:variant>
        <vt:i4>1310783</vt:i4>
      </vt:variant>
      <vt:variant>
        <vt:i4>338</vt:i4>
      </vt:variant>
      <vt:variant>
        <vt:i4>0</vt:i4>
      </vt:variant>
      <vt:variant>
        <vt:i4>5</vt:i4>
      </vt:variant>
      <vt:variant>
        <vt:lpwstr/>
      </vt:variant>
      <vt:variant>
        <vt:lpwstr>_Toc26689825</vt:lpwstr>
      </vt:variant>
      <vt:variant>
        <vt:i4>1376319</vt:i4>
      </vt:variant>
      <vt:variant>
        <vt:i4>332</vt:i4>
      </vt:variant>
      <vt:variant>
        <vt:i4>0</vt:i4>
      </vt:variant>
      <vt:variant>
        <vt:i4>5</vt:i4>
      </vt:variant>
      <vt:variant>
        <vt:lpwstr/>
      </vt:variant>
      <vt:variant>
        <vt:lpwstr>_Toc26689824</vt:lpwstr>
      </vt:variant>
      <vt:variant>
        <vt:i4>1179711</vt:i4>
      </vt:variant>
      <vt:variant>
        <vt:i4>326</vt:i4>
      </vt:variant>
      <vt:variant>
        <vt:i4>0</vt:i4>
      </vt:variant>
      <vt:variant>
        <vt:i4>5</vt:i4>
      </vt:variant>
      <vt:variant>
        <vt:lpwstr/>
      </vt:variant>
      <vt:variant>
        <vt:lpwstr>_Toc26689823</vt:lpwstr>
      </vt:variant>
      <vt:variant>
        <vt:i4>1245247</vt:i4>
      </vt:variant>
      <vt:variant>
        <vt:i4>320</vt:i4>
      </vt:variant>
      <vt:variant>
        <vt:i4>0</vt:i4>
      </vt:variant>
      <vt:variant>
        <vt:i4>5</vt:i4>
      </vt:variant>
      <vt:variant>
        <vt:lpwstr/>
      </vt:variant>
      <vt:variant>
        <vt:lpwstr>_Toc26689822</vt:lpwstr>
      </vt:variant>
      <vt:variant>
        <vt:i4>1048639</vt:i4>
      </vt:variant>
      <vt:variant>
        <vt:i4>314</vt:i4>
      </vt:variant>
      <vt:variant>
        <vt:i4>0</vt:i4>
      </vt:variant>
      <vt:variant>
        <vt:i4>5</vt:i4>
      </vt:variant>
      <vt:variant>
        <vt:lpwstr/>
      </vt:variant>
      <vt:variant>
        <vt:lpwstr>_Toc26689821</vt:lpwstr>
      </vt:variant>
      <vt:variant>
        <vt:i4>1114175</vt:i4>
      </vt:variant>
      <vt:variant>
        <vt:i4>308</vt:i4>
      </vt:variant>
      <vt:variant>
        <vt:i4>0</vt:i4>
      </vt:variant>
      <vt:variant>
        <vt:i4>5</vt:i4>
      </vt:variant>
      <vt:variant>
        <vt:lpwstr/>
      </vt:variant>
      <vt:variant>
        <vt:lpwstr>_Toc26689820</vt:lpwstr>
      </vt:variant>
      <vt:variant>
        <vt:i4>1572924</vt:i4>
      </vt:variant>
      <vt:variant>
        <vt:i4>302</vt:i4>
      </vt:variant>
      <vt:variant>
        <vt:i4>0</vt:i4>
      </vt:variant>
      <vt:variant>
        <vt:i4>5</vt:i4>
      </vt:variant>
      <vt:variant>
        <vt:lpwstr/>
      </vt:variant>
      <vt:variant>
        <vt:lpwstr>_Toc26689819</vt:lpwstr>
      </vt:variant>
      <vt:variant>
        <vt:i4>1638460</vt:i4>
      </vt:variant>
      <vt:variant>
        <vt:i4>296</vt:i4>
      </vt:variant>
      <vt:variant>
        <vt:i4>0</vt:i4>
      </vt:variant>
      <vt:variant>
        <vt:i4>5</vt:i4>
      </vt:variant>
      <vt:variant>
        <vt:lpwstr/>
      </vt:variant>
      <vt:variant>
        <vt:lpwstr>_Toc26689818</vt:lpwstr>
      </vt:variant>
      <vt:variant>
        <vt:i4>1441852</vt:i4>
      </vt:variant>
      <vt:variant>
        <vt:i4>290</vt:i4>
      </vt:variant>
      <vt:variant>
        <vt:i4>0</vt:i4>
      </vt:variant>
      <vt:variant>
        <vt:i4>5</vt:i4>
      </vt:variant>
      <vt:variant>
        <vt:lpwstr/>
      </vt:variant>
      <vt:variant>
        <vt:lpwstr>_Toc26689817</vt:lpwstr>
      </vt:variant>
      <vt:variant>
        <vt:i4>1507388</vt:i4>
      </vt:variant>
      <vt:variant>
        <vt:i4>284</vt:i4>
      </vt:variant>
      <vt:variant>
        <vt:i4>0</vt:i4>
      </vt:variant>
      <vt:variant>
        <vt:i4>5</vt:i4>
      </vt:variant>
      <vt:variant>
        <vt:lpwstr/>
      </vt:variant>
      <vt:variant>
        <vt:lpwstr>_Toc26689816</vt:lpwstr>
      </vt:variant>
      <vt:variant>
        <vt:i4>1310780</vt:i4>
      </vt:variant>
      <vt:variant>
        <vt:i4>278</vt:i4>
      </vt:variant>
      <vt:variant>
        <vt:i4>0</vt:i4>
      </vt:variant>
      <vt:variant>
        <vt:i4>5</vt:i4>
      </vt:variant>
      <vt:variant>
        <vt:lpwstr/>
      </vt:variant>
      <vt:variant>
        <vt:lpwstr>_Toc26689815</vt:lpwstr>
      </vt:variant>
      <vt:variant>
        <vt:i4>1376316</vt:i4>
      </vt:variant>
      <vt:variant>
        <vt:i4>272</vt:i4>
      </vt:variant>
      <vt:variant>
        <vt:i4>0</vt:i4>
      </vt:variant>
      <vt:variant>
        <vt:i4>5</vt:i4>
      </vt:variant>
      <vt:variant>
        <vt:lpwstr/>
      </vt:variant>
      <vt:variant>
        <vt:lpwstr>_Toc26689814</vt:lpwstr>
      </vt:variant>
      <vt:variant>
        <vt:i4>1179708</vt:i4>
      </vt:variant>
      <vt:variant>
        <vt:i4>266</vt:i4>
      </vt:variant>
      <vt:variant>
        <vt:i4>0</vt:i4>
      </vt:variant>
      <vt:variant>
        <vt:i4>5</vt:i4>
      </vt:variant>
      <vt:variant>
        <vt:lpwstr/>
      </vt:variant>
      <vt:variant>
        <vt:lpwstr>_Toc26689813</vt:lpwstr>
      </vt:variant>
      <vt:variant>
        <vt:i4>1245244</vt:i4>
      </vt:variant>
      <vt:variant>
        <vt:i4>260</vt:i4>
      </vt:variant>
      <vt:variant>
        <vt:i4>0</vt:i4>
      </vt:variant>
      <vt:variant>
        <vt:i4>5</vt:i4>
      </vt:variant>
      <vt:variant>
        <vt:lpwstr/>
      </vt:variant>
      <vt:variant>
        <vt:lpwstr>_Toc26689812</vt:lpwstr>
      </vt:variant>
      <vt:variant>
        <vt:i4>1048636</vt:i4>
      </vt:variant>
      <vt:variant>
        <vt:i4>254</vt:i4>
      </vt:variant>
      <vt:variant>
        <vt:i4>0</vt:i4>
      </vt:variant>
      <vt:variant>
        <vt:i4>5</vt:i4>
      </vt:variant>
      <vt:variant>
        <vt:lpwstr/>
      </vt:variant>
      <vt:variant>
        <vt:lpwstr>_Toc26689811</vt:lpwstr>
      </vt:variant>
      <vt:variant>
        <vt:i4>1114172</vt:i4>
      </vt:variant>
      <vt:variant>
        <vt:i4>248</vt:i4>
      </vt:variant>
      <vt:variant>
        <vt:i4>0</vt:i4>
      </vt:variant>
      <vt:variant>
        <vt:i4>5</vt:i4>
      </vt:variant>
      <vt:variant>
        <vt:lpwstr/>
      </vt:variant>
      <vt:variant>
        <vt:lpwstr>_Toc26689810</vt:lpwstr>
      </vt:variant>
      <vt:variant>
        <vt:i4>1572925</vt:i4>
      </vt:variant>
      <vt:variant>
        <vt:i4>242</vt:i4>
      </vt:variant>
      <vt:variant>
        <vt:i4>0</vt:i4>
      </vt:variant>
      <vt:variant>
        <vt:i4>5</vt:i4>
      </vt:variant>
      <vt:variant>
        <vt:lpwstr/>
      </vt:variant>
      <vt:variant>
        <vt:lpwstr>_Toc26689809</vt:lpwstr>
      </vt:variant>
      <vt:variant>
        <vt:i4>1638461</vt:i4>
      </vt:variant>
      <vt:variant>
        <vt:i4>236</vt:i4>
      </vt:variant>
      <vt:variant>
        <vt:i4>0</vt:i4>
      </vt:variant>
      <vt:variant>
        <vt:i4>5</vt:i4>
      </vt:variant>
      <vt:variant>
        <vt:lpwstr/>
      </vt:variant>
      <vt:variant>
        <vt:lpwstr>_Toc26689808</vt:lpwstr>
      </vt:variant>
      <vt:variant>
        <vt:i4>1441853</vt:i4>
      </vt:variant>
      <vt:variant>
        <vt:i4>230</vt:i4>
      </vt:variant>
      <vt:variant>
        <vt:i4>0</vt:i4>
      </vt:variant>
      <vt:variant>
        <vt:i4>5</vt:i4>
      </vt:variant>
      <vt:variant>
        <vt:lpwstr/>
      </vt:variant>
      <vt:variant>
        <vt:lpwstr>_Toc26689807</vt:lpwstr>
      </vt:variant>
      <vt:variant>
        <vt:i4>1507389</vt:i4>
      </vt:variant>
      <vt:variant>
        <vt:i4>224</vt:i4>
      </vt:variant>
      <vt:variant>
        <vt:i4>0</vt:i4>
      </vt:variant>
      <vt:variant>
        <vt:i4>5</vt:i4>
      </vt:variant>
      <vt:variant>
        <vt:lpwstr/>
      </vt:variant>
      <vt:variant>
        <vt:lpwstr>_Toc26689806</vt:lpwstr>
      </vt:variant>
      <vt:variant>
        <vt:i4>1310781</vt:i4>
      </vt:variant>
      <vt:variant>
        <vt:i4>218</vt:i4>
      </vt:variant>
      <vt:variant>
        <vt:i4>0</vt:i4>
      </vt:variant>
      <vt:variant>
        <vt:i4>5</vt:i4>
      </vt:variant>
      <vt:variant>
        <vt:lpwstr/>
      </vt:variant>
      <vt:variant>
        <vt:lpwstr>_Toc26689805</vt:lpwstr>
      </vt:variant>
      <vt:variant>
        <vt:i4>1376317</vt:i4>
      </vt:variant>
      <vt:variant>
        <vt:i4>212</vt:i4>
      </vt:variant>
      <vt:variant>
        <vt:i4>0</vt:i4>
      </vt:variant>
      <vt:variant>
        <vt:i4>5</vt:i4>
      </vt:variant>
      <vt:variant>
        <vt:lpwstr/>
      </vt:variant>
      <vt:variant>
        <vt:lpwstr>_Toc26689804</vt:lpwstr>
      </vt:variant>
      <vt:variant>
        <vt:i4>1179709</vt:i4>
      </vt:variant>
      <vt:variant>
        <vt:i4>206</vt:i4>
      </vt:variant>
      <vt:variant>
        <vt:i4>0</vt:i4>
      </vt:variant>
      <vt:variant>
        <vt:i4>5</vt:i4>
      </vt:variant>
      <vt:variant>
        <vt:lpwstr/>
      </vt:variant>
      <vt:variant>
        <vt:lpwstr>_Toc26689803</vt:lpwstr>
      </vt:variant>
      <vt:variant>
        <vt:i4>1245245</vt:i4>
      </vt:variant>
      <vt:variant>
        <vt:i4>200</vt:i4>
      </vt:variant>
      <vt:variant>
        <vt:i4>0</vt:i4>
      </vt:variant>
      <vt:variant>
        <vt:i4>5</vt:i4>
      </vt:variant>
      <vt:variant>
        <vt:lpwstr/>
      </vt:variant>
      <vt:variant>
        <vt:lpwstr>_Toc26689802</vt:lpwstr>
      </vt:variant>
      <vt:variant>
        <vt:i4>1048637</vt:i4>
      </vt:variant>
      <vt:variant>
        <vt:i4>194</vt:i4>
      </vt:variant>
      <vt:variant>
        <vt:i4>0</vt:i4>
      </vt:variant>
      <vt:variant>
        <vt:i4>5</vt:i4>
      </vt:variant>
      <vt:variant>
        <vt:lpwstr/>
      </vt:variant>
      <vt:variant>
        <vt:lpwstr>_Toc26689801</vt:lpwstr>
      </vt:variant>
      <vt:variant>
        <vt:i4>1114173</vt:i4>
      </vt:variant>
      <vt:variant>
        <vt:i4>188</vt:i4>
      </vt:variant>
      <vt:variant>
        <vt:i4>0</vt:i4>
      </vt:variant>
      <vt:variant>
        <vt:i4>5</vt:i4>
      </vt:variant>
      <vt:variant>
        <vt:lpwstr/>
      </vt:variant>
      <vt:variant>
        <vt:lpwstr>_Toc26689800</vt:lpwstr>
      </vt:variant>
      <vt:variant>
        <vt:i4>1507380</vt:i4>
      </vt:variant>
      <vt:variant>
        <vt:i4>182</vt:i4>
      </vt:variant>
      <vt:variant>
        <vt:i4>0</vt:i4>
      </vt:variant>
      <vt:variant>
        <vt:i4>5</vt:i4>
      </vt:variant>
      <vt:variant>
        <vt:lpwstr/>
      </vt:variant>
      <vt:variant>
        <vt:lpwstr>_Toc26689799</vt:lpwstr>
      </vt:variant>
      <vt:variant>
        <vt:i4>1441844</vt:i4>
      </vt:variant>
      <vt:variant>
        <vt:i4>176</vt:i4>
      </vt:variant>
      <vt:variant>
        <vt:i4>0</vt:i4>
      </vt:variant>
      <vt:variant>
        <vt:i4>5</vt:i4>
      </vt:variant>
      <vt:variant>
        <vt:lpwstr/>
      </vt:variant>
      <vt:variant>
        <vt:lpwstr>_Toc26689798</vt:lpwstr>
      </vt:variant>
      <vt:variant>
        <vt:i4>1638452</vt:i4>
      </vt:variant>
      <vt:variant>
        <vt:i4>170</vt:i4>
      </vt:variant>
      <vt:variant>
        <vt:i4>0</vt:i4>
      </vt:variant>
      <vt:variant>
        <vt:i4>5</vt:i4>
      </vt:variant>
      <vt:variant>
        <vt:lpwstr/>
      </vt:variant>
      <vt:variant>
        <vt:lpwstr>_Toc26689797</vt:lpwstr>
      </vt:variant>
      <vt:variant>
        <vt:i4>1572916</vt:i4>
      </vt:variant>
      <vt:variant>
        <vt:i4>164</vt:i4>
      </vt:variant>
      <vt:variant>
        <vt:i4>0</vt:i4>
      </vt:variant>
      <vt:variant>
        <vt:i4>5</vt:i4>
      </vt:variant>
      <vt:variant>
        <vt:lpwstr/>
      </vt:variant>
      <vt:variant>
        <vt:lpwstr>_Toc26689796</vt:lpwstr>
      </vt:variant>
      <vt:variant>
        <vt:i4>1769524</vt:i4>
      </vt:variant>
      <vt:variant>
        <vt:i4>158</vt:i4>
      </vt:variant>
      <vt:variant>
        <vt:i4>0</vt:i4>
      </vt:variant>
      <vt:variant>
        <vt:i4>5</vt:i4>
      </vt:variant>
      <vt:variant>
        <vt:lpwstr/>
      </vt:variant>
      <vt:variant>
        <vt:lpwstr>_Toc26689795</vt:lpwstr>
      </vt:variant>
      <vt:variant>
        <vt:i4>1703988</vt:i4>
      </vt:variant>
      <vt:variant>
        <vt:i4>152</vt:i4>
      </vt:variant>
      <vt:variant>
        <vt:i4>0</vt:i4>
      </vt:variant>
      <vt:variant>
        <vt:i4>5</vt:i4>
      </vt:variant>
      <vt:variant>
        <vt:lpwstr/>
      </vt:variant>
      <vt:variant>
        <vt:lpwstr>_Toc26689794</vt:lpwstr>
      </vt:variant>
      <vt:variant>
        <vt:i4>1900596</vt:i4>
      </vt:variant>
      <vt:variant>
        <vt:i4>146</vt:i4>
      </vt:variant>
      <vt:variant>
        <vt:i4>0</vt:i4>
      </vt:variant>
      <vt:variant>
        <vt:i4>5</vt:i4>
      </vt:variant>
      <vt:variant>
        <vt:lpwstr/>
      </vt:variant>
      <vt:variant>
        <vt:lpwstr>_Toc26689793</vt:lpwstr>
      </vt:variant>
      <vt:variant>
        <vt:i4>1835060</vt:i4>
      </vt:variant>
      <vt:variant>
        <vt:i4>140</vt:i4>
      </vt:variant>
      <vt:variant>
        <vt:i4>0</vt:i4>
      </vt:variant>
      <vt:variant>
        <vt:i4>5</vt:i4>
      </vt:variant>
      <vt:variant>
        <vt:lpwstr/>
      </vt:variant>
      <vt:variant>
        <vt:lpwstr>_Toc26689792</vt:lpwstr>
      </vt:variant>
      <vt:variant>
        <vt:i4>2031668</vt:i4>
      </vt:variant>
      <vt:variant>
        <vt:i4>134</vt:i4>
      </vt:variant>
      <vt:variant>
        <vt:i4>0</vt:i4>
      </vt:variant>
      <vt:variant>
        <vt:i4>5</vt:i4>
      </vt:variant>
      <vt:variant>
        <vt:lpwstr/>
      </vt:variant>
      <vt:variant>
        <vt:lpwstr>_Toc26689791</vt:lpwstr>
      </vt:variant>
      <vt:variant>
        <vt:i4>1966132</vt:i4>
      </vt:variant>
      <vt:variant>
        <vt:i4>128</vt:i4>
      </vt:variant>
      <vt:variant>
        <vt:i4>0</vt:i4>
      </vt:variant>
      <vt:variant>
        <vt:i4>5</vt:i4>
      </vt:variant>
      <vt:variant>
        <vt:lpwstr/>
      </vt:variant>
      <vt:variant>
        <vt:lpwstr>_Toc26689790</vt:lpwstr>
      </vt:variant>
      <vt:variant>
        <vt:i4>1507381</vt:i4>
      </vt:variant>
      <vt:variant>
        <vt:i4>122</vt:i4>
      </vt:variant>
      <vt:variant>
        <vt:i4>0</vt:i4>
      </vt:variant>
      <vt:variant>
        <vt:i4>5</vt:i4>
      </vt:variant>
      <vt:variant>
        <vt:lpwstr/>
      </vt:variant>
      <vt:variant>
        <vt:lpwstr>_Toc26689789</vt:lpwstr>
      </vt:variant>
      <vt:variant>
        <vt:i4>1441845</vt:i4>
      </vt:variant>
      <vt:variant>
        <vt:i4>116</vt:i4>
      </vt:variant>
      <vt:variant>
        <vt:i4>0</vt:i4>
      </vt:variant>
      <vt:variant>
        <vt:i4>5</vt:i4>
      </vt:variant>
      <vt:variant>
        <vt:lpwstr/>
      </vt:variant>
      <vt:variant>
        <vt:lpwstr>_Toc26689788</vt:lpwstr>
      </vt:variant>
      <vt:variant>
        <vt:i4>1638453</vt:i4>
      </vt:variant>
      <vt:variant>
        <vt:i4>110</vt:i4>
      </vt:variant>
      <vt:variant>
        <vt:i4>0</vt:i4>
      </vt:variant>
      <vt:variant>
        <vt:i4>5</vt:i4>
      </vt:variant>
      <vt:variant>
        <vt:lpwstr/>
      </vt:variant>
      <vt:variant>
        <vt:lpwstr>_Toc26689787</vt:lpwstr>
      </vt:variant>
      <vt:variant>
        <vt:i4>1572917</vt:i4>
      </vt:variant>
      <vt:variant>
        <vt:i4>104</vt:i4>
      </vt:variant>
      <vt:variant>
        <vt:i4>0</vt:i4>
      </vt:variant>
      <vt:variant>
        <vt:i4>5</vt:i4>
      </vt:variant>
      <vt:variant>
        <vt:lpwstr/>
      </vt:variant>
      <vt:variant>
        <vt:lpwstr>_Toc26689786</vt:lpwstr>
      </vt:variant>
      <vt:variant>
        <vt:i4>1769525</vt:i4>
      </vt:variant>
      <vt:variant>
        <vt:i4>98</vt:i4>
      </vt:variant>
      <vt:variant>
        <vt:i4>0</vt:i4>
      </vt:variant>
      <vt:variant>
        <vt:i4>5</vt:i4>
      </vt:variant>
      <vt:variant>
        <vt:lpwstr/>
      </vt:variant>
      <vt:variant>
        <vt:lpwstr>_Toc26689785</vt:lpwstr>
      </vt:variant>
      <vt:variant>
        <vt:i4>1703989</vt:i4>
      </vt:variant>
      <vt:variant>
        <vt:i4>92</vt:i4>
      </vt:variant>
      <vt:variant>
        <vt:i4>0</vt:i4>
      </vt:variant>
      <vt:variant>
        <vt:i4>5</vt:i4>
      </vt:variant>
      <vt:variant>
        <vt:lpwstr/>
      </vt:variant>
      <vt:variant>
        <vt:lpwstr>_Toc26689784</vt:lpwstr>
      </vt:variant>
      <vt:variant>
        <vt:i4>1900597</vt:i4>
      </vt:variant>
      <vt:variant>
        <vt:i4>86</vt:i4>
      </vt:variant>
      <vt:variant>
        <vt:i4>0</vt:i4>
      </vt:variant>
      <vt:variant>
        <vt:i4>5</vt:i4>
      </vt:variant>
      <vt:variant>
        <vt:lpwstr/>
      </vt:variant>
      <vt:variant>
        <vt:lpwstr>_Toc26689783</vt:lpwstr>
      </vt:variant>
      <vt:variant>
        <vt:i4>1835061</vt:i4>
      </vt:variant>
      <vt:variant>
        <vt:i4>80</vt:i4>
      </vt:variant>
      <vt:variant>
        <vt:i4>0</vt:i4>
      </vt:variant>
      <vt:variant>
        <vt:i4>5</vt:i4>
      </vt:variant>
      <vt:variant>
        <vt:lpwstr/>
      </vt:variant>
      <vt:variant>
        <vt:lpwstr>_Toc26689782</vt:lpwstr>
      </vt:variant>
      <vt:variant>
        <vt:i4>2031669</vt:i4>
      </vt:variant>
      <vt:variant>
        <vt:i4>74</vt:i4>
      </vt:variant>
      <vt:variant>
        <vt:i4>0</vt:i4>
      </vt:variant>
      <vt:variant>
        <vt:i4>5</vt:i4>
      </vt:variant>
      <vt:variant>
        <vt:lpwstr/>
      </vt:variant>
      <vt:variant>
        <vt:lpwstr>_Toc26689781</vt:lpwstr>
      </vt:variant>
      <vt:variant>
        <vt:i4>1966133</vt:i4>
      </vt:variant>
      <vt:variant>
        <vt:i4>68</vt:i4>
      </vt:variant>
      <vt:variant>
        <vt:i4>0</vt:i4>
      </vt:variant>
      <vt:variant>
        <vt:i4>5</vt:i4>
      </vt:variant>
      <vt:variant>
        <vt:lpwstr/>
      </vt:variant>
      <vt:variant>
        <vt:lpwstr>_Toc26689780</vt:lpwstr>
      </vt:variant>
      <vt:variant>
        <vt:i4>1507386</vt:i4>
      </vt:variant>
      <vt:variant>
        <vt:i4>62</vt:i4>
      </vt:variant>
      <vt:variant>
        <vt:i4>0</vt:i4>
      </vt:variant>
      <vt:variant>
        <vt:i4>5</vt:i4>
      </vt:variant>
      <vt:variant>
        <vt:lpwstr/>
      </vt:variant>
      <vt:variant>
        <vt:lpwstr>_Toc26689779</vt:lpwstr>
      </vt:variant>
      <vt:variant>
        <vt:i4>1441850</vt:i4>
      </vt:variant>
      <vt:variant>
        <vt:i4>56</vt:i4>
      </vt:variant>
      <vt:variant>
        <vt:i4>0</vt:i4>
      </vt:variant>
      <vt:variant>
        <vt:i4>5</vt:i4>
      </vt:variant>
      <vt:variant>
        <vt:lpwstr/>
      </vt:variant>
      <vt:variant>
        <vt:lpwstr>_Toc26689778</vt:lpwstr>
      </vt:variant>
      <vt:variant>
        <vt:i4>1638458</vt:i4>
      </vt:variant>
      <vt:variant>
        <vt:i4>50</vt:i4>
      </vt:variant>
      <vt:variant>
        <vt:i4>0</vt:i4>
      </vt:variant>
      <vt:variant>
        <vt:i4>5</vt:i4>
      </vt:variant>
      <vt:variant>
        <vt:lpwstr/>
      </vt:variant>
      <vt:variant>
        <vt:lpwstr>_Toc26689777</vt:lpwstr>
      </vt:variant>
      <vt:variant>
        <vt:i4>1572922</vt:i4>
      </vt:variant>
      <vt:variant>
        <vt:i4>44</vt:i4>
      </vt:variant>
      <vt:variant>
        <vt:i4>0</vt:i4>
      </vt:variant>
      <vt:variant>
        <vt:i4>5</vt:i4>
      </vt:variant>
      <vt:variant>
        <vt:lpwstr/>
      </vt:variant>
      <vt:variant>
        <vt:lpwstr>_Toc26689776</vt:lpwstr>
      </vt:variant>
      <vt:variant>
        <vt:i4>1769530</vt:i4>
      </vt:variant>
      <vt:variant>
        <vt:i4>38</vt:i4>
      </vt:variant>
      <vt:variant>
        <vt:i4>0</vt:i4>
      </vt:variant>
      <vt:variant>
        <vt:i4>5</vt:i4>
      </vt:variant>
      <vt:variant>
        <vt:lpwstr/>
      </vt:variant>
      <vt:variant>
        <vt:lpwstr>_Toc26689775</vt:lpwstr>
      </vt:variant>
      <vt:variant>
        <vt:i4>1703994</vt:i4>
      </vt:variant>
      <vt:variant>
        <vt:i4>32</vt:i4>
      </vt:variant>
      <vt:variant>
        <vt:i4>0</vt:i4>
      </vt:variant>
      <vt:variant>
        <vt:i4>5</vt:i4>
      </vt:variant>
      <vt:variant>
        <vt:lpwstr/>
      </vt:variant>
      <vt:variant>
        <vt:lpwstr>_Toc26689774</vt:lpwstr>
      </vt:variant>
      <vt:variant>
        <vt:i4>1900602</vt:i4>
      </vt:variant>
      <vt:variant>
        <vt:i4>26</vt:i4>
      </vt:variant>
      <vt:variant>
        <vt:i4>0</vt:i4>
      </vt:variant>
      <vt:variant>
        <vt:i4>5</vt:i4>
      </vt:variant>
      <vt:variant>
        <vt:lpwstr/>
      </vt:variant>
      <vt:variant>
        <vt:lpwstr>_Toc26689773</vt:lpwstr>
      </vt:variant>
      <vt:variant>
        <vt:i4>1835066</vt:i4>
      </vt:variant>
      <vt:variant>
        <vt:i4>20</vt:i4>
      </vt:variant>
      <vt:variant>
        <vt:i4>0</vt:i4>
      </vt:variant>
      <vt:variant>
        <vt:i4>5</vt:i4>
      </vt:variant>
      <vt:variant>
        <vt:lpwstr/>
      </vt:variant>
      <vt:variant>
        <vt:lpwstr>_Toc26689772</vt:lpwstr>
      </vt:variant>
      <vt:variant>
        <vt:i4>2031674</vt:i4>
      </vt:variant>
      <vt:variant>
        <vt:i4>14</vt:i4>
      </vt:variant>
      <vt:variant>
        <vt:i4>0</vt:i4>
      </vt:variant>
      <vt:variant>
        <vt:i4>5</vt:i4>
      </vt:variant>
      <vt:variant>
        <vt:lpwstr/>
      </vt:variant>
      <vt:variant>
        <vt:lpwstr>_Toc26689771</vt:lpwstr>
      </vt:variant>
      <vt:variant>
        <vt:i4>1966138</vt:i4>
      </vt:variant>
      <vt:variant>
        <vt:i4>8</vt:i4>
      </vt:variant>
      <vt:variant>
        <vt:i4>0</vt:i4>
      </vt:variant>
      <vt:variant>
        <vt:i4>5</vt:i4>
      </vt:variant>
      <vt:variant>
        <vt:lpwstr/>
      </vt:variant>
      <vt:variant>
        <vt:lpwstr>_Toc26689770</vt:lpwstr>
      </vt:variant>
      <vt:variant>
        <vt:i4>1507387</vt:i4>
      </vt:variant>
      <vt:variant>
        <vt:i4>2</vt:i4>
      </vt:variant>
      <vt:variant>
        <vt:i4>0</vt:i4>
      </vt:variant>
      <vt:variant>
        <vt:i4>5</vt:i4>
      </vt:variant>
      <vt:variant>
        <vt:lpwstr/>
      </vt:variant>
      <vt:variant>
        <vt:lpwstr>_Toc26689769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J Torres-Parada</dc:creator>
  <cp:keywords/>
  <dc:description/>
  <cp:lastModifiedBy>Emilio Torres</cp:lastModifiedBy>
  <cp:revision>39</cp:revision>
  <cp:lastPrinted>2020-03-23T17:59:00Z</cp:lastPrinted>
  <dcterms:created xsi:type="dcterms:W3CDTF">2020-03-13T21:56:00Z</dcterms:created>
  <dcterms:modified xsi:type="dcterms:W3CDTF">2020-03-23T18:04:00Z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0x0101009605C5C6A05DFC48B8DA1F181B2C2A5F</vt:lpwstr>
  </property>
</Properties>
</file>